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ind w:firstLine="0"/>
        <w:rPr>
          <w:rFonts w:eastAsia="黑体"/>
          <w:b/>
          <w:bCs/>
          <w:sz w:val="84"/>
          <w:highlight w:val="none"/>
        </w:rPr>
      </w:pPr>
      <w:r>
        <w:rPr>
          <w:rFonts w:hint="eastAsia" w:eastAsia="黑体"/>
          <w:b/>
          <w:bCs/>
          <w:sz w:val="84"/>
          <w:highlight w:val="none"/>
        </w:rPr>
        <w:t xml:space="preserve"> </w:t>
      </w:r>
      <w:r/>
    </w:p>
    <w:p>
      <w:pPr>
        <w:pStyle w:val="922"/>
        <w:ind w:firstLine="0"/>
        <w:jc w:val="center"/>
        <w:rPr>
          <w:rFonts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 xml:space="preserve">招　标　文　件</w:t>
      </w:r>
      <w:r/>
    </w:p>
    <w:p>
      <w:pPr>
        <w:pStyle w:val="922"/>
        <w:ind w:firstLine="2249"/>
        <w:rPr>
          <w:b/>
          <w:bCs/>
          <w:sz w:val="32"/>
          <w:highlight w:val="none"/>
        </w:rPr>
      </w:pPr>
      <w:r>
        <w:rPr>
          <w:rFonts w:hint="eastAsia"/>
          <w:b/>
          <w:bCs/>
          <w:sz w:val="32"/>
          <w:highlight w:val="none"/>
        </w:rPr>
        <w:t xml:space="preserve"> </w:t>
      </w:r>
      <w:r/>
    </w:p>
    <w:p>
      <w:pPr>
        <w:ind w:firstLine="640"/>
        <w:jc w:val="left"/>
        <w:spacing w:before="120" w:after="120" w:line="660" w:lineRule="exact"/>
        <w:rPr>
          <w:rFonts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项目名称：南京海事法院本部及连云港、南通、泰州、苏州派出法庭物业管理服务</w:t>
      </w:r>
      <w:r/>
    </w:p>
    <w:p>
      <w:pPr>
        <w:ind w:firstLine="640"/>
        <w:jc w:val="left"/>
        <w:spacing w:before="120" w:after="120" w:line="660" w:lineRule="exact"/>
        <w:rPr>
          <w:b/>
          <w:color w:val="ff0000"/>
          <w:sz w:val="28"/>
          <w:szCs w:val="28"/>
          <w:highlight w:val="none"/>
        </w:rPr>
      </w:pPr>
      <w:r>
        <w:rPr>
          <w:rFonts w:hint="eastAsia" w:ascii="方正黑体_GBK" w:hAnsi="方正黑体_GBK" w:eastAsia="方正黑体_GBK" w:cs="方正黑体_GBK"/>
          <w:color w:val="000000"/>
          <w:sz w:val="32"/>
          <w:szCs w:val="32"/>
          <w:highlight w:val="none"/>
        </w:rPr>
        <w:t xml:space="preserve">采购编号：</w:t>
      </w:r>
      <w:r>
        <w:rPr>
          <w:rFonts w:eastAsia="方正黑体_GBK"/>
          <w:color w:val="000000"/>
          <w:sz w:val="32"/>
          <w:szCs w:val="32"/>
          <w:highlight w:val="none"/>
        </w:rPr>
        <w:t xml:space="preserve">JSZC-320000-SCZX-G2026-0185    </w:t>
      </w:r>
      <w:r>
        <w:rPr>
          <w:rFonts w:hint="eastAsia"/>
          <w:highlight w:val="none"/>
        </w:rPr>
        <w:t xml:space="preserve">  </w:t>
      </w:r>
      <w:r>
        <w:rPr>
          <w:rFonts w:hint="eastAsia"/>
          <w:b/>
          <w:sz w:val="30"/>
          <w:szCs w:val="30"/>
          <w:highlight w:val="none"/>
        </w:rPr>
        <w:t xml:space="preserve">   </w:t>
      </w:r>
      <w:r>
        <w:rPr>
          <w:highlight w:val="none"/>
        </w:rPr>
        <w:t xml:space="preserve">  </w:t>
      </w:r>
      <w:r>
        <w:rPr>
          <w:b/>
          <w:sz w:val="30"/>
          <w:szCs w:val="30"/>
          <w:highlight w:val="none"/>
        </w:rPr>
        <w:t xml:space="preserve"> </w:t>
      </w:r>
      <w:r/>
    </w:p>
    <w:p>
      <w:pPr>
        <w:jc w:val="center"/>
        <w:rPr>
          <w:b/>
          <w:color w:val="ff0000"/>
          <w:sz w:val="24"/>
          <w:szCs w:val="24"/>
          <w:highlight w:val="none"/>
        </w:rPr>
      </w:pPr>
      <w:r>
        <w:rPr>
          <w:b/>
          <w:color w:val="ff0000"/>
          <w:sz w:val="24"/>
          <w:szCs w:val="24"/>
          <w:highlight w:val="none"/>
        </w:rPr>
      </w:r>
      <w:r/>
    </w:p>
    <w:p>
      <w:pPr>
        <w:pStyle w:val="922"/>
        <w:ind w:firstLine="0"/>
        <w:spacing w:before="0" w:after="0"/>
        <w:rPr>
          <w:rFonts w:ascii="宋体" w:hAnsi="宋体"/>
          <w:highlight w:val="none"/>
        </w:rPr>
      </w:pPr>
      <w:r>
        <w:rPr>
          <w:rFonts w:ascii="宋体" w:hAnsi="宋体"/>
          <w:highlight w:val="none"/>
        </w:rPr>
      </w:r>
      <w:r/>
    </w:p>
    <w:p>
      <w:pPr>
        <w:pStyle w:val="922"/>
        <w:ind w:firstLine="0"/>
        <w:spacing w:before="0" w:after="0"/>
        <w:rPr>
          <w:rFonts w:ascii="宋体" w:hAnsi="宋体"/>
          <w:highlight w:val="none"/>
        </w:rPr>
      </w:pPr>
      <w:r>
        <w:rPr>
          <w:rFonts w:ascii="宋体" w:hAnsi="宋体"/>
          <w:highlight w:val="none"/>
        </w:rPr>
      </w:r>
      <w:r/>
    </w:p>
    <w:p>
      <w:pPr>
        <w:pStyle w:val="922"/>
        <w:ind w:firstLine="0"/>
        <w:spacing w:before="0" w:after="0"/>
        <w:rPr>
          <w:rFonts w:ascii="宋体" w:hAnsi="宋体"/>
          <w:highlight w:val="none"/>
        </w:rPr>
      </w:pPr>
      <w:r>
        <w:rPr>
          <w:rFonts w:ascii="宋体" w:hAnsi="宋体"/>
          <w:highlight w:val="none"/>
        </w:rPr>
      </w:r>
      <w:r/>
    </w:p>
    <w:p>
      <w:pPr>
        <w:pStyle w:val="922"/>
        <w:ind w:firstLine="0"/>
        <w:spacing w:before="0" w:after="0"/>
        <w:rPr>
          <w:rFonts w:ascii="宋体" w:hAnsi="宋体"/>
          <w:highlight w:val="none"/>
        </w:rPr>
      </w:pPr>
      <w:r>
        <w:rPr>
          <w:rFonts w:ascii="宋体" w:hAnsi="宋体"/>
          <w:highlight w:val="none"/>
        </w:rPr>
      </w:r>
      <w:r/>
    </w:p>
    <w:p>
      <w:pPr>
        <w:pStyle w:val="922"/>
        <w:ind w:firstLine="0"/>
        <w:spacing w:before="0" w:after="0"/>
        <w:rPr>
          <w:rFonts w:ascii="宋体" w:hAnsi="宋体"/>
          <w:highlight w:val="none"/>
        </w:rPr>
      </w:pPr>
      <w:r>
        <w:rPr>
          <w:rFonts w:ascii="宋体" w:hAnsi="宋体"/>
          <w:highlight w:val="none"/>
        </w:rPr>
      </w:r>
      <w:r/>
    </w:p>
    <w:p>
      <w:pPr>
        <w:pStyle w:val="922"/>
        <w:ind w:firstLine="0"/>
        <w:spacing w:before="0" w:after="0"/>
        <w:rPr>
          <w:rFonts w:ascii="宋体" w:hAnsi="宋体"/>
          <w:highlight w:val="none"/>
        </w:rPr>
      </w:pPr>
      <w:r>
        <w:rPr>
          <w:rFonts w:ascii="宋体" w:hAnsi="宋体"/>
          <w:highlight w:val="none"/>
        </w:rPr>
      </w:r>
      <w:r/>
    </w:p>
    <w:p>
      <w:pPr>
        <w:pStyle w:val="922"/>
        <w:ind w:firstLine="0"/>
        <w:spacing w:before="0" w:after="0"/>
        <w:rPr>
          <w:rFonts w:ascii="宋体" w:hAnsi="宋体"/>
          <w:highlight w:val="none"/>
        </w:rPr>
      </w:pPr>
      <w:r>
        <w:rPr>
          <w:rFonts w:ascii="宋体" w:hAnsi="宋体"/>
          <w:highlight w:val="none"/>
        </w:rPr>
      </w:r>
      <w:r/>
    </w:p>
    <w:p>
      <w:pPr>
        <w:jc w:val="center"/>
        <w:spacing w:before="120" w:after="120" w:line="660" w:lineRule="exact"/>
        <w:rPr>
          <w:rFonts w:ascii="方正黑体_GBK" w:hAnsi="方正黑体_GBK" w:eastAsia="方正黑体_GBK" w:cs="方正黑体_GBK"/>
          <w:color w:val="000000"/>
          <w:sz w:val="32"/>
          <w:szCs w:val="24"/>
          <w:highlight w:val="none"/>
        </w:rPr>
      </w:pPr>
      <w:r>
        <w:rPr>
          <w:rFonts w:hint="eastAsia" w:ascii="方正黑体_GBK" w:hAnsi="方正黑体_GBK" w:eastAsia="方正黑体_GBK" w:cs="方正黑体_GBK"/>
          <w:color w:val="000000"/>
          <w:sz w:val="32"/>
          <w:szCs w:val="24"/>
          <w:highlight w:val="none"/>
        </w:rPr>
        <w:t xml:space="preserve">江苏省政府采购中心</w:t>
      </w:r>
      <w:r/>
    </w:p>
    <w:p>
      <w:pPr>
        <w:jc w:val="center"/>
        <w:spacing w:before="120" w:after="120" w:line="660" w:lineRule="exact"/>
        <w:rPr>
          <w:rFonts w:ascii="方正黑体_GBK" w:hAnsi="方正黑体_GBK" w:eastAsia="方正黑体_GBK" w:cs="方正黑体_GBK"/>
          <w:color w:val="000000"/>
          <w:sz w:val="32"/>
          <w:szCs w:val="24"/>
          <w:highlight w:val="none"/>
        </w:rPr>
      </w:pPr>
      <w:r>
        <w:rPr>
          <w:rFonts w:hint="eastAsia" w:ascii="方正黑体_GBK" w:hAnsi="方正黑体_GBK" w:eastAsia="方正黑体_GBK" w:cs="方正黑体_GBK"/>
          <w:color w:val="000000"/>
          <w:sz w:val="32"/>
          <w:szCs w:val="24"/>
          <w:highlight w:val="none"/>
        </w:rPr>
        <w:t xml:space="preserve">2026年</w:t>
      </w:r>
      <w:r>
        <w:rPr>
          <w:rFonts w:hint="eastAsia" w:ascii="方正黑体_GBK" w:hAnsi="方正黑体_GBK" w:eastAsia="方正黑体_GBK" w:cs="方正黑体_GBK"/>
          <w:color w:val="000000"/>
          <w:sz w:val="32"/>
          <w:szCs w:val="24"/>
          <w:highlight w:val="none"/>
          <w:lang w:val="en-US" w:eastAsia="zh-CN"/>
        </w:rPr>
        <w:t xml:space="preserve">6</w:t>
      </w:r>
      <w:r>
        <w:rPr>
          <w:rFonts w:hint="eastAsia" w:ascii="方正黑体_GBK" w:hAnsi="方正黑体_GBK" w:eastAsia="方正黑体_GBK" w:cs="方正黑体_GBK"/>
          <w:color w:val="000000"/>
          <w:sz w:val="32"/>
          <w:szCs w:val="24"/>
          <w:highlight w:val="none"/>
        </w:rPr>
        <w:t xml:space="preserve">月</w:t>
      </w:r>
      <w:r/>
    </w:p>
    <w:p>
      <w:pPr>
        <w:pStyle w:val="922"/>
        <w:ind w:firstLine="0"/>
        <w:rPr>
          <w:highlight w:val="none"/>
          <w:u w:val="single"/>
        </w:rPr>
      </w:pPr>
      <w:r>
        <w:rPr>
          <w:rFonts w:hint="eastAsia"/>
          <w:highlight w:val="none"/>
        </w:rPr>
        <w:t xml:space="preserve">                        </w:t>
      </w:r>
      <w:r/>
    </w:p>
    <w:p>
      <w:pPr>
        <w:pStyle w:val="922"/>
        <w:ind w:firstLine="0"/>
        <w:jc w:val="center"/>
        <w:rPr>
          <w:highlight w:val="none"/>
        </w:rPr>
      </w:pPr>
      <w:r>
        <w:rPr>
          <w:highlight w:val="none"/>
        </w:rPr>
      </w:r>
      <w:r/>
    </w:p>
    <w:p>
      <w:pPr>
        <w:jc w:val="center"/>
        <w:spacing w:line="660" w:lineRule="exact"/>
        <w:rPr>
          <w:rFonts w:ascii="黑体" w:hAnsi="Arial" w:eastAsia="黑体"/>
          <w:b/>
          <w:sz w:val="44"/>
          <w:highlight w:val="none"/>
        </w:rPr>
        <w:outlineLvl w:val="0"/>
      </w:pPr>
      <w:r>
        <w:rPr>
          <w:highlight w:val="none"/>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方正黑体_GBK" w:hAnsi="方正黑体_GBK" w:eastAsia="方正黑体_GBK" w:cs="方正黑体_GBK"/>
          <w:b/>
          <w:color w:val="000000"/>
          <w:sz w:val="32"/>
          <w:szCs w:val="32"/>
          <w:highlight w:val="none"/>
        </w:rPr>
        <w:t xml:space="preserve"> </w:t>
      </w:r>
      <w:r>
        <w:rPr>
          <w:rFonts w:hint="eastAsia" w:ascii="方正黑体_GBK" w:hAnsi="方正黑体_GBK" w:eastAsia="方正黑体_GBK" w:cs="方正黑体_GBK"/>
          <w:bCs/>
          <w:color w:val="000000"/>
          <w:sz w:val="32"/>
          <w:szCs w:val="32"/>
          <w:highlight w:val="none"/>
        </w:rPr>
        <w:t xml:space="preserve">总  目  录</w:t>
      </w:r>
      <w:r/>
    </w:p>
    <w:p>
      <w:pPr>
        <w:spacing w:line="660" w:lineRule="exact"/>
        <w:rPr>
          <w:rFonts w:ascii="方正黑体_GBK" w:hAnsi="方正黑体_GBK" w:eastAsia="方正黑体_GBK" w:cs="方正黑体_GBK"/>
          <w:color w:val="000000"/>
          <w:sz w:val="32"/>
          <w:szCs w:val="32"/>
          <w:highlight w:val="none"/>
        </w:rPr>
        <w:outlineLvl w:val="0"/>
      </w:pPr>
      <w:r>
        <w:rPr>
          <w:rFonts w:ascii="方正黑体_GBK" w:hAnsi="方正黑体_GBK" w:eastAsia="方正黑体_GBK" w:cs="方正黑体_GBK"/>
          <w:color w:val="000000"/>
          <w:sz w:val="32"/>
          <w:szCs w:val="32"/>
          <w:highlight w:val="none"/>
        </w:rPr>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w:t>
      </w:r>
      <w:r>
        <w:rPr>
          <w:rFonts w:ascii="方正黑体_GBK" w:hAnsi="方正黑体_GBK" w:eastAsia="方正黑体_GBK" w:cs="方正黑体_GBK"/>
          <w:color w:val="000000"/>
          <w:sz w:val="32"/>
          <w:szCs w:val="32"/>
          <w:highlight w:val="none"/>
        </w:rPr>
        <w:t xml:space="preserve"> 投标邀请……………………………………3 </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第二章</w:t>
      </w:r>
      <w:r>
        <w:rPr>
          <w:rFonts w:ascii="方正黑体_GBK" w:hAnsi="方正黑体_GBK" w:eastAsia="方正黑体_GBK" w:cs="方正黑体_GBK"/>
          <w:color w:val="000000"/>
          <w:sz w:val="32"/>
          <w:szCs w:val="32"/>
          <w:highlight w:val="none"/>
        </w:rPr>
        <w:t xml:space="preserve"> 投标人须知…………………………………7  </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第三章</w:t>
      </w:r>
      <w:r>
        <w:rPr>
          <w:rFonts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t xml:space="preserve">合同文本……………………………………</w:t>
      </w:r>
      <w:r>
        <w:rPr>
          <w:rFonts w:ascii="方正黑体_GBK" w:hAnsi="方正黑体_GBK" w:eastAsia="方正黑体_GBK" w:cs="方正黑体_GBK"/>
          <w:color w:val="000000"/>
          <w:sz w:val="32"/>
          <w:szCs w:val="32"/>
          <w:highlight w:val="none"/>
        </w:rPr>
        <w:t xml:space="preserve">23</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第四章</w:t>
      </w:r>
      <w:r>
        <w:rPr>
          <w:rFonts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t xml:space="preserve">采购需求……………………………………</w:t>
      </w:r>
      <w:r>
        <w:rPr>
          <w:rFonts w:ascii="方正黑体_GBK" w:hAnsi="方正黑体_GBK" w:eastAsia="方正黑体_GBK" w:cs="方正黑体_GBK"/>
          <w:color w:val="000000"/>
          <w:sz w:val="32"/>
          <w:szCs w:val="32"/>
          <w:highlight w:val="none"/>
        </w:rPr>
        <w:t xml:space="preserve">29</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第五章</w:t>
      </w:r>
      <w:r>
        <w:rPr>
          <w:rFonts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t xml:space="preserve">评标方法与评标标准………………………</w:t>
      </w:r>
      <w:r>
        <w:rPr>
          <w:rFonts w:ascii="方正黑体_GBK" w:hAnsi="方正黑体_GBK" w:eastAsia="方正黑体_GBK" w:cs="方正黑体_GBK"/>
          <w:color w:val="000000"/>
          <w:sz w:val="32"/>
          <w:szCs w:val="32"/>
          <w:highlight w:val="none"/>
        </w:rPr>
        <w:t xml:space="preserve">69</w:t>
      </w:r>
      <w:r/>
    </w:p>
    <w:p>
      <w:pPr>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第六章</w:t>
      </w:r>
      <w:r>
        <w:rPr>
          <w:rFonts w:ascii="方正黑体_GBK" w:hAnsi="方正黑体_GBK" w:eastAsia="方正黑体_GBK" w:cs="方正黑体_GBK"/>
          <w:color w:val="000000"/>
          <w:sz w:val="32"/>
          <w:szCs w:val="32"/>
          <w:highlight w:val="none"/>
        </w:rPr>
        <w:t xml:space="preserve"> </w:t>
      </w:r>
      <w:r>
        <w:rPr>
          <w:rFonts w:hint="eastAsia" w:ascii="方正黑体_GBK" w:hAnsi="方正黑体_GBK" w:eastAsia="方正黑体_GBK" w:cs="方正黑体_GBK"/>
          <w:color w:val="000000"/>
          <w:sz w:val="32"/>
          <w:szCs w:val="32"/>
          <w:highlight w:val="none"/>
        </w:rPr>
        <w:t xml:space="preserve">投标文件格式………………………………</w:t>
      </w:r>
      <w:r>
        <w:rPr>
          <w:rFonts w:ascii="方正黑体_GBK" w:hAnsi="方正黑体_GBK" w:eastAsia="方正黑体_GBK" w:cs="方正黑体_GBK"/>
          <w:color w:val="000000"/>
          <w:sz w:val="32"/>
          <w:szCs w:val="32"/>
          <w:highlight w:val="none"/>
        </w:rPr>
        <w:t xml:space="preserve">79</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br w:type="page" w:clear="all"/>
      </w:r>
      <w:r/>
    </w:p>
    <w:p>
      <w:pPr>
        <w:jc w:val="center"/>
        <w:keepNext/>
        <w:spacing w:line="6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  </w:t>
      </w:r>
      <w:bookmarkEnd w:id="0"/>
      <w:r>
        <w:rPr>
          <w:rFonts w:hint="eastAsia" w:ascii="方正黑体_GBK" w:hAnsi="方正黑体_GBK" w:eastAsia="方正黑体_GBK" w:cs="方正黑体_GBK"/>
          <w:color w:val="000000"/>
          <w:sz w:val="32"/>
          <w:szCs w:val="32"/>
          <w:highlight w:val="none"/>
        </w:rPr>
        <w:t xml:space="preserve">投标邀请</w:t>
      </w:r>
      <w:r/>
    </w:p>
    <w:p>
      <w:pPr>
        <w:ind w:firstLine="640"/>
        <w:spacing w:line="56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受南京海事法院的委托，江苏省政府采购中心就南京海事法院本部及连云港、南通、泰州、苏州派出法庭物业管理服务（JSZC-320000-SCZX-G2026-0185）项目进行公开招标采购，欢迎符合条件的供应商投标。</w:t>
      </w:r>
      <w:r/>
    </w:p>
    <w:p>
      <w:pPr>
        <w:ind w:firstLine="640"/>
        <w:spacing w:line="560" w:lineRule="exact"/>
        <w:rPr>
          <w:rFonts w:ascii="方正仿宋_GBK" w:hAnsi="方正仿宋_GBK" w:eastAsia="方正仿宋_GBK" w:cs="方正仿宋_GBK"/>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highlight w:val="none"/>
        </w:rPr>
        <w:t xml:space="preserve">项目概况</w:t>
      </w:r>
      <w:r/>
    </w:p>
    <w:p>
      <w:pPr>
        <w:ind w:firstLine="640"/>
        <w:spacing w:line="5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highlight w:val="none"/>
          <w:u w:val="single"/>
        </w:rPr>
        <w:t xml:space="preserve">南京海事法院本部及连云港、南通、泰州、苏州派出法庭物业管理服务</w:t>
      </w:r>
      <w:r>
        <w:rPr>
          <w:rFonts w:hint="eastAsia" w:ascii="方正仿宋_GBK" w:hAnsi="方正仿宋_GBK" w:eastAsia="方正仿宋_GBK" w:cs="方正仿宋_GBK"/>
          <w:sz w:val="32"/>
          <w:szCs w:val="32"/>
          <w:highlight w:val="none"/>
        </w:rPr>
        <w:t xml:space="preserve">招标项目的潜在投标人可在</w:t>
      </w:r>
      <w:r>
        <w:rPr>
          <w:rFonts w:hint="eastAsia" w:ascii="方正仿宋_GBK" w:hAnsi="方正仿宋_GBK" w:eastAsia="方正仿宋_GBK" w:cs="方正仿宋_GBK"/>
          <w:sz w:val="32"/>
          <w:szCs w:val="32"/>
          <w:highlight w:val="none"/>
          <w:u w:val="single"/>
        </w:rPr>
        <w:t xml:space="preserve">“江苏政府采购网”自行免费下载</w:t>
      </w:r>
      <w:r>
        <w:rPr>
          <w:rFonts w:hint="eastAsia" w:ascii="方正仿宋_GBK" w:hAnsi="方正仿宋_GBK" w:eastAsia="方正仿宋_GBK" w:cs="方正仿宋_GBK"/>
          <w:sz w:val="32"/>
          <w:szCs w:val="32"/>
          <w:highlight w:val="none"/>
        </w:rPr>
        <w:t xml:space="preserve">招标文件，并于</w:t>
      </w:r>
      <w:r>
        <w:rPr>
          <w:rFonts w:hint="eastAsia" w:eastAsia="方正仿宋_GBK"/>
          <w:color w:val="000000"/>
          <w:sz w:val="32"/>
          <w:szCs w:val="32"/>
          <w:highlight w:val="none"/>
        </w:rPr>
        <w:t xml:space="preserve">2026</w:t>
      </w:r>
      <w:r>
        <w:rPr>
          <w:rFonts w:hint="eastAsia" w:ascii="方正仿宋_GBK" w:hAnsi="方正仿宋_GBK" w:eastAsia="方正仿宋_GBK" w:cs="方正仿宋_GBK"/>
          <w:bCs/>
          <w:color w:val="000000"/>
          <w:sz w:val="32"/>
          <w:szCs w:val="32"/>
          <w:highlight w:val="none"/>
        </w:rPr>
        <w:t xml:space="preserve">年</w:t>
      </w:r>
      <w:r>
        <w:rPr>
          <w:rFonts w:hint="eastAsia" w:eastAsia="方正仿宋_GBK"/>
          <w:color w:val="000000"/>
          <w:sz w:val="32"/>
          <w:szCs w:val="32"/>
          <w:highlight w:val="none"/>
        </w:rPr>
        <w:t xml:space="preserve">6</w:t>
      </w:r>
      <w:r>
        <w:rPr>
          <w:rFonts w:hint="eastAsia" w:ascii="方正仿宋_GBK" w:hAnsi="方正仿宋_GBK" w:eastAsia="方正仿宋_GBK" w:cs="方正仿宋_GBK"/>
          <w:bCs/>
          <w:color w:val="000000"/>
          <w:sz w:val="32"/>
          <w:szCs w:val="32"/>
          <w:highlight w:val="none"/>
        </w:rPr>
        <w:t xml:space="preserve">月</w:t>
      </w:r>
      <w:r>
        <w:rPr>
          <w:rFonts w:hint="eastAsia" w:eastAsia="方正仿宋_GBK"/>
          <w:color w:val="000000"/>
          <w:sz w:val="32"/>
          <w:szCs w:val="32"/>
          <w:highlight w:val="none"/>
        </w:rPr>
        <w:t xml:space="preserve">26</w:t>
      </w:r>
      <w:r>
        <w:rPr>
          <w:rFonts w:hint="eastAsia" w:ascii="方正仿宋_GBK" w:hAnsi="方正仿宋_GBK" w:eastAsia="方正仿宋_GBK" w:cs="方正仿宋_GBK"/>
          <w:bCs/>
          <w:color w:val="000000"/>
          <w:sz w:val="32"/>
          <w:szCs w:val="32"/>
          <w:highlight w:val="none"/>
        </w:rPr>
        <w:t xml:space="preserve">日</w:t>
      </w:r>
      <w:r>
        <w:rPr>
          <w:rFonts w:hint="eastAsia" w:eastAsia="方正仿宋_GBK"/>
          <w:color w:val="000000"/>
          <w:sz w:val="32"/>
          <w:szCs w:val="32"/>
          <w:highlight w:val="none"/>
        </w:rPr>
        <w:t xml:space="preserve">9</w:t>
      </w:r>
      <w:r>
        <w:rPr>
          <w:rFonts w:hint="eastAsia" w:ascii="方正仿宋_GBK" w:hAnsi="方正仿宋_GBK" w:eastAsia="方正仿宋_GBK" w:cs="方正仿宋_GBK"/>
          <w:color w:val="000000"/>
          <w:sz w:val="32"/>
          <w:szCs w:val="32"/>
          <w:highlight w:val="none"/>
        </w:rPr>
        <w:t xml:space="preserve">时</w:t>
      </w:r>
      <w:r>
        <w:rPr>
          <w:rFonts w:hint="eastAsia" w:eastAsia="方正仿宋_GBK"/>
          <w:color w:val="000000"/>
          <w:sz w:val="32"/>
          <w:szCs w:val="32"/>
          <w:highlight w:val="none"/>
        </w:rPr>
        <w:t xml:space="preserve">30</w:t>
      </w:r>
      <w:r>
        <w:rPr>
          <w:rFonts w:hint="eastAsia" w:ascii="方正仿宋_GBK" w:hAnsi="方正仿宋_GBK" w:eastAsia="方正仿宋_GBK" w:cs="方正仿宋_GBK"/>
          <w:bCs/>
          <w:sz w:val="32"/>
          <w:szCs w:val="32"/>
          <w:highlight w:val="none"/>
        </w:rPr>
        <w:t xml:space="preserve">分（北京时间）前递交投标文件</w:t>
      </w:r>
      <w:r>
        <w:rPr>
          <w:rFonts w:hint="eastAsia" w:ascii="方正仿宋_GBK" w:hAnsi="方正仿宋_GBK" w:eastAsia="方正仿宋_GBK" w:cs="方正仿宋_GBK"/>
          <w:sz w:val="32"/>
          <w:szCs w:val="32"/>
          <w:highlight w:val="none"/>
        </w:rPr>
        <w:t xml:space="preserve">。</w:t>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方正黑体_GBK" w:hAnsi="方正黑体_GBK" w:eastAsia="方正黑体_GBK" w:cs="方正黑体_GBK"/>
          <w:color w:val="000000"/>
          <w:sz w:val="32"/>
          <w:szCs w:val="32"/>
          <w:highlight w:val="none"/>
        </w:rPr>
        <w:t xml:space="preserve">一、项目基本情况</w:t>
      </w:r>
      <w:bookmarkEnd w:id="6"/>
      <w:r/>
      <w:bookmarkEnd w:id="7"/>
      <w:r/>
      <w:bookmarkEnd w:id="8"/>
      <w:r/>
      <w:bookmarkEnd w:id="9"/>
      <w:r/>
      <w:bookmarkEnd w:id="10"/>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1.采购编号</w:t>
      </w:r>
      <w:r>
        <w:rPr>
          <w:rFonts w:hint="eastAsia" w:eastAsia="方正仿宋_GBK"/>
          <w:color w:val="000000"/>
          <w:sz w:val="32"/>
          <w:szCs w:val="32"/>
          <w:highlight w:val="none"/>
        </w:rPr>
        <w:t xml:space="preserve">：JSZC-320000-SCZX-G2026-0185  </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2.项目名称：</w:t>
      </w:r>
      <w:r>
        <w:rPr>
          <w:rFonts w:hint="eastAsia" w:eastAsia="方正仿宋_GBK"/>
          <w:color w:val="000000"/>
          <w:sz w:val="32"/>
          <w:szCs w:val="32"/>
          <w:highlight w:val="none"/>
        </w:rPr>
        <w:t xml:space="preserve">南京海事法院本部及连云港、南通、泰州、苏州派出法庭物业管理服务</w:t>
      </w:r>
      <w:bookmarkEnd w:id="11"/>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3.预算金额</w:t>
      </w:r>
      <w:r/>
    </w:p>
    <w:tbl>
      <w:tblPr>
        <w:tblStyle w:val="773"/>
        <w:tblW w:w="0" w:type="auto"/>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497"/>
      </w:tblGrid>
      <w:tr>
        <w:trPr/>
        <w:tc>
          <w:tcPr>
            <w:tcW w:w="1638"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7497"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预算金额（人民币：万元）</w:t>
            </w:r>
            <w:r/>
          </w:p>
        </w:tc>
      </w:tr>
      <w:tr>
        <w:trPr/>
        <w:tc>
          <w:tcPr>
            <w:tcW w:w="1638"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7497"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eastAsia="方正仿宋_GBK"/>
                <w:color w:val="000000"/>
                <w:sz w:val="32"/>
                <w:szCs w:val="32"/>
                <w:highlight w:val="none"/>
              </w:rPr>
              <w:t xml:space="preserve">1965（三年）</w:t>
            </w:r>
            <w:r/>
          </w:p>
        </w:tc>
      </w:tr>
    </w:tbl>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4.最高限价</w:t>
      </w:r>
      <w:r/>
    </w:p>
    <w:tbl>
      <w:tblPr>
        <w:tblStyle w:val="773"/>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7430"/>
      </w:tblGrid>
      <w:tr>
        <w:trPr/>
        <w:tc>
          <w:tcPr>
            <w:tcW w:w="169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743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最高限价（人民币：万元）</w:t>
            </w:r>
            <w:r/>
          </w:p>
        </w:tc>
      </w:tr>
      <w:tr>
        <w:trPr/>
        <w:tc>
          <w:tcPr>
            <w:tcW w:w="169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743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eastAsia="方正仿宋_GBK"/>
                <w:color w:val="000000"/>
                <w:sz w:val="32"/>
                <w:szCs w:val="32"/>
                <w:highlight w:val="none"/>
              </w:rPr>
              <w:t xml:space="preserve">1965（三年）</w:t>
            </w:r>
            <w:r/>
          </w:p>
        </w:tc>
      </w:tr>
    </w:tbl>
    <w:p>
      <w:pPr>
        <w:ind w:firstLine="640"/>
        <w:spacing w:line="560" w:lineRule="exact"/>
        <w:rPr>
          <w:rFonts w:eastAsia="方正仿宋_GBK"/>
          <w:color w:val="000000"/>
          <w:sz w:val="32"/>
          <w:szCs w:val="32"/>
          <w:highlight w:val="none"/>
        </w:rPr>
      </w:pPr>
      <w:r/>
      <w:bookmarkStart w:id="12" w:name="_Toc35393791"/>
      <w:r/>
      <w:bookmarkStart w:id="13" w:name="_Toc35393622"/>
      <w:r/>
      <w:bookmarkStart w:id="14" w:name="_Toc38985264"/>
      <w:r/>
      <w:bookmarkStart w:id="15" w:name="_Toc28359080"/>
      <w:r/>
      <w:bookmarkStart w:id="16" w:name="_Toc28359003"/>
      <w:r>
        <w:rPr>
          <w:rFonts w:hint="eastAsia" w:ascii="方正仿宋_GBK" w:hAnsi="方正仿宋_GBK" w:eastAsia="方正仿宋_GBK" w:cs="方正仿宋_GBK"/>
          <w:sz w:val="32"/>
          <w:szCs w:val="32"/>
          <w:highlight w:val="none"/>
        </w:rPr>
        <w:t xml:space="preserve">5.采购需求（简介）：</w:t>
      </w:r>
      <w:r>
        <w:rPr>
          <w:rFonts w:hint="eastAsia" w:eastAsia="方正仿宋_GBK"/>
          <w:color w:val="000000"/>
          <w:sz w:val="32"/>
          <w:szCs w:val="32"/>
          <w:highlight w:val="none"/>
        </w:rPr>
        <w:t xml:space="preserve">南京海事法院本部及连云港、南通、泰州、苏州派出法庭物业管理服务项目，包括但不限于：日常保洁、日常维修、秩序管理、安全防护、会务保障、安检值庭、消防监控、食堂劳务及其他服务等，服务应专业、可靠，能配合各项工作的顺利开展。（详细内容见本招标文件第四章）</w:t>
      </w:r>
      <w:r/>
    </w:p>
    <w:p>
      <w:pPr>
        <w:ind w:firstLine="640"/>
        <w:spacing w:line="560" w:lineRule="exact"/>
        <w:rPr>
          <w:rFonts w:ascii="方正仿宋_GBK" w:hAnsi="方正仿宋_GBK" w:eastAsia="方正仿宋_GBK" w:cs="方正仿宋_GBK"/>
          <w:color w:val="000000"/>
          <w:sz w:val="32"/>
          <w:szCs w:val="32"/>
          <w:highlight w:val="none"/>
          <w:u w:val="single"/>
        </w:rPr>
      </w:pPr>
      <w:r>
        <w:rPr>
          <w:rFonts w:hint="eastAsia" w:ascii="方正仿宋_GBK" w:hAnsi="方正仿宋_GBK" w:eastAsia="方正仿宋_GBK" w:cs="方正仿宋_GBK"/>
          <w:color w:val="000000"/>
          <w:sz w:val="32"/>
          <w:szCs w:val="32"/>
          <w:highlight w:val="none"/>
        </w:rPr>
        <w:t xml:space="preserve">6.合同履行期限：服务期</w:t>
      </w:r>
      <w:r>
        <w:rPr>
          <w:rFonts w:hint="eastAsia" w:eastAsia="方正仿宋_GBK"/>
          <w:color w:val="000000"/>
          <w:sz w:val="32"/>
          <w:szCs w:val="32"/>
          <w:highlight w:val="none"/>
        </w:rPr>
        <w:t xml:space="preserve">三年，合同一年一签。如果中标人未能通过年度考核（考核要求详见商务要求中的</w:t>
      </w:r>
      <w:r>
        <w:rPr>
          <w:rFonts w:hint="eastAsia" w:ascii="方正仿宋_GBK" w:hAnsi="方正仿宋_GBK" w:eastAsia="方正仿宋_GBK" w:cs="方正仿宋_GBK"/>
          <w:bCs/>
          <w:sz w:val="32"/>
          <w:szCs w:val="32"/>
          <w:highlight w:val="none"/>
        </w:rPr>
        <w:t xml:space="preserve">“验收标准与考核履约评价”）</w:t>
      </w:r>
      <w:r>
        <w:rPr>
          <w:rFonts w:hint="eastAsia" w:eastAsia="方正仿宋_GBK"/>
          <w:color w:val="000000"/>
          <w:sz w:val="32"/>
          <w:szCs w:val="32"/>
          <w:highlight w:val="none"/>
        </w:rPr>
        <w:t xml:space="preserve">，采购人有权终止合同，不再续签下一年合同。</w:t>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二、申请人的资格要求</w:t>
      </w:r>
      <w:bookmarkEnd w:id="12"/>
      <w:r/>
      <w:bookmarkEnd w:id="13"/>
      <w:r/>
      <w:bookmarkEnd w:id="14"/>
      <w:r/>
      <w:bookmarkEnd w:id="15"/>
      <w:r/>
      <w:bookmarkEnd w:id="16"/>
      <w:r/>
      <w:r/>
    </w:p>
    <w:p>
      <w:pPr>
        <w:ind w:firstLine="640"/>
        <w:spacing w:line="560" w:lineRule="exact"/>
        <w:rPr>
          <w:rFonts w:ascii="方正楷体_GBK" w:hAnsi="方正楷体_GBK" w:eastAsia="方正楷体_GBK" w:cs="方正楷体_GBK"/>
          <w:color w:val="000000"/>
          <w:sz w:val="32"/>
          <w:szCs w:val="32"/>
          <w:highlight w:val="none"/>
        </w:rPr>
      </w:pPr>
      <w:r/>
      <w:bookmarkStart w:id="17" w:name="_Toc38985265"/>
      <w:r/>
      <w:bookmarkStart w:id="18" w:name="_Toc35393623"/>
      <w:r/>
      <w:bookmarkStart w:id="19" w:name="_Toc28359081"/>
      <w:r/>
      <w:bookmarkStart w:id="20" w:name="_Toc35393792"/>
      <w:r/>
      <w:bookmarkStart w:id="21" w:name="_Toc28359004"/>
      <w:r>
        <w:rPr>
          <w:rFonts w:hint="eastAsia" w:ascii="方正楷体_GBK" w:hAnsi="方正楷体_GBK" w:eastAsia="方正楷体_GBK" w:cs="方正楷体_GBK"/>
          <w:color w:val="000000"/>
          <w:sz w:val="32"/>
          <w:szCs w:val="32"/>
          <w:highlight w:val="none"/>
        </w:rPr>
        <w:t xml:space="preserve">（一）通用资格要求</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1.满足《中华人民共和国政府采购法》第二十二条规定，并提供下列材料：</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1.1 法人或者其他组织的营业执照等证明文件，自然人的身份证明；</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1.2 2024或2025年度的财务状况报告（成立不满一年无需提供）；</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1.4具备履行合同所必需的设备和专业技术能力的书面声明；</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1.5参加政府采购活动前3年内在经营活动中没有重大违法记录的书面声明。</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3.落实政府采购政策需满足的资格要求：无</w:t>
      </w:r>
      <w:r/>
    </w:p>
    <w:p>
      <w:pPr>
        <w:ind w:firstLine="640"/>
        <w:spacing w:line="360" w:lineRule="auto"/>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4.联合体投标</w:t>
      </w:r>
      <w:r/>
    </w:p>
    <w:tbl>
      <w:tblPr>
        <w:tblStyle w:val="773"/>
        <w:tblW w:w="9150"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2968"/>
        <w:gridCol w:w="4492"/>
      </w:tblGrid>
      <w:tr>
        <w:trPr/>
        <w:tc>
          <w:tcPr>
            <w:tcW w:w="169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96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p>
        </w:tc>
        <w:tc>
          <w:tcPr>
            <w:tcW w:w="4492"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p>
        </w:tc>
      </w:tr>
      <w:tr>
        <w:trPr/>
        <w:tc>
          <w:tcPr>
            <w:tcW w:w="1690"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4492"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640"/>
        <w:spacing w:line="560" w:lineRule="exact"/>
        <w:rPr>
          <w:rFonts w:ascii="方正楷体_GBK" w:hAnsi="方正楷体_GBK" w:eastAsia="方正楷体_GBK" w:cs="方正楷体_GBK"/>
          <w:color w:val="000000"/>
          <w:sz w:val="32"/>
          <w:szCs w:val="32"/>
          <w:highlight w:val="none"/>
        </w:rPr>
      </w:pPr>
      <w:r>
        <w:rPr>
          <w:rFonts w:hint="eastAsia" w:ascii="方正楷体_GBK" w:hAnsi="方正楷体_GBK" w:eastAsia="方正楷体_GBK" w:cs="方正楷体_GBK"/>
          <w:color w:val="000000"/>
          <w:sz w:val="32"/>
          <w:szCs w:val="32"/>
          <w:highlight w:val="none"/>
        </w:rPr>
        <w:t xml:space="preserve">（二）本项目的特定资格要求</w:t>
      </w:r>
      <w:r/>
    </w:p>
    <w:tbl>
      <w:tblPr>
        <w:tblStyle w:val="773"/>
        <w:tblW w:w="9150"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5"/>
        <w:gridCol w:w="7475"/>
      </w:tblGrid>
      <w:tr>
        <w:trPr/>
        <w:tc>
          <w:tcPr>
            <w:tcW w:w="167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747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167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747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p>
        </w:tc>
      </w:tr>
    </w:tbl>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三、获取招标文件</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1.时间：自招标文件公告发布之日起5个工作日。</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2.方式：在“江苏政府采购网”自行免费下载招标文件。</w:t>
      </w:r>
      <w:bookmarkEnd w:id="17"/>
      <w:r/>
      <w:bookmarkEnd w:id="18"/>
      <w:r/>
      <w:bookmarkEnd w:id="19"/>
      <w:r/>
      <w:bookmarkEnd w:id="20"/>
      <w:r/>
      <w:bookmarkEnd w:id="21"/>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bookmarkStart w:id="22" w:name="_Toc28359082"/>
      <w:r/>
      <w:bookmarkStart w:id="23" w:name="_Toc28359005"/>
      <w:r/>
      <w:bookmarkStart w:id="24" w:name="_Toc35393624"/>
      <w:r/>
      <w:bookmarkStart w:id="25" w:name="_Toc38985266"/>
      <w:r/>
      <w:bookmarkStart w:id="26" w:name="_Toc35393793"/>
      <w:r/>
      <w:bookmarkStart w:id="27" w:name="_Toc35393625"/>
      <w:r/>
      <w:bookmarkStart w:id="28" w:name="_Toc28359007"/>
      <w:r/>
      <w:bookmarkStart w:id="29" w:name="_Toc35393794"/>
      <w:r/>
      <w:bookmarkStart w:id="30" w:name="_Toc38985267"/>
      <w:r/>
      <w:bookmarkStart w:id="31" w:name="_Toc28359084"/>
      <w:r>
        <w:rPr>
          <w:rFonts w:hint="eastAsia" w:ascii="方正黑体_GBK" w:hAnsi="方正黑体_GBK" w:eastAsia="方正黑体_GBK" w:cs="方正黑体_GBK"/>
          <w:color w:val="000000"/>
          <w:sz w:val="32"/>
          <w:szCs w:val="32"/>
          <w:highlight w:val="none"/>
        </w:rPr>
        <w:t xml:space="preserve">四、提交投标文件</w:t>
      </w:r>
      <w:bookmarkEnd w:id="22"/>
      <w:r/>
      <w:bookmarkEnd w:id="23"/>
      <w:r>
        <w:rPr>
          <w:rFonts w:hint="eastAsia" w:ascii="方正黑体_GBK" w:hAnsi="方正黑体_GBK" w:eastAsia="方正黑体_GBK" w:cs="方正黑体_GBK"/>
          <w:color w:val="000000"/>
          <w:sz w:val="32"/>
          <w:szCs w:val="32"/>
          <w:highlight w:val="none"/>
        </w:rPr>
        <w:t xml:space="preserve">截止时间、开标时间和地点</w:t>
      </w:r>
      <w:bookmarkEnd w:id="24"/>
      <w:r/>
      <w:bookmarkEnd w:id="25"/>
      <w:r/>
      <w:bookmarkEnd w:id="26"/>
      <w:r/>
      <w:r/>
    </w:p>
    <w:p>
      <w:pPr>
        <w:ind w:firstLine="640"/>
        <w:spacing w:line="560" w:lineRule="exact"/>
        <w:rPr>
          <w:rFonts w:ascii="宋体" w:hAnsi="宋体"/>
          <w:bCs/>
          <w:color w:val="000000"/>
          <w:sz w:val="24"/>
          <w:szCs w:val="24"/>
          <w:highlight w:val="none"/>
          <w:u w:val="single"/>
        </w:rPr>
      </w:pPr>
      <w:r>
        <w:rPr>
          <w:rFonts w:hint="eastAsia" w:ascii="方正仿宋_GBK" w:hAnsi="方正仿宋_GBK" w:eastAsia="方正仿宋_GBK" w:cs="方正仿宋_GBK"/>
          <w:sz w:val="32"/>
          <w:szCs w:val="32"/>
          <w:highlight w:val="none"/>
        </w:rPr>
        <w:t xml:space="preserve">1.</w:t>
      </w:r>
      <w:r>
        <w:rPr>
          <w:rFonts w:hint="eastAsia" w:eastAsia="方正仿宋_GBK"/>
          <w:color w:val="000000"/>
          <w:sz w:val="32"/>
          <w:szCs w:val="32"/>
          <w:highlight w:val="none"/>
        </w:rPr>
        <w:t xml:space="preserve">2026</w:t>
      </w:r>
      <w:r>
        <w:rPr>
          <w:rFonts w:hint="eastAsia" w:ascii="方正仿宋_GBK" w:hAnsi="方正仿宋_GBK" w:eastAsia="方正仿宋_GBK" w:cs="方正仿宋_GBK"/>
          <w:bCs/>
          <w:color w:val="000000"/>
          <w:sz w:val="32"/>
          <w:szCs w:val="32"/>
          <w:highlight w:val="none"/>
        </w:rPr>
        <w:t xml:space="preserve">年</w:t>
      </w:r>
      <w:r>
        <w:rPr>
          <w:rFonts w:hint="eastAsia" w:eastAsia="方正仿宋_GBK"/>
          <w:color w:val="000000"/>
          <w:sz w:val="32"/>
          <w:szCs w:val="32"/>
          <w:highlight w:val="none"/>
        </w:rPr>
        <w:t xml:space="preserve">6</w:t>
      </w:r>
      <w:r>
        <w:rPr>
          <w:rFonts w:hint="eastAsia" w:ascii="方正仿宋_GBK" w:hAnsi="方正仿宋_GBK" w:eastAsia="方正仿宋_GBK" w:cs="方正仿宋_GBK"/>
          <w:bCs/>
          <w:color w:val="000000"/>
          <w:sz w:val="32"/>
          <w:szCs w:val="32"/>
          <w:highlight w:val="none"/>
        </w:rPr>
        <w:t xml:space="preserve">月</w:t>
      </w:r>
      <w:r>
        <w:rPr>
          <w:rFonts w:hint="eastAsia" w:eastAsia="方正仿宋_GBK"/>
          <w:color w:val="000000"/>
          <w:sz w:val="32"/>
          <w:szCs w:val="32"/>
          <w:highlight w:val="none"/>
        </w:rPr>
        <w:t xml:space="preserve">26</w:t>
      </w:r>
      <w:r>
        <w:rPr>
          <w:rFonts w:hint="eastAsia" w:ascii="方正仿宋_GBK" w:hAnsi="方正仿宋_GBK" w:eastAsia="方正仿宋_GBK" w:cs="方正仿宋_GBK"/>
          <w:bCs/>
          <w:color w:val="000000"/>
          <w:sz w:val="32"/>
          <w:szCs w:val="32"/>
          <w:highlight w:val="none"/>
        </w:rPr>
        <w:t xml:space="preserve">日</w:t>
      </w:r>
      <w:r>
        <w:rPr>
          <w:rFonts w:hint="eastAsia" w:eastAsia="方正仿宋_GBK"/>
          <w:color w:val="000000"/>
          <w:sz w:val="32"/>
          <w:szCs w:val="32"/>
          <w:highlight w:val="none"/>
        </w:rPr>
        <w:t xml:space="preserve">9</w:t>
      </w:r>
      <w:r>
        <w:rPr>
          <w:rFonts w:hint="eastAsia" w:ascii="方正仿宋_GBK" w:hAnsi="方正仿宋_GBK" w:eastAsia="方正仿宋_GBK" w:cs="方正仿宋_GBK"/>
          <w:color w:val="000000"/>
          <w:sz w:val="32"/>
          <w:szCs w:val="32"/>
          <w:highlight w:val="none"/>
        </w:rPr>
        <w:t xml:space="preserve">时</w:t>
      </w:r>
      <w:r>
        <w:rPr>
          <w:rFonts w:hint="eastAsia" w:eastAsia="方正仿宋_GBK"/>
          <w:color w:val="000000"/>
          <w:sz w:val="32"/>
          <w:szCs w:val="32"/>
          <w:highlight w:val="none"/>
        </w:rPr>
        <w:t xml:space="preserve">30</w:t>
      </w:r>
      <w:r>
        <w:rPr>
          <w:rFonts w:hint="eastAsia" w:ascii="方正仿宋_GBK" w:hAnsi="方正仿宋_GBK" w:eastAsia="方正仿宋_GBK" w:cs="方正仿宋_GBK"/>
          <w:bCs/>
          <w:color w:val="000000"/>
          <w:sz w:val="32"/>
          <w:szCs w:val="32"/>
          <w:highlight w:val="none"/>
        </w:rPr>
        <w:t xml:space="preserve">分（北京时间）</w:t>
      </w: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2.地点：“苏采云”政府采购交易系统。</w:t>
      </w:r>
      <w:bookmarkEnd w:id="27"/>
      <w:r/>
      <w:bookmarkEnd w:id="28"/>
      <w:r/>
      <w:bookmarkEnd w:id="29"/>
      <w:r/>
      <w:bookmarkEnd w:id="30"/>
      <w:r/>
      <w:bookmarkEnd w:id="31"/>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32"/>
          <w:szCs w:val="32"/>
          <w:highlight w:val="none"/>
        </w:rPr>
        <w:t xml:space="preserve">五、公告期限</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招标公告及招标文件公告期限为自本公告发布之日起5个工作日。</w:t>
      </w:r>
      <w:bookmarkEnd w:id="32"/>
      <w:r/>
      <w:bookmarkEnd w:id="33"/>
      <w:r/>
      <w:bookmarkEnd w:id="34"/>
      <w:r/>
      <w:bookmarkStart w:id="35" w:name="_Toc38985269"/>
      <w:r/>
      <w:bookmarkStart w:id="36" w:name="_Toc28359008"/>
      <w:r/>
      <w:bookmarkStart w:id="37" w:name="_Toc28359085"/>
      <w:r/>
      <w:bookmarkStart w:id="38" w:name="_Toc35393796"/>
      <w:r/>
      <w:bookmarkStart w:id="39" w:name="_Toc35393627"/>
      <w:r/>
      <w:r/>
    </w:p>
    <w:p>
      <w:pPr>
        <w:ind w:firstLine="640"/>
        <w:spacing w:line="560" w:lineRule="exact"/>
        <w:rPr>
          <w:rFonts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六、其他补充事宜</w:t>
      </w:r>
      <w:bookmarkEnd w:id="35"/>
      <w:r/>
      <w:bookmarkEnd w:id="36"/>
      <w:r/>
      <w:bookmarkEnd w:id="37"/>
      <w:r/>
      <w:bookmarkEnd w:id="38"/>
      <w:r/>
      <w:bookmarkEnd w:id="39"/>
      <w:r/>
      <w:r/>
    </w:p>
    <w:p>
      <w:pPr>
        <w:ind w:firstLine="640"/>
        <w:jc w:val="left"/>
        <w:spacing w:line="560" w:lineRule="exact"/>
        <w:rPr>
          <w:rFonts w:ascii="方正仿宋_GBK" w:hAnsi="方正仿宋_GBK" w:eastAsia="方正仿宋_GBK" w:cs="方正仿宋_GBK"/>
          <w:sz w:val="32"/>
          <w:szCs w:val="32"/>
          <w:highlight w:val="none"/>
        </w:rPr>
        <w:outlineLvl w:val="0"/>
      </w:pPr>
      <w:r>
        <w:rPr>
          <w:rFonts w:hint="eastAsia" w:ascii="方正仿宋_GBK" w:hAnsi="方正仿宋_GBK" w:eastAsia="方正仿宋_GBK" w:cs="方正仿宋_GBK"/>
          <w:sz w:val="32"/>
          <w:szCs w:val="32"/>
          <w:highlight w:val="none"/>
        </w:rPr>
        <w:t xml:space="preserve">现场勘察：请各潜在投标人于2026年6月16日上午9点前到南京海事法院报到，上午9:00-11:00由采购人统一安排勘察项目现场。请供应商携带身份证按时参加。请对项目现场和周围环境进行仔细认真地查勘，在随后的采购中，对现场资料和数据所作出的推论、解释和结论及由此造成的后果由供应商负责。</w:t>
      </w:r>
      <w:r/>
    </w:p>
    <w:p>
      <w:pPr>
        <w:ind w:firstLine="640"/>
        <w:jc w:val="left"/>
        <w:spacing w:line="560" w:lineRule="exact"/>
        <w:rPr>
          <w:rFonts w:ascii="方正仿宋_GBK" w:hAnsi="方正仿宋_GBK" w:eastAsia="方正仿宋_GBK" w:cs="方正仿宋_GBK"/>
          <w:sz w:val="32"/>
          <w:szCs w:val="32"/>
          <w:highlight w:val="none"/>
        </w:rPr>
        <w:outlineLvl w:val="0"/>
      </w:pPr>
      <w:r>
        <w:rPr>
          <w:rFonts w:hint="eastAsia" w:ascii="方正仿宋_GBK" w:hAnsi="方正仿宋_GBK" w:eastAsia="方正仿宋_GBK" w:cs="方正仿宋_GBK"/>
          <w:sz w:val="32"/>
          <w:szCs w:val="32"/>
          <w:highlight w:val="none"/>
        </w:rPr>
        <w:t xml:space="preserve">集中地点：南京市浦口区如山路6号。</w:t>
      </w:r>
      <w:r/>
    </w:p>
    <w:p>
      <w:pPr>
        <w:ind w:firstLine="640"/>
        <w:jc w:val="left"/>
        <w:spacing w:line="560" w:lineRule="exact"/>
        <w:rPr>
          <w:rFonts w:ascii="方正仿宋_GBK" w:hAnsi="方正仿宋_GBK" w:eastAsia="方正仿宋_GBK" w:cs="方正仿宋_GBK"/>
          <w:sz w:val="32"/>
          <w:szCs w:val="32"/>
          <w:highlight w:val="none"/>
        </w:rPr>
        <w:outlineLvl w:val="0"/>
      </w:pPr>
      <w:r>
        <w:rPr>
          <w:rFonts w:hint="eastAsia" w:ascii="方正仿宋_GBK" w:hAnsi="方正仿宋_GBK" w:eastAsia="方正仿宋_GBK" w:cs="方正仿宋_GBK"/>
          <w:sz w:val="32"/>
          <w:szCs w:val="32"/>
          <w:highlight w:val="none"/>
        </w:rPr>
        <w:t xml:space="preserve">勘察现场联系人：陈老师</w:t>
      </w:r>
      <w:r/>
    </w:p>
    <w:p>
      <w:pPr>
        <w:ind w:firstLine="640"/>
        <w:jc w:val="left"/>
        <w:spacing w:line="560" w:lineRule="exact"/>
        <w:rPr>
          <w:rFonts w:ascii="方正黑体_GBK" w:hAnsi="方正黑体_GBK" w:eastAsia="方正黑体_GBK" w:cs="方正黑体_GBK"/>
          <w:color w:val="000000"/>
          <w:sz w:val="32"/>
          <w:szCs w:val="32"/>
          <w:highlight w:val="none"/>
        </w:rPr>
        <w:outlineLvl w:val="0"/>
      </w:pPr>
      <w:r>
        <w:rPr>
          <w:rFonts w:hint="eastAsia" w:ascii="方正仿宋_GBK" w:hAnsi="方正仿宋_GBK" w:eastAsia="方正仿宋_GBK" w:cs="方正仿宋_GBK"/>
          <w:sz w:val="32"/>
          <w:szCs w:val="32"/>
          <w:highlight w:val="none"/>
        </w:rPr>
        <w:t xml:space="preserve">联系电话：025-85359598。</w:t>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七、本次招标联系方式</w:t>
      </w:r>
      <w:r/>
    </w:p>
    <w:p>
      <w:pPr>
        <w:jc w:val="left"/>
        <w:spacing w:line="560" w:lineRule="exact"/>
        <w:widowControl/>
        <w:rPr>
          <w:rFonts w:ascii="方正仿宋_GBK" w:hAnsi="方正仿宋_GBK" w:eastAsia="方正仿宋_GBK" w:cs="方正仿宋_GBK"/>
          <w:color w:val="000000"/>
          <w:sz w:val="32"/>
          <w:szCs w:val="32"/>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32"/>
          <w:szCs w:val="32"/>
          <w:highlight w:val="none"/>
        </w:rPr>
        <w:t xml:space="preserve">1.采购人信息</w:t>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名 称：</w:t>
      </w:r>
      <w:r>
        <w:rPr>
          <w:rFonts w:hint="eastAsia" w:ascii="方正仿宋_GBK" w:hAnsi="方正仿宋_GBK" w:eastAsia="方正仿宋_GBK" w:cs="方正仿宋_GBK"/>
          <w:color w:val="000000"/>
          <w:sz w:val="32"/>
          <w:szCs w:val="32"/>
          <w:highlight w:val="none"/>
          <w:u w:val="single"/>
        </w:rPr>
        <w:t xml:space="preserve">　南京海事法院　　　　　</w:t>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地 址：</w:t>
      </w:r>
      <w:r>
        <w:rPr>
          <w:rFonts w:hint="eastAsia" w:ascii="方正仿宋_GBK" w:hAnsi="方正仿宋_GBK" w:eastAsia="方正仿宋_GBK" w:cs="方正仿宋_GBK"/>
          <w:color w:val="000000"/>
          <w:sz w:val="32"/>
          <w:szCs w:val="32"/>
          <w:highlight w:val="none"/>
          <w:u w:val="single"/>
        </w:rPr>
        <w:t xml:space="preserve">　江苏路178号　　　　　</w:t>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联系人：</w:t>
      </w:r>
      <w:r>
        <w:rPr>
          <w:rFonts w:hint="eastAsia" w:ascii="方正仿宋_GBK" w:hAnsi="方正仿宋_GBK" w:eastAsia="方正仿宋_GBK" w:cs="方正仿宋_GBK"/>
          <w:color w:val="000000"/>
          <w:sz w:val="32"/>
          <w:szCs w:val="32"/>
          <w:highlight w:val="none"/>
          <w:u w:val="single"/>
        </w:rPr>
        <w:t xml:space="preserve">  陈老师               </w:t>
      </w:r>
      <w:r/>
    </w:p>
    <w:p>
      <w:pPr>
        <w:ind w:firstLine="640"/>
        <w:jc w:val="left"/>
        <w:spacing w:line="560" w:lineRule="exact"/>
        <w:rPr>
          <w:rFonts w:ascii="方正仿宋_GBK" w:hAnsi="方正仿宋_GBK" w:eastAsia="方正仿宋_GBK" w:cs="方正仿宋_GBK"/>
          <w:color w:val="000000"/>
          <w:sz w:val="32"/>
          <w:szCs w:val="32"/>
          <w:highlight w:val="none"/>
          <w:u w:val="single"/>
        </w:rPr>
      </w:pPr>
      <w:r>
        <w:rPr>
          <w:rFonts w:hint="eastAsia" w:ascii="方正仿宋_GBK" w:hAnsi="方正仿宋_GBK" w:eastAsia="方正仿宋_GBK" w:cs="方正仿宋_GBK"/>
          <w:color w:val="000000"/>
          <w:sz w:val="32"/>
          <w:szCs w:val="32"/>
          <w:highlight w:val="none"/>
        </w:rPr>
        <w:t xml:space="preserve">联系方式：</w:t>
      </w:r>
      <w:r>
        <w:rPr>
          <w:rFonts w:hint="eastAsia" w:ascii="方正仿宋_GBK" w:hAnsi="方正仿宋_GBK" w:eastAsia="方正仿宋_GBK" w:cs="方正仿宋_GBK"/>
          <w:color w:val="000000"/>
          <w:sz w:val="32"/>
          <w:szCs w:val="32"/>
          <w:highlight w:val="none"/>
          <w:u w:val="single"/>
        </w:rPr>
        <w:t xml:space="preserve">　025-85359598　　　 </w:t>
      </w:r>
      <w:bookmarkStart w:id="40" w:name="_Toc28359086"/>
      <w:r/>
      <w:bookmarkStart w:id="41" w:name="_Toc28359009"/>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2.江苏省政府采购中心信息</w:t>
      </w:r>
      <w:bookmarkEnd w:id="40"/>
      <w:r/>
      <w:bookmarkEnd w:id="41"/>
      <w:r/>
      <w:r/>
    </w:p>
    <w:p>
      <w:pPr>
        <w:ind w:firstLine="640"/>
        <w:jc w:val="left"/>
        <w:keepNext/>
        <w:spacing w:line="560" w:lineRule="exact"/>
        <w:rPr>
          <w:rFonts w:hint="eastAsia" w:ascii="方正仿宋_GBK" w:hAnsi="方正仿宋_GBK" w:eastAsia="方正仿宋_GBK" w:cs="方正仿宋_GBK"/>
          <w:color w:val="000000"/>
          <w:sz w:val="32"/>
          <w:szCs w:val="32"/>
          <w:highlight w:val="none"/>
          <w:lang w:val="en-US" w:eastAsia="zh-CN"/>
        </w:rPr>
        <w:outlineLvl w:val="0"/>
      </w:pPr>
      <w:r/>
      <w:bookmarkStart w:id="42" w:name="_Toc28359010"/>
      <w:r/>
      <w:bookmarkStart w:id="43" w:name="_Toc28359087"/>
      <w:r>
        <w:rPr>
          <w:rFonts w:hint="eastAsia" w:ascii="方正仿宋_GBK" w:hAnsi="方正仿宋_GBK" w:eastAsia="方正仿宋_GBK" w:cs="方正仿宋_GBK"/>
          <w:color w:val="000000"/>
          <w:sz w:val="32"/>
          <w:szCs w:val="32"/>
          <w:highlight w:val="none"/>
        </w:rPr>
        <w:t xml:space="preserve">地　址：</w:t>
      </w:r>
      <w:r>
        <w:rPr>
          <w:rFonts w:hint="eastAsia" w:ascii="方正仿宋_GBK" w:hAnsi="方正仿宋_GBK" w:eastAsia="方正仿宋_GBK" w:cs="方正仿宋_GBK"/>
          <w:color w:val="000000"/>
          <w:sz w:val="32"/>
          <w:szCs w:val="32"/>
          <w:highlight w:val="none"/>
          <w:u w:val="single"/>
        </w:rPr>
        <w:t xml:space="preserve">南京市汉中门大街145号省政务服务中心二期3楼</w:t>
      </w:r>
      <w:r>
        <w:rPr>
          <w:rFonts w:hint="eastAsia" w:ascii="方正仿宋_GBK" w:hAnsi="方正仿宋_GBK" w:eastAsia="方正仿宋_GBK" w:cs="方正仿宋_GBK"/>
          <w:color w:val="000000"/>
          <w:sz w:val="32"/>
          <w:szCs w:val="32"/>
          <w:highlight w:val="none"/>
          <w:u w:val="single"/>
          <w:lang w:val="en-US" w:eastAsia="zh-CN"/>
        </w:rPr>
        <w:t xml:space="preserve">南区</w:t>
      </w:r>
      <w:r/>
    </w:p>
    <w:p>
      <w:pPr>
        <w:ind w:firstLine="640"/>
        <w:jc w:val="left"/>
        <w:keepNext/>
        <w:spacing w:line="560" w:lineRule="exact"/>
        <w:rPr>
          <w:rFonts w:ascii="方正仿宋_GBK" w:hAnsi="方正仿宋_GBK" w:eastAsia="方正仿宋_GBK" w:cs="方正仿宋_GBK"/>
          <w:color w:val="000000"/>
          <w:sz w:val="32"/>
          <w:szCs w:val="32"/>
          <w:highlight w:val="none"/>
        </w:rPr>
        <w:outlineLvl w:val="0"/>
      </w:pPr>
      <w:r>
        <w:rPr>
          <w:rFonts w:hint="eastAsia" w:ascii="方正仿宋_GBK" w:hAnsi="方正仿宋_GBK" w:eastAsia="方正仿宋_GBK" w:cs="方正仿宋_GBK"/>
          <w:color w:val="000000"/>
          <w:sz w:val="32"/>
          <w:szCs w:val="32"/>
          <w:highlight w:val="none"/>
        </w:rPr>
        <w:t xml:space="preserve">联系人： </w:t>
      </w:r>
      <w:r>
        <w:rPr>
          <w:rFonts w:hint="eastAsia" w:ascii="方正仿宋_GBK" w:hAnsi="方正仿宋_GBK" w:eastAsia="方正仿宋_GBK" w:cs="方正仿宋_GBK"/>
          <w:color w:val="000000"/>
          <w:sz w:val="32"/>
          <w:szCs w:val="32"/>
          <w:highlight w:val="none"/>
          <w:u w:val="single"/>
        </w:rPr>
        <w:t xml:space="preserve">陈瑜、严晓薇</w:t>
      </w:r>
      <w:r>
        <w:rPr>
          <w:rFonts w:hint="eastAsia" w:ascii="方正仿宋_GBK" w:hAnsi="方正仿宋_GBK" w:eastAsia="方正仿宋_GBK" w:cs="方正仿宋_GBK"/>
          <w:color w:val="000000"/>
          <w:sz w:val="32"/>
          <w:szCs w:val="32"/>
          <w:highlight w:val="none"/>
        </w:rPr>
        <w:t xml:space="preserve"> </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联系方式：</w:t>
      </w:r>
      <w:r>
        <w:rPr>
          <w:rFonts w:hint="eastAsia" w:ascii="方正仿宋_GBK" w:hAnsi="方正仿宋_GBK" w:eastAsia="方正仿宋_GBK" w:cs="方正仿宋_GBK"/>
          <w:color w:val="000000"/>
          <w:sz w:val="32"/>
          <w:szCs w:val="32"/>
          <w:highlight w:val="none"/>
          <w:u w:val="single"/>
        </w:rPr>
        <w:t xml:space="preserve">025-83668552、83668537</w:t>
      </w:r>
      <w:bookmarkEnd w:id="42"/>
      <w:r/>
      <w:bookmarkEnd w:id="43"/>
      <w:r/>
      <w:r/>
    </w:p>
    <w:p>
      <w:pPr>
        <w:ind w:firstLine="640"/>
        <w:jc w:val="left"/>
        <w:keepNext/>
        <w:spacing w:line="56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八、其他</w:t>
      </w:r>
      <w:r/>
    </w:p>
    <w:p>
      <w:pPr>
        <w:ind w:firstLine="640"/>
        <w:spacing w:line="560" w:lineRule="exact"/>
        <w:tabs>
          <w:tab w:val="left" w:pos="900" w:leader="none"/>
        </w:tabs>
        <w:rPr>
          <w:rFonts w:ascii="方正仿宋_GBK" w:hAnsi="方正仿宋_GBK" w:eastAsia="方正仿宋_GBK" w:cs="方正仿宋_GBK"/>
          <w:bCs/>
          <w:spacing w:val="-11"/>
          <w:sz w:val="32"/>
          <w:szCs w:val="32"/>
          <w:highlight w:val="none"/>
        </w:rPr>
      </w:pPr>
      <w:r>
        <w:rPr>
          <w:rFonts w:hint="eastAsia" w:ascii="方正仿宋_GBK" w:hAnsi="方正仿宋_GBK" w:eastAsia="方正仿宋_GBK" w:cs="方正仿宋_GBK"/>
          <w:spacing w:val="-11"/>
          <w:sz w:val="32"/>
          <w:szCs w:val="32"/>
          <w:highlight w:val="none"/>
        </w:rPr>
        <w:t xml:space="preserve">1.</w:t>
      </w:r>
      <w:r>
        <w:rPr>
          <w:rFonts w:hint="eastAsia" w:ascii="方正仿宋_GBK" w:hAnsi="方正仿宋_GBK" w:eastAsia="方正仿宋_GBK" w:cs="方正仿宋_GBK"/>
          <w:bCs/>
          <w:spacing w:val="-11"/>
          <w:sz w:val="32"/>
          <w:szCs w:val="32"/>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pacing w:val="-11"/>
          <w:sz w:val="32"/>
          <w:szCs w:val="32"/>
          <w:highlight w:val="none"/>
        </w:rPr>
        <w:t xml:space="preserve">“苏采云”政府采购交易系统（以下简称苏采云系统）</w:t>
      </w:r>
      <w:r>
        <w:rPr>
          <w:rFonts w:hint="eastAsia" w:ascii="方正仿宋_GBK" w:hAnsi="方正仿宋_GBK" w:eastAsia="方正仿宋_GBK" w:cs="方正仿宋_GBK"/>
          <w:bCs/>
          <w:spacing w:val="-11"/>
          <w:sz w:val="32"/>
          <w:szCs w:val="32"/>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pacing w:val="-11"/>
          <w:sz w:val="32"/>
          <w:szCs w:val="32"/>
          <w:highlight w:val="none"/>
        </w:rPr>
        <w:t xml:space="preserve">http://www.ccgp-jiangsu.gov.cn/jiangsu/zlxz/ee/ee3a4bc5a3454aa2b0d9312230633ce9.html。</w:t>
      </w:r>
      <w:r/>
    </w:p>
    <w:p>
      <w:pPr>
        <w:ind w:firstLine="640"/>
        <w:spacing w:line="56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640"/>
        <w:spacing w:line="56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2.有关本次招标的事项若存在变动或修改，敬请及时关注江苏省政府采购中心在“江苏政府采购网”发布的更正公告。</w:t>
      </w:r>
      <w:r/>
    </w:p>
    <w:p>
      <w:pPr>
        <w:ind w:firstLine="640"/>
        <w:spacing w:line="56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3.本次招标不收取投标保证金。</w:t>
      </w:r>
      <w:r/>
    </w:p>
    <w:p>
      <w:pPr>
        <w:ind w:right="839"/>
        <w:jc w:val="center"/>
        <w:spacing w:line="660" w:lineRule="exact"/>
        <w:rPr>
          <w:rFonts w:ascii="宋体" w:hAnsi="宋体"/>
          <w:sz w:val="24"/>
          <w:szCs w:val="24"/>
          <w:highlight w:val="none"/>
        </w:rPr>
      </w:pPr>
      <w:r>
        <w:rPr>
          <w:rFonts w:ascii="宋体" w:hAnsi="宋体"/>
          <w:sz w:val="24"/>
          <w:szCs w:val="24"/>
          <w:highlight w:val="none"/>
        </w:rPr>
        <w:br w:type="page" w:clear="all"/>
      </w:r>
      <w:bookmarkStart w:id="44" w:name="_Toc120614211"/>
      <w:r>
        <w:rPr>
          <w:rFonts w:hint="eastAsia" w:ascii="方正黑体_GBK" w:hAnsi="方正黑体_GBK" w:eastAsia="方正黑体_GBK" w:cs="方正黑体_GBK"/>
          <w:color w:val="000000"/>
          <w:sz w:val="32"/>
          <w:szCs w:val="32"/>
          <w:highlight w:val="none"/>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方正黑体_GBK" w:hAnsi="方正黑体_GBK" w:eastAsia="方正黑体_GBK" w:cs="方正黑体_GBK"/>
          <w:color w:val="000000"/>
          <w:sz w:val="32"/>
          <w:szCs w:val="32"/>
          <w:highlight w:val="none"/>
        </w:rPr>
        <w:t xml:space="preserve">投标人须知</w:t>
      </w:r>
      <w:bookmarkEnd w:id="45"/>
      <w:r/>
      <w:bookmarkEnd w:id="46"/>
      <w:r/>
      <w:bookmarkEnd w:id="47"/>
      <w:r/>
      <w:bookmarkEnd w:id="48"/>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一、总则</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1.招标方式</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1.1 本次招标采取公开招标方式，本招标文件仅适用于招标公告中所述项目。</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2.合格的投标人</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2.1满足招标公告中供应商的资格要求的规定。</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2.2 满足本文件实质性要求的规定。</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3.适用法律和标准</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3.1 本次招标及由此产生的合同受中华人民共和国有关的法律法规制约和保护。</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3.2 在本项目政府采购活动过程中，如果所执行的标准有更新的，按照最新标准执行。</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4.投标费用</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4.2本次招标采购中心和采购人不收取标书工本费与中标服务费。</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5.招标文件的约束力</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 投标人一旦参加本项目采购活动，即被认为接受了本招标文件的规定和约束。</w:t>
      </w:r>
      <w:r/>
    </w:p>
    <w:p>
      <w:pPr>
        <w:ind w:firstLine="480"/>
        <w:spacing w:line="570" w:lineRule="exact"/>
        <w:rPr>
          <w:rFonts w:ascii="宋体" w:hAnsi="宋体"/>
          <w:sz w:val="24"/>
          <w:szCs w:val="24"/>
          <w:highlight w:val="none"/>
        </w:rPr>
      </w:pPr>
      <w:r>
        <w:rPr>
          <w:rFonts w:ascii="宋体" w:hAnsi="宋体"/>
          <w:sz w:val="24"/>
          <w:szCs w:val="24"/>
          <w:highlight w:val="none"/>
        </w:rPr>
      </w:r>
      <w:r/>
    </w:p>
    <w:p>
      <w:pPr>
        <w:ind w:firstLine="480"/>
        <w:spacing w:line="570" w:lineRule="exact"/>
        <w:rPr>
          <w:rFonts w:ascii="宋体" w:hAnsi="宋体"/>
          <w:sz w:val="24"/>
          <w:highlight w:val="none"/>
        </w:rPr>
      </w:pPr>
      <w:r>
        <w:rPr>
          <w:rFonts w:ascii="宋体" w:hAnsi="宋体"/>
          <w:sz w:val="24"/>
          <w:highlight w:val="none"/>
        </w:rPr>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二、招标文件</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6.招标文件构成</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6.1 招标文件由以下部分组成：</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（1）投标邀请</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（2）投标人须知</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（3）合同文本</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（4）采购需求</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（5）评标方法与评标标准</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（6）投标文件格式</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请仔细检查招标文件是否齐全，如有缺漏请立即与采购中心联系解决。</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7.招标文件的修改</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7.1 在投标截止时间前，采购中心可以对招标文件进行修改。</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7.2 采购中心有权按照法定的要求推迟投标截止日期和开标日期。</w:t>
      </w:r>
      <w:r/>
    </w:p>
    <w:p>
      <w:pPr>
        <w:ind w:firstLine="640"/>
        <w:spacing w:line="570" w:lineRule="exact"/>
        <w:tabs>
          <w:tab w:val="left" w:pos="900" w:leader="none"/>
        </w:tabs>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7.3 招标文件的修改将在江苏政府采购网公布，补充文件将作为招标文件的组成部分，并对投标人具有约束力。</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49" w:name="_Toc20823285"/>
      <w:r/>
      <w:bookmarkStart w:id="50" w:name="_Toc513029213"/>
      <w:r/>
      <w:bookmarkStart w:id="51" w:name="_Toc462564072"/>
      <w:r/>
      <w:bookmarkStart w:id="52" w:name="_Toc120614216"/>
      <w:r/>
      <w:bookmarkStart w:id="53" w:name="_Toc16938529"/>
      <w:r>
        <w:rPr>
          <w:rFonts w:hint="eastAsia" w:ascii="方正黑体_GBK" w:hAnsi="方正黑体_GBK" w:eastAsia="方正黑体_GBK" w:cs="方正黑体_GBK"/>
          <w:color w:val="000000"/>
          <w:sz w:val="32"/>
          <w:szCs w:val="32"/>
          <w:highlight w:val="none"/>
        </w:rPr>
        <w:t xml:space="preserve">三、投标文件的编制</w:t>
      </w:r>
      <w:bookmarkEnd w:id="49"/>
      <w:r/>
      <w:bookmarkEnd w:id="50"/>
      <w:r/>
      <w:bookmarkEnd w:id="51"/>
      <w:r/>
      <w:bookmarkEnd w:id="52"/>
      <w:r/>
      <w:bookmarkEnd w:id="53"/>
      <w:r/>
      <w:r/>
    </w:p>
    <w:p>
      <w:pPr>
        <w:pStyle w:val="826"/>
        <w:ind w:firstLine="640"/>
        <w:spacing w:before="0" w:after="0" w:line="570" w:lineRule="exact"/>
        <w:rPr>
          <w:rFonts w:ascii="方正仿宋_GBK" w:hAnsi="方正仿宋_GBK" w:eastAsia="方正仿宋_GBK" w:cs="方正仿宋_GBK"/>
          <w:bCs w:val="0"/>
          <w:sz w:val="32"/>
          <w:szCs w:val="32"/>
          <w:highlight w:val="none"/>
        </w:rPr>
      </w:pPr>
      <w:r/>
      <w:bookmarkStart w:id="54" w:name="_Toc16938530"/>
      <w:r/>
      <w:bookmarkStart w:id="55" w:name="_Toc513029214"/>
      <w:r/>
      <w:bookmarkStart w:id="56" w:name="_Toc20823286"/>
      <w:r/>
      <w:bookmarkStart w:id="57" w:name="_Toc462564073"/>
      <w:r>
        <w:rPr>
          <w:rFonts w:hint="eastAsia" w:ascii="方正仿宋_GBK" w:hAnsi="方正仿宋_GBK" w:eastAsia="方正仿宋_GBK" w:cs="方正仿宋_GBK"/>
          <w:b w:val="0"/>
          <w:bCs w:val="0"/>
          <w:sz w:val="32"/>
          <w:szCs w:val="32"/>
          <w:highlight w:val="none"/>
        </w:rPr>
        <w:t xml:space="preserve">8.投标文件的语言及度量衡单位</w:t>
      </w:r>
      <w:bookmarkEnd w:id="54"/>
      <w:r/>
      <w:bookmarkEnd w:id="55"/>
      <w:r/>
      <w:bookmarkEnd w:id="56"/>
      <w:r/>
      <w:bookmarkEnd w:id="57"/>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8.1</w:t>
      </w:r>
      <w:r>
        <w:rPr>
          <w:rFonts w:hint="eastAsia" w:ascii="方正仿宋_GBK" w:hAnsi="方正仿宋_GBK" w:eastAsia="方正仿宋_GBK" w:cs="方正仿宋_GBK"/>
          <w:sz w:val="32"/>
          <w:szCs w:val="32"/>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32"/>
          <w:szCs w:val="32"/>
          <w:highlight w:val="none"/>
        </w:rPr>
        <w:t xml:space="preserve">简体中文</w:t>
      </w:r>
      <w:r>
        <w:rPr>
          <w:rFonts w:hint="eastAsia" w:ascii="方正仿宋_GBK" w:hAnsi="方正仿宋_GBK" w:eastAsia="方正仿宋_GBK" w:cs="方正仿宋_GBK"/>
          <w:sz w:val="32"/>
          <w:szCs w:val="32"/>
          <w:highlight w:val="none"/>
        </w:rPr>
        <w:t xml:space="preserve">。</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8.2</w:t>
      </w:r>
      <w:r>
        <w:rPr>
          <w:rFonts w:hint="eastAsia" w:ascii="方正仿宋_GBK" w:hAnsi="方正仿宋_GBK" w:eastAsia="方正仿宋_GBK" w:cs="方正仿宋_GBK"/>
          <w:sz w:val="32"/>
          <w:szCs w:val="32"/>
          <w:highlight w:val="none"/>
        </w:rPr>
        <w:t xml:space="preserve"> 除技术性能另有规定外，投标文件所使用的度量衡单位，均须采用国家法定计量单位。</w:t>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bookmarkStart w:id="58" w:name="_Toc20823287"/>
      <w:r/>
      <w:bookmarkStart w:id="59" w:name="_Toc462564074"/>
      <w:r/>
      <w:bookmarkStart w:id="60" w:name="_Toc513029215"/>
      <w:r/>
      <w:bookmarkStart w:id="61" w:name="_Toc16938531"/>
      <w:r>
        <w:rPr>
          <w:rFonts w:hint="eastAsia" w:ascii="方正仿宋_GBK" w:hAnsi="方正仿宋_GBK" w:eastAsia="方正仿宋_GBK" w:cs="方正仿宋_GBK"/>
          <w:b w:val="0"/>
          <w:bCs w:val="0"/>
          <w:sz w:val="32"/>
          <w:szCs w:val="32"/>
          <w:highlight w:val="none"/>
        </w:rPr>
        <w:t xml:space="preserve">9.投标文件构成</w:t>
      </w:r>
      <w:bookmarkEnd w:id="58"/>
      <w:r/>
      <w:bookmarkEnd w:id="59"/>
      <w:r/>
      <w:bookmarkEnd w:id="60"/>
      <w:r/>
      <w:bookmarkEnd w:id="61"/>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9.1</w:t>
      </w:r>
      <w:r>
        <w:rPr>
          <w:rFonts w:hint="eastAsia" w:ascii="方正仿宋_GBK" w:hAnsi="方正仿宋_GBK" w:eastAsia="方正仿宋_GBK" w:cs="方正仿宋_GBK"/>
          <w:sz w:val="32"/>
          <w:szCs w:val="32"/>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9.2 如标书制作工具中格式和内容与“江苏政府采购网”发布的招标文件不一致，请以“江苏政府采购网”发布的招标文件为准。</w:t>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bookmarkStart w:id="62" w:name="_Hlt26954838"/>
      <w:r/>
      <w:bookmarkEnd w:id="62"/>
      <w:r/>
      <w:bookmarkStart w:id="63" w:name="_Hlt26668975"/>
      <w:r/>
      <w:bookmarkEnd w:id="63"/>
      <w:r/>
      <w:bookmarkStart w:id="64" w:name="_Hlt26670360"/>
      <w:r/>
      <w:bookmarkEnd w:id="64"/>
      <w:r/>
      <w:bookmarkStart w:id="65" w:name="_Toc49090509"/>
      <w:r/>
      <w:bookmarkStart w:id="66" w:name="_Toc513029219"/>
      <w:r/>
      <w:bookmarkStart w:id="67" w:name="_Toc14577357"/>
      <w:r/>
      <w:bookmarkStart w:id="68" w:name="_Toc14577354"/>
      <w:r/>
      <w:bookmarkStart w:id="69" w:name="_Toc49090507"/>
      <w:r/>
      <w:bookmarkStart w:id="70" w:name="_Toc513029216"/>
      <w:r>
        <w:rPr>
          <w:rFonts w:hint="eastAsia" w:ascii="方正仿宋_GBK" w:hAnsi="方正仿宋_GBK" w:eastAsia="方正仿宋_GBK" w:cs="方正仿宋_GBK"/>
          <w:b w:val="0"/>
          <w:bCs w:val="0"/>
          <w:sz w:val="32"/>
          <w:szCs w:val="32"/>
          <w:highlight w:val="none"/>
        </w:rPr>
        <w:t xml:space="preserve">10.证明投标人及投标标的符合招标文件规定的文件</w:t>
      </w:r>
      <w:bookmarkEnd w:id="65"/>
      <w:r/>
      <w:bookmarkEnd w:id="66"/>
      <w:r/>
      <w:bookmarkEnd w:id="67"/>
      <w:r/>
      <w:bookmarkEnd w:id="68"/>
      <w:r/>
      <w:bookmarkEnd w:id="69"/>
      <w:r/>
      <w:bookmarkEnd w:id="70"/>
      <w:r/>
      <w:r/>
    </w:p>
    <w:p>
      <w:pPr>
        <w:ind w:firstLine="640"/>
        <w:spacing w:line="570" w:lineRule="exact"/>
        <w:rPr>
          <w:rFonts w:ascii="方正仿宋_GBK" w:hAnsi="方正仿宋_GBK" w:eastAsia="方正仿宋_GBK" w:cs="方正仿宋_GBK"/>
          <w:sz w:val="32"/>
          <w:szCs w:val="32"/>
          <w:highlight w:val="none"/>
        </w:rPr>
      </w:pPr>
      <w:r/>
      <w:bookmarkStart w:id="71" w:name="_Toc14577355"/>
      <w:r/>
      <w:bookmarkStart w:id="72" w:name="_Toc49090508"/>
      <w:r>
        <w:rPr>
          <w:rFonts w:hint="eastAsia" w:ascii="方正仿宋_GBK" w:hAnsi="方正仿宋_GBK" w:eastAsia="方正仿宋_GBK" w:cs="方正仿宋_GBK"/>
          <w:sz w:val="32"/>
          <w:szCs w:val="32"/>
          <w:highlight w:val="none"/>
        </w:rPr>
        <w:t xml:space="preserve">10.1 投标人应按照法律、法规、规章和规范性文件以及招标文件要求提交证明文件，证明其及投标标的符合招标文件规定。</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10.2招标文件对证明文件无明确形式要求的，证明文件可以以文字资料、图纸和数据等形式提交。</w:t>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11.投标分项报价</w:t>
      </w:r>
      <w:bookmarkEnd w:id="71"/>
      <w:r/>
      <w:bookmarkStart w:id="73" w:name="_Hlt26670373"/>
      <w:r/>
      <w:bookmarkEnd w:id="73"/>
      <w:r>
        <w:rPr>
          <w:rFonts w:hint="eastAsia" w:ascii="方正仿宋_GBK" w:hAnsi="方正仿宋_GBK" w:eastAsia="方正仿宋_GBK" w:cs="方正仿宋_GBK"/>
          <w:b w:val="0"/>
          <w:bCs w:val="0"/>
          <w:sz w:val="32"/>
          <w:szCs w:val="32"/>
          <w:highlight w:val="none"/>
        </w:rPr>
        <w:t xml:space="preserve">表</w:t>
      </w:r>
      <w:bookmarkEnd w:id="72"/>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11.1</w:t>
      </w:r>
      <w:r>
        <w:rPr>
          <w:rFonts w:hint="eastAsia" w:ascii="方正仿宋_GBK" w:hAnsi="方正仿宋_GBK" w:eastAsia="方正仿宋_GBK" w:cs="方正仿宋_GBK"/>
          <w:sz w:val="32"/>
          <w:szCs w:val="32"/>
          <w:highlight w:val="none"/>
        </w:rPr>
        <w:t xml:space="preserve"> 投</w:t>
      </w:r>
      <w:bookmarkStart w:id="74" w:name="_Hlt26954840"/>
      <w:r/>
      <w:bookmarkEnd w:id="74"/>
      <w:r>
        <w:rPr>
          <w:rFonts w:hint="eastAsia" w:ascii="方正仿宋_GBK" w:hAnsi="方正仿宋_GBK" w:eastAsia="方正仿宋_GBK" w:cs="方正仿宋_GBK"/>
          <w:sz w:val="32"/>
          <w:szCs w:val="32"/>
          <w:highlight w:val="none"/>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32"/>
          <w:szCs w:val="32"/>
          <w:highlight w:val="none"/>
        </w:rPr>
        <w:t xml:space="preserve">。</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11.2</w:t>
      </w:r>
      <w:r>
        <w:rPr>
          <w:rFonts w:hint="eastAsia" w:ascii="方正仿宋_GBK" w:hAnsi="方正仿宋_GBK" w:eastAsia="方正仿宋_GBK" w:cs="方正仿宋_GBK"/>
          <w:bCs/>
          <w:sz w:val="32"/>
          <w:szCs w:val="32"/>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32"/>
          <w:szCs w:val="32"/>
          <w:highlight w:val="none"/>
        </w:rPr>
        <w:t xml:space="preserve">招标文件中另有规定的按规定执行。</w:t>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bookmarkStart w:id="76" w:name="_Hlt26670486"/>
      <w:r/>
      <w:bookmarkEnd w:id="76"/>
      <w:r/>
      <w:bookmarkStart w:id="77" w:name="_Hlt26670482"/>
      <w:r/>
      <w:bookmarkEnd w:id="77"/>
      <w:r/>
      <w:bookmarkStart w:id="78" w:name="_Hlt26954848"/>
      <w:r/>
      <w:bookmarkEnd w:id="78"/>
      <w:r/>
      <w:bookmarkStart w:id="79" w:name="_Hlt26954846"/>
      <w:r/>
      <w:bookmarkEnd w:id="79"/>
      <w:r/>
      <w:bookmarkStart w:id="80" w:name="_Hlt26954842"/>
      <w:r/>
      <w:bookmarkEnd w:id="80"/>
      <w:r/>
      <w:bookmarkStart w:id="81" w:name="_Hlt26954844"/>
      <w:r/>
      <w:bookmarkEnd w:id="81"/>
      <w:r/>
      <w:bookmarkStart w:id="82" w:name="_Hlt26954731"/>
      <w:r/>
      <w:bookmarkEnd w:id="82"/>
      <w:r/>
      <w:bookmarkStart w:id="83" w:name="_Hlt26668983"/>
      <w:r/>
      <w:bookmarkEnd w:id="83"/>
      <w:r/>
      <w:bookmarkStart w:id="84" w:name="_Hlt26670425"/>
      <w:r/>
      <w:bookmarkEnd w:id="84"/>
      <w:r/>
      <w:bookmarkStart w:id="85" w:name="_Hlt26670403"/>
      <w:r/>
      <w:bookmarkEnd w:id="85"/>
      <w:r>
        <w:rPr>
          <w:rFonts w:hint="eastAsia" w:ascii="方正仿宋_GBK" w:hAnsi="方正仿宋_GBK" w:eastAsia="方正仿宋_GBK" w:cs="方正仿宋_GBK"/>
          <w:b w:val="0"/>
          <w:bCs w:val="0"/>
          <w:sz w:val="32"/>
          <w:szCs w:val="32"/>
          <w:highlight w:val="none"/>
        </w:rPr>
        <w:t xml:space="preserve">12.技术要求响应及偏离表、商务要求响应及偏离表</w:t>
      </w:r>
      <w:r/>
    </w:p>
    <w:p>
      <w:pPr>
        <w:ind w:firstLine="640"/>
        <w:spacing w:line="570" w:lineRule="exact"/>
        <w:rPr>
          <w:rFonts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bCs/>
          <w:sz w:val="32"/>
          <w:szCs w:val="32"/>
          <w:highlight w:val="none"/>
          <w:lang w:val="zh-CN"/>
        </w:rPr>
        <w:t xml:space="preserve">12.1</w:t>
      </w:r>
      <w:r>
        <w:rPr>
          <w:rFonts w:hint="eastAsia" w:ascii="方正仿宋_GBK" w:hAnsi="方正仿宋_GBK" w:eastAsia="方正仿宋_GBK" w:cs="方正仿宋_GBK"/>
          <w:sz w:val="32"/>
          <w:szCs w:val="32"/>
          <w:highlight w:val="none"/>
          <w:lang w:val="zh-CN"/>
        </w:rPr>
        <w:t xml:space="preserve"> 投标人需对招标文件中的技术要求与商务要求逐项作出响应或偏离，并说明原因。</w:t>
      </w:r>
      <w:r/>
    </w:p>
    <w:p>
      <w:pPr>
        <w:ind w:firstLine="640"/>
        <w:spacing w:line="570" w:lineRule="exact"/>
        <w:rPr>
          <w:rFonts w:ascii="方正仿宋_GBK" w:hAnsi="方正仿宋_GBK" w:eastAsia="方正仿宋_GBK" w:cs="方正仿宋_GBK"/>
          <w:sz w:val="32"/>
          <w:szCs w:val="32"/>
          <w:highlight w:val="none"/>
          <w:lang w:val="zh-CN"/>
        </w:rPr>
      </w:pPr>
      <w:r/>
      <w:bookmarkStart w:id="86" w:name="_Toc14577359"/>
      <w:r/>
      <w:bookmarkStart w:id="87" w:name="_Toc49090510"/>
      <w:r>
        <w:rPr>
          <w:rFonts w:hint="eastAsia" w:ascii="方正仿宋_GBK" w:hAnsi="方正仿宋_GBK" w:eastAsia="方正仿宋_GBK" w:cs="方正仿宋_GBK"/>
          <w:sz w:val="32"/>
          <w:szCs w:val="32"/>
          <w:highlight w:val="none"/>
          <w:lang w:val="zh-CN"/>
        </w:rPr>
        <w:t xml:space="preserve">12.2 投标人需按照招标文件要求，在投标文件中提供与技术要求和商务要求相关的证明材料。</w:t>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13.投标函和开标一览表</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13.1</w:t>
      </w:r>
      <w:r>
        <w:rPr>
          <w:rFonts w:hint="eastAsia" w:ascii="方正仿宋_GBK" w:hAnsi="方正仿宋_GBK" w:eastAsia="方正仿宋_GBK" w:cs="方正仿宋_GBK"/>
          <w:sz w:val="32"/>
          <w:szCs w:val="32"/>
          <w:highlight w:val="none"/>
        </w:rPr>
        <w:t xml:space="preserve"> 投标人应按照招标文件中提供的格式完整、正确填写投标函、开标一览表。</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t xml:space="preserve">13.2</w:t>
      </w:r>
      <w:r>
        <w:rPr>
          <w:rFonts w:hint="eastAsia" w:ascii="方正仿宋_GBK" w:hAnsi="方正仿宋_GBK" w:eastAsia="方正仿宋_GBK" w:cs="方正仿宋_GBK"/>
          <w:sz w:val="32"/>
          <w:szCs w:val="32"/>
          <w:highlight w:val="none"/>
        </w:rPr>
        <w:t xml:space="preserve"> 对于采用货币报价的项目，</w:t>
      </w:r>
      <w:r>
        <w:rPr>
          <w:rFonts w:hint="eastAsia" w:ascii="方正仿宋_GBK" w:hAnsi="方正仿宋_GBK" w:eastAsia="方正仿宋_GBK" w:cs="方正仿宋_GBK"/>
          <w:bCs/>
          <w:sz w:val="32"/>
          <w:szCs w:val="32"/>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32"/>
          <w:szCs w:val="32"/>
          <w:highlight w:val="none"/>
        </w:rPr>
        <w:t xml:space="preserve">不作为无效投标处理</w:t>
      </w:r>
      <w:r>
        <w:rPr>
          <w:rFonts w:hint="eastAsia" w:ascii="方正仿宋_GBK" w:hAnsi="方正仿宋_GBK" w:eastAsia="方正仿宋_GBK" w:cs="方正仿宋_GBK"/>
          <w:bCs/>
          <w:sz w:val="32"/>
          <w:szCs w:val="32"/>
          <w:highlight w:val="none"/>
        </w:rPr>
        <w:t xml:space="preserve">，但评标时按开标一览表中价格为准</w:t>
      </w:r>
      <w:r>
        <w:rPr>
          <w:rFonts w:hint="eastAsia" w:ascii="方正仿宋_GBK" w:hAnsi="方正仿宋_GBK" w:eastAsia="方正仿宋_GBK" w:cs="方正仿宋_GBK"/>
          <w:b/>
          <w:bCs/>
          <w:sz w:val="32"/>
          <w:szCs w:val="32"/>
          <w:highlight w:val="none"/>
        </w:rPr>
        <w:t xml:space="preserve">。</w:t>
      </w:r>
      <w:bookmarkEnd w:id="86"/>
      <w:r/>
      <w:bookmarkEnd w:id="87"/>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sz w:val="32"/>
          <w:szCs w:val="32"/>
          <w:highlight w:val="none"/>
        </w:rPr>
        <w:t xml:space="preserve">14.投标有效期</w:t>
      </w:r>
      <w:bookmarkEnd w:id="91"/>
      <w:r/>
      <w:bookmarkEnd w:id="92"/>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14.1</w:t>
      </w:r>
      <w:r>
        <w:rPr>
          <w:rFonts w:hint="eastAsia" w:ascii="方正仿宋_GBK" w:hAnsi="方正仿宋_GBK" w:eastAsia="方正仿宋_GBK" w:cs="方正仿宋_GBK"/>
          <w:bCs/>
          <w:sz w:val="32"/>
          <w:szCs w:val="32"/>
          <w:highlight w:val="none"/>
        </w:rPr>
        <w:t xml:space="preserve"> 投标有效期为采购中心规定的开标之日后</w:t>
      </w:r>
      <w:r>
        <w:rPr>
          <w:rFonts w:hint="eastAsia" w:ascii="方正仿宋_GBK" w:hAnsi="方正仿宋_GBK" w:eastAsia="方正仿宋_GBK" w:cs="方正仿宋_GBK"/>
          <w:b/>
          <w:sz w:val="32"/>
          <w:szCs w:val="32"/>
          <w:highlight w:val="none"/>
          <w:u w:val="single"/>
        </w:rPr>
        <w:t xml:space="preserve">六十（60）天</w:t>
      </w:r>
      <w:r>
        <w:rPr>
          <w:rFonts w:hint="eastAsia" w:ascii="方正仿宋_GBK" w:hAnsi="方正仿宋_GBK" w:eastAsia="方正仿宋_GBK" w:cs="方正仿宋_GBK"/>
          <w:bCs/>
          <w:sz w:val="32"/>
          <w:szCs w:val="32"/>
          <w:highlight w:val="none"/>
        </w:rPr>
        <w:t xml:space="preserve">。投标有效期比规定短的将被视为未实质性响应招标文件而予以拒绝。</w:t>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highlight w:val="none"/>
        </w:rPr>
        <w:t xml:space="preserve">15.投标有效期的延长</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15.1</w:t>
      </w:r>
      <w:r>
        <w:rPr>
          <w:rFonts w:hint="eastAsia" w:ascii="方正仿宋_GBK" w:hAnsi="方正仿宋_GBK" w:eastAsia="方正仿宋_GBK" w:cs="方正仿宋_GBK"/>
          <w:bCs/>
          <w:sz w:val="32"/>
          <w:szCs w:val="32"/>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bCs/>
          <w:sz w:val="32"/>
          <w:szCs w:val="32"/>
          <w:highlight w:val="none"/>
        </w:rPr>
        <w:t xml:space="preserve">同意延长投标有效期的投标人既不能要求也不允许修改其投标文件</w:t>
      </w:r>
      <w:r>
        <w:rPr>
          <w:rFonts w:hint="eastAsia" w:ascii="方正仿宋_GBK" w:hAnsi="方正仿宋_GBK" w:eastAsia="方正仿宋_GBK" w:cs="方正仿宋_GBK"/>
          <w:sz w:val="32"/>
          <w:szCs w:val="32"/>
          <w:highlight w:val="none"/>
        </w:rPr>
        <w:t xml:space="preserve">，同时受投标有效期约束的所有权利与义务均延长至新的有效期</w:t>
      </w:r>
      <w:r>
        <w:rPr>
          <w:rFonts w:hint="eastAsia" w:ascii="方正仿宋_GBK" w:hAnsi="方正仿宋_GBK" w:eastAsia="方正仿宋_GBK" w:cs="方正仿宋_GBK"/>
          <w:bCs/>
          <w:sz w:val="32"/>
          <w:szCs w:val="32"/>
          <w:highlight w:val="none"/>
        </w:rPr>
        <w:t xml:space="preserve">。</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93" w:name="_Hlt26954852"/>
      <w:r/>
      <w:bookmarkEnd w:id="93"/>
      <w:r/>
      <w:bookmarkStart w:id="94" w:name="_Hlt26954739"/>
      <w:r/>
      <w:bookmarkEnd w:id="94"/>
      <w:r/>
      <w:bookmarkStart w:id="95" w:name="_Toc120614217"/>
      <w:r/>
      <w:bookmarkStart w:id="96" w:name="_Toc513029224"/>
      <w:r/>
      <w:bookmarkStart w:id="97" w:name="_Toc16938540"/>
      <w:r/>
      <w:bookmarkStart w:id="98" w:name="_Toc20823296"/>
      <w:r>
        <w:rPr>
          <w:rFonts w:hint="eastAsia" w:ascii="方正黑体_GBK" w:hAnsi="方正黑体_GBK" w:eastAsia="方正黑体_GBK" w:cs="方正黑体_GBK"/>
          <w:color w:val="000000"/>
          <w:sz w:val="32"/>
          <w:szCs w:val="32"/>
          <w:highlight w:val="none"/>
        </w:rPr>
        <w:t xml:space="preserve">四、投标文件的递交</w:t>
      </w:r>
      <w:bookmarkEnd w:id="95"/>
      <w:r/>
      <w:bookmarkEnd w:id="96"/>
      <w:r/>
      <w:bookmarkEnd w:id="97"/>
      <w:r/>
      <w:bookmarkEnd w:id="98"/>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bookmarkStart w:id="99" w:name="_Toc513029225"/>
      <w:r/>
      <w:bookmarkStart w:id="100" w:name="_Toc16938541"/>
      <w:r/>
      <w:bookmarkStart w:id="101" w:name="_Toc462564084"/>
      <w:r/>
      <w:bookmarkStart w:id="102" w:name="_Toc20823297"/>
      <w:r>
        <w:rPr>
          <w:rFonts w:hint="eastAsia" w:ascii="方正仿宋_GBK" w:hAnsi="方正仿宋_GBK" w:eastAsia="方正仿宋_GBK" w:cs="方正仿宋_GBK"/>
          <w:b w:val="0"/>
          <w:bCs w:val="0"/>
          <w:sz w:val="32"/>
          <w:szCs w:val="32"/>
          <w:highlight w:val="none"/>
        </w:rPr>
        <w:t xml:space="preserve">16.投标文件</w:t>
      </w:r>
      <w:bookmarkEnd w:id="99"/>
      <w:r/>
      <w:bookmarkEnd w:id="100"/>
      <w:r/>
      <w:bookmarkEnd w:id="101"/>
      <w:r/>
      <w:bookmarkEnd w:id="102"/>
      <w:r>
        <w:rPr>
          <w:rFonts w:hint="eastAsia" w:ascii="方正仿宋_GBK" w:hAnsi="方正仿宋_GBK" w:eastAsia="方正仿宋_GBK" w:cs="方正仿宋_GBK"/>
          <w:b w:val="0"/>
          <w:bCs w:val="0"/>
          <w:sz w:val="32"/>
          <w:szCs w:val="32"/>
          <w:highlight w:val="none"/>
        </w:rPr>
        <w:t xml:space="preserve">的递交</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16.1</w:t>
      </w:r>
      <w:r>
        <w:rPr>
          <w:rFonts w:hint="eastAsia" w:ascii="方正仿宋_GBK" w:hAnsi="方正仿宋_GBK" w:eastAsia="方正仿宋_GBK" w:cs="方正仿宋_GBK"/>
          <w:bCs/>
          <w:sz w:val="32"/>
          <w:szCs w:val="32"/>
          <w:highlight w:val="none"/>
        </w:rPr>
        <w:t xml:space="preserve"> 电子投标文件的递交</w:t>
      </w:r>
      <w:r/>
    </w:p>
    <w:p>
      <w:pPr>
        <w:pStyle w:val="947"/>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投标人应当按照《操作手册》规定，在投标截止时间前制作并上传电子投标文件。</w:t>
      </w:r>
      <w:bookmarkStart w:id="103" w:name="_Toc16938542"/>
      <w:r/>
      <w:bookmarkStart w:id="104" w:name="_Toc513029226"/>
      <w:r/>
      <w:bookmarkStart w:id="105" w:name="_Toc20823298"/>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17.投标截止</w:t>
      </w:r>
      <w:bookmarkEnd w:id="103"/>
      <w:r/>
      <w:bookmarkEnd w:id="104"/>
      <w:r/>
      <w:bookmarkEnd w:id="105"/>
      <w:r>
        <w:rPr>
          <w:rFonts w:hint="eastAsia" w:ascii="方正仿宋_GBK" w:hAnsi="方正仿宋_GBK" w:eastAsia="方正仿宋_GBK" w:cs="方正仿宋_GBK"/>
          <w:bCs/>
          <w:sz w:val="32"/>
          <w:szCs w:val="32"/>
          <w:highlight w:val="none"/>
        </w:rPr>
        <w:t xml:space="preserve">时间</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17.1</w:t>
      </w:r>
      <w:r>
        <w:rPr>
          <w:rFonts w:hint="eastAsia" w:ascii="方正仿宋_GBK" w:hAnsi="方正仿宋_GBK" w:eastAsia="方正仿宋_GBK" w:cs="方正仿宋_GBK"/>
          <w:bCs/>
          <w:sz w:val="32"/>
          <w:szCs w:val="32"/>
          <w:highlight w:val="none"/>
        </w:rPr>
        <w:t xml:space="preserve"> 投标人上传电子投标文件的时间不得迟于招标公告中规定的投标截止时间。</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17.2</w:t>
      </w:r>
      <w:r>
        <w:rPr>
          <w:rFonts w:hint="eastAsia" w:ascii="方正仿宋_GBK" w:hAnsi="方正仿宋_GBK" w:eastAsia="方正仿宋_GBK" w:cs="方正仿宋_GBK"/>
          <w:bCs/>
          <w:sz w:val="32"/>
          <w:szCs w:val="32"/>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bookmarkStart w:id="106" w:name="_Toc20823299"/>
      <w:r/>
      <w:bookmarkStart w:id="107" w:name="_Toc16938543"/>
      <w:r/>
      <w:bookmarkStart w:id="108" w:name="_Toc513029227"/>
      <w:r>
        <w:rPr>
          <w:rFonts w:hint="eastAsia" w:ascii="方正仿宋_GBK" w:hAnsi="方正仿宋_GBK" w:eastAsia="方正仿宋_GBK" w:cs="方正仿宋_GBK"/>
          <w:b w:val="0"/>
          <w:bCs w:val="0"/>
          <w:sz w:val="32"/>
          <w:szCs w:val="32"/>
          <w:highlight w:val="none"/>
        </w:rPr>
        <w:t xml:space="preserve">18.投标文件</w:t>
      </w:r>
      <w:bookmarkEnd w:id="106"/>
      <w:r/>
      <w:bookmarkEnd w:id="107"/>
      <w:r/>
      <w:bookmarkEnd w:id="108"/>
      <w:r>
        <w:rPr>
          <w:rFonts w:hint="eastAsia" w:ascii="方正仿宋_GBK" w:hAnsi="方正仿宋_GBK" w:eastAsia="方正仿宋_GBK" w:cs="方正仿宋_GBK"/>
          <w:b w:val="0"/>
          <w:bCs w:val="0"/>
          <w:sz w:val="32"/>
          <w:szCs w:val="32"/>
          <w:highlight w:val="none"/>
        </w:rPr>
        <w:t xml:space="preserve">的拒收</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18.1</w:t>
      </w:r>
      <w:r>
        <w:rPr>
          <w:rFonts w:hint="eastAsia" w:ascii="方正仿宋_GBK" w:hAnsi="方正仿宋_GBK" w:eastAsia="方正仿宋_GBK" w:cs="方正仿宋_GBK"/>
          <w:bCs/>
          <w:sz w:val="32"/>
          <w:szCs w:val="32"/>
          <w:highlight w:val="none"/>
        </w:rPr>
        <w:t xml:space="preserve">采购中心拒绝接收在其规定的投标截止时间后上传的任何投标文件。</w:t>
      </w:r>
      <w:r/>
    </w:p>
    <w:p>
      <w:pPr>
        <w:pStyle w:val="826"/>
        <w:ind w:firstLine="640"/>
        <w:spacing w:before="0" w:after="0" w:line="570" w:lineRule="exact"/>
        <w:rPr>
          <w:rFonts w:ascii="方正仿宋_GBK" w:hAnsi="方正仿宋_GBK" w:eastAsia="方正仿宋_GBK" w:cs="方正仿宋_GBK"/>
          <w:b w:val="0"/>
          <w:bCs w:val="0"/>
          <w:sz w:val="32"/>
          <w:szCs w:val="32"/>
          <w:highlight w:val="none"/>
        </w:rPr>
      </w:pPr>
      <w:r/>
      <w:bookmarkStart w:id="109" w:name="_Toc20823300"/>
      <w:r/>
      <w:bookmarkStart w:id="110" w:name="_Toc16938544"/>
      <w:r/>
      <w:bookmarkStart w:id="111" w:name="_Toc513029228"/>
      <w:r>
        <w:rPr>
          <w:rFonts w:hint="eastAsia" w:ascii="方正仿宋_GBK" w:hAnsi="方正仿宋_GBK" w:eastAsia="方正仿宋_GBK" w:cs="方正仿宋_GBK"/>
          <w:b w:val="0"/>
          <w:bCs w:val="0"/>
          <w:sz w:val="32"/>
          <w:szCs w:val="32"/>
          <w:highlight w:val="none"/>
        </w:rPr>
        <w:t xml:space="preserve">19.投标文件的撤回和修改</w:t>
      </w:r>
      <w:bookmarkEnd w:id="109"/>
      <w:r/>
      <w:bookmarkEnd w:id="110"/>
      <w:r/>
      <w:bookmarkEnd w:id="111"/>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 投标文件的撤回</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19.1.1 电子投标文件的撤回</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投标人可在投标截止时间前，撤回其电子投标文件，具体操作方法见《操作手册》。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19.1.2 投标人撤回电子投标文件，则认为其不再参与本项目投标活动。</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19.2 投标文件的修改</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19.2.1投标人可在投标截止时间前，对其电子投标文件进行修改，具体操作方法见《操作手册》。</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19.2.2</w:t>
      </w:r>
      <w:r>
        <w:rPr>
          <w:rFonts w:hint="eastAsia" w:ascii="方正仿宋_GBK" w:hAnsi="方正仿宋_GBK" w:eastAsia="方正仿宋_GBK" w:cs="方正仿宋_GBK"/>
          <w:bCs/>
          <w:sz w:val="32"/>
          <w:szCs w:val="32"/>
          <w:highlight w:val="none"/>
        </w:rPr>
        <w:t xml:space="preserve"> 在投标截止时间之后，投标人不得对其电子投标文件作任何修改。</w:t>
      </w:r>
      <w:r/>
    </w:p>
    <w:p>
      <w:pPr>
        <w:ind w:firstLine="640"/>
        <w:spacing w:line="57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19.3</w:t>
      </w:r>
      <w:r>
        <w:rPr>
          <w:rFonts w:hint="eastAsia" w:ascii="方正仿宋_GBK" w:hAnsi="方正仿宋_GBK" w:eastAsia="方正仿宋_GBK" w:cs="方正仿宋_GBK"/>
          <w:bCs/>
          <w:sz w:val="32"/>
          <w:szCs w:val="32"/>
          <w:highlight w:val="none"/>
        </w:rPr>
        <w:t xml:space="preserve"> 在投标截止时间至招标文件中规定的投标有效期满之间的这段时间内，投标人不得撤回其投标。</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112" w:name="_Toc120614218"/>
      <w:r/>
      <w:bookmarkStart w:id="113" w:name="_Toc20823301"/>
      <w:r/>
      <w:bookmarkStart w:id="114" w:name="_Toc513029229"/>
      <w:r/>
      <w:bookmarkStart w:id="115" w:name="_Toc16938545"/>
      <w:r>
        <w:rPr>
          <w:rFonts w:hint="eastAsia" w:ascii="方正黑体_GBK" w:hAnsi="方正黑体_GBK" w:eastAsia="方正黑体_GBK" w:cs="方正黑体_GBK"/>
          <w:color w:val="000000"/>
          <w:sz w:val="32"/>
          <w:szCs w:val="32"/>
          <w:highlight w:val="none"/>
        </w:rPr>
        <w:t xml:space="preserve">五、开标与评标</w:t>
      </w:r>
      <w:bookmarkEnd w:id="112"/>
      <w:r/>
      <w:bookmarkEnd w:id="113"/>
      <w:r/>
      <w:bookmarkEnd w:id="114"/>
      <w:r/>
      <w:bookmarkEnd w:id="115"/>
      <w:r/>
      <w:r/>
    </w:p>
    <w:p>
      <w:pPr>
        <w:ind w:firstLine="640"/>
        <w:spacing w:line="570" w:lineRule="exact"/>
        <w:rPr>
          <w:rFonts w:ascii="方正仿宋_GBK" w:hAnsi="方正仿宋_GBK" w:eastAsia="方正仿宋_GBK" w:cs="方正仿宋_GBK"/>
          <w:sz w:val="32"/>
          <w:szCs w:val="32"/>
          <w:highlight w:val="none"/>
        </w:rPr>
      </w:pPr>
      <w:r/>
      <w:bookmarkStart w:id="116" w:name="_Toc16938546"/>
      <w:r/>
      <w:bookmarkStart w:id="117" w:name="_Toc513029230"/>
      <w:r/>
      <w:bookmarkStart w:id="118" w:name="_Toc20823302"/>
      <w:r>
        <w:rPr>
          <w:rFonts w:hint="eastAsia" w:ascii="方正仿宋_GBK" w:hAnsi="方正仿宋_GBK" w:eastAsia="方正仿宋_GBK" w:cs="方正仿宋_GBK"/>
          <w:sz w:val="32"/>
          <w:szCs w:val="32"/>
          <w:highlight w:val="none"/>
        </w:rPr>
        <w:t xml:space="preserve">20.开标</w:t>
      </w:r>
      <w:bookmarkEnd w:id="116"/>
      <w:r/>
      <w:bookmarkEnd w:id="117"/>
      <w:r/>
      <w:bookmarkEnd w:id="118"/>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20.1 采购中心将在招标公告中规定的时间和地点组织公开开标。投标人应当按照《操作手册》规定，参加开标活动和在苏采云系统规定的时间内对投标文件进行解密。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20.2开标仪式由采购中心组织。苏采云系统将自动对项目进行开标，并宣布各投标人名称和投标价格。</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20.3投标人在开标过程中涉及到的投标文件解密、开标结果确认等工作，应按照《操作手册》规定执行。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20.4投标人如果对开标过程和开标记录有疑义，应当根据《操作手册》规定提出，如苏采云系统中《开标记录表》宣布后5分钟内未提出的，视同认可开标结果。</w:t>
      </w:r>
      <w:r/>
    </w:p>
    <w:p>
      <w:pPr>
        <w:ind w:firstLine="640"/>
        <w:spacing w:line="570" w:lineRule="exact"/>
        <w:rPr>
          <w:rFonts w:ascii="方正仿宋_GBK" w:hAnsi="方正仿宋_GBK" w:eastAsia="方正仿宋_GBK" w:cs="方正仿宋_GBK"/>
          <w:sz w:val="32"/>
          <w:szCs w:val="32"/>
          <w:highlight w:val="none"/>
        </w:rPr>
      </w:pPr>
      <w:r/>
      <w:bookmarkStart w:id="119" w:name="_Toc20823303"/>
      <w:r/>
      <w:bookmarkStart w:id="120" w:name="_Toc513029231"/>
      <w:r/>
      <w:bookmarkStart w:id="121" w:name="_Toc16938547"/>
      <w:r>
        <w:rPr>
          <w:rFonts w:hint="eastAsia" w:ascii="方正仿宋_GBK" w:hAnsi="方正仿宋_GBK" w:eastAsia="方正仿宋_GBK" w:cs="方正仿宋_GBK"/>
          <w:sz w:val="32"/>
          <w:szCs w:val="32"/>
          <w:highlight w:val="none"/>
        </w:rPr>
        <w:t xml:space="preserve">21.评标委员会</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21.1 开标后，采购中心将立即组织评标委员会进行评标。</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21.2 评标委员会由采购人代表和有关技术、经济等方面的专家组成，且人员构成符合政府采购有关规定。</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21.3评标委员会独立工作，负责评审所有投标文件并确定中标候选人。</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22.评标过程的保密与公正</w:t>
      </w:r>
      <w:bookmarkEnd w:id="119"/>
      <w:r/>
      <w:bookmarkEnd w:id="120"/>
      <w:r/>
      <w:bookmarkEnd w:id="121"/>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22.1凡是与审查、澄清、评价和比较投标的有关资料以及授标建议等，采购人、评委、采购中心均不得向投标人或与评标无关的其他人员透露。</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22.2在评标过程中，投标人不得以任何行为影响评标过程，否则其投标文件将被作为无效投标文件。</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22.3 采购中心和评标委员会不向未中标的投标人解释未中标原因，也不公布评标过程中的相关细节。</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22.4 采用综合评分法的项目，未中标的投标人可于中标结果公告期限届满之日起通过苏采云系统查看自己的评审得分及排序情况。</w:t>
      </w:r>
      <w:r/>
    </w:p>
    <w:p>
      <w:pPr>
        <w:ind w:firstLine="640"/>
        <w:spacing w:line="570" w:lineRule="exact"/>
        <w:rPr>
          <w:rFonts w:ascii="方正仿宋_GBK" w:hAnsi="方正仿宋_GBK" w:eastAsia="方正仿宋_GBK" w:cs="方正仿宋_GBK"/>
          <w:sz w:val="32"/>
          <w:szCs w:val="32"/>
          <w:highlight w:val="none"/>
        </w:rPr>
      </w:pPr>
      <w:r/>
      <w:bookmarkStart w:id="122" w:name="_Toc16938548"/>
      <w:r/>
      <w:bookmarkStart w:id="123" w:name="_Toc20823304"/>
      <w:r/>
      <w:bookmarkStart w:id="124" w:name="_Toc513029232"/>
      <w:r>
        <w:rPr>
          <w:rFonts w:hint="eastAsia" w:ascii="方正仿宋_GBK" w:hAnsi="方正仿宋_GBK" w:eastAsia="方正仿宋_GBK" w:cs="方正仿宋_GBK"/>
          <w:sz w:val="32"/>
          <w:szCs w:val="32"/>
          <w:highlight w:val="none"/>
        </w:rPr>
        <w:t xml:space="preserve">23.投标文件的澄清</w:t>
      </w:r>
      <w:bookmarkEnd w:id="122"/>
      <w:r/>
      <w:bookmarkEnd w:id="123"/>
      <w:r/>
      <w:bookmarkEnd w:id="124"/>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23.1评标期间，评标委员会对投标文件中含义不明确、同类问题表述不一致或者有明显文字和计算错误的内容 ，有权要求投标人作出必要的澄清、说明或者补正。</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投标人的澄清、说明或者补正不得超出投标文件的范围或者改变投标文件的实质性内容。</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评标委员会并非对每个投标人都做澄清要求。</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23.3 接到评标委员会澄清、说明和补正要求的投标人如未按规定做出澄清、说明和补正，其风险由投标人自行承担。</w:t>
      </w:r>
      <w:r/>
    </w:p>
    <w:p>
      <w:pPr>
        <w:ind w:firstLine="640"/>
        <w:spacing w:line="570" w:lineRule="exact"/>
        <w:rPr>
          <w:rFonts w:ascii="方正仿宋_GBK" w:hAnsi="方正仿宋_GBK" w:eastAsia="方正仿宋_GBK" w:cs="方正仿宋_GBK"/>
          <w:sz w:val="32"/>
          <w:szCs w:val="32"/>
          <w:highlight w:val="none"/>
        </w:rPr>
      </w:pPr>
      <w:r/>
      <w:bookmarkStart w:id="125" w:name="_Toc513029233"/>
      <w:r/>
      <w:bookmarkStart w:id="126" w:name="_Toc16938549"/>
      <w:r/>
      <w:bookmarkStart w:id="127" w:name="_Toc20823305"/>
      <w:r>
        <w:rPr>
          <w:rFonts w:hint="eastAsia" w:ascii="方正仿宋_GBK" w:hAnsi="方正仿宋_GBK" w:eastAsia="方正仿宋_GBK" w:cs="方正仿宋_GBK"/>
          <w:sz w:val="32"/>
          <w:szCs w:val="32"/>
          <w:highlight w:val="none"/>
        </w:rPr>
        <w:t xml:space="preserve">24.对投标文件的初审</w:t>
      </w:r>
      <w:bookmarkEnd w:id="125"/>
      <w:r/>
      <w:bookmarkEnd w:id="126"/>
      <w:r/>
      <w:bookmarkEnd w:id="127"/>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24.1投标文件初审分为资格审查和符合性审查。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24.1.1 资格审查：依据法律法规和招标文件的规定，由采购人对投标文件中的资格证明文件进行审查。资格审查的结论，采购人以书面形式向评标委员会进行反馈。</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采购人在进行资格性审查的同时，将在“信用中国”网站（</w:t>
      </w:r>
      <w:r>
        <w:rPr>
          <w:rFonts w:hint="eastAsia" w:eastAsia="方正仿宋_GBK"/>
          <w:color w:val="000000"/>
          <w:sz w:val="32"/>
          <w:szCs w:val="32"/>
          <w:highlight w:val="none"/>
        </w:rPr>
        <w:t xml:space="preserve">www.creditchina.gov.cn</w:t>
      </w:r>
      <w:r>
        <w:rPr>
          <w:rFonts w:hint="eastAsia" w:ascii="方正仿宋_GBK" w:hAnsi="方正仿宋_GBK" w:eastAsia="方正仿宋_GBK" w:cs="方正仿宋_GBK"/>
          <w:sz w:val="32"/>
          <w:szCs w:val="32"/>
          <w:highlight w:val="none"/>
        </w:rPr>
        <w:t xml:space="preserve">）查询投标人的信用记录，以确定投标人是否具备投标资格，查询结果留存并归档。</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24.1.2 符合性审查：依据招标文件的规定，由评标委员会从投标文件的有效性、完整性和对招标文件的响应程度进行审查，以确定是否对招标文件的实质性要求作出响应。</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24.3如果投标文件实质上没有响应招标文件的要求，评标委员会将予以拒绝，投标人不得通过修改或撤销不符合要求的偏离或保留而使其投标成为实质性响应的投标。</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24.4评标委员会将对确定为实质性响应的投标进行进一步审核，确定其是否有计算上或累加上的算术错误，修正错误的原则如下：</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（1）投标文件中开标一览表内容与投标文件中相应内容不一致的，以开标一览表为准。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（2）大写金额和小写金额不一致的，以大写金额为准。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（3）单价金额小数点或者百分比有明显错位的，以开标一览表的总价为准，并修改单价。</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（4）总价金额与按单价汇总金额不一致的，以单价金额计算结果为准。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同时出现两种以上错误的，按照前款规定的顺序修正。</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640"/>
        <w:spacing w:line="570" w:lineRule="exact"/>
        <w:rPr>
          <w:rFonts w:ascii="方正仿宋_GBK" w:hAnsi="方正仿宋_GBK" w:eastAsia="方正仿宋_GBK" w:cs="方正仿宋_GBK"/>
          <w:sz w:val="32"/>
          <w:szCs w:val="32"/>
          <w:highlight w:val="none"/>
        </w:rPr>
      </w:pPr>
      <w:r/>
      <w:bookmarkStart w:id="128" w:name="_Toc16938550"/>
      <w:r/>
      <w:bookmarkStart w:id="129" w:name="_Toc513029234"/>
      <w:r/>
      <w:bookmarkStart w:id="130" w:name="_Toc20823306"/>
      <w:r>
        <w:rPr>
          <w:rFonts w:hint="eastAsia" w:ascii="方正仿宋_GBK" w:hAnsi="方正仿宋_GBK" w:eastAsia="方正仿宋_GBK" w:cs="方正仿宋_GBK"/>
          <w:sz w:val="32"/>
          <w:szCs w:val="32"/>
          <w:highlight w:val="none"/>
        </w:rPr>
        <w:t xml:space="preserve">24.6投标人在开、评标全过程中应保持通讯畅通，及时登录苏采云系统查阅、答复相关信息，并安排专人与采购中心及评标委员会联系。</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24.7 异常低价投标审查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24.7.1 评标过程中出现下列情形之一的，评标委员会应当启动异常低价投标审查程序：</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（1）投标报价低于全部通过符合性审查供应商投标报价平均值50%的，即投标报价&lt;全部通过符合性审查供应商投标报价平均值×50%；</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（2）投标报价低于通过符合性审查的次低报价供应商投标报价50%的，即投标报价&lt;通过符合性审查的次低报价供应商投标报价×50%；</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（3）投标报价低于采购项目最高限价45%的，即投标报价&lt;采购项目最高限价×45%；</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（4）评标委员会基于专业判断，认为供应商报价过低，有可能影响产品质量或者不能诚信履约的其他情形。</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w:t>
      </w:r>
      <w:bookmarkEnd w:id="128"/>
      <w:r/>
      <w:bookmarkEnd w:id="129"/>
      <w:r/>
      <w:bookmarkEnd w:id="130"/>
      <w:r>
        <w:rPr>
          <w:rFonts w:hint="eastAsia" w:ascii="方正仿宋_GBK" w:hAnsi="方正仿宋_GBK" w:eastAsia="方正仿宋_GBK" w:cs="方正仿宋_GBK"/>
          <w:sz w:val="32"/>
          <w:szCs w:val="32"/>
          <w:highlight w:val="none"/>
        </w:rPr>
        <w:t xml:space="preserve">.无效投标条款和废标条款</w:t>
      </w:r>
      <w:r/>
    </w:p>
    <w:p>
      <w:pPr>
        <w:ind w:firstLine="640"/>
        <w:spacing w:line="570" w:lineRule="exact"/>
        <w:rPr>
          <w:rFonts w:ascii="方正仿宋_GBK" w:hAnsi="方正仿宋_GBK" w:eastAsia="方正仿宋_GBK" w:cs="方正仿宋_GBK"/>
          <w:sz w:val="32"/>
          <w:szCs w:val="32"/>
          <w:highlight w:val="none"/>
        </w:rPr>
      </w:pPr>
      <w:r/>
      <w:bookmarkStart w:id="131" w:name="_Toc20823307"/>
      <w:r/>
      <w:bookmarkStart w:id="132" w:name="_Toc16938551"/>
      <w:r/>
      <w:bookmarkStart w:id="133" w:name="_Toc513029235"/>
      <w:r>
        <w:rPr>
          <w:rFonts w:hint="eastAsia" w:ascii="方正仿宋_GBK" w:hAnsi="方正仿宋_GBK" w:eastAsia="方正仿宋_GBK" w:cs="方正仿宋_GBK"/>
          <w:sz w:val="32"/>
          <w:szCs w:val="32"/>
          <w:highlight w:val="none"/>
        </w:rPr>
        <w:t xml:space="preserve">25.1无效投标条款</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 投标人在苏采云系统规定的时间内未成功解密电子投标文件的。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25.1.2 投标人未按照招标文件要求上传电子投标文件的。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25.1.3 投标人同一采购包提交两个（含两个）以上不同的投标报价的。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25.1.4投标人不具备招标文件中规定资格要求的。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25.1.5投标人的报价超过了采购预算或最高限价的。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25.1.6未通过符合性审查的。</w:t>
      </w:r>
      <w:r/>
    </w:p>
    <w:p>
      <w:pPr>
        <w:ind w:firstLine="640"/>
        <w:spacing w:line="570" w:lineRule="exact"/>
        <w:rPr>
          <w:rFonts w:ascii="方正仿宋_GBK" w:hAnsi="方正仿宋_GBK" w:eastAsia="方正仿宋_GBK" w:cs="方正仿宋_GBK"/>
          <w:bCs/>
          <w:i/>
          <w:sz w:val="32"/>
          <w:szCs w:val="32"/>
          <w:highlight w:val="none"/>
          <w:u w:val="single"/>
        </w:rPr>
      </w:pPr>
      <w:r>
        <w:rPr>
          <w:rFonts w:hint="eastAsia" w:ascii="方正仿宋_GBK" w:hAnsi="方正仿宋_GBK" w:eastAsia="方正仿宋_GBK" w:cs="方正仿宋_GBK"/>
          <w:bCs/>
          <w:sz w:val="32"/>
          <w:szCs w:val="32"/>
          <w:highlight w:val="none"/>
        </w:rPr>
        <w:t xml:space="preserve">25.1.7不符合招标文件中规定的实质性要求的</w:t>
      </w:r>
      <w:r>
        <w:rPr>
          <w:rFonts w:hint="eastAsia" w:ascii="方正仿宋_GBK" w:hAnsi="方正仿宋_GBK" w:eastAsia="方正仿宋_GBK" w:cs="方正仿宋_GBK"/>
          <w:b/>
          <w:bCs/>
          <w:sz w:val="32"/>
          <w:szCs w:val="32"/>
          <w:highlight w:val="none"/>
        </w:rPr>
        <w:t xml:space="preserve">（本招标文件中</w:t>
      </w:r>
      <w:r>
        <w:rPr>
          <w:rFonts w:hint="eastAsia" w:ascii="方正仿宋_GBK" w:hAnsi="方正仿宋_GBK" w:eastAsia="方正仿宋_GBK" w:cs="方正仿宋_GBK"/>
          <w:b/>
          <w:bCs/>
          <w:i/>
          <w:sz w:val="32"/>
          <w:szCs w:val="32"/>
          <w:highlight w:val="none"/>
          <w:u w:val="single"/>
        </w:rPr>
        <w:t xml:space="preserve">斜体且有下划线部分</w:t>
      </w:r>
      <w:r>
        <w:rPr>
          <w:rFonts w:hint="eastAsia" w:ascii="方正仿宋_GBK" w:hAnsi="方正仿宋_GBK" w:eastAsia="方正仿宋_GBK" w:cs="方正仿宋_GBK"/>
          <w:b/>
          <w:bCs/>
          <w:sz w:val="32"/>
          <w:szCs w:val="32"/>
          <w:highlight w:val="none"/>
        </w:rPr>
        <w:t xml:space="preserve">或加*号条款为实质性要求）</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25.1.8 投标人被 “信用中国”网站（</w:t>
      </w:r>
      <w:r>
        <w:rPr>
          <w:rFonts w:hint="eastAsia" w:eastAsia="方正仿宋_GBK"/>
          <w:color w:val="000000"/>
          <w:sz w:val="32"/>
          <w:szCs w:val="32"/>
          <w:highlight w:val="none"/>
        </w:rPr>
        <w:t xml:space="preserve">www.creditchina.gov.cn</w:t>
      </w:r>
      <w:r>
        <w:rPr>
          <w:rFonts w:hint="eastAsia" w:ascii="方正仿宋_GBK" w:hAnsi="方正仿宋_GBK" w:eastAsia="方正仿宋_GBK" w:cs="方正仿宋_GBK"/>
          <w:sz w:val="32"/>
          <w:szCs w:val="32"/>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25.1.9 投标文件含有采购人不能接受的附加条件的。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25.1.10评标委员会按照本招标文件规定对投标人进行异常低价投标审查后，认为投标人不能证明其报价合理性的。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25.1.11 投标文件未按照招标文件要求加盖CA电子公章的。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25.1.12 投标人所提供的服务不符合招标文件中所列国家强制性标准的。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25.1.13其他法律、法规及本招标文件规定的属无效投标的情形。</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25.2废标条款</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25.2.1符合专业条件的供应商或者对招标文件作实质响应的供应商不足三家的。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25.2.2出现影响采购公正的违法、违规行为的。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25.2.3因重大变故，采购任务取消的。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25.2.4评标委员会认定招标文件存在歧义、重大缺陷导致评审工作无法进行。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25.2.5 因苏采云系统故障原因造成开标不成功的。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25.3 投标截止时间结束后参加投标的供应商不足三家的处理：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25.3.1如出现投标截止时间结束后参加投标的供应商或者在评标期间对招标文件做出实质响应的供应商不足三家情况，按政府采购相关规定执行。</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134" w:name="_Toc120614219"/>
      <w:r>
        <w:rPr>
          <w:rFonts w:hint="eastAsia" w:ascii="方正黑体_GBK" w:hAnsi="方正黑体_GBK" w:eastAsia="方正黑体_GBK" w:cs="方正黑体_GBK"/>
          <w:color w:val="000000"/>
          <w:sz w:val="32"/>
          <w:szCs w:val="32"/>
          <w:highlight w:val="none"/>
        </w:rPr>
        <w:t xml:space="preserve">六、</w:t>
      </w:r>
      <w:bookmarkEnd w:id="131"/>
      <w:r/>
      <w:bookmarkEnd w:id="132"/>
      <w:r/>
      <w:bookmarkEnd w:id="133"/>
      <w:r>
        <w:rPr>
          <w:rFonts w:hint="eastAsia" w:ascii="方正黑体_GBK" w:hAnsi="方正黑体_GBK" w:eastAsia="方正黑体_GBK" w:cs="方正黑体_GBK"/>
          <w:color w:val="000000"/>
          <w:sz w:val="32"/>
          <w:szCs w:val="32"/>
          <w:highlight w:val="none"/>
        </w:rPr>
        <w:t xml:space="preserve">定标</w:t>
      </w:r>
      <w:bookmarkEnd w:id="134"/>
      <w:r/>
      <w:r/>
    </w:p>
    <w:p>
      <w:pPr>
        <w:ind w:firstLine="640"/>
        <w:spacing w:line="570" w:lineRule="exact"/>
        <w:rPr>
          <w:rFonts w:ascii="方正仿宋_GBK" w:hAnsi="方正仿宋_GBK" w:eastAsia="方正仿宋_GBK" w:cs="方正仿宋_GBK"/>
          <w:sz w:val="32"/>
          <w:szCs w:val="32"/>
          <w:highlight w:val="none"/>
        </w:rPr>
      </w:pPr>
      <w:r/>
      <w:bookmarkStart w:id="135" w:name="_Toc513029238"/>
      <w:r/>
      <w:bookmarkStart w:id="136" w:name="_Toc16938554"/>
      <w:r/>
      <w:bookmarkStart w:id="137" w:name="_Toc20823310"/>
      <w:r>
        <w:rPr>
          <w:rFonts w:hint="eastAsia" w:ascii="方正仿宋_GBK" w:hAnsi="方正仿宋_GBK" w:eastAsia="方正仿宋_GBK" w:cs="方正仿宋_GBK"/>
          <w:sz w:val="32"/>
          <w:szCs w:val="32"/>
          <w:highlight w:val="none"/>
        </w:rPr>
        <w:t xml:space="preserve">26</w:t>
      </w:r>
      <w:bookmarkEnd w:id="135"/>
      <w:r>
        <w:rPr>
          <w:rFonts w:hint="eastAsia" w:ascii="方正仿宋_GBK" w:hAnsi="方正仿宋_GBK" w:eastAsia="方正仿宋_GBK" w:cs="方正仿宋_GBK"/>
          <w:sz w:val="32"/>
          <w:szCs w:val="32"/>
          <w:highlight w:val="none"/>
        </w:rPr>
        <w:t xml:space="preserve">.确定</w:t>
      </w:r>
      <w:bookmarkEnd w:id="136"/>
      <w:r/>
      <w:bookmarkEnd w:id="137"/>
      <w:r>
        <w:rPr>
          <w:rFonts w:hint="eastAsia" w:ascii="方正仿宋_GBK" w:hAnsi="方正仿宋_GBK" w:eastAsia="方正仿宋_GBK" w:cs="方正仿宋_GBK"/>
          <w:sz w:val="32"/>
          <w:szCs w:val="32"/>
          <w:highlight w:val="none"/>
        </w:rPr>
        <w:t xml:space="preserve">中标单位</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26.1中标候选人的选取原则和数量见招标文件第五章规定。 </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26.2采购人应根据评标委员会推荐的中标候选人确定中标供应商。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26.3 采购中心将在“江苏政府采购网”发布中标公告，公告期限为1个工作日。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 若有充分证据证明，中标供应商出现下列情况之一的，一经查实，将被取消中标资格：</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26.4.1提供虚假材料谋取中标的。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26.4.2向采购人、采购中心行贿或者提供其他不正当利益的。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26.4.3属于本文件规定的无效条件，但在评标过程中又未被评标委员会发现的。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26.4.4与采购人或者其他供应商恶意串通的。</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26.4.5采取不正当手段诋毁、排挤其他供应商的。</w:t>
      </w:r>
      <w:r/>
    </w:p>
    <w:p>
      <w:pPr>
        <w:ind w:firstLine="640"/>
        <w:spacing w:line="570" w:lineRule="exact"/>
        <w:rPr>
          <w:rFonts w:ascii="方正仿宋_GBK" w:hAnsi="方正仿宋_GBK" w:eastAsia="方正仿宋_GBK" w:cs="方正仿宋_GBK"/>
          <w:sz w:val="32"/>
          <w:szCs w:val="32"/>
          <w:highlight w:val="none"/>
        </w:rPr>
      </w:pPr>
      <w:r/>
      <w:bookmarkStart w:id="138" w:name="_Toc200451960"/>
      <w:r>
        <w:rPr>
          <w:rFonts w:hint="eastAsia" w:ascii="方正仿宋_GBK" w:hAnsi="方正仿宋_GBK" w:eastAsia="方正仿宋_GBK" w:cs="方正仿宋_GBK"/>
          <w:sz w:val="32"/>
          <w:szCs w:val="32"/>
          <w:highlight w:val="none"/>
        </w:rPr>
        <w:t xml:space="preserve">26.5有下列情形之一的，视为投标人串通投标，投标无效：</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26.5.1不同投标人的投标文件由同一单位或者个人编制。</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26.5.2不同投标人委托同一单位或者个人办理投标事宜。</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26.5.3 不同投标人的投标文件载明的项目管理成员或者联系人员为同一人。</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26.5.4不同投标人的投标文件异常一致或者投标报价呈规律性差异。</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27.质疑处理</w:t>
      </w:r>
      <w:bookmarkEnd w:id="138"/>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27.1 提出质疑的供应商应当是参与所质疑项目采购活动的供应商。潜在供应商依法获取其可质疑的采购文件的，可以对采购文件提出质疑。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27.2.1对可以质疑的采购文件提出质疑的，为收到采购文件之日或者采购文件公告期限届满之日；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27.2.2对采购过程提出质疑的，为各采购程序环节结束之日；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27.2.3对中标或者成交结果提出质疑的，为中标或者成交结果公告期限届满之日。</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采购人及采购中心只接收以纸质原件形式送达的质疑，建议供应商尽量通过邮寄方式提交质疑（采购人和采购中心不接受无快递运单号的快递）。</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采购人质疑接收人及联系方式见招标文件第一章。</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 以下情形的质疑不予受理</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27.5.1 内容不符合《政府采购质疑和投诉办法》第十二条规定的质疑。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27.5.2 超出政府采购法定期限的质疑。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27.5.3 以传真、电子邮件等方式递交的非原件形式的质疑。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27.5.4 未参加投标活动的供应商或在投标活动中自身权益未受到损害的供应商所提出的质疑。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27.5.5供应商组成联合体参加投标，联合体中任何一方或多方未按要求签字、盖章、加盖公章的质疑。</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28.中标通知书</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Next/>
        <w:spacing w:line="570" w:lineRule="exact"/>
        <w:rPr>
          <w:rFonts w:ascii="方正黑体_GBK" w:hAnsi="方正黑体_GBK" w:eastAsia="方正黑体_GBK" w:cs="方正黑体_GBK"/>
          <w:color w:val="000000"/>
          <w:sz w:val="32"/>
          <w:szCs w:val="32"/>
          <w:highlight w:val="none"/>
        </w:rPr>
        <w:outlineLvl w:val="0"/>
      </w:pPr>
      <w:r/>
      <w:bookmarkStart w:id="139" w:name="_Toc120614220"/>
      <w:r/>
      <w:bookmarkStart w:id="140" w:name="_Toc513029236"/>
      <w:r/>
      <w:bookmarkStart w:id="141" w:name="_Toc16938552"/>
      <w:r/>
      <w:bookmarkStart w:id="142" w:name="_Toc20823308"/>
      <w:r>
        <w:rPr>
          <w:rFonts w:hint="eastAsia" w:ascii="方正黑体_GBK" w:hAnsi="方正黑体_GBK" w:eastAsia="方正黑体_GBK" w:cs="方正黑体_GBK"/>
          <w:color w:val="000000"/>
          <w:sz w:val="32"/>
          <w:szCs w:val="32"/>
          <w:highlight w:val="none"/>
        </w:rPr>
        <w:t xml:space="preserve">七、授予合同</w:t>
      </w:r>
      <w:bookmarkEnd w:id="139"/>
      <w:r/>
      <w:bookmarkEnd w:id="140"/>
      <w:r/>
      <w:bookmarkEnd w:id="141"/>
      <w:r/>
      <w:bookmarkEnd w:id="142"/>
      <w:r/>
      <w:r/>
    </w:p>
    <w:p>
      <w:pPr>
        <w:ind w:firstLine="640"/>
        <w:spacing w:line="570" w:lineRule="exact"/>
        <w:rPr>
          <w:rFonts w:ascii="方正仿宋_GBK" w:hAnsi="方正仿宋_GBK" w:eastAsia="方正仿宋_GBK" w:cs="方正仿宋_GBK"/>
          <w:sz w:val="32"/>
          <w:szCs w:val="32"/>
          <w:highlight w:val="none"/>
        </w:rPr>
      </w:pPr>
      <w:r/>
      <w:bookmarkStart w:id="143" w:name="_Toc20823309"/>
      <w:r/>
      <w:bookmarkStart w:id="144" w:name="_Toc513029237"/>
      <w:r/>
      <w:bookmarkStart w:id="145" w:name="_Toc16938553"/>
      <w:r>
        <w:rPr>
          <w:rFonts w:hint="eastAsia" w:ascii="方正仿宋_GBK" w:hAnsi="方正仿宋_GBK" w:eastAsia="方正仿宋_GBK" w:cs="方正仿宋_GBK"/>
          <w:sz w:val="32"/>
          <w:szCs w:val="32"/>
          <w:highlight w:val="none"/>
        </w:rPr>
        <w:t xml:space="preserve">29.签订合同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29.l中标供应商应当在中标通知书发出之日起三十日内，按照招标文件确定的事项与采购人签订政府采购合同。</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29.2 招标文件、中标供应商的投标文件及招标过程中有关澄清、承诺文件均应作为合同附件。</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30.服务（包含与服务相关的货物）的追加</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640"/>
        <w:spacing w:line="570" w:lineRule="exact"/>
        <w:rPr>
          <w:rFonts w:ascii="方正仿宋_GBK" w:hAnsi="方正仿宋_GBK" w:eastAsia="方正仿宋_GBK" w:cs="方正仿宋_GBK"/>
          <w:sz w:val="32"/>
          <w:szCs w:val="32"/>
          <w:highlight w:val="none"/>
        </w:rPr>
      </w:pPr>
      <w:r/>
      <w:bookmarkStart w:id="146" w:name="_Toc20823314"/>
      <w:r/>
      <w:bookmarkStart w:id="147" w:name="_Toc479757207"/>
      <w:r/>
      <w:bookmarkStart w:id="148" w:name="_Toc513029242"/>
      <w:r/>
      <w:bookmarkStart w:id="149" w:name="_Toc120614221"/>
      <w:r/>
      <w:bookmarkStart w:id="150" w:name="_Toc16938558"/>
      <w:r>
        <w:rPr>
          <w:rFonts w:hint="eastAsia" w:ascii="方正仿宋_GBK" w:hAnsi="方正仿宋_GBK" w:eastAsia="方正仿宋_GBK" w:cs="方正仿宋_GBK"/>
          <w:sz w:val="32"/>
          <w:szCs w:val="32"/>
          <w:highlight w:val="none"/>
        </w:rPr>
        <w:t xml:space="preserve">31.政府采购履约资金扶持政策</w:t>
      </w:r>
      <w:r/>
    </w:p>
    <w:p>
      <w:pPr>
        <w:ind w:firstLine="640"/>
        <w:spacing w:line="57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中标供应商可凭政府采购合同办理融资贷款，详情请见江苏政府采购网“政采贷”专栏。</w:t>
      </w:r>
      <w:r/>
    </w:p>
    <w:p>
      <w:pPr>
        <w:pStyle w:val="774"/>
        <w:spacing w:line="400" w:lineRule="exact"/>
        <w:rPr>
          <w:rFonts w:ascii="宋体" w:hAnsi="宋体"/>
          <w:bCs/>
          <w:sz w:val="24"/>
          <w:highlight w:val="none"/>
        </w:rPr>
      </w:pPr>
      <w:r>
        <w:rPr>
          <w:rFonts w:ascii="宋体" w:hAnsi="宋体"/>
          <w:bCs/>
          <w:sz w:val="24"/>
          <w:highlight w:val="none"/>
        </w:rPr>
      </w:r>
      <w:r/>
    </w:p>
    <w:p>
      <w:pPr>
        <w:pStyle w:val="774"/>
        <w:spacing w:line="400" w:lineRule="exact"/>
        <w:rPr>
          <w:rFonts w:ascii="宋体" w:hAnsi="宋体"/>
          <w:bCs/>
          <w:sz w:val="24"/>
          <w:highlight w:val="none"/>
        </w:rPr>
      </w:pPr>
      <w:r>
        <w:rPr>
          <w:rFonts w:ascii="宋体" w:hAnsi="宋体"/>
          <w:bCs/>
          <w:sz w:val="24"/>
          <w:highlight w:val="none"/>
        </w:rPr>
      </w:r>
      <w:r/>
    </w:p>
    <w:p>
      <w:pPr>
        <w:pStyle w:val="774"/>
        <w:spacing w:line="400" w:lineRule="exact"/>
        <w:rPr>
          <w:rFonts w:ascii="宋体" w:hAnsi="宋体"/>
          <w:bCs/>
          <w:sz w:val="24"/>
          <w:highlight w:val="none"/>
        </w:rPr>
      </w:pPr>
      <w:r>
        <w:rPr>
          <w:rFonts w:ascii="宋体" w:hAnsi="宋体"/>
          <w:bCs/>
          <w:sz w:val="24"/>
          <w:highlight w:val="none"/>
        </w:rPr>
      </w:r>
      <w:r/>
    </w:p>
    <w:p>
      <w:pPr>
        <w:pStyle w:val="774"/>
        <w:spacing w:line="400" w:lineRule="exact"/>
        <w:rPr>
          <w:rFonts w:ascii="宋体" w:hAnsi="宋体"/>
          <w:bCs/>
          <w:sz w:val="24"/>
          <w:highlight w:val="none"/>
        </w:rPr>
      </w:pPr>
      <w:r>
        <w:rPr>
          <w:rFonts w:ascii="宋体" w:hAnsi="宋体"/>
          <w:bCs/>
          <w:sz w:val="24"/>
          <w:highlight w:val="none"/>
        </w:rPr>
      </w:r>
      <w:r/>
    </w:p>
    <w:p>
      <w:pPr>
        <w:pStyle w:val="774"/>
        <w:spacing w:line="400" w:lineRule="exact"/>
        <w:rPr>
          <w:rFonts w:ascii="宋体" w:hAnsi="宋体"/>
          <w:bCs/>
          <w:sz w:val="24"/>
          <w:highlight w:val="none"/>
        </w:rPr>
      </w:pPr>
      <w:r>
        <w:rPr>
          <w:rFonts w:ascii="宋体" w:hAnsi="宋体"/>
          <w:bCs/>
          <w:sz w:val="24"/>
          <w:highlight w:val="none"/>
        </w:rPr>
      </w:r>
      <w:r/>
    </w:p>
    <w:p>
      <w:pPr>
        <w:pStyle w:val="774"/>
        <w:spacing w:line="400" w:lineRule="exact"/>
        <w:rPr>
          <w:rFonts w:ascii="宋体" w:hAnsi="宋体"/>
          <w:bCs/>
          <w:sz w:val="24"/>
          <w:highlight w:val="none"/>
        </w:rPr>
      </w:pPr>
      <w:r>
        <w:rPr>
          <w:rFonts w:ascii="宋体" w:hAnsi="宋体"/>
          <w:bCs/>
          <w:sz w:val="24"/>
          <w:highlight w:val="none"/>
        </w:rPr>
      </w:r>
      <w:r/>
    </w:p>
    <w:p>
      <w:pPr>
        <w:pStyle w:val="774"/>
        <w:spacing w:line="400" w:lineRule="exact"/>
        <w:rPr>
          <w:rFonts w:ascii="宋体" w:hAnsi="宋体"/>
          <w:bCs/>
          <w:sz w:val="24"/>
          <w:highlight w:val="none"/>
        </w:rPr>
      </w:pPr>
      <w:r>
        <w:rPr>
          <w:rFonts w:ascii="宋体" w:hAnsi="宋体"/>
          <w:bCs/>
          <w:sz w:val="24"/>
          <w:highlight w:val="none"/>
        </w:rPr>
      </w:r>
      <w:r/>
    </w:p>
    <w:p>
      <w:pPr>
        <w:ind w:right="839"/>
        <w:jc w:val="center"/>
        <w:spacing w:line="660" w:lineRule="exact"/>
        <w:rPr>
          <w:rFonts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highlight w:val="none"/>
        </w:rPr>
        <w:t xml:space="preserve">文本</w:t>
      </w:r>
      <w:r/>
    </w:p>
    <w:p>
      <w:pPr>
        <w:jc w:val="center"/>
        <w:spacing w:before="145" w:after="145"/>
        <w:rPr>
          <w:rFonts w:ascii="宋体" w:hAnsi="宋体"/>
          <w:b/>
          <w:sz w:val="30"/>
          <w:highlight w:val="none"/>
        </w:rPr>
        <w:outlineLvl w:val="0"/>
      </w:pPr>
      <w:r/>
      <w:bookmarkStart w:id="151" w:name="_Toc513029243"/>
      <w:r/>
      <w:bookmarkStart w:id="152" w:name="_Toc16938559"/>
      <w:r/>
      <w:bookmarkStart w:id="153" w:name="_Toc20823315"/>
      <w:r/>
      <w:r/>
    </w:p>
    <w:p>
      <w:pPr>
        <w:pStyle w:val="852"/>
        <w:jc w:val="center"/>
        <w:spacing w:line="660" w:lineRule="exact"/>
        <w:rPr>
          <w:rFonts w:ascii="方正黑体_GBK" w:hAnsi="方正黑体_GBK" w:eastAsia="方正黑体_GBK" w:cs="方正黑体_GBK"/>
          <w:spacing w:val="-20"/>
          <w:sz w:val="32"/>
          <w:szCs w:val="32"/>
          <w:highlight w:val="none"/>
        </w:rPr>
      </w:pPr>
      <w:r>
        <w:rPr>
          <w:rFonts w:hint="eastAsia" w:ascii="方正黑体_GBK" w:hAnsi="方正黑体_GBK" w:eastAsia="方正黑体_GBK" w:cs="方正黑体_GBK"/>
          <w:spacing w:val="-20"/>
          <w:sz w:val="32"/>
          <w:szCs w:val="32"/>
          <w:highlight w:val="none"/>
        </w:rPr>
        <w:t xml:space="preserve">江苏省政府采购合同（服务）（合同编号）</w:t>
      </w:r>
      <w:r/>
    </w:p>
    <w:p>
      <w:pPr>
        <w:ind w:firstLine="640"/>
        <w:spacing w:before="120" w:after="12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项目名称：</w:t>
      </w:r>
      <w:r>
        <w:rPr>
          <w:rFonts w:eastAsia="方正仿宋_GBK"/>
          <w:color w:val="000000"/>
          <w:sz w:val="32"/>
          <w:szCs w:val="32"/>
          <w:highlight w:val="none"/>
        </w:rPr>
        <w:t xml:space="preserve">南京海事法院本部及连云港、南通、泰州、苏州派出法庭物业管理服务 </w:t>
      </w:r>
      <w:r>
        <w:rPr>
          <w:rFonts w:hint="eastAsia" w:ascii="方正仿宋_GBK" w:hAnsi="方正仿宋_GBK" w:eastAsia="方正仿宋_GBK" w:cs="方正仿宋_GBK"/>
          <w:color w:val="000000"/>
          <w:sz w:val="32"/>
          <w:szCs w:val="32"/>
          <w:highlight w:val="none"/>
        </w:rPr>
        <w:t xml:space="preserve">                  </w:t>
      </w:r>
      <w:r/>
    </w:p>
    <w:p>
      <w:pPr>
        <w:ind w:firstLine="640"/>
        <w:spacing w:before="120" w:after="120" w:line="560" w:lineRule="exact"/>
        <w:rPr>
          <w:rFonts w:ascii="方正仿宋_GBK" w:hAnsi="方正仿宋_GBK" w:eastAsia="方正仿宋_GBK" w:cs="方正仿宋_GBK"/>
          <w:color w:val="ff0000"/>
          <w:sz w:val="32"/>
          <w:szCs w:val="32"/>
          <w:highlight w:val="none"/>
        </w:rPr>
      </w:pPr>
      <w:r>
        <w:rPr>
          <w:rFonts w:hint="eastAsia" w:ascii="方正仿宋_GBK" w:hAnsi="方正仿宋_GBK" w:eastAsia="方正仿宋_GBK" w:cs="方正仿宋_GBK"/>
          <w:color w:val="000000"/>
          <w:sz w:val="32"/>
          <w:szCs w:val="32"/>
          <w:highlight w:val="none"/>
        </w:rPr>
        <w:t xml:space="preserve">采购编号：</w:t>
      </w:r>
      <w:r>
        <w:rPr>
          <w:rFonts w:hint="eastAsia" w:eastAsia="方正仿宋_GBK"/>
          <w:color w:val="000000"/>
          <w:sz w:val="32"/>
          <w:szCs w:val="32"/>
          <w:highlight w:val="none"/>
        </w:rPr>
        <w:t xml:space="preserve">JSZC-320000-SCZX-G2026-0185     </w:t>
      </w:r>
      <w:r>
        <w:rPr>
          <w:rFonts w:hint="eastAsia" w:ascii="方正仿宋_GBK" w:hAnsi="方正仿宋_GBK" w:eastAsia="方正仿宋_GBK" w:cs="方正仿宋_GBK"/>
          <w:color w:val="000000"/>
          <w:sz w:val="32"/>
          <w:szCs w:val="32"/>
          <w:highlight w:val="none"/>
        </w:rPr>
        <w:t xml:space="preserve">        </w:t>
      </w:r>
      <w:r>
        <w:rPr>
          <w:rFonts w:hint="eastAsia" w:ascii="方正仿宋_GBK" w:hAnsi="方正仿宋_GBK" w:eastAsia="方正仿宋_GBK" w:cs="方正仿宋_GBK"/>
          <w:color w:val="ff0000"/>
          <w:sz w:val="32"/>
          <w:szCs w:val="32"/>
          <w:highlight w:val="none"/>
        </w:rPr>
        <w:t xml:space="preserve"> </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甲方：（买方/采购人）_________</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乙方：（卖方/中标供应商）_________</w:t>
      </w:r>
      <w:r/>
    </w:p>
    <w:p>
      <w:pPr>
        <w:pStyle w:val="861"/>
        <w:ind w:firstLine="640"/>
        <w:spacing w:before="120" w:after="120" w:line="560" w:lineRule="exact"/>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sz w:val="32"/>
          <w:szCs w:val="32"/>
          <w:highlight w:val="none"/>
        </w:rPr>
        <w:t xml:space="preserve">甲、乙双方根据江苏省政府采购中心</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项目公开招标的结果，签署本合同。</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一、合同内容</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 标的名称：</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1.2标的质量：</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1.3 标的数量（规模）：</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 履行时间（期限）：合同签订后10日内。服务期3年，合同一年一签。</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1.5 履行地点：</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1.6 履行方式：</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二、合同金额</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 本合同金额为（大写）：________圆（________元）人民币或其他币种。</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三、技术资料</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3.1乙方应按招标文件规定的时间向甲方提供服务（包含与服务相关的货物）的有关技术资料。</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四、知识产权</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五、产权担保</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 乙方保证所交付的服务（包含与服务相关的货物）的所有权完全属于乙方且无任何抵押、查封等产权瑕疵。</w:t>
      </w:r>
      <w:r/>
    </w:p>
    <w:p>
      <w:pPr>
        <w:pStyle w:val="861"/>
        <w:ind w:firstLine="640"/>
        <w:spacing w:before="120" w:after="120" w:line="560" w:lineRule="exact"/>
        <w:rPr>
          <w:rFonts w:ascii="方正黑体_GBK" w:hAnsi="方正黑体_GBK" w:eastAsia="方正黑体_GBK" w:cs="方正黑体_GBK"/>
          <w:bCs/>
          <w:sz w:val="32"/>
          <w:szCs w:val="32"/>
          <w:highlight w:val="none"/>
        </w:rPr>
      </w:pPr>
      <w:r/>
      <w:bookmarkStart w:id="154" w:name="OLE_LINK116"/>
      <w:r/>
      <w:bookmarkStart w:id="155" w:name="OLE_LINK117"/>
      <w:r>
        <w:rPr>
          <w:rFonts w:hint="eastAsia" w:ascii="方正黑体_GBK" w:hAnsi="方正黑体_GBK" w:eastAsia="方正黑体_GBK" w:cs="方正黑体_GBK"/>
          <w:bCs/>
          <w:sz w:val="32"/>
          <w:szCs w:val="32"/>
          <w:highlight w:val="none"/>
        </w:rPr>
        <w:t xml:space="preserve">六、履约保证金</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6.1 乙方交纳人民币______元作为本合同的履约保证金。（不得超过合同金额的10%）</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6.2合同履行结束后，甲方应及时退还交纳的履约保证金。</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6.2.1履约保证金退还方式：</w:t>
      </w:r>
      <w:r>
        <w:rPr>
          <w:rFonts w:ascii="Times New Roman" w:hAnsi="Times New Roman" w:eastAsia="方正仿宋_GBK" w:cs="Times New Roman"/>
          <w:color w:val="000000"/>
          <w:sz w:val="32"/>
          <w:szCs w:val="32"/>
          <w:highlight w:val="none"/>
        </w:rPr>
        <w:t xml:space="preserve">XXXX</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6.2.2履约保证金退还时间：</w:t>
      </w:r>
      <w:r>
        <w:rPr>
          <w:rFonts w:ascii="Times New Roman" w:hAnsi="Times New Roman" w:eastAsia="方正仿宋_GBK" w:cs="Times New Roman"/>
          <w:color w:val="000000"/>
          <w:sz w:val="32"/>
          <w:szCs w:val="32"/>
          <w:highlight w:val="none"/>
        </w:rPr>
        <w:t xml:space="preserve">XXXX</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6.2.3履约保证金退还条件：</w:t>
      </w:r>
      <w:r>
        <w:rPr>
          <w:rFonts w:ascii="Times New Roman" w:hAnsi="Times New Roman" w:eastAsia="方正仿宋_GBK" w:cs="Times New Roman"/>
          <w:color w:val="000000"/>
          <w:sz w:val="32"/>
          <w:szCs w:val="32"/>
          <w:highlight w:val="none"/>
        </w:rPr>
        <w:t xml:space="preserve">XXXX</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6.2.4履约保证金不予退还的情形：</w:t>
      </w:r>
      <w:r>
        <w:rPr>
          <w:rFonts w:ascii="Times New Roman" w:hAnsi="Times New Roman" w:eastAsia="方正仿宋_GBK" w:cs="Times New Roman"/>
          <w:color w:val="000000"/>
          <w:sz w:val="32"/>
          <w:szCs w:val="32"/>
          <w:highlight w:val="none"/>
        </w:rPr>
        <w:t xml:space="preserve">XXXX</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七、合同转包或分包</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7.1乙方不得将合同标的转包给他人履行。</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7.2乙方不得将合同标的分包给他人履行。</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7.3乙方如有转包或未经甲方同意的分包行为，甲方有权解除合同。</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八、合同款项支付</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8.1合同款项的支付方式及进度安排</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8.1.1 预付款支付时间：合同签订后</w:t>
      </w:r>
      <w:r>
        <w:rPr>
          <w:rFonts w:ascii="Times New Roman" w:hAnsi="Times New Roman" w:eastAsia="方正仿宋_GBK" w:cs="Times New Roman"/>
          <w:color w:val="000000"/>
          <w:sz w:val="32"/>
          <w:szCs w:val="32"/>
          <w:highlight w:val="none"/>
        </w:rPr>
        <w:t xml:space="preserve">XX</w:t>
      </w:r>
      <w:r>
        <w:rPr>
          <w:rFonts w:hint="eastAsia" w:ascii="方正仿宋_GBK" w:hAnsi="方正仿宋_GBK" w:eastAsia="方正仿宋_GBK" w:cs="方正仿宋_GBK"/>
          <w:sz w:val="32"/>
          <w:szCs w:val="32"/>
          <w:highlight w:val="none"/>
        </w:rPr>
        <w:t xml:space="preserve">工作日内，预付款支付比例：合同金额的</w:t>
      </w:r>
      <w:r>
        <w:rPr>
          <w:rFonts w:ascii="Times New Roman" w:hAnsi="Times New Roman" w:eastAsia="方正仿宋_GBK" w:cs="Times New Roman"/>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8.1.2 尾款支付时间：采购人收到发票后10个工作日内，尾款支付比例：合同金额的</w:t>
      </w:r>
      <w:r>
        <w:rPr>
          <w:rFonts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w:t>
      </w:r>
      <w:bookmarkEnd w:id="154"/>
      <w:r/>
      <w:bookmarkEnd w:id="155"/>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九、税费</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9.1本合同执行中相关的一切税费均由乙方负担。</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十、项目验收</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10.1 甲方依法组织履约验收工作。</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10.3 对于实际使用人和甲方分离的项目，甲方邀请实际使用人参与验收。</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10.4 如有必要，甲方邀请参加本项目的其他供应商或第三方专业机构及专家参与验收，相关意见将作为验收书的参考资料。</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十一、违约责任</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11.1 甲方无正当理由拒绝接受乙方提供服务的，甲方向乙方偿付拒绝接受服务合同价款总值</w:t>
      </w:r>
      <w:r>
        <w:rPr>
          <w:rFonts w:ascii="Times New Roman" w:hAnsi="Times New Roman" w:eastAsia="方正仿宋_GBK" w:cs="Times New Roman"/>
          <w:color w:val="000000"/>
          <w:sz w:val="32"/>
          <w:szCs w:val="32"/>
          <w:highlight w:val="none"/>
          <w:u w:val="single"/>
        </w:rPr>
        <w:t xml:space="preserve">XX</w:t>
      </w:r>
      <w:r>
        <w:rPr>
          <w:rFonts w:hint="eastAsia" w:ascii="方正仿宋_GBK" w:hAnsi="方正仿宋_GBK" w:eastAsia="方正仿宋_GBK" w:cs="方正仿宋_GBK"/>
          <w:sz w:val="32"/>
          <w:szCs w:val="32"/>
          <w:highlight w:val="none"/>
          <w:u w:val="single"/>
        </w:rPr>
        <w:t xml:space="preserve">%</w:t>
      </w:r>
      <w:r>
        <w:rPr>
          <w:rFonts w:hint="eastAsia" w:ascii="方正仿宋_GBK" w:hAnsi="方正仿宋_GBK" w:eastAsia="方正仿宋_GBK" w:cs="方正仿宋_GBK"/>
          <w:sz w:val="32"/>
          <w:szCs w:val="32"/>
          <w:highlight w:val="none"/>
        </w:rPr>
        <w:t xml:space="preserve">的违约金。</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11.2 甲方无故逾期验收和办理合同款项支付手续的，甲方应按逾期付款总额</w:t>
      </w:r>
      <w:r>
        <w:rPr>
          <w:rFonts w:ascii="Times New Roman" w:hAnsi="Times New Roman" w:eastAsia="方正仿宋_GBK" w:cs="Times New Roman"/>
          <w:color w:val="000000"/>
          <w:sz w:val="32"/>
          <w:szCs w:val="32"/>
          <w:highlight w:val="none"/>
          <w:u w:val="single"/>
        </w:rPr>
        <w:t xml:space="preserve">XX</w:t>
      </w:r>
      <w:r>
        <w:rPr>
          <w:rFonts w:hint="eastAsia" w:ascii="方正仿宋_GBK" w:hAnsi="方正仿宋_GBK" w:eastAsia="方正仿宋_GBK" w:cs="方正仿宋_GBK"/>
          <w:sz w:val="32"/>
          <w:szCs w:val="32"/>
          <w:highlight w:val="none"/>
          <w:u w:val="single"/>
        </w:rPr>
        <w:t xml:space="preserve">%</w:t>
      </w:r>
      <w:r>
        <w:rPr>
          <w:rFonts w:hint="eastAsia" w:ascii="方正仿宋_GBK" w:hAnsi="方正仿宋_GBK" w:eastAsia="方正仿宋_GBK" w:cs="方正仿宋_GBK"/>
          <w:sz w:val="32"/>
          <w:szCs w:val="32"/>
          <w:highlight w:val="none"/>
        </w:rPr>
        <w:t xml:space="preserve">每日向乙方支付违约金。</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color w:val="000000"/>
          <w:sz w:val="32"/>
          <w:szCs w:val="32"/>
          <w:highlight w:val="none"/>
          <w:u w:val="single"/>
        </w:rPr>
        <w:t xml:space="preserve">XX</w:t>
      </w:r>
      <w:r>
        <w:rPr>
          <w:rFonts w:hint="eastAsia" w:ascii="方正仿宋_GBK" w:hAnsi="方正仿宋_GBK" w:eastAsia="方正仿宋_GBK" w:cs="方正仿宋_GBK"/>
          <w:sz w:val="32"/>
          <w:szCs w:val="32"/>
          <w:highlight w:val="none"/>
          <w:u w:val="single"/>
        </w:rPr>
        <w:t xml:space="preserve">%</w:t>
      </w:r>
      <w:r>
        <w:rPr>
          <w:rFonts w:hint="eastAsia" w:ascii="方正仿宋_GBK" w:hAnsi="方正仿宋_GBK" w:eastAsia="方正仿宋_GBK" w:cs="方正仿宋_GBK"/>
          <w:sz w:val="32"/>
          <w:szCs w:val="32"/>
          <w:highlight w:val="none"/>
        </w:rPr>
        <w:t xml:space="preserve">的违约金，如造成甲方损失超过违约金的，超出部分由乙方继续承担赔偿责任。 </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11.4 乙方所提供服务的标准不符合合同规定及招标文件规定标准的，甲方有权拒绝接受服务，并可单方面解除合同。</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十二、不可抗力事件处理</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12.1 在合同有效期内，任何一方因不可抗力事件导致不能履行合同，则合同履行期可延长，其延长期与不可抗力影响 期相同。</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12.2 不可抗力事件发生后，应立即通知对方，并寄送有关权威机构出具的证明。</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12.3 不可抗力事件延续120天以上，双方应通过友好协商，确定是否继续履行合同。</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十三、解决争议的方法</w:t>
      </w:r>
      <w:r/>
    </w:p>
    <w:p>
      <w:pPr>
        <w:pStyle w:val="861"/>
        <w:ind w:firstLine="640"/>
        <w:spacing w:before="120" w:after="120" w:line="560" w:lineRule="exact"/>
        <w:rPr>
          <w:rFonts w:hAnsi="宋体"/>
          <w:sz w:val="24"/>
          <w:szCs w:val="24"/>
          <w:highlight w:val="none"/>
        </w:rPr>
      </w:pPr>
      <w:r>
        <w:rPr>
          <w:rFonts w:hint="eastAsia" w:ascii="方正仿宋_GBK" w:hAnsi="方正仿宋_GBK" w:eastAsia="方正仿宋_GBK" w:cs="方正仿宋_GBK"/>
          <w:sz w:val="32"/>
          <w:szCs w:val="32"/>
          <w:highlight w:val="none"/>
        </w:rPr>
        <w:t xml:space="preserve">13.1双方在签订、履行合同中所发生的一切争议，应通过友好协商解决。如协商不成，由甲方住所地人民法院管辖。</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十四、合同生效及其它</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14.1 合同经双方法定代表人或授权委托代表人签字并加盖单位公章后生效。</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14.2本合同未尽事宜，遵照中华人民共和国现行法律法规有关条文执行。</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14.3 本合同正本一式两份，具有同等法律效力，甲方、乙方各执一份。</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甲方：                        乙方： </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                        地址： </w:t>
      </w:r>
      <w:r/>
    </w:p>
    <w:p>
      <w:pPr>
        <w:pStyle w:val="861"/>
        <w:ind w:firstLine="640"/>
        <w:spacing w:before="120" w:after="12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法定代表人或授权代表：        法定代表人或授权代表：</w:t>
      </w:r>
      <w:r/>
    </w:p>
    <w:p>
      <w:pPr>
        <w:pStyle w:val="861"/>
        <w:ind w:firstLine="640"/>
        <w:spacing w:before="120" w:after="120" w:line="560" w:lineRule="exact"/>
        <w:rPr>
          <w:highlight w:val="none"/>
        </w:rPr>
      </w:pPr>
      <w:r>
        <w:rPr>
          <w:rFonts w:hint="eastAsia" w:ascii="方正仿宋_GBK" w:hAnsi="方正仿宋_GBK" w:eastAsia="方正仿宋_GBK" w:cs="方正仿宋_GBK"/>
          <w:sz w:val="32"/>
          <w:szCs w:val="32"/>
          <w:highlight w:val="none"/>
        </w:rPr>
        <w:t xml:space="preserve">联系电话：                    联系电话：    </w:t>
      </w:r>
      <w:r>
        <w:rPr>
          <w:rFonts w:hint="eastAsia" w:hAnsi="宋体"/>
          <w:sz w:val="24"/>
          <w:szCs w:val="24"/>
          <w:highlight w:val="none"/>
        </w:rPr>
        <w:t xml:space="preserve">      </w:t>
      </w:r>
      <w:r/>
    </w:p>
    <w:p>
      <w:pPr>
        <w:pStyle w:val="861"/>
        <w:jc w:val="center"/>
        <w:spacing w:before="120" w:after="120" w:line="0" w:lineRule="atLeast"/>
        <w:rPr>
          <w:highlight w:val="none"/>
        </w:rPr>
      </w:pPr>
      <w:r>
        <w:rPr>
          <w:rFonts w:hint="eastAsia"/>
          <w:highlight w:val="none"/>
        </w:rPr>
        <w:t xml:space="preserve">                                         </w:t>
      </w:r>
      <w:r/>
    </w:p>
    <w:p>
      <w:pPr>
        <w:pStyle w:val="861"/>
        <w:jc w:val="right"/>
        <w:spacing w:before="120" w:after="120" w:line="0" w:lineRule="atLeast"/>
        <w:rPr>
          <w:sz w:val="24"/>
          <w:szCs w:val="24"/>
          <w:highlight w:val="none"/>
        </w:rPr>
      </w:pPr>
      <w:r>
        <w:rPr>
          <w:rFonts w:hint="eastAsia"/>
          <w:sz w:val="24"/>
          <w:szCs w:val="24"/>
          <w:highlight w:val="none"/>
        </w:rPr>
        <w:t xml:space="preserve"> </w:t>
      </w:r>
      <w:r/>
    </w:p>
    <w:p>
      <w:pPr>
        <w:pStyle w:val="861"/>
        <w:jc w:val="center"/>
        <w:spacing w:before="120" w:after="120" w:line="660" w:lineRule="exact"/>
        <w:rPr>
          <w:rFonts w:ascii="方正黑体_GBK" w:hAnsi="方正黑体_GBK" w:eastAsia="方正黑体_GBK" w:cs="方正黑体_GBK"/>
          <w:bCs/>
          <w:color w:val="000000"/>
          <w:sz w:val="32"/>
          <w:szCs w:val="32"/>
          <w:highlight w:val="none"/>
        </w:rPr>
      </w:pPr>
      <w:r>
        <w:rPr>
          <w:rFonts w:hint="eastAsia" w:ascii="方正仿宋_GBK" w:hAnsi="方正仿宋_GBK" w:eastAsia="方正仿宋_GBK" w:cs="方正仿宋_GBK"/>
          <w:sz w:val="32"/>
          <w:szCs w:val="32"/>
          <w:highlight w:val="none"/>
        </w:rPr>
        <w:t xml:space="preserve">签订日期：</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年</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月</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日</w:t>
      </w:r>
      <w:bookmarkEnd w:id="151"/>
      <w:r/>
      <w:bookmarkEnd w:id="152"/>
      <w:r/>
      <w:bookmarkEnd w:id="153"/>
      <w:r/>
      <w:bookmarkStart w:id="156" w:name="_Hlt16619369"/>
      <w:r/>
      <w:bookmarkEnd w:id="156"/>
      <w:r/>
      <w:bookmarkStart w:id="157" w:name="_Hlt16619350"/>
      <w:r/>
      <w:bookmarkStart w:id="158" w:name="_Toc120614244"/>
      <w:r/>
      <w:bookmarkStart w:id="159" w:name="_Toc16938590"/>
      <w:r/>
      <w:bookmarkStart w:id="160" w:name="_Toc20823346"/>
      <w:r/>
      <w:bookmarkStart w:id="161" w:name="_Toc462564139"/>
      <w:r/>
      <w:bookmarkStart w:id="162" w:name="_Toc479757211"/>
      <w:r>
        <w:rPr>
          <w:rFonts w:ascii="黑体" w:eastAsia="黑体"/>
          <w:bCs/>
          <w:sz w:val="44"/>
          <w:highlight w:val="none"/>
        </w:rPr>
        <w:br w:type="page" w:clear="all"/>
      </w:r>
      <w:r>
        <w:rPr>
          <w:rFonts w:hint="eastAsia" w:ascii="方正黑体_GBK" w:hAnsi="方正黑体_GBK" w:eastAsia="方正黑体_GBK" w:cs="方正黑体_GBK"/>
          <w:color w:val="000000"/>
          <w:sz w:val="32"/>
          <w:szCs w:val="32"/>
          <w:highlight w:val="none"/>
        </w:rPr>
        <w:t xml:space="preserve">第</w:t>
      </w:r>
      <w:bookmarkEnd w:id="157"/>
      <w:r>
        <w:rPr>
          <w:rFonts w:hint="eastAsia" w:ascii="方正黑体_GBK" w:hAnsi="方正黑体_GBK" w:eastAsia="方正黑体_GBK" w:cs="方正黑体_GBK"/>
          <w:color w:val="000000"/>
          <w:sz w:val="32"/>
          <w:szCs w:val="32"/>
          <w:highlight w:val="none"/>
        </w:rPr>
        <w:t xml:space="preserve">四章 采购需求</w:t>
      </w:r>
      <w:bookmarkEnd w:id="158"/>
      <w:r/>
      <w:bookmarkEnd w:id="159"/>
      <w:r/>
      <w:bookmarkEnd w:id="160"/>
      <w:r/>
      <w:r/>
    </w:p>
    <w:p>
      <w:pPr>
        <w:pStyle w:val="861"/>
        <w:ind w:firstLine="640"/>
        <w:spacing w:before="120" w:after="120" w:line="560" w:lineRule="exact"/>
        <w:rPr>
          <w:rFonts w:ascii="方正黑体_GBK" w:hAnsi="方正黑体_GBK" w:eastAsia="方正黑体_GBK" w:cs="方正黑体_GBK"/>
          <w:bCs/>
          <w:sz w:val="32"/>
          <w:szCs w:val="32"/>
          <w:highlight w:val="none"/>
        </w:rPr>
      </w:pPr>
      <w:r/>
      <w:bookmarkStart w:id="163" w:name="_Toc49090575"/>
      <w:r/>
      <w:bookmarkStart w:id="164" w:name="_Toc26554093"/>
      <w:r>
        <w:rPr>
          <w:rFonts w:hint="eastAsia" w:ascii="方正黑体_GBK" w:hAnsi="方正黑体_GBK" w:eastAsia="方正黑体_GBK" w:cs="方正黑体_GBK"/>
          <w:bCs/>
          <w:sz w:val="32"/>
          <w:szCs w:val="32"/>
          <w:highlight w:val="none"/>
        </w:rPr>
        <w:t xml:space="preserve">一、采购标的清单</w:t>
      </w:r>
      <w:r/>
    </w:p>
    <w:tbl>
      <w:tblPr>
        <w:tblStyle w:val="7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4653"/>
        <w:gridCol w:w="2760"/>
      </w:tblGrid>
      <w:tr>
        <w:trPr>
          <w:cantSplit/>
          <w:jc w:val="center"/>
          <w:trHeight w:val="701"/>
        </w:trPr>
        <w:tc>
          <w:tcPr>
            <w:tcW w:w="1647"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4653"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7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1647"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eastAsia="方正仿宋_GBK"/>
                <w:color w:val="000000"/>
                <w:sz w:val="32"/>
                <w:szCs w:val="32"/>
                <w:highlight w:val="none"/>
              </w:rPr>
              <w:t xml:space="preserve">1</w:t>
            </w:r>
            <w:r/>
          </w:p>
        </w:tc>
        <w:tc>
          <w:tcPr>
            <w:tcW w:w="4653" w:type="dxa"/>
            <w:textDirection w:val="lrTb"/>
            <w:noWrap w:val="false"/>
          </w:tcPr>
          <w:p>
            <w:pPr>
              <w:jc w:val="center"/>
              <w:spacing w:line="0" w:lineRule="atLeast"/>
              <w:tabs>
                <w:tab w:val="left" w:pos="2020" w:leader="none"/>
              </w:tabs>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南京海事法院本部及连云港、南通、泰州、苏州派出法庭物业管理服务</w:t>
            </w:r>
            <w:r/>
          </w:p>
        </w:tc>
        <w:tc>
          <w:tcPr>
            <w:tcW w:w="2760" w:type="dxa"/>
            <w:vAlign w:val="center"/>
            <w:textDirection w:val="lrTb"/>
            <w:noWrap w:val="false"/>
          </w:tcPr>
          <w:p>
            <w:pPr>
              <w:jc w:val="center"/>
              <w:spacing w:line="0" w:lineRule="atLeast"/>
              <w:tabs>
                <w:tab w:val="left" w:pos="2020" w:leader="none"/>
              </w:tabs>
              <w:rPr>
                <w:rFonts w:eastAsia="方正仿宋_GBK"/>
                <w:color w:val="000000"/>
                <w:sz w:val="32"/>
                <w:szCs w:val="32"/>
                <w:highlight w:val="none"/>
              </w:rPr>
            </w:pPr>
            <w:r>
              <w:rPr>
                <w:rFonts w:hint="eastAsia" w:eastAsia="方正仿宋_GBK"/>
                <w:color w:val="000000"/>
                <w:sz w:val="28"/>
                <w:szCs w:val="28"/>
                <w:highlight w:val="none"/>
                <w:lang w:eastAsia="en-US"/>
              </w:rPr>
              <w:t xml:space="preserve">物业管理</w:t>
            </w:r>
            <w:r/>
          </w:p>
        </w:tc>
      </w:tr>
    </w:tbl>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二、政府采购中实施本国产品标准及相关政策</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40"/>
        <w:jc w:val="left"/>
        <w:spacing w:line="560" w:lineRule="exact"/>
        <w:rPr>
          <w:rFonts w:ascii="黑体" w:hAnsi="黑体" w:eastAsia="黑体" w:cs="黑体"/>
          <w:sz w:val="32"/>
          <w:szCs w:val="32"/>
          <w:highlight w:val="none"/>
        </w:rPr>
      </w:pPr>
      <w:r>
        <w:rPr>
          <w:rFonts w:hint="eastAsia" w:ascii="黑体" w:hAnsi="黑体" w:eastAsia="黑体" w:cs="黑体"/>
          <w:sz w:val="32"/>
          <w:szCs w:val="32"/>
          <w:highlight w:val="none"/>
        </w:rPr>
        <w:t xml:space="preserve">本服务项目不涉及货物，投标文件中无需提供《关于符合本国产品标准的声明函》。</w:t>
      </w:r>
      <w:r/>
    </w:p>
    <w:p>
      <w:pPr>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三、技术要求</w:t>
      </w:r>
      <w:r/>
    </w:p>
    <w:p>
      <w:pPr>
        <w:ind w:firstLine="640"/>
        <w:spacing w:line="560" w:lineRule="exact"/>
        <w:rPr>
          <w:rFonts w:ascii="宋体" w:hAnsi="宋体" w:cs="宋体"/>
          <w:i/>
          <w:iCs/>
          <w:sz w:val="32"/>
          <w:szCs w:val="32"/>
          <w:highlight w:val="none"/>
          <w:u w:val="single"/>
        </w:rPr>
      </w:pPr>
      <w:r>
        <w:rPr>
          <w:rFonts w:hint="eastAsia" w:ascii="方正仿宋_GBK" w:hAnsi="方正仿宋_GBK" w:eastAsia="方正仿宋_GBK" w:cs="方正仿宋_GBK"/>
          <w:bCs/>
          <w:color w:val="000000"/>
          <w:sz w:val="32"/>
          <w:szCs w:val="32"/>
          <w:highlight w:val="none"/>
        </w:rPr>
        <w:t xml:space="preserve">本项目</w:t>
      </w:r>
      <w:r>
        <w:rPr>
          <w:rFonts w:hint="eastAsia" w:ascii="方正仿宋_GBK" w:hAnsi="方正仿宋_GBK" w:eastAsia="方正仿宋_GBK" w:cs="方正仿宋_GBK"/>
          <w:bCs/>
          <w:color w:val="000000"/>
          <w:sz w:val="32"/>
          <w:szCs w:val="32"/>
          <w:highlight w:val="none"/>
          <w:lang w:val="en-GB"/>
        </w:rPr>
        <w:t xml:space="preserve">实质性要求</w:t>
      </w:r>
      <w:r>
        <w:rPr>
          <w:rFonts w:hint="eastAsia" w:ascii="方正仿宋_GBK" w:hAnsi="方正仿宋_GBK" w:eastAsia="方正仿宋_GBK" w:cs="方正仿宋_GBK"/>
          <w:bCs/>
          <w:color w:val="000000"/>
          <w:sz w:val="32"/>
          <w:szCs w:val="32"/>
          <w:highlight w:val="none"/>
        </w:rPr>
        <w:t xml:space="preserve">如下：</w:t>
      </w:r>
      <w:r/>
    </w:p>
    <w:p>
      <w:pPr>
        <w:ind w:firstLine="640"/>
        <w:spacing w:line="560" w:lineRule="exact"/>
        <w:rPr>
          <w:rFonts w:ascii="宋体" w:hAnsi="宋体" w:cs="宋体"/>
          <w:i/>
          <w:iCs/>
          <w:sz w:val="32"/>
          <w:szCs w:val="32"/>
          <w:highlight w:val="none"/>
          <w:u w:val="single"/>
          <w:lang w:val="en-GB"/>
        </w:rPr>
      </w:pPr>
      <w:r>
        <w:rPr>
          <w:rFonts w:hint="eastAsia" w:ascii="宋体" w:hAnsi="宋体" w:cs="宋体"/>
          <w:i/>
          <w:iCs/>
          <w:sz w:val="32"/>
          <w:szCs w:val="32"/>
          <w:highlight w:val="none"/>
          <w:u w:val="single"/>
          <w:lang w:val="en-GB"/>
        </w:rPr>
        <w:t xml:space="preserve">1、所有服务人员未经采购人同意，不得私自更换，经采购人书面同意更换的人员，上岗前需经采购人同意，并须符合招标文件上对该岗位的配置要求。</w:t>
      </w:r>
      <w:r/>
    </w:p>
    <w:p>
      <w:pPr>
        <w:ind w:firstLine="640"/>
        <w:spacing w:line="560" w:lineRule="exact"/>
        <w:rPr>
          <w:rFonts w:ascii="宋体" w:hAnsi="宋体" w:cs="宋体"/>
          <w:i/>
          <w:iCs/>
          <w:sz w:val="32"/>
          <w:szCs w:val="32"/>
          <w:highlight w:val="none"/>
          <w:u w:val="single"/>
          <w:lang w:val="en-GB"/>
        </w:rPr>
      </w:pPr>
      <w:r>
        <w:rPr>
          <w:rFonts w:hint="eastAsia" w:ascii="宋体" w:hAnsi="宋体" w:cs="宋体"/>
          <w:i/>
          <w:iCs/>
          <w:sz w:val="32"/>
          <w:szCs w:val="32"/>
          <w:highlight w:val="none"/>
          <w:u w:val="single"/>
          <w:lang w:val="en-GB"/>
        </w:rPr>
        <w:t xml:space="preserve">2、针对本项目物业服务人员至少配置75名。</w:t>
      </w:r>
      <w:r/>
    </w:p>
    <w:p>
      <w:pPr>
        <w:ind w:firstLine="640"/>
        <w:spacing w:line="560" w:lineRule="exact"/>
        <w:rPr>
          <w:rFonts w:ascii="宋体" w:hAnsi="宋体" w:cs="宋体"/>
          <w:i/>
          <w:iCs/>
          <w:color w:val="0000ff"/>
          <w:sz w:val="32"/>
          <w:szCs w:val="32"/>
          <w:highlight w:val="none"/>
          <w:u w:val="single"/>
          <w:lang w:val="en-GB"/>
        </w:rPr>
      </w:pPr>
      <w:r>
        <w:rPr>
          <w:rFonts w:hint="eastAsia" w:ascii="宋体" w:hAnsi="宋体" w:cs="宋体"/>
          <w:i/>
          <w:iCs/>
          <w:sz w:val="32"/>
          <w:szCs w:val="32"/>
          <w:highlight w:val="none"/>
          <w:u w:val="single"/>
        </w:rPr>
        <w:t xml:space="preserve">3</w:t>
      </w:r>
      <w:r>
        <w:rPr>
          <w:rFonts w:hint="eastAsia" w:ascii="宋体" w:hAnsi="宋体" w:cs="宋体"/>
          <w:i/>
          <w:iCs/>
          <w:sz w:val="32"/>
          <w:szCs w:val="32"/>
          <w:highlight w:val="none"/>
          <w:u w:val="single"/>
          <w:lang w:val="en-GB"/>
        </w:rPr>
        <w:t xml:space="preserve">、各投标人填报报价时，须在《投标分项报价表》单独列报两类年度包干费用：院本部油烟机清洗、石材养护、外墙清洁、防雷检测、虫害防治、物业耗材等服务总价上限108000元；单个派出法庭耗材、机电、绿化、消防电梯、信息化运维等服务总价上限150000元。上述所有服务由中标物业全权统筹，采购人不负责对接任何第三方。报价为全费用包干价，含人工、设备、耗材、外包服务费、保险、税费等全部成本，采购人不另付费。</w:t>
      </w:r>
      <w:r/>
    </w:p>
    <w:p>
      <w:pPr>
        <w:ind w:firstLine="643"/>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（一）项目概况</w:t>
      </w:r>
      <w:r/>
    </w:p>
    <w:p>
      <w:pPr>
        <w:ind w:firstLine="640"/>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南京海事法院物业服务项目，包括但不限于：日常保洁、日常维修、秩序管理、安全防护、会务保障、安检值庭、消防监控、食堂劳务及其他服务等，服务应专业、可靠，能配合各项工作的顺利开展。本项目最高限价为655万元/年，三年1965</w:t>
      </w:r>
      <w:r>
        <w:rPr>
          <w:rFonts w:ascii="方正仿宋_GBK" w:hAnsi="方正仿宋_GBK" w:eastAsia="方正仿宋_GBK" w:cs="方正仿宋_GBK"/>
          <w:bCs/>
          <w:sz w:val="32"/>
          <w:szCs w:val="32"/>
          <w:highlight w:val="none"/>
        </w:rPr>
        <w:t xml:space="preserve">万元。</w:t>
      </w:r>
      <w:r/>
    </w:p>
    <w:p>
      <w:pPr>
        <w:ind w:firstLine="640"/>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本项目服务期为三年，合同一年一签。</w:t>
      </w:r>
      <w:r>
        <w:rPr>
          <w:rFonts w:hint="eastAsia" w:ascii="方正仿宋_GBK" w:hAnsi="方正仿宋_GBK" w:eastAsia="方正仿宋_GBK" w:cs="方正仿宋_GBK"/>
          <w:b/>
          <w:sz w:val="32"/>
          <w:szCs w:val="32"/>
          <w:highlight w:val="none"/>
        </w:rPr>
        <w:t xml:space="preserve">如果中标人未能通过年度考核，采购人有权终止合同，不再续签下一年合同。</w:t>
      </w:r>
      <w:r/>
    </w:p>
    <w:p>
      <w:pPr>
        <w:ind w:firstLine="640"/>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（二）物业服务范围</w:t>
      </w:r>
      <w:r/>
    </w:p>
    <w:p>
      <w:pPr>
        <w:ind w:firstLine="640"/>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2.1物业管理（建筑物）</w:t>
      </w:r>
      <w:r/>
    </w:p>
    <w:tbl>
      <w:tblPr>
        <w:tblStyle w:val="773"/>
        <w:tblW w:w="53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720"/>
        <w:gridCol w:w="3964"/>
        <w:gridCol w:w="2776"/>
      </w:tblGrid>
      <w:tr>
        <w:trPr>
          <w:jc w:val="center"/>
          <w:trHeight w:val="454"/>
        </w:trPr>
        <w:tc>
          <w:tcPr>
            <w:gridSpan w:val="2"/>
            <w:tcW w:w="2947" w:type="dxa"/>
            <w:vAlign w:val="center"/>
            <w:textDirection w:val="lrTb"/>
            <w:noWrap w:val="false"/>
          </w:tcPr>
          <w:p>
            <w:pPr>
              <w:rPr>
                <w:highlight w:val="none"/>
                <w:lang w:eastAsia="en-US"/>
              </w:rPr>
            </w:pPr>
            <w:r>
              <w:rPr>
                <w:rFonts w:hint="eastAsia"/>
                <w:highlight w:val="none"/>
                <w:lang w:eastAsia="en-US"/>
              </w:rPr>
              <w:t xml:space="preserve">名称</w:t>
            </w:r>
            <w:r/>
          </w:p>
        </w:tc>
        <w:tc>
          <w:tcPr>
            <w:tcW w:w="3905" w:type="dxa"/>
            <w:vAlign w:val="center"/>
            <w:textDirection w:val="lrTb"/>
            <w:noWrap w:val="false"/>
          </w:tcPr>
          <w:p>
            <w:pPr>
              <w:rPr>
                <w:highlight w:val="none"/>
                <w:lang w:eastAsia="en-US"/>
              </w:rPr>
            </w:pPr>
            <w:r>
              <w:rPr>
                <w:rFonts w:hint="eastAsia"/>
                <w:highlight w:val="none"/>
                <w:lang w:eastAsia="en-US"/>
              </w:rPr>
              <w:t xml:space="preserve">明细</w:t>
            </w:r>
            <w:r/>
          </w:p>
        </w:tc>
        <w:tc>
          <w:tcPr>
            <w:tcW w:w="2735" w:type="dxa"/>
            <w:vAlign w:val="center"/>
            <w:textDirection w:val="lrTb"/>
            <w:noWrap w:val="false"/>
          </w:tcPr>
          <w:p>
            <w:pPr>
              <w:rPr>
                <w:highlight w:val="none"/>
                <w:lang w:eastAsia="en-US"/>
              </w:rPr>
            </w:pPr>
            <w:r>
              <w:rPr>
                <w:rFonts w:hint="eastAsia"/>
                <w:highlight w:val="none"/>
                <w:lang w:eastAsia="en-US"/>
              </w:rPr>
              <w:t xml:space="preserve">服务内容及标准</w:t>
            </w:r>
            <w:r/>
          </w:p>
        </w:tc>
      </w:tr>
      <w:tr>
        <w:trPr>
          <w:jc w:val="center"/>
          <w:trHeight w:val="454"/>
        </w:trPr>
        <w:tc>
          <w:tcPr>
            <w:gridSpan w:val="2"/>
            <w:tcW w:w="2947" w:type="dxa"/>
            <w:vAlign w:val="center"/>
            <w:textDirection w:val="lrTb"/>
            <w:noWrap w:val="false"/>
          </w:tcPr>
          <w:p>
            <w:pPr>
              <w:rPr>
                <w:highlight w:val="none"/>
                <w:lang w:eastAsia="en-US"/>
              </w:rPr>
            </w:pPr>
            <w:r>
              <w:rPr>
                <w:rFonts w:hint="eastAsia"/>
                <w:highlight w:val="none"/>
                <w:lang w:eastAsia="en-US"/>
              </w:rPr>
              <w:t xml:space="preserve">建筑1名称</w:t>
            </w:r>
            <w:r/>
          </w:p>
        </w:tc>
        <w:tc>
          <w:tcPr>
            <w:tcW w:w="3905" w:type="dxa"/>
            <w:vAlign w:val="center"/>
            <w:textDirection w:val="lrTb"/>
            <w:noWrap w:val="false"/>
          </w:tcPr>
          <w:p>
            <w:pPr>
              <w:rPr>
                <w:highlight w:val="none"/>
              </w:rPr>
            </w:pPr>
            <w:r>
              <w:rPr>
                <w:rFonts w:hint="eastAsia"/>
                <w:highlight w:val="none"/>
              </w:rPr>
              <w:t xml:space="preserve">南京海事法院院本部</w:t>
            </w:r>
            <w:r/>
          </w:p>
        </w:tc>
        <w:tc>
          <w:tcPr>
            <w:tcW w:w="2735" w:type="dxa"/>
            <w:vAlign w:val="center"/>
            <w:textDirection w:val="lrTb"/>
            <w:noWrap w:val="false"/>
          </w:tcPr>
          <w:p>
            <w:pPr>
              <w:rPr>
                <w:highlight w:val="none"/>
              </w:rPr>
            </w:pPr>
            <w:r/>
            <w:bookmarkStart w:id="165" w:name="OLE_LINK2"/>
            <w:r/>
            <w:bookmarkStart w:id="166" w:name="OLE_LINK5"/>
            <w:r>
              <w:rPr>
                <w:highlight w:val="none"/>
              </w:rPr>
              <w:t xml:space="preserve">南京市浦口区如山路</w:t>
            </w:r>
            <w:r>
              <w:rPr>
                <w:rFonts w:hint="eastAsia"/>
                <w:highlight w:val="none"/>
              </w:rPr>
              <w:t xml:space="preserve">6号</w:t>
            </w:r>
            <w:bookmarkEnd w:id="165"/>
            <w:r/>
            <w:bookmarkEnd w:id="166"/>
            <w:r/>
            <w:r/>
          </w:p>
        </w:tc>
      </w:tr>
      <w:tr>
        <w:trPr>
          <w:cantSplit/>
          <w:jc w:val="center"/>
          <w:trHeight w:val="454"/>
        </w:trPr>
        <w:tc>
          <w:tcPr>
            <w:tcW w:w="1253" w:type="dxa"/>
            <w:vAlign w:val="center"/>
            <w:vMerge w:val="restart"/>
            <w:textDirection w:val="lrTb"/>
            <w:noWrap w:val="false"/>
          </w:tcPr>
          <w:p>
            <w:pPr>
              <w:rPr>
                <w:highlight w:val="none"/>
                <w:lang w:eastAsia="en-US"/>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color w:val="ff0000"/>
                <w:highlight w:val="none"/>
              </w:rPr>
            </w:pPr>
            <w:r>
              <w:rPr>
                <w:rFonts w:hint="eastAsia"/>
                <w:highlight w:val="none"/>
              </w:rPr>
              <w:t xml:space="preserve">37449</w:t>
            </w:r>
            <w:r>
              <w:rPr>
                <w:rFonts w:hint="eastAsia"/>
                <w:highlight w:val="none"/>
                <w:lang w:eastAsia="en-US"/>
              </w:rPr>
              <w:t xml:space="preserve">平方</w:t>
            </w:r>
            <w:r>
              <w:rPr>
                <w:rFonts w:hint="eastAsia"/>
                <w:highlight w:val="none"/>
              </w:rPr>
              <w:t xml:space="preserve">米</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cantSplit/>
          <w:jc w:val="center"/>
          <w:trHeight w:val="454"/>
        </w:trPr>
        <w:tc>
          <w:tcPr>
            <w:tcW w:w="1253" w:type="dxa"/>
            <w:vAlign w:val="center"/>
            <w:vMerge w:val="continue"/>
            <w:textDirection w:val="lrTb"/>
            <w:noWrap w:val="false"/>
          </w:tcPr>
          <w:p>
            <w:pPr>
              <w:rPr>
                <w:highlight w:val="none"/>
                <w:lang w:eastAsia="en-US"/>
              </w:rPr>
            </w:pPr>
            <w:r>
              <w:rPr>
                <w:highlight w:val="none"/>
                <w:lang w:eastAsia="en-US"/>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color w:val="ff0000"/>
                <w:highlight w:val="none"/>
              </w:rPr>
            </w:pPr>
            <w:r>
              <w:rPr>
                <w:rFonts w:hint="eastAsia"/>
                <w:highlight w:val="none"/>
                <w:lang w:eastAsia="en-US"/>
              </w:rPr>
              <w:t xml:space="preserve">约 </w:t>
            </w:r>
            <w:r>
              <w:rPr>
                <w:rFonts w:hint="eastAsia"/>
                <w:highlight w:val="none"/>
              </w:rPr>
              <w:t xml:space="preserve">16595</w:t>
            </w:r>
            <w:r>
              <w:rPr>
                <w:rFonts w:hint="eastAsia"/>
                <w:highlight w:val="none"/>
                <w:lang w:eastAsia="en-US"/>
              </w:rPr>
              <w:t xml:space="preserve">平方</w:t>
            </w:r>
            <w:r>
              <w:rPr>
                <w:rFonts w:hint="eastAsia"/>
                <w:highlight w:val="none"/>
              </w:rPr>
              <w:t xml:space="preserve">米</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门窗</w:t>
            </w:r>
            <w:r/>
          </w:p>
        </w:tc>
        <w:tc>
          <w:tcPr>
            <w:tcW w:w="1631" w:type="dxa"/>
            <w:vAlign w:val="center"/>
            <w:textDirection w:val="lrTb"/>
            <w:noWrap w:val="false"/>
          </w:tcPr>
          <w:p>
            <w:pPr>
              <w:rPr>
                <w:highlight w:val="none"/>
              </w:rPr>
            </w:pPr>
            <w:r>
              <w:rPr>
                <w:rFonts w:hint="eastAsia"/>
                <w:highlight w:val="none"/>
              </w:rPr>
              <w:t xml:space="preserve">门窗总数量（个）及总面积（㎡）</w:t>
            </w:r>
            <w:r/>
          </w:p>
        </w:tc>
        <w:tc>
          <w:tcPr>
            <w:tcW w:w="3905" w:type="dxa"/>
            <w:vAlign w:val="center"/>
            <w:textDirection w:val="lrTb"/>
            <w:noWrap w:val="false"/>
          </w:tcPr>
          <w:p>
            <w:pPr>
              <w:rPr>
                <w:highlight w:val="none"/>
              </w:rPr>
            </w:pPr>
            <w:r>
              <w:rPr>
                <w:rFonts w:hint="eastAsia"/>
                <w:highlight w:val="none"/>
              </w:rPr>
              <w:t xml:space="preserve">门710个，面积约2100 平方米</w:t>
            </w:r>
            <w:r/>
          </w:p>
          <w:p>
            <w:pPr>
              <w:rPr>
                <w:color w:val="ff0000"/>
                <w:highlight w:val="none"/>
              </w:rPr>
            </w:pPr>
            <w:r>
              <w:rPr>
                <w:rFonts w:hint="eastAsia"/>
                <w:highlight w:val="none"/>
              </w:rPr>
              <w:t xml:space="preserve">窗1004个，面积约1000平方米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地面</w:t>
            </w:r>
            <w:r/>
          </w:p>
        </w:tc>
        <w:tc>
          <w:tcPr>
            <w:tcW w:w="1631" w:type="dxa"/>
            <w:vAlign w:val="center"/>
            <w:textDirection w:val="lrTb"/>
            <w:noWrap w:val="false"/>
          </w:tcPr>
          <w:p>
            <w:pPr>
              <w:rPr>
                <w:highlight w:val="none"/>
              </w:rPr>
            </w:pPr>
            <w:r>
              <w:rPr>
                <w:rFonts w:hint="eastAsia"/>
                <w:highlight w:val="none"/>
              </w:rPr>
              <w:t xml:space="preserve">地面各材质及总面积（㎡）</w:t>
            </w:r>
            <w:r/>
          </w:p>
        </w:tc>
        <w:tc>
          <w:tcPr>
            <w:tcW w:w="3905" w:type="dxa"/>
            <w:vAlign w:val="center"/>
            <w:textDirection w:val="lrTb"/>
            <w:noWrap w:val="false"/>
          </w:tcPr>
          <w:p>
            <w:pPr>
              <w:rPr>
                <w:highlight w:val="none"/>
              </w:rPr>
            </w:pPr>
            <w:r>
              <w:rPr>
                <w:rFonts w:hint="eastAsia"/>
                <w:highlight w:val="none"/>
              </w:rPr>
              <w:t xml:space="preserve">大理石地面总面积6037平方米</w:t>
            </w:r>
            <w:r/>
          </w:p>
          <w:p>
            <w:pPr>
              <w:rPr>
                <w:highlight w:val="none"/>
              </w:rPr>
            </w:pPr>
            <w:r>
              <w:rPr>
                <w:rFonts w:hint="eastAsia"/>
                <w:highlight w:val="none"/>
              </w:rPr>
              <w:t xml:space="preserve">木地板总面积3641平方米</w:t>
            </w:r>
            <w:r/>
          </w:p>
          <w:p>
            <w:pPr>
              <w:rPr>
                <w:highlight w:val="none"/>
              </w:rPr>
            </w:pPr>
            <w:r>
              <w:rPr>
                <w:rFonts w:hint="eastAsia"/>
                <w:highlight w:val="none"/>
              </w:rPr>
              <w:t xml:space="preserve">地毯总面积1165平方米</w:t>
            </w:r>
            <w:r/>
          </w:p>
          <w:p>
            <w:pPr>
              <w:rPr>
                <w:highlight w:val="none"/>
              </w:rPr>
            </w:pPr>
            <w:r>
              <w:rPr>
                <w:rFonts w:hint="eastAsia"/>
                <w:highlight w:val="none"/>
              </w:rPr>
              <w:t xml:space="preserve">地砖总面积12500平方米</w:t>
            </w:r>
            <w:r/>
          </w:p>
          <w:p>
            <w:pPr>
              <w:rPr>
                <w:highlight w:val="none"/>
              </w:rPr>
            </w:pPr>
            <w:r>
              <w:rPr>
                <w:rFonts w:hint="eastAsia"/>
                <w:highlight w:val="none"/>
              </w:rPr>
              <w:t xml:space="preserve">地下室金刚砂地面总面积9000平方米</w:t>
            </w:r>
            <w:r/>
          </w:p>
          <w:p>
            <w:pPr>
              <w:rPr>
                <w:color w:val="ff0000"/>
                <w:highlight w:val="none"/>
              </w:rPr>
            </w:pPr>
            <w:r>
              <w:rPr>
                <w:rFonts w:hint="eastAsia"/>
                <w:highlight w:val="none"/>
              </w:rPr>
              <w:t xml:space="preserve">室外铺装石材地面总面积3687平方米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内墙饰面</w:t>
            </w:r>
            <w:r/>
          </w:p>
        </w:tc>
        <w:tc>
          <w:tcPr>
            <w:tcW w:w="1631" w:type="dxa"/>
            <w:vAlign w:val="center"/>
            <w:textDirection w:val="lrTb"/>
            <w:noWrap w:val="false"/>
          </w:tcPr>
          <w:p>
            <w:pPr>
              <w:rPr>
                <w:highlight w:val="none"/>
              </w:rPr>
            </w:pPr>
            <w:r>
              <w:rPr>
                <w:rFonts w:hint="eastAsia"/>
                <w:highlight w:val="none"/>
              </w:rPr>
              <w:t xml:space="preserve">内墙饰面各材质及总面积（㎡）</w:t>
            </w:r>
            <w:r/>
          </w:p>
        </w:tc>
        <w:tc>
          <w:tcPr>
            <w:tcW w:w="3905" w:type="dxa"/>
            <w:vAlign w:val="center"/>
            <w:textDirection w:val="lrTb"/>
            <w:noWrap w:val="false"/>
          </w:tcPr>
          <w:p>
            <w:pPr>
              <w:rPr>
                <w:highlight w:val="none"/>
              </w:rPr>
            </w:pPr>
            <w:r>
              <w:rPr>
                <w:rFonts w:hint="eastAsia"/>
                <w:highlight w:val="none"/>
              </w:rPr>
              <w:t xml:space="preserve">大理石墙面总面积5518平方米</w:t>
            </w:r>
            <w:r/>
          </w:p>
          <w:p>
            <w:pPr>
              <w:rPr>
                <w:highlight w:val="none"/>
              </w:rPr>
            </w:pPr>
            <w:r>
              <w:rPr>
                <w:rFonts w:hint="eastAsia"/>
                <w:highlight w:val="none"/>
              </w:rPr>
              <w:t xml:space="preserve">岩板墙面总面积4147平方米</w:t>
            </w:r>
            <w:r/>
          </w:p>
          <w:p>
            <w:pPr>
              <w:rPr>
                <w:highlight w:val="none"/>
              </w:rPr>
            </w:pPr>
            <w:r>
              <w:rPr>
                <w:rFonts w:hint="eastAsia"/>
                <w:highlight w:val="none"/>
              </w:rPr>
              <w:t xml:space="preserve">乳胶漆墙面总面积14094平方米</w:t>
            </w:r>
            <w:r/>
          </w:p>
          <w:p>
            <w:pPr>
              <w:rPr>
                <w:highlight w:val="none"/>
              </w:rPr>
            </w:pPr>
            <w:r>
              <w:rPr>
                <w:rFonts w:hint="eastAsia"/>
                <w:highlight w:val="none"/>
              </w:rPr>
              <w:t xml:space="preserve">会议室消音板墙面面积43平方米</w:t>
            </w:r>
            <w:r/>
          </w:p>
          <w:p>
            <w:pPr>
              <w:rPr>
                <w:highlight w:val="none"/>
              </w:rPr>
            </w:pPr>
            <w:r>
              <w:rPr>
                <w:rFonts w:hint="eastAsia"/>
                <w:highlight w:val="none"/>
              </w:rPr>
              <w:t xml:space="preserve">法庭铝板墙面面积645平方米</w:t>
            </w:r>
            <w:r/>
          </w:p>
          <w:p>
            <w:pPr>
              <w:rPr>
                <w:highlight w:val="none"/>
              </w:rPr>
            </w:pPr>
            <w:r>
              <w:rPr>
                <w:rFonts w:hint="eastAsia"/>
                <w:highlight w:val="none"/>
              </w:rPr>
              <w:t xml:space="preserve">法庭木饰面面积422平方米</w:t>
            </w:r>
            <w:r/>
          </w:p>
          <w:p>
            <w:pPr>
              <w:rPr>
                <w:highlight w:val="none"/>
              </w:rPr>
            </w:pPr>
            <w:r>
              <w:rPr>
                <w:rFonts w:hint="eastAsia"/>
                <w:highlight w:val="none"/>
              </w:rPr>
              <w:t xml:space="preserve">五层六层玻璃砖墙面面积190平方米</w:t>
            </w:r>
            <w:r/>
          </w:p>
          <w:p>
            <w:pPr>
              <w:rPr>
                <w:highlight w:val="none"/>
              </w:rPr>
            </w:pPr>
            <w:r>
              <w:rPr>
                <w:rFonts w:hint="eastAsia"/>
                <w:highlight w:val="none"/>
              </w:rPr>
              <w:t xml:space="preserve">吸声硬包墙面面积1274平方米</w:t>
            </w:r>
            <w:r/>
          </w:p>
          <w:p>
            <w:pPr>
              <w:rPr>
                <w:color w:val="ff0000"/>
                <w:highlight w:val="none"/>
                <w:lang w:eastAsia="en-US"/>
              </w:rPr>
            </w:pPr>
            <w:r>
              <w:rPr>
                <w:rFonts w:hint="eastAsia"/>
                <w:highlight w:val="none"/>
              </w:rPr>
              <w:t xml:space="preserve">玻璃栏板面积249平方米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顶面</w:t>
            </w:r>
            <w:r/>
          </w:p>
        </w:tc>
        <w:tc>
          <w:tcPr>
            <w:tcW w:w="1631" w:type="dxa"/>
            <w:vAlign w:val="center"/>
            <w:textDirection w:val="lrTb"/>
            <w:noWrap w:val="false"/>
          </w:tcPr>
          <w:p>
            <w:pPr>
              <w:rPr>
                <w:highlight w:val="none"/>
              </w:rPr>
            </w:pPr>
            <w:r>
              <w:rPr>
                <w:rFonts w:hint="eastAsia"/>
                <w:highlight w:val="none"/>
              </w:rPr>
              <w:t xml:space="preserve">顶面各材质及总面积（㎡）</w:t>
            </w:r>
            <w:r/>
          </w:p>
        </w:tc>
        <w:tc>
          <w:tcPr>
            <w:tcW w:w="3905" w:type="dxa"/>
            <w:vAlign w:val="center"/>
            <w:textDirection w:val="lrTb"/>
            <w:noWrap w:val="false"/>
          </w:tcPr>
          <w:p>
            <w:pPr>
              <w:rPr>
                <w:highlight w:val="none"/>
              </w:rPr>
            </w:pPr>
            <w:r>
              <w:rPr>
                <w:rFonts w:hint="eastAsia"/>
                <w:highlight w:val="none"/>
              </w:rPr>
              <w:t xml:space="preserve">乳胶漆顶面总面积4800平方米</w:t>
            </w:r>
            <w:r/>
          </w:p>
          <w:p>
            <w:pPr>
              <w:rPr>
                <w:highlight w:val="none"/>
              </w:rPr>
            </w:pPr>
            <w:r>
              <w:rPr>
                <w:rFonts w:hint="eastAsia"/>
                <w:highlight w:val="none"/>
              </w:rPr>
              <w:t xml:space="preserve">铝板顶面总面积13320平方米</w:t>
            </w:r>
            <w:r/>
          </w:p>
          <w:p>
            <w:pPr>
              <w:rPr>
                <w:color w:val="ff0000"/>
                <w:highlight w:val="none"/>
              </w:rPr>
            </w:pPr>
            <w:r>
              <w:rPr>
                <w:rFonts w:hint="eastAsia"/>
                <w:highlight w:val="none"/>
              </w:rPr>
              <w:t xml:space="preserve">铝方通吊顶总面积427平方米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vMerge w:val="restart"/>
            <w:textDirection w:val="lrTb"/>
            <w:noWrap w:val="false"/>
          </w:tcPr>
          <w:p>
            <w:pPr>
              <w:rPr>
                <w:highlight w:val="none"/>
                <w:lang w:eastAsia="en-US"/>
              </w:rPr>
            </w:pPr>
            <w:r>
              <w:rPr>
                <w:rFonts w:hint="eastAsia"/>
                <w:highlight w:val="none"/>
                <w:lang w:eastAsia="en-US"/>
              </w:rPr>
              <w:t xml:space="preserve">外墙</w:t>
            </w:r>
            <w:r/>
          </w:p>
        </w:tc>
        <w:tc>
          <w:tcPr>
            <w:tcW w:w="1631" w:type="dxa"/>
            <w:vAlign w:val="center"/>
            <w:textDirection w:val="lrTb"/>
            <w:noWrap w:val="false"/>
          </w:tcPr>
          <w:p>
            <w:pPr>
              <w:rPr>
                <w:highlight w:val="none"/>
              </w:rPr>
            </w:pPr>
            <w:r>
              <w:rPr>
                <w:rFonts w:hint="eastAsia"/>
                <w:highlight w:val="none"/>
              </w:rPr>
              <w:t xml:space="preserve">外墙各材质及总面积（㎡）</w:t>
            </w:r>
            <w:r/>
          </w:p>
        </w:tc>
        <w:tc>
          <w:tcPr>
            <w:tcW w:w="3905" w:type="dxa"/>
            <w:vAlign w:val="center"/>
            <w:textDirection w:val="lrTb"/>
            <w:noWrap w:val="false"/>
          </w:tcPr>
          <w:p>
            <w:pPr>
              <w:rPr>
                <w:highlight w:val="none"/>
              </w:rPr>
            </w:pPr>
            <w:r>
              <w:rPr>
                <w:rFonts w:hint="eastAsia"/>
                <w:highlight w:val="none"/>
              </w:rPr>
              <w:t xml:space="preserve">干挂石材外墙总面积13205平方米</w:t>
            </w:r>
            <w:r/>
          </w:p>
          <w:p>
            <w:pPr>
              <w:rPr>
                <w:highlight w:val="none"/>
              </w:rPr>
            </w:pPr>
            <w:r>
              <w:rPr>
                <w:rFonts w:hint="eastAsia"/>
                <w:highlight w:val="none"/>
              </w:rPr>
              <w:t xml:space="preserve">玻璃幕墙总面积4917平方米</w:t>
            </w:r>
            <w:r/>
          </w:p>
          <w:p>
            <w:pPr>
              <w:rPr>
                <w:highlight w:val="none"/>
              </w:rPr>
            </w:pPr>
            <w:r>
              <w:rPr>
                <w:rFonts w:hint="eastAsia"/>
                <w:highlight w:val="none"/>
              </w:rPr>
              <w:t xml:space="preserve">铝板幕墙总面积3795平方米</w:t>
            </w:r>
            <w:r/>
          </w:p>
          <w:p>
            <w:pPr>
              <w:rPr>
                <w:highlight w:val="none"/>
              </w:rPr>
            </w:pPr>
            <w:r>
              <w:rPr>
                <w:rFonts w:hint="eastAsia"/>
                <w:highlight w:val="none"/>
              </w:rPr>
              <w:t xml:space="preserve">玻璃采光顶面积122平方米</w:t>
            </w:r>
            <w:r/>
          </w:p>
          <w:p>
            <w:pPr>
              <w:rPr>
                <w:color w:val="ff0000"/>
                <w:highlight w:val="none"/>
              </w:rPr>
            </w:pPr>
            <w:r>
              <w:rPr>
                <w:rFonts w:hint="eastAsia"/>
                <w:highlight w:val="none"/>
              </w:rPr>
              <w:t xml:space="preserve">铝板雨棚面积70平方米</w:t>
            </w:r>
            <w:r/>
          </w:p>
        </w:tc>
        <w:tc>
          <w:tcPr>
            <w:tcW w:w="2735" w:type="dxa"/>
            <w:vAlign w:val="center"/>
            <w:textDirection w:val="lrTb"/>
            <w:noWrap w:val="false"/>
          </w:tcPr>
          <w:p>
            <w:pPr>
              <w:rPr>
                <w:highlight w:val="none"/>
              </w:rPr>
            </w:pPr>
            <w:r>
              <w:rPr>
                <w:rFonts w:hint="eastAsia"/>
                <w:highlight w:val="none"/>
              </w:rPr>
              <w:t xml:space="preserve">见“3.2房屋维护服务”“3.4保洁服务”</w:t>
            </w:r>
            <w:r/>
          </w:p>
        </w:tc>
      </w:tr>
      <w:tr>
        <w:trPr>
          <w:cantSplit/>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rPr>
            </w:pPr>
            <w:r>
              <w:rPr>
                <w:rFonts w:hint="eastAsia"/>
                <w:highlight w:val="none"/>
              </w:rPr>
              <w:t xml:space="preserve">外墙需清洗面积（㎡）</w:t>
            </w:r>
            <w:r/>
          </w:p>
        </w:tc>
        <w:tc>
          <w:tcPr>
            <w:tcW w:w="3905" w:type="dxa"/>
            <w:vAlign w:val="center"/>
            <w:textDirection w:val="lrTb"/>
            <w:noWrap w:val="false"/>
          </w:tcPr>
          <w:p>
            <w:pPr>
              <w:rPr>
                <w:color w:val="ff0000"/>
                <w:highlight w:val="none"/>
                <w:lang w:eastAsia="en-US"/>
              </w:rPr>
            </w:pPr>
            <w:r>
              <w:rPr>
                <w:rFonts w:hint="eastAsia"/>
                <w:highlight w:val="none"/>
                <w:lang w:eastAsia="en-US"/>
              </w:rPr>
              <w:t xml:space="preserve">清洗面积</w:t>
            </w:r>
            <w:r>
              <w:rPr>
                <w:rFonts w:hint="eastAsia"/>
                <w:highlight w:val="none"/>
              </w:rPr>
              <w:t xml:space="preserve">22111</w:t>
            </w:r>
            <w:r>
              <w:rPr>
                <w:rFonts w:hint="eastAsia"/>
                <w:highlight w:val="none"/>
                <w:lang w:eastAsia="en-US"/>
              </w:rPr>
              <w:t xml:space="preserve">平方米</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cantSplit/>
          <w:jc w:val="center"/>
          <w:trHeight w:val="978"/>
        </w:trPr>
        <w:tc>
          <w:tcPr>
            <w:tcW w:w="1253" w:type="dxa"/>
            <w:vAlign w:val="center"/>
            <w:textDirection w:val="lrTb"/>
            <w:noWrap w:val="false"/>
          </w:tcPr>
          <w:p>
            <w:pPr>
              <w:rPr>
                <w:highlight w:val="none"/>
                <w:lang w:eastAsia="en-US"/>
              </w:rPr>
            </w:pPr>
            <w:r>
              <w:rPr>
                <w:rFonts w:hint="eastAsia"/>
                <w:highlight w:val="none"/>
                <w:lang w:eastAsia="en-US"/>
              </w:rPr>
              <w:t xml:space="preserve">会议室</w:t>
            </w:r>
            <w:r/>
          </w:p>
        </w:tc>
        <w:tc>
          <w:tcPr>
            <w:tcW w:w="1631" w:type="dxa"/>
            <w:vAlign w:val="center"/>
            <w:textDirection w:val="lrTb"/>
            <w:noWrap w:val="false"/>
          </w:tcPr>
          <w:p>
            <w:pPr>
              <w:rPr>
                <w:highlight w:val="none"/>
              </w:rPr>
            </w:pPr>
            <w:r>
              <w:rPr>
                <w:rFonts w:hint="eastAsia"/>
                <w:highlight w:val="none"/>
              </w:rPr>
              <w:t xml:space="preserve">会议室数量（个）及总面积（㎡）</w:t>
            </w:r>
            <w:r/>
          </w:p>
        </w:tc>
        <w:tc>
          <w:tcPr>
            <w:tcW w:w="3905" w:type="dxa"/>
            <w:vAlign w:val="center"/>
            <w:textDirection w:val="lrTb"/>
            <w:noWrap w:val="false"/>
          </w:tcPr>
          <w:p>
            <w:pPr>
              <w:rPr>
                <w:color w:val="ff0000"/>
                <w:highlight w:val="none"/>
              </w:rPr>
            </w:pPr>
            <w:r>
              <w:rPr>
                <w:rFonts w:hint="eastAsia"/>
                <w:highlight w:val="none"/>
              </w:rPr>
              <w:t xml:space="preserve">会议室17个，总面积1641平方米</w:t>
            </w:r>
            <w:r/>
          </w:p>
        </w:tc>
        <w:tc>
          <w:tcPr>
            <w:tcW w:w="2735" w:type="dxa"/>
            <w:vAlign w:val="center"/>
            <w:textDirection w:val="lrTb"/>
            <w:noWrap w:val="false"/>
          </w:tcPr>
          <w:p>
            <w:pPr>
              <w:rPr>
                <w:highlight w:val="none"/>
              </w:rPr>
            </w:pPr>
            <w:r>
              <w:rPr>
                <w:rFonts w:hint="eastAsia"/>
                <w:highlight w:val="none"/>
              </w:rPr>
              <w:t xml:space="preserve">见“3.4保洁服务”“3.6会议服务”</w:t>
            </w:r>
            <w:r/>
          </w:p>
        </w:tc>
      </w:tr>
      <w:tr>
        <w:trPr>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卫生间</w:t>
            </w:r>
            <w:r/>
          </w:p>
        </w:tc>
        <w:tc>
          <w:tcPr>
            <w:tcW w:w="1631" w:type="dxa"/>
            <w:vAlign w:val="center"/>
            <w:textDirection w:val="lrTb"/>
            <w:noWrap w:val="false"/>
          </w:tcPr>
          <w:p>
            <w:pPr>
              <w:rPr>
                <w:highlight w:val="none"/>
              </w:rPr>
            </w:pPr>
            <w:r>
              <w:rPr>
                <w:rFonts w:hint="eastAsia"/>
                <w:highlight w:val="none"/>
              </w:rPr>
              <w:t xml:space="preserve">卫生间数量（个）及总面积（㎡）</w:t>
            </w:r>
            <w:r/>
          </w:p>
        </w:tc>
        <w:tc>
          <w:tcPr>
            <w:tcW w:w="3905" w:type="dxa"/>
            <w:vAlign w:val="center"/>
            <w:textDirection w:val="lrTb"/>
            <w:noWrap w:val="false"/>
          </w:tcPr>
          <w:p>
            <w:pPr>
              <w:rPr>
                <w:color w:val="ff0000"/>
                <w:highlight w:val="none"/>
              </w:rPr>
            </w:pPr>
            <w:r>
              <w:rPr>
                <w:rFonts w:hint="eastAsia"/>
                <w:highlight w:val="none"/>
              </w:rPr>
              <w:t xml:space="preserve">卫生间3</w:t>
            </w:r>
            <w:r>
              <w:rPr>
                <w:highlight w:val="none"/>
              </w:rPr>
              <w:t xml:space="preserve">4</w:t>
            </w:r>
            <w:r>
              <w:rPr>
                <w:rFonts w:hint="eastAsia"/>
                <w:highlight w:val="none"/>
              </w:rPr>
              <w:t xml:space="preserve">个，总面积840平方米</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淋浴间</w:t>
            </w:r>
            <w:r/>
          </w:p>
        </w:tc>
        <w:tc>
          <w:tcPr>
            <w:tcW w:w="1631" w:type="dxa"/>
            <w:vAlign w:val="center"/>
            <w:textDirection w:val="lrTb"/>
            <w:noWrap w:val="false"/>
          </w:tcPr>
          <w:p>
            <w:pPr>
              <w:rPr>
                <w:highlight w:val="none"/>
              </w:rPr>
            </w:pPr>
            <w:r>
              <w:rPr>
                <w:rFonts w:hint="eastAsia"/>
                <w:highlight w:val="none"/>
              </w:rPr>
              <w:t xml:space="preserve">淋浴间数量（个）及总面积（㎡）</w:t>
            </w:r>
            <w:r/>
          </w:p>
        </w:tc>
        <w:tc>
          <w:tcPr>
            <w:tcW w:w="3905" w:type="dxa"/>
            <w:vAlign w:val="center"/>
            <w:textDirection w:val="lrTb"/>
            <w:noWrap w:val="false"/>
          </w:tcPr>
          <w:p>
            <w:pPr>
              <w:rPr>
                <w:color w:val="ff0000"/>
                <w:highlight w:val="none"/>
              </w:rPr>
            </w:pPr>
            <w:r>
              <w:rPr>
                <w:rFonts w:hint="eastAsia"/>
                <w:highlight w:val="none"/>
              </w:rPr>
              <w:t xml:space="preserve">淋浴间7个，总面积90平方米</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textDirection w:val="lrTb"/>
            <w:noWrap w:val="false"/>
          </w:tcPr>
          <w:p>
            <w:pPr>
              <w:rPr>
                <w:highlight w:val="none"/>
                <w:lang w:eastAsia="en-US"/>
              </w:rPr>
            </w:pPr>
            <w:r>
              <w:rPr>
                <w:rFonts w:hint="eastAsia"/>
                <w:highlight w:val="none"/>
                <w:lang w:eastAsia="en-US"/>
              </w:rPr>
              <w:t xml:space="preserve">车位数</w:t>
            </w:r>
            <w:r/>
          </w:p>
        </w:tc>
        <w:tc>
          <w:tcPr>
            <w:tcW w:w="1631" w:type="dxa"/>
            <w:vAlign w:val="center"/>
            <w:textDirection w:val="lrTb"/>
            <w:noWrap w:val="false"/>
          </w:tcPr>
          <w:p>
            <w:pPr>
              <w:rPr>
                <w:highlight w:val="none"/>
                <w:lang w:eastAsia="en-US"/>
              </w:rPr>
            </w:pPr>
            <w:r>
              <w:rPr>
                <w:rFonts w:hint="eastAsia"/>
                <w:highlight w:val="none"/>
                <w:lang w:eastAsia="en-US"/>
              </w:rPr>
              <w:t xml:space="preserve">地下车位数</w:t>
            </w:r>
            <w:r/>
          </w:p>
        </w:tc>
        <w:tc>
          <w:tcPr>
            <w:tcW w:w="3905" w:type="dxa"/>
            <w:vAlign w:val="center"/>
            <w:textDirection w:val="lrTb"/>
            <w:noWrap w:val="false"/>
          </w:tcPr>
          <w:p>
            <w:pPr>
              <w:rPr>
                <w:color w:val="ff0000"/>
                <w:highlight w:val="none"/>
                <w:lang w:eastAsia="en-US"/>
              </w:rPr>
            </w:pPr>
            <w:r>
              <w:rPr>
                <w:rFonts w:hint="eastAsia"/>
                <w:highlight w:val="none"/>
                <w:lang w:eastAsia="en-US"/>
              </w:rPr>
              <w:t xml:space="preserve">2</w:t>
            </w:r>
            <w:r>
              <w:rPr>
                <w:rFonts w:hint="eastAsia"/>
                <w:highlight w:val="none"/>
              </w:rPr>
              <w:t xml:space="preserve">05</w:t>
            </w:r>
            <w:r>
              <w:rPr>
                <w:rFonts w:hint="eastAsia"/>
                <w:highlight w:val="none"/>
                <w:lang w:eastAsia="en-US"/>
              </w:rPr>
              <w:t xml:space="preserve">个，其中</w:t>
            </w:r>
            <w:r>
              <w:rPr>
                <w:rFonts w:hint="eastAsia"/>
                <w:highlight w:val="none"/>
              </w:rPr>
              <w:t xml:space="preserve">充电</w:t>
            </w:r>
            <w:r>
              <w:rPr>
                <w:rFonts w:hint="eastAsia"/>
                <w:highlight w:val="none"/>
                <w:lang w:eastAsia="en-US"/>
              </w:rPr>
              <w:t xml:space="preserve">车位</w:t>
            </w:r>
            <w:r>
              <w:rPr>
                <w:rFonts w:hint="eastAsia"/>
                <w:highlight w:val="none"/>
              </w:rPr>
              <w:t xml:space="preserve">48</w:t>
            </w:r>
            <w:r>
              <w:rPr>
                <w:rFonts w:hint="eastAsia"/>
                <w:highlight w:val="none"/>
                <w:lang w:eastAsia="en-US"/>
              </w:rPr>
              <w:t xml:space="preserve">个</w:t>
            </w:r>
            <w:r/>
          </w:p>
        </w:tc>
        <w:tc>
          <w:tcPr>
            <w:tcW w:w="2735" w:type="dxa"/>
            <w:vAlign w:val="center"/>
            <w:textDirection w:val="lrTb"/>
            <w:noWrap w:val="false"/>
          </w:tcPr>
          <w:p>
            <w:pPr>
              <w:rPr>
                <w:highlight w:val="none"/>
                <w:lang w:eastAsia="en-US"/>
              </w:rPr>
            </w:pPr>
            <w:r>
              <w:rPr>
                <w:rFonts w:hint="eastAsia"/>
                <w:highlight w:val="none"/>
                <w:lang w:eastAsia="en-US"/>
              </w:rPr>
              <w:t xml:space="preserve">见“3.</w:t>
            </w:r>
            <w:r>
              <w:rPr>
                <w:rFonts w:hint="eastAsia"/>
                <w:highlight w:val="none"/>
              </w:rPr>
              <w:t xml:space="preserve">5</w:t>
            </w:r>
            <w:r>
              <w:rPr>
                <w:rFonts w:hint="eastAsia"/>
                <w:highlight w:val="none"/>
                <w:lang w:eastAsia="en-US"/>
              </w:rPr>
              <w:t xml:space="preserve">保安服务”</w:t>
            </w:r>
            <w:r/>
          </w:p>
        </w:tc>
      </w:tr>
      <w:tr>
        <w:trPr>
          <w:jc w:val="center"/>
          <w:trHeight w:val="454"/>
        </w:trPr>
        <w:tc>
          <w:tcPr>
            <w:tcW w:w="1253" w:type="dxa"/>
            <w:vAlign w:val="center"/>
            <w:vMerge w:val="restart"/>
            <w:textDirection w:val="lrTb"/>
            <w:noWrap w:val="false"/>
          </w:tcPr>
          <w:p>
            <w:pPr>
              <w:rPr>
                <w:highlight w:val="none"/>
                <w:lang w:eastAsia="en-US"/>
              </w:rPr>
            </w:pPr>
            <w:r>
              <w:rPr>
                <w:rFonts w:hint="eastAsia"/>
                <w:highlight w:val="none"/>
                <w:lang w:eastAsia="en-US"/>
              </w:rPr>
              <w:t xml:space="preserve">车行/人行口</w:t>
            </w:r>
            <w:r/>
          </w:p>
        </w:tc>
        <w:tc>
          <w:tcPr>
            <w:tcW w:w="1631" w:type="dxa"/>
            <w:vAlign w:val="center"/>
            <w:textDirection w:val="lrTb"/>
            <w:noWrap w:val="false"/>
          </w:tcPr>
          <w:p>
            <w:pPr>
              <w:rPr>
                <w:highlight w:val="none"/>
                <w:lang w:eastAsia="en-US"/>
              </w:rPr>
            </w:pPr>
            <w:r>
              <w:rPr>
                <w:rFonts w:hint="eastAsia"/>
                <w:highlight w:val="none"/>
                <w:lang w:eastAsia="en-US"/>
              </w:rPr>
              <w:t xml:space="preserve">车行口</w:t>
            </w:r>
            <w:r/>
          </w:p>
        </w:tc>
        <w:tc>
          <w:tcPr>
            <w:tcW w:w="3905" w:type="dxa"/>
            <w:vAlign w:val="center"/>
            <w:textDirection w:val="lrTb"/>
            <w:noWrap w:val="false"/>
          </w:tcPr>
          <w:p>
            <w:pPr>
              <w:rPr>
                <w:highlight w:val="none"/>
                <w:lang w:eastAsia="en-US"/>
              </w:rPr>
            </w:pPr>
            <w:r>
              <w:rPr>
                <w:rFonts w:hint="eastAsia"/>
                <w:highlight w:val="none"/>
              </w:rPr>
              <w:t xml:space="preserve">2</w:t>
            </w:r>
            <w:r>
              <w:rPr>
                <w:rFonts w:hint="eastAsia"/>
                <w:highlight w:val="none"/>
                <w:lang w:eastAsia="en-US"/>
              </w:rPr>
              <w:t xml:space="preserve">个</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highlight w:val="none"/>
                <w:lang w:eastAsia="en-US"/>
              </w:rPr>
            </w:pPr>
            <w:r>
              <w:rPr>
                <w:highlight w:val="none"/>
                <w:lang w:eastAsia="en-US"/>
              </w:rPr>
            </w:r>
            <w:r/>
          </w:p>
        </w:tc>
        <w:tc>
          <w:tcPr>
            <w:tcW w:w="1631" w:type="dxa"/>
            <w:vAlign w:val="center"/>
            <w:textDirection w:val="lrTb"/>
            <w:noWrap w:val="false"/>
          </w:tcPr>
          <w:p>
            <w:pPr>
              <w:rPr>
                <w:highlight w:val="none"/>
                <w:lang w:eastAsia="en-US"/>
              </w:rPr>
            </w:pPr>
            <w:r>
              <w:rPr>
                <w:rFonts w:hint="eastAsia"/>
                <w:highlight w:val="none"/>
                <w:lang w:eastAsia="en-US"/>
              </w:rPr>
              <w:t xml:space="preserve">人行口</w:t>
            </w:r>
            <w:r/>
          </w:p>
        </w:tc>
        <w:tc>
          <w:tcPr>
            <w:tcW w:w="3905" w:type="dxa"/>
            <w:vAlign w:val="center"/>
            <w:textDirection w:val="lrTb"/>
            <w:noWrap w:val="false"/>
          </w:tcPr>
          <w:p>
            <w:pPr>
              <w:rPr>
                <w:highlight w:val="none"/>
                <w:lang w:eastAsia="en-US"/>
              </w:rPr>
            </w:pPr>
            <w:r>
              <w:rPr>
                <w:rFonts w:hint="eastAsia"/>
                <w:highlight w:val="none"/>
              </w:rPr>
              <w:t xml:space="preserve">1</w:t>
            </w:r>
            <w:r>
              <w:rPr>
                <w:rFonts w:hint="eastAsia"/>
                <w:highlight w:val="none"/>
                <w:lang w:eastAsia="en-US"/>
              </w:rPr>
              <w:t xml:space="preserve">个</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90"/>
        </w:trPr>
        <w:tc>
          <w:tcPr>
            <w:tcW w:w="1253" w:type="dxa"/>
            <w:vAlign w:val="center"/>
            <w:vMerge w:val="restart"/>
            <w:textDirection w:val="lrTb"/>
            <w:noWrap w:val="false"/>
          </w:tcPr>
          <w:p>
            <w:pPr>
              <w:rPr>
                <w:highlight w:val="none"/>
              </w:rPr>
            </w:pPr>
            <w:r>
              <w:rPr>
                <w:rFonts w:hint="eastAsia"/>
                <w:highlight w:val="none"/>
              </w:rPr>
              <w:t xml:space="preserve">设施设备（可另行附表）</w:t>
            </w:r>
            <w:r/>
          </w:p>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color w:val="ff0000"/>
                <w:highlight w:val="none"/>
                <w:lang w:eastAsia="en-US"/>
              </w:rPr>
            </w:pPr>
            <w:r>
              <w:rPr>
                <w:rFonts w:hint="eastAsia"/>
                <w:highlight w:val="none"/>
                <w:lang w:eastAsia="en-US"/>
              </w:rPr>
              <w:t xml:space="preserve">货梯1台、客梯</w:t>
            </w:r>
            <w:r>
              <w:rPr>
                <w:rFonts w:hint="eastAsia"/>
                <w:highlight w:val="none"/>
              </w:rPr>
              <w:t xml:space="preserve">9</w:t>
            </w:r>
            <w:r>
              <w:rPr>
                <w:rFonts w:hint="eastAsia"/>
                <w:highlight w:val="none"/>
                <w:lang w:eastAsia="en-US"/>
              </w:rPr>
              <w:t xml:space="preserve">台</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color w:val="ff0000"/>
                <w:highlight w:val="none"/>
              </w:rPr>
            </w:pPr>
            <w:r>
              <w:rPr>
                <w:rFonts w:hint="eastAsia"/>
                <w:highlight w:val="none"/>
              </w:rPr>
              <w:t xml:space="preserve">大金V</w:t>
            </w:r>
            <w:r>
              <w:rPr>
                <w:highlight w:val="none"/>
              </w:rPr>
              <w:t xml:space="preserve">RV</w:t>
            </w:r>
            <w:r>
              <w:rPr>
                <w:rFonts w:hint="eastAsia"/>
                <w:highlight w:val="none"/>
              </w:rPr>
              <w:t xml:space="preserve">空调，室外机24套，室内机408台，新风机组17套，地送风14套，恒温恒湿空调2套，屋顶热泵式1套，壁挂机14套，多联机4套</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给排水系统</w:t>
            </w:r>
            <w:r/>
          </w:p>
        </w:tc>
        <w:tc>
          <w:tcPr>
            <w:tcW w:w="3905" w:type="dxa"/>
            <w:vAlign w:val="center"/>
            <w:textDirection w:val="lrTb"/>
            <w:noWrap w:val="false"/>
          </w:tcPr>
          <w:p>
            <w:pPr>
              <w:rPr>
                <w:color w:val="ff0000"/>
                <w:highlight w:val="none"/>
              </w:rPr>
            </w:pPr>
            <w:r>
              <w:rPr>
                <w:rFonts w:hint="eastAsia"/>
                <w:highlight w:val="none"/>
              </w:rPr>
              <w:t xml:space="preserve">变频生活给水系统2套，</w:t>
            </w:r>
            <w:r>
              <w:rPr>
                <w:rFonts w:hint="eastAsia" w:eastAsia="等线"/>
                <w:highlight w:val="none"/>
              </w:rPr>
              <w:t xml:space="preserve">15</w:t>
            </w:r>
            <w:r>
              <w:rPr>
                <w:rFonts w:hint="eastAsia"/>
                <w:highlight w:val="none"/>
              </w:rPr>
              <w:t xml:space="preserve">吨生活水箱</w:t>
            </w:r>
            <w:r>
              <w:rPr>
                <w:rFonts w:hint="eastAsia" w:eastAsia="等线"/>
                <w:highlight w:val="none"/>
              </w:rPr>
              <w:t xml:space="preserve">2</w:t>
            </w:r>
            <w:r>
              <w:rPr>
                <w:rFonts w:hint="eastAsia"/>
                <w:highlight w:val="none"/>
              </w:rPr>
              <w:t xml:space="preserve">个，雨水回收系统1套，隔油池1个</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color w:val="ff0000"/>
                <w:highlight w:val="none"/>
              </w:rPr>
            </w:pPr>
            <w:r>
              <w:rPr>
                <w:rFonts w:hint="eastAsia"/>
                <w:highlight w:val="none"/>
              </w:rPr>
              <w:t xml:space="preserve">火灾自动报警系统、自动喷淋系统、消火栓灭火系统、气体灭火系统、送排风系统、应急疏散照明、广播系统等。另设有7</w:t>
            </w:r>
            <w:r>
              <w:rPr>
                <w:highlight w:val="none"/>
              </w:rPr>
              <w:t xml:space="preserve">20</w:t>
            </w:r>
            <w:r>
              <w:rPr>
                <w:rFonts w:hint="eastAsia"/>
                <w:highlight w:val="none"/>
              </w:rPr>
              <w:t xml:space="preserve">立方米消防蓄水池1个，楼顶36立方米消防水箱1个</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饮水机。</w:t>
            </w:r>
            <w:r/>
          </w:p>
        </w:tc>
        <w:tc>
          <w:tcPr>
            <w:tcW w:w="3905" w:type="dxa"/>
            <w:vAlign w:val="center"/>
            <w:textDirection w:val="lrTb"/>
            <w:noWrap w:val="false"/>
          </w:tcPr>
          <w:p>
            <w:pPr>
              <w:rPr>
                <w:color w:val="ff0000"/>
                <w:highlight w:val="none"/>
              </w:rPr>
            </w:pPr>
            <w:r>
              <w:rPr>
                <w:rFonts w:hint="eastAsia"/>
                <w:highlight w:val="none"/>
              </w:rPr>
              <w:t xml:space="preserve">忆斯凯饮水机11台</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安防系统</w:t>
            </w:r>
            <w:r/>
          </w:p>
        </w:tc>
        <w:tc>
          <w:tcPr>
            <w:tcW w:w="3905" w:type="dxa"/>
            <w:vAlign w:val="center"/>
            <w:textDirection w:val="lrTb"/>
            <w:noWrap w:val="false"/>
          </w:tcPr>
          <w:p>
            <w:pPr>
              <w:rPr>
                <w:color w:val="ff0000"/>
                <w:highlight w:val="none"/>
              </w:rPr>
            </w:pPr>
            <w:r>
              <w:rPr>
                <w:rFonts w:hint="eastAsia"/>
                <w:highlight w:val="none"/>
              </w:rPr>
              <w:t xml:space="preserve">安防系统1套，共639个摄像机，门禁系统510个读卡器</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能耗监测</w:t>
            </w:r>
            <w:r/>
          </w:p>
        </w:tc>
        <w:tc>
          <w:tcPr>
            <w:tcW w:w="3905" w:type="dxa"/>
            <w:vAlign w:val="center"/>
            <w:textDirection w:val="lrTb"/>
            <w:noWrap w:val="false"/>
          </w:tcPr>
          <w:p>
            <w:pPr>
              <w:rPr>
                <w:color w:val="ff0000"/>
                <w:highlight w:val="none"/>
                <w:lang w:eastAsia="en-US"/>
              </w:rPr>
            </w:pPr>
            <w:r>
              <w:rPr>
                <w:rFonts w:hint="eastAsia"/>
                <w:highlight w:val="none"/>
                <w:lang w:eastAsia="en-US"/>
              </w:rPr>
              <w:t xml:space="preserve">能耗监测管理系统1套</w:t>
            </w:r>
            <w:r/>
          </w:p>
        </w:tc>
        <w:tc>
          <w:tcPr>
            <w:tcW w:w="2735" w:type="dxa"/>
            <w:vAlign w:val="center"/>
            <w:textDirection w:val="lrTb"/>
            <w:noWrap w:val="false"/>
          </w:tcPr>
          <w:p>
            <w:pPr>
              <w:rPr>
                <w:highlight w:val="none"/>
                <w:lang w:eastAsia="en-US"/>
              </w:rPr>
            </w:pPr>
            <w:r>
              <w:rPr>
                <w:highlight w:val="none"/>
                <w:lang w:eastAsia="en-US"/>
              </w:rPr>
            </w:r>
            <w:r/>
          </w:p>
        </w:tc>
      </w:tr>
      <w:tr>
        <w:trPr>
          <w:jc w:val="center"/>
          <w:trHeight w:val="454"/>
        </w:trPr>
        <w:tc>
          <w:tcPr>
            <w:tcW w:w="1253" w:type="dxa"/>
            <w:vAlign w:val="center"/>
            <w:vMerge w:val="continue"/>
            <w:textDirection w:val="lrTb"/>
            <w:noWrap w:val="false"/>
          </w:tcPr>
          <w:p>
            <w:pPr>
              <w:rPr>
                <w:color w:val="ff0000"/>
                <w:highlight w:val="none"/>
                <w:lang w:eastAsia="en-US"/>
              </w:rPr>
            </w:pPr>
            <w:r>
              <w:rPr>
                <w:color w:val="ff0000"/>
                <w:highlight w:val="none"/>
                <w:lang w:eastAsia="en-US"/>
              </w:rPr>
            </w:r>
            <w:r/>
          </w:p>
        </w:tc>
        <w:tc>
          <w:tcPr>
            <w:tcW w:w="1631" w:type="dxa"/>
            <w:vAlign w:val="center"/>
            <w:textDirection w:val="lrTb"/>
            <w:noWrap w:val="false"/>
          </w:tcPr>
          <w:p>
            <w:pPr>
              <w:rPr>
                <w:highlight w:val="none"/>
                <w:lang w:eastAsia="en-US"/>
              </w:rPr>
            </w:pPr>
            <w:r>
              <w:rPr>
                <w:rFonts w:hint="eastAsia"/>
                <w:highlight w:val="none"/>
                <w:lang w:eastAsia="en-US"/>
              </w:rPr>
              <w:t xml:space="preserve">车辆智能管理</w:t>
            </w:r>
            <w:r/>
          </w:p>
        </w:tc>
        <w:tc>
          <w:tcPr>
            <w:tcW w:w="3905" w:type="dxa"/>
            <w:vAlign w:val="center"/>
            <w:textDirection w:val="lrTb"/>
            <w:noWrap w:val="false"/>
          </w:tcPr>
          <w:p>
            <w:pPr>
              <w:rPr>
                <w:color w:val="ff0000"/>
                <w:highlight w:val="none"/>
              </w:rPr>
            </w:pPr>
            <w:r>
              <w:rPr>
                <w:rFonts w:hint="eastAsia"/>
                <w:highlight w:val="none"/>
              </w:rPr>
              <w:t xml:space="preserve">车辆道闸系统1套3台车辆道闸，6台人行道闸。</w:t>
            </w:r>
            <w:r/>
          </w:p>
        </w:tc>
        <w:tc>
          <w:tcPr>
            <w:tcW w:w="2735" w:type="dxa"/>
            <w:vAlign w:val="center"/>
            <w:textDirection w:val="lrTb"/>
            <w:noWrap w:val="false"/>
          </w:tcPr>
          <w:p>
            <w:pPr>
              <w:rPr>
                <w:highlight w:val="none"/>
              </w:rPr>
            </w:pPr>
            <w:r>
              <w:rPr>
                <w:highlight w:val="none"/>
              </w:rPr>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供配电系统</w:t>
            </w:r>
            <w:r/>
          </w:p>
        </w:tc>
        <w:tc>
          <w:tcPr>
            <w:tcW w:w="3905" w:type="dxa"/>
            <w:vAlign w:val="center"/>
            <w:textDirection w:val="lrTb"/>
            <w:noWrap w:val="false"/>
          </w:tcPr>
          <w:p>
            <w:pPr>
              <w:rPr>
                <w:color w:val="ff0000"/>
                <w:highlight w:val="none"/>
              </w:rPr>
            </w:pPr>
            <w:r>
              <w:rPr>
                <w:rFonts w:hint="eastAsia"/>
                <w:highlight w:val="none"/>
              </w:rPr>
              <w:t xml:space="preserve">高、低压配电系统1套，双回路供电，变压器2台，1</w:t>
            </w:r>
            <w:r>
              <w:rPr>
                <w:highlight w:val="none"/>
              </w:rPr>
              <w:t xml:space="preserve">600KVA</w:t>
            </w:r>
            <w:r>
              <w:rPr>
                <w:rFonts w:hint="eastAsia"/>
                <w:highlight w:val="none"/>
              </w:rPr>
              <w:t xml:space="preserve">2台，并网型太阳能发电系统</w:t>
            </w:r>
            <w:r/>
          </w:p>
        </w:tc>
        <w:tc>
          <w:tcPr>
            <w:tcW w:w="2735" w:type="dxa"/>
            <w:vAlign w:val="center"/>
            <w:textDirection w:val="lrTb"/>
            <w:noWrap w:val="false"/>
          </w:tcPr>
          <w:p>
            <w:pPr>
              <w:rPr>
                <w:highlight w:val="none"/>
              </w:rPr>
            </w:pPr>
            <w:r>
              <w:rPr>
                <w:rFonts w:hint="eastAsia"/>
                <w:highlight w:val="none"/>
              </w:rPr>
              <w:t xml:space="preserve">见“3.3公用设施设备维护服务”</w:t>
            </w:r>
            <w:r/>
          </w:p>
        </w:tc>
      </w:tr>
      <w:tr>
        <w:trPr>
          <w:jc w:val="center"/>
          <w:trHeight w:val="454"/>
        </w:trPr>
        <w:tc>
          <w:tcPr>
            <w:gridSpan w:val="2"/>
            <w:tcW w:w="2947" w:type="dxa"/>
            <w:vAlign w:val="center"/>
            <w:textDirection w:val="lrTb"/>
            <w:noWrap w:val="false"/>
          </w:tcPr>
          <w:p>
            <w:pPr>
              <w:rPr>
                <w:highlight w:val="none"/>
                <w:lang w:eastAsia="en-US"/>
              </w:rPr>
            </w:pPr>
            <w:r>
              <w:rPr>
                <w:rFonts w:hint="eastAsia"/>
                <w:highlight w:val="none"/>
              </w:rPr>
              <w:t xml:space="preserve">建筑2名称</w:t>
            </w:r>
            <w:r/>
          </w:p>
        </w:tc>
        <w:tc>
          <w:tcPr>
            <w:tcW w:w="3905" w:type="dxa"/>
            <w:vAlign w:val="center"/>
            <w:textDirection w:val="lrTb"/>
            <w:noWrap w:val="false"/>
          </w:tcPr>
          <w:p>
            <w:pPr>
              <w:rPr>
                <w:highlight w:val="none"/>
              </w:rPr>
            </w:pPr>
            <w:r>
              <w:rPr>
                <w:rFonts w:hint="eastAsia"/>
                <w:highlight w:val="none"/>
              </w:rPr>
              <w:t xml:space="preserve">连云港法庭</w:t>
            </w:r>
            <w:r/>
          </w:p>
        </w:tc>
        <w:tc>
          <w:tcPr>
            <w:tcW w:w="2735" w:type="dxa"/>
            <w:vAlign w:val="center"/>
            <w:textDirection w:val="lrTb"/>
            <w:noWrap w:val="false"/>
          </w:tcPr>
          <w:p>
            <w:pPr>
              <w:rPr>
                <w:highlight w:val="none"/>
              </w:rPr>
            </w:pPr>
            <w:r/>
            <w:bookmarkStart w:id="167" w:name="OLE_LINK11"/>
            <w:r/>
            <w:bookmarkStart w:id="168" w:name="OLE_LINK14"/>
            <w:r>
              <w:rPr>
                <w:rFonts w:hint="eastAsia"/>
                <w:highlight w:val="none"/>
              </w:rPr>
              <w:t xml:space="preserve">连云港市连云区龙门路80-2号</w:t>
            </w:r>
            <w:bookmarkEnd w:id="167"/>
            <w:r/>
            <w:bookmarkEnd w:id="168"/>
            <w:r/>
            <w:r/>
          </w:p>
        </w:tc>
      </w:tr>
      <w:tr>
        <w:trPr>
          <w:jc w:val="center"/>
          <w:trHeight w:val="454"/>
        </w:trPr>
        <w:tc>
          <w:tcPr>
            <w:tcW w:w="1253" w:type="dxa"/>
            <w:vAlign w:val="center"/>
            <w:vMerge w:val="restart"/>
            <w:textDirection w:val="lrTb"/>
            <w:noWrap w:val="false"/>
          </w:tcPr>
          <w:p>
            <w:pPr>
              <w:rPr>
                <w:highlight w:val="none"/>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highlight w:val="none"/>
              </w:rPr>
            </w:pPr>
            <w:r>
              <w:rPr>
                <w:rFonts w:hint="eastAsia" w:ascii="宋体" w:hAnsi="宋体" w:cs="方正仿宋_GBK"/>
                <w:highlight w:val="none"/>
              </w:rPr>
              <w:t xml:space="preserve">4436.83</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1029</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vMerge w:val="restart"/>
            <w:textDirection w:val="lrTb"/>
            <w:noWrap w:val="false"/>
          </w:tcPr>
          <w:p>
            <w:pPr>
              <w:rPr>
                <w:highlight w:val="none"/>
              </w:rPr>
            </w:pPr>
            <w:r>
              <w:rPr>
                <w:rFonts w:hint="eastAsia"/>
                <w:highlight w:val="none"/>
              </w:rPr>
              <w:t xml:space="preserve">设施设备（可另行附表）</w:t>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3层3站客梯1台</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变频多联机空调系统，6套空调系统7套新风系统</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从小区消防系统接入</w:t>
            </w:r>
            <w:r/>
          </w:p>
        </w:tc>
        <w:tc>
          <w:tcPr>
            <w:tcW w:w="2735" w:type="dxa"/>
            <w:vAlign w:val="center"/>
            <w:textDirection w:val="lrTb"/>
            <w:noWrap w:val="false"/>
          </w:tcPr>
          <w:p>
            <w:pPr>
              <w:rPr>
                <w:color w:val="ff0000"/>
                <w:highlight w:val="none"/>
              </w:rPr>
            </w:pPr>
            <w:r>
              <w:rPr>
                <w:rFonts w:hint="eastAsia"/>
                <w:highlight w:val="none"/>
              </w:rPr>
              <w:t xml:space="preserve">见“3.5保安服务”“3.3公用设施设备维护服务”</w:t>
            </w:r>
            <w:r/>
          </w:p>
        </w:tc>
      </w:tr>
      <w:tr>
        <w:trPr>
          <w:jc w:val="center"/>
          <w:trHeight w:val="454"/>
        </w:trPr>
        <w:tc>
          <w:tcPr>
            <w:gridSpan w:val="2"/>
            <w:tcW w:w="2947" w:type="dxa"/>
            <w:vAlign w:val="center"/>
            <w:textDirection w:val="lrTb"/>
            <w:noWrap w:val="false"/>
          </w:tcPr>
          <w:p>
            <w:pPr>
              <w:rPr>
                <w:highlight w:val="none"/>
                <w:lang w:eastAsia="en-US"/>
              </w:rPr>
            </w:pPr>
            <w:r/>
            <w:bookmarkStart w:id="169" w:name="_Hlk230167616"/>
            <w:r/>
            <w:bookmarkStart w:id="170" w:name="OLE_LINK33"/>
            <w:r/>
            <w:bookmarkStart w:id="171" w:name="OLE_LINK16"/>
            <w:r>
              <w:rPr>
                <w:rFonts w:hint="eastAsia"/>
                <w:highlight w:val="none"/>
              </w:rPr>
              <w:t xml:space="preserve">建筑3名称</w:t>
            </w:r>
            <w:r/>
          </w:p>
        </w:tc>
        <w:tc>
          <w:tcPr>
            <w:tcW w:w="3905" w:type="dxa"/>
            <w:vAlign w:val="center"/>
            <w:textDirection w:val="lrTb"/>
            <w:noWrap w:val="false"/>
          </w:tcPr>
          <w:p>
            <w:pPr>
              <w:rPr>
                <w:highlight w:val="none"/>
              </w:rPr>
            </w:pPr>
            <w:r>
              <w:rPr>
                <w:rFonts w:hint="eastAsia"/>
                <w:highlight w:val="none"/>
              </w:rPr>
              <w:t xml:space="preserve">南通法庭</w:t>
            </w:r>
            <w:r/>
          </w:p>
        </w:tc>
        <w:tc>
          <w:tcPr>
            <w:tcW w:w="2735" w:type="dxa"/>
            <w:vAlign w:val="center"/>
            <w:textDirection w:val="lrTb"/>
            <w:noWrap w:val="false"/>
          </w:tcPr>
          <w:p>
            <w:pPr>
              <w:rPr>
                <w:highlight w:val="none"/>
              </w:rPr>
            </w:pPr>
            <w:r>
              <w:rPr>
                <w:rFonts w:hint="eastAsia"/>
                <w:highlight w:val="none"/>
              </w:rPr>
              <w:t xml:space="preserve">南通市港闸区新康路33号60幢</w:t>
            </w:r>
            <w:bookmarkEnd w:id="169"/>
            <w:r/>
            <w:bookmarkEnd w:id="170"/>
            <w:r/>
            <w:bookmarkEnd w:id="171"/>
            <w:r/>
            <w:r/>
          </w:p>
        </w:tc>
      </w:tr>
      <w:tr>
        <w:trPr>
          <w:jc w:val="center"/>
          <w:trHeight w:val="454"/>
        </w:trPr>
        <w:tc>
          <w:tcPr>
            <w:tcW w:w="1253" w:type="dxa"/>
            <w:vAlign w:val="center"/>
            <w:vMerge w:val="restart"/>
            <w:textDirection w:val="lrTb"/>
            <w:noWrap w:val="false"/>
          </w:tcPr>
          <w:p>
            <w:pPr>
              <w:rPr>
                <w:highlight w:val="none"/>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highlight w:val="none"/>
              </w:rPr>
            </w:pPr>
            <w:r>
              <w:rPr>
                <w:rFonts w:hint="eastAsia" w:ascii="宋体" w:hAnsi="宋体" w:cs="方正仿宋_GBK"/>
                <w:highlight w:val="none"/>
              </w:rPr>
              <w:t xml:space="preserve">2032.84</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1400</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vMerge w:val="restart"/>
            <w:textDirection w:val="lrTb"/>
            <w:noWrap w:val="false"/>
          </w:tcPr>
          <w:p>
            <w:pPr>
              <w:rPr>
                <w:highlight w:val="none"/>
              </w:rPr>
            </w:pPr>
            <w:r>
              <w:rPr>
                <w:rFonts w:hint="eastAsia"/>
                <w:highlight w:val="none"/>
              </w:rPr>
              <w:t xml:space="preserve">设施设备（可另行附表）</w:t>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1部客梯，5层5站</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1至5层VRV空调</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楼顶消防水箱9立方米</w:t>
            </w:r>
            <w:r/>
          </w:p>
        </w:tc>
        <w:tc>
          <w:tcPr>
            <w:tcW w:w="2735" w:type="dxa"/>
            <w:vAlign w:val="center"/>
            <w:textDirection w:val="lrTb"/>
            <w:noWrap w:val="false"/>
          </w:tcPr>
          <w:p>
            <w:pPr>
              <w:rPr>
                <w:color w:val="ff0000"/>
                <w:highlight w:val="none"/>
              </w:rPr>
            </w:pPr>
            <w:r>
              <w:rPr>
                <w:rFonts w:hint="eastAsia"/>
                <w:highlight w:val="none"/>
              </w:rPr>
              <w:t xml:space="preserve">见“3.5保安服务”“3.3公用设施设备维护服务”</w:t>
            </w:r>
            <w:r/>
          </w:p>
        </w:tc>
      </w:tr>
      <w:tr>
        <w:trPr>
          <w:jc w:val="center"/>
          <w:trHeight w:val="454"/>
        </w:trPr>
        <w:tc>
          <w:tcPr>
            <w:gridSpan w:val="2"/>
            <w:tcW w:w="2947" w:type="dxa"/>
            <w:vAlign w:val="center"/>
            <w:textDirection w:val="lrTb"/>
            <w:noWrap w:val="false"/>
          </w:tcPr>
          <w:p>
            <w:pPr>
              <w:rPr>
                <w:highlight w:val="none"/>
                <w:lang w:eastAsia="en-US"/>
              </w:rPr>
            </w:pPr>
            <w:r>
              <w:rPr>
                <w:rFonts w:hint="eastAsia"/>
                <w:highlight w:val="none"/>
              </w:rPr>
              <w:t xml:space="preserve">建筑4名称</w:t>
            </w:r>
            <w:r/>
          </w:p>
        </w:tc>
        <w:tc>
          <w:tcPr>
            <w:tcW w:w="3905" w:type="dxa"/>
            <w:vAlign w:val="center"/>
            <w:textDirection w:val="lrTb"/>
            <w:noWrap w:val="false"/>
          </w:tcPr>
          <w:p>
            <w:pPr>
              <w:rPr>
                <w:highlight w:val="none"/>
              </w:rPr>
            </w:pPr>
            <w:r>
              <w:rPr>
                <w:rFonts w:hint="eastAsia"/>
                <w:highlight w:val="none"/>
              </w:rPr>
              <w:t xml:space="preserve">泰州法庭</w:t>
            </w:r>
            <w:r/>
          </w:p>
        </w:tc>
        <w:tc>
          <w:tcPr>
            <w:tcW w:w="2735" w:type="dxa"/>
            <w:vAlign w:val="center"/>
            <w:textDirection w:val="lrTb"/>
            <w:noWrap w:val="false"/>
          </w:tcPr>
          <w:p>
            <w:pPr>
              <w:rPr>
                <w:highlight w:val="none"/>
              </w:rPr>
            </w:pPr>
            <w:r/>
            <w:bookmarkStart w:id="172" w:name="OLE_LINK35"/>
            <w:r/>
            <w:bookmarkStart w:id="173" w:name="OLE_LINK34"/>
            <w:r>
              <w:rPr>
                <w:rFonts w:hint="eastAsia"/>
                <w:highlight w:val="none"/>
              </w:rPr>
              <w:t xml:space="preserve">泰州市凤凰东路52号</w:t>
            </w:r>
            <w:bookmarkEnd w:id="172"/>
            <w:r/>
            <w:bookmarkEnd w:id="173"/>
            <w:r/>
            <w:r/>
          </w:p>
        </w:tc>
      </w:tr>
      <w:tr>
        <w:trPr>
          <w:jc w:val="center"/>
          <w:trHeight w:val="454"/>
        </w:trPr>
        <w:tc>
          <w:tcPr>
            <w:tcW w:w="1253" w:type="dxa"/>
            <w:vAlign w:val="center"/>
            <w:vMerge w:val="restart"/>
            <w:textDirection w:val="lrTb"/>
            <w:noWrap w:val="false"/>
          </w:tcPr>
          <w:p>
            <w:pPr>
              <w:rPr>
                <w:highlight w:val="none"/>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highlight w:val="none"/>
              </w:rPr>
            </w:pPr>
            <w:r>
              <w:rPr>
                <w:rFonts w:hint="eastAsia" w:ascii="宋体" w:hAnsi="宋体" w:cs="方正仿宋_GBK"/>
                <w:highlight w:val="none"/>
              </w:rPr>
              <w:t xml:space="preserve">3742.11</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806</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vMerge w:val="restart"/>
            <w:textDirection w:val="lrTb"/>
            <w:noWrap w:val="false"/>
          </w:tcPr>
          <w:p>
            <w:pPr>
              <w:rPr>
                <w:highlight w:val="none"/>
              </w:rPr>
            </w:pPr>
            <w:r>
              <w:rPr>
                <w:rFonts w:hint="eastAsia"/>
                <w:highlight w:val="none"/>
              </w:rPr>
              <w:t xml:space="preserve">设施设备（可另行附表）</w:t>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1部客梯，7层7站</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1层VRV空调，2层至7层分体空调</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highlight w:val="none"/>
              </w:rPr>
            </w:pPr>
            <w:r>
              <w:rPr>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屋顶消防水箱18立方米</w:t>
            </w:r>
            <w:r/>
          </w:p>
        </w:tc>
        <w:tc>
          <w:tcPr>
            <w:tcW w:w="2735" w:type="dxa"/>
            <w:vAlign w:val="center"/>
            <w:textDirection w:val="lrTb"/>
            <w:noWrap w:val="false"/>
          </w:tcPr>
          <w:p>
            <w:pPr>
              <w:rPr>
                <w:color w:val="ff0000"/>
                <w:highlight w:val="none"/>
              </w:rPr>
            </w:pPr>
            <w:r>
              <w:rPr>
                <w:rFonts w:hint="eastAsia"/>
                <w:highlight w:val="none"/>
              </w:rPr>
              <w:t xml:space="preserve">见“3.5保安服务”“3.3公用设施设备维护服务”</w:t>
            </w:r>
            <w:r/>
          </w:p>
        </w:tc>
      </w:tr>
      <w:tr>
        <w:trPr>
          <w:jc w:val="center"/>
          <w:trHeight w:val="454"/>
        </w:trPr>
        <w:tc>
          <w:tcPr>
            <w:gridSpan w:val="2"/>
            <w:tcW w:w="2947" w:type="dxa"/>
            <w:vAlign w:val="center"/>
            <w:textDirection w:val="lrTb"/>
            <w:noWrap w:val="false"/>
          </w:tcPr>
          <w:p>
            <w:pPr>
              <w:rPr>
                <w:highlight w:val="none"/>
                <w:lang w:eastAsia="en-US"/>
              </w:rPr>
            </w:pPr>
            <w:r>
              <w:rPr>
                <w:rFonts w:hint="eastAsia"/>
                <w:highlight w:val="none"/>
              </w:rPr>
              <w:t xml:space="preserve">建筑5名称</w:t>
            </w:r>
            <w:r/>
          </w:p>
        </w:tc>
        <w:tc>
          <w:tcPr>
            <w:tcW w:w="3905" w:type="dxa"/>
            <w:vAlign w:val="center"/>
            <w:textDirection w:val="lrTb"/>
            <w:noWrap w:val="false"/>
          </w:tcPr>
          <w:p>
            <w:pPr>
              <w:rPr>
                <w:highlight w:val="none"/>
              </w:rPr>
            </w:pPr>
            <w:r>
              <w:rPr>
                <w:rFonts w:hint="eastAsia"/>
                <w:highlight w:val="none"/>
              </w:rPr>
              <w:t xml:space="preserve">苏州法庭</w:t>
            </w:r>
            <w:r/>
          </w:p>
        </w:tc>
        <w:tc>
          <w:tcPr>
            <w:tcW w:w="2735" w:type="dxa"/>
            <w:vAlign w:val="center"/>
            <w:textDirection w:val="lrTb"/>
            <w:noWrap w:val="false"/>
          </w:tcPr>
          <w:p>
            <w:pPr>
              <w:rPr>
                <w:highlight w:val="none"/>
              </w:rPr>
            </w:pPr>
            <w:r/>
            <w:bookmarkStart w:id="174" w:name="OLE_LINK36"/>
            <w:r/>
            <w:bookmarkStart w:id="175" w:name="OLE_LINK43"/>
            <w:r>
              <w:rPr>
                <w:rFonts w:hint="eastAsia"/>
                <w:highlight w:val="none"/>
              </w:rPr>
              <w:t xml:space="preserve">苏州市相城区</w:t>
            </w:r>
            <w:bookmarkEnd w:id="174"/>
            <w:r/>
            <w:bookmarkEnd w:id="175"/>
            <w:r/>
            <w:r/>
          </w:p>
        </w:tc>
      </w:tr>
      <w:tr>
        <w:trPr>
          <w:jc w:val="center"/>
          <w:trHeight w:val="454"/>
        </w:trPr>
        <w:tc>
          <w:tcPr>
            <w:tcW w:w="1253" w:type="dxa"/>
            <w:vAlign w:val="center"/>
            <w:vMerge w:val="restart"/>
            <w:textDirection w:val="lrTb"/>
            <w:noWrap w:val="false"/>
          </w:tcPr>
          <w:p>
            <w:pPr>
              <w:rPr>
                <w:color w:val="ff0000"/>
                <w:highlight w:val="none"/>
              </w:rPr>
            </w:pPr>
            <w:r>
              <w:rPr>
                <w:rFonts w:hint="eastAsia"/>
                <w:highlight w:val="none"/>
                <w:lang w:eastAsia="en-US"/>
              </w:rPr>
              <w:t xml:space="preserve">总面积</w:t>
            </w:r>
            <w:r/>
          </w:p>
        </w:tc>
        <w:tc>
          <w:tcPr>
            <w:tcW w:w="1631" w:type="dxa"/>
            <w:vAlign w:val="center"/>
            <w:textDirection w:val="lrTb"/>
            <w:noWrap w:val="false"/>
          </w:tcPr>
          <w:p>
            <w:pPr>
              <w:rPr>
                <w:highlight w:val="none"/>
                <w:lang w:eastAsia="en-US"/>
              </w:rPr>
            </w:pPr>
            <w:r>
              <w:rPr>
                <w:rFonts w:hint="eastAsia"/>
                <w:highlight w:val="none"/>
                <w:lang w:eastAsia="en-US"/>
              </w:rPr>
              <w:t xml:space="preserve">建筑面积（㎡）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2913.78</w:t>
            </w:r>
            <w:r/>
          </w:p>
        </w:tc>
        <w:tc>
          <w:tcPr>
            <w:tcW w:w="2735" w:type="dxa"/>
            <w:vAlign w:val="center"/>
            <w:textDirection w:val="lrTb"/>
            <w:noWrap w:val="false"/>
          </w:tcPr>
          <w:p>
            <w:pPr>
              <w:rPr>
                <w:highlight w:val="none"/>
                <w:lang w:eastAsia="en-US"/>
              </w:rPr>
            </w:pPr>
            <w:r>
              <w:rPr>
                <w:rFonts w:hint="eastAsia"/>
                <w:highlight w:val="none"/>
                <w:lang w:eastAsia="en-US"/>
              </w:rPr>
              <w:t xml:space="preserve">见“</w:t>
            </w:r>
            <w:r>
              <w:rPr>
                <w:rFonts w:hint="eastAsia"/>
                <w:highlight w:val="none"/>
              </w:rPr>
              <w:t xml:space="preserve">3.5保安服务</w:t>
            </w:r>
            <w:r>
              <w:rPr>
                <w:rFonts w:hint="eastAsia"/>
                <w:highlight w:val="none"/>
                <w:lang w:eastAsia="en-US"/>
              </w:rPr>
              <w:t xml:space="preserve">”</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需保洁面积（㎡）</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470</w:t>
            </w:r>
            <w:r/>
          </w:p>
        </w:tc>
        <w:tc>
          <w:tcPr>
            <w:tcW w:w="2735" w:type="dxa"/>
            <w:vAlign w:val="center"/>
            <w:textDirection w:val="lrTb"/>
            <w:noWrap w:val="false"/>
          </w:tcPr>
          <w:p>
            <w:pPr>
              <w:rPr>
                <w:highlight w:val="none"/>
                <w:lang w:eastAsia="en-US"/>
              </w:rPr>
            </w:pPr>
            <w:r>
              <w:rPr>
                <w:rFonts w:hint="eastAsia"/>
                <w:highlight w:val="none"/>
                <w:lang w:eastAsia="en-US"/>
              </w:rPr>
              <w:t xml:space="preserve">见“3.4保洁服务”</w:t>
            </w:r>
            <w:r/>
          </w:p>
        </w:tc>
      </w:tr>
      <w:tr>
        <w:trPr>
          <w:jc w:val="center"/>
          <w:trHeight w:val="454"/>
        </w:trPr>
        <w:tc>
          <w:tcPr>
            <w:tcW w:w="1253" w:type="dxa"/>
            <w:vAlign w:val="center"/>
            <w:vMerge w:val="restart"/>
            <w:textDirection w:val="lrTb"/>
            <w:noWrap w:val="false"/>
          </w:tcPr>
          <w:p>
            <w:pPr>
              <w:rPr>
                <w:color w:val="ff0000"/>
                <w:highlight w:val="none"/>
              </w:rPr>
            </w:pPr>
            <w:r>
              <w:rPr>
                <w:rFonts w:hint="eastAsia"/>
                <w:highlight w:val="none"/>
              </w:rPr>
              <w:t xml:space="preserve">设施设备（可另行附表）</w:t>
            </w:r>
            <w:r/>
          </w:p>
        </w:tc>
        <w:tc>
          <w:tcPr>
            <w:tcW w:w="1631" w:type="dxa"/>
            <w:vAlign w:val="center"/>
            <w:textDirection w:val="lrTb"/>
            <w:noWrap w:val="false"/>
          </w:tcPr>
          <w:p>
            <w:pPr>
              <w:rPr>
                <w:highlight w:val="none"/>
                <w:lang w:eastAsia="en-US"/>
              </w:rPr>
            </w:pPr>
            <w:r>
              <w:rPr>
                <w:rFonts w:hint="eastAsia"/>
                <w:highlight w:val="none"/>
                <w:lang w:eastAsia="en-US"/>
              </w:rPr>
              <w:t xml:space="preserve">电梯系统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2站客梯，5层5站</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空调系统</w:t>
            </w:r>
            <w:r/>
          </w:p>
        </w:tc>
        <w:tc>
          <w:tcPr>
            <w:tcW w:w="3905" w:type="dxa"/>
            <w:vAlign w:val="center"/>
            <w:textDirection w:val="lrTb"/>
            <w:noWrap w:val="false"/>
          </w:tcPr>
          <w:p>
            <w:pPr>
              <w:rPr>
                <w:rFonts w:ascii="宋体" w:hAnsi="宋体" w:cs="方正仿宋_GBK"/>
                <w:highlight w:val="none"/>
              </w:rPr>
            </w:pPr>
            <w:r>
              <w:rPr>
                <w:rFonts w:hint="eastAsia" w:ascii="宋体" w:hAnsi="宋体" w:cs="方正仿宋_GBK"/>
                <w:highlight w:val="none"/>
              </w:rPr>
              <w:t xml:space="preserve">变频多联机空调系统 </w:t>
            </w:r>
            <w:r/>
          </w:p>
        </w:tc>
        <w:tc>
          <w:tcPr>
            <w:tcW w:w="2735" w:type="dxa"/>
            <w:vAlign w:val="center"/>
            <w:textDirection w:val="lrTb"/>
            <w:noWrap w:val="false"/>
          </w:tcPr>
          <w:p>
            <w:pPr>
              <w:rPr>
                <w:highlight w:val="none"/>
              </w:rPr>
            </w:pPr>
            <w:r>
              <w:rPr>
                <w:rFonts w:hint="eastAsia"/>
                <w:highlight w:val="none"/>
              </w:rPr>
              <w:t xml:space="preserve">见“3.5保安服务”“3.3公用设施设备维护服务”</w:t>
            </w:r>
            <w:r/>
          </w:p>
        </w:tc>
      </w:tr>
      <w:tr>
        <w:trPr>
          <w:jc w:val="center"/>
          <w:trHeight w:val="454"/>
        </w:trPr>
        <w:tc>
          <w:tcPr>
            <w:tcW w:w="1253" w:type="dxa"/>
            <w:vAlign w:val="center"/>
            <w:vMerge w:val="continue"/>
            <w:textDirection w:val="lrTb"/>
            <w:noWrap w:val="false"/>
          </w:tcPr>
          <w:p>
            <w:pPr>
              <w:rPr>
                <w:color w:val="ff0000"/>
                <w:highlight w:val="none"/>
              </w:rPr>
            </w:pPr>
            <w:r>
              <w:rPr>
                <w:color w:val="ff0000"/>
                <w:highlight w:val="none"/>
              </w:rPr>
            </w:r>
            <w:r/>
          </w:p>
        </w:tc>
        <w:tc>
          <w:tcPr>
            <w:tcW w:w="1631" w:type="dxa"/>
            <w:vAlign w:val="center"/>
            <w:textDirection w:val="lrTb"/>
            <w:noWrap w:val="false"/>
          </w:tcPr>
          <w:p>
            <w:pPr>
              <w:rPr>
                <w:highlight w:val="none"/>
                <w:lang w:eastAsia="en-US"/>
              </w:rPr>
            </w:pPr>
            <w:r>
              <w:rPr>
                <w:rFonts w:hint="eastAsia"/>
                <w:highlight w:val="none"/>
                <w:lang w:eastAsia="en-US"/>
              </w:rPr>
              <w:t xml:space="preserve">消防系统</w:t>
            </w:r>
            <w:r/>
          </w:p>
        </w:tc>
        <w:tc>
          <w:tcPr>
            <w:tcW w:w="3905" w:type="dxa"/>
            <w:vAlign w:val="center"/>
            <w:textDirection w:val="lrTb"/>
            <w:noWrap w:val="false"/>
          </w:tcPr>
          <w:p>
            <w:pPr>
              <w:rPr>
                <w:highlight w:val="none"/>
              </w:rPr>
            </w:pPr>
            <w:r>
              <w:rPr>
                <w:rFonts w:hint="eastAsia"/>
                <w:highlight w:val="none"/>
              </w:rPr>
              <w:t xml:space="preserve">与旁边主楼联动</w:t>
            </w:r>
            <w:r/>
          </w:p>
        </w:tc>
        <w:tc>
          <w:tcPr>
            <w:tcW w:w="2735" w:type="dxa"/>
            <w:vAlign w:val="center"/>
            <w:textDirection w:val="lrTb"/>
            <w:noWrap w:val="false"/>
          </w:tcPr>
          <w:p>
            <w:pPr>
              <w:rPr>
                <w:color w:val="ff0000"/>
                <w:highlight w:val="none"/>
              </w:rPr>
            </w:pPr>
            <w:r>
              <w:rPr>
                <w:rFonts w:hint="eastAsia"/>
                <w:highlight w:val="none"/>
              </w:rPr>
              <w:t xml:space="preserve">见“3.5保安服务”“3.3公用设施设备维护服务”</w:t>
            </w:r>
            <w:r/>
          </w:p>
        </w:tc>
      </w:tr>
    </w:tbl>
    <w:p>
      <w:pPr>
        <w:rPr>
          <w:color w:val="ff0000"/>
          <w:highlight w:val="none"/>
        </w:rPr>
      </w:pPr>
      <w:r>
        <w:rPr>
          <w:color w:val="ff0000"/>
          <w:highlight w:val="none"/>
        </w:rPr>
      </w:r>
      <w:r/>
    </w:p>
    <w:p>
      <w:pPr>
        <w:ind w:firstLine="640"/>
        <w:rPr>
          <w:sz w:val="32"/>
          <w:szCs w:val="32"/>
          <w:highlight w:val="none"/>
        </w:rPr>
      </w:pPr>
      <w:r>
        <w:rPr>
          <w:rFonts w:hint="eastAsia"/>
          <w:sz w:val="32"/>
          <w:szCs w:val="32"/>
          <w:highlight w:val="none"/>
        </w:rPr>
        <w:t xml:space="preserve">2.2物业管理（室外）</w:t>
      </w:r>
      <w:r/>
    </w:p>
    <w:tbl>
      <w:tblPr>
        <w:tblStyle w:val="773"/>
        <w:tblW w:w="54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8"/>
        <w:gridCol w:w="3565"/>
        <w:gridCol w:w="4548"/>
      </w:tblGrid>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名称</w:t>
            </w:r>
            <w:r/>
          </w:p>
        </w:tc>
        <w:tc>
          <w:tcPr>
            <w:tcW w:w="3489" w:type="dxa"/>
            <w:vAlign w:val="center"/>
            <w:textDirection w:val="lrTb"/>
            <w:noWrap w:val="false"/>
          </w:tcPr>
          <w:p>
            <w:pPr>
              <w:rPr>
                <w:highlight w:val="none"/>
                <w:lang w:eastAsia="en-US"/>
              </w:rPr>
            </w:pPr>
            <w:r>
              <w:rPr>
                <w:rFonts w:hint="eastAsia"/>
                <w:highlight w:val="none"/>
                <w:lang w:eastAsia="en-US"/>
              </w:rPr>
              <w:t xml:space="preserve">明细</w:t>
            </w:r>
            <w:r/>
          </w:p>
        </w:tc>
        <w:tc>
          <w:tcPr>
            <w:tcW w:w="4451" w:type="dxa"/>
            <w:vAlign w:val="center"/>
            <w:textDirection w:val="lrTb"/>
            <w:noWrap w:val="false"/>
          </w:tcPr>
          <w:p>
            <w:pPr>
              <w:rPr>
                <w:highlight w:val="none"/>
                <w:lang w:eastAsia="en-US"/>
              </w:rPr>
            </w:pPr>
            <w:r>
              <w:rPr>
                <w:rFonts w:hint="eastAsia"/>
                <w:highlight w:val="none"/>
                <w:lang w:eastAsia="en-US"/>
              </w:rPr>
              <w:t xml:space="preserve">服务内容及标准</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建筑1名称</w:t>
            </w:r>
            <w:r/>
          </w:p>
        </w:tc>
        <w:tc>
          <w:tcPr>
            <w:tcW w:w="3489" w:type="dxa"/>
            <w:vAlign w:val="center"/>
            <w:textDirection w:val="lrTb"/>
            <w:noWrap w:val="false"/>
          </w:tcPr>
          <w:p>
            <w:pPr>
              <w:rPr>
                <w:highlight w:val="none"/>
                <w:lang w:eastAsia="en-US"/>
              </w:rPr>
            </w:pPr>
            <w:r>
              <w:rPr>
                <w:rFonts w:hint="eastAsia"/>
                <w:highlight w:val="none"/>
              </w:rPr>
              <w:t xml:space="preserve">南京海事法院院本部</w:t>
            </w:r>
            <w:r/>
          </w:p>
        </w:tc>
        <w:tc>
          <w:tcPr>
            <w:tcW w:w="4451" w:type="dxa"/>
            <w:vAlign w:val="center"/>
            <w:textDirection w:val="lrTb"/>
            <w:noWrap w:val="false"/>
          </w:tcPr>
          <w:p>
            <w:pPr>
              <w:rPr>
                <w:highlight w:val="none"/>
                <w:lang w:eastAsia="en-US"/>
              </w:rPr>
            </w:pPr>
            <w:r>
              <w:rPr>
                <w:highlight w:val="none"/>
                <w:lang w:eastAsia="en-US"/>
              </w:rPr>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rPr>
            </w:pPr>
            <w:r>
              <w:rPr>
                <w:rFonts w:hint="eastAsia"/>
                <w:highlight w:val="none"/>
              </w:rPr>
              <w:t xml:space="preserve">6854</w:t>
            </w:r>
            <w:r>
              <w:rPr>
                <w:rFonts w:hint="eastAsia"/>
                <w:highlight w:val="none"/>
                <w:lang w:eastAsia="en-US"/>
              </w:rPr>
              <w:t xml:space="preserve">平方</w:t>
            </w:r>
            <w:r>
              <w:rPr>
                <w:rFonts w:hint="eastAsia"/>
                <w:highlight w:val="none"/>
              </w:rPr>
              <w:t xml:space="preserve">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color w:val="ff0000"/>
                <w:highlight w:val="none"/>
                <w:lang w:eastAsia="en-US"/>
              </w:rPr>
            </w:pPr>
            <w:r>
              <w:rPr>
                <w:rFonts w:hint="eastAsia"/>
                <w:highlight w:val="none"/>
              </w:rPr>
              <w:t xml:space="preserve">2248</w:t>
            </w:r>
            <w:r>
              <w:rPr>
                <w:rFonts w:hint="eastAsia"/>
                <w:highlight w:val="none"/>
                <w:lang w:eastAsia="en-US"/>
              </w:rPr>
              <w:t xml:space="preserve">平</w:t>
            </w:r>
            <w:r>
              <w:rPr>
                <w:rFonts w:hint="eastAsia"/>
                <w:highlight w:val="none"/>
              </w:rPr>
              <w:t xml:space="preserve">方</w:t>
            </w:r>
            <w:r>
              <w:rPr>
                <w:rFonts w:hint="eastAsia"/>
                <w:highlight w:val="none"/>
                <w:lang w:eastAsia="en-US"/>
              </w:rPr>
              <w:t xml:space="preserve">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路灯、音箱</w:t>
            </w:r>
            <w:r/>
          </w:p>
        </w:tc>
        <w:tc>
          <w:tcPr>
            <w:tcW w:w="3489" w:type="dxa"/>
            <w:vAlign w:val="center"/>
            <w:textDirection w:val="lrTb"/>
            <w:noWrap w:val="false"/>
          </w:tcPr>
          <w:p>
            <w:pPr>
              <w:rPr>
                <w:color w:val="ff0000"/>
                <w:highlight w:val="none"/>
              </w:rPr>
            </w:pPr>
            <w:r>
              <w:rPr>
                <w:rFonts w:hint="eastAsia"/>
                <w:highlight w:val="none"/>
                <w:lang w:eastAsia="en-US"/>
              </w:rPr>
              <w:t xml:space="preserve">路灯</w:t>
            </w:r>
            <w:r>
              <w:rPr>
                <w:rFonts w:hint="eastAsia"/>
                <w:highlight w:val="none"/>
              </w:rPr>
              <w:t xml:space="preserve">29套</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消防栓</w:t>
            </w:r>
            <w:r/>
          </w:p>
        </w:tc>
        <w:tc>
          <w:tcPr>
            <w:tcW w:w="3489" w:type="dxa"/>
            <w:vAlign w:val="center"/>
            <w:textDirection w:val="lrTb"/>
            <w:noWrap w:val="false"/>
          </w:tcPr>
          <w:p>
            <w:pPr>
              <w:rPr>
                <w:color w:val="ff0000"/>
                <w:highlight w:val="none"/>
              </w:rPr>
            </w:pPr>
            <w:r>
              <w:rPr>
                <w:rFonts w:hint="eastAsia"/>
                <w:highlight w:val="none"/>
              </w:rPr>
              <w:t xml:space="preserve">8个，消防、喷淋接合器6个</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室外配电箱</w:t>
            </w:r>
            <w:r/>
          </w:p>
        </w:tc>
        <w:tc>
          <w:tcPr>
            <w:tcW w:w="3489" w:type="dxa"/>
            <w:vAlign w:val="center"/>
            <w:textDirection w:val="lrTb"/>
            <w:noWrap w:val="false"/>
          </w:tcPr>
          <w:p>
            <w:pPr>
              <w:rPr>
                <w:color w:val="ff0000"/>
                <w:highlight w:val="none"/>
                <w:lang w:eastAsia="en-US"/>
              </w:rPr>
            </w:pPr>
            <w:r>
              <w:rPr>
                <w:highlight w:val="none"/>
                <w:lang w:eastAsia="en-US"/>
              </w:rPr>
              <w:t xml:space="preserve">2</w:t>
            </w:r>
            <w:r>
              <w:rPr>
                <w:rFonts w:hint="eastAsia"/>
                <w:highlight w:val="none"/>
                <w:lang w:eastAsia="en-US"/>
              </w:rPr>
              <w:t xml:space="preserve">个</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color w:val="ff0000"/>
                <w:highlight w:val="none"/>
                <w:lang w:eastAsia="en-US"/>
              </w:rPr>
            </w:pPr>
            <w:r>
              <w:rPr>
                <w:highlight w:val="none"/>
                <w:lang w:eastAsia="en-US"/>
              </w:rPr>
              <w:t xml:space="preserve">2</w:t>
            </w:r>
            <w:r>
              <w:rPr>
                <w:rFonts w:hint="eastAsia"/>
                <w:highlight w:val="none"/>
                <w:lang w:eastAsia="en-US"/>
              </w:rPr>
              <w:t xml:space="preserve">间，面积</w:t>
            </w:r>
            <w:r>
              <w:rPr>
                <w:rFonts w:hint="eastAsia"/>
                <w:highlight w:val="none"/>
              </w:rPr>
              <w:t xml:space="preserve">112</w:t>
            </w:r>
            <w:r>
              <w:rPr>
                <w:rFonts w:hint="eastAsia"/>
                <w:highlight w:val="none"/>
                <w:lang w:eastAsia="en-US"/>
              </w:rPr>
              <w:t xml:space="preserve">平方米</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rPr>
              <w:t xml:space="preserve">建筑2名称</w:t>
            </w:r>
            <w:r/>
          </w:p>
        </w:tc>
        <w:tc>
          <w:tcPr>
            <w:tcW w:w="3489" w:type="dxa"/>
            <w:vAlign w:val="center"/>
            <w:textDirection w:val="lrTb"/>
            <w:noWrap w:val="false"/>
          </w:tcPr>
          <w:p>
            <w:pPr>
              <w:rPr>
                <w:highlight w:val="none"/>
                <w:lang w:eastAsia="en-US"/>
              </w:rPr>
            </w:pPr>
            <w:r>
              <w:rPr>
                <w:rFonts w:hint="eastAsia"/>
                <w:highlight w:val="none"/>
              </w:rPr>
              <w:t xml:space="preserve">连云港法庭</w:t>
            </w:r>
            <w:r/>
          </w:p>
        </w:tc>
        <w:tc>
          <w:tcPr>
            <w:tcW w:w="4451" w:type="dxa"/>
            <w:vAlign w:val="center"/>
            <w:textDirection w:val="lrTb"/>
            <w:noWrap w:val="false"/>
          </w:tcPr>
          <w:p>
            <w:pPr>
              <w:rPr>
                <w:color w:val="ff0000"/>
                <w:highlight w:val="none"/>
              </w:rPr>
            </w:pPr>
            <w:r>
              <w:rPr>
                <w:color w:val="ff0000"/>
                <w:highlight w:val="none"/>
              </w:rPr>
            </w:r>
            <w:r/>
          </w:p>
        </w:tc>
      </w:tr>
      <w:tr>
        <w:trPr>
          <w:jc w:val="center"/>
          <w:trHeight w:val="47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rPr>
            </w:pPr>
            <w:r>
              <w:rPr>
                <w:rFonts w:hint="eastAsia"/>
                <w:highlight w:val="none"/>
              </w:rPr>
              <w:t xml:space="preserve">1852平方米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7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highlight w:val="none"/>
              </w:rPr>
            </w:pPr>
            <w:r>
              <w:rPr>
                <w:rFonts w:hint="eastAsia"/>
                <w:highlight w:val="none"/>
              </w:rPr>
              <w:t xml:space="preserve">30平方米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74"/>
        </w:trPr>
        <w:tc>
          <w:tcPr>
            <w:tcW w:w="1857" w:type="dxa"/>
            <w:vAlign w:val="center"/>
            <w:textDirection w:val="lrTb"/>
            <w:noWrap w:val="false"/>
          </w:tcPr>
          <w:p>
            <w:pPr>
              <w:rPr>
                <w:highlight w:val="none"/>
                <w:lang w:eastAsia="en-US"/>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highlight w:val="none"/>
              </w:rPr>
            </w:pPr>
            <w:r>
              <w:rPr>
                <w:rFonts w:hint="eastAsia"/>
                <w:highlight w:val="none"/>
              </w:rPr>
              <w:t xml:space="preserve">18平方米</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rPr>
              <w:t xml:space="preserve">建筑3名称</w:t>
            </w:r>
            <w:r/>
          </w:p>
        </w:tc>
        <w:tc>
          <w:tcPr>
            <w:tcW w:w="3489" w:type="dxa"/>
            <w:vAlign w:val="center"/>
            <w:textDirection w:val="lrTb"/>
            <w:noWrap w:val="false"/>
          </w:tcPr>
          <w:p>
            <w:pPr>
              <w:rPr>
                <w:highlight w:val="none"/>
                <w:lang w:eastAsia="en-US"/>
              </w:rPr>
            </w:pPr>
            <w:r>
              <w:rPr>
                <w:rFonts w:hint="eastAsia"/>
                <w:highlight w:val="none"/>
              </w:rPr>
              <w:t xml:space="preserve">南通法庭</w:t>
            </w:r>
            <w:r/>
          </w:p>
        </w:tc>
        <w:tc>
          <w:tcPr>
            <w:tcW w:w="4451" w:type="dxa"/>
            <w:vAlign w:val="center"/>
            <w:textDirection w:val="lrTb"/>
            <w:noWrap w:val="false"/>
          </w:tcPr>
          <w:p>
            <w:pPr>
              <w:rPr>
                <w:color w:val="ff0000"/>
                <w:highlight w:val="none"/>
              </w:rPr>
            </w:pPr>
            <w:r>
              <w:rPr>
                <w:color w:val="ff0000"/>
                <w:highlight w:val="none"/>
              </w:rPr>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rPr>
            </w:pPr>
            <w:r>
              <w:rPr>
                <w:rFonts w:hint="eastAsia"/>
                <w:highlight w:val="none"/>
              </w:rPr>
              <w:t xml:space="preserve">1000平方米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highlight w:val="none"/>
              </w:rPr>
            </w:pPr>
            <w:r>
              <w:rPr>
                <w:rFonts w:hint="eastAsia"/>
                <w:highlight w:val="none"/>
              </w:rPr>
              <w:t xml:space="preserve">400平方米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highlight w:val="none"/>
              </w:rPr>
            </w:pPr>
            <w:r>
              <w:rPr>
                <w:rFonts w:hint="eastAsia"/>
                <w:highlight w:val="none"/>
              </w:rPr>
              <w:t xml:space="preserve">60平方米</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rPr>
              <w:t xml:space="preserve">建筑4名称</w:t>
            </w:r>
            <w:r/>
          </w:p>
        </w:tc>
        <w:tc>
          <w:tcPr>
            <w:tcW w:w="3489" w:type="dxa"/>
            <w:vAlign w:val="center"/>
            <w:textDirection w:val="lrTb"/>
            <w:noWrap w:val="false"/>
          </w:tcPr>
          <w:p>
            <w:pPr>
              <w:rPr>
                <w:highlight w:val="none"/>
                <w:lang w:eastAsia="en-US"/>
              </w:rPr>
            </w:pPr>
            <w:r>
              <w:rPr>
                <w:rFonts w:hint="eastAsia"/>
                <w:highlight w:val="none"/>
              </w:rPr>
              <w:t xml:space="preserve">泰州法庭</w:t>
            </w:r>
            <w:r/>
          </w:p>
        </w:tc>
        <w:tc>
          <w:tcPr>
            <w:tcW w:w="4451" w:type="dxa"/>
            <w:vAlign w:val="center"/>
            <w:textDirection w:val="lrTb"/>
            <w:noWrap w:val="false"/>
          </w:tcPr>
          <w:p>
            <w:pPr>
              <w:rPr>
                <w:color w:val="ff0000"/>
                <w:highlight w:val="none"/>
              </w:rPr>
            </w:pPr>
            <w:r>
              <w:rPr>
                <w:color w:val="ff0000"/>
                <w:highlight w:val="none"/>
              </w:rPr>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rPr>
            </w:pPr>
            <w:r>
              <w:rPr>
                <w:rFonts w:hint="eastAsia"/>
                <w:highlight w:val="none"/>
              </w:rPr>
              <w:t xml:space="preserve">200平方米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highlight w:val="none"/>
              </w:rPr>
            </w:pPr>
            <w:r>
              <w:rPr>
                <w:rFonts w:hint="eastAsia"/>
                <w:highlight w:val="none"/>
              </w:rPr>
              <w:t xml:space="preserve">屋顶40平方米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highlight w:val="none"/>
              </w:rPr>
            </w:pPr>
            <w:r>
              <w:rPr>
                <w:rFonts w:hint="eastAsia"/>
                <w:highlight w:val="none"/>
              </w:rPr>
              <w:t xml:space="preserve">无</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rPr>
              <w:t xml:space="preserve">建筑5名称</w:t>
            </w:r>
            <w:r/>
          </w:p>
        </w:tc>
        <w:tc>
          <w:tcPr>
            <w:tcW w:w="3489" w:type="dxa"/>
            <w:vAlign w:val="center"/>
            <w:textDirection w:val="lrTb"/>
            <w:noWrap w:val="false"/>
          </w:tcPr>
          <w:p>
            <w:pPr>
              <w:rPr>
                <w:highlight w:val="none"/>
                <w:lang w:eastAsia="en-US"/>
              </w:rPr>
            </w:pPr>
            <w:r>
              <w:rPr>
                <w:rFonts w:hint="eastAsia"/>
                <w:highlight w:val="none"/>
              </w:rPr>
              <w:t xml:space="preserve">苏州法庭</w:t>
            </w:r>
            <w:r/>
          </w:p>
        </w:tc>
        <w:tc>
          <w:tcPr>
            <w:tcW w:w="4451" w:type="dxa"/>
            <w:vAlign w:val="center"/>
            <w:textDirection w:val="lrTb"/>
            <w:noWrap w:val="false"/>
          </w:tcPr>
          <w:p>
            <w:pPr>
              <w:rPr>
                <w:color w:val="ff0000"/>
                <w:highlight w:val="none"/>
              </w:rPr>
            </w:pPr>
            <w:r>
              <w:rPr>
                <w:color w:val="ff0000"/>
                <w:highlight w:val="none"/>
              </w:rPr>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室外面积</w:t>
            </w:r>
            <w:r/>
          </w:p>
        </w:tc>
        <w:tc>
          <w:tcPr>
            <w:tcW w:w="3489" w:type="dxa"/>
            <w:vAlign w:val="center"/>
            <w:textDirection w:val="lrTb"/>
            <w:noWrap w:val="false"/>
          </w:tcPr>
          <w:p>
            <w:pPr>
              <w:rPr>
                <w:highlight w:val="none"/>
                <w:lang w:eastAsia="en-US"/>
              </w:rPr>
            </w:pPr>
            <w:r>
              <w:rPr>
                <w:rFonts w:hint="eastAsia"/>
                <w:highlight w:val="none"/>
              </w:rPr>
              <w:t xml:space="preserve">2213平方米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绿化</w:t>
            </w:r>
            <w:r/>
          </w:p>
        </w:tc>
        <w:tc>
          <w:tcPr>
            <w:tcW w:w="3489" w:type="dxa"/>
            <w:vAlign w:val="center"/>
            <w:textDirection w:val="lrTb"/>
            <w:noWrap w:val="false"/>
          </w:tcPr>
          <w:p>
            <w:pPr>
              <w:rPr>
                <w:rFonts w:eastAsia="等线"/>
                <w:highlight w:val="none"/>
                <w:lang w:eastAsia="en-US"/>
              </w:rPr>
            </w:pPr>
            <w:r>
              <w:rPr>
                <w:rFonts w:hint="eastAsia" w:eastAsia="等线"/>
                <w:highlight w:val="none"/>
              </w:rPr>
              <w:t xml:space="preserve">1582平方米</w:t>
            </w:r>
            <w:r/>
          </w:p>
        </w:tc>
        <w:tc>
          <w:tcPr>
            <w:tcW w:w="4451" w:type="dxa"/>
            <w:vAlign w:val="center"/>
            <w:textDirection w:val="lrTb"/>
            <w:noWrap w:val="false"/>
          </w:tcPr>
          <w:p>
            <w:pPr>
              <w:rPr>
                <w:highlight w:val="none"/>
              </w:rPr>
            </w:pPr>
            <w:r>
              <w:rPr>
                <w:rFonts w:hint="eastAsia"/>
                <w:highlight w:val="none"/>
              </w:rPr>
              <w:t xml:space="preserve">见“3.4保洁服务”“3.5保安服务”</w:t>
            </w:r>
            <w:r/>
          </w:p>
        </w:tc>
      </w:tr>
      <w:tr>
        <w:trPr>
          <w:jc w:val="center"/>
          <w:trHeight w:val="454"/>
        </w:trPr>
        <w:tc>
          <w:tcPr>
            <w:tcW w:w="1857" w:type="dxa"/>
            <w:vAlign w:val="center"/>
            <w:textDirection w:val="lrTb"/>
            <w:noWrap w:val="false"/>
          </w:tcPr>
          <w:p>
            <w:pPr>
              <w:rPr>
                <w:highlight w:val="none"/>
                <w:lang w:eastAsia="en-US"/>
              </w:rPr>
            </w:pPr>
            <w:r>
              <w:rPr>
                <w:rFonts w:hint="eastAsia"/>
                <w:highlight w:val="none"/>
                <w:lang w:eastAsia="en-US"/>
              </w:rPr>
              <w:t xml:space="preserve">门卫</w:t>
            </w:r>
            <w:r>
              <w:rPr>
                <w:rFonts w:hint="eastAsia"/>
                <w:highlight w:val="none"/>
              </w:rPr>
              <w:t xml:space="preserve">室、安检室</w:t>
            </w:r>
            <w:r/>
          </w:p>
        </w:tc>
        <w:tc>
          <w:tcPr>
            <w:tcW w:w="3489" w:type="dxa"/>
            <w:vAlign w:val="center"/>
            <w:textDirection w:val="lrTb"/>
            <w:noWrap w:val="false"/>
          </w:tcPr>
          <w:p>
            <w:pPr>
              <w:rPr>
                <w:rFonts w:eastAsia="等线"/>
                <w:highlight w:val="none"/>
                <w:lang w:eastAsia="en-US"/>
              </w:rPr>
            </w:pPr>
            <w:r>
              <w:rPr>
                <w:rFonts w:hint="eastAsia" w:eastAsia="等线"/>
                <w:highlight w:val="none"/>
              </w:rPr>
              <w:t xml:space="preserve">12平方米 </w:t>
            </w:r>
            <w:r/>
          </w:p>
        </w:tc>
        <w:tc>
          <w:tcPr>
            <w:tcW w:w="4451" w:type="dxa"/>
            <w:vAlign w:val="center"/>
            <w:textDirection w:val="lrTb"/>
            <w:noWrap w:val="false"/>
          </w:tcPr>
          <w:p>
            <w:pPr>
              <w:rPr>
                <w:highlight w:val="none"/>
              </w:rPr>
            </w:pPr>
            <w:r>
              <w:rPr>
                <w:rFonts w:hint="eastAsia"/>
                <w:highlight w:val="none"/>
              </w:rPr>
              <w:t xml:space="preserve">见“3.4保洁服务”“3.3公用设施设备维护服务”</w:t>
            </w:r>
            <w:r/>
          </w:p>
        </w:tc>
      </w:tr>
    </w:tbl>
    <w:p>
      <w:pPr>
        <w:rPr>
          <w:b/>
          <w:bCs/>
          <w:highlight w:val="none"/>
        </w:rPr>
      </w:pPr>
      <w:r>
        <w:rPr>
          <w:b/>
          <w:bCs/>
          <w:highlight w:val="none"/>
        </w:rPr>
      </w:r>
      <w:r/>
    </w:p>
    <w:p>
      <w:pPr>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    （三）物业管理服务内容及标准</w:t>
      </w:r>
      <w:r/>
    </w:p>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物业管理服务包括基本服务、房屋维护服务、公用设施设备维护服务、保洁服务、保安服务、会议服务、安检服务、食堂服务、理发服务、节能减排等。</w:t>
      </w:r>
      <w:r/>
    </w:p>
    <w:p>
      <w:pPr>
        <w:rPr>
          <w:rFonts w:ascii="方正仿宋_GBK" w:hAnsi="方正仿宋_GBK" w:eastAsia="方正仿宋_GBK" w:cs="方正仿宋_GBK"/>
          <w:bCs/>
          <w:sz w:val="32"/>
          <w:szCs w:val="32"/>
          <w:highlight w:val="none"/>
        </w:rPr>
      </w:pPr>
      <w:r/>
      <w:bookmarkStart w:id="176" w:name="_Toc10498"/>
      <w:r/>
      <w:bookmarkStart w:id="177" w:name="_Toc26485"/>
      <w:r/>
      <w:bookmarkStart w:id="178" w:name="_Toc26156"/>
      <w:r>
        <w:rPr>
          <w:rFonts w:hint="eastAsia" w:ascii="方正仿宋_GBK" w:hAnsi="方正仿宋_GBK" w:eastAsia="方正仿宋_GBK" w:cs="方正仿宋_GBK"/>
          <w:bCs/>
          <w:sz w:val="32"/>
          <w:szCs w:val="32"/>
          <w:highlight w:val="none"/>
        </w:rPr>
        <w:t xml:space="preserve">3.</w:t>
      </w:r>
      <w:bookmarkEnd w:id="176"/>
      <w:r/>
      <w:bookmarkEnd w:id="177"/>
      <w:r/>
      <w:bookmarkEnd w:id="178"/>
      <w:r>
        <w:rPr>
          <w:rFonts w:hint="eastAsia" w:ascii="方正仿宋_GBK" w:hAnsi="方正仿宋_GBK" w:eastAsia="方正仿宋_GBK" w:cs="方正仿宋_GBK"/>
          <w:bCs/>
          <w:sz w:val="32"/>
          <w:szCs w:val="32"/>
          <w:highlight w:val="none"/>
        </w:rPr>
        <w:t xml:space="preserve">1基本服务</w:t>
      </w:r>
      <w:r/>
    </w:p>
    <w:tbl>
      <w:tblPr>
        <w:tblStyle w:val="773"/>
        <w:tblW w:w="53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205"/>
        <w:gridCol w:w="7810"/>
      </w:tblGrid>
      <w:tr>
        <w:trPr>
          <w:jc w:val="center"/>
          <w:trHeight w:val="454"/>
          <w:tblHeader/>
        </w:trPr>
        <w:tc>
          <w:tcPr>
            <w:tcW w:w="696"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44"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696"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目标与责任</w:t>
            </w:r>
            <w:r/>
          </w:p>
        </w:tc>
        <w:tc>
          <w:tcPr>
            <w:tcW w:w="7644" w:type="dxa"/>
            <w:vAlign w:val="center"/>
            <w:textDirection w:val="lrTb"/>
            <w:noWrap w:val="false"/>
          </w:tcPr>
          <w:p>
            <w:pPr>
              <w:rPr>
                <w:highlight w:val="none"/>
              </w:rPr>
            </w:pPr>
            <w:r>
              <w:rPr>
                <w:rFonts w:hint="eastAsia"/>
                <w:highlight w:val="none"/>
              </w:rPr>
              <w:t xml:space="preserve">（1）结合采购人要求及物业服务实际情况，制定年度管理目标，明确责任分工，并制定配套实施方案。</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（2）配合采购人各类重大活动现场保洁、秩序维护、会务及设备运行保障。</w:t>
            </w:r>
            <w:r/>
          </w:p>
        </w:tc>
      </w:tr>
      <w:tr>
        <w:trPr>
          <w:jc w:val="center"/>
          <w:trHeight w:val="454"/>
        </w:trPr>
        <w:tc>
          <w:tcPr>
            <w:tcW w:w="696"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服务人员要求</w:t>
            </w:r>
            <w:r/>
          </w:p>
        </w:tc>
        <w:tc>
          <w:tcPr>
            <w:tcW w:w="7644" w:type="dxa"/>
            <w:vAlign w:val="center"/>
            <w:textDirection w:val="lrTb"/>
            <w:noWrap w:val="false"/>
          </w:tcPr>
          <w:p>
            <w:pPr>
              <w:rPr>
                <w:highlight w:val="none"/>
              </w:rPr>
            </w:pPr>
            <w:r>
              <w:rPr>
                <w:rFonts w:hint="eastAsia"/>
                <w:highlight w:val="none"/>
              </w:rPr>
              <w:t xml:space="preserve">（1）每季度至少开展1次岗位技能、职业素质、服务知识、客户文化、绿色节能环保等教育培训，并进行适当形式的考核。</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（2）根据要求对服务人员进行从业资格审查，审查结果向采购人报备。</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bookmarkStart w:id="179" w:name="OLE_LINK3"/>
            <w:r>
              <w:rPr>
                <w:rFonts w:hint="eastAsia"/>
                <w:highlight w:val="none"/>
              </w:rPr>
              <w:t xml:space="preserve">（3）</w:t>
            </w:r>
            <w:bookmarkEnd w:id="179"/>
            <w:r>
              <w:rPr>
                <w:rFonts w:hint="eastAsia"/>
                <w:highlight w:val="none"/>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4）如采购人认为服务人员不适应岗位要求或存在其他影响工作的，可要求投标人进行调换。如因投标人原因对服务人员进行调换，应当经采购人同意，更换比例不得超过本项目服务人员总数的20%。本项目服务人员不得在其他项目兼职（理发师除外）。项目经理、主管、食堂厨师长调换必须经过采购人书面同意，不得随意调换。</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（5）着装分类统一，佩戴标识。仪容整洁、姿态端正、举止文明。用语文明礼貌，态度温和耐心。</w:t>
            </w:r>
            <w:r/>
          </w:p>
        </w:tc>
      </w:tr>
      <w:tr>
        <w:trPr>
          <w:jc w:val="center"/>
          <w:trHeight w:val="454"/>
        </w:trPr>
        <w:tc>
          <w:tcPr>
            <w:tcW w:w="696"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保密和思想政治教育</w:t>
            </w:r>
            <w:r/>
          </w:p>
        </w:tc>
        <w:tc>
          <w:tcPr>
            <w:tcW w:w="7644" w:type="dxa"/>
            <w:vAlign w:val="center"/>
            <w:textDirection w:val="lrTb"/>
            <w:noWrap w:val="false"/>
          </w:tcPr>
          <w:p>
            <w:pPr>
              <w:rPr>
                <w:highlight w:val="none"/>
              </w:rPr>
            </w:pPr>
            <w:r>
              <w:rPr>
                <w:rFonts w:hint="eastAsia"/>
                <w:highlight w:val="none"/>
              </w:rPr>
              <w:t xml:space="preserve">（1）建立保密管理制度。制度内容应当包括但不限于：①明确重点要害岗位保密职责。②对涉密工作岗位的保密要求。</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（2）发现服务人员违法违规或重大过失，及时报告采购人，并采取必要补救措施。</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ascii="宋体" w:hAnsi="宋体" w:cs="宋体"/>
                <w:highlight w:val="none"/>
              </w:rPr>
              <w:t xml:space="preserve">（</w:t>
            </w:r>
            <w:r>
              <w:rPr>
                <w:rFonts w:hint="eastAsia"/>
                <w:highlight w:val="none"/>
              </w:rPr>
              <w:t xml:space="preserve">3</w:t>
            </w:r>
            <w:r>
              <w:rPr>
                <w:rFonts w:hint="eastAsia" w:ascii="宋体" w:hAnsi="宋体" w:cs="宋体"/>
                <w:highlight w:val="none"/>
              </w:rPr>
              <w:t xml:space="preserve">）保密教育。每季度一次对服务人员进行保密教育。</w:t>
            </w:r>
            <w:r/>
          </w:p>
        </w:tc>
      </w:tr>
      <w:tr>
        <w:trPr>
          <w:jc w:val="center"/>
          <w:trHeight w:val="454"/>
        </w:trPr>
        <w:tc>
          <w:tcPr>
            <w:tcW w:w="696" w:type="dxa"/>
            <w:vAlign w:val="center"/>
            <w:vMerge w:val="restart"/>
            <w:textDirection w:val="lrTb"/>
            <w:noWrap w:val="false"/>
          </w:tcPr>
          <w:p>
            <w:pPr>
              <w:rPr>
                <w:highlight w:val="none"/>
                <w:lang w:eastAsia="en-US"/>
              </w:rPr>
            </w:pPr>
            <w:r>
              <w:rPr>
                <w:rFonts w:hint="eastAsia"/>
                <w:highlight w:val="none"/>
                <w:lang w:eastAsia="en-US"/>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档案管理</w:t>
            </w:r>
            <w:r/>
          </w:p>
        </w:tc>
        <w:tc>
          <w:tcPr>
            <w:tcW w:w="7644" w:type="dxa"/>
            <w:vAlign w:val="center"/>
            <w:textDirection w:val="lrTb"/>
            <w:noWrap w:val="false"/>
          </w:tcPr>
          <w:p>
            <w:pPr>
              <w:rPr>
                <w:highlight w:val="none"/>
              </w:rPr>
            </w:pPr>
            <w:r>
              <w:rPr>
                <w:rFonts w:hint="eastAsia"/>
                <w:highlight w:val="none"/>
              </w:rPr>
              <w:t xml:space="preserve">（1）建立物业信息，准确、及时地对文件资料和服务记录进行归档保存，并确保其物理安全。</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档案和记录齐全，包括但不限于：①采购人建议与投诉等。教育培训和考核记录。②房屋维护服务：房屋台账、使用说明、房屋装修、维保记录等。③公用设施设备维护服务：设备台账、设备卡、使用说明、维保记录、巡查记录、设施设备安全运行、设施设备定期巡检、维护保养、维修档案、节能巡查记录等。④保安服务：监控记录、来访记录、安检记录、巡逻记录、值班记录、突发事件演习与处置记录等。⑤保洁服务：工作日志、清洁检查表、用品清单、客户反馈表等。⑥其他：客户信息、财务明细、合同协议、信报信息登记、大件物品进出登记等。</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（3）遵守采购人的信息、档案资料保密要求，未经许可，不得将建筑物平面图等资料转作其他用途或向其他单位、个人提供。</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（4）履约结束后，相关资料交还采购人，采购人按政府采购相关规定存档。</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（5）明确安全管理责任和保密责任，签订安全管理责任书和保密责任书。</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（6）开展服务检查和监管，评估服务效果，必要时进行服务流程调整。</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（7）根据工作反馈意见与建议，持续提升服务品质。</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服务改进</w:t>
            </w:r>
            <w:r/>
          </w:p>
        </w:tc>
        <w:tc>
          <w:tcPr>
            <w:tcW w:w="7644" w:type="dxa"/>
            <w:vAlign w:val="center"/>
            <w:textDirection w:val="lrTb"/>
            <w:noWrap w:val="false"/>
          </w:tcPr>
          <w:p>
            <w:pPr>
              <w:rPr>
                <w:highlight w:val="none"/>
              </w:rPr>
            </w:pPr>
            <w:r>
              <w:rPr>
                <w:rFonts w:hint="eastAsia"/>
                <w:highlight w:val="none"/>
              </w:rPr>
              <w:t xml:space="preserve">（1）明确负责人，定期对物业服务过程进行自查，结合反馈意见与评价结果采取改进措施，持续提升管理与服务水平。</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（2）对不合格服务进行控制，对不合格服务的原因进行识别和分析，及时采取纠正措施，消除不合格的原因，防止不合格再发生。</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（3）需整改问题及时整改完成。</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6</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重大活动后勤保障</w:t>
            </w:r>
            <w:r/>
          </w:p>
        </w:tc>
        <w:tc>
          <w:tcPr>
            <w:tcW w:w="7644" w:type="dxa"/>
            <w:vAlign w:val="center"/>
            <w:textDirection w:val="lrTb"/>
            <w:noWrap w:val="false"/>
          </w:tcPr>
          <w:p>
            <w:pPr>
              <w:rPr>
                <w:highlight w:val="none"/>
              </w:rPr>
            </w:pPr>
            <w:r>
              <w:rPr>
                <w:rFonts w:hint="eastAsia"/>
                <w:highlight w:val="none"/>
              </w:rPr>
              <w:t xml:space="preserve">（1）制订流程。配合采购人制订重大活动后勤保障工作流程，需对任务进行详细了解，并根据工作安排制定详细的后勤保障计划。</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实施保障。按计划在关键区域和重点部位进行部署，确保任务顺利进行，对活动区域进行全面安全检查，发现并排除安全隐患，对电梯管控、车辆进行有序引导和管理，确保交通安全畅通，以礼貌、专业的态度对待来宾，展现良好形象。</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（3）收尾工作。对现场进行检查，做好清理工作。</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7</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应急保障预案</w:t>
            </w:r>
            <w:r/>
          </w:p>
        </w:tc>
        <w:tc>
          <w:tcPr>
            <w:tcW w:w="7644" w:type="dxa"/>
            <w:vAlign w:val="center"/>
            <w:textDirection w:val="lrTb"/>
            <w:noWrap w:val="false"/>
          </w:tcPr>
          <w:p>
            <w:pPr>
              <w:rPr>
                <w:highlight w:val="none"/>
              </w:rPr>
            </w:pPr>
            <w:r>
              <w:rPr>
                <w:rFonts w:hint="eastAsia"/>
                <w:highlight w:val="none"/>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应急预案的建立。根据办公楼隐患排查的结果和实际情况，制定专项预案，包括但不限于：火情火警紧急处理应急预案、紧急疏散应急预案、停水停电应急预案、有限空间救援应急预案、高空作业救援应急预案、不文明上访接待应急处置、恶劣天气应对应急预案等。</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8</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服务方案及工作制度</w:t>
            </w:r>
            <w:r/>
          </w:p>
        </w:tc>
        <w:tc>
          <w:tcPr>
            <w:tcW w:w="7644" w:type="dxa"/>
            <w:vAlign w:val="center"/>
            <w:textDirection w:val="lrTb"/>
            <w:noWrap w:val="false"/>
          </w:tcPr>
          <w:p>
            <w:pPr>
              <w:rPr>
                <w:highlight w:val="none"/>
              </w:rPr>
            </w:pPr>
            <w:r>
              <w:rPr>
                <w:rFonts w:hint="eastAsia"/>
                <w:highlight w:val="none"/>
              </w:rPr>
              <w:t xml:space="preserve">（1）制定工作制度，主要包括：人员录用制度、档案管理制度、物业服务管理制度、公用设施设备相关管理制度等。</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（2）制定项目实施方案，主要包括：交接方案、人员培训方案、人员稳定性方案、保密方案等。</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（3）制定物业服务方案，主要包括：房屋维护服务方案、公用设施设备维护服务方案、保洁服务方案、保安服务方案、安检巡查方案、会议服务方案、食堂服务方案等。</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9</w:t>
            </w:r>
            <w:r/>
          </w:p>
        </w:tc>
        <w:tc>
          <w:tcPr>
            <w:tcW w:w="1179" w:type="dxa"/>
            <w:vAlign w:val="center"/>
            <w:vMerge w:val="restart"/>
            <w:textDirection w:val="lrTb"/>
            <w:noWrap w:val="false"/>
          </w:tcPr>
          <w:p>
            <w:pPr>
              <w:rPr>
                <w:highlight w:val="none"/>
              </w:rPr>
            </w:pPr>
            <w:r>
              <w:rPr>
                <w:rFonts w:hint="eastAsia"/>
                <w:highlight w:val="none"/>
              </w:rPr>
              <w:t xml:space="preserve">信报服务及快递室管理</w:t>
            </w:r>
            <w:r/>
          </w:p>
        </w:tc>
        <w:tc>
          <w:tcPr>
            <w:tcW w:w="7644" w:type="dxa"/>
            <w:vAlign w:val="center"/>
            <w:textDirection w:val="lrTb"/>
            <w:noWrap w:val="false"/>
          </w:tcPr>
          <w:p>
            <w:pPr>
              <w:rPr>
                <w:highlight w:val="none"/>
              </w:rPr>
            </w:pPr>
            <w:r>
              <w:rPr>
                <w:rFonts w:hint="eastAsia"/>
                <w:highlight w:val="none"/>
              </w:rPr>
              <w:t xml:space="preserve">（1）对邮件、包裹和挂号信等进行正确分理、安全检查和防疫卫生检查。</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（2）及时投送或通知收件人领取。</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（3）大件物品出入向采购人报告，待采购人确认无误后放行。</w:t>
            </w:r>
            <w:r/>
          </w:p>
        </w:tc>
      </w:tr>
      <w:tr>
        <w:trPr>
          <w:jc w:val="center"/>
          <w:trHeight w:val="454"/>
        </w:trPr>
        <w:tc>
          <w:tcPr>
            <w:tcW w:w="696" w:type="dxa"/>
            <w:vAlign w:val="center"/>
            <w:vMerge w:val="restart"/>
            <w:textDirection w:val="lrTb"/>
            <w:noWrap w:val="false"/>
          </w:tcPr>
          <w:p>
            <w:pPr>
              <w:rPr>
                <w:highlight w:val="none"/>
                <w:lang w:eastAsia="en-US"/>
              </w:rPr>
            </w:pPr>
            <w:r>
              <w:rPr>
                <w:highlight w:val="none"/>
                <w:lang w:eastAsia="en-US"/>
              </w:rPr>
              <w:t xml:space="preserve">10</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服务热线及紧急维修</w:t>
            </w:r>
            <w:r/>
          </w:p>
        </w:tc>
        <w:tc>
          <w:tcPr>
            <w:tcW w:w="7644" w:type="dxa"/>
            <w:vAlign w:val="center"/>
            <w:textDirection w:val="lrTb"/>
            <w:noWrap w:val="false"/>
          </w:tcPr>
          <w:p>
            <w:pPr>
              <w:rPr>
                <w:highlight w:val="none"/>
              </w:rPr>
            </w:pPr>
            <w:r>
              <w:rPr>
                <w:rFonts w:hint="eastAsia"/>
                <w:highlight w:val="none"/>
              </w:rPr>
              <w:t xml:space="preserve">（1）设置24小时报修服务热线。</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4" w:type="dxa"/>
            <w:vAlign w:val="center"/>
            <w:textDirection w:val="lrTb"/>
            <w:noWrap w:val="false"/>
          </w:tcPr>
          <w:p>
            <w:pPr>
              <w:rPr>
                <w:highlight w:val="none"/>
              </w:rPr>
            </w:pPr>
            <w:r>
              <w:rPr>
                <w:rFonts w:hint="eastAsia"/>
                <w:highlight w:val="none"/>
              </w:rPr>
              <w:t xml:space="preserve">（2）紧急维修应当15分钟内到达现场，不间断维修直至修复。</w:t>
            </w:r>
            <w:r/>
          </w:p>
        </w:tc>
      </w:tr>
    </w:tbl>
    <w:p>
      <w:pPr>
        <w:rPr>
          <w:sz w:val="32"/>
          <w:szCs w:val="32"/>
          <w:highlight w:val="none"/>
        </w:rPr>
      </w:pPr>
      <w:r>
        <w:rPr>
          <w:rFonts w:hint="eastAsia"/>
          <w:sz w:val="32"/>
          <w:szCs w:val="32"/>
          <w:highlight w:val="none"/>
        </w:rPr>
        <w:t xml:space="preserve">3.2房屋维护服务</w:t>
      </w:r>
      <w:r/>
    </w:p>
    <w:tbl>
      <w:tblPr>
        <w:tblStyle w:val="773"/>
        <w:tblW w:w="53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204"/>
        <w:gridCol w:w="7818"/>
      </w:tblGrid>
      <w:tr>
        <w:trPr>
          <w:jc w:val="center"/>
          <w:trHeight w:val="454"/>
          <w:tblHeader/>
        </w:trPr>
        <w:tc>
          <w:tcPr>
            <w:tcW w:w="675" w:type="dxa"/>
            <w:vAlign w:val="center"/>
            <w:textDirection w:val="lrTb"/>
            <w:noWrap w:val="false"/>
          </w:tcPr>
          <w:p>
            <w:pPr>
              <w:rPr>
                <w:highlight w:val="none"/>
                <w:lang w:eastAsia="en-US"/>
              </w:rPr>
            </w:pPr>
            <w:r>
              <w:rPr>
                <w:rFonts w:hint="eastAsia"/>
                <w:highlight w:val="none"/>
                <w:lang w:eastAsia="en-US"/>
              </w:rPr>
              <w:t xml:space="preserve">序号</w:t>
            </w:r>
            <w:r/>
          </w:p>
        </w:tc>
        <w:tc>
          <w:tcPr>
            <w:tcW w:w="1134"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360"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675"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34" w:type="dxa"/>
            <w:vAlign w:val="center"/>
            <w:vMerge w:val="restart"/>
            <w:textDirection w:val="lrTb"/>
            <w:noWrap w:val="false"/>
          </w:tcPr>
          <w:p>
            <w:pPr>
              <w:rPr>
                <w:highlight w:val="none"/>
              </w:rPr>
            </w:pPr>
            <w:r>
              <w:rPr>
                <w:rFonts w:hint="eastAsia"/>
                <w:highlight w:val="none"/>
              </w:rPr>
              <w:t xml:space="preserve">主体结构、围护结构、部品部件</w:t>
            </w:r>
            <w:r/>
          </w:p>
        </w:tc>
        <w:tc>
          <w:tcPr>
            <w:tcW w:w="7360" w:type="dxa"/>
            <w:vAlign w:val="center"/>
            <w:textDirection w:val="lrTb"/>
            <w:noWrap w:val="false"/>
          </w:tcPr>
          <w:p>
            <w:pPr>
              <w:rPr>
                <w:highlight w:val="none"/>
              </w:rPr>
            </w:pPr>
            <w:r>
              <w:rPr>
                <w:rFonts w:hint="eastAsia"/>
                <w:highlight w:val="none"/>
              </w:rPr>
              <w:t xml:space="preserve">（1）每季度至少开展1次房屋结构安全巡视，发现外观有变形、开裂等现象，及时建议采购人申请房屋安全鉴定，并采取必要的避险和防护措施。</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（2）每季度至少开展1次外墙贴饰面、幕墙玻璃、雨篷、散水、空调室外机支撑构件等检查，发现破损，及时向采购人报告，按采购人要求出具维修方案，待采购人同意后按维修方案实施维修。</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（4）每年强降雨天气前后、雨雪季节检查屋面防水和雨水管等，发现破损，及时向采购人报告，按采购人要求出具维修方案，待采购人同意后按维修方案实施维修。</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（5）办公楼外观完好，建筑装饰面无脱落、无破损、无污渍，玻璃幕墙清洁明亮、无破损。</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（6）通道、楼梯、门窗等设施的完好和正常使用。</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（7）负责服务区内工程设施、房屋日常维护管理，确保设备的正常使用、运行，协调、监护设备的维保、零</w:t>
            </w:r>
            <w:r>
              <w:rPr>
                <w:rFonts w:hint="eastAsia" w:ascii="宋体" w:hAnsi="宋体"/>
                <w:highlight w:val="none"/>
              </w:rPr>
              <w:t xml:space="preserve">星维</w:t>
            </w:r>
            <w:r>
              <w:rPr>
                <w:rFonts w:hint="eastAsia"/>
                <w:highlight w:val="none"/>
              </w:rPr>
              <w:t xml:space="preserve">修工作。</w:t>
            </w:r>
            <w:r/>
          </w:p>
        </w:tc>
      </w:tr>
      <w:tr>
        <w:trPr>
          <w:jc w:val="center"/>
          <w:trHeight w:val="10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（8）提供9697</w:t>
            </w:r>
            <w:r>
              <w:rPr>
                <w:rFonts w:hint="eastAsia" w:ascii="宋体" w:hAnsi="宋体" w:cs="宋体"/>
                <w:highlight w:val="none"/>
              </w:rPr>
              <w:t xml:space="preserve">统一报修平台，</w:t>
            </w:r>
            <w:r>
              <w:rPr>
                <w:rFonts w:hint="eastAsia"/>
                <w:highlight w:val="none"/>
              </w:rPr>
              <w:t xml:space="preserve">24小时维修接报服务，客户报修接报后15分钟到场处理，对急需解决的故障能应急调整或修复。</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（9）工程零修、急修及时率98%；零</w:t>
            </w:r>
            <w:r>
              <w:rPr>
                <w:rFonts w:hint="eastAsia" w:ascii="宋体" w:hAnsi="宋体"/>
                <w:highlight w:val="none"/>
              </w:rPr>
              <w:t xml:space="preserve">星维</w:t>
            </w:r>
            <w:r>
              <w:rPr>
                <w:rFonts w:hint="eastAsia"/>
                <w:highlight w:val="none"/>
              </w:rPr>
              <w:t xml:space="preserve">修工程合格率98%；各类设施设备完好、整洁、无污损，完好率、合格率均达到98%以上；做好维修跟踪服务，满意率98%以上。</w:t>
            </w:r>
            <w:r/>
          </w:p>
        </w:tc>
      </w:tr>
      <w:tr>
        <w:trPr>
          <w:jc w:val="center"/>
          <w:trHeight w:val="454"/>
        </w:trPr>
        <w:tc>
          <w:tcPr>
            <w:tcW w:w="675"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34" w:type="dxa"/>
            <w:vAlign w:val="center"/>
            <w:vMerge w:val="restart"/>
            <w:textDirection w:val="lrTb"/>
            <w:noWrap w:val="false"/>
          </w:tcPr>
          <w:p>
            <w:pPr>
              <w:rPr>
                <w:highlight w:val="none"/>
                <w:lang w:eastAsia="en-US"/>
              </w:rPr>
            </w:pPr>
            <w:r>
              <w:rPr>
                <w:rFonts w:hint="eastAsia"/>
                <w:highlight w:val="none"/>
                <w:lang w:eastAsia="en-US"/>
              </w:rPr>
              <w:t xml:space="preserve">其他设施</w:t>
            </w:r>
            <w:r/>
          </w:p>
        </w:tc>
        <w:tc>
          <w:tcPr>
            <w:tcW w:w="7360" w:type="dxa"/>
            <w:vAlign w:val="center"/>
            <w:textDirection w:val="lrTb"/>
            <w:noWrap w:val="false"/>
          </w:tcPr>
          <w:p>
            <w:pPr>
              <w:rPr>
                <w:highlight w:val="none"/>
              </w:rPr>
            </w:pPr>
            <w:r>
              <w:rPr>
                <w:rFonts w:hint="eastAsia"/>
                <w:highlight w:val="none"/>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（2）路面状态良好，地漏通畅不堵塞。</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（3）接到采购人家具报修服务后，及时通知家具供货商对保修期内的家具进行维修，及时对保修期外的家具进行维修。</w:t>
            </w:r>
            <w:r/>
          </w:p>
        </w:tc>
      </w:tr>
      <w:tr>
        <w:trPr>
          <w:jc w:val="center"/>
          <w:trHeight w:val="454"/>
        </w:trPr>
        <w:tc>
          <w:tcPr>
            <w:tcW w:w="675"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34" w:type="dxa"/>
            <w:vAlign w:val="center"/>
            <w:vMerge w:val="restart"/>
            <w:textDirection w:val="lrTb"/>
            <w:noWrap w:val="false"/>
          </w:tcPr>
          <w:p>
            <w:pPr>
              <w:rPr>
                <w:highlight w:val="none"/>
                <w:lang w:eastAsia="en-US"/>
              </w:rPr>
            </w:pPr>
            <w:r>
              <w:rPr>
                <w:rFonts w:hint="eastAsia"/>
                <w:highlight w:val="none"/>
                <w:lang w:eastAsia="en-US"/>
              </w:rPr>
              <w:t xml:space="preserve">装饰装修监督管理</w:t>
            </w:r>
            <w:r/>
          </w:p>
        </w:tc>
        <w:tc>
          <w:tcPr>
            <w:tcW w:w="7360" w:type="dxa"/>
            <w:vAlign w:val="center"/>
            <w:textDirection w:val="lrTb"/>
            <w:noWrap w:val="false"/>
          </w:tcPr>
          <w:p>
            <w:pPr>
              <w:rPr>
                <w:highlight w:val="none"/>
              </w:rPr>
            </w:pPr>
            <w:r>
              <w:rPr>
                <w:rFonts w:hint="eastAsia"/>
                <w:highlight w:val="none"/>
              </w:rPr>
              <w:t xml:space="preserve">（1）装饰装修前，供应商应当与采购人或采购人委托的装修企业签订装饰装修管理服务协议，告知装饰装修须知，并对装饰装修过程进行管理服务。</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（2）根据协议内容，做好装修垃圾临时堆放、清运等。</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（3）受采购人委托对房屋内装修进行严格的监督管理，发现问题及时上报，确保不因装修而危及大楼结构安全、人身安全和影响正常办公秩序。</w:t>
            </w:r>
            <w:r/>
          </w:p>
        </w:tc>
      </w:tr>
      <w:tr>
        <w:trPr>
          <w:jc w:val="center"/>
          <w:trHeight w:val="454"/>
        </w:trPr>
        <w:tc>
          <w:tcPr>
            <w:tcW w:w="675"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34" w:type="dxa"/>
            <w:vAlign w:val="center"/>
            <w:vMerge w:val="restart"/>
            <w:textDirection w:val="lrTb"/>
            <w:noWrap w:val="false"/>
          </w:tcPr>
          <w:p>
            <w:pPr>
              <w:rPr>
                <w:highlight w:val="none"/>
                <w:lang w:eastAsia="en-US"/>
              </w:rPr>
            </w:pPr>
            <w:r>
              <w:rPr>
                <w:rFonts w:hint="eastAsia"/>
                <w:highlight w:val="none"/>
                <w:lang w:eastAsia="en-US"/>
              </w:rPr>
              <w:t xml:space="preserve">标识标牌</w:t>
            </w:r>
            <w:r/>
          </w:p>
        </w:tc>
        <w:tc>
          <w:tcPr>
            <w:tcW w:w="7360" w:type="dxa"/>
            <w:vAlign w:val="center"/>
            <w:textDirection w:val="lrTb"/>
            <w:noWrap w:val="false"/>
          </w:tcPr>
          <w:p>
            <w:pPr>
              <w:rPr>
                <w:highlight w:val="none"/>
              </w:rPr>
            </w:pPr>
            <w:r>
              <w:rPr>
                <w:rFonts w:hint="eastAsia"/>
                <w:highlight w:val="none"/>
              </w:rPr>
              <w:t xml:space="preserve">（1）标识标牌符合《公共信息图形符号第1部分：通用符号》（GB/T11.1）的相关要求，消防与安全标识符合《安全标志及其使用导则》（GB2894）、《消防安全标志　第1部分：标志》（GB13495.1）的相关要求。</w:t>
            </w:r>
            <w:r/>
          </w:p>
        </w:tc>
      </w:tr>
      <w:tr>
        <w:trPr>
          <w:jc w:val="center"/>
          <w:trHeight w:val="454"/>
        </w:trPr>
        <w:tc>
          <w:tcPr>
            <w:tcW w:w="675" w:type="dxa"/>
            <w:vAlign w:val="center"/>
            <w:vMerge w:val="continue"/>
            <w:textDirection w:val="lrTb"/>
            <w:noWrap w:val="false"/>
          </w:tcPr>
          <w:p>
            <w:pPr>
              <w:rPr>
                <w:highlight w:val="none"/>
              </w:rPr>
            </w:pPr>
            <w:r>
              <w:rPr>
                <w:highlight w:val="none"/>
              </w:rPr>
            </w:r>
            <w:r/>
          </w:p>
        </w:tc>
        <w:tc>
          <w:tcPr>
            <w:tcW w:w="1134" w:type="dxa"/>
            <w:vAlign w:val="center"/>
            <w:vMerge w:val="continue"/>
            <w:textDirection w:val="lrTb"/>
            <w:noWrap w:val="false"/>
          </w:tcPr>
          <w:p>
            <w:pPr>
              <w:rPr>
                <w:highlight w:val="none"/>
              </w:rPr>
            </w:pPr>
            <w:r>
              <w:rPr>
                <w:highlight w:val="none"/>
              </w:rPr>
            </w:r>
            <w:r/>
          </w:p>
        </w:tc>
        <w:tc>
          <w:tcPr>
            <w:tcW w:w="7360" w:type="dxa"/>
            <w:vAlign w:val="center"/>
            <w:textDirection w:val="lrTb"/>
            <w:noWrap w:val="false"/>
          </w:tcPr>
          <w:p>
            <w:pPr>
              <w:rPr>
                <w:highlight w:val="none"/>
              </w:rPr>
            </w:pPr>
            <w:r>
              <w:rPr>
                <w:rFonts w:hint="eastAsia"/>
                <w:highlight w:val="none"/>
              </w:rPr>
              <w:t xml:space="preserve">（2）每月至少检查1次标识标牌和消防与安全标识。应当规范清晰、路线指引正确、安装稳固。</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3.3公用设施设备维护服务</w:t>
      </w:r>
      <w:r/>
    </w:p>
    <w:tbl>
      <w:tblPr>
        <w:tblStyle w:val="773"/>
        <w:tblW w:w="53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205"/>
        <w:gridCol w:w="7831"/>
      </w:tblGrid>
      <w:tr>
        <w:trPr>
          <w:jc w:val="center"/>
          <w:trHeight w:val="454"/>
        </w:trPr>
        <w:tc>
          <w:tcPr>
            <w:tcW w:w="718"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63"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基本要求</w:t>
            </w:r>
            <w:r/>
          </w:p>
        </w:tc>
        <w:tc>
          <w:tcPr>
            <w:tcW w:w="7663" w:type="dxa"/>
            <w:vAlign w:val="center"/>
            <w:textDirection w:val="lrTb"/>
            <w:noWrap w:val="false"/>
          </w:tcPr>
          <w:p>
            <w:pPr>
              <w:rPr>
                <w:highlight w:val="none"/>
              </w:rPr>
            </w:pPr>
            <w:r>
              <w:rPr>
                <w:rFonts w:hint="eastAsia"/>
                <w:highlight w:val="none"/>
              </w:rPr>
              <w:t xml:space="preserve">（1）重大节假日及恶劣天气前后，组织系统巡检1次。</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（2）具备设施设备安全、稳定运行的环境和场所（含有限空间），温湿度、照度、粉尘和烟雾浓度等符合相关安全规范。</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（3）各类设施、设备包含但不限于：建筑设施、中央空调系统（含VRV空调）、电梯、消防、监控、会议室设备、多媒体系统、供电、照明、电器、供气、供水、排水及水泵、阀等使用与管理。</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（4）负责各类设施、设备的巡查与值守，按照设备技术要求对相关设备巡视检查；配电房、安防消防控制室实行24小时值班；保证配电房常用配件齐全和供电系统正常运行；做好巡查、值班记录。</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5）负责设备日常维护保养工作，制定设备维保计划（不含专业维保），并按时协调维护保养设备（包括加油、测试、疏通、清洗、更换易耗件等）；其中投标人应监督并协助专业维保资质单位对二次供水水箱设施做好清洗、消毒工作，每半年一次。</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（6）负责管理和协调各专业维保单位对相关设备进行定期专业保养与维护、检测与年检等工作，督促专业维保单位按时、保质保量地开展维保工作；对工程设施维修负责随工监理，保证工程质量达标。</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（7）设备出现故障时，一般故障能够及时处理。重大设备故障及时向采购人书面反映，并采取应急措施。</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（8）确保各类设施设备正常运行，安全无事故。制定设备维保计划并定期实施，按照设备需求开展设备巡检，发现问题能够及时处理给予解决，不能及时处理及时向采购人汇报，并采取应急措施。</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（9）突发事件按照应急预案处置。公共照明系统的楼道灯、道路灯完好率达95%；室内外公共</w:t>
            </w:r>
            <w:r>
              <w:rPr>
                <w:rFonts w:hint="eastAsia" w:ascii="宋体" w:hAnsi="宋体"/>
                <w:highlight w:val="none"/>
              </w:rPr>
              <w:t xml:space="preserve">配电柜</w:t>
            </w:r>
            <w:r>
              <w:rPr>
                <w:rFonts w:hint="eastAsia"/>
                <w:highlight w:val="none"/>
              </w:rPr>
              <w:t xml:space="preserve">每周巡查一次；停电、限电通知采购人对口部门负责人。</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（10）协助采购人做好节电节水节气等节能工作。</w:t>
            </w:r>
            <w:r/>
          </w:p>
        </w:tc>
      </w:tr>
      <w:tr>
        <w:trPr>
          <w:jc w:val="center"/>
          <w:trHeight w:val="454"/>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（11）定期协助采购人进行下水沟渠的清理和疏通。</w:t>
            </w:r>
            <w:r/>
          </w:p>
        </w:tc>
      </w:tr>
      <w:tr>
        <w:trPr>
          <w:jc w:val="center"/>
          <w:trHeight w:val="454"/>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（12）工程设备具体要求值班的岗位如下：</w:t>
            </w:r>
            <w:r/>
          </w:p>
          <w:p>
            <w:pPr>
              <w:rPr>
                <w:highlight w:val="none"/>
              </w:rPr>
            </w:pPr>
            <w:r>
              <w:rPr>
                <w:rFonts w:hint="eastAsia"/>
                <w:highlight w:val="none"/>
              </w:rPr>
              <w:t xml:space="preserve">①配电房24小时的值守、定期巡视并记录；</w:t>
            </w:r>
            <w:r/>
          </w:p>
          <w:p>
            <w:pPr>
              <w:rPr>
                <w:highlight w:val="none"/>
              </w:rPr>
            </w:pPr>
            <w:r>
              <w:rPr>
                <w:rFonts w:hint="eastAsia"/>
                <w:highlight w:val="none"/>
              </w:rPr>
              <w:t xml:space="preserve">②中央空调巡查与记录；</w:t>
            </w:r>
            <w:r/>
          </w:p>
          <w:p>
            <w:pPr>
              <w:rPr>
                <w:highlight w:val="none"/>
              </w:rPr>
            </w:pPr>
            <w:r>
              <w:rPr>
                <w:rFonts w:hint="eastAsia"/>
                <w:highlight w:val="none"/>
              </w:rPr>
              <w:t xml:space="preserve">③夜间水电值班服务；</w:t>
            </w:r>
            <w:r/>
          </w:p>
          <w:p>
            <w:pPr>
              <w:rPr>
                <w:highlight w:val="none"/>
              </w:rPr>
            </w:pPr>
            <w:r>
              <w:rPr>
                <w:rFonts w:hint="eastAsia"/>
                <w:highlight w:val="none"/>
              </w:rPr>
              <w:t xml:space="preserve">④安防消防控制室值班与记录；</w:t>
            </w:r>
            <w:r/>
          </w:p>
          <w:p>
            <w:pPr>
              <w:rPr>
                <w:highlight w:val="none"/>
              </w:rPr>
            </w:pPr>
            <w:r>
              <w:rPr>
                <w:rFonts w:hint="eastAsia"/>
                <w:highlight w:val="none"/>
              </w:rPr>
              <w:t xml:space="preserve">⑤电梯巡检与记录；</w:t>
            </w:r>
            <w:r/>
          </w:p>
          <w:p>
            <w:pPr>
              <w:rPr>
                <w:rFonts w:eastAsia="等线"/>
                <w:highlight w:val="none"/>
              </w:rPr>
            </w:pPr>
            <w:r>
              <w:rPr>
                <w:rFonts w:hint="eastAsia"/>
                <w:highlight w:val="none"/>
              </w:rPr>
              <w:t xml:space="preserve">⑥</w:t>
            </w:r>
            <w:bookmarkStart w:id="180" w:name="OLE_LINK1"/>
            <w:r>
              <w:rPr>
                <w:rFonts w:hint="eastAsia"/>
                <w:highlight w:val="none"/>
              </w:rPr>
              <w:t xml:space="preserve">消防风机房设备的巡检与记录；</w:t>
            </w:r>
            <w:bookmarkEnd w:id="180"/>
            <w:r/>
            <w:r/>
          </w:p>
          <w:p>
            <w:pPr>
              <w:rPr>
                <w:highlight w:val="none"/>
              </w:rPr>
            </w:pPr>
            <w:r>
              <w:rPr>
                <w:rFonts w:hint="eastAsia"/>
                <w:highlight w:val="none"/>
              </w:rPr>
              <w:t xml:space="preserve">⑦室外照明设施设备的巡检与记录</w:t>
            </w:r>
            <w:r/>
          </w:p>
        </w:tc>
      </w:tr>
      <w:tr>
        <w:trPr>
          <w:jc w:val="center"/>
          <w:trHeight w:val="90"/>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设备机房</w:t>
            </w:r>
            <w:r/>
          </w:p>
        </w:tc>
        <w:tc>
          <w:tcPr>
            <w:tcW w:w="7663" w:type="dxa"/>
            <w:vAlign w:val="center"/>
            <w:textDirection w:val="lrTb"/>
            <w:noWrap w:val="false"/>
          </w:tcPr>
          <w:p>
            <w:pPr>
              <w:rPr>
                <w:highlight w:val="none"/>
              </w:rPr>
            </w:pPr>
            <w:r>
              <w:rPr>
                <w:rFonts w:hint="eastAsia"/>
                <w:highlight w:val="none"/>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jc w:val="center"/>
          <w:trHeight w:val="445"/>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（2）设备机房门窗、锁具应当完好、有效。</w:t>
            </w:r>
            <w:r/>
          </w:p>
        </w:tc>
      </w:tr>
      <w:tr>
        <w:trPr>
          <w:jc w:val="center"/>
          <w:trHeight w:val="483"/>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（3）每半月至少开展1次清洁，整洁有序、无杂物、无积尘、无鼠、无虫害，温湿度符合设备运行要求。</w:t>
            </w:r>
            <w:r/>
          </w:p>
        </w:tc>
      </w:tr>
      <w:tr>
        <w:trPr>
          <w:jc w:val="center"/>
          <w:trHeight w:val="481"/>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（4）按各设备机房国家标准规范规定维护/保管消防、通风、应急照明，防止小动物进入。</w:t>
            </w:r>
            <w:r/>
          </w:p>
        </w:tc>
      </w:tr>
      <w:tr>
        <w:trPr>
          <w:jc w:val="center"/>
          <w:trHeight w:val="493"/>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（5）安全防护用具配置齐全，检验合格。</w:t>
            </w:r>
            <w:r/>
          </w:p>
        </w:tc>
      </w:tr>
      <w:tr>
        <w:trPr>
          <w:jc w:val="center"/>
          <w:trHeight w:val="481"/>
        </w:trPr>
        <w:tc>
          <w:tcPr>
            <w:tcW w:w="718" w:type="dxa"/>
            <w:vAlign w:val="center"/>
            <w:vMerge w:val="continue"/>
            <w:textDirection w:val="lrTb"/>
            <w:noWrap w:val="false"/>
          </w:tcPr>
          <w:p>
            <w:pPr>
              <w:rPr>
                <w:color w:val="ff0000"/>
                <w:highlight w:val="none"/>
              </w:rPr>
            </w:pPr>
            <w:r>
              <w:rPr>
                <w:color w:val="ff0000"/>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63" w:type="dxa"/>
            <w:vAlign w:val="center"/>
            <w:textDirection w:val="lrTb"/>
            <w:noWrap w:val="false"/>
          </w:tcPr>
          <w:p>
            <w:pPr>
              <w:rPr>
                <w:highlight w:val="none"/>
              </w:rPr>
            </w:pPr>
            <w:r>
              <w:rPr>
                <w:rFonts w:hint="eastAsia"/>
                <w:highlight w:val="none"/>
              </w:rPr>
              <w:t xml:space="preserve">（6）应急设施设备用品应当齐全、完备，可随时启用。</w:t>
            </w:r>
            <w:r/>
          </w:p>
        </w:tc>
      </w:tr>
      <w:tr>
        <w:trPr>
          <w:jc w:val="center"/>
          <w:trHeight w:val="454"/>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给排水系统</w:t>
            </w:r>
            <w:r/>
          </w:p>
        </w:tc>
        <w:tc>
          <w:tcPr>
            <w:tcW w:w="7663" w:type="dxa"/>
            <w:vAlign w:val="center"/>
            <w:textDirection w:val="lrTb"/>
            <w:noWrap w:val="false"/>
          </w:tcPr>
          <w:p>
            <w:pPr>
              <w:rPr>
                <w:highlight w:val="none"/>
              </w:rPr>
            </w:pPr>
            <w:r>
              <w:rPr>
                <w:rFonts w:hint="eastAsia"/>
                <w:highlight w:val="none"/>
              </w:rPr>
              <w:t xml:space="preserve">（1）生活饮用水卫生符合《生活饮用水卫生标准》（GB5749）的相关要求。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（2）二次供水卫生符合《二次供水设施卫生规范》（GB1751）的相关要求。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（3）设施设备、阀门、管道等运行正常，无跑、冒、滴、漏现象。</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（4）有水泵房、水箱间的，每日至少巡视1次。每年至少养护1次水泵。</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（5）遇供水单位限水、停水，按规定时间通知采购人。</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（6）每季度至少1次对排水管进行疏通、清污，保证室内外排水系统通畅。</w:t>
            </w:r>
            <w:r/>
          </w:p>
        </w:tc>
      </w:tr>
      <w:tr>
        <w:trPr>
          <w:jc w:val="center"/>
          <w:trHeight w:val="454"/>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6</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消防系统</w:t>
            </w:r>
            <w:r/>
          </w:p>
        </w:tc>
        <w:tc>
          <w:tcPr>
            <w:tcW w:w="7663" w:type="dxa"/>
            <w:vAlign w:val="center"/>
            <w:textDirection w:val="lrTb"/>
            <w:noWrap w:val="false"/>
          </w:tcPr>
          <w:p>
            <w:pPr>
              <w:rPr>
                <w:highlight w:val="none"/>
              </w:rPr>
            </w:pPr>
            <w:r>
              <w:rPr>
                <w:rFonts w:hint="eastAsia"/>
                <w:highlight w:val="none"/>
              </w:rPr>
              <w:t xml:space="preserve">（1）消防设施的维护管理符合《建筑消防设施的维护管理》（GB2521）的相关要求。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（2）消防设备检测符合《建筑消防设施检测技术规程》（GA53或XF53）的相关要求。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（3）消防设施平面图、火警疏散示意图、防火分区图等设置在楼层醒目位置。</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（4）消防系统设施设备使用说明清晰，宜图文结合。</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（5）自动喷水灭火系统启动正常。</w:t>
            </w:r>
            <w:r/>
          </w:p>
        </w:tc>
      </w:tr>
      <w:tr>
        <w:trPr>
          <w:jc w:val="center"/>
          <w:trHeight w:val="193"/>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（6）消火栓箱、防火门、灭火器、消防水泵、红外线报警器、应急照明、安全疏散等系统运行正常。</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（7）消防监控系统运行良好，自动和手动报警设施启动正常。</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（8）正压送风、防排烟系统运行正常。</w:t>
            </w:r>
            <w:r/>
          </w:p>
        </w:tc>
      </w:tr>
      <w:tr>
        <w:trPr>
          <w:jc w:val="center"/>
          <w:trHeight w:val="454"/>
        </w:trPr>
        <w:tc>
          <w:tcPr>
            <w:tcW w:w="718" w:type="dxa"/>
            <w:vAlign w:val="center"/>
            <w:vMerge w:val="restart"/>
            <w:textDirection w:val="lrTb"/>
            <w:noWrap w:val="false"/>
          </w:tcPr>
          <w:p>
            <w:pPr>
              <w:rPr>
                <w:highlight w:val="none"/>
                <w:lang w:eastAsia="en-US"/>
              </w:rPr>
            </w:pPr>
            <w:r>
              <w:rPr>
                <w:rFonts w:hint="eastAsia"/>
                <w:highlight w:val="none"/>
                <w:lang w:eastAsia="en-US"/>
              </w:rPr>
              <w:t xml:space="preserve">7</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供配电系统</w:t>
            </w:r>
            <w:r/>
          </w:p>
        </w:tc>
        <w:tc>
          <w:tcPr>
            <w:tcW w:w="7663" w:type="dxa"/>
            <w:vAlign w:val="center"/>
            <w:textDirection w:val="lrTb"/>
            <w:noWrap w:val="false"/>
          </w:tcPr>
          <w:p>
            <w:pPr>
              <w:rPr>
                <w:highlight w:val="none"/>
              </w:rPr>
            </w:pPr>
            <w:r>
              <w:rPr>
                <w:rFonts w:hint="eastAsia"/>
                <w:highlight w:val="none"/>
              </w:rPr>
              <w:t xml:space="preserve">（1）建立24小时运行值班监控制度。</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（2）对供电范围内的电气设备定期巡视维护，加强高低压配电柜、配电箱、控制柜及线路等重点部位监测。</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（3）公共照明、指示灯具线路、开关、接地等保持完好，确保用电安全。</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（4）核心部位用电建立可控保障和配备应急发电设备，定期维护应急发电设备。</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（5）发生非计划性停电的，应当在事件发生后及时通知采购人，快速恢复或启用应急电源，并做好应急事件上报及处理工作。</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（6）复杂故障涉及供电部门维修处置的及时与供电部门联系，向采购人报告。</w:t>
            </w:r>
            <w:r/>
          </w:p>
        </w:tc>
      </w:tr>
      <w:tr>
        <w:trPr>
          <w:jc w:val="center"/>
          <w:trHeight w:val="454"/>
        </w:trPr>
        <w:tc>
          <w:tcPr>
            <w:tcW w:w="718" w:type="dxa"/>
            <w:vAlign w:val="center"/>
            <w:vMerge w:val="restart"/>
            <w:textDirection w:val="lrTb"/>
            <w:noWrap w:val="false"/>
          </w:tcPr>
          <w:p>
            <w:pPr>
              <w:rPr>
                <w:rFonts w:eastAsia="等线"/>
                <w:highlight w:val="none"/>
              </w:rPr>
            </w:pPr>
            <w:r>
              <w:rPr>
                <w:rFonts w:hint="eastAsia" w:eastAsia="等线"/>
                <w:highlight w:val="none"/>
              </w:rPr>
              <w:t xml:space="preserve">8</w:t>
            </w:r>
            <w:r/>
          </w:p>
        </w:tc>
        <w:tc>
          <w:tcPr>
            <w:tcW w:w="1179" w:type="dxa"/>
            <w:vAlign w:val="center"/>
            <w:vMerge w:val="restart"/>
            <w:textDirection w:val="lrTb"/>
            <w:noWrap w:val="false"/>
          </w:tcPr>
          <w:p>
            <w:pPr>
              <w:rPr>
                <w:highlight w:val="none"/>
              </w:rPr>
            </w:pPr>
            <w:r>
              <w:rPr>
                <w:highlight w:val="none"/>
              </w:rPr>
              <w:t xml:space="preserve">弱电系统</w:t>
            </w:r>
            <w:r/>
          </w:p>
        </w:tc>
        <w:tc>
          <w:tcPr>
            <w:tcW w:w="7663" w:type="dxa"/>
            <w:vAlign w:val="center"/>
            <w:textDirection w:val="lrTb"/>
            <w:noWrap w:val="false"/>
          </w:tcPr>
          <w:p>
            <w:pPr>
              <w:rPr>
                <w:highlight w:val="none"/>
              </w:rPr>
            </w:pPr>
            <w:r>
              <w:rPr>
                <w:rFonts w:hint="eastAsia"/>
                <w:highlight w:val="none"/>
              </w:rPr>
              <w:t xml:space="preserve">（1）安全防范系统维护保养符合《安全防范系统维护保养规范》（GA/T 1081）的相关要求。</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（2）保持监控系统、门禁系统、安全防范系统等运行正常，有故障及时排除。</w:t>
            </w:r>
            <w:r/>
          </w:p>
        </w:tc>
      </w:tr>
      <w:tr>
        <w:trPr>
          <w:jc w:val="center"/>
          <w:trHeight w:val="454"/>
        </w:trPr>
        <w:tc>
          <w:tcPr>
            <w:tcW w:w="718" w:type="dxa"/>
            <w:vAlign w:val="center"/>
            <w:vMerge w:val="restart"/>
            <w:textDirection w:val="lrTb"/>
            <w:noWrap w:val="false"/>
          </w:tcPr>
          <w:p>
            <w:pPr>
              <w:rPr>
                <w:highlight w:val="none"/>
              </w:rPr>
            </w:pPr>
            <w:r>
              <w:rPr>
                <w:rFonts w:hint="eastAsia"/>
                <w:highlight w:val="none"/>
              </w:rPr>
              <w:t xml:space="preserve">9</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照明系统</w:t>
            </w:r>
            <w:r/>
          </w:p>
        </w:tc>
        <w:tc>
          <w:tcPr>
            <w:tcW w:w="7663" w:type="dxa"/>
            <w:vAlign w:val="center"/>
            <w:textDirection w:val="lrTb"/>
            <w:noWrap w:val="false"/>
          </w:tcPr>
          <w:p>
            <w:pPr>
              <w:rPr>
                <w:highlight w:val="none"/>
              </w:rPr>
            </w:pPr>
            <w:r>
              <w:rPr>
                <w:rFonts w:hint="eastAsia"/>
                <w:highlight w:val="none"/>
              </w:rPr>
              <w:t xml:space="preserve">（1）外观整洁无缺损、无松落。</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（2）更换的照明灯具应当选用节能环保产品，亮度与更换前保持一致。</w:t>
            </w:r>
            <w:r/>
          </w:p>
        </w:tc>
      </w:tr>
      <w:tr>
        <w:trPr>
          <w:jc w:val="center"/>
          <w:trHeight w:val="454"/>
        </w:trPr>
        <w:tc>
          <w:tcPr>
            <w:tcW w:w="718"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63" w:type="dxa"/>
            <w:vAlign w:val="center"/>
            <w:textDirection w:val="lrTb"/>
            <w:noWrap w:val="false"/>
          </w:tcPr>
          <w:p>
            <w:pPr>
              <w:rPr>
                <w:highlight w:val="none"/>
              </w:rPr>
            </w:pPr>
            <w:r>
              <w:rPr>
                <w:rFonts w:hint="eastAsia"/>
                <w:highlight w:val="none"/>
              </w:rPr>
              <w:t xml:space="preserve">（3）每周至少开展1次公共区域照明设备巡视。</w:t>
            </w:r>
            <w:r/>
          </w:p>
        </w:tc>
      </w:tr>
      <w:tr>
        <w:trPr>
          <w:jc w:val="center"/>
          <w:trHeight w:val="454"/>
        </w:trPr>
        <w:tc>
          <w:tcPr>
            <w:tcW w:w="718" w:type="dxa"/>
            <w:vAlign w:val="center"/>
            <w:textDirection w:val="lrTb"/>
            <w:noWrap w:val="false"/>
          </w:tcPr>
          <w:p>
            <w:pPr>
              <w:rPr>
                <w:highlight w:val="none"/>
              </w:rPr>
            </w:pPr>
            <w:r>
              <w:rPr>
                <w:rFonts w:hint="eastAsia"/>
                <w:highlight w:val="none"/>
              </w:rPr>
              <w:t xml:space="preserve">10</w:t>
            </w:r>
            <w:r/>
          </w:p>
        </w:tc>
        <w:tc>
          <w:tcPr>
            <w:tcW w:w="1179" w:type="dxa"/>
            <w:vAlign w:val="center"/>
            <w:textDirection w:val="lrTb"/>
            <w:noWrap w:val="false"/>
          </w:tcPr>
          <w:p>
            <w:pPr>
              <w:rPr>
                <w:highlight w:val="none"/>
              </w:rPr>
            </w:pPr>
            <w:r>
              <w:rPr>
                <w:rFonts w:hint="eastAsia"/>
                <w:highlight w:val="none"/>
              </w:rPr>
              <w:t xml:space="preserve">地下室</w:t>
            </w:r>
            <w:r/>
          </w:p>
        </w:tc>
        <w:tc>
          <w:tcPr>
            <w:tcW w:w="7663" w:type="dxa"/>
            <w:vAlign w:val="center"/>
            <w:textDirection w:val="lrTb"/>
            <w:noWrap w:val="false"/>
          </w:tcPr>
          <w:p>
            <w:pPr>
              <w:rPr>
                <w:highlight w:val="none"/>
              </w:rPr>
            </w:pPr>
            <w:r>
              <w:rPr>
                <w:rFonts w:hint="eastAsia"/>
                <w:highlight w:val="none"/>
              </w:rPr>
              <w:t xml:space="preserve">地下室人防区域密闭空间、狭小空间人防门尽可能全部打开通风，防止墙面霉变。</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3.4保洁服务</w:t>
      </w:r>
      <w:r/>
    </w:p>
    <w:tbl>
      <w:tblPr>
        <w:tblStyle w:val="773"/>
        <w:tblW w:w="53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05"/>
        <w:gridCol w:w="7822"/>
      </w:tblGrid>
      <w:tr>
        <w:trPr>
          <w:jc w:val="center"/>
          <w:trHeight w:val="454"/>
          <w:tblHeader/>
        </w:trPr>
        <w:tc>
          <w:tcPr>
            <w:tcW w:w="705"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54"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基本要求</w:t>
            </w:r>
            <w:r/>
          </w:p>
        </w:tc>
        <w:tc>
          <w:tcPr>
            <w:tcW w:w="7654" w:type="dxa"/>
            <w:vAlign w:val="center"/>
            <w:textDirection w:val="lrTb"/>
            <w:noWrap w:val="false"/>
          </w:tcPr>
          <w:p>
            <w:pPr>
              <w:rPr>
                <w:highlight w:val="none"/>
              </w:rPr>
            </w:pPr>
            <w:r>
              <w:rPr>
                <w:rFonts w:hint="eastAsia"/>
                <w:highlight w:val="none"/>
              </w:rPr>
              <w:t xml:space="preserve">（1）建立保洁服务的工作制度及工作计划，并按照执行。</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（2）做好保洁服务工作记录，记录填写规范、保存完好。</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（3）作业时采取安全防护措施，防止对作业人员或他人造成伤害。相关耗材的环保、安全性等应当符合国家相关规定要求。</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（4）进入保密区域时，有采购人相关人员全程在场。</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（5）须保持整个服务区环境优美，卫生整洁；保持室内外各公共包干区清洁卫生、环境宜人；一些重点部位须专人负责，始终保持清洁状态。</w:t>
            </w:r>
            <w:r/>
          </w:p>
        </w:tc>
      </w:tr>
      <w:tr>
        <w:trPr>
          <w:jc w:val="center"/>
          <w:trHeight w:val="90"/>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w:t>
            </w:r>
            <w:r>
              <w:rPr>
                <w:highlight w:val="none"/>
              </w:rPr>
              <w:t xml:space="preserve">负责楼宇内外、周边等公共部位的所有地面、墙面、顶面、附属设施、设备、器具的保洁。各层电梯厅、电梯门套、轿厢、卫生间、开水间及分层配电间；所有楼层、楼梯、公共过道、安全楼道、楼顶、车库、车棚、平台、屏风、扶手、栏杆、空调风口、其他辅助设施及楼层的内玻璃；电器（空调、饮水机），所有设备机房、楼层灯具及开关、排气扇、电源盒、消防器材、公告栏、指示牌、房间门及门牌、烟灰筒、地垫、洗手池、镜面、面盆、水池、尿斗、厕位、垃圾桶（篓）等清扫。定期消杀（每周对相关部位进行一次）消毒杀菌。每个工作日</w:t>
            </w:r>
            <w:r>
              <w:rPr>
                <w:rFonts w:hint="eastAsia"/>
                <w:highlight w:val="none"/>
              </w:rPr>
              <w:t xml:space="preserve">8：00</w:t>
            </w:r>
            <w:r>
              <w:rPr>
                <w:highlight w:val="none"/>
              </w:rPr>
              <w:t xml:space="preserve">前完成</w:t>
            </w:r>
            <w:r>
              <w:rPr>
                <w:rFonts w:hint="eastAsia"/>
                <w:highlight w:val="none"/>
              </w:rPr>
              <w:t xml:space="preserve">当天第一轮</w:t>
            </w:r>
            <w:r>
              <w:rPr>
                <w:highlight w:val="none"/>
              </w:rPr>
              <w:t xml:space="preserve">各项保洁工作，实施定时保洁项目，保洁期间做好节能减排（节水、节电）及垃圾分类处理工作。负责卫生突发情况的处理</w:t>
            </w:r>
            <w:r>
              <w:rPr>
                <w:rFonts w:hint="eastAsia"/>
                <w:highlight w:val="none"/>
              </w:rPr>
              <w:t xml:space="preserve">。</w:t>
            </w:r>
            <w:r/>
          </w:p>
        </w:tc>
      </w:tr>
      <w:tr>
        <w:trPr>
          <w:jc w:val="center"/>
          <w:trHeight w:val="90"/>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ascii="宋体" w:hAnsi="宋体" w:cs="宋体"/>
                <w:highlight w:val="none"/>
              </w:rPr>
              <w:t xml:space="preserve">（7）保洁实行宾馆化服务。审判法庭、调解室、会议室和干警办公室实行零干扰服务。</w:t>
            </w:r>
            <w:r/>
          </w:p>
        </w:tc>
      </w:tr>
      <w:tr>
        <w:trPr>
          <w:jc w:val="center"/>
          <w:trHeight w:val="90"/>
        </w:trPr>
        <w:tc>
          <w:tcPr>
            <w:tcW w:w="705" w:type="dxa"/>
            <w:vAlign w:val="center"/>
            <w:vMerge w:val="continue"/>
            <w:textDirection w:val="lrTb"/>
            <w:noWrap w:val="false"/>
          </w:tcPr>
          <w:p>
            <w:pPr>
              <w:rPr>
                <w:rFonts w:eastAsia="等线"/>
                <w:highlight w:val="none"/>
              </w:rPr>
            </w:pPr>
            <w:r>
              <w:rPr>
                <w:rFonts w:eastAsia="等线"/>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ascii="宋体" w:hAnsi="宋体" w:cs="宋体"/>
                <w:highlight w:val="none"/>
              </w:rPr>
              <w:t xml:space="preserve">（8）对所管辖区域内公共场所和周围环境要定期进行预防性消毒杀菌以及除蟑螂、老鼠四害，严格控制室内外蚊虫孳生，垃圾实行袋装化并及时清运，确保环境卫生整洁。</w:t>
            </w:r>
            <w:r/>
          </w:p>
        </w:tc>
      </w:tr>
      <w:tr>
        <w:trPr>
          <w:jc w:val="center"/>
          <w:trHeight w:val="90"/>
        </w:trPr>
        <w:tc>
          <w:tcPr>
            <w:tcW w:w="705" w:type="dxa"/>
            <w:vAlign w:val="center"/>
            <w:vMerge w:val="continue"/>
            <w:textDirection w:val="lrTb"/>
            <w:noWrap w:val="false"/>
          </w:tcPr>
          <w:p>
            <w:pPr>
              <w:rPr>
                <w:rFonts w:eastAsia="等线"/>
                <w:highlight w:val="none"/>
              </w:rPr>
            </w:pPr>
            <w:r>
              <w:rPr>
                <w:rFonts w:eastAsia="等线"/>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ascii="宋体" w:hAnsi="宋体" w:cs="宋体"/>
                <w:highlight w:val="none"/>
              </w:rPr>
              <w:t xml:space="preserve">（9）负责定期完成保洁项目：①建筑外墙、外玻璃清洗一年一次；办公室内玻璃清洗一年两次；办公室顶面除尘除渍一年一次；②花岗岩、大理石等地面日常清洁、保养、打蜡、抛光；大理石门套及墙面清洗、打蜡、抛光一年一次；③天花板掸尘除渍每季度一次；地毯清洗消毒每季度一次；指定办公室地板打蜡保养每季一次；④消杀每两周一次（灭鼠、蟑、蚊、蝇、蚁）；⑤台布、窗帘、布套、被褥等织品洗涤根据采购人需求实施。</w:t>
            </w:r>
            <w:r/>
          </w:p>
        </w:tc>
      </w:tr>
      <w:tr>
        <w:trPr>
          <w:jc w:val="center"/>
          <w:trHeight w:val="90"/>
        </w:trPr>
        <w:tc>
          <w:tcPr>
            <w:tcW w:w="705" w:type="dxa"/>
            <w:vAlign w:val="center"/>
            <w:vMerge w:val="continue"/>
            <w:textDirection w:val="lrTb"/>
            <w:noWrap w:val="false"/>
          </w:tcPr>
          <w:p>
            <w:pPr>
              <w:rPr>
                <w:rFonts w:eastAsia="等线"/>
                <w:highlight w:val="none"/>
              </w:rPr>
            </w:pPr>
            <w:r>
              <w:rPr>
                <w:rFonts w:eastAsia="等线"/>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ascii="宋体" w:hAnsi="宋体" w:cs="宋体"/>
                <w:highlight w:val="none"/>
              </w:rPr>
              <w:t xml:space="preserve">（10）须安排专人检查监督公共区域广场、大厅、走廊、电梯间、楼梯、扶手、会议室、电源开关插座、茶水间、地下室、天台、内外墙面、停车场（库）、道路的保洁质量，所有公共区域不得杂物堆放，无废弃物、污渍，保持清洁，卫生间洁净无异味，应达到基本无虫蝇。</w:t>
            </w:r>
            <w:r/>
          </w:p>
        </w:tc>
      </w:tr>
      <w:tr>
        <w:trPr>
          <w:jc w:val="center"/>
          <w:trHeight w:val="90"/>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办公用房区域保洁</w:t>
            </w:r>
            <w:r/>
          </w:p>
        </w:tc>
        <w:tc>
          <w:tcPr>
            <w:tcW w:w="7654" w:type="dxa"/>
            <w:vAlign w:val="center"/>
            <w:textDirection w:val="lrTb"/>
            <w:noWrap w:val="false"/>
          </w:tcPr>
          <w:p>
            <w:pPr>
              <w:rPr>
                <w:highlight w:val="none"/>
              </w:rPr>
            </w:pPr>
            <w:r>
              <w:rPr>
                <w:rFonts w:hint="eastAsia"/>
                <w:highlight w:val="none"/>
              </w:rPr>
              <w:t xml:space="preserve">（1）大厅、楼内公共通道：</w:t>
            </w:r>
            <w:r/>
          </w:p>
          <w:p>
            <w:pPr>
              <w:rPr>
                <w:highlight w:val="none"/>
              </w:rPr>
            </w:pPr>
            <w:r>
              <w:rPr>
                <w:rFonts w:hint="eastAsia"/>
                <w:highlight w:val="none"/>
              </w:rPr>
              <w:t xml:space="preserve">①公共通道保持干净，无异味、无杂物、无积水，每日至少开展1次清洁。</w:t>
            </w:r>
            <w:r/>
          </w:p>
          <w:p>
            <w:pPr>
              <w:rPr>
                <w:highlight w:val="none"/>
              </w:rPr>
            </w:pPr>
            <w:r>
              <w:rPr>
                <w:rFonts w:hint="eastAsia"/>
                <w:highlight w:val="none"/>
              </w:rPr>
              <w:t xml:space="preserve">②门窗玻璃干净无尘，透光性好，每周至少开展1次清洁作业。</w:t>
            </w:r>
            <w:r/>
          </w:p>
          <w:p>
            <w:pPr>
              <w:rPr>
                <w:highlight w:val="none"/>
              </w:rPr>
            </w:pPr>
            <w:r>
              <w:rPr>
                <w:rFonts w:hint="eastAsia"/>
                <w:highlight w:val="none"/>
              </w:rPr>
              <w:t xml:space="preserve">③指示牌干净，无污渍，每日至少开展1次清洁作业。</w:t>
            </w:r>
            <w:r/>
          </w:p>
        </w:tc>
      </w:tr>
      <w:tr>
        <w:trPr>
          <w:jc w:val="center"/>
          <w:trHeight w:val="150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（2）电器、消防等设施设备：</w:t>
            </w:r>
            <w:r/>
          </w:p>
          <w:p>
            <w:pPr>
              <w:rPr>
                <w:highlight w:val="none"/>
              </w:rPr>
            </w:pPr>
            <w:r>
              <w:rPr>
                <w:rFonts w:hint="eastAsia"/>
                <w:highlight w:val="none"/>
              </w:rPr>
              <w:t xml:space="preserve">①配电箱、设备机房、会议室音视频设备、消防栓及开关插座等保持表面干净，无尘无污迹，每月至少开展1次清洁作业。</w:t>
            </w:r>
            <w:r/>
          </w:p>
          <w:p>
            <w:pPr>
              <w:rPr>
                <w:highlight w:val="none"/>
              </w:rPr>
            </w:pPr>
            <w:r>
              <w:rPr>
                <w:rFonts w:hint="eastAsia"/>
                <w:highlight w:val="none"/>
              </w:rPr>
              <w:t xml:space="preserve">②监控摄像头、门禁系统等表面光亮，无尘、无斑点，每月至少开展1次清洁作业。</w:t>
            </w:r>
            <w:r/>
          </w:p>
        </w:tc>
      </w:tr>
      <w:tr>
        <w:trPr>
          <w:jc w:val="center"/>
          <w:trHeight w:val="761"/>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（3）楼梯及楼梯间保持干净、无异味、无杂物、无积水，每日至少开展1次清洁作业。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（4）开水间保持干净、无异味、无杂物、无积水，每日至少开展1次清洁作业。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（5）作业工具间：</w:t>
            </w:r>
            <w:r/>
          </w:p>
          <w:p>
            <w:pPr>
              <w:rPr>
                <w:highlight w:val="none"/>
              </w:rPr>
            </w:pPr>
            <w:r>
              <w:rPr>
                <w:rFonts w:hint="eastAsia"/>
                <w:highlight w:val="none"/>
              </w:rPr>
              <w:t xml:space="preserve">①保持干净，无异味、无杂物、无积水，每日至少开展1次清洁作业。</w:t>
            </w:r>
            <w:r/>
          </w:p>
          <w:p>
            <w:pPr>
              <w:rPr>
                <w:highlight w:val="none"/>
              </w:rPr>
            </w:pPr>
            <w:r>
              <w:rPr>
                <w:rFonts w:hint="eastAsia"/>
                <w:highlight w:val="none"/>
              </w:rPr>
              <w:t xml:space="preserve">②作业工具摆放整齐有序，表面干净无渍，每日消毒。</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（6）公共卫生间：</w:t>
            </w:r>
            <w:r/>
          </w:p>
          <w:p>
            <w:pPr>
              <w:rPr>
                <w:highlight w:val="none"/>
              </w:rPr>
            </w:pPr>
            <w:r>
              <w:rPr>
                <w:rFonts w:hint="eastAsia"/>
                <w:highlight w:val="none"/>
              </w:rPr>
              <w:t xml:space="preserve">①保持干净，无异味，垃圾无溢出，每日至少开展1次清洁作业。</w:t>
            </w:r>
            <w:r/>
          </w:p>
          <w:p>
            <w:pPr>
              <w:rPr>
                <w:highlight w:val="none"/>
              </w:rPr>
            </w:pPr>
            <w:r>
              <w:rPr>
                <w:rFonts w:hint="eastAsia"/>
                <w:highlight w:val="none"/>
              </w:rPr>
              <w:t xml:space="preserve">②及时补充厕纸等必要用品。</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（7）电梯轿厢：</w:t>
            </w:r>
            <w:r/>
          </w:p>
          <w:p>
            <w:pPr>
              <w:rPr>
                <w:highlight w:val="none"/>
              </w:rPr>
            </w:pPr>
            <w:r>
              <w:rPr>
                <w:rFonts w:hint="eastAsia"/>
                <w:highlight w:val="none"/>
              </w:rPr>
              <w:t xml:space="preserve">①保持干净，无污渍、无粘贴物、无异味，每日至少开展1次清洁作业。</w:t>
            </w:r>
            <w:r/>
          </w:p>
          <w:p>
            <w:pPr>
              <w:rPr>
                <w:highlight w:val="none"/>
              </w:rPr>
            </w:pPr>
            <w:r>
              <w:rPr>
                <w:rFonts w:hint="eastAsia"/>
                <w:highlight w:val="none"/>
              </w:rPr>
              <w:t xml:space="preserve">②灯具、操作指示板明亮。</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（8）平台、屋顶、天沟保持干净，有杂物及时清扫，每月至少开展1次清洁作业。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（9）石材地面、内墙做好养护工作，每季度开展1次清洁作业。（各类材质地面、内墙服务管理标准详见3.4.1）</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（10）地毯干净、无油渍、无污渍、无褪色，每月至少开展1次清洁作业。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（11）各楼层会议室、电梯厅、电梯轿厢、卫生间、开水间、党群活动室及其他辅助房等的服务和保洁。</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（12）各楼层楼梯、公共过道、安全楼道、扶手、楼顶、窗台、平台、空调风口、其他辅助设施及所有楼层的内玻璃的服务和保洁；</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（13）各楼空置办公室定期清洁窗台、玻璃、办公桌椅、文件柜、地面等卫生保洁；</w:t>
            </w:r>
            <w:r/>
          </w:p>
        </w:tc>
      </w:tr>
      <w:tr>
        <w:trPr>
          <w:jc w:val="center"/>
          <w:trHeight w:val="921"/>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w:t>
            </w:r>
            <w:r>
              <w:rPr>
                <w:rFonts w:hint="eastAsia" w:eastAsia="等线"/>
                <w:highlight w:val="none"/>
              </w:rPr>
              <w:t xml:space="preserve">4</w:t>
            </w:r>
            <w:r>
              <w:rPr>
                <w:rFonts w:hint="eastAsia"/>
                <w:highlight w:val="none"/>
              </w:rPr>
              <w:t xml:space="preserve">）各楼层的办公会议座椅、电器（空调、饮水机、开水炉）、灯具及开关、电源盒、消防器材、公告栏、指示版、房间门牌、烟灰筒、地垫、洗手池、烘手机、纸盒、镜面、台面、水池、尿斗、厕位、垃圾桶（篓）的服务和保洁；</w:t>
            </w:r>
            <w:r/>
          </w:p>
        </w:tc>
      </w:tr>
      <w:tr>
        <w:trPr>
          <w:jc w:val="center"/>
          <w:trHeight w:val="47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w:t>
            </w:r>
            <w:r>
              <w:rPr>
                <w:rFonts w:hint="eastAsia" w:eastAsia="等线"/>
                <w:highlight w:val="none"/>
              </w:rPr>
              <w:t xml:space="preserve">5</w:t>
            </w:r>
            <w:r>
              <w:rPr>
                <w:rFonts w:hint="eastAsia"/>
                <w:highlight w:val="none"/>
              </w:rPr>
              <w:t xml:space="preserve">）一次性保洁用品摆放到位，及时更换；</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w:t>
            </w:r>
            <w:r>
              <w:rPr>
                <w:rFonts w:hint="eastAsia" w:eastAsia="等线"/>
                <w:highlight w:val="none"/>
              </w:rPr>
              <w:t xml:space="preserve">6</w:t>
            </w:r>
            <w:r>
              <w:rPr>
                <w:rFonts w:hint="eastAsia"/>
                <w:highlight w:val="none"/>
              </w:rPr>
              <w:t xml:space="preserve">）所有设备机房的地面、墙面、顶面的服务和保洁；</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w:t>
            </w:r>
            <w:r>
              <w:rPr>
                <w:rFonts w:hint="eastAsia" w:eastAsia="等线"/>
                <w:highlight w:val="none"/>
              </w:rPr>
              <w:t xml:space="preserve">7</w:t>
            </w:r>
            <w:r>
              <w:rPr>
                <w:rFonts w:hint="eastAsia"/>
                <w:highlight w:val="none"/>
              </w:rPr>
              <w:t xml:space="preserve">）服务区内道路、停车场、绿地、沟、渠、池、井、照明设备；</w:t>
            </w:r>
            <w:r/>
          </w:p>
        </w:tc>
      </w:tr>
      <w:tr>
        <w:trPr>
          <w:jc w:val="center"/>
          <w:trHeight w:val="454"/>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公共场地区域保洁</w:t>
            </w:r>
            <w:r/>
          </w:p>
        </w:tc>
        <w:tc>
          <w:tcPr>
            <w:tcW w:w="7654" w:type="dxa"/>
            <w:vAlign w:val="center"/>
            <w:textDirection w:val="lrTb"/>
            <w:noWrap w:val="false"/>
          </w:tcPr>
          <w:p>
            <w:pPr>
              <w:rPr>
                <w:highlight w:val="none"/>
              </w:rPr>
            </w:pPr>
            <w:r>
              <w:rPr>
                <w:rFonts w:hint="eastAsia"/>
                <w:highlight w:val="none"/>
              </w:rPr>
              <w:t xml:space="preserve">（1）每日清扫道路地面、停车场等公共区域2次，保持干净、无杂物、无积水。</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（2）雪、冰冻等恶劣天气时及时清扫积水、积雪，并采取安全防护措施。</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（3）各种路标、宣传栏等保持干净，每月至少开展1次清洁作业。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（4）清洁室外照明设备，每月至少开展1次清洁作业。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（5）绿地内无杂物、无改变用途和破坏、践踏、占用现象，每天至少开展1次巡查。</w:t>
            </w:r>
            <w:r/>
          </w:p>
        </w:tc>
      </w:tr>
      <w:tr>
        <w:trPr>
          <w:jc w:val="center"/>
          <w:trHeight w:val="454"/>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垃圾处理</w:t>
            </w:r>
            <w:r/>
          </w:p>
        </w:tc>
        <w:tc>
          <w:tcPr>
            <w:tcW w:w="7654" w:type="dxa"/>
            <w:vAlign w:val="center"/>
            <w:textDirection w:val="lrTb"/>
            <w:noWrap w:val="false"/>
          </w:tcPr>
          <w:p>
            <w:pPr>
              <w:rPr>
                <w:highlight w:val="none"/>
              </w:rPr>
            </w:pPr>
            <w:r>
              <w:rPr>
                <w:rFonts w:hint="eastAsia"/>
                <w:highlight w:val="none"/>
              </w:rPr>
              <w:t xml:space="preserve">（1）在指定位置摆放分类垃圾桶，并在显著处张贴垃圾分类标识。分类垃圾桶和垃圾分类标识根据所在城市的要求设置。</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w:t>
            </w:r>
            <w:r>
              <w:rPr>
                <w:rFonts w:hint="eastAsia" w:ascii="宋体" w:hAnsi="宋体"/>
                <w:highlight w:val="none"/>
              </w:rPr>
              <w:t xml:space="preserve">垃圾</w:t>
            </w:r>
            <w:r>
              <w:rPr>
                <w:rFonts w:hint="eastAsia"/>
                <w:highlight w:val="none"/>
              </w:rPr>
              <w:t xml:space="preserve">桶身表面干净无污渍，每日开展至少1次清洁作业。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（3）垃圾中转房保持整洁，无明显异味，每日至少开展1次清洁作业。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（4）化粪池清掏，无明显异味，每月至少开展1次清洁作业。</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（5）每个工作日内要对楼层产生的垃圾，进行清理分类，并运至垃圾集中堆放点。</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（6）垃圾装袋，日产日清。</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（7）建立垃圾清运台账，交由规范的渠道回收处理。</w:t>
            </w:r>
            <w:r/>
          </w:p>
        </w:tc>
      </w:tr>
      <w:tr>
        <w:trPr>
          <w:jc w:val="center"/>
          <w:trHeight w:val="454"/>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（8）做好垃圾分类管理的宣传工作，督促并引导全员参与垃圾分类投放。</w:t>
            </w:r>
            <w:r/>
          </w:p>
        </w:tc>
      </w:tr>
      <w:tr>
        <w:trPr>
          <w:jc w:val="center"/>
          <w:trHeight w:val="59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（9）垃圾分类投放管理工作的执行标准，按所在城市的要求执行。</w:t>
            </w:r>
            <w:r/>
          </w:p>
        </w:tc>
      </w:tr>
      <w:tr>
        <w:trPr>
          <w:jc w:val="center"/>
          <w:trHeight w:val="59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（10）服务区内所有楼宇外垃圾的收集外运服务。</w:t>
            </w:r>
            <w:r/>
          </w:p>
        </w:tc>
      </w:tr>
      <w:tr>
        <w:trPr>
          <w:jc w:val="center"/>
          <w:trHeight w:val="597"/>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（11）配合采购人完成垃圾分类工作，并按国家的相关规定配置垃圾分类容器，实行可回收垃圾的二次分拣，与有资质的专业单位配合实行分类清运，建立</w:t>
            </w:r>
            <w:r>
              <w:rPr>
                <w:rFonts w:hint="eastAsia" w:ascii="宋体" w:hAnsi="宋体"/>
                <w:highlight w:val="none"/>
              </w:rPr>
              <w:t xml:space="preserve">健</w:t>
            </w:r>
            <w:r>
              <w:rPr>
                <w:rFonts w:hint="eastAsia"/>
                <w:highlight w:val="none"/>
              </w:rPr>
              <w:t xml:space="preserve">全相关台账。</w:t>
            </w:r>
            <w:r/>
          </w:p>
        </w:tc>
      </w:tr>
      <w:tr>
        <w:trPr>
          <w:jc w:val="center"/>
          <w:trHeight w:val="532"/>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卫生消毒</w:t>
            </w:r>
            <w:r/>
          </w:p>
        </w:tc>
        <w:tc>
          <w:tcPr>
            <w:tcW w:w="7654" w:type="dxa"/>
            <w:vAlign w:val="center"/>
            <w:textDirection w:val="lrTb"/>
            <w:noWrap w:val="false"/>
          </w:tcPr>
          <w:p>
            <w:pPr>
              <w:rPr>
                <w:highlight w:val="none"/>
              </w:rPr>
            </w:pPr>
            <w:r>
              <w:rPr>
                <w:rFonts w:hint="eastAsia"/>
                <w:highlight w:val="none"/>
              </w:rPr>
              <w:t xml:space="preserve">（1）办公用房区域、公共场所区域和周围环境预防性卫生消毒，消毒后及时通风，每周至少</w:t>
            </w:r>
            <w:r>
              <w:rPr>
                <w:rFonts w:hint="eastAsia" w:ascii="宋体" w:hAnsi="宋体"/>
                <w:highlight w:val="none"/>
              </w:rPr>
              <w:t xml:space="preserve">卫生消毒</w:t>
            </w:r>
            <w:r>
              <w:rPr>
                <w:rFonts w:hint="eastAsia"/>
                <w:highlight w:val="none"/>
              </w:rPr>
              <w:t xml:space="preserve">1次。</w:t>
            </w:r>
            <w:r/>
          </w:p>
        </w:tc>
      </w:tr>
      <w:tr>
        <w:trPr>
          <w:jc w:val="center"/>
          <w:trHeight w:val="418"/>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（2）采取综合措施消灭老鼠、蟑螂，控制室内外蚊虫孳生，达到基本无蝇，每季度至少开展1次作业。</w:t>
            </w:r>
            <w:r/>
          </w:p>
        </w:tc>
      </w:tr>
      <w:tr>
        <w:trPr>
          <w:jc w:val="center"/>
          <w:trHeight w:val="536"/>
        </w:trPr>
        <w:tc>
          <w:tcPr>
            <w:tcW w:w="70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（3）发生公共卫生事件时，邀请专业单位开展消毒、检测等工作。</w:t>
            </w:r>
            <w:r/>
          </w:p>
        </w:tc>
      </w:tr>
      <w:tr>
        <w:trPr>
          <w:jc w:val="center"/>
          <w:trHeight w:val="536"/>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6</w:t>
            </w:r>
            <w:r/>
          </w:p>
        </w:tc>
        <w:tc>
          <w:tcPr>
            <w:tcW w:w="1179" w:type="dxa"/>
            <w:vAlign w:val="center"/>
            <w:vMerge w:val="restart"/>
            <w:textDirection w:val="lrTb"/>
            <w:noWrap w:val="false"/>
          </w:tcPr>
          <w:p>
            <w:pPr>
              <w:rPr>
                <w:highlight w:val="none"/>
              </w:rPr>
            </w:pPr>
            <w:r>
              <w:rPr>
                <w:rFonts w:hint="eastAsia"/>
                <w:highlight w:val="none"/>
              </w:rPr>
              <w:t xml:space="preserve">重要办公室、会议室</w:t>
            </w:r>
            <w:r>
              <w:rPr>
                <w:rFonts w:hint="eastAsia" w:eastAsia="等线"/>
                <w:highlight w:val="none"/>
              </w:rPr>
              <w:t xml:space="preserve">、法庭</w:t>
            </w:r>
            <w:r>
              <w:rPr>
                <w:rFonts w:hint="eastAsia"/>
                <w:highlight w:val="none"/>
              </w:rPr>
              <w:t xml:space="preserve">等室内活动场所（8：00前完成首次清洁）</w:t>
            </w:r>
            <w:r/>
          </w:p>
        </w:tc>
        <w:tc>
          <w:tcPr>
            <w:tcW w:w="7654" w:type="dxa"/>
            <w:vAlign w:val="center"/>
            <w:textDirection w:val="lrTb"/>
            <w:noWrap w:val="false"/>
          </w:tcPr>
          <w:p>
            <w:pPr>
              <w:rPr>
                <w:highlight w:val="none"/>
              </w:rPr>
            </w:pPr>
            <w:r>
              <w:rPr>
                <w:rFonts w:hint="eastAsia"/>
                <w:highlight w:val="none"/>
              </w:rPr>
              <w:t xml:space="preserve">（1）每日清扫地面垃圾，擦抹办公室、桌椅、茶几，擦净电话，烟灰缸每天清洁二次（特殊情况下及时清倒），沙发、茶几每天清洁二次，地面每天拖净一次，平时发现污渍、痰渍、垃圾及时处理，清洁同时做好全面消毒。</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（2）室内所有垃圾篓的垃圾不能超过2/3，无虫、无异味，更换垃圾袋，运送指定地点堆放，每天一次，每周全面清洁一次，每月彻底清洗一次，保持无异味、无满溢。</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（3）用鸡毛扫弹去墙面灰尘，彻底清理室内墙壁边、墙角、天花、风口蜘蛛网，每周一次，平时随见随时清理，局部灰尘、污渍随时处理。</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排气扇、通风百叶窗、照明设备等擦抹灰尘，每月一次。天花、风口、冷气口、烟感器、喷淋器、灯罩、喇叭出口每月清洁两次。平时发现日光灯不亮和损坏及时通知电工，更换修理，及时清除拆装时留下的手印和污迹。</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（5）每日清理电源开关、插座，抹净上面污渍和灰尘。</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（6）各处皮、布沙发每天清洁一次，每周彻底清洁一次，皮质沙发每月上碧丽珠保养两次，保持无灰尘、无污渍。</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（7）办公室内隔墙玻璃每周彻底清洗一次，平时发现手印污渍及时擦净，保持无手印、无污迹、无灰尘，屏风每天及时清洁灰尘，每周大清洁一次。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（8）室内玻璃门每天清洁保持无手印、无污迹，门、门框每天清洁一次。</w:t>
            </w:r>
            <w:r/>
          </w:p>
        </w:tc>
      </w:tr>
      <w:tr>
        <w:trPr>
          <w:jc w:val="center"/>
          <w:trHeight w:val="431"/>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（9)室内窗户玻璃里面随时保洁，平时发现手印、污迹及时擦净。</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(10)花盆里面垃圾、烟头每天清理，植物叶子经常抹尘。</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(11)办公室的地面，每天打扫、拖净一次，每周一次彻底拖洗，平时对地面痰迹、香口胶进行及时清除。保持地面无垃圾、无烟头、无污渍。拖洗地面后，及时抹净地脚线、墙角上的污迹、水迹。</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(12)每周对地脚线抹尘一次，清理卫生死角一次。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(13)木门每天擦抹二次，不锈钢门每天擦抹一次，每季度上不锈钢护理剂1次，防火门、玻璃门每天擦抹两次。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lang w:eastAsia="en-US"/>
              </w:rPr>
            </w:pPr>
            <w:r>
              <w:rPr>
                <w:rFonts w:hint="eastAsia"/>
                <w:highlight w:val="none"/>
              </w:rPr>
              <w:t xml:space="preserve">(14)会议室室内的桌椅、窗帘、书橱、座椅、展台、文件柜、讲台、电脑、键盘等设施每天擦抹1-2次，保持无尘、无杂物、无污渍、摆放整洁。</w:t>
            </w:r>
            <w:r>
              <w:rPr>
                <w:rFonts w:hint="eastAsia"/>
                <w:highlight w:val="none"/>
                <w:lang w:eastAsia="en-US"/>
              </w:rPr>
              <w:t xml:space="preserve">结束后及时关灯。</w:t>
            </w:r>
            <w:r/>
          </w:p>
        </w:tc>
      </w:tr>
      <w:tr>
        <w:trPr>
          <w:jc w:val="center"/>
          <w:trHeight w:val="536"/>
        </w:trPr>
        <w:tc>
          <w:tcPr>
            <w:tcW w:w="705" w:type="dxa"/>
            <w:vMerge w:val="continue"/>
            <w:textDirection w:val="lrTb"/>
            <w:noWrap w:val="false"/>
          </w:tcPr>
          <w:p>
            <w:pPr>
              <w:rPr>
                <w:highlight w:val="none"/>
                <w:lang w:eastAsia="en-US"/>
              </w:rPr>
            </w:pPr>
            <w:r>
              <w:rPr>
                <w:highlight w:val="none"/>
                <w:lang w:eastAsia="en-US"/>
              </w:rPr>
            </w:r>
            <w:r/>
          </w:p>
        </w:tc>
        <w:tc>
          <w:tcPr>
            <w:tcW w:w="1179" w:type="dxa"/>
            <w:vMerge w:val="continue"/>
            <w:textDirection w:val="lrTb"/>
            <w:noWrap w:val="false"/>
          </w:tcPr>
          <w:p>
            <w:pPr>
              <w:rPr>
                <w:highlight w:val="none"/>
                <w:lang w:eastAsia="en-US"/>
              </w:rPr>
            </w:pPr>
            <w:r>
              <w:rPr>
                <w:highlight w:val="none"/>
                <w:lang w:eastAsia="en-US"/>
              </w:rPr>
            </w:r>
            <w:r/>
          </w:p>
        </w:tc>
        <w:tc>
          <w:tcPr>
            <w:tcW w:w="7654" w:type="dxa"/>
            <w:vAlign w:val="center"/>
            <w:textDirection w:val="lrTb"/>
            <w:noWrap w:val="false"/>
          </w:tcPr>
          <w:p>
            <w:pPr>
              <w:rPr>
                <w:highlight w:val="none"/>
              </w:rPr>
            </w:pPr>
            <w:r>
              <w:rPr>
                <w:rFonts w:hint="eastAsia"/>
                <w:highlight w:val="none"/>
              </w:rPr>
              <w:t xml:space="preserve">(15)会议室每天打扫一次，使用前及使用后再各清扫一次，不常用会议室定期通风。</w:t>
            </w:r>
            <w:r/>
          </w:p>
        </w:tc>
      </w:tr>
      <w:tr>
        <w:trPr>
          <w:jc w:val="center"/>
          <w:trHeight w:val="536"/>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7</w:t>
            </w:r>
            <w:r/>
          </w:p>
        </w:tc>
        <w:tc>
          <w:tcPr>
            <w:tcW w:w="1179" w:type="dxa"/>
            <w:vAlign w:val="center"/>
            <w:vMerge w:val="restart"/>
            <w:textDirection w:val="lrTb"/>
            <w:noWrap w:val="false"/>
          </w:tcPr>
          <w:p>
            <w:pPr>
              <w:rPr>
                <w:highlight w:val="none"/>
              </w:rPr>
            </w:pPr>
            <w:r>
              <w:rPr>
                <w:rFonts w:hint="eastAsia"/>
                <w:highlight w:val="none"/>
              </w:rPr>
              <w:t xml:space="preserve">室外公共场所、停车场车辆停放（7：30，13：30各一次）</w:t>
            </w:r>
            <w:r/>
          </w:p>
        </w:tc>
        <w:tc>
          <w:tcPr>
            <w:tcW w:w="7654" w:type="dxa"/>
            <w:vAlign w:val="center"/>
            <w:textDirection w:val="lrTb"/>
            <w:noWrap w:val="false"/>
          </w:tcPr>
          <w:p>
            <w:pPr>
              <w:rPr>
                <w:highlight w:val="none"/>
              </w:rPr>
            </w:pPr>
            <w:r>
              <w:rPr>
                <w:rFonts w:hint="eastAsia"/>
                <w:highlight w:val="none"/>
              </w:rPr>
              <w:t xml:space="preserve">(1)每天清扫道路、停车场、绿化地的地面二次，每小时巡视1次，发现脏物杂物及时处理。保持外围干净、整洁，路牙无积灰。</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(2)外广场地面、停车场地面每天清扫垃圾杂物，使机关工作人员有一个整洁舒适环境，根据地面地砖脏的程度和季节变化进行冲洗。</w:t>
            </w:r>
            <w:r/>
          </w:p>
        </w:tc>
      </w:tr>
      <w:tr>
        <w:trPr>
          <w:jc w:val="center"/>
          <w:trHeight w:val="24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(3)根据地面情况用水冲刷。</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(4)对绿化带进行重点巡查，及时清扫果皮、废纸等杂物、垃圾，每天2次。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(5)及时收集垃圾，将垃圾放在指定地点。清运时密封装置，确保无飘洒和滴水现象，及时清洗垃圾桶外表及内面，保持干净、无异味、无满溢。</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(6)抹净路牌、标识、消防箱、电表箱、水表箱外围灯柱表面上的灰尘，及时处理污迹。</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lang w:eastAsia="en-US"/>
              </w:rPr>
            </w:pPr>
            <w:r>
              <w:rPr>
                <w:rFonts w:hint="eastAsia"/>
                <w:highlight w:val="none"/>
              </w:rPr>
              <w:t xml:space="preserve">(7)每月清除一次卫生死角，如雨水管处、下水道口等，雨季加强力度清理，以防堵塞，同时防止孳生蚊蝇。每月清理一次沙井、排水沟、水池雨水槽内、阴沟、排洪沟、污水井杂物，确保其内无杂物。</w:t>
            </w:r>
            <w:r>
              <w:rPr>
                <w:rFonts w:hint="eastAsia"/>
                <w:highlight w:val="none"/>
                <w:lang w:eastAsia="en-US"/>
              </w:rPr>
              <w:t xml:space="preserve">如发现堵塞，及时疏通。</w:t>
            </w:r>
            <w:r/>
          </w:p>
        </w:tc>
      </w:tr>
      <w:tr>
        <w:trPr>
          <w:jc w:val="center"/>
          <w:trHeight w:val="269"/>
        </w:trPr>
        <w:tc>
          <w:tcPr>
            <w:tcW w:w="705" w:type="dxa"/>
            <w:vMerge w:val="continue"/>
            <w:textDirection w:val="lrTb"/>
            <w:noWrap w:val="false"/>
          </w:tcPr>
          <w:p>
            <w:pPr>
              <w:rPr>
                <w:highlight w:val="none"/>
                <w:lang w:eastAsia="en-US"/>
              </w:rPr>
            </w:pPr>
            <w:r>
              <w:rPr>
                <w:highlight w:val="none"/>
                <w:lang w:eastAsia="en-US"/>
              </w:rPr>
            </w:r>
            <w:r/>
          </w:p>
        </w:tc>
        <w:tc>
          <w:tcPr>
            <w:tcW w:w="1179" w:type="dxa"/>
            <w:vMerge w:val="continue"/>
            <w:textDirection w:val="lrTb"/>
            <w:noWrap w:val="false"/>
          </w:tcPr>
          <w:p>
            <w:pPr>
              <w:rPr>
                <w:highlight w:val="none"/>
                <w:lang w:eastAsia="en-US"/>
              </w:rPr>
            </w:pPr>
            <w:r>
              <w:rPr>
                <w:highlight w:val="none"/>
                <w:lang w:eastAsia="en-US"/>
              </w:rPr>
            </w:r>
            <w:r/>
          </w:p>
        </w:tc>
        <w:tc>
          <w:tcPr>
            <w:tcW w:w="7654" w:type="dxa"/>
            <w:vAlign w:val="center"/>
            <w:textDirection w:val="lrTb"/>
            <w:noWrap w:val="false"/>
          </w:tcPr>
          <w:p>
            <w:pPr>
              <w:rPr>
                <w:highlight w:val="none"/>
              </w:rPr>
            </w:pPr>
            <w:r>
              <w:rPr>
                <w:rFonts w:hint="eastAsia"/>
                <w:highlight w:val="none"/>
              </w:rPr>
              <w:t xml:space="preserve">(8)外墙2米以下随时保洁，保持无污渍。</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(9)协助做好治安工作，如发现闲杂人员及时清理驱除，清除乱贴乱画。</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(10)对区内各种设施进行抹尘和清洗，花坛、路灯每天抹尘，各眼见手及之处保持无灰尘、无垃圾、无污渍。损坏果皮箱及时更换，扶正。</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(11)清洁中如发现客人车门或车窗、车灯没有关好，应及时通告车场值班人员，以便得到妥善处理，并将此事汇报主管。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(12)垃圾及时清运，不得扫入下水道和绿化带。</w:t>
            </w:r>
            <w:r/>
          </w:p>
        </w:tc>
      </w:tr>
      <w:tr>
        <w:trPr>
          <w:jc w:val="center"/>
          <w:trHeight w:val="536"/>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8</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洗手间</w:t>
            </w:r>
            <w:r/>
          </w:p>
        </w:tc>
        <w:tc>
          <w:tcPr>
            <w:tcW w:w="7654" w:type="dxa"/>
            <w:vAlign w:val="center"/>
            <w:textDirection w:val="lrTb"/>
            <w:noWrap w:val="false"/>
          </w:tcPr>
          <w:p>
            <w:pPr>
              <w:rPr>
                <w:highlight w:val="none"/>
                <w:lang w:eastAsia="en-US"/>
              </w:rPr>
            </w:pPr>
            <w:r>
              <w:rPr>
                <w:rFonts w:hint="eastAsia"/>
                <w:highlight w:val="none"/>
              </w:rPr>
              <w:t xml:space="preserve">（1）拖洗所有洗手间地面，抹净洁具、门框、墙身，每天循环多次，保持无灰尘、无水渍、无垃圾、无异味，并全面消毒。</w:t>
            </w:r>
            <w:r>
              <w:rPr>
                <w:rFonts w:hint="eastAsia"/>
                <w:highlight w:val="none"/>
                <w:lang w:eastAsia="en-US"/>
              </w:rPr>
              <w:t xml:space="preserve">首次在8:00前完成。</w:t>
            </w:r>
            <w:r/>
          </w:p>
        </w:tc>
      </w:tr>
      <w:tr>
        <w:trPr>
          <w:jc w:val="center"/>
          <w:trHeight w:val="536"/>
        </w:trPr>
        <w:tc>
          <w:tcPr>
            <w:tcW w:w="705" w:type="dxa"/>
            <w:vMerge w:val="continue"/>
            <w:textDirection w:val="lrTb"/>
            <w:noWrap w:val="false"/>
          </w:tcPr>
          <w:p>
            <w:pPr>
              <w:rPr>
                <w:highlight w:val="none"/>
                <w:lang w:eastAsia="en-US"/>
              </w:rPr>
            </w:pPr>
            <w:r>
              <w:rPr>
                <w:highlight w:val="none"/>
                <w:lang w:eastAsia="en-US"/>
              </w:rPr>
            </w:r>
            <w:r/>
          </w:p>
        </w:tc>
        <w:tc>
          <w:tcPr>
            <w:tcW w:w="1179" w:type="dxa"/>
            <w:vMerge w:val="continue"/>
            <w:textDirection w:val="lrTb"/>
            <w:noWrap w:val="false"/>
          </w:tcPr>
          <w:p>
            <w:pPr>
              <w:rPr>
                <w:highlight w:val="none"/>
                <w:lang w:eastAsia="en-US"/>
              </w:rPr>
            </w:pPr>
            <w:r>
              <w:rPr>
                <w:highlight w:val="none"/>
                <w:lang w:eastAsia="en-US"/>
              </w:rPr>
            </w:r>
            <w:r/>
          </w:p>
        </w:tc>
        <w:tc>
          <w:tcPr>
            <w:tcW w:w="7654" w:type="dxa"/>
            <w:vAlign w:val="center"/>
            <w:textDirection w:val="lrTb"/>
            <w:noWrap w:val="false"/>
          </w:tcPr>
          <w:p>
            <w:pPr>
              <w:rPr>
                <w:highlight w:val="none"/>
              </w:rPr>
            </w:pPr>
            <w:r>
              <w:rPr>
                <w:rFonts w:hint="eastAsia"/>
                <w:highlight w:val="none"/>
              </w:rPr>
              <w:t xml:space="preserve">（2）隔板、烘手机、纸盒每天擦抹一次，小便池、厕位、水池1小时清洁1次、每小时巡视1次、每天清洗1次。镜面、台面、洗手盆每天清洁4次，每小时巡视1次，保持无污渍、水渍、积水、头发、手印、便迹、异味、报纸、口香胶。</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每周一次全面大清洗墙面瓷砖，地面用清洁剂刷洗，天花擦净，灯具、风口抹尘，保持干净，无污渍，洁具每日用消毒药剂消毒一次，整体卫生间全面消毒，每日一次。卫生间、茶水间的地面每天拖地至少4次/日，冲洗1次/日。</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（4）垃圾桶倾倒垃圾，更换垃圾袋，并运到指定地点堆放，每天多次，地面平时循环拖扫，保持干燥、洁净。</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（5）保持所有下水道畅通，发现有堵塞，及时处理。</w:t>
            </w:r>
            <w:r/>
          </w:p>
        </w:tc>
      </w:tr>
      <w:tr>
        <w:trPr>
          <w:jc w:val="center"/>
          <w:trHeight w:val="246"/>
        </w:trPr>
        <w:tc>
          <w:tcPr>
            <w:tcW w:w="705" w:type="dxa"/>
            <w:vMerge w:val="restart"/>
            <w:textDirection w:val="lrTb"/>
            <w:noWrap w:val="false"/>
          </w:tcPr>
          <w:p>
            <w:pPr>
              <w:rPr>
                <w:highlight w:val="none"/>
                <w:lang w:eastAsia="en-US"/>
              </w:rPr>
            </w:pPr>
            <w:r>
              <w:rPr>
                <w:rFonts w:hint="eastAsia"/>
                <w:highlight w:val="none"/>
                <w:lang w:eastAsia="en-US"/>
              </w:rPr>
              <w:t xml:space="preserve">9</w:t>
            </w:r>
            <w:r/>
          </w:p>
        </w:tc>
        <w:tc>
          <w:tcPr>
            <w:tcW w:w="1179" w:type="dxa"/>
            <w:vMerge w:val="restart"/>
            <w:textDirection w:val="lrTb"/>
            <w:noWrap w:val="false"/>
          </w:tcPr>
          <w:p>
            <w:pPr>
              <w:rPr>
                <w:highlight w:val="none"/>
              </w:rPr>
            </w:pPr>
            <w:r>
              <w:rPr>
                <w:rFonts w:hint="eastAsia"/>
                <w:highlight w:val="none"/>
              </w:rPr>
              <w:t xml:space="preserve">楼内公共区域，包括楼内的过道、消防通道等公共场所（首次清洁8：00前完成）</w:t>
            </w:r>
            <w:r/>
          </w:p>
        </w:tc>
        <w:tc>
          <w:tcPr>
            <w:tcW w:w="7654" w:type="dxa"/>
            <w:vAlign w:val="center"/>
            <w:textDirection w:val="lrTb"/>
            <w:noWrap w:val="false"/>
          </w:tcPr>
          <w:p>
            <w:pPr>
              <w:rPr>
                <w:highlight w:val="none"/>
              </w:rPr>
            </w:pPr>
            <w:r>
              <w:rPr>
                <w:rFonts w:hint="eastAsia"/>
                <w:highlight w:val="none"/>
              </w:rPr>
              <w:t xml:space="preserve">(1)所有过道地面每天循环清扫消毒，每周一次清洗，保持地面无垃圾、纸屑、烟头、无水渍，并每天拖地二次，平时发现污渍、垃圾及时处理，保持光洁明亮。</w:t>
            </w:r>
            <w:r/>
          </w:p>
        </w:tc>
      </w:tr>
      <w:tr>
        <w:trPr>
          <w:jc w:val="center"/>
          <w:trHeight w:val="70"/>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(2)擦净所有玻璃门、窗，发现手印、污渍及时清理干净。</w:t>
            </w:r>
            <w:r/>
          </w:p>
        </w:tc>
      </w:tr>
      <w:tr>
        <w:trPr>
          <w:jc w:val="center"/>
          <w:trHeight w:val="129"/>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(3)擦净所有垃圾筒、烟灰缸，及时清理垃圾，保持垃圾不超过筒身1/2处，电梯间烟灰筒保持每日清洁三次以上。</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(4)每日清扫消毒消防通道，抹净扶手栏杆，地角线上面灰尘，地面梯阶每天扫一遍，发现香口胶、痰渍等及时清除，每周清洗一次。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(5)擦净所有3米以下大理石、木板、玻璃墙面，每天一次，3米以上墙面每月一次。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(6)所有瓷砖地面每天拖洗二次，每周用清洁剂彻底清洗一次，保持地面光洁明亮。</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(7)所有通道出口指示灯牌、应急灯，每周清洁一次，保持无灰尘、无蛛网，明亮透洁。</w:t>
            </w:r>
            <w:r/>
          </w:p>
        </w:tc>
      </w:tr>
      <w:tr>
        <w:trPr>
          <w:jc w:val="center"/>
          <w:trHeight w:val="157"/>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(8)擦净所有消防栓、消防器材，每天一次，每月全面清洁一次。</w:t>
            </w:r>
            <w:r/>
          </w:p>
        </w:tc>
      </w:tr>
      <w:tr>
        <w:trPr>
          <w:jc w:val="center"/>
          <w:trHeight w:val="105"/>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(9)过道天花、墙角、墙面每周清扫一次，平时发现蛛网及时处理。</w:t>
            </w:r>
            <w:r/>
          </w:p>
        </w:tc>
      </w:tr>
      <w:tr>
        <w:trPr>
          <w:jc w:val="center"/>
          <w:trHeight w:val="181"/>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(10)所有通道门窗，每天擦抹灰尘至少一次。</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(11)清除花盆内垃圾杂物，抹净灰尘，植物叶子经常抹尘，保持干净，按要求定期浇水。</w:t>
            </w:r>
            <w:r/>
          </w:p>
        </w:tc>
      </w:tr>
      <w:tr>
        <w:trPr>
          <w:jc w:val="center"/>
          <w:trHeight w:val="125"/>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(12)及时开关灯，节约能耗。</w:t>
            </w:r>
            <w:r/>
          </w:p>
        </w:tc>
      </w:tr>
      <w:tr>
        <w:trPr>
          <w:jc w:val="center"/>
          <w:trHeight w:val="536"/>
        </w:trPr>
        <w:tc>
          <w:tcPr>
            <w:tcW w:w="705" w:type="dxa"/>
            <w:vAlign w:val="center"/>
            <w:vMerge w:val="restart"/>
            <w:textDirection w:val="lrTb"/>
            <w:noWrap w:val="false"/>
          </w:tcPr>
          <w:p>
            <w:pPr>
              <w:rPr>
                <w:highlight w:val="none"/>
                <w:lang w:eastAsia="en-US"/>
              </w:rPr>
            </w:pPr>
            <w:r>
              <w:rPr>
                <w:rFonts w:hint="eastAsia"/>
                <w:highlight w:val="none"/>
                <w:lang w:eastAsia="en-US"/>
              </w:rPr>
              <w:t xml:space="preserve">10</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电梯清洁</w:t>
            </w:r>
            <w:r/>
          </w:p>
        </w:tc>
        <w:tc>
          <w:tcPr>
            <w:tcW w:w="7654" w:type="dxa"/>
            <w:vAlign w:val="center"/>
            <w:textDirection w:val="lrTb"/>
            <w:noWrap w:val="false"/>
          </w:tcPr>
          <w:p>
            <w:pPr>
              <w:rPr>
                <w:highlight w:val="none"/>
              </w:rPr>
            </w:pPr>
            <w:r>
              <w:rPr>
                <w:rFonts w:hint="eastAsia"/>
                <w:highlight w:val="none"/>
              </w:rPr>
              <w:t xml:space="preserve">（1）电梯轿厢每日清洁消毒不少于</w:t>
            </w:r>
            <w:r>
              <w:rPr>
                <w:highlight w:val="none"/>
              </w:rPr>
              <w:t xml:space="preserve">4</w:t>
            </w:r>
            <w:r>
              <w:rPr>
                <w:rFonts w:hint="eastAsia"/>
                <w:highlight w:val="none"/>
              </w:rPr>
              <w:t xml:space="preserve">次，并循环保洁，做好记录。</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（2）电梯内地毯每天根据天气状况按要求摆放，每日清洁不少于</w:t>
            </w:r>
            <w:r>
              <w:rPr>
                <w:highlight w:val="none"/>
              </w:rPr>
              <w:t xml:space="preserve">4</w:t>
            </w:r>
            <w:r>
              <w:rPr>
                <w:rFonts w:hint="eastAsia"/>
                <w:highlight w:val="none"/>
              </w:rPr>
              <w:t xml:space="preserve">次，并循环保洁更换并清洗。</w:t>
            </w:r>
            <w:r/>
          </w:p>
        </w:tc>
      </w:tr>
      <w:tr>
        <w:trPr>
          <w:jc w:val="center"/>
          <w:trHeight w:val="536"/>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（3）电梯内壁每天用不锈钢油擦净不少于1次，循环保洁，保持无手印、污渍、灰尘，每周用不锈钢保养剂进行保养，减少氧化、锈蚀的程度，保持光亮、洁净。</w:t>
            </w:r>
            <w:r/>
          </w:p>
        </w:tc>
      </w:tr>
      <w:tr>
        <w:trPr>
          <w:jc w:val="center"/>
          <w:trHeight w:val="323"/>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（4）电梯厅门每日擦拭不少于2次。</w:t>
            </w:r>
            <w:r/>
          </w:p>
        </w:tc>
      </w:tr>
      <w:tr>
        <w:trPr>
          <w:jc w:val="center"/>
          <w:trHeight w:val="70"/>
        </w:trPr>
        <w:tc>
          <w:tcPr>
            <w:tcW w:w="705"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54" w:type="dxa"/>
            <w:vAlign w:val="center"/>
            <w:textDirection w:val="lrTb"/>
            <w:noWrap w:val="false"/>
          </w:tcPr>
          <w:p>
            <w:pPr>
              <w:rPr>
                <w:highlight w:val="none"/>
              </w:rPr>
            </w:pPr>
            <w:r>
              <w:rPr>
                <w:rFonts w:hint="eastAsia"/>
                <w:highlight w:val="none"/>
              </w:rPr>
              <w:t xml:space="preserve">（5）轿厢内玻璃镜面每日擦拭2次，循环保洁。</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3.4.1具体清洁要求</w:t>
      </w:r>
      <w:r/>
    </w:p>
    <w:tbl>
      <w:tblPr>
        <w:tblStyle w:val="773"/>
        <w:tblW w:w="53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205"/>
        <w:gridCol w:w="7812"/>
      </w:tblGrid>
      <w:tr>
        <w:trPr>
          <w:jc w:val="center"/>
          <w:trHeight w:val="454"/>
        </w:trPr>
        <w:tc>
          <w:tcPr>
            <w:tcW w:w="696"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材质</w:t>
            </w:r>
            <w:r/>
          </w:p>
        </w:tc>
        <w:tc>
          <w:tcPr>
            <w:tcW w:w="7645" w:type="dxa"/>
            <w:vAlign w:val="center"/>
            <w:textDirection w:val="lrTb"/>
            <w:noWrap w:val="false"/>
          </w:tcPr>
          <w:p>
            <w:pPr>
              <w:rPr>
                <w:highlight w:val="none"/>
                <w:lang w:eastAsia="en-US"/>
              </w:rPr>
            </w:pPr>
            <w:r>
              <w:rPr>
                <w:rFonts w:hint="eastAsia"/>
                <w:highlight w:val="none"/>
                <w:lang w:eastAsia="en-US"/>
              </w:rPr>
              <w:t xml:space="preserve">清洁要求</w:t>
            </w:r>
            <w:r/>
          </w:p>
        </w:tc>
      </w:tr>
      <w:tr>
        <w:trPr>
          <w:jc w:val="center"/>
          <w:trHeight w:val="95"/>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1</w:t>
            </w:r>
            <w:r/>
          </w:p>
        </w:tc>
        <w:tc>
          <w:tcPr>
            <w:tcW w:w="1179" w:type="dxa"/>
            <w:vAlign w:val="center"/>
            <w:vMerge w:val="restart"/>
            <w:textDirection w:val="lrTb"/>
            <w:noWrap w:val="false"/>
          </w:tcPr>
          <w:p>
            <w:pPr>
              <w:rPr>
                <w:color w:val="ff0000"/>
                <w:highlight w:val="none"/>
              </w:rPr>
            </w:pPr>
            <w:r>
              <w:rPr>
                <w:rFonts w:hint="eastAsia" w:ascii="宋体" w:hAnsi="宋体" w:cs="宋体"/>
                <w:highlight w:val="none"/>
                <w:lang w:eastAsia="en-US"/>
              </w:rPr>
              <w:t xml:space="preserve">金钢纱地面</w:t>
            </w:r>
            <w:r/>
          </w:p>
        </w:tc>
        <w:tc>
          <w:tcPr>
            <w:tcW w:w="7645" w:type="dxa"/>
            <w:vAlign w:val="center"/>
            <w:textDirection w:val="lrTb"/>
            <w:noWrap w:val="false"/>
          </w:tcPr>
          <w:p>
            <w:pPr>
              <w:rPr>
                <w:highlight w:val="none"/>
              </w:rPr>
            </w:pPr>
            <w:r>
              <w:rPr>
                <w:rFonts w:hint="eastAsia"/>
                <w:highlight w:val="none"/>
              </w:rPr>
              <w:t xml:space="preserve">（1）清理垃圾：</w:t>
            </w:r>
            <w:r>
              <w:rPr>
                <w:rFonts w:hint="eastAsia" w:ascii="宋体" w:hAnsi="宋体" w:cs="宋体"/>
                <w:highlight w:val="none"/>
              </w:rPr>
              <w:t xml:space="preserve">清除地面垃圾、杂物及颗粒物，重点清理缝隙、墙角，用软毛刷吸头吸尘器避免划伤</w:t>
            </w:r>
            <w:r>
              <w:rPr>
                <w:rFonts w:hint="eastAsia"/>
                <w:highlight w:val="none"/>
              </w:rPr>
              <w:t xml:space="preserve">。</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highlight w:val="none"/>
              </w:rPr>
            </w:pPr>
            <w:r>
              <w:rPr>
                <w:rFonts w:hint="eastAsia"/>
                <w:highlight w:val="none"/>
              </w:rPr>
              <w:t xml:space="preserve">（2）清洗地面：</w:t>
            </w:r>
            <w:r>
              <w:rPr>
                <w:rFonts w:hint="eastAsia" w:ascii="宋体" w:hAnsi="宋体" w:cs="宋体"/>
                <w:highlight w:val="none"/>
              </w:rPr>
              <w:t xml:space="preserve">选用中性或弱碱性清洁剂（</w:t>
            </w:r>
            <w:r>
              <w:rPr>
                <w:highlight w:val="none"/>
              </w:rPr>
              <w:t xml:space="preserve">pH7-10</w:t>
            </w:r>
            <w:r>
              <w:rPr>
                <w:rFonts w:hint="eastAsia" w:ascii="宋体" w:hAnsi="宋体" w:cs="宋体"/>
                <w:highlight w:val="none"/>
              </w:rPr>
              <w:t xml:space="preserve">），禁用强酸、避免强碱长时间浸泡</w:t>
            </w:r>
            <w:r>
              <w:rPr>
                <w:rFonts w:hint="eastAsia"/>
                <w:highlight w:val="none"/>
              </w:rPr>
              <w:t xml:space="preserve">。</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highlight w:val="none"/>
              </w:rPr>
            </w:pPr>
            <w:r>
              <w:rPr>
                <w:rFonts w:hint="eastAsia"/>
                <w:highlight w:val="none"/>
              </w:rPr>
              <w:t xml:space="preserve">（3）</w:t>
            </w:r>
            <w:r>
              <w:rPr>
                <w:rFonts w:hint="eastAsia" w:ascii="宋体" w:hAnsi="宋体" w:cs="宋体"/>
                <w:highlight w:val="none"/>
              </w:rPr>
              <w:t xml:space="preserve">深层清洗：顽固污渍用</w:t>
            </w:r>
            <w:r>
              <w:rPr>
                <w:highlight w:val="none"/>
              </w:rPr>
              <w:t xml:space="preserve">1500-2000psi</w:t>
            </w:r>
            <w:r>
              <w:rPr>
                <w:rFonts w:hint="eastAsia" w:ascii="宋体" w:hAnsi="宋体" w:cs="宋体"/>
                <w:highlight w:val="none"/>
              </w:rPr>
              <w:t xml:space="preserve">高压水枪或硬毛滚刷清理，厚污可平整铲刀轻铲后清洗</w:t>
            </w:r>
            <w:r>
              <w:rPr>
                <w:rFonts w:hint="eastAsia"/>
                <w:highlight w:val="none"/>
              </w:rPr>
              <w:t xml:space="preserve">。</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highlight w:val="none"/>
              </w:rPr>
            </w:pPr>
            <w:r>
              <w:rPr>
                <w:rFonts w:hint="eastAsia"/>
                <w:highlight w:val="none"/>
              </w:rPr>
              <w:t xml:space="preserve">（4）浸泡：</w:t>
            </w:r>
            <w:r>
              <w:rPr>
                <w:rFonts w:hint="eastAsia" w:ascii="宋体" w:hAnsi="宋体" w:cs="宋体"/>
                <w:highlight w:val="none"/>
              </w:rPr>
              <w:t xml:space="preserve">喷洒清洁剂浸泡</w:t>
            </w:r>
            <w:r>
              <w:rPr>
                <w:highlight w:val="none"/>
              </w:rPr>
              <w:t xml:space="preserve">10-15</w:t>
            </w:r>
            <w:r>
              <w:rPr>
                <w:rFonts w:hint="eastAsia" w:ascii="宋体" w:hAnsi="宋体" w:cs="宋体"/>
                <w:highlight w:val="none"/>
              </w:rPr>
              <w:t xml:space="preserve">分钟，期间可轻刷，避免长时间浸泡</w:t>
            </w:r>
            <w:r>
              <w:rPr>
                <w:rFonts w:hint="eastAsia"/>
                <w:highlight w:val="none"/>
              </w:rPr>
              <w:t xml:space="preserve">。</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highlight w:val="none"/>
              </w:rPr>
            </w:pPr>
            <w:r>
              <w:rPr>
                <w:rFonts w:hint="eastAsia" w:ascii="宋体" w:hAnsi="宋体" w:cs="宋体"/>
                <w:highlight w:val="none"/>
              </w:rPr>
              <w:t xml:space="preserve">（</w:t>
            </w:r>
            <w:r>
              <w:rPr>
                <w:rFonts w:hint="eastAsia"/>
                <w:highlight w:val="none"/>
              </w:rPr>
              <w:t xml:space="preserve">5</w:t>
            </w:r>
            <w:r>
              <w:rPr>
                <w:rFonts w:hint="eastAsia" w:ascii="宋体" w:hAnsi="宋体" w:cs="宋体"/>
                <w:highlight w:val="none"/>
              </w:rPr>
              <w:t xml:space="preserve">）冲洗：用清水反复冲洗，重点清理缝隙，确保无清洁剂残留。</w:t>
            </w:r>
            <w:r/>
          </w:p>
        </w:tc>
      </w:tr>
      <w:tr>
        <w:trPr>
          <w:jc w:val="center"/>
          <w:trHeight w:val="92"/>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color w:val="ff0000"/>
                <w:highlight w:val="none"/>
              </w:rPr>
            </w:pPr>
            <w:r>
              <w:rPr>
                <w:color w:val="ff0000"/>
                <w:highlight w:val="none"/>
              </w:rPr>
            </w:r>
            <w:r/>
          </w:p>
        </w:tc>
        <w:tc>
          <w:tcPr>
            <w:tcW w:w="7645" w:type="dxa"/>
            <w:vAlign w:val="center"/>
            <w:textDirection w:val="lrTb"/>
            <w:noWrap w:val="false"/>
          </w:tcPr>
          <w:p>
            <w:pPr>
              <w:rPr>
                <w:rFonts w:ascii="宋体" w:hAnsi="宋体" w:cs="宋体"/>
                <w:highlight w:val="none"/>
              </w:rPr>
            </w:pPr>
            <w:r>
              <w:rPr>
                <w:rFonts w:hint="eastAsia" w:ascii="宋体" w:hAnsi="宋体" w:cs="宋体"/>
                <w:highlight w:val="none"/>
              </w:rPr>
              <w:t xml:space="preserve">（</w:t>
            </w:r>
            <w:r>
              <w:rPr>
                <w:rFonts w:hint="eastAsia" w:eastAsia="等线"/>
                <w:highlight w:val="none"/>
              </w:rPr>
              <w:t xml:space="preserve">6</w:t>
            </w:r>
            <w:r>
              <w:rPr>
                <w:rFonts w:hint="eastAsia" w:ascii="宋体" w:hAnsi="宋体" w:cs="宋体"/>
                <w:highlight w:val="none"/>
              </w:rPr>
              <w:t xml:space="preserve">）</w:t>
            </w:r>
            <w:r>
              <w:rPr>
                <w:rFonts w:ascii="宋体" w:hAnsi="宋体" w:cs="宋体"/>
                <w:highlight w:val="none"/>
              </w:rPr>
              <w:t xml:space="preserve">擦干/晾干：擦干缝隙积水，大面积可开通风设备，晾干后检查无积水、无污渍</w:t>
            </w:r>
            <w:r>
              <w:rPr>
                <w:rFonts w:hint="eastAsia" w:ascii="宋体" w:hAnsi="宋体" w:cs="宋体"/>
                <w:highlight w:val="none"/>
              </w:rPr>
              <w:t xml:space="preserve">。</w:t>
            </w:r>
            <w:r/>
          </w:p>
        </w:tc>
      </w:tr>
      <w:tr>
        <w:trPr>
          <w:jc w:val="center"/>
          <w:trHeight w:val="165"/>
        </w:trPr>
        <w:tc>
          <w:tcPr>
            <w:tcW w:w="696" w:type="dxa"/>
            <w:vAlign w:val="center"/>
            <w:vMerge w:val="restart"/>
            <w:textDirection w:val="lrTb"/>
            <w:noWrap w:val="false"/>
          </w:tcPr>
          <w:p>
            <w:pPr>
              <w:rPr>
                <w:rFonts w:eastAsia="等线"/>
                <w:highlight w:val="none"/>
              </w:rPr>
            </w:pPr>
            <w:r/>
            <w:bookmarkStart w:id="181" w:name="OLE_LINK6"/>
            <w:r/>
            <w:bookmarkStart w:id="182" w:name="_Hlk226813150"/>
            <w:r/>
            <w:bookmarkStart w:id="183" w:name="OLE_LINK4"/>
            <w:r>
              <w:rPr>
                <w:rFonts w:hint="eastAsia" w:eastAsia="等线"/>
                <w:highlight w:val="none"/>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环氧地坪地面</w:t>
            </w:r>
            <w:r/>
          </w:p>
        </w:tc>
        <w:tc>
          <w:tcPr>
            <w:tcW w:w="7645" w:type="dxa"/>
            <w:vAlign w:val="center"/>
            <w:textDirection w:val="lrTb"/>
            <w:noWrap w:val="false"/>
          </w:tcPr>
          <w:p>
            <w:pPr>
              <w:rPr>
                <w:highlight w:val="none"/>
              </w:rPr>
            </w:pPr>
            <w:r>
              <w:rPr>
                <w:rFonts w:hint="eastAsia"/>
                <w:highlight w:val="none"/>
              </w:rPr>
              <w:t xml:space="preserve">（1）清理垃圾：清理地面上的垃圾和杂物。</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（2）清洗地面：用专业的清洁剂或去污剂清洗地面。清洁剂和去污剂的选取要根据污垢的性质而定。环氧地坪一般使用弱酸性或弱碱性的清洁剂，避免使用酸性或碱性强的清洁剂。</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（3）滚刷或颗粒机进行深层清洗：对于顽固沉积物，需要使用滚刷或颗粒机进行深层清洗。</w:t>
            </w:r>
            <w:r/>
          </w:p>
        </w:tc>
      </w:tr>
      <w:tr>
        <w:trPr>
          <w:jc w:val="center"/>
          <w:trHeight w:val="454"/>
        </w:trPr>
        <w:tc>
          <w:tcPr>
            <w:tcW w:w="696" w:type="dxa"/>
            <w:vAlign w:val="center"/>
            <w:vMerge w:val="restart"/>
            <w:textDirection w:val="lrTb"/>
            <w:noWrap w:val="false"/>
          </w:tcPr>
          <w:p>
            <w:pPr>
              <w:rPr>
                <w:highlight w:val="none"/>
              </w:rPr>
            </w:pPr>
            <w:r>
              <w:rPr>
                <w:rFonts w:hint="eastAsia"/>
                <w:highlight w:val="none"/>
              </w:rPr>
              <w:t xml:space="preserve">                                                    </w:t>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（4）浸泡：将清洁剂或去污剂浸泡在环氧地坪上，加强去除污渍的效果。</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（5）冲洗：用清水将地面冲洗干净，以去除残留的清洁剂或去污剂。</w:t>
            </w:r>
            <w:bookmarkEnd w:id="181"/>
            <w:r/>
            <w:bookmarkEnd w:id="182"/>
            <w:r/>
            <w:bookmarkEnd w:id="183"/>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耐磨漆地面</w:t>
            </w:r>
            <w:r/>
          </w:p>
        </w:tc>
        <w:tc>
          <w:tcPr>
            <w:tcW w:w="7645" w:type="dxa"/>
            <w:vAlign w:val="center"/>
            <w:textDirection w:val="lrTb"/>
            <w:noWrap w:val="false"/>
          </w:tcPr>
          <w:p>
            <w:pPr>
              <w:rPr>
                <w:highlight w:val="none"/>
              </w:rPr>
            </w:pPr>
            <w:r>
              <w:rPr>
                <w:rFonts w:hint="eastAsia"/>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瓷砖地面</w:t>
            </w:r>
            <w:r/>
          </w:p>
        </w:tc>
        <w:tc>
          <w:tcPr>
            <w:tcW w:w="7645" w:type="dxa"/>
            <w:vAlign w:val="center"/>
            <w:textDirection w:val="lrTb"/>
            <w:noWrap w:val="false"/>
          </w:tcPr>
          <w:p>
            <w:pPr>
              <w:rPr>
                <w:highlight w:val="none"/>
              </w:rPr>
            </w:pPr>
            <w:r>
              <w:rPr>
                <w:rFonts w:hint="eastAsia"/>
                <w:highlight w:val="none"/>
              </w:rPr>
              <w:t xml:space="preserve">（1）日常清洁：推尘，保持地面干净无杂物。</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lang w:eastAsia="en-US"/>
              </w:rPr>
            </w:pPr>
            <w:r>
              <w:rPr>
                <w:rFonts w:hint="eastAsia"/>
                <w:highlight w:val="none"/>
                <w:lang w:eastAsia="en-US"/>
              </w:rPr>
              <w:t xml:space="preserve">（2）深度清洁：使用洗洁精或肥皂水清理。</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石材地面</w:t>
            </w:r>
            <w:r/>
          </w:p>
        </w:tc>
        <w:tc>
          <w:tcPr>
            <w:tcW w:w="7645" w:type="dxa"/>
            <w:vAlign w:val="center"/>
            <w:textDirection w:val="lrTb"/>
            <w:noWrap w:val="false"/>
          </w:tcPr>
          <w:p>
            <w:pPr>
              <w:rPr>
                <w:highlight w:val="none"/>
              </w:rPr>
            </w:pPr>
            <w:r>
              <w:rPr>
                <w:rFonts w:hint="eastAsia"/>
                <w:highlight w:val="none"/>
              </w:rPr>
              <w:t xml:space="preserve">（1）根据各区域的人流量及大理石的实际磨损程度制定大理石的晶面保养计划。</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（2）启动晶面机，使用中性清洁剂清洁，避免使用强酸或强碱清洁剂，定期进行基础维护。</w:t>
            </w:r>
            <w:r/>
          </w:p>
        </w:tc>
      </w:tr>
      <w:tr>
        <w:trPr>
          <w:jc w:val="center"/>
          <w:trHeight w:val="119"/>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6</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水磨石地面</w:t>
            </w:r>
            <w:r/>
          </w:p>
        </w:tc>
        <w:tc>
          <w:tcPr>
            <w:tcW w:w="7645" w:type="dxa"/>
            <w:vAlign w:val="center"/>
            <w:textDirection w:val="lrTb"/>
            <w:noWrap w:val="false"/>
          </w:tcPr>
          <w:p>
            <w:pPr>
              <w:rPr>
                <w:highlight w:val="none"/>
              </w:rPr>
            </w:pPr>
            <w:r>
              <w:rPr>
                <w:rFonts w:hint="eastAsia"/>
                <w:highlight w:val="none"/>
              </w:rPr>
              <w:t xml:space="preserve">（1）日常清洁：推尘，保持地面干净无杂物。</w:t>
            </w:r>
            <w:r/>
          </w:p>
        </w:tc>
      </w:tr>
      <w:tr>
        <w:trPr>
          <w:jc w:val="center"/>
          <w:trHeight w:val="123"/>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lang w:eastAsia="en-US"/>
              </w:rPr>
            </w:pPr>
            <w:r>
              <w:rPr>
                <w:rFonts w:hint="eastAsia"/>
                <w:highlight w:val="none"/>
                <w:lang w:eastAsia="en-US"/>
              </w:rPr>
              <w:t xml:space="preserve">（2）深度清洁：使用洗洁精或肥皂水清理。</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7</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地胶板地面</w:t>
            </w:r>
            <w:r/>
          </w:p>
        </w:tc>
        <w:tc>
          <w:tcPr>
            <w:tcW w:w="7645" w:type="dxa"/>
            <w:vAlign w:val="center"/>
            <w:textDirection w:val="lrTb"/>
            <w:noWrap w:val="false"/>
          </w:tcPr>
          <w:p>
            <w:pPr>
              <w:rPr>
                <w:highlight w:val="none"/>
              </w:rPr>
            </w:pPr>
            <w:r>
              <w:rPr>
                <w:rFonts w:hint="eastAsia"/>
                <w:highlight w:val="none"/>
              </w:rPr>
              <w:t xml:space="preserve">（1）定期保养。使用中性清洁剂清洁，避免使用强酸或强碱清洁剂，定期进行基础维护。</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（2）日常维护。使用湿润的拖把清洁，污染严重时局部清洁，每月对地胶板地面进行打蜡处理。</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8</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地板地面</w:t>
            </w:r>
            <w:r/>
          </w:p>
        </w:tc>
        <w:tc>
          <w:tcPr>
            <w:tcW w:w="7645" w:type="dxa"/>
            <w:vAlign w:val="center"/>
            <w:textDirection w:val="lrTb"/>
            <w:noWrap w:val="false"/>
          </w:tcPr>
          <w:p>
            <w:pPr>
              <w:rPr>
                <w:highlight w:val="none"/>
              </w:rPr>
            </w:pPr>
            <w:r>
              <w:rPr>
                <w:rFonts w:hint="eastAsia"/>
                <w:highlight w:val="none"/>
              </w:rPr>
              <w:t xml:space="preserve">（1）定期保养。使用中性清洁剂清洁，避免使用强酸或强碱清洁剂，定期进行基础维护。</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（2）日常维护。使用湿润的拖把清洁，污染严重时局部清洁，每月对地板进行打蜡处理。</w:t>
            </w:r>
            <w:r/>
          </w:p>
        </w:tc>
      </w:tr>
      <w:tr>
        <w:trPr>
          <w:jc w:val="center"/>
          <w:trHeight w:val="454"/>
        </w:trPr>
        <w:tc>
          <w:tcPr>
            <w:tcW w:w="696" w:type="dxa"/>
            <w:vAlign w:val="center"/>
            <w:vMerge w:val="restart"/>
            <w:textDirection w:val="lrTb"/>
            <w:noWrap w:val="false"/>
          </w:tcPr>
          <w:p>
            <w:pPr>
              <w:rPr>
                <w:rFonts w:eastAsia="等线"/>
                <w:highlight w:val="none"/>
              </w:rPr>
            </w:pPr>
            <w:r>
              <w:rPr>
                <w:rFonts w:hint="eastAsia" w:eastAsia="等线"/>
                <w:highlight w:val="none"/>
              </w:rPr>
              <w:t xml:space="preserve">9</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地毯地面</w:t>
            </w:r>
            <w:r/>
          </w:p>
        </w:tc>
        <w:tc>
          <w:tcPr>
            <w:tcW w:w="7645" w:type="dxa"/>
            <w:vAlign w:val="center"/>
            <w:textDirection w:val="lrTb"/>
            <w:noWrap w:val="false"/>
          </w:tcPr>
          <w:p>
            <w:pPr>
              <w:rPr>
                <w:highlight w:val="none"/>
              </w:rPr>
            </w:pPr>
            <w:r>
              <w:rPr>
                <w:rFonts w:hint="eastAsia"/>
                <w:highlight w:val="none"/>
              </w:rPr>
              <w:t xml:space="preserve">（1）日常用吸尘机除尘，局部脏污用湿布配中性清洁液重点清洁。</w:t>
            </w:r>
            <w:r/>
          </w:p>
        </w:tc>
      </w:tr>
      <w:tr>
        <w:trPr>
          <w:jc w:val="center"/>
          <w:trHeight w:val="454"/>
        </w:trPr>
        <w:tc>
          <w:tcPr>
            <w:tcW w:w="696"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45" w:type="dxa"/>
            <w:vAlign w:val="center"/>
            <w:textDirection w:val="lrTb"/>
            <w:noWrap w:val="false"/>
          </w:tcPr>
          <w:p>
            <w:pPr>
              <w:rPr>
                <w:highlight w:val="none"/>
              </w:rPr>
            </w:pPr>
            <w:r>
              <w:rPr>
                <w:rFonts w:hint="eastAsia"/>
                <w:highlight w:val="none"/>
              </w:rPr>
              <w:t xml:space="preserve">（2）用地毯清洗机进行整体清洗，除螨。</w:t>
            </w:r>
            <w:r/>
          </w:p>
        </w:tc>
      </w:tr>
      <w:tr>
        <w:trPr>
          <w:jc w:val="center"/>
          <w:trHeight w:val="454"/>
        </w:trPr>
        <w:tc>
          <w:tcPr>
            <w:tcW w:w="696" w:type="dxa"/>
            <w:vAlign w:val="center"/>
            <w:textDirection w:val="lrTb"/>
            <w:noWrap w:val="false"/>
          </w:tcPr>
          <w:p>
            <w:pPr>
              <w:rPr>
                <w:rFonts w:eastAsia="等线"/>
                <w:highlight w:val="none"/>
              </w:rPr>
            </w:pPr>
            <w:r>
              <w:rPr>
                <w:rFonts w:hint="eastAsia" w:eastAsia="等线"/>
                <w:highlight w:val="none"/>
              </w:rPr>
              <w:t xml:space="preserve">10</w:t>
            </w:r>
            <w:r/>
          </w:p>
        </w:tc>
        <w:tc>
          <w:tcPr>
            <w:tcW w:w="1179" w:type="dxa"/>
            <w:vAlign w:val="center"/>
            <w:textDirection w:val="lrTb"/>
            <w:noWrap w:val="false"/>
          </w:tcPr>
          <w:p>
            <w:pPr>
              <w:rPr>
                <w:highlight w:val="none"/>
                <w:lang w:eastAsia="en-US"/>
              </w:rPr>
            </w:pPr>
            <w:r>
              <w:rPr>
                <w:rFonts w:hint="eastAsia"/>
                <w:highlight w:val="none"/>
                <w:lang w:eastAsia="en-US"/>
              </w:rPr>
              <w:t xml:space="preserve">乳胶漆内墙</w:t>
            </w:r>
            <w:r/>
          </w:p>
        </w:tc>
        <w:tc>
          <w:tcPr>
            <w:tcW w:w="7645" w:type="dxa"/>
            <w:vAlign w:val="center"/>
            <w:textDirection w:val="lrTb"/>
            <w:noWrap w:val="false"/>
          </w:tcPr>
          <w:p>
            <w:pPr>
              <w:rPr>
                <w:highlight w:val="none"/>
              </w:rPr>
            </w:pPr>
            <w:r>
              <w:rPr>
                <w:rFonts w:hint="eastAsia"/>
                <w:highlight w:val="none"/>
              </w:rPr>
              <w:t xml:space="preserve">有污渍时用半干布擦拭。</w:t>
            </w:r>
            <w:r/>
          </w:p>
        </w:tc>
      </w:tr>
      <w:tr>
        <w:trPr>
          <w:jc w:val="center"/>
          <w:trHeight w:val="454"/>
        </w:trPr>
        <w:tc>
          <w:tcPr>
            <w:tcW w:w="696" w:type="dxa"/>
            <w:vAlign w:val="center"/>
            <w:textDirection w:val="lrTb"/>
            <w:noWrap w:val="false"/>
          </w:tcPr>
          <w:p>
            <w:pPr>
              <w:rPr>
                <w:highlight w:val="none"/>
                <w:lang w:eastAsia="en-US"/>
              </w:rPr>
            </w:pPr>
            <w:r>
              <w:rPr>
                <w:rFonts w:hint="eastAsia"/>
                <w:highlight w:val="none"/>
                <w:lang w:eastAsia="en-US"/>
              </w:rPr>
              <w:t xml:space="preserve">11</w:t>
            </w:r>
            <w:r/>
          </w:p>
        </w:tc>
        <w:tc>
          <w:tcPr>
            <w:tcW w:w="1179" w:type="dxa"/>
            <w:vAlign w:val="center"/>
            <w:textDirection w:val="lrTb"/>
            <w:noWrap w:val="false"/>
          </w:tcPr>
          <w:p>
            <w:pPr>
              <w:rPr>
                <w:highlight w:val="none"/>
                <w:lang w:eastAsia="en-US"/>
              </w:rPr>
            </w:pPr>
            <w:r>
              <w:rPr>
                <w:rFonts w:hint="eastAsia"/>
                <w:highlight w:val="none"/>
                <w:lang w:eastAsia="en-US"/>
              </w:rPr>
              <w:t xml:space="preserve">木饰面内墙</w:t>
            </w:r>
            <w:r/>
          </w:p>
        </w:tc>
        <w:tc>
          <w:tcPr>
            <w:tcW w:w="7645" w:type="dxa"/>
            <w:vAlign w:val="center"/>
            <w:textDirection w:val="lrTb"/>
            <w:noWrap w:val="false"/>
          </w:tcPr>
          <w:p>
            <w:pPr>
              <w:rPr>
                <w:highlight w:val="none"/>
              </w:rPr>
            </w:pPr>
            <w:r>
              <w:rPr>
                <w:rFonts w:hint="eastAsia"/>
                <w:highlight w:val="none"/>
              </w:rPr>
              <w:t xml:space="preserve">有污渍时用中性清洁剂、半干布擦拭。</w:t>
            </w:r>
            <w:r/>
          </w:p>
        </w:tc>
      </w:tr>
      <w:tr>
        <w:trPr>
          <w:jc w:val="center"/>
          <w:trHeight w:val="454"/>
        </w:trPr>
        <w:tc>
          <w:tcPr>
            <w:tcW w:w="696" w:type="dxa"/>
            <w:vAlign w:val="center"/>
            <w:textDirection w:val="lrTb"/>
            <w:noWrap w:val="false"/>
          </w:tcPr>
          <w:p>
            <w:pPr>
              <w:rPr>
                <w:highlight w:val="none"/>
                <w:lang w:eastAsia="en-US"/>
              </w:rPr>
            </w:pPr>
            <w:r>
              <w:rPr>
                <w:rFonts w:hint="eastAsia"/>
                <w:highlight w:val="none"/>
                <w:lang w:eastAsia="en-US"/>
              </w:rPr>
              <w:t xml:space="preserve">12</w:t>
            </w:r>
            <w:r/>
          </w:p>
        </w:tc>
        <w:tc>
          <w:tcPr>
            <w:tcW w:w="1179" w:type="dxa"/>
            <w:vAlign w:val="center"/>
            <w:textDirection w:val="lrTb"/>
            <w:noWrap w:val="false"/>
          </w:tcPr>
          <w:p>
            <w:pPr>
              <w:rPr>
                <w:highlight w:val="none"/>
                <w:lang w:eastAsia="en-US"/>
              </w:rPr>
            </w:pPr>
            <w:r>
              <w:rPr>
                <w:rFonts w:hint="eastAsia"/>
                <w:highlight w:val="none"/>
                <w:lang w:eastAsia="en-US"/>
              </w:rPr>
              <w:t xml:space="preserve">石材内墙</w:t>
            </w:r>
            <w:r/>
          </w:p>
        </w:tc>
        <w:tc>
          <w:tcPr>
            <w:tcW w:w="7645" w:type="dxa"/>
            <w:vAlign w:val="center"/>
            <w:textDirection w:val="lrTb"/>
            <w:noWrap w:val="false"/>
          </w:tcPr>
          <w:p>
            <w:pPr>
              <w:rPr>
                <w:highlight w:val="none"/>
              </w:rPr>
            </w:pPr>
            <w:r>
              <w:rPr>
                <w:rFonts w:hint="eastAsia"/>
                <w:highlight w:val="none"/>
              </w:rPr>
              <w:t xml:space="preserve">有污渍时用半干布擦拭。</w:t>
            </w:r>
            <w:r/>
          </w:p>
        </w:tc>
      </w:tr>
      <w:tr>
        <w:trPr>
          <w:jc w:val="center"/>
          <w:trHeight w:val="454"/>
        </w:trPr>
        <w:tc>
          <w:tcPr>
            <w:tcW w:w="696" w:type="dxa"/>
            <w:vAlign w:val="center"/>
            <w:textDirection w:val="lrTb"/>
            <w:noWrap w:val="false"/>
          </w:tcPr>
          <w:p>
            <w:pPr>
              <w:rPr>
                <w:highlight w:val="none"/>
                <w:lang w:eastAsia="en-US"/>
              </w:rPr>
            </w:pPr>
            <w:r>
              <w:rPr>
                <w:rFonts w:hint="eastAsia"/>
                <w:highlight w:val="none"/>
                <w:lang w:eastAsia="en-US"/>
              </w:rPr>
              <w:t xml:space="preserve">13</w:t>
            </w:r>
            <w:r/>
          </w:p>
        </w:tc>
        <w:tc>
          <w:tcPr>
            <w:tcW w:w="1179" w:type="dxa"/>
            <w:vAlign w:val="center"/>
            <w:textDirection w:val="lrTb"/>
            <w:noWrap w:val="false"/>
          </w:tcPr>
          <w:p>
            <w:pPr>
              <w:rPr>
                <w:highlight w:val="none"/>
                <w:lang w:eastAsia="en-US"/>
              </w:rPr>
            </w:pPr>
            <w:r>
              <w:rPr>
                <w:rFonts w:hint="eastAsia"/>
                <w:highlight w:val="none"/>
                <w:lang w:eastAsia="en-US"/>
              </w:rPr>
              <w:t xml:space="preserve">金属板内墙</w:t>
            </w:r>
            <w:r/>
          </w:p>
        </w:tc>
        <w:tc>
          <w:tcPr>
            <w:tcW w:w="7645" w:type="dxa"/>
            <w:vAlign w:val="center"/>
            <w:textDirection w:val="lrTb"/>
            <w:noWrap w:val="false"/>
          </w:tcPr>
          <w:p>
            <w:pPr>
              <w:rPr>
                <w:highlight w:val="none"/>
              </w:rPr>
            </w:pPr>
            <w:r>
              <w:rPr>
                <w:rFonts w:hint="eastAsia"/>
                <w:highlight w:val="none"/>
              </w:rPr>
              <w:t xml:space="preserve">有污渍时用半干布擦拭。</w:t>
            </w:r>
            <w:r/>
          </w:p>
        </w:tc>
      </w:tr>
      <w:tr>
        <w:trPr>
          <w:jc w:val="center"/>
          <w:trHeight w:val="454"/>
        </w:trPr>
        <w:tc>
          <w:tcPr>
            <w:tcW w:w="696" w:type="dxa"/>
            <w:vAlign w:val="center"/>
            <w:textDirection w:val="lrTb"/>
            <w:noWrap w:val="false"/>
          </w:tcPr>
          <w:p>
            <w:pPr>
              <w:rPr>
                <w:highlight w:val="none"/>
              </w:rPr>
            </w:pPr>
            <w:r>
              <w:rPr>
                <w:rFonts w:hint="eastAsia"/>
                <w:highlight w:val="none"/>
              </w:rPr>
              <w:t xml:space="preserve">14</w:t>
            </w:r>
            <w:r/>
          </w:p>
        </w:tc>
        <w:tc>
          <w:tcPr>
            <w:tcW w:w="1179" w:type="dxa"/>
            <w:vAlign w:val="center"/>
            <w:textDirection w:val="lrTb"/>
            <w:noWrap w:val="false"/>
          </w:tcPr>
          <w:p>
            <w:pPr>
              <w:rPr>
                <w:highlight w:val="none"/>
              </w:rPr>
            </w:pPr>
            <w:r>
              <w:rPr>
                <w:rFonts w:hint="eastAsia"/>
                <w:highlight w:val="none"/>
              </w:rPr>
              <w:t xml:space="preserve">禁止事项</w:t>
            </w:r>
            <w:r/>
          </w:p>
        </w:tc>
        <w:tc>
          <w:tcPr>
            <w:tcW w:w="7645" w:type="dxa"/>
            <w:vAlign w:val="center"/>
            <w:textDirection w:val="lrTb"/>
            <w:noWrap w:val="false"/>
          </w:tcPr>
          <w:p>
            <w:pPr>
              <w:numPr>
                <w:ilvl w:val="0"/>
                <w:numId w:val="5"/>
              </w:numPr>
              <w:jc w:val="left"/>
              <w:widowControl/>
              <w:rPr>
                <w:highlight w:val="none"/>
              </w:rPr>
            </w:pPr>
            <w:r>
              <w:rPr>
                <w:rFonts w:hint="eastAsia"/>
                <w:highlight w:val="none"/>
              </w:rPr>
              <w:t xml:space="preserve">室内墙面砖、地砖、大理石石材、人造岩板及屋面广场砖、室外地面石材、外幕墙石材禁止使用草酸清洗。</w:t>
            </w:r>
            <w:r/>
          </w:p>
          <w:p>
            <w:pPr>
              <w:numPr>
                <w:ilvl w:val="0"/>
                <w:numId w:val="5"/>
              </w:numPr>
              <w:jc w:val="left"/>
              <w:widowControl/>
              <w:rPr>
                <w:highlight w:val="none"/>
              </w:rPr>
            </w:pPr>
            <w:r>
              <w:rPr>
                <w:rFonts w:hint="eastAsia"/>
                <w:highlight w:val="none"/>
              </w:rPr>
              <w:t xml:space="preserve">橡胶地面禁止采用锋利工具清扫，注意成品保护。</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注：根据物业用材情况选择清洁要求</w:t>
      </w:r>
      <w:r/>
    </w:p>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3.5保安服务</w:t>
      </w:r>
      <w:r/>
    </w:p>
    <w:tbl>
      <w:tblPr>
        <w:tblStyle w:val="773"/>
        <w:tblW w:w="52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05"/>
        <w:gridCol w:w="7798"/>
      </w:tblGrid>
      <w:tr>
        <w:trPr>
          <w:jc w:val="center"/>
          <w:trHeight w:val="454"/>
          <w:tblHeader/>
        </w:trPr>
        <w:tc>
          <w:tcPr>
            <w:tcW w:w="685"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31"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基本要求</w:t>
            </w:r>
            <w:r/>
          </w:p>
        </w:tc>
        <w:tc>
          <w:tcPr>
            <w:tcW w:w="7631" w:type="dxa"/>
            <w:vAlign w:val="center"/>
            <w:textDirection w:val="lrTb"/>
            <w:noWrap w:val="false"/>
          </w:tcPr>
          <w:p>
            <w:pPr>
              <w:rPr>
                <w:highlight w:val="none"/>
              </w:rPr>
            </w:pPr>
            <w:r>
              <w:rPr>
                <w:rFonts w:hint="eastAsia"/>
                <w:highlight w:val="none"/>
              </w:rPr>
              <w:t xml:space="preserve">（1）建立严格管理制度，控制闲杂人员进入服务区。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（2）值班岗位有值班记录随时查阅。</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（3）遇突发事件按紧急预案处置。</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（4）做好监控录像保密和保存工作，查看监控录像须征得服务中心领导同意后方可进行查看。</w:t>
            </w:r>
            <w:r/>
          </w:p>
        </w:tc>
      </w:tr>
      <w:tr>
        <w:trPr>
          <w:jc w:val="center"/>
          <w:trHeight w:val="90"/>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（5）配备保安服务必要的器材。</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（6）秩序维护服务范围</w:t>
            </w:r>
            <w:r/>
          </w:p>
          <w:p>
            <w:pPr>
              <w:rPr>
                <w:highlight w:val="none"/>
              </w:rPr>
            </w:pPr>
            <w:r>
              <w:rPr>
                <w:rFonts w:hint="eastAsia"/>
                <w:highlight w:val="none"/>
              </w:rPr>
              <w:t xml:space="preserve">①服务区内大门进出口的治安、交通秩序管理服务；</w:t>
            </w:r>
            <w:r/>
          </w:p>
          <w:p>
            <w:pPr>
              <w:rPr>
                <w:highlight w:val="none"/>
              </w:rPr>
            </w:pPr>
            <w:r>
              <w:rPr>
                <w:rFonts w:hint="eastAsia"/>
                <w:highlight w:val="none"/>
              </w:rPr>
              <w:t xml:space="preserve">②服务区内的夜间巡逻，治安、交通、消防安全管理；</w:t>
            </w:r>
            <w:r/>
          </w:p>
          <w:p>
            <w:pPr>
              <w:rPr>
                <w:highlight w:val="none"/>
              </w:rPr>
            </w:pPr>
            <w:r>
              <w:rPr>
                <w:rFonts w:hint="eastAsia"/>
                <w:highlight w:val="none"/>
              </w:rPr>
              <w:t xml:space="preserve">③服务区内安防消防监控室的监控值班；</w:t>
            </w:r>
            <w:r/>
          </w:p>
          <w:p>
            <w:pPr>
              <w:rPr>
                <w:highlight w:val="none"/>
              </w:rPr>
            </w:pPr>
            <w:r>
              <w:rPr>
                <w:rFonts w:hint="eastAsia"/>
                <w:highlight w:val="none"/>
              </w:rPr>
              <w:t xml:space="preserve">④服务区内地上停车场及地下车库的车辆进出及停放管理；</w:t>
            </w:r>
            <w:r/>
          </w:p>
          <w:p>
            <w:pPr>
              <w:rPr>
                <w:highlight w:val="none"/>
              </w:rPr>
            </w:pPr>
            <w:r>
              <w:rPr>
                <w:rFonts w:hint="eastAsia"/>
                <w:highlight w:val="none"/>
              </w:rPr>
              <w:t xml:space="preserve">⑤服务区内非机动车辆停放秩序和安全巡查服务；</w:t>
            </w:r>
            <w:r/>
          </w:p>
          <w:p>
            <w:pPr>
              <w:rPr>
                <w:highlight w:val="none"/>
              </w:rPr>
            </w:pPr>
            <w:r>
              <w:rPr>
                <w:rFonts w:hint="eastAsia"/>
                <w:highlight w:val="none"/>
              </w:rPr>
              <w:t xml:space="preserve">⑥服务区内的白天安防及所管辖区域内的夜间安防服务；</w:t>
            </w:r>
            <w:r/>
          </w:p>
          <w:p>
            <w:pPr>
              <w:rPr>
                <w:highlight w:val="none"/>
              </w:rPr>
            </w:pPr>
            <w:r>
              <w:rPr>
                <w:rFonts w:hint="eastAsia"/>
                <w:highlight w:val="none"/>
              </w:rPr>
              <w:t xml:space="preserve">⑦大型会议的安全保障服务；</w:t>
            </w:r>
            <w:r/>
          </w:p>
          <w:p>
            <w:pPr>
              <w:rPr>
                <w:highlight w:val="none"/>
              </w:rPr>
            </w:pPr>
            <w:r>
              <w:rPr>
                <w:rFonts w:hint="eastAsia"/>
                <w:highlight w:val="none"/>
              </w:rPr>
              <w:t xml:space="preserve">⑧信访人员的引导和安防服务</w:t>
            </w:r>
            <w:r>
              <w:rPr>
                <w:rFonts w:hint="eastAsia" w:ascii="宋体" w:hAnsi="宋体" w:cs="宋体"/>
                <w:highlight w:val="none"/>
              </w:rPr>
              <w:t xml:space="preserve">。</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出入管理</w:t>
            </w:r>
            <w:r/>
          </w:p>
        </w:tc>
        <w:tc>
          <w:tcPr>
            <w:tcW w:w="7631" w:type="dxa"/>
            <w:vAlign w:val="center"/>
            <w:textDirection w:val="lrTb"/>
            <w:noWrap w:val="false"/>
          </w:tcPr>
          <w:p>
            <w:pPr>
              <w:rPr>
                <w:highlight w:val="none"/>
              </w:rPr>
            </w:pPr>
            <w:r>
              <w:rPr>
                <w:rFonts w:hint="eastAsia"/>
                <w:highlight w:val="none"/>
              </w:rPr>
              <w:t xml:space="preserve">（1）出门物品登记放行。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（2）采购人工作人员私家车辆凭有效证件进出服务区。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（3）负责物业服务区域门岗值班管理，对外来人员及带出物品出门进行询问；对外来人员、物资出入实施严格的登记、验证制度，有严格的交接班制度和交接班记录。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（4）设置门岗，门岗24小时值班管理。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（5）在出入口对外来人员及其携带大件物品、外来车辆进行询问和记录，并与相关部门取得联系，同意后方可进入。</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（6）大件物品搬出有相关部门开具的证明和清单，经核实后放行。</w:t>
            </w:r>
            <w:r/>
          </w:p>
        </w:tc>
      </w:tr>
      <w:tr>
        <w:trPr>
          <w:jc w:val="center"/>
          <w:trHeight w:val="736"/>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（7）排查可疑人员，对于不出示证件、不按规定登记、不听劝阻而强行闯入者，及时劝离，必要时通知公安机关进行处理。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（8）配合相关部门积极疏导上访人员，有效疏导如出入口人群集聚、车辆拥堵、货物堵塞道路等情况。</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根据物业服务合同约定，对物品进出实行安检、登记、电话确认等分类管理措施。大宗物品进出会同接收单位收件人审检，严防违禁品（包括毒品、军火弹药、管制刀具、易燃易爆品等）、限带品（如动物等）进入。</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（10）提供现场接待服务。</w:t>
            </w:r>
            <w:r/>
          </w:p>
          <w:p>
            <w:pPr>
              <w:rPr>
                <w:highlight w:val="none"/>
              </w:rPr>
            </w:pPr>
            <w:r>
              <w:rPr>
                <w:rFonts w:hint="eastAsia"/>
                <w:highlight w:val="none"/>
              </w:rPr>
              <w:t xml:space="preserve">①做好来访人员、车辆进出证件登记，及时通报。</w:t>
            </w:r>
            <w:r/>
          </w:p>
          <w:p>
            <w:pPr>
              <w:rPr>
                <w:highlight w:val="none"/>
              </w:rPr>
            </w:pPr>
            <w:r>
              <w:rPr>
                <w:rFonts w:hint="eastAsia"/>
                <w:highlight w:val="none"/>
              </w:rPr>
              <w:t xml:space="preserve">②严禁无关人员、可疑人员和危险物品进入办公楼（区）内。</w:t>
            </w:r>
            <w:r/>
          </w:p>
          <w:p>
            <w:pPr>
              <w:rPr>
                <w:highlight w:val="none"/>
              </w:rPr>
            </w:pPr>
            <w:r>
              <w:rPr>
                <w:rFonts w:hint="eastAsia"/>
                <w:highlight w:val="none"/>
              </w:rPr>
              <w:t xml:space="preserve">③物品摆放整齐有序、分类放置。</w:t>
            </w:r>
            <w:r/>
          </w:p>
          <w:p>
            <w:pPr>
              <w:rPr>
                <w:highlight w:val="none"/>
              </w:rPr>
            </w:pPr>
            <w:r>
              <w:rPr>
                <w:rFonts w:hint="eastAsia"/>
                <w:highlight w:val="none"/>
              </w:rPr>
              <w:t xml:space="preserve">④现场办理等待时间不超过5分钟，等待较长时间应当及时沟通。</w:t>
            </w:r>
            <w:r/>
          </w:p>
          <w:p>
            <w:pPr>
              <w:rPr>
                <w:highlight w:val="none"/>
              </w:rPr>
            </w:pPr>
            <w:r>
              <w:rPr>
                <w:rFonts w:hint="eastAsia"/>
                <w:highlight w:val="none"/>
              </w:rPr>
              <w:t xml:space="preserve">⑤对来访人员咨询、建议、求助等事项，及时处理或答复，处理和答复率1</w:t>
            </w:r>
            <w:r>
              <w:rPr>
                <w:highlight w:val="none"/>
              </w:rPr>
              <w:t xml:space="preserve">00</w:t>
            </w:r>
            <w:r>
              <w:rPr>
                <w:rFonts w:hint="eastAsia"/>
                <w:highlight w:val="none"/>
              </w:rPr>
              <w:t xml:space="preserve">%。</w:t>
            </w:r>
            <w:r/>
          </w:p>
          <w:p>
            <w:pPr>
              <w:rPr>
                <w:highlight w:val="none"/>
              </w:rPr>
            </w:pPr>
            <w:r>
              <w:rPr>
                <w:rFonts w:hint="eastAsia"/>
                <w:highlight w:val="none"/>
              </w:rPr>
              <w:t xml:space="preserve">⑥接待服务工作时间应当覆盖采购人工作时间（上班时间为8:</w:t>
            </w:r>
            <w:r>
              <w:rPr>
                <w:highlight w:val="none"/>
              </w:rPr>
              <w:t xml:space="preserve">0</w:t>
            </w:r>
            <w:r>
              <w:rPr>
                <w:rFonts w:hint="eastAsia"/>
                <w:highlight w:val="none"/>
              </w:rPr>
              <w:t xml:space="preserve">0-1</w:t>
            </w:r>
            <w:r>
              <w:rPr>
                <w:highlight w:val="none"/>
              </w:rPr>
              <w:t xml:space="preserve">8</w:t>
            </w:r>
            <w:r>
              <w:rPr>
                <w:rFonts w:hint="eastAsia"/>
                <w:highlight w:val="none"/>
              </w:rPr>
              <w:t xml:space="preserve">:00）。</w:t>
            </w:r>
            <w:r/>
          </w:p>
          <w:p>
            <w:pPr>
              <w:rPr>
                <w:highlight w:val="none"/>
              </w:rPr>
            </w:pPr>
            <w:r>
              <w:rPr>
                <w:rFonts w:hint="eastAsia"/>
                <w:highlight w:val="none"/>
              </w:rPr>
              <w:t xml:space="preserve">⑦与被访人进行核实确认，告知访客注意事项（根据实际需要填写注意事项）。</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（11）对进出车辆进行管理、疏导，保证出入口环境整洁、有序、通畅。对大件物品搬出进行登记。</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值班巡查</w:t>
            </w:r>
            <w:r/>
          </w:p>
        </w:tc>
        <w:tc>
          <w:tcPr>
            <w:tcW w:w="7631" w:type="dxa"/>
            <w:vAlign w:val="center"/>
            <w:textDirection w:val="lrTb"/>
            <w:noWrap w:val="false"/>
          </w:tcPr>
          <w:p>
            <w:pPr>
              <w:rPr>
                <w:highlight w:val="none"/>
              </w:rPr>
            </w:pPr>
            <w:r>
              <w:rPr>
                <w:rFonts w:hint="eastAsia"/>
                <w:highlight w:val="none"/>
              </w:rPr>
              <w:t xml:space="preserve">（1）建立24小时值班巡查制度。</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（2）制定巡查路线，按照指定时间和路线执行，加强重点区域、重点部位及装修区域的巡查。</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（3）巡查期间保持通信设施设备畅通，遇到异常情况立即上报并在现场采取相应措施。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（4）收到监控室指令后，巡查人员及时到达指定地点并迅速采取相应措施。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（5）对楼内公共区域、地下车库、关键部位及服务区内围墙、楼宇定时巡更，做好治安、消防与交通巡查，并做好巡查记录；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（6）对管辖区域内发生的治安警、火警及争吵斗殴等突发事件果断处理，及时报警和报告，并与相关部门配合处理突发事件，必要时与公安部门联系、沟通、协调；</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（7）认真做好秩序维护值班室的值班管理工作，保持值班室的整洁卫生。</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（8）负责服务区域内电动车充电设施巡查，每日巡查不少于4次。</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定期检查消防器材，对需更换新的要及时提交书面报告；</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（9）定期定标准检查安全出口、疏散通道内的应急照明是否完好，发现问题及时报告。</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（10）安保人员按设定的路线分时间巡查，正规有序。</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（11）重点部位（道路、地下停车场、楼内通道、各楼层等）应设巡更点，有巡更记录。并对楼内通道夜间巡查每</w:t>
            </w:r>
            <w:r>
              <w:rPr>
                <w:highlight w:val="none"/>
              </w:rPr>
              <w:t xml:space="preserve">2</w:t>
            </w:r>
            <w:r>
              <w:rPr>
                <w:rFonts w:hint="eastAsia"/>
                <w:highlight w:val="none"/>
              </w:rPr>
              <w:t xml:space="preserve">小时不少于一次，发现问题及时处理。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（12）接到火警警情后，1</w:t>
            </w:r>
            <w:r>
              <w:rPr>
                <w:highlight w:val="none"/>
              </w:rPr>
              <w:t xml:space="preserve">-</w:t>
            </w:r>
            <w:r>
              <w:rPr>
                <w:rFonts w:hint="eastAsia"/>
                <w:highlight w:val="none"/>
              </w:rPr>
              <w:t xml:space="preserve">2层3分钟内到达现场。3</w:t>
            </w:r>
            <w:r>
              <w:rPr>
                <w:highlight w:val="none"/>
              </w:rPr>
              <w:t xml:space="preserve">-6</w:t>
            </w:r>
            <w:r>
              <w:rPr>
                <w:rFonts w:hint="eastAsia"/>
                <w:highlight w:val="none"/>
              </w:rPr>
              <w:t xml:space="preserve">层5分钟内到达现场，协助保护现场，并报告服务中心与警方。                                        </w:t>
            </w:r>
            <w:r/>
          </w:p>
          <w:p>
            <w:pPr>
              <w:rPr>
                <w:highlight w:val="none"/>
              </w:rPr>
            </w:pPr>
            <w:r>
              <w:rPr>
                <w:rFonts w:hint="eastAsia"/>
                <w:highlight w:val="none"/>
              </w:rPr>
              <w:t xml:space="preserve">（13）在遇到异常情况或业主紧急求助时，3</w:t>
            </w:r>
            <w:r>
              <w:rPr>
                <w:highlight w:val="none"/>
              </w:rPr>
              <w:t xml:space="preserve">-5</w:t>
            </w:r>
            <w:r>
              <w:rPr>
                <w:rFonts w:hint="eastAsia"/>
                <w:highlight w:val="none"/>
              </w:rPr>
              <w:t xml:space="preserve">分钟内赶到现场，采取相应救护救助措施。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（14）巡逻员在巡逻过程中，应多看、多听、多嗅，以确保完成巡逻工作任务。</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（15）检查治安、防盗、防火、水浸等情况发现问题立即处理，并报告上级领导及有关部门。</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（16）巡查各个重点部位、治安死角等，发现有可疑人员主动盘问，检查证件，必要时检查其所带物品。</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（17）巡逻的基本任务</w:t>
            </w:r>
            <w:r/>
          </w:p>
          <w:p>
            <w:pPr>
              <w:rPr>
                <w:highlight w:val="none"/>
              </w:rPr>
            </w:pPr>
            <w:r>
              <w:rPr>
                <w:rFonts w:hint="eastAsia"/>
                <w:highlight w:val="none"/>
              </w:rPr>
              <w:t xml:space="preserve">预防和制止违反治安管理的行为及犯罪行为：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（18）预防和制止违反消防管理的行为，包括：</w:t>
            </w:r>
            <w:r/>
          </w:p>
          <w:p>
            <w:pPr>
              <w:rPr>
                <w:highlight w:val="none"/>
              </w:rPr>
            </w:pPr>
            <w:r>
              <w:rPr>
                <w:rFonts w:hint="eastAsia"/>
                <w:highlight w:val="none"/>
              </w:rPr>
              <w:t xml:space="preserve">①在有易燃、易爆物品的地方违反禁令，吸烟、使用明火的；</w:t>
            </w:r>
            <w:r/>
          </w:p>
          <w:p>
            <w:pPr>
              <w:rPr>
                <w:highlight w:val="none"/>
              </w:rPr>
            </w:pPr>
            <w:r>
              <w:rPr>
                <w:rFonts w:hint="eastAsia"/>
                <w:highlight w:val="none"/>
              </w:rPr>
              <w:t xml:space="preserve">②故意阻碍消防通道或扰乱火灾现场秩序的；</w:t>
            </w:r>
            <w:r/>
          </w:p>
          <w:p>
            <w:pPr>
              <w:rPr>
                <w:highlight w:val="none"/>
              </w:rPr>
            </w:pPr>
            <w:r>
              <w:rPr>
                <w:rFonts w:hint="eastAsia"/>
                <w:highlight w:val="none"/>
              </w:rPr>
              <w:t xml:space="preserve">③指使或者强令他人违反消防安全规定，冒险作业的；</w:t>
            </w:r>
            <w:r/>
          </w:p>
          <w:p>
            <w:pPr>
              <w:rPr>
                <w:highlight w:val="none"/>
              </w:rPr>
            </w:pPr>
            <w:r>
              <w:rPr>
                <w:rFonts w:hint="eastAsia"/>
                <w:highlight w:val="none"/>
              </w:rPr>
              <w:t xml:space="preserve">④违反消防安全规定，占用防火间距或者搭棚、盖房挖沟、砌墙堵塞消防车通道的；</w:t>
            </w:r>
            <w:r/>
          </w:p>
          <w:p>
            <w:pPr>
              <w:rPr>
                <w:highlight w:val="none"/>
              </w:rPr>
            </w:pPr>
            <w:r>
              <w:rPr>
                <w:rFonts w:hint="eastAsia"/>
                <w:highlight w:val="none"/>
              </w:rPr>
              <w:t xml:space="preserve">⑤埋压、圈占或损毁消防火栓、水泵、蓄水池等消防设施或者将消防器材、设备挪作他用，不加改正的。</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（19）做好对大厦内用水电气设备的日常巡查管理，杜绝跑冒滴漏、浪费能源的问题，发现故障及时报修，按时关闭水电气等用电设备开关。</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监控值守</w:t>
            </w:r>
            <w:r/>
          </w:p>
        </w:tc>
        <w:tc>
          <w:tcPr>
            <w:tcW w:w="7631" w:type="dxa"/>
            <w:vAlign w:val="center"/>
            <w:textDirection w:val="lrTb"/>
            <w:noWrap w:val="false"/>
          </w:tcPr>
          <w:p>
            <w:pPr>
              <w:rPr>
                <w:highlight w:val="none"/>
              </w:rPr>
            </w:pPr>
            <w:r>
              <w:rPr>
                <w:rFonts w:hint="eastAsia"/>
                <w:highlight w:val="none"/>
              </w:rPr>
              <w:t xml:space="preserve">（1）监控室符合系统设备运行要求，定期进行检查和检测，确保系统功能正常。</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（2）监控设备24小时正常运行，监控室实行专人24小时值班制度。</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（3）监控记录画面清晰，视频监控无死角、无盲区。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（4）值班期间遵守操作规程和保密制度，做好监控记录的保存工作。</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（5）监控记录保持完整保存时间不应少于30天，重点区域9</w:t>
            </w:r>
            <w:r>
              <w:rPr>
                <w:highlight w:val="none"/>
              </w:rPr>
              <w:t xml:space="preserve">0</w:t>
            </w:r>
            <w:r>
              <w:rPr>
                <w:rFonts w:hint="eastAsia"/>
                <w:highlight w:val="none"/>
              </w:rPr>
              <w:t xml:space="preserve">天。</w:t>
            </w:r>
            <w:r/>
          </w:p>
        </w:tc>
      </w:tr>
      <w:tr>
        <w:trPr>
          <w:jc w:val="center"/>
          <w:trHeight w:val="505"/>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（6）无关人员进入监控室或查阅监控记录，经授权人批准并做好相关记录。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（7）监控室收到火情等报警信号、其他异常情况信号后，及时报警并安排其他安保人员前往现场进行处理。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（8）安全监控室24小时值班管理，做好监控画面保留和监控值班记录。</w:t>
            </w:r>
            <w:r/>
          </w:p>
        </w:tc>
      </w:tr>
      <w:tr>
        <w:trPr>
          <w:jc w:val="center"/>
          <w:trHeight w:val="928"/>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（9）监控中心接到报警信号，应立即通知安保人员3-5分钟以内到达现场进行处理，并及时联系110报警中心，解答用户询问。                                    </w:t>
            </w:r>
            <w:r/>
          </w:p>
        </w:tc>
      </w:tr>
      <w:tr>
        <w:trPr>
          <w:jc w:val="center"/>
          <w:trHeight w:val="928"/>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（10）有水、火、警情等应急预案，并在监控中心上墙，每季度应组织不少于一次应急预案演习。 </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车辆停放</w:t>
            </w:r>
            <w:r/>
          </w:p>
        </w:tc>
        <w:tc>
          <w:tcPr>
            <w:tcW w:w="7631" w:type="dxa"/>
            <w:vAlign w:val="center"/>
            <w:textDirection w:val="lrTb"/>
            <w:noWrap w:val="false"/>
          </w:tcPr>
          <w:p>
            <w:pPr>
              <w:rPr>
                <w:highlight w:val="none"/>
              </w:rPr>
            </w:pPr>
            <w:r>
              <w:rPr>
                <w:rFonts w:hint="eastAsia"/>
                <w:highlight w:val="none"/>
              </w:rPr>
              <w:t xml:space="preserve">（1）有人员24小时巡视和引导停车。</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（2）车辆行驶路线设置合理、规范，导向标志完整、清晰。</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（3）合理规划车辆停放区域，张贴车辆引导标识，对车辆及停放区域实行规范管理。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（4）严禁在办公楼的公用走道、楼梯间、安全出口处等公共区域停放车辆或充电。</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（5）非机动车定点有序停放。</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（6）发现车辆异常情况及时通知车主，并做好登记；发生交通事故、自然灾害等意外事故时及时赶赴现场疏导和协助处理，响应时间不超过3分钟。</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（7）负责路面及地下停车场的管理，引导车辆按标明车位停放，做好维持交通和车辆停放秩序的管理；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w:t>
            </w:r>
            <w:r>
              <w:rPr>
                <w:rFonts w:hint="eastAsia" w:eastAsia="等线"/>
                <w:highlight w:val="none"/>
              </w:rPr>
              <w:t xml:space="preserve">8</w:t>
            </w:r>
            <w:r>
              <w:rPr>
                <w:rFonts w:hint="eastAsia"/>
                <w:highlight w:val="none"/>
              </w:rPr>
              <w:t xml:space="preserve">）露天车位</w:t>
            </w:r>
            <w:r>
              <w:rPr>
                <w:rFonts w:hint="eastAsia"/>
                <w:highlight w:val="none"/>
              </w:rPr>
              <w:tab/>
            </w:r>
            <w:r/>
          </w:p>
          <w:p>
            <w:pPr>
              <w:rPr>
                <w:highlight w:val="none"/>
              </w:rPr>
            </w:pPr>
            <w:r>
              <w:rPr>
                <w:rFonts w:hint="eastAsia"/>
                <w:highlight w:val="none"/>
              </w:rPr>
              <w:t xml:space="preserve">①有人员24小时巡视和引导停车。</w:t>
            </w:r>
            <w:r/>
          </w:p>
          <w:p>
            <w:pPr>
              <w:rPr>
                <w:highlight w:val="none"/>
              </w:rPr>
            </w:pPr>
            <w:r>
              <w:rPr>
                <w:rFonts w:hint="eastAsia"/>
                <w:highlight w:val="none"/>
              </w:rPr>
              <w:t xml:space="preserve">②按车辆道路行驶要求设立指示牌和地标，车辆行驶有规定路线，车辆停放有序。</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w:t>
            </w:r>
            <w:r>
              <w:rPr>
                <w:rFonts w:hint="eastAsia" w:eastAsia="等线"/>
                <w:highlight w:val="none"/>
              </w:rPr>
              <w:t xml:space="preserve">9</w:t>
            </w:r>
            <w:r>
              <w:rPr>
                <w:rFonts w:hint="eastAsia"/>
                <w:highlight w:val="none"/>
              </w:rPr>
              <w:t xml:space="preserve">）充电桩车位的检查和有序停放引导。</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w:t>
            </w:r>
            <w:r>
              <w:rPr>
                <w:rFonts w:hint="eastAsia" w:eastAsia="等线"/>
                <w:highlight w:val="none"/>
              </w:rPr>
              <w:t xml:space="preserve">10</w:t>
            </w:r>
            <w:r>
              <w:rPr>
                <w:rFonts w:hint="eastAsia"/>
                <w:highlight w:val="none"/>
              </w:rPr>
              <w:t xml:space="preserve">）地下车库</w:t>
            </w:r>
            <w:r>
              <w:rPr>
                <w:rFonts w:hint="eastAsia"/>
                <w:highlight w:val="none"/>
              </w:rPr>
              <w:tab/>
            </w:r>
            <w:r/>
          </w:p>
          <w:p>
            <w:pPr>
              <w:rPr>
                <w:highlight w:val="none"/>
              </w:rPr>
            </w:pPr>
            <w:r>
              <w:rPr>
                <w:rFonts w:hint="eastAsia"/>
                <w:highlight w:val="none"/>
              </w:rPr>
              <w:t xml:space="preserve">对进入车库车辆要进行检查，引导正确停放；对车库设施进行日常维护，设立指示牌和地标，照明、消防器械配置齐全，通风良好，无易燃、易爆及危险物品存放。</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w:t>
            </w:r>
            <w:r>
              <w:rPr>
                <w:rFonts w:hint="eastAsia" w:eastAsia="等线"/>
                <w:highlight w:val="none"/>
              </w:rPr>
              <w:t xml:space="preserve">11</w:t>
            </w:r>
            <w:r>
              <w:rPr>
                <w:rFonts w:hint="eastAsia"/>
                <w:highlight w:val="none"/>
              </w:rPr>
              <w:t xml:space="preserve">）监督进入大院的车辆不超过5km/h慢行、禁鸣喇叭，并指挥车辆按规定方向靠右行驶。</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6</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消防安全管理</w:t>
            </w:r>
            <w:r/>
          </w:p>
        </w:tc>
        <w:tc>
          <w:tcPr>
            <w:tcW w:w="7631" w:type="dxa"/>
            <w:vAlign w:val="center"/>
            <w:textDirection w:val="lrTb"/>
            <w:noWrap w:val="false"/>
          </w:tcPr>
          <w:p>
            <w:pPr>
              <w:rPr>
                <w:highlight w:val="none"/>
              </w:rPr>
            </w:pPr>
            <w:r>
              <w:rPr>
                <w:rFonts w:hint="eastAsia"/>
                <w:highlight w:val="none"/>
              </w:rPr>
              <w:t xml:space="preserve">（1）建立消防安全责任制，确定各级消防安全责任人及其职责。</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（2）消防控制室实行24小时值班制度，每班不少于2人。</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（3）任何警情均立即响应并处置，必要时启动应急预案。</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（4）消火栓、应急照明、应急物资、消防及人员逃生通道、消防车通道可随时正常使用。</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（5）易燃易爆</w:t>
            </w:r>
            <w:r>
              <w:rPr>
                <w:rFonts w:hint="eastAsia" w:ascii="宋体" w:hAnsi="宋体"/>
                <w:highlight w:val="none"/>
              </w:rPr>
              <w:t xml:space="preserve">物品</w:t>
            </w:r>
            <w:r>
              <w:rPr>
                <w:rFonts w:hint="eastAsia"/>
                <w:highlight w:val="none"/>
              </w:rPr>
              <w:t xml:space="preserve">设专人管理，做好相关记录。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（6）定期组织消防安全宣传，每半年至少开展1次消防演练。</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（7）按消防大队要求，做好社会消防单位管理平台各项巡查制度标准的执行。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（8）按照消防要求，做好社会消防单位管理平台各项巡查制度的执行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（9）组织消防、设备操作、人员车辆进出管理、电气使用、应急响应等方面安全培训，提高员工的安全意识和应急处理能力，并记录存档。</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（10）监督大楼内所有外来施工和维修工程的安全执行情况，确保符合安全规范。</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（11）负责重要岗位的监督检查。形成记录并存档，确保所有岗位按照制度有效执行。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（12）定期检查消防器材，对需更换新的要及时提交书面报告。</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7</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突发事件处理</w:t>
            </w:r>
            <w:r/>
          </w:p>
        </w:tc>
        <w:tc>
          <w:tcPr>
            <w:tcW w:w="7631" w:type="dxa"/>
            <w:vAlign w:val="center"/>
            <w:textDirection w:val="lrTb"/>
            <w:noWrap w:val="false"/>
          </w:tcPr>
          <w:p>
            <w:pPr>
              <w:rPr>
                <w:highlight w:val="none"/>
              </w:rPr>
            </w:pPr>
            <w:r>
              <w:rPr>
                <w:rFonts w:hint="eastAsia"/>
                <w:highlight w:val="none"/>
              </w:rPr>
              <w:t xml:space="preserve">（1）制定突发事件安全责任书，明确突发事件责任人及应承担的安全责任。</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（2）建立应急突发事件处置队伍，明确各自的职责。</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（3）识别、分析各种潜在风险，针对不同风险类型制定相应解决方案，并配备应急物资。</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（4）每半年至少开展1次突发事件应急演练，并有相应记录。</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（5）发生意外事件时，及时采取应急措施，维护办公区域物业服务正常进行，保护人身财产安全。</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（6）办公区域物业服务应急预案终止实施后，积极采取措施，在尽可能短的时间内，消除事故带来的不良影响，妥善安置和慰问受害及受影响的人员和部门。</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（7）事故处理后，及时形成事故应急总结报告，完善应急救援工作方案。</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（8）制定和更新应急预案，包括火灾、地震、突发公共卫生、恐怖袭击、自然灾害、电梯事故、技术故障、安全事故、人员疏散、特殊活动等突发事件的应对措施。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（9）在现场发生安全事故时，负责上报甲方和项目经理，现场指挥和协调，确保快速有效的应急响应。特殊事件形成相关报告上报并留存。负责团队安全管理，包括保安、应急参与人员等，确保工作有效落实。</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（10）对管辖区域内发生的治安警、火警及争吵斗殴等突发事件果断处理，及时报警和报告，并与相关部门配合处理突发事件，必要时与公安部门联系、沟通、协调。</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（11）引导上访人员到指定地点（信访接待办）反映问题，杜绝与上访群体人员产生冲突或安全事故，全程配合信访办做好接待工作。</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8</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大型活动秩序</w:t>
            </w:r>
            <w:r/>
          </w:p>
        </w:tc>
        <w:tc>
          <w:tcPr>
            <w:tcW w:w="7631" w:type="dxa"/>
            <w:vAlign w:val="center"/>
            <w:textDirection w:val="lrTb"/>
            <w:noWrap w:val="false"/>
          </w:tcPr>
          <w:p>
            <w:pPr>
              <w:rPr>
                <w:highlight w:val="none"/>
              </w:rPr>
            </w:pPr>
            <w:r>
              <w:rPr>
                <w:rFonts w:hint="eastAsia"/>
                <w:highlight w:val="none"/>
              </w:rPr>
              <w:t xml:space="preserve">（1）制定相应的活动秩序维护方案，合理安排人员，并对场所的安全隐患进行排查。</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（2）应当保障通道、出入口、停车场等区域畅通。</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（3）活动举办过程中，做好现场秩序的维护和突发事故的处置工作，确保活动正常进行。</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（4）重大会议期间的交通、消防、治安维护</w:t>
            </w:r>
            <w:r/>
          </w:p>
        </w:tc>
      </w:tr>
      <w:tr>
        <w:trPr>
          <w:jc w:val="center"/>
          <w:trHeight w:val="454"/>
        </w:trPr>
        <w:tc>
          <w:tcPr>
            <w:tcW w:w="685" w:type="dxa"/>
            <w:vAlign w:val="center"/>
            <w:vMerge w:val="restart"/>
            <w:textDirection w:val="lrTb"/>
            <w:noWrap w:val="false"/>
          </w:tcPr>
          <w:p>
            <w:pPr>
              <w:rPr>
                <w:highlight w:val="none"/>
                <w:lang w:eastAsia="en-US"/>
              </w:rPr>
            </w:pPr>
            <w:r>
              <w:rPr>
                <w:rFonts w:hint="eastAsia"/>
                <w:highlight w:val="none"/>
                <w:lang w:eastAsia="en-US"/>
              </w:rPr>
              <w:t xml:space="preserve">9</w:t>
            </w:r>
            <w:r/>
          </w:p>
        </w:tc>
        <w:tc>
          <w:tcPr>
            <w:tcW w:w="1179" w:type="dxa"/>
            <w:vAlign w:val="center"/>
            <w:vMerge w:val="restart"/>
            <w:textDirection w:val="lrTb"/>
            <w:noWrap w:val="false"/>
          </w:tcPr>
          <w:p>
            <w:pPr>
              <w:rPr>
                <w:highlight w:val="none"/>
              </w:rPr>
            </w:pPr>
            <w:r>
              <w:rPr>
                <w:rFonts w:hint="eastAsia"/>
                <w:highlight w:val="none"/>
                <w:lang w:eastAsia="en-US"/>
              </w:rPr>
              <w:t xml:space="preserve">节能</w:t>
            </w:r>
            <w:r>
              <w:rPr>
                <w:rFonts w:hint="eastAsia"/>
                <w:highlight w:val="none"/>
              </w:rPr>
              <w:t xml:space="preserve">减排</w:t>
            </w:r>
            <w:r/>
          </w:p>
        </w:tc>
        <w:tc>
          <w:tcPr>
            <w:tcW w:w="7631" w:type="dxa"/>
            <w:vAlign w:val="center"/>
            <w:textDirection w:val="lrTb"/>
            <w:noWrap w:val="false"/>
          </w:tcPr>
          <w:p>
            <w:pPr>
              <w:rPr>
                <w:highlight w:val="none"/>
              </w:rPr>
            </w:pPr>
            <w:r>
              <w:rPr>
                <w:rFonts w:hint="eastAsia"/>
                <w:highlight w:val="none"/>
              </w:rPr>
              <w:t xml:space="preserve">（1）</w:t>
            </w:r>
            <w:r>
              <w:rPr>
                <w:rFonts w:hint="eastAsia" w:ascii="宋体" w:hAnsi="宋体" w:cs="宋体"/>
                <w:highlight w:val="none"/>
              </w:rPr>
              <w:t xml:space="preserve">配合法院依据</w:t>
            </w:r>
            <w:r>
              <w:rPr>
                <w:highlight w:val="none"/>
              </w:rPr>
              <w:t xml:space="preserve">GB/T 29149 </w:t>
            </w:r>
            <w:r>
              <w:rPr>
                <w:rFonts w:hint="eastAsia" w:ascii="宋体" w:hAnsi="宋体" w:cs="宋体"/>
                <w:highlight w:val="none"/>
              </w:rPr>
              <w:t xml:space="preserve">的要求，合理配备和使用符合国家标准的能源资</w:t>
            </w:r>
            <w:r>
              <w:rPr>
                <w:highlight w:val="none"/>
              </w:rPr>
              <w:t xml:space="preserve"> </w:t>
            </w:r>
            <w:r>
              <w:rPr>
                <w:rFonts w:hint="eastAsia" w:ascii="宋体" w:hAnsi="宋体" w:cs="宋体"/>
                <w:highlight w:val="none"/>
              </w:rPr>
              <w:t xml:space="preserve">源计量器具，识别并确定对能源消耗、能源利用效率有重要影响的设备，建立能源资源计量数据管理和</w:t>
            </w:r>
            <w:r>
              <w:rPr>
                <w:highlight w:val="none"/>
              </w:rPr>
              <w:t xml:space="preserve"> </w:t>
            </w:r>
            <w:r>
              <w:rPr>
                <w:rFonts w:hint="eastAsia" w:ascii="宋体" w:hAnsi="宋体" w:cs="宋体"/>
                <w:highlight w:val="none"/>
              </w:rPr>
              <w:t xml:space="preserve">分析制度。</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（2）</w:t>
            </w:r>
            <w:r>
              <w:rPr>
                <w:rFonts w:hint="eastAsia" w:ascii="宋体" w:hAnsi="宋体" w:cs="宋体"/>
                <w:highlight w:val="none"/>
              </w:rPr>
              <w:t xml:space="preserve">对物业服务人员进行节能管理制度、节能政策法规宣传教育和岗位技术培训</w:t>
            </w:r>
            <w:r>
              <w:rPr>
                <w:rFonts w:hint="eastAsia"/>
                <w:highlight w:val="none"/>
              </w:rPr>
              <w:t xml:space="preserve">。</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highlight w:val="none"/>
              </w:rPr>
              <w:t xml:space="preserve">（3）</w:t>
            </w:r>
            <w:r>
              <w:rPr>
                <w:rFonts w:hint="eastAsia" w:ascii="宋体" w:hAnsi="宋体" w:cs="宋体"/>
                <w:highlight w:val="none"/>
              </w:rPr>
              <w:t xml:space="preserve">根据工作性质、气候变化和法院需求，设定或调整设施设备的启停时间、运行</w:t>
            </w:r>
            <w:r>
              <w:rPr>
                <w:highlight w:val="none"/>
              </w:rPr>
              <w:t xml:space="preserve"> </w:t>
            </w:r>
            <w:r>
              <w:rPr>
                <w:rFonts w:hint="eastAsia" w:ascii="宋体" w:hAnsi="宋体" w:cs="宋体"/>
                <w:highlight w:val="none"/>
              </w:rPr>
              <w:t xml:space="preserve">参数，按物业管理或使用单位节能指标，制定合理、可行的节能运行计划</w:t>
            </w:r>
            <w:r>
              <w:rPr>
                <w:rFonts w:hint="eastAsia"/>
                <w:highlight w:val="none"/>
              </w:rPr>
              <w:t xml:space="preserve">。</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（4）</w:t>
            </w:r>
            <w:r>
              <w:rPr>
                <w:rFonts w:ascii="宋体" w:hAnsi="宋体" w:cs="宋体"/>
                <w:highlight w:val="none"/>
              </w:rPr>
              <w:t xml:space="preserve">定期监测机房、</w:t>
            </w:r>
            <w:r>
              <w:rPr>
                <w:rFonts w:hint="eastAsia" w:ascii="宋体" w:hAnsi="宋体" w:cs="宋体"/>
                <w:highlight w:val="none"/>
              </w:rPr>
              <w:t xml:space="preserve">空调、</w:t>
            </w:r>
            <w:r>
              <w:rPr>
                <w:rFonts w:ascii="宋体" w:hAnsi="宋体" w:cs="宋体"/>
                <w:highlight w:val="none"/>
              </w:rPr>
              <w:t xml:space="preserve">食堂、开水间等重点用能部位的能源消耗和利用效率，定期进行能耗 统计和消耗状态分析，根据分析结果采取措施改善。</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（5）</w:t>
            </w:r>
            <w:r>
              <w:rPr>
                <w:rFonts w:ascii="宋体" w:hAnsi="宋体" w:cs="宋体"/>
                <w:highlight w:val="none"/>
              </w:rPr>
              <w:t xml:space="preserve">定期巡检各区域的电路、水路，防止“长明灯”“长流水”等现象。</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rFonts w:ascii="宋体" w:hAnsi="宋体" w:cs="宋体"/>
                <w:highlight w:val="none"/>
              </w:rPr>
            </w:pPr>
            <w:r>
              <w:rPr>
                <w:rFonts w:hint="eastAsia" w:ascii="宋体" w:hAnsi="宋体" w:cs="宋体"/>
                <w:highlight w:val="none"/>
              </w:rPr>
              <w:t xml:space="preserve">（6）</w:t>
            </w:r>
            <w:r>
              <w:rPr>
                <w:rFonts w:ascii="宋体" w:hAnsi="宋体" w:cs="宋体"/>
                <w:highlight w:val="none"/>
              </w:rPr>
              <w:t xml:space="preserve">定期对共用设施设备进行巡检及维护保养，根据巡检及维护保养过程中发现的能耗上升问题， 提供节能改造方案建议。</w:t>
            </w:r>
            <w:r/>
          </w:p>
        </w:tc>
      </w:tr>
      <w:tr>
        <w:trPr>
          <w:jc w:val="center"/>
          <w:trHeight w:val="454"/>
        </w:trPr>
        <w:tc>
          <w:tcPr>
            <w:tcW w:w="685" w:type="dxa"/>
            <w:vAlign w:val="center"/>
            <w:vMerge w:val="restart"/>
            <w:textDirection w:val="lrTb"/>
            <w:noWrap w:val="false"/>
          </w:tcPr>
          <w:p>
            <w:pPr>
              <w:rPr>
                <w:highlight w:val="none"/>
              </w:rPr>
            </w:pPr>
            <w:r>
              <w:rPr>
                <w:rFonts w:hint="eastAsia"/>
                <w:highlight w:val="none"/>
              </w:rPr>
              <w:t xml:space="preserve">10</w:t>
            </w:r>
            <w:r/>
          </w:p>
        </w:tc>
        <w:tc>
          <w:tcPr>
            <w:tcW w:w="1179" w:type="dxa"/>
            <w:vAlign w:val="center"/>
            <w:vMerge w:val="restart"/>
            <w:textDirection w:val="lrTb"/>
            <w:noWrap w:val="false"/>
          </w:tcPr>
          <w:p>
            <w:pPr>
              <w:rPr>
                <w:highlight w:val="none"/>
              </w:rPr>
            </w:pPr>
            <w:r>
              <w:rPr>
                <w:rFonts w:hint="eastAsia"/>
                <w:highlight w:val="none"/>
              </w:rPr>
              <w:t xml:space="preserve">数字化管理</w:t>
            </w:r>
            <w:r/>
          </w:p>
        </w:tc>
        <w:tc>
          <w:tcPr>
            <w:tcW w:w="7631" w:type="dxa"/>
            <w:vAlign w:val="center"/>
            <w:textDirection w:val="lrTb"/>
            <w:noWrap w:val="false"/>
          </w:tcPr>
          <w:p>
            <w:pPr>
              <w:rPr>
                <w:highlight w:val="none"/>
              </w:rPr>
            </w:pPr>
            <w:r>
              <w:rPr>
                <w:rFonts w:hint="eastAsia" w:ascii="宋体" w:hAnsi="宋体" w:cs="宋体"/>
                <w:highlight w:val="none"/>
              </w:rPr>
              <w:t xml:space="preserve">（1）</w:t>
            </w:r>
            <w:r>
              <w:rPr>
                <w:rFonts w:ascii="宋体" w:hAnsi="宋体" w:cs="宋体"/>
                <w:highlight w:val="none"/>
              </w:rPr>
              <w:t xml:space="preserve">利用计算机、通信、网络等技术，促进物业管理模式的转型升级，对物业管理服务流程和要素 进行合理、规范、高效的控制和管理。</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（2）</w:t>
            </w:r>
            <w:r>
              <w:rPr>
                <w:rFonts w:ascii="宋体" w:hAnsi="宋体" w:cs="宋体"/>
                <w:highlight w:val="none"/>
              </w:rPr>
              <w:t xml:space="preserve">数字化管理在机关物业服务应用中，包含但不限于数据采集、数据查询、权限分配、故障报警、 数据保护等功能。</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（3）</w:t>
            </w:r>
            <w:r>
              <w:rPr>
                <w:rFonts w:ascii="宋体" w:hAnsi="宋体" w:cs="宋体"/>
                <w:highlight w:val="none"/>
              </w:rPr>
              <w:t xml:space="preserve">设备故障或数据异常时，数字化系统应通过工单、电话、短信等方式预警，并有专人进行处理 或维护。</w:t>
            </w:r>
            <w:r/>
          </w:p>
        </w:tc>
      </w:tr>
      <w:tr>
        <w:trPr>
          <w:jc w:val="center"/>
          <w:trHeight w:val="454"/>
        </w:trPr>
        <w:tc>
          <w:tcPr>
            <w:tcW w:w="685"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1" w:type="dxa"/>
            <w:vAlign w:val="center"/>
            <w:textDirection w:val="lrTb"/>
            <w:noWrap w:val="false"/>
          </w:tcPr>
          <w:p>
            <w:pPr>
              <w:rPr>
                <w:highlight w:val="none"/>
              </w:rPr>
            </w:pPr>
            <w:r>
              <w:rPr>
                <w:rFonts w:hint="eastAsia" w:ascii="宋体" w:hAnsi="宋体" w:cs="宋体"/>
                <w:highlight w:val="none"/>
              </w:rPr>
              <w:t xml:space="preserve">（4）</w:t>
            </w:r>
            <w:r>
              <w:rPr>
                <w:rFonts w:ascii="宋体" w:hAnsi="宋体" w:cs="宋体"/>
                <w:highlight w:val="none"/>
              </w:rPr>
              <w:t xml:space="preserve">安排专人负责数字化系统的日常管理。对数据采集、传输、应用等进行管控，对数据的权限 合理分配，对信息安全采用多重措施做好保障。</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3.6会议服务</w:t>
      </w:r>
      <w:r/>
    </w:p>
    <w:tbl>
      <w:tblPr>
        <w:tblStyle w:val="773"/>
        <w:tblW w:w="52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205"/>
        <w:gridCol w:w="7796"/>
      </w:tblGrid>
      <w:tr>
        <w:trPr>
          <w:jc w:val="center"/>
          <w:trHeight w:val="454"/>
        </w:trPr>
        <w:tc>
          <w:tcPr>
            <w:tcW w:w="681" w:type="dxa"/>
            <w:vAlign w:val="center"/>
            <w:textDirection w:val="lrTb"/>
            <w:noWrap w:val="false"/>
          </w:tcPr>
          <w:p>
            <w:pPr>
              <w:rPr>
                <w:highlight w:val="none"/>
                <w:lang w:eastAsia="en-US"/>
              </w:rPr>
            </w:pPr>
            <w:r>
              <w:rPr>
                <w:rFonts w:hint="eastAsia"/>
                <w:highlight w:val="none"/>
                <w:lang w:eastAsia="en-US"/>
              </w:rPr>
              <w:t xml:space="preserve">序号</w:t>
            </w:r>
            <w:r/>
          </w:p>
        </w:tc>
        <w:tc>
          <w:tcPr>
            <w:tcW w:w="1179" w:type="dxa"/>
            <w:vAlign w:val="center"/>
            <w:textDirection w:val="lrTb"/>
            <w:noWrap w:val="false"/>
          </w:tcPr>
          <w:p>
            <w:pPr>
              <w:rPr>
                <w:highlight w:val="none"/>
                <w:lang w:eastAsia="en-US"/>
              </w:rPr>
            </w:pPr>
            <w:r>
              <w:rPr>
                <w:rFonts w:hint="eastAsia"/>
                <w:highlight w:val="none"/>
                <w:lang w:eastAsia="en-US"/>
              </w:rPr>
              <w:t xml:space="preserve">服务内容</w:t>
            </w:r>
            <w:r/>
          </w:p>
        </w:tc>
        <w:tc>
          <w:tcPr>
            <w:tcW w:w="7630" w:type="dxa"/>
            <w:vAlign w:val="center"/>
            <w:textDirection w:val="lrTb"/>
            <w:noWrap w:val="false"/>
          </w:tcPr>
          <w:p>
            <w:pPr>
              <w:rPr>
                <w:highlight w:val="none"/>
                <w:lang w:eastAsia="en-US"/>
              </w:rPr>
            </w:pPr>
            <w:r>
              <w:rPr>
                <w:rFonts w:hint="eastAsia"/>
                <w:highlight w:val="none"/>
                <w:lang w:eastAsia="en-US"/>
              </w:rPr>
              <w:t xml:space="preserve">服务标准</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1</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会议受理</w:t>
            </w:r>
            <w:r/>
          </w:p>
        </w:tc>
        <w:tc>
          <w:tcPr>
            <w:tcW w:w="7630" w:type="dxa"/>
            <w:vAlign w:val="center"/>
            <w:textDirection w:val="lrTb"/>
            <w:noWrap w:val="false"/>
          </w:tcPr>
          <w:p>
            <w:pPr>
              <w:rPr>
                <w:highlight w:val="none"/>
              </w:rPr>
            </w:pPr>
            <w:r>
              <w:rPr>
                <w:rFonts w:hint="eastAsia"/>
                <w:highlight w:val="none"/>
              </w:rPr>
              <w:t xml:space="preserve">（1）接受会议预订，记录会议需求。</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（2）客户有效投诉处理率100%，回访率100%；</w:t>
            </w:r>
            <w:r/>
          </w:p>
        </w:tc>
      </w:tr>
      <w:tr>
        <w:trPr>
          <w:jc w:val="center"/>
          <w:trHeight w:val="420"/>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（3）按采购人要求选配会场服务员，安排各类会议，并做好服务工作</w:t>
            </w:r>
            <w:r/>
          </w:p>
        </w:tc>
      </w:tr>
      <w:tr>
        <w:trPr>
          <w:jc w:val="center"/>
          <w:trHeight w:val="648"/>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（4）客服接待、会议服务范围</w:t>
            </w:r>
            <w:r/>
          </w:p>
          <w:p>
            <w:pPr>
              <w:rPr>
                <w:highlight w:val="none"/>
              </w:rPr>
            </w:pPr>
            <w:r>
              <w:rPr>
                <w:rFonts w:hint="eastAsia"/>
                <w:highlight w:val="none"/>
              </w:rPr>
              <w:t xml:space="preserve">①负责区域内大厅外来人员问询、登记及接待工作；</w:t>
            </w:r>
            <w:r/>
          </w:p>
          <w:p>
            <w:pPr>
              <w:rPr>
                <w:highlight w:val="none"/>
              </w:rPr>
            </w:pPr>
            <w:r>
              <w:rPr>
                <w:rFonts w:hint="eastAsia"/>
                <w:highlight w:val="none"/>
              </w:rPr>
              <w:t xml:space="preserve">②负责区域内公共会议室、接待室的茶水、席卡等服务工作；</w:t>
            </w:r>
            <w:r/>
          </w:p>
          <w:p>
            <w:pPr>
              <w:rPr>
                <w:highlight w:val="none"/>
              </w:rPr>
            </w:pPr>
            <w:r>
              <w:rPr>
                <w:rFonts w:hint="eastAsia"/>
                <w:highlight w:val="none"/>
              </w:rPr>
              <w:t xml:space="preserve">③全力做好会前保障和会议期间服务，及时做好会场散会后的清理工作；</w:t>
            </w:r>
            <w:r/>
          </w:p>
          <w:p>
            <w:pPr>
              <w:rPr>
                <w:highlight w:val="none"/>
              </w:rPr>
            </w:pPr>
            <w:r>
              <w:rPr>
                <w:rFonts w:hint="eastAsia"/>
                <w:highlight w:val="none"/>
              </w:rPr>
              <w:t xml:space="preserve">④负责指定会议室音响设备的日常清洁和操作；</w:t>
            </w:r>
            <w:r/>
          </w:p>
          <w:p>
            <w:pPr>
              <w:rPr>
                <w:highlight w:val="none"/>
              </w:rPr>
            </w:pPr>
            <w:r>
              <w:rPr>
                <w:rFonts w:hint="eastAsia"/>
                <w:highlight w:val="none"/>
              </w:rPr>
              <w:t xml:space="preserve">⑤负责大型会议室、报告厅等室内、外各类活动场所的服务工作；</w:t>
            </w:r>
            <w:r/>
          </w:p>
          <w:p>
            <w:pPr>
              <w:rPr>
                <w:highlight w:val="none"/>
              </w:rPr>
            </w:pPr>
            <w:r>
              <w:rPr>
                <w:rFonts w:hint="eastAsia"/>
                <w:highlight w:val="none"/>
              </w:rPr>
              <w:t xml:space="preserve">⑥协助邮件收发室报刊邮件分发工作；</w:t>
            </w:r>
            <w:r/>
          </w:p>
          <w:p>
            <w:pPr>
              <w:rPr>
                <w:highlight w:val="none"/>
              </w:rPr>
            </w:pPr>
            <w:r>
              <w:rPr>
                <w:rFonts w:hint="eastAsia"/>
                <w:highlight w:val="none"/>
              </w:rPr>
              <w:t xml:space="preserve">⑦负责临时外场大型活动现场的服务工作；</w:t>
            </w:r>
            <w:r/>
          </w:p>
          <w:p>
            <w:pPr>
              <w:rPr>
                <w:highlight w:val="none"/>
              </w:rPr>
            </w:pPr>
            <w:r>
              <w:rPr>
                <w:rFonts w:hint="eastAsia"/>
                <w:highlight w:val="none"/>
              </w:rPr>
              <w:t xml:space="preserve">⑧完成采购人赋予的其他临时性客服工作。</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2</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会前准备</w:t>
            </w:r>
            <w:r/>
          </w:p>
        </w:tc>
        <w:tc>
          <w:tcPr>
            <w:tcW w:w="7630" w:type="dxa"/>
            <w:vAlign w:val="center"/>
            <w:textDirection w:val="lrTb"/>
            <w:noWrap w:val="false"/>
          </w:tcPr>
          <w:p>
            <w:pPr>
              <w:rPr>
                <w:highlight w:val="none"/>
              </w:rPr>
            </w:pPr>
            <w:r>
              <w:rPr>
                <w:rFonts w:hint="eastAsia"/>
                <w:highlight w:val="none"/>
              </w:rPr>
              <w:t xml:space="preserve">（1）根据会议需求、场地大小、用途，明确会议桌椅、物品、设备、文具等摆放规定，音、视频设施保障措施。</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（2）首先要掌握主办会议单位、人数、时间、要客及具体要求。</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（3）按要求布置会议室，摆放好用品用具及防疫物资和消毒用品。根据人数和要求摆放桌椅，将多余的桌椅撤去。</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（4）搞好会场内外的清洁卫生。</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（5）摆放的用具（茶杯、杯垫），盘距桌边6CM，茶杯柄向右，图案要统一。</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（6）按要求摆放告示牌，挂横幅、贴背板等。</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（7）按要求酌情摆放签到台：提供用具，桌椅，签到牌，铺设桌裙。</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（8）如果提供自助茶水或饮料，需提前准备好服务台，提供相应的用品用具，派专人服务。</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（9）按要求铺好会议桌布，注意垂边整齐等。</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（10）调节好室内空气、温度。</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（11）检查电源，调试音响，灯光效果，电器设备（话筒、音响、灯、录像机、电视机、电子大屏等）。</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（12）负责大型会议室、报告厅等室内、外各类活动场所的服务工作。</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（13）负责指定会议室音响设备的日常清洁和操作。</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（14）负责区域内公共会议室、接待室的茶水、席卡等服务工作。</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3</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引导服务</w:t>
            </w:r>
            <w:r/>
          </w:p>
        </w:tc>
        <w:tc>
          <w:tcPr>
            <w:tcW w:w="7630" w:type="dxa"/>
            <w:vAlign w:val="center"/>
            <w:textDirection w:val="lrTb"/>
            <w:noWrap w:val="false"/>
          </w:tcPr>
          <w:p>
            <w:pPr>
              <w:rPr>
                <w:highlight w:val="none"/>
              </w:rPr>
            </w:pPr>
            <w:r>
              <w:rPr>
                <w:rFonts w:hint="eastAsia"/>
                <w:highlight w:val="none"/>
              </w:rPr>
              <w:t xml:space="preserve">（1）做好引导牌并放置在指定位置，引导人员引导手势规范，语言标准。</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（2）服务员着装整齐，提前30分钟到岗，在会议室门口迎接与会者入场。</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（3）客人入座后，由服务员为客倒茶，上毛巾，不得有遗漏。</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4</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会中服务</w:t>
            </w:r>
            <w:r/>
          </w:p>
        </w:tc>
        <w:tc>
          <w:tcPr>
            <w:tcW w:w="7630" w:type="dxa"/>
            <w:vAlign w:val="center"/>
            <w:textDirection w:val="lrTb"/>
            <w:noWrap w:val="false"/>
          </w:tcPr>
          <w:p>
            <w:pPr>
              <w:rPr>
                <w:highlight w:val="none"/>
              </w:rPr>
            </w:pPr>
            <w:r>
              <w:rPr>
                <w:rFonts w:hint="eastAsia"/>
                <w:highlight w:val="none"/>
              </w:rPr>
              <w:t xml:space="preserve">（1）服务员要坚守岗位，注意观察和控制会议室的门，维持秩序，保证会场周围安静，保证会议安全。</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（2）注意观察会议情况，按时添加茶水。</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（3）接听电话可通过会议工作人员，不得大声传呼。</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（4）注意观察场内温度、空气，提请相关人员适时调整。</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（5）确保会议中的音响效果，并及时为客人调整话筒位置（高、低）。</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5</w:t>
            </w:r>
            <w:r/>
          </w:p>
        </w:tc>
        <w:tc>
          <w:tcPr>
            <w:tcW w:w="1179" w:type="dxa"/>
            <w:vAlign w:val="center"/>
            <w:vMerge w:val="restart"/>
            <w:textDirection w:val="lrTb"/>
            <w:noWrap w:val="false"/>
          </w:tcPr>
          <w:p>
            <w:pPr>
              <w:rPr>
                <w:highlight w:val="none"/>
                <w:lang w:eastAsia="en-US"/>
              </w:rPr>
            </w:pPr>
            <w:r>
              <w:rPr>
                <w:rFonts w:hint="eastAsia"/>
                <w:highlight w:val="none"/>
                <w:lang w:eastAsia="en-US"/>
              </w:rPr>
              <w:t xml:space="preserve">会后整理</w:t>
            </w:r>
            <w:r/>
          </w:p>
        </w:tc>
        <w:tc>
          <w:tcPr>
            <w:tcW w:w="7630" w:type="dxa"/>
            <w:vAlign w:val="center"/>
            <w:textDirection w:val="lrTb"/>
            <w:noWrap w:val="false"/>
          </w:tcPr>
          <w:p>
            <w:pPr>
              <w:rPr>
                <w:highlight w:val="none"/>
              </w:rPr>
            </w:pPr>
            <w:r>
              <w:rPr>
                <w:rFonts w:hint="eastAsia"/>
                <w:highlight w:val="none"/>
              </w:rPr>
              <w:t xml:space="preserve">（1）及时打开大门，在门口欢送客人。</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（2）检查会场有无遗留文件及物品。</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（3）检查室内用品有无短缺和损坏。</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（4）进行安全检查，关闭所有电器、电源、收拾场内用品、用具。</w:t>
            </w:r>
            <w:r/>
          </w:p>
        </w:tc>
      </w:tr>
      <w:tr>
        <w:trPr>
          <w:jc w:val="center"/>
          <w:trHeight w:val="454"/>
        </w:trPr>
        <w:tc>
          <w:tcPr>
            <w:tcW w:w="681" w:type="dxa"/>
            <w:vAlign w:val="center"/>
            <w:vMerge w:val="continue"/>
            <w:textDirection w:val="lrTb"/>
            <w:noWrap w:val="false"/>
          </w:tcPr>
          <w:p>
            <w:pPr>
              <w:rPr>
                <w:highlight w:val="none"/>
              </w:rPr>
            </w:pPr>
            <w:r>
              <w:rPr>
                <w:highlight w:val="none"/>
              </w:rPr>
            </w:r>
            <w:r/>
          </w:p>
        </w:tc>
        <w:tc>
          <w:tcPr>
            <w:tcW w:w="1179" w:type="dxa"/>
            <w:vAlign w:val="center"/>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（5）清扫会议室卫生 ，必要时进行消毒，关灯锁门。</w:t>
            </w:r>
            <w:r/>
          </w:p>
        </w:tc>
      </w:tr>
      <w:tr>
        <w:trPr>
          <w:jc w:val="center"/>
          <w:trHeight w:val="454"/>
        </w:trPr>
        <w:tc>
          <w:tcPr>
            <w:tcW w:w="681" w:type="dxa"/>
            <w:vAlign w:val="center"/>
            <w:vMerge w:val="restart"/>
            <w:textDirection w:val="lrTb"/>
            <w:noWrap w:val="false"/>
          </w:tcPr>
          <w:p>
            <w:pPr>
              <w:rPr>
                <w:highlight w:val="none"/>
                <w:lang w:eastAsia="en-US"/>
              </w:rPr>
            </w:pPr>
            <w:r>
              <w:rPr>
                <w:rFonts w:hint="eastAsia"/>
                <w:highlight w:val="none"/>
                <w:lang w:eastAsia="en-US"/>
              </w:rPr>
              <w:t xml:space="preserve">5</w:t>
            </w:r>
            <w:r/>
          </w:p>
        </w:tc>
        <w:tc>
          <w:tcPr>
            <w:tcW w:w="1179" w:type="dxa"/>
            <w:vAlign w:val="center"/>
            <w:vMerge w:val="restart"/>
            <w:textDirection w:val="lrTb"/>
            <w:noWrap w:val="false"/>
          </w:tcPr>
          <w:p>
            <w:pPr>
              <w:rPr>
                <w:highlight w:val="none"/>
              </w:rPr>
            </w:pPr>
            <w:r>
              <w:rPr>
                <w:rFonts w:hint="eastAsia"/>
                <w:highlight w:val="none"/>
              </w:rPr>
              <w:t xml:space="preserve">主席台、贵宾室的服务工作</w:t>
            </w:r>
            <w:r/>
          </w:p>
        </w:tc>
        <w:tc>
          <w:tcPr>
            <w:tcW w:w="7630" w:type="dxa"/>
            <w:vAlign w:val="center"/>
            <w:textDirection w:val="lrTb"/>
            <w:noWrap w:val="false"/>
          </w:tcPr>
          <w:p>
            <w:pPr>
              <w:rPr>
                <w:highlight w:val="none"/>
              </w:rPr>
            </w:pPr>
            <w:r>
              <w:rPr>
                <w:rFonts w:hint="eastAsia"/>
                <w:highlight w:val="none"/>
              </w:rPr>
              <w:t xml:space="preserve">（1）主席台、贵宾室是会议服务的重点，要由专人服务。</w:t>
            </w:r>
            <w:r/>
          </w:p>
        </w:tc>
      </w:tr>
      <w:tr>
        <w:trPr>
          <w:jc w:val="center"/>
          <w:trHeight w:val="454"/>
        </w:trPr>
        <w:tc>
          <w:tcPr>
            <w:tcW w:w="681"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（2）按要求及时做好主席台、贵宾室布置工作。</w:t>
            </w:r>
            <w:r/>
          </w:p>
        </w:tc>
      </w:tr>
      <w:tr>
        <w:trPr>
          <w:jc w:val="center"/>
          <w:trHeight w:val="454"/>
        </w:trPr>
        <w:tc>
          <w:tcPr>
            <w:tcW w:w="681"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（3）按人数摆放椅子，以及其它用具，按要求摆放茶叶。</w:t>
            </w:r>
            <w:r/>
          </w:p>
        </w:tc>
      </w:tr>
      <w:tr>
        <w:trPr>
          <w:jc w:val="center"/>
          <w:trHeight w:val="454"/>
        </w:trPr>
        <w:tc>
          <w:tcPr>
            <w:tcW w:w="681"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（4）根据要求摆放席卡。</w:t>
            </w:r>
            <w:r/>
          </w:p>
        </w:tc>
      </w:tr>
      <w:tr>
        <w:trPr>
          <w:jc w:val="center"/>
          <w:trHeight w:val="454"/>
        </w:trPr>
        <w:tc>
          <w:tcPr>
            <w:tcW w:w="681" w:type="dxa"/>
            <w:vMerge w:val="continue"/>
            <w:textDirection w:val="lrTb"/>
            <w:noWrap w:val="false"/>
          </w:tcPr>
          <w:p>
            <w:pPr>
              <w:rPr>
                <w:highlight w:val="none"/>
              </w:rPr>
            </w:pPr>
            <w:r>
              <w:rPr>
                <w:highlight w:val="none"/>
              </w:rPr>
            </w:r>
            <w:r/>
          </w:p>
        </w:tc>
        <w:tc>
          <w:tcPr>
            <w:tcW w:w="1179" w:type="dxa"/>
            <w:vMerge w:val="continue"/>
            <w:textDirection w:val="lrTb"/>
            <w:noWrap w:val="false"/>
          </w:tcPr>
          <w:p>
            <w:pPr>
              <w:rPr>
                <w:highlight w:val="none"/>
              </w:rPr>
            </w:pPr>
            <w:r>
              <w:rPr>
                <w:highlight w:val="none"/>
              </w:rPr>
            </w:r>
            <w:r/>
          </w:p>
        </w:tc>
        <w:tc>
          <w:tcPr>
            <w:tcW w:w="7630" w:type="dxa"/>
            <w:vAlign w:val="center"/>
            <w:textDirection w:val="lrTb"/>
            <w:noWrap w:val="false"/>
          </w:tcPr>
          <w:p>
            <w:pPr>
              <w:rPr>
                <w:highlight w:val="none"/>
              </w:rPr>
            </w:pPr>
            <w:r>
              <w:rPr>
                <w:rFonts w:hint="eastAsia"/>
                <w:highlight w:val="none"/>
              </w:rPr>
              <w:t xml:space="preserve">（5）注意观察主席台上人员要求，按时添加茶水、递送烟缸或清理烟灰。</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3.7客服及便民服务</w:t>
      </w:r>
      <w:r/>
    </w:p>
    <w:tbl>
      <w:tblPr>
        <w:tblStyle w:val="773"/>
        <w:tblW w:w="523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088"/>
        <w:gridCol w:w="7747"/>
      </w:tblGrid>
      <w:tr>
        <w:trPr>
          <w:trHeight w:val="454"/>
        </w:trPr>
        <w:tc>
          <w:tcPr>
            <w:tcW w:w="750" w:type="dxa"/>
            <w:vAlign w:val="center"/>
            <w:textDirection w:val="lrTb"/>
            <w:noWrap w:val="false"/>
          </w:tcPr>
          <w:p>
            <w:pPr>
              <w:jc w:val="center"/>
              <w:rPr>
                <w:b/>
                <w:bCs/>
                <w:highlight w:val="none"/>
              </w:rPr>
            </w:pPr>
            <w:r>
              <w:rPr>
                <w:rFonts w:hint="eastAsia"/>
                <w:b/>
                <w:bCs/>
                <w:highlight w:val="none"/>
              </w:rPr>
              <w:t xml:space="preserve">序号</w:t>
            </w:r>
            <w:r/>
          </w:p>
        </w:tc>
        <w:tc>
          <w:tcPr>
            <w:tcW w:w="1065" w:type="dxa"/>
            <w:vAlign w:val="center"/>
            <w:textDirection w:val="lrTb"/>
            <w:noWrap w:val="false"/>
          </w:tcPr>
          <w:p>
            <w:pPr>
              <w:jc w:val="center"/>
              <w:rPr>
                <w:b/>
                <w:bCs/>
                <w:highlight w:val="none"/>
              </w:rPr>
            </w:pPr>
            <w:r>
              <w:rPr>
                <w:b/>
                <w:bCs/>
                <w:highlight w:val="none"/>
              </w:rPr>
              <w:t xml:space="preserve">服务内容</w:t>
            </w:r>
            <w:r/>
          </w:p>
        </w:tc>
        <w:tc>
          <w:tcPr>
            <w:tcW w:w="7582" w:type="dxa"/>
            <w:vAlign w:val="center"/>
            <w:textDirection w:val="lrTb"/>
            <w:noWrap w:val="false"/>
          </w:tcPr>
          <w:p>
            <w:pPr>
              <w:jc w:val="center"/>
              <w:rPr>
                <w:b/>
                <w:bCs/>
                <w:highlight w:val="none"/>
              </w:rPr>
            </w:pPr>
            <w:r>
              <w:rPr>
                <w:rFonts w:hint="eastAsia"/>
                <w:b/>
                <w:bCs/>
                <w:highlight w:val="none"/>
              </w:rPr>
              <w:t xml:space="preserve">服务标准</w:t>
            </w:r>
            <w:r/>
          </w:p>
        </w:tc>
      </w:tr>
      <w:tr>
        <w:trPr>
          <w:trHeight w:val="454"/>
        </w:trPr>
        <w:tc>
          <w:tcPr>
            <w:tcW w:w="750" w:type="dxa"/>
            <w:vAlign w:val="center"/>
            <w:vMerge w:val="restart"/>
            <w:textDirection w:val="lrTb"/>
            <w:noWrap w:val="false"/>
          </w:tcPr>
          <w:p>
            <w:pPr>
              <w:jc w:val="center"/>
              <w:rPr>
                <w:highlight w:val="none"/>
              </w:rPr>
            </w:pPr>
            <w:r>
              <w:rPr>
                <w:rFonts w:hint="eastAsia"/>
                <w:highlight w:val="none"/>
              </w:rPr>
              <w:t xml:space="preserve">1</w:t>
            </w:r>
            <w:r/>
          </w:p>
        </w:tc>
        <w:tc>
          <w:tcPr>
            <w:tcW w:w="1065" w:type="dxa"/>
            <w:vAlign w:val="center"/>
            <w:vMerge w:val="restart"/>
            <w:textDirection w:val="lrTb"/>
            <w:noWrap w:val="false"/>
          </w:tcPr>
          <w:p>
            <w:pPr>
              <w:rPr>
                <w:highlight w:val="none"/>
              </w:rPr>
            </w:pPr>
            <w:r>
              <w:rPr>
                <w:rFonts w:hint="eastAsia"/>
                <w:highlight w:val="none"/>
              </w:rPr>
              <w:t xml:space="preserve">客服服务</w:t>
            </w:r>
            <w:r/>
          </w:p>
        </w:tc>
        <w:tc>
          <w:tcPr>
            <w:tcW w:w="7582" w:type="dxa"/>
            <w:vAlign w:val="center"/>
            <w:textDirection w:val="lrTb"/>
            <w:noWrap w:val="false"/>
          </w:tcPr>
          <w:p>
            <w:pPr>
              <w:rPr>
                <w:highlight w:val="none"/>
              </w:rPr>
            </w:pPr>
            <w:r>
              <w:rPr>
                <w:highlight w:val="none"/>
              </w:rPr>
              <w:t xml:space="preserve">客服人员要统一服装、仪容得体、姿态端正、举止大方、精神饱满、微笑服务，随叫随应、耐心细致、热情周到</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负责门厅前台接待服务，来客进出应主动趋前，热情招呼，问清对方事由及被访者姓名，</w:t>
            </w:r>
            <w:r>
              <w:rPr>
                <w:rFonts w:hint="eastAsia"/>
                <w:highlight w:val="none"/>
              </w:rPr>
              <w:t xml:space="preserve">及时</w:t>
            </w:r>
            <w:r>
              <w:rPr>
                <w:highlight w:val="none"/>
              </w:rPr>
              <w:t xml:space="preserve">与被访者联系，正确指引来客</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负责</w:t>
            </w:r>
            <w:r>
              <w:rPr>
                <w:rFonts w:hint="eastAsia"/>
                <w:highlight w:val="none"/>
              </w:rPr>
              <w:t xml:space="preserve">重大活动电梯保障</w:t>
            </w:r>
            <w:r>
              <w:rPr>
                <w:highlight w:val="none"/>
              </w:rPr>
              <w:t xml:space="preserve">，安全、准确、及时将来访</w:t>
            </w:r>
            <w:r>
              <w:rPr>
                <w:rFonts w:hint="eastAsia"/>
                <w:highlight w:val="none"/>
              </w:rPr>
              <w:t xml:space="preserve">人员引导至</w:t>
            </w:r>
            <w:r>
              <w:rPr>
                <w:highlight w:val="none"/>
              </w:rPr>
              <w:t xml:space="preserve">相关楼层</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负责每日总值班室</w:t>
            </w:r>
            <w:r>
              <w:rPr>
                <w:rFonts w:hint="eastAsia"/>
                <w:highlight w:val="none"/>
              </w:rPr>
              <w:t xml:space="preserve">、</w:t>
            </w:r>
            <w:r>
              <w:rPr>
                <w:highlight w:val="none"/>
              </w:rPr>
              <w:t xml:space="preserve">应急值班室、休息室的</w:t>
            </w:r>
            <w:r>
              <w:rPr>
                <w:rFonts w:hint="eastAsia"/>
                <w:highlight w:val="none"/>
              </w:rPr>
              <w:t xml:space="preserve">卫生保洁及相关卫生物品的更换</w:t>
            </w:r>
            <w:r>
              <w:rPr>
                <w:highlight w:val="none"/>
              </w:rPr>
              <w:t xml:space="preserve">，要求铺设平整、摆放规范</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其他相关勤务工作。接受会议</w:t>
            </w:r>
            <w:r>
              <w:rPr>
                <w:rFonts w:hint="eastAsia"/>
                <w:highlight w:val="none"/>
              </w:rPr>
              <w:t xml:space="preserve">预订</w:t>
            </w:r>
            <w:r>
              <w:rPr>
                <w:highlight w:val="none"/>
              </w:rPr>
              <w:t xml:space="preserve">，记录会议需求</w:t>
            </w:r>
            <w:r>
              <w:rPr>
                <w:rFonts w:hint="eastAsia"/>
                <w:highlight w:val="none"/>
              </w:rPr>
              <w:t xml:space="preserve">。</w:t>
            </w:r>
            <w:r/>
          </w:p>
        </w:tc>
      </w:tr>
      <w:tr>
        <w:trPr>
          <w:trHeight w:val="454"/>
        </w:trPr>
        <w:tc>
          <w:tcPr>
            <w:tcW w:w="750" w:type="dxa"/>
            <w:vAlign w:val="center"/>
            <w:vMerge w:val="restart"/>
            <w:textDirection w:val="lrTb"/>
            <w:noWrap w:val="false"/>
          </w:tcPr>
          <w:p>
            <w:pPr>
              <w:jc w:val="center"/>
              <w:rPr>
                <w:highlight w:val="none"/>
              </w:rPr>
            </w:pPr>
            <w:r>
              <w:rPr>
                <w:rFonts w:hint="eastAsia"/>
                <w:highlight w:val="none"/>
              </w:rPr>
              <w:t xml:space="preserve">2</w:t>
            </w:r>
            <w:r/>
          </w:p>
        </w:tc>
        <w:tc>
          <w:tcPr>
            <w:tcW w:w="1065" w:type="dxa"/>
            <w:vAlign w:val="center"/>
            <w:vMerge w:val="restart"/>
            <w:textDirection w:val="lrTb"/>
            <w:noWrap w:val="false"/>
          </w:tcPr>
          <w:p>
            <w:pPr>
              <w:rPr>
                <w:highlight w:val="none"/>
              </w:rPr>
            </w:pPr>
            <w:r>
              <w:rPr>
                <w:rFonts w:hint="eastAsia"/>
                <w:highlight w:val="none"/>
              </w:rPr>
              <w:t xml:space="preserve">便民服务</w:t>
            </w:r>
            <w:r/>
          </w:p>
        </w:tc>
        <w:tc>
          <w:tcPr>
            <w:tcW w:w="7582" w:type="dxa"/>
            <w:vAlign w:val="center"/>
            <w:textDirection w:val="lrTb"/>
            <w:noWrap w:val="false"/>
          </w:tcPr>
          <w:p>
            <w:pPr>
              <w:rPr>
                <w:highlight w:val="none"/>
              </w:rPr>
            </w:pPr>
            <w:r>
              <w:rPr>
                <w:highlight w:val="none"/>
              </w:rPr>
              <w:t xml:space="preserve">负责场所、办公室等家具、物资等调整及搬运，转运办公器具等</w:t>
            </w:r>
            <w:r>
              <w:rPr>
                <w:rFonts w:hint="eastAsia"/>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highlight w:val="none"/>
              </w:rPr>
              <w:t xml:space="preserve">采购人</w:t>
            </w:r>
            <w:r>
              <w:rPr>
                <w:rFonts w:hint="eastAsia"/>
                <w:highlight w:val="none"/>
              </w:rPr>
              <w:t xml:space="preserve">采购的各类物品</w:t>
            </w:r>
            <w:r>
              <w:rPr>
                <w:highlight w:val="none"/>
              </w:rPr>
              <w:t xml:space="preserve">搬运</w:t>
            </w:r>
            <w:r>
              <w:rPr>
                <w:rFonts w:hint="eastAsia"/>
                <w:highlight w:val="none"/>
              </w:rPr>
              <w:t xml:space="preserve">，以及临时安排的其他搬运和采购人员工网购快递管理工作</w:t>
            </w:r>
            <w:r>
              <w:rPr>
                <w:highlight w:val="none"/>
              </w:rPr>
              <w:t xml:space="preserve">。</w:t>
            </w:r>
            <w:r/>
          </w:p>
        </w:tc>
      </w:tr>
      <w:tr>
        <w:trPr>
          <w:trHeight w:val="454"/>
        </w:trPr>
        <w:tc>
          <w:tcPr>
            <w:tcW w:w="750" w:type="dxa"/>
            <w:vAlign w:val="center"/>
            <w:vMerge w:val="continue"/>
            <w:textDirection w:val="lrTb"/>
            <w:noWrap w:val="false"/>
          </w:tcPr>
          <w:p>
            <w:pPr>
              <w:jc w:val="center"/>
              <w:rPr>
                <w:highlight w:val="none"/>
              </w:rPr>
            </w:pPr>
            <w:r>
              <w:rPr>
                <w:highlight w:val="none"/>
              </w:rPr>
            </w:r>
            <w:r/>
          </w:p>
        </w:tc>
        <w:tc>
          <w:tcPr>
            <w:tcW w:w="1065" w:type="dxa"/>
            <w:vAlign w:val="center"/>
            <w:vMerge w:val="continue"/>
            <w:textDirection w:val="lrTb"/>
            <w:noWrap w:val="false"/>
          </w:tcPr>
          <w:p>
            <w:pPr>
              <w:rPr>
                <w:highlight w:val="none"/>
              </w:rPr>
            </w:pPr>
            <w:r>
              <w:rPr>
                <w:highlight w:val="none"/>
              </w:rPr>
            </w:r>
            <w:r/>
          </w:p>
        </w:tc>
        <w:tc>
          <w:tcPr>
            <w:tcW w:w="7582" w:type="dxa"/>
            <w:vAlign w:val="center"/>
            <w:textDirection w:val="lrTb"/>
            <w:noWrap w:val="false"/>
          </w:tcPr>
          <w:p>
            <w:pPr>
              <w:rPr>
                <w:highlight w:val="none"/>
              </w:rPr>
            </w:pPr>
            <w:r>
              <w:rPr>
                <w:rFonts w:hint="eastAsia"/>
                <w:highlight w:val="none"/>
              </w:rPr>
              <w:t xml:space="preserve">采购人提供指定场所的便民服务。</w:t>
            </w:r>
            <w:r/>
          </w:p>
        </w:tc>
      </w:tr>
    </w:tbl>
    <w:p>
      <w:pPr>
        <w:rPr>
          <w:rFonts w:ascii="方正仿宋_GBK" w:hAnsi="方正仿宋_GBK" w:eastAsia="方正仿宋_GBK" w:cs="方正仿宋_GBK"/>
          <w:bCs/>
          <w:sz w:val="32"/>
          <w:szCs w:val="32"/>
          <w:highlight w:val="none"/>
        </w:rPr>
      </w:pPr>
      <w:r/>
      <w:bookmarkStart w:id="184" w:name="OLE_LINK8"/>
      <w:r>
        <w:rPr>
          <w:rFonts w:hint="eastAsia" w:ascii="方正仿宋_GBK" w:hAnsi="方正仿宋_GBK" w:eastAsia="方正仿宋_GBK" w:cs="方正仿宋_GBK"/>
          <w:bCs/>
          <w:sz w:val="32"/>
          <w:szCs w:val="32"/>
          <w:highlight w:val="none"/>
        </w:rPr>
        <w:t xml:space="preserve">3.8食堂服务</w:t>
      </w:r>
      <w:bookmarkEnd w:id="184"/>
      <w:r/>
      <w:r/>
    </w:p>
    <w:tbl>
      <w:tblPr>
        <w:tblStyle w:val="773"/>
        <w:tblW w:w="5213"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159"/>
        <w:gridCol w:w="7676"/>
      </w:tblGrid>
      <w:tr>
        <w:trPr>
          <w:jc w:val="right"/>
          <w:trHeight w:val="454"/>
        </w:trPr>
        <w:tc>
          <w:tcPr>
            <w:tcW w:w="710" w:type="dxa"/>
            <w:vAlign w:val="center"/>
            <w:textDirection w:val="lrTb"/>
            <w:noWrap w:val="false"/>
          </w:tcPr>
          <w:p>
            <w:pPr>
              <w:spacing w:line="360" w:lineRule="auto"/>
              <w:rPr>
                <w:rFonts w:ascii="宋体" w:hAnsi="宋体" w:cs="宋体"/>
                <w:highlight w:val="none"/>
              </w:rPr>
            </w:pPr>
            <w:r>
              <w:rPr>
                <w:rFonts w:hint="eastAsia"/>
                <w:b/>
                <w:bCs/>
                <w:highlight w:val="none"/>
              </w:rPr>
              <w:t xml:space="preserve">序号</w:t>
            </w:r>
            <w:r/>
          </w:p>
        </w:tc>
        <w:tc>
          <w:tcPr>
            <w:tcW w:w="1134" w:type="dxa"/>
            <w:vAlign w:val="center"/>
            <w:textDirection w:val="lrTb"/>
            <w:noWrap w:val="false"/>
          </w:tcPr>
          <w:p>
            <w:pPr>
              <w:spacing w:line="360" w:lineRule="auto"/>
              <w:rPr>
                <w:rFonts w:ascii="宋体" w:hAnsi="宋体" w:cs="宋体"/>
                <w:highlight w:val="none"/>
              </w:rPr>
            </w:pPr>
            <w:r>
              <w:rPr>
                <w:b/>
                <w:bCs/>
                <w:highlight w:val="none"/>
              </w:rPr>
              <w:t xml:space="preserve">服务内容</w:t>
            </w:r>
            <w:r/>
          </w:p>
        </w:tc>
        <w:tc>
          <w:tcPr>
            <w:tcW w:w="7511" w:type="dxa"/>
            <w:vAlign w:val="center"/>
            <w:textDirection w:val="lrTb"/>
            <w:noWrap w:val="false"/>
          </w:tcPr>
          <w:p>
            <w:pPr>
              <w:spacing w:line="360" w:lineRule="auto"/>
              <w:rPr>
                <w:rFonts w:ascii="宋体" w:hAnsi="宋体" w:cs="宋体"/>
                <w:highlight w:val="none"/>
              </w:rPr>
            </w:pPr>
            <w:r>
              <w:rPr>
                <w:rFonts w:hint="eastAsia"/>
                <w:b/>
                <w:bCs/>
                <w:highlight w:val="none"/>
              </w:rPr>
              <w:t xml:space="preserve">服务标准</w:t>
            </w:r>
            <w:r/>
          </w:p>
        </w:tc>
      </w:tr>
      <w:tr>
        <w:trPr>
          <w:jc w:val="right"/>
          <w:trHeight w:val="454"/>
        </w:trPr>
        <w:tc>
          <w:tcPr>
            <w:tcW w:w="710" w:type="dxa"/>
            <w:vAlign w:val="center"/>
            <w:vMerge w:val="restart"/>
            <w:textDirection w:val="lrTb"/>
            <w:noWrap w:val="false"/>
          </w:tcPr>
          <w:p>
            <w:pPr>
              <w:spacing w:line="360" w:lineRule="auto"/>
              <w:rPr>
                <w:rFonts w:ascii="宋体" w:hAnsi="宋体" w:cs="宋体"/>
                <w:highlight w:val="none"/>
              </w:rPr>
            </w:pPr>
            <w:r>
              <w:rPr>
                <w:rFonts w:ascii="宋体" w:hAnsi="宋体" w:cs="宋体"/>
                <w:highlight w:val="none"/>
              </w:rPr>
              <w:t xml:space="preserve">1</w:t>
            </w:r>
            <w:r/>
          </w:p>
        </w:tc>
        <w:tc>
          <w:tcPr>
            <w:tcW w:w="1134" w:type="dxa"/>
            <w:vAlign w:val="center"/>
            <w:vMerge w:val="restart"/>
            <w:textDirection w:val="lrTb"/>
            <w:noWrap w:val="false"/>
          </w:tcPr>
          <w:p>
            <w:pPr>
              <w:spacing w:line="360" w:lineRule="auto"/>
              <w:rPr>
                <w:rFonts w:ascii="宋体" w:hAnsi="宋体" w:cs="宋体"/>
                <w:highlight w:val="none"/>
              </w:rPr>
            </w:pPr>
            <w:r>
              <w:rPr>
                <w:rFonts w:ascii="宋体" w:hAnsi="宋体" w:cs="宋体"/>
                <w:highlight w:val="none"/>
              </w:rPr>
              <w:t xml:space="preserve">服务规模</w:t>
            </w:r>
            <w:r/>
          </w:p>
        </w:tc>
        <w:tc>
          <w:tcPr>
            <w:tcW w:w="7511"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院本部：</w:t>
            </w:r>
            <w:r/>
          </w:p>
          <w:p>
            <w:pPr>
              <w:spacing w:line="360" w:lineRule="auto"/>
              <w:rPr>
                <w:rFonts w:ascii="宋体" w:hAnsi="宋体" w:cs="宋体"/>
                <w:highlight w:val="none"/>
              </w:rPr>
            </w:pPr>
            <w:r>
              <w:rPr>
                <w:rFonts w:ascii="宋体" w:hAnsi="宋体" w:cs="宋体"/>
                <w:highlight w:val="none"/>
              </w:rPr>
              <w:t xml:space="preserve">①负责</w:t>
            </w:r>
            <w:r>
              <w:rPr>
                <w:rFonts w:hint="eastAsia" w:ascii="宋体" w:hAnsi="宋体" w:cs="宋体"/>
                <w:highlight w:val="none"/>
              </w:rPr>
              <w:t xml:space="preserve">干</w:t>
            </w:r>
            <w:r>
              <w:rPr>
                <w:rFonts w:ascii="宋体" w:hAnsi="宋体" w:cs="宋体"/>
                <w:highlight w:val="none"/>
              </w:rPr>
              <w:t xml:space="preserve">警</w:t>
            </w:r>
            <w:r>
              <w:rPr>
                <w:rFonts w:hint="eastAsia" w:ascii="宋体" w:hAnsi="宋体" w:cs="宋体"/>
                <w:highlight w:val="none"/>
              </w:rPr>
              <w:t xml:space="preserve">食堂</w:t>
            </w:r>
            <w:r>
              <w:rPr>
                <w:rFonts w:ascii="宋体" w:hAnsi="宋体" w:cs="宋体"/>
                <w:highlight w:val="none"/>
              </w:rPr>
              <w:t xml:space="preserve">一日三餐的供应。</w:t>
            </w:r>
            <w:r/>
          </w:p>
          <w:p>
            <w:pPr>
              <w:spacing w:line="360" w:lineRule="auto"/>
              <w:rPr>
                <w:rFonts w:ascii="宋体" w:hAnsi="宋体" w:cs="宋体"/>
                <w:highlight w:val="none"/>
              </w:rPr>
            </w:pPr>
            <w:r>
              <w:rPr>
                <w:rFonts w:ascii="宋体" w:hAnsi="宋体" w:cs="宋体"/>
                <w:highlight w:val="none"/>
              </w:rPr>
              <w:t xml:space="preserve">②就餐时间</w:t>
            </w:r>
            <w:r>
              <w:rPr>
                <w:rFonts w:hint="eastAsia" w:ascii="宋体" w:hAnsi="宋体" w:cs="宋体"/>
                <w:highlight w:val="none"/>
              </w:rPr>
              <w:t xml:space="preserve">根据法院相关制度规定。</w:t>
            </w:r>
            <w:r/>
          </w:p>
          <w:p>
            <w:pPr>
              <w:spacing w:line="360" w:lineRule="auto"/>
              <w:rPr>
                <w:rFonts w:ascii="宋体" w:hAnsi="宋体" w:cs="宋体"/>
                <w:highlight w:val="none"/>
              </w:rPr>
            </w:pPr>
            <w:r>
              <w:rPr>
                <w:rFonts w:ascii="宋体" w:hAnsi="宋体" w:cs="宋体"/>
                <w:highlight w:val="none"/>
              </w:rPr>
              <w:t xml:space="preserve">③</w:t>
            </w:r>
            <w:r>
              <w:rPr>
                <w:rFonts w:hint="eastAsia" w:ascii="宋体" w:hAnsi="宋体" w:cs="宋体"/>
                <w:highlight w:val="none"/>
              </w:rPr>
              <w:t xml:space="preserve">早餐：面点</w:t>
            </w:r>
            <w:r>
              <w:rPr>
                <w:highlight w:val="none"/>
              </w:rPr>
              <w:t xml:space="preserve">≥</w:t>
            </w:r>
            <w:r>
              <w:rPr>
                <w:rFonts w:hint="eastAsia" w:ascii="宋体" w:hAnsi="宋体" w:cs="宋体"/>
                <w:highlight w:val="none"/>
              </w:rPr>
              <w:t xml:space="preserve">2-3种，杂粮</w:t>
            </w:r>
            <w:r>
              <w:rPr>
                <w:highlight w:val="none"/>
              </w:rPr>
              <w:t xml:space="preserve">≥</w:t>
            </w:r>
            <w:r>
              <w:rPr>
                <w:rFonts w:hint="eastAsia" w:ascii="宋体" w:hAnsi="宋体" w:cs="宋体"/>
                <w:highlight w:val="none"/>
              </w:rPr>
              <w:t xml:space="preserve">2-3种，鸡蛋</w:t>
            </w:r>
            <w:r>
              <w:rPr>
                <w:highlight w:val="none"/>
              </w:rPr>
              <w:t xml:space="preserve">≥</w:t>
            </w:r>
            <w:r>
              <w:rPr>
                <w:rFonts w:hint="eastAsia" w:ascii="宋体" w:hAnsi="宋体" w:cs="宋体"/>
                <w:highlight w:val="none"/>
              </w:rPr>
              <w:t xml:space="preserve">2种，米粥</w:t>
            </w:r>
            <w:r>
              <w:rPr>
                <w:highlight w:val="none"/>
              </w:rPr>
              <w:t xml:space="preserve">≥</w:t>
            </w:r>
            <w:r>
              <w:rPr>
                <w:rFonts w:hint="eastAsia" w:ascii="宋体" w:hAnsi="宋体" w:cs="宋体"/>
                <w:highlight w:val="none"/>
              </w:rPr>
              <w:t xml:space="preserve">1种、热饮、酸/牛奶、豆浆</w:t>
            </w:r>
            <w:r>
              <w:rPr>
                <w:highlight w:val="none"/>
              </w:rPr>
              <w:t xml:space="preserve">≥</w:t>
            </w:r>
            <w:r>
              <w:rPr>
                <w:rFonts w:hint="eastAsia" w:ascii="宋体" w:hAnsi="宋体" w:cs="宋体"/>
                <w:highlight w:val="none"/>
              </w:rPr>
              <w:t xml:space="preserve">3种，炒蔬菜</w:t>
            </w:r>
            <w:r>
              <w:rPr>
                <w:highlight w:val="none"/>
              </w:rPr>
              <w:t xml:space="preserve">≥</w:t>
            </w:r>
            <w:r>
              <w:rPr>
                <w:rFonts w:hint="eastAsia" w:ascii="宋体" w:hAnsi="宋体" w:cs="宋体"/>
                <w:highlight w:val="none"/>
              </w:rPr>
              <w:t xml:space="preserve">2种，小菜</w:t>
            </w:r>
            <w:r>
              <w:rPr>
                <w:highlight w:val="none"/>
              </w:rPr>
              <w:t xml:space="preserve">≥</w:t>
            </w:r>
            <w:r>
              <w:rPr>
                <w:rFonts w:hint="eastAsia" w:ascii="宋体" w:hAnsi="宋体" w:cs="宋体"/>
                <w:highlight w:val="none"/>
              </w:rPr>
              <w:t xml:space="preserve">3-4种，面条、馄饨或牛羊汤等明档服务</w:t>
            </w:r>
            <w:r>
              <w:rPr>
                <w:highlight w:val="none"/>
              </w:rPr>
              <w:t xml:space="preserve">≥</w:t>
            </w:r>
            <w:r>
              <w:rPr>
                <w:rFonts w:hint="eastAsia" w:ascii="宋体" w:hAnsi="宋体" w:cs="宋体"/>
                <w:highlight w:val="none"/>
              </w:rPr>
              <w:t xml:space="preserve">1种。</w:t>
            </w:r>
            <w:r/>
          </w:p>
          <w:p>
            <w:pPr>
              <w:spacing w:line="360" w:lineRule="auto"/>
              <w:rPr>
                <w:rFonts w:ascii="宋体" w:hAnsi="宋体" w:cs="宋体"/>
                <w:highlight w:val="none"/>
              </w:rPr>
            </w:pPr>
            <w:r>
              <w:rPr>
                <w:rFonts w:hint="eastAsia" w:ascii="宋体" w:hAnsi="宋体" w:cs="宋体"/>
                <w:highlight w:val="none"/>
              </w:rPr>
              <w:t xml:space="preserve">④中餐：大荤</w:t>
            </w:r>
            <w:r>
              <w:rPr>
                <w:highlight w:val="none"/>
              </w:rPr>
              <w:t xml:space="preserve">≥</w:t>
            </w:r>
            <w:r>
              <w:rPr>
                <w:rFonts w:hint="eastAsia" w:ascii="宋体" w:hAnsi="宋体" w:cs="宋体"/>
                <w:highlight w:val="none"/>
              </w:rPr>
              <w:t xml:space="preserve">2种，小荤</w:t>
            </w:r>
            <w:r>
              <w:rPr>
                <w:highlight w:val="none"/>
              </w:rPr>
              <w:t xml:space="preserve">≥</w:t>
            </w:r>
            <w:r>
              <w:rPr>
                <w:rFonts w:hint="eastAsia" w:ascii="宋体" w:hAnsi="宋体" w:cs="宋体"/>
                <w:highlight w:val="none"/>
              </w:rPr>
              <w:t xml:space="preserve">2种，蔬菜</w:t>
            </w:r>
            <w:r>
              <w:rPr>
                <w:highlight w:val="none"/>
              </w:rPr>
              <w:t xml:space="preserve">≥</w:t>
            </w:r>
            <w:r>
              <w:rPr>
                <w:rFonts w:hint="eastAsia" w:ascii="宋体" w:hAnsi="宋体" w:cs="宋体"/>
                <w:highlight w:val="none"/>
              </w:rPr>
              <w:t xml:space="preserve">2种，荤/素汤各</w:t>
            </w:r>
            <w:r>
              <w:rPr>
                <w:highlight w:val="none"/>
              </w:rPr>
              <w:t xml:space="preserve">≥</w:t>
            </w:r>
            <w:r>
              <w:rPr>
                <w:rFonts w:hint="eastAsia" w:ascii="宋体" w:hAnsi="宋体" w:cs="宋体"/>
                <w:highlight w:val="none"/>
              </w:rPr>
              <w:t xml:space="preserve">1种，水果</w:t>
            </w:r>
            <w:r>
              <w:rPr>
                <w:highlight w:val="none"/>
              </w:rPr>
              <w:t xml:space="preserve">≥</w:t>
            </w:r>
            <w:r>
              <w:rPr>
                <w:rFonts w:hint="eastAsia" w:ascii="宋体" w:hAnsi="宋体" w:cs="宋体"/>
                <w:highlight w:val="none"/>
              </w:rPr>
              <w:t xml:space="preserve">1种，热饮、酸/牛奶各</w:t>
            </w:r>
            <w:r>
              <w:rPr>
                <w:highlight w:val="none"/>
              </w:rPr>
              <w:t xml:space="preserve">≥</w:t>
            </w:r>
            <w:r>
              <w:rPr>
                <w:rFonts w:hint="eastAsia" w:ascii="宋体" w:hAnsi="宋体" w:cs="宋体"/>
                <w:highlight w:val="none"/>
              </w:rPr>
              <w:t xml:space="preserve">1种，主食</w:t>
            </w:r>
            <w:r>
              <w:rPr>
                <w:highlight w:val="none"/>
              </w:rPr>
              <w:t xml:space="preserve">≥</w:t>
            </w:r>
            <w:r>
              <w:rPr>
                <w:rFonts w:hint="eastAsia" w:ascii="宋体" w:hAnsi="宋体" w:cs="宋体"/>
                <w:highlight w:val="none"/>
              </w:rPr>
              <w:t xml:space="preserve">2种，杂粮</w:t>
            </w:r>
            <w:r>
              <w:rPr>
                <w:highlight w:val="none"/>
              </w:rPr>
              <w:t xml:space="preserve">≥</w:t>
            </w:r>
            <w:r>
              <w:rPr>
                <w:rFonts w:hint="eastAsia" w:ascii="宋体" w:hAnsi="宋体" w:cs="宋体"/>
                <w:highlight w:val="none"/>
              </w:rPr>
              <w:t xml:space="preserve">1种，面条、馄饨、牛羊汤或小吃等明档服务</w:t>
            </w:r>
            <w:r>
              <w:rPr>
                <w:highlight w:val="none"/>
              </w:rPr>
              <w:t xml:space="preserve">≥</w:t>
            </w:r>
            <w:r>
              <w:rPr>
                <w:rFonts w:hint="eastAsia" w:ascii="宋体" w:hAnsi="宋体" w:cs="宋体"/>
                <w:highlight w:val="none"/>
              </w:rPr>
              <w:t xml:space="preserve">1-2种。</w:t>
            </w:r>
            <w:r/>
          </w:p>
          <w:p>
            <w:pPr>
              <w:spacing w:line="360" w:lineRule="auto"/>
              <w:rPr>
                <w:rFonts w:ascii="宋体" w:hAnsi="宋体" w:cs="宋体"/>
                <w:highlight w:val="none"/>
              </w:rPr>
            </w:pPr>
            <w:r>
              <w:rPr>
                <w:rFonts w:hint="eastAsia" w:ascii="宋体" w:hAnsi="宋体" w:cs="宋体"/>
                <w:highlight w:val="none"/>
              </w:rPr>
              <w:t xml:space="preserve">⑤晚餐：每周3天（大荤</w:t>
            </w:r>
            <w:r>
              <w:rPr>
                <w:highlight w:val="none"/>
              </w:rPr>
              <w:t xml:space="preserve">≥</w:t>
            </w:r>
            <w:r>
              <w:rPr>
                <w:rFonts w:hint="eastAsia" w:ascii="宋体" w:hAnsi="宋体" w:cs="宋体"/>
                <w:highlight w:val="none"/>
              </w:rPr>
              <w:t xml:space="preserve">1种、小荤</w:t>
            </w:r>
            <w:r>
              <w:rPr>
                <w:highlight w:val="none"/>
              </w:rPr>
              <w:t xml:space="preserve">≥</w:t>
            </w:r>
            <w:r>
              <w:rPr>
                <w:rFonts w:hint="eastAsia" w:ascii="宋体" w:hAnsi="宋体" w:cs="宋体"/>
                <w:highlight w:val="none"/>
              </w:rPr>
              <w:t xml:space="preserve">1种、蔬菜</w:t>
            </w:r>
            <w:r>
              <w:rPr>
                <w:highlight w:val="none"/>
              </w:rPr>
              <w:t xml:space="preserve">≥</w:t>
            </w:r>
            <w:r>
              <w:rPr>
                <w:rFonts w:hint="eastAsia" w:ascii="宋体" w:hAnsi="宋体" w:cs="宋体"/>
                <w:highlight w:val="none"/>
              </w:rPr>
              <w:t xml:space="preserve">1种、汤类</w:t>
            </w:r>
            <w:r>
              <w:rPr>
                <w:highlight w:val="none"/>
              </w:rPr>
              <w:t xml:space="preserve">≥</w:t>
            </w:r>
            <w:r>
              <w:rPr>
                <w:rFonts w:hint="eastAsia" w:ascii="宋体" w:hAnsi="宋体" w:cs="宋体"/>
                <w:highlight w:val="none"/>
              </w:rPr>
              <w:t xml:space="preserve">1种、主食</w:t>
            </w:r>
            <w:r>
              <w:rPr>
                <w:highlight w:val="none"/>
              </w:rPr>
              <w:t xml:space="preserve">≥</w:t>
            </w:r>
            <w:r>
              <w:rPr>
                <w:rFonts w:hint="eastAsia" w:ascii="宋体" w:hAnsi="宋体" w:cs="宋体"/>
                <w:highlight w:val="none"/>
              </w:rPr>
              <w:t xml:space="preserve">1种），2天（水饺、面条或炒饭</w:t>
            </w:r>
            <w:r>
              <w:rPr>
                <w:highlight w:val="none"/>
              </w:rPr>
              <w:t xml:space="preserve">≥</w:t>
            </w:r>
            <w:r>
              <w:rPr>
                <w:rFonts w:hint="eastAsia" w:ascii="宋体" w:hAnsi="宋体" w:cs="宋体"/>
                <w:highlight w:val="none"/>
              </w:rPr>
              <w:t xml:space="preserve">1种、小荤</w:t>
            </w:r>
            <w:r>
              <w:rPr>
                <w:highlight w:val="none"/>
              </w:rPr>
              <w:t xml:space="preserve">≥</w:t>
            </w:r>
            <w:r>
              <w:rPr>
                <w:rFonts w:hint="eastAsia" w:ascii="宋体" w:hAnsi="宋体" w:cs="宋体"/>
                <w:highlight w:val="none"/>
              </w:rPr>
              <w:t xml:space="preserve">1种、蔬菜</w:t>
            </w:r>
            <w:r>
              <w:rPr>
                <w:highlight w:val="none"/>
              </w:rPr>
              <w:t xml:space="preserve">≥</w:t>
            </w:r>
            <w:r>
              <w:rPr>
                <w:rFonts w:hint="eastAsia" w:ascii="宋体" w:hAnsi="宋体" w:cs="宋体"/>
                <w:highlight w:val="none"/>
              </w:rPr>
              <w:t xml:space="preserve">1种、汤类</w:t>
            </w:r>
            <w:r>
              <w:rPr>
                <w:highlight w:val="none"/>
              </w:rPr>
              <w:t xml:space="preserve">≥</w:t>
            </w:r>
            <w:r>
              <w:rPr>
                <w:rFonts w:hint="eastAsia" w:ascii="宋体" w:hAnsi="宋体" w:cs="宋体"/>
                <w:highlight w:val="none"/>
              </w:rPr>
              <w:t xml:space="preserve">1种）。</w:t>
            </w:r>
            <w:r/>
          </w:p>
          <w:p>
            <w:pPr>
              <w:spacing w:line="360" w:lineRule="auto"/>
              <w:rPr>
                <w:rFonts w:ascii="宋体" w:hAnsi="宋体" w:cs="宋体"/>
                <w:highlight w:val="none"/>
              </w:rPr>
            </w:pPr>
            <w:r>
              <w:rPr>
                <w:rFonts w:hint="eastAsia" w:ascii="宋体" w:hAnsi="宋体" w:cs="宋体"/>
                <w:highlight w:val="none"/>
              </w:rPr>
              <w:t xml:space="preserve">⑥外卖：工作日期间每天下午提供部分盒饭，提供外卖，重大节假日外卖另定。同时负责外卖的统计和发放。</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⑦</w:t>
            </w:r>
            <w:r>
              <w:rPr>
                <w:rFonts w:hint="eastAsia" w:ascii="宋体" w:hAnsi="宋体" w:cs="宋体"/>
                <w:highlight w:val="none"/>
              </w:rPr>
              <w:t xml:space="preserve">节假日等特殊情况供餐保障：重大活动及年底结案高峰期，根据工作需要提供就餐保障服务。</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⑧</w:t>
            </w:r>
            <w:r>
              <w:rPr>
                <w:rFonts w:hint="eastAsia" w:ascii="宋体" w:hAnsi="宋体" w:cs="宋体"/>
                <w:highlight w:val="none"/>
              </w:rPr>
              <w:t xml:space="preserve">重要节日提供特色服务：不少于6次/年。</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⑨</w:t>
            </w:r>
            <w:r>
              <w:rPr>
                <w:rFonts w:hint="eastAsia" w:ascii="宋体" w:hAnsi="宋体" w:cs="宋体"/>
                <w:highlight w:val="none"/>
              </w:rPr>
              <w:t xml:space="preserve">以上要求根据甲方需求调整。</w:t>
            </w:r>
            <w:r/>
          </w:p>
        </w:tc>
      </w:tr>
      <w:tr>
        <w:trPr>
          <w:jc w:val="right"/>
          <w:trHeight w:val="454"/>
        </w:trPr>
        <w:tc>
          <w:tcPr>
            <w:tcW w:w="710"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1134"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7511"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派出法庭：</w:t>
            </w:r>
            <w:r/>
          </w:p>
          <w:p>
            <w:pPr>
              <w:spacing w:line="360" w:lineRule="auto"/>
              <w:rPr>
                <w:rFonts w:ascii="宋体" w:hAnsi="宋体" w:cs="宋体"/>
                <w:highlight w:val="none"/>
              </w:rPr>
            </w:pPr>
            <w:r>
              <w:rPr>
                <w:rFonts w:ascii="宋体" w:hAnsi="宋体" w:cs="宋体"/>
                <w:highlight w:val="none"/>
              </w:rPr>
              <w:t xml:space="preserve">①负责</w:t>
            </w:r>
            <w:r>
              <w:rPr>
                <w:rFonts w:hint="eastAsia" w:ascii="宋体" w:hAnsi="宋体" w:cs="宋体"/>
                <w:highlight w:val="none"/>
              </w:rPr>
              <w:t xml:space="preserve">干</w:t>
            </w:r>
            <w:r>
              <w:rPr>
                <w:rFonts w:ascii="宋体" w:hAnsi="宋体" w:cs="宋体"/>
                <w:highlight w:val="none"/>
              </w:rPr>
              <w:t xml:space="preserve">警</w:t>
            </w:r>
            <w:r>
              <w:rPr>
                <w:rFonts w:hint="eastAsia" w:ascii="宋体" w:hAnsi="宋体" w:cs="宋体"/>
                <w:highlight w:val="none"/>
              </w:rPr>
              <w:t xml:space="preserve">食堂</w:t>
            </w:r>
            <w:r>
              <w:rPr>
                <w:rFonts w:ascii="宋体" w:hAnsi="宋体" w:cs="宋体"/>
                <w:highlight w:val="none"/>
              </w:rPr>
              <w:t xml:space="preserve">一日三餐的供应。</w:t>
            </w:r>
            <w:r/>
          </w:p>
          <w:p>
            <w:pPr>
              <w:spacing w:line="360" w:lineRule="auto"/>
              <w:rPr>
                <w:rFonts w:ascii="宋体" w:hAnsi="宋体" w:cs="宋体"/>
                <w:highlight w:val="none"/>
              </w:rPr>
            </w:pPr>
            <w:r>
              <w:rPr>
                <w:rFonts w:ascii="宋体" w:hAnsi="宋体" w:cs="宋体"/>
                <w:highlight w:val="none"/>
              </w:rPr>
              <w:t xml:space="preserve">②</w:t>
            </w:r>
            <w:r>
              <w:rPr>
                <w:rFonts w:hint="eastAsia" w:ascii="宋体" w:hAnsi="宋体" w:cs="宋体"/>
                <w:highlight w:val="none"/>
              </w:rPr>
              <w:t xml:space="preserve">15人就餐。</w:t>
            </w:r>
            <w:r/>
          </w:p>
          <w:p>
            <w:pPr>
              <w:spacing w:line="360" w:lineRule="auto"/>
              <w:rPr>
                <w:rFonts w:ascii="宋体" w:hAnsi="宋体" w:cs="宋体"/>
                <w:highlight w:val="none"/>
              </w:rPr>
            </w:pPr>
            <w:r>
              <w:rPr>
                <w:rFonts w:ascii="宋体" w:hAnsi="宋体" w:cs="宋体"/>
                <w:highlight w:val="none"/>
              </w:rPr>
              <w:t xml:space="preserve">③</w:t>
            </w:r>
            <w:r>
              <w:rPr>
                <w:rFonts w:hint="eastAsia" w:ascii="宋体" w:hAnsi="宋体" w:cs="宋体"/>
                <w:highlight w:val="none"/>
              </w:rPr>
              <w:t xml:space="preserve">制作一般工作接待用餐。</w:t>
            </w:r>
            <w:r/>
          </w:p>
        </w:tc>
      </w:tr>
      <w:tr>
        <w:trPr>
          <w:jc w:val="right"/>
          <w:trHeight w:val="454"/>
        </w:trPr>
        <w:tc>
          <w:tcPr>
            <w:tcW w:w="710"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2</w:t>
            </w:r>
            <w:r/>
          </w:p>
        </w:tc>
        <w:tc>
          <w:tcPr>
            <w:tcW w:w="1134"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工作要求</w:t>
            </w:r>
            <w:r/>
          </w:p>
        </w:tc>
        <w:tc>
          <w:tcPr>
            <w:tcW w:w="7511"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①餐饮管理要求：制定餐饮管理制度（涵盖食品加工、预防食物中毒、消防、卫生、员工管理、员工培训、劳动纪律等各个方面）、各个岗位的工作职责、操作程序等，并能较好地执行。</w:t>
            </w:r>
            <w:r/>
          </w:p>
          <w:p>
            <w:pPr>
              <w:spacing w:line="360" w:lineRule="auto"/>
              <w:rPr>
                <w:rFonts w:ascii="宋体" w:hAnsi="宋体" w:cs="宋体"/>
                <w:highlight w:val="none"/>
              </w:rPr>
            </w:pPr>
            <w:r>
              <w:rPr>
                <w:rFonts w:ascii="宋体" w:hAnsi="宋体" w:cs="宋体"/>
                <w:highlight w:val="none"/>
              </w:rPr>
              <w:t xml:space="preserve">②厨房、餐厅以及公共区域卫生要求：符合食品药品监督管理部门、卫生防疫部门、环境保护部门对餐饮行业的管理要求。</w:t>
            </w:r>
            <w:r/>
          </w:p>
          <w:p>
            <w:pPr>
              <w:spacing w:line="360" w:lineRule="auto"/>
              <w:rPr>
                <w:rFonts w:ascii="宋体" w:hAnsi="宋体" w:cs="宋体"/>
                <w:highlight w:val="none"/>
              </w:rPr>
            </w:pPr>
            <w:r>
              <w:rPr>
                <w:rFonts w:ascii="宋体" w:hAnsi="宋体" w:cs="宋体"/>
                <w:highlight w:val="none"/>
              </w:rPr>
              <w:t xml:space="preserve">如：A、个人卫生</w:t>
            </w:r>
            <w:r/>
          </w:p>
          <w:p>
            <w:pPr>
              <w:spacing w:line="360" w:lineRule="auto"/>
              <w:rPr>
                <w:rFonts w:ascii="宋体" w:hAnsi="宋体" w:cs="宋体"/>
                <w:highlight w:val="none"/>
              </w:rPr>
            </w:pPr>
            <w:r>
              <w:rPr>
                <w:rFonts w:hint="eastAsia" w:ascii="宋体" w:hAnsi="宋体" w:cs="宋体"/>
                <w:highlight w:val="none"/>
              </w:rPr>
              <w:t xml:space="preserve">食堂所有</w:t>
            </w:r>
            <w:r>
              <w:rPr>
                <w:rFonts w:ascii="宋体" w:hAnsi="宋体" w:cs="宋体"/>
                <w:highlight w:val="none"/>
              </w:rPr>
              <w:t xml:space="preserve">人员</w:t>
            </w:r>
            <w:r>
              <w:rPr>
                <w:rFonts w:hint="eastAsia" w:ascii="宋体" w:hAnsi="宋体" w:cs="宋体"/>
                <w:highlight w:val="none"/>
              </w:rPr>
              <w:t xml:space="preserve">应具有</w:t>
            </w:r>
            <w:r>
              <w:rPr>
                <w:rFonts w:ascii="宋体" w:hAnsi="宋体" w:cs="宋体"/>
                <w:highlight w:val="none"/>
              </w:rPr>
              <w:t xml:space="preserve">健康证。</w:t>
            </w:r>
            <w:r/>
          </w:p>
          <w:p>
            <w:pPr>
              <w:spacing w:line="360" w:lineRule="auto"/>
              <w:rPr>
                <w:rFonts w:ascii="宋体" w:hAnsi="宋体" w:cs="宋体"/>
                <w:highlight w:val="none"/>
              </w:rPr>
            </w:pPr>
            <w:r>
              <w:rPr>
                <w:rFonts w:ascii="宋体" w:hAnsi="宋体" w:cs="宋体"/>
                <w:highlight w:val="none"/>
              </w:rPr>
              <w:t xml:space="preserve">出现感冒、发烧等临时性传染性疾病者不得继续工作，</w:t>
            </w:r>
            <w:r>
              <w:rPr>
                <w:rFonts w:hint="eastAsia" w:ascii="宋体" w:hAnsi="宋体" w:cs="宋体"/>
                <w:highlight w:val="none"/>
              </w:rPr>
              <w:t xml:space="preserve">痊愈后</w:t>
            </w:r>
            <w:r>
              <w:rPr>
                <w:rFonts w:ascii="宋体" w:hAnsi="宋体" w:cs="宋体"/>
                <w:highlight w:val="none"/>
              </w:rPr>
              <w:t xml:space="preserve">方可继续工作。</w:t>
            </w:r>
            <w:r/>
          </w:p>
          <w:p>
            <w:pPr>
              <w:spacing w:line="360" w:lineRule="auto"/>
              <w:rPr>
                <w:rFonts w:ascii="宋体" w:hAnsi="宋体" w:cs="宋体"/>
                <w:highlight w:val="none"/>
              </w:rPr>
            </w:pPr>
            <w:r>
              <w:rPr>
                <w:rFonts w:ascii="宋体" w:hAnsi="宋体" w:cs="宋体"/>
                <w:highlight w:val="none"/>
              </w:rPr>
              <w:t xml:space="preserve">搞好个人卫生。严禁留长指甲，涂指甲油。有灰指甲者不得录用。</w:t>
            </w:r>
            <w:r/>
          </w:p>
          <w:p>
            <w:pPr>
              <w:spacing w:line="360" w:lineRule="auto"/>
              <w:rPr>
                <w:rFonts w:ascii="宋体" w:hAnsi="宋体" w:cs="宋体"/>
                <w:highlight w:val="none"/>
              </w:rPr>
            </w:pPr>
            <w:r>
              <w:rPr>
                <w:rFonts w:ascii="宋体" w:hAnsi="宋体" w:cs="宋体"/>
                <w:highlight w:val="none"/>
              </w:rPr>
              <w:t xml:space="preserve">按规定统一着装并保持干净整洁。</w:t>
            </w:r>
            <w:r/>
          </w:p>
          <w:p>
            <w:pPr>
              <w:spacing w:line="360" w:lineRule="auto"/>
              <w:rPr>
                <w:rFonts w:ascii="宋体" w:hAnsi="宋体" w:cs="宋体"/>
                <w:highlight w:val="none"/>
              </w:rPr>
            </w:pPr>
            <w:r>
              <w:rPr>
                <w:rFonts w:hint="eastAsia" w:ascii="宋体" w:hAnsi="宋体" w:cs="宋体"/>
                <w:highlight w:val="none"/>
              </w:rPr>
              <w:t xml:space="preserve">食堂所有工作人员</w:t>
            </w:r>
            <w:r>
              <w:rPr>
                <w:rFonts w:ascii="宋体" w:hAnsi="宋体" w:cs="宋体"/>
                <w:highlight w:val="none"/>
              </w:rPr>
              <w:t xml:space="preserve">应佩戴一次性口罩、手套</w:t>
            </w:r>
            <w:r>
              <w:rPr>
                <w:rFonts w:hint="eastAsia" w:ascii="宋体" w:hAnsi="宋体" w:cs="宋体"/>
                <w:highlight w:val="none"/>
              </w:rPr>
              <w:t xml:space="preserve">、防护帽</w:t>
            </w:r>
            <w:r>
              <w:rPr>
                <w:rFonts w:ascii="宋体" w:hAnsi="宋体" w:cs="宋体"/>
                <w:highlight w:val="none"/>
              </w:rPr>
              <w:t xml:space="preserve">；头发不得露出帽檐。</w:t>
            </w:r>
            <w:r/>
          </w:p>
          <w:p>
            <w:pPr>
              <w:spacing w:line="360" w:lineRule="auto"/>
              <w:rPr>
                <w:rFonts w:ascii="宋体" w:hAnsi="宋体" w:cs="宋体"/>
                <w:highlight w:val="none"/>
              </w:rPr>
            </w:pPr>
            <w:r>
              <w:rPr>
                <w:rFonts w:ascii="宋体" w:hAnsi="宋体" w:cs="宋体"/>
                <w:highlight w:val="none"/>
              </w:rPr>
              <w:t xml:space="preserve">工作期间不得佩戴过多饰物。特别是接触食物人员禁止</w:t>
            </w:r>
            <w:r>
              <w:rPr>
                <w:rFonts w:hint="eastAsia" w:ascii="宋体" w:hAnsi="宋体" w:cs="宋体"/>
                <w:highlight w:val="none"/>
              </w:rPr>
              <w:t xml:space="preserve">在</w:t>
            </w:r>
            <w:r>
              <w:rPr>
                <w:rFonts w:ascii="宋体" w:hAnsi="宋体" w:cs="宋体"/>
                <w:highlight w:val="none"/>
              </w:rPr>
              <w:t xml:space="preserve">手上和手腕上佩戴饰物。</w:t>
            </w:r>
            <w:r/>
          </w:p>
          <w:p>
            <w:pPr>
              <w:spacing w:line="360" w:lineRule="auto"/>
              <w:rPr>
                <w:rFonts w:ascii="宋体" w:hAnsi="宋体" w:cs="宋体"/>
                <w:highlight w:val="none"/>
              </w:rPr>
            </w:pPr>
            <w:r>
              <w:rPr>
                <w:rFonts w:ascii="宋体" w:hAnsi="宋体" w:cs="宋体"/>
                <w:highlight w:val="none"/>
              </w:rPr>
              <w:t xml:space="preserve">③餐厅服务要求：符合礼仪规范，业务操作娴熟。</w:t>
            </w:r>
            <w:r/>
          </w:p>
          <w:p>
            <w:pPr>
              <w:spacing w:line="360" w:lineRule="auto"/>
              <w:rPr>
                <w:rFonts w:ascii="宋体" w:hAnsi="宋体" w:cs="宋体"/>
                <w:highlight w:val="none"/>
              </w:rPr>
            </w:pPr>
            <w:r>
              <w:rPr>
                <w:rFonts w:ascii="宋体" w:hAnsi="宋体" w:cs="宋体"/>
                <w:highlight w:val="none"/>
              </w:rPr>
              <w:t xml:space="preserve">④员工要求：餐饮从业人员必须身体健康、无不良嗜好、精神状态良好，具有相应岗位的上岗资格和业务技能。</w:t>
            </w:r>
            <w:r/>
          </w:p>
          <w:p>
            <w:pPr>
              <w:spacing w:line="360" w:lineRule="auto"/>
              <w:rPr>
                <w:rFonts w:ascii="宋体" w:hAnsi="宋体" w:cs="宋体"/>
                <w:highlight w:val="none"/>
              </w:rPr>
            </w:pPr>
            <w:r>
              <w:rPr>
                <w:rFonts w:ascii="宋体" w:hAnsi="宋体" w:cs="宋体"/>
                <w:highlight w:val="none"/>
              </w:rPr>
              <w:t xml:space="preserve">⑤厨余垃圾处理要求：用餐完毕后及时清理餐桌，收集残羹剩菜，负责把餐厨垃圾集中到指定的中转垃圾集中点处理，做到无垃圾、无污物、无蚊蝇、无臭味、无污染。</w:t>
            </w:r>
            <w:r/>
          </w:p>
          <w:p>
            <w:pPr>
              <w:spacing w:line="360" w:lineRule="auto"/>
              <w:rPr>
                <w:rFonts w:ascii="宋体" w:hAnsi="宋体" w:cs="宋体"/>
                <w:highlight w:val="none"/>
              </w:rPr>
            </w:pPr>
            <w:r>
              <w:rPr>
                <w:rFonts w:ascii="宋体" w:hAnsi="宋体" w:cs="宋体"/>
                <w:highlight w:val="none"/>
              </w:rPr>
              <w:t xml:space="preserve">⑥对每日制作的食材应留样备查，</w:t>
            </w:r>
            <w:r>
              <w:rPr>
                <w:rFonts w:hint="eastAsia" w:ascii="宋体" w:hAnsi="宋体" w:cs="宋体"/>
                <w:highlight w:val="none"/>
              </w:rPr>
              <w:t xml:space="preserve">食品加工制作严格遵照规范要求，禁止使用质量不合格、过期食材以保证食品安全，防止食物性中毒或其他食源性疾患事故发生</w:t>
            </w:r>
            <w:r>
              <w:rPr>
                <w:rFonts w:ascii="宋体" w:hAnsi="宋体" w:cs="宋体"/>
                <w:highlight w:val="none"/>
              </w:rPr>
              <w:t xml:space="preserve">。</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⑦</w:t>
            </w:r>
            <w:r>
              <w:rPr>
                <w:rFonts w:hint="eastAsia" w:ascii="宋体" w:hAnsi="宋体" w:cs="宋体"/>
                <w:highlight w:val="none"/>
              </w:rPr>
              <w:t xml:space="preserve">规范参与食材验收工作，严把食材质量关、数量关，严格查验食材包装、合格证明、生产日期以及品牌数量等，并拍照备查。配合仓库管理员做好出入库管理，执行出入库清单缺席，每月底对出库消耗进行库存盘点，并按有效期远近使用。</w:t>
            </w:r>
            <w:r/>
          </w:p>
          <w:p>
            <w:pPr>
              <w:spacing w:line="360" w:lineRule="auto"/>
              <w:rPr>
                <w:rFonts w:ascii="宋体" w:hAnsi="宋体" w:cs="宋体"/>
                <w:highlight w:val="none"/>
              </w:rPr>
            </w:pPr>
            <w:r>
              <w:rPr>
                <w:rFonts w:hint="eastAsia" w:ascii="方正仿宋_GB2312" w:hAnsi="方正仿宋_GB2312" w:eastAsia="方正仿宋_GB2312" w:cs="方正仿宋_GB2312"/>
                <w:highlight w:val="none"/>
              </w:rPr>
              <w:t xml:space="preserve">⑧</w:t>
            </w:r>
            <w:r>
              <w:rPr>
                <w:rFonts w:hint="eastAsia" w:ascii="宋体" w:hAnsi="宋体" w:cs="宋体"/>
                <w:highlight w:val="none"/>
              </w:rPr>
              <w:t xml:space="preserve">加强就餐管理，严格各类工作人员就餐刷卡和外来人员就餐登记，做到应刷尽刷，同时每周汇总统计。</w:t>
            </w:r>
            <w:r/>
          </w:p>
        </w:tc>
      </w:tr>
      <w:tr>
        <w:trPr>
          <w:jc w:val="right"/>
          <w:trHeight w:val="454"/>
        </w:trPr>
        <w:tc>
          <w:tcPr>
            <w:tcW w:w="710"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3</w:t>
            </w:r>
            <w:r/>
          </w:p>
        </w:tc>
        <w:tc>
          <w:tcPr>
            <w:tcW w:w="1134"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资产管理和设施设备维护要求</w:t>
            </w:r>
            <w:r/>
          </w:p>
        </w:tc>
        <w:tc>
          <w:tcPr>
            <w:tcW w:w="7511" w:type="dxa"/>
            <w:vAlign w:val="center"/>
            <w:textDirection w:val="lrTb"/>
            <w:noWrap w:val="false"/>
          </w:tcPr>
          <w:p>
            <w:pPr>
              <w:spacing w:line="360" w:lineRule="auto"/>
              <w:rPr>
                <w:rFonts w:ascii="宋体" w:hAnsi="宋体" w:cs="宋体"/>
                <w:highlight w:val="none"/>
              </w:rPr>
            </w:pPr>
            <w:r>
              <w:rPr>
                <w:rFonts w:ascii="宋体" w:hAnsi="宋体" w:cs="宋体"/>
                <w:highlight w:val="none"/>
              </w:rPr>
              <w:t xml:space="preserve">①定期保养，保持各种厨具设备的使用功能处于良好状态。其中制冷设备、炉灶设备每月检查保养一次、机械设备每季检查保养一次。</w:t>
            </w:r>
            <w:r/>
          </w:p>
          <w:p>
            <w:pPr>
              <w:spacing w:line="360" w:lineRule="auto"/>
              <w:rPr>
                <w:rFonts w:ascii="宋体" w:hAnsi="宋体" w:cs="宋体"/>
                <w:highlight w:val="none"/>
              </w:rPr>
            </w:pPr>
            <w:r>
              <w:rPr>
                <w:rFonts w:ascii="宋体" w:hAnsi="宋体" w:cs="宋体"/>
                <w:highlight w:val="none"/>
              </w:rPr>
              <w:t xml:space="preserve">②每季一次清洗油烟管道，</w:t>
            </w:r>
            <w:r>
              <w:rPr>
                <w:rFonts w:hint="eastAsia" w:ascii="宋体" w:hAnsi="宋体" w:cs="宋体"/>
                <w:highlight w:val="none"/>
              </w:rPr>
              <w:t xml:space="preserve">夏季视情增加清洗频次，</w:t>
            </w:r>
            <w:r>
              <w:rPr>
                <w:rFonts w:ascii="宋体" w:hAnsi="宋体" w:cs="宋体"/>
                <w:highlight w:val="none"/>
              </w:rPr>
              <w:t xml:space="preserve">预防火灾事故。</w:t>
            </w:r>
            <w:r/>
          </w:p>
          <w:p>
            <w:pPr>
              <w:spacing w:line="360" w:lineRule="auto"/>
              <w:rPr>
                <w:rFonts w:ascii="宋体" w:hAnsi="宋体" w:cs="宋体"/>
                <w:highlight w:val="none"/>
              </w:rPr>
            </w:pPr>
            <w:r>
              <w:rPr>
                <w:rFonts w:ascii="宋体" w:hAnsi="宋体" w:cs="宋体"/>
                <w:highlight w:val="none"/>
              </w:rPr>
              <w:t xml:space="preserve">③每周二次清理隔油池，预防管道堵塞、保持清洁卫生。</w:t>
            </w:r>
            <w:r/>
          </w:p>
          <w:p>
            <w:pPr>
              <w:spacing w:line="360" w:lineRule="auto"/>
              <w:rPr>
                <w:rFonts w:ascii="宋体" w:hAnsi="宋体" w:cs="宋体"/>
                <w:highlight w:val="none"/>
              </w:rPr>
            </w:pPr>
            <w:r>
              <w:rPr>
                <w:rFonts w:ascii="宋体" w:hAnsi="宋体" w:cs="宋体"/>
                <w:highlight w:val="none"/>
              </w:rPr>
              <w:t xml:space="preserve">④每季度对食堂、餐厅的</w:t>
            </w:r>
            <w:r>
              <w:rPr>
                <w:rFonts w:hint="eastAsia" w:ascii="宋体" w:hAnsi="宋体" w:cs="宋体"/>
                <w:highlight w:val="none"/>
              </w:rPr>
              <w:t xml:space="preserve">瓷砖</w:t>
            </w:r>
            <w:r>
              <w:rPr>
                <w:rFonts w:ascii="宋体" w:hAnsi="宋体" w:cs="宋体"/>
                <w:highlight w:val="none"/>
              </w:rPr>
              <w:t xml:space="preserve">进行一次清洁保养。</w:t>
            </w:r>
            <w:r/>
          </w:p>
          <w:p>
            <w:pPr>
              <w:spacing w:line="360" w:lineRule="auto"/>
              <w:rPr>
                <w:rFonts w:ascii="宋体" w:hAnsi="宋体" w:cs="宋体"/>
                <w:highlight w:val="none"/>
              </w:rPr>
            </w:pPr>
            <w:r>
              <w:rPr>
                <w:rFonts w:ascii="宋体" w:hAnsi="宋体" w:cs="宋体"/>
                <w:highlight w:val="none"/>
              </w:rPr>
              <w:t xml:space="preserve">⑤</w:t>
            </w:r>
            <w:r>
              <w:rPr>
                <w:rFonts w:hint="eastAsia" w:ascii="宋体" w:hAnsi="宋体" w:cs="宋体"/>
                <w:highlight w:val="none"/>
              </w:rPr>
              <w:t xml:space="preserve">提高节俭意识，节约用水、用电、用气，避免浪费。</w:t>
            </w:r>
            <w:r/>
          </w:p>
        </w:tc>
      </w:tr>
    </w:tbl>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3.9理发服务</w:t>
      </w:r>
      <w:r/>
    </w:p>
    <w:tbl>
      <w:tblPr>
        <w:tblStyle w:val="773"/>
        <w:tblpPr w:horzAnchor="page" w:tblpX="1327" w:vertAnchor="text" w:tblpY="336" w:leftFromText="180" w:topFromText="0" w:rightFromText="180" w:bottomFromText="0"/>
        <w:tblW w:w="50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76"/>
        <w:gridCol w:w="7166"/>
      </w:tblGrid>
      <w:tr>
        <w:trPr>
          <w:trHeight w:val="454"/>
        </w:trPr>
        <w:tc>
          <w:tcPr>
            <w:tcW w:w="709" w:type="dxa"/>
            <w:vAlign w:val="center"/>
            <w:textDirection w:val="lrTb"/>
            <w:noWrap w:val="false"/>
          </w:tcPr>
          <w:p>
            <w:pPr>
              <w:spacing w:line="360" w:lineRule="auto"/>
              <w:rPr>
                <w:rFonts w:ascii="宋体" w:hAnsi="宋体" w:cs="宋体"/>
                <w:highlight w:val="none"/>
              </w:rPr>
            </w:pPr>
            <w:r>
              <w:rPr>
                <w:rFonts w:hint="eastAsia"/>
                <w:b/>
                <w:bCs/>
                <w:highlight w:val="none"/>
              </w:rPr>
              <w:t xml:space="preserve">序号</w:t>
            </w:r>
            <w:r/>
          </w:p>
        </w:tc>
        <w:tc>
          <w:tcPr>
            <w:tcW w:w="1476" w:type="dxa"/>
            <w:vAlign w:val="center"/>
            <w:textDirection w:val="lrTb"/>
            <w:noWrap w:val="false"/>
          </w:tcPr>
          <w:p>
            <w:pPr>
              <w:spacing w:line="360" w:lineRule="auto"/>
              <w:rPr>
                <w:rFonts w:ascii="宋体" w:hAnsi="宋体" w:cs="宋体"/>
                <w:highlight w:val="none"/>
              </w:rPr>
            </w:pPr>
            <w:r>
              <w:rPr>
                <w:b/>
                <w:bCs/>
                <w:highlight w:val="none"/>
              </w:rPr>
              <w:t xml:space="preserve">服务内容</w:t>
            </w:r>
            <w:r/>
          </w:p>
        </w:tc>
        <w:tc>
          <w:tcPr>
            <w:tcW w:w="7166" w:type="dxa"/>
            <w:vAlign w:val="center"/>
            <w:textDirection w:val="lrTb"/>
            <w:noWrap w:val="false"/>
          </w:tcPr>
          <w:p>
            <w:pPr>
              <w:spacing w:line="360" w:lineRule="auto"/>
              <w:rPr>
                <w:rFonts w:ascii="宋体" w:hAnsi="宋体" w:cs="宋体"/>
                <w:highlight w:val="none"/>
              </w:rPr>
            </w:pPr>
            <w:r>
              <w:rPr>
                <w:rFonts w:hint="eastAsia"/>
                <w:b/>
                <w:bCs/>
                <w:highlight w:val="none"/>
              </w:rPr>
              <w:t xml:space="preserve">服务标准</w:t>
            </w:r>
            <w:r/>
          </w:p>
        </w:tc>
      </w:tr>
      <w:tr>
        <w:trPr>
          <w:trHeight w:val="454"/>
        </w:trPr>
        <w:tc>
          <w:tcPr>
            <w:tcW w:w="709"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1</w:t>
            </w:r>
            <w:r/>
          </w:p>
        </w:tc>
        <w:tc>
          <w:tcPr>
            <w:tcW w:w="1476"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基本要求</w:t>
            </w:r>
            <w:r/>
          </w:p>
        </w:tc>
        <w:tc>
          <w:tcPr>
            <w:tcW w:w="7166"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每周提供两次干警理发服务。</w:t>
            </w:r>
            <w:r/>
          </w:p>
        </w:tc>
      </w:tr>
      <w:tr>
        <w:trPr>
          <w:trHeight w:val="454"/>
        </w:trPr>
        <w:tc>
          <w:tcPr>
            <w:tcW w:w="709" w:type="dxa"/>
            <w:vAlign w:val="center"/>
            <w:vMerge w:val="restart"/>
            <w:textDirection w:val="lrTb"/>
            <w:noWrap w:val="false"/>
          </w:tcPr>
          <w:p>
            <w:pPr>
              <w:spacing w:line="360" w:lineRule="auto"/>
              <w:rPr>
                <w:rFonts w:ascii="宋体" w:hAnsi="宋体" w:cs="宋体"/>
                <w:highlight w:val="none"/>
              </w:rPr>
            </w:pPr>
            <w:r>
              <w:rPr>
                <w:rFonts w:hint="eastAsia" w:ascii="宋体" w:hAnsi="宋体" w:cs="宋体"/>
                <w:highlight w:val="none"/>
              </w:rPr>
              <w:t xml:space="preserve">2</w:t>
            </w:r>
            <w:r/>
          </w:p>
        </w:tc>
        <w:tc>
          <w:tcPr>
            <w:tcW w:w="1476" w:type="dxa"/>
            <w:vAlign w:val="center"/>
            <w:vMerge w:val="restart"/>
            <w:textDirection w:val="lrTb"/>
            <w:noWrap w:val="false"/>
          </w:tcPr>
          <w:p>
            <w:pPr>
              <w:spacing w:line="360" w:lineRule="auto"/>
              <w:rPr>
                <w:rFonts w:ascii="宋体" w:hAnsi="宋体" w:cs="宋体"/>
                <w:highlight w:val="none"/>
              </w:rPr>
            </w:pPr>
            <w:r>
              <w:rPr>
                <w:rFonts w:hint="eastAsia" w:ascii="宋体" w:hAnsi="宋体" w:cs="宋体"/>
                <w:highlight w:val="none"/>
              </w:rPr>
              <w:t xml:space="preserve">理发</w:t>
            </w:r>
            <w:r/>
          </w:p>
        </w:tc>
        <w:tc>
          <w:tcPr>
            <w:tcW w:w="7166"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理发师应具有3年以上从业经验，技能娴熟。</w:t>
            </w:r>
            <w:r/>
          </w:p>
        </w:tc>
      </w:tr>
      <w:tr>
        <w:trPr>
          <w:trHeight w:val="454"/>
        </w:trPr>
        <w:tc>
          <w:tcPr>
            <w:tcW w:w="709"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1476"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7166"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身体健康、无不良嗜好；服从安排，严格遵守保密规定；维护好理发室卫生。</w:t>
            </w:r>
            <w:r/>
          </w:p>
        </w:tc>
      </w:tr>
    </w:tbl>
    <w:p>
      <w:pPr>
        <w:ind w:firstLine="480"/>
        <w:spacing w:line="360" w:lineRule="auto"/>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（四）投标人履行合同所需的设备</w:t>
      </w:r>
      <w:r/>
    </w:p>
    <w:p>
      <w:pPr>
        <w:ind w:firstLine="480"/>
        <w:spacing w:line="360" w:lineRule="auto"/>
        <w:rPr>
          <w:color w:val="ff0000"/>
          <w:sz w:val="32"/>
          <w:szCs w:val="32"/>
          <w:highlight w:val="none"/>
        </w:rPr>
      </w:pPr>
      <w:r>
        <w:rPr>
          <w:rFonts w:hint="eastAsia" w:ascii="方正仿宋_GBK" w:hAnsi="方正仿宋_GBK" w:eastAsia="方正仿宋_GBK" w:cs="方正仿宋_GBK"/>
          <w:bCs/>
          <w:sz w:val="32"/>
          <w:szCs w:val="32"/>
          <w:highlight w:val="none"/>
        </w:rPr>
        <w:t xml:space="preserve">采购人根据项目实际需求，需要投标人提供作业设备（自有或租赁）用于物业管理服务的，可在下表中列出：</w:t>
      </w:r>
      <w:r/>
    </w:p>
    <w:tbl>
      <w:tblPr>
        <w:tblStyle w:val="7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868"/>
        <w:gridCol w:w="3569"/>
        <w:gridCol w:w="990"/>
        <w:gridCol w:w="966"/>
      </w:tblGrid>
      <w:tr>
        <w:trPr>
          <w:jc w:val="center"/>
          <w:trHeight w:val="454"/>
        </w:trPr>
        <w:tc>
          <w:tcPr>
            <w:tcW w:w="759" w:type="dxa"/>
            <w:vAlign w:val="center"/>
            <w:textDirection w:val="lrTb"/>
            <w:noWrap w:val="false"/>
          </w:tcPr>
          <w:p>
            <w:pPr>
              <w:rPr>
                <w:highlight w:val="none"/>
                <w:lang w:eastAsia="en-US"/>
              </w:rPr>
            </w:pPr>
            <w:r>
              <w:rPr>
                <w:highlight w:val="none"/>
                <w:lang w:eastAsia="en-US"/>
              </w:rPr>
              <w:t xml:space="preserve">序号</w:t>
            </w:r>
            <w:r/>
          </w:p>
        </w:tc>
        <w:tc>
          <w:tcPr>
            <w:tcW w:w="2807" w:type="dxa"/>
            <w:vAlign w:val="center"/>
            <w:textDirection w:val="lrTb"/>
            <w:noWrap w:val="false"/>
          </w:tcPr>
          <w:p>
            <w:pPr>
              <w:rPr>
                <w:highlight w:val="none"/>
                <w:lang w:eastAsia="en-US"/>
              </w:rPr>
            </w:pPr>
            <w:r>
              <w:rPr>
                <w:rFonts w:hint="eastAsia"/>
                <w:highlight w:val="none"/>
                <w:lang w:eastAsia="en-US"/>
              </w:rPr>
              <w:t xml:space="preserve">用途</w:t>
            </w:r>
            <w:r/>
          </w:p>
        </w:tc>
        <w:tc>
          <w:tcPr>
            <w:tcW w:w="3493" w:type="dxa"/>
            <w:vAlign w:val="center"/>
            <w:textDirection w:val="lrTb"/>
            <w:noWrap w:val="false"/>
          </w:tcPr>
          <w:p>
            <w:pPr>
              <w:rPr>
                <w:highlight w:val="none"/>
                <w:lang w:eastAsia="en-US"/>
              </w:rPr>
            </w:pPr>
            <w:r>
              <w:rPr>
                <w:rFonts w:hint="eastAsia"/>
                <w:highlight w:val="none"/>
                <w:lang w:eastAsia="en-US"/>
              </w:rPr>
              <w:t xml:space="preserve">作业设备</w:t>
            </w:r>
            <w:r>
              <w:rPr>
                <w:highlight w:val="none"/>
                <w:lang w:eastAsia="en-US"/>
              </w:rPr>
              <w:t xml:space="preserve">名称</w:t>
            </w:r>
            <w:r/>
          </w:p>
        </w:tc>
        <w:tc>
          <w:tcPr>
            <w:tcW w:w="969" w:type="dxa"/>
            <w:vAlign w:val="center"/>
            <w:textDirection w:val="lrTb"/>
            <w:noWrap w:val="false"/>
          </w:tcPr>
          <w:p>
            <w:pPr>
              <w:rPr>
                <w:highlight w:val="none"/>
                <w:lang w:eastAsia="en-US"/>
              </w:rPr>
            </w:pPr>
            <w:r>
              <w:rPr>
                <w:rFonts w:hint="eastAsia"/>
                <w:highlight w:val="none"/>
                <w:lang w:eastAsia="en-US"/>
              </w:rPr>
              <w:t xml:space="preserve">数量</w:t>
            </w:r>
            <w:r/>
          </w:p>
        </w:tc>
        <w:tc>
          <w:tcPr>
            <w:tcW w:w="945" w:type="dxa"/>
            <w:vAlign w:val="center"/>
            <w:textDirection w:val="lrTb"/>
            <w:noWrap w:val="false"/>
          </w:tcPr>
          <w:p>
            <w:pPr>
              <w:rPr>
                <w:highlight w:val="none"/>
                <w:lang w:eastAsia="en-US"/>
              </w:rPr>
            </w:pPr>
            <w:r>
              <w:rPr>
                <w:rFonts w:hint="eastAsia"/>
                <w:highlight w:val="none"/>
                <w:lang w:eastAsia="en-US"/>
              </w:rPr>
              <w:t xml:space="preserve">单位</w:t>
            </w:r>
            <w:r/>
          </w:p>
        </w:tc>
      </w:tr>
      <w:tr>
        <w:trPr>
          <w:jc w:val="center"/>
          <w:trHeight w:val="434"/>
        </w:trPr>
        <w:tc>
          <w:tcPr>
            <w:tcW w:w="759" w:type="dxa"/>
            <w:vAlign w:val="center"/>
            <w:textDirection w:val="lrTb"/>
            <w:noWrap w:val="false"/>
          </w:tcPr>
          <w:p>
            <w:pPr>
              <w:rPr>
                <w:highlight w:val="none"/>
                <w:lang w:eastAsia="en-US"/>
              </w:rPr>
            </w:pPr>
            <w:r>
              <w:rPr>
                <w:rFonts w:hint="eastAsia"/>
                <w:highlight w:val="none"/>
                <w:lang w:eastAsia="en-US"/>
              </w:rPr>
              <w:t xml:space="preserve">1</w:t>
            </w:r>
            <w:r/>
          </w:p>
        </w:tc>
        <w:tc>
          <w:tcPr>
            <w:tcW w:w="2807" w:type="dxa"/>
            <w:vAlign w:val="center"/>
            <w:textDirection w:val="lrTb"/>
            <w:noWrap w:val="false"/>
          </w:tcPr>
          <w:p>
            <w:pPr>
              <w:rPr>
                <w:highlight w:val="none"/>
                <w:lang w:eastAsia="en-US"/>
              </w:rPr>
            </w:pPr>
            <w:r>
              <w:rPr>
                <w:rFonts w:hint="eastAsia"/>
                <w:highlight w:val="none"/>
                <w:lang w:eastAsia="en-US"/>
              </w:rPr>
              <w:t xml:space="preserve">保洁服务</w:t>
            </w:r>
            <w:r/>
          </w:p>
        </w:tc>
        <w:tc>
          <w:tcPr>
            <w:tcW w:w="3493" w:type="dxa"/>
            <w:vAlign w:val="center"/>
            <w:textDirection w:val="lrTb"/>
            <w:noWrap w:val="false"/>
          </w:tcPr>
          <w:p>
            <w:pPr>
              <w:rPr>
                <w:highlight w:val="none"/>
              </w:rPr>
            </w:pPr>
            <w:r>
              <w:rPr>
                <w:rFonts w:hint="eastAsia"/>
                <w:highlight w:val="none"/>
              </w:rPr>
              <w:t xml:space="preserve">室内外扫帚、垃圾车、吸尘器、抹布、大小垃圾袋、专用清洁剂、平拖、软布拖把等</w:t>
            </w:r>
            <w:r/>
          </w:p>
        </w:tc>
        <w:tc>
          <w:tcPr>
            <w:tcW w:w="969" w:type="dxa"/>
            <w:vAlign w:val="center"/>
            <w:textDirection w:val="lrTb"/>
            <w:noWrap w:val="false"/>
          </w:tcPr>
          <w:p>
            <w:pPr>
              <w:rPr>
                <w:highlight w:val="none"/>
                <w:lang w:eastAsia="en-US"/>
              </w:rPr>
            </w:pPr>
            <w:r>
              <w:rPr>
                <w:rFonts w:hint="eastAsia"/>
                <w:highlight w:val="none"/>
                <w:lang w:eastAsia="en-US"/>
              </w:rPr>
              <w:t xml:space="preserve">1</w:t>
            </w:r>
            <w:r/>
          </w:p>
        </w:tc>
        <w:tc>
          <w:tcPr>
            <w:tcW w:w="945" w:type="dxa"/>
            <w:vAlign w:val="center"/>
            <w:textDirection w:val="lrTb"/>
            <w:noWrap w:val="false"/>
          </w:tcPr>
          <w:p>
            <w:pPr>
              <w:rPr>
                <w:highlight w:val="none"/>
                <w:lang w:eastAsia="en-US"/>
              </w:rPr>
            </w:pPr>
            <w:r>
              <w:rPr>
                <w:rFonts w:hint="eastAsia"/>
                <w:highlight w:val="none"/>
                <w:lang w:eastAsia="en-US"/>
              </w:rPr>
              <w:t xml:space="preserve">批</w:t>
            </w:r>
            <w:r/>
          </w:p>
        </w:tc>
      </w:tr>
      <w:tr>
        <w:trPr>
          <w:jc w:val="center"/>
          <w:trHeight w:val="454"/>
        </w:trPr>
        <w:tc>
          <w:tcPr>
            <w:tcW w:w="759" w:type="dxa"/>
            <w:vAlign w:val="center"/>
            <w:textDirection w:val="lrTb"/>
            <w:noWrap w:val="false"/>
          </w:tcPr>
          <w:p>
            <w:pPr>
              <w:rPr>
                <w:highlight w:val="none"/>
              </w:rPr>
            </w:pPr>
            <w:r>
              <w:rPr>
                <w:rFonts w:hint="eastAsia"/>
                <w:highlight w:val="none"/>
              </w:rPr>
              <w:t xml:space="preserve">2</w:t>
            </w:r>
            <w:r/>
          </w:p>
        </w:tc>
        <w:tc>
          <w:tcPr>
            <w:tcW w:w="2807" w:type="dxa"/>
            <w:vAlign w:val="center"/>
            <w:textDirection w:val="lrTb"/>
            <w:noWrap w:val="false"/>
          </w:tcPr>
          <w:p>
            <w:pPr>
              <w:rPr>
                <w:highlight w:val="none"/>
                <w:lang w:eastAsia="en-US"/>
              </w:rPr>
            </w:pPr>
            <w:r>
              <w:rPr>
                <w:rFonts w:hint="eastAsia"/>
                <w:highlight w:val="none"/>
                <w:lang w:eastAsia="en-US"/>
              </w:rPr>
              <w:t xml:space="preserve">保安服务</w:t>
            </w:r>
            <w:r/>
          </w:p>
        </w:tc>
        <w:tc>
          <w:tcPr>
            <w:tcW w:w="3493" w:type="dxa"/>
            <w:vAlign w:val="center"/>
            <w:textDirection w:val="lrTb"/>
            <w:noWrap w:val="false"/>
          </w:tcPr>
          <w:p>
            <w:pPr>
              <w:rPr>
                <w:highlight w:val="none"/>
                <w:lang w:eastAsia="en-US"/>
              </w:rPr>
            </w:pPr>
            <w:r>
              <w:rPr>
                <w:highlight w:val="none"/>
                <w:lang w:eastAsia="en-US"/>
              </w:rPr>
              <w:t xml:space="preserve">对讲机</w:t>
            </w:r>
            <w:r>
              <w:rPr>
                <w:rFonts w:hint="eastAsia"/>
                <w:highlight w:val="none"/>
                <w:lang w:eastAsia="en-US"/>
              </w:rPr>
              <w:t xml:space="preserve">等</w:t>
            </w:r>
            <w:r/>
          </w:p>
        </w:tc>
        <w:tc>
          <w:tcPr>
            <w:tcW w:w="969" w:type="dxa"/>
            <w:vAlign w:val="center"/>
            <w:textDirection w:val="lrTb"/>
            <w:noWrap w:val="false"/>
          </w:tcPr>
          <w:p>
            <w:pPr>
              <w:rPr>
                <w:highlight w:val="none"/>
                <w:lang w:eastAsia="en-US"/>
              </w:rPr>
            </w:pPr>
            <w:r>
              <w:rPr>
                <w:rFonts w:hint="eastAsia"/>
                <w:highlight w:val="none"/>
                <w:lang w:eastAsia="en-US"/>
              </w:rPr>
              <w:t xml:space="preserve">7</w:t>
            </w:r>
            <w:r/>
          </w:p>
        </w:tc>
        <w:tc>
          <w:tcPr>
            <w:tcW w:w="945" w:type="dxa"/>
            <w:vAlign w:val="center"/>
            <w:textDirection w:val="lrTb"/>
            <w:noWrap w:val="false"/>
          </w:tcPr>
          <w:p>
            <w:pPr>
              <w:rPr>
                <w:highlight w:val="none"/>
                <w:lang w:eastAsia="en-US"/>
              </w:rPr>
            </w:pPr>
            <w:r>
              <w:rPr>
                <w:rFonts w:hint="eastAsia"/>
                <w:highlight w:val="none"/>
                <w:lang w:eastAsia="en-US"/>
              </w:rPr>
              <w:t xml:space="preserve">套</w:t>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注：采购人已无偿提供的作业设备，不在此重复要求。</w:t>
      </w:r>
      <w:r/>
    </w:p>
    <w:p>
      <w:pPr>
        <w:ind w:firstLine="480"/>
        <w:spacing w:line="360" w:lineRule="auto"/>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（五）物业管理服务人员需求</w:t>
      </w:r>
      <w:r/>
    </w:p>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5.1服务人员岗位配置情况（75人）</w:t>
      </w:r>
      <w:r/>
    </w:p>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5.1.1院本部人员配置情况（51人）</w:t>
      </w:r>
      <w:r/>
    </w:p>
    <w:tbl>
      <w:tblPr>
        <w:tblStyle w:val="773"/>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296"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32" w:type="dxa"/>
            <w:vAlign w:val="center"/>
            <w:textDirection w:val="lrTb"/>
            <w:noWrap w:val="false"/>
          </w:tcPr>
          <w:p>
            <w:pPr>
              <w:rPr>
                <w:highlight w:val="none"/>
                <w:lang w:eastAsia="en-US"/>
              </w:rPr>
            </w:pPr>
            <w:r>
              <w:rPr>
                <w:rFonts w:hint="eastAsia"/>
                <w:highlight w:val="none"/>
                <w:lang w:eastAsia="en-US"/>
              </w:rPr>
              <w:t xml:space="preserve">岗位</w:t>
            </w:r>
            <w:r/>
          </w:p>
        </w:tc>
        <w:tc>
          <w:tcPr>
            <w:tcW w:w="1094"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183"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827"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296" w:type="dxa"/>
            <w:vAlign w:val="center"/>
            <w:textDirection w:val="lrTb"/>
            <w:noWrap w:val="false"/>
          </w:tcPr>
          <w:p>
            <w:pPr>
              <w:rPr>
                <w:highlight w:val="none"/>
              </w:rPr>
            </w:pPr>
            <w:r>
              <w:rPr>
                <w:rFonts w:hint="eastAsia"/>
                <w:highlight w:val="none"/>
              </w:rPr>
              <w:t xml:space="preserve">物业管理处</w:t>
            </w:r>
            <w:r/>
          </w:p>
        </w:tc>
        <w:tc>
          <w:tcPr>
            <w:tcW w:w="1232" w:type="dxa"/>
            <w:vAlign w:val="center"/>
            <w:textDirection w:val="lrTb"/>
            <w:noWrap w:val="false"/>
          </w:tcPr>
          <w:p>
            <w:pPr>
              <w:rPr>
                <w:highlight w:val="none"/>
                <w:lang w:eastAsia="en-US"/>
              </w:rPr>
            </w:pPr>
            <w:r>
              <w:rPr>
                <w:rFonts w:hint="eastAsia"/>
                <w:highlight w:val="none"/>
                <w:lang w:eastAsia="en-US"/>
              </w:rPr>
              <w:t xml:space="preserve">项目经理</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本科及以上学历，有较强的组织领导能力、协调能力和沟通能力，能熟练操作计算机，并具有</w:t>
            </w:r>
            <w:r>
              <w:rPr>
                <w:rFonts w:hint="eastAsia"/>
                <w:highlight w:val="none"/>
              </w:rPr>
              <w:t xml:space="preserve">5年及以上类似项目管理经验（出具业绩证明，项目服务范围同时包含保洁服务、保安服务、会议服务和公用设施设备维护服务所有上述内容）、具有市域外物业服务项目或同一个项目其中有服务点位于市域外物业管理经验</w:t>
            </w:r>
            <w:r>
              <w:rPr>
                <w:rFonts w:hint="eastAsia"/>
                <w:highlight w:val="none"/>
                <w:lang w:eastAsia="zh-CN"/>
              </w:rPr>
              <w:t xml:space="preserve">（</w:t>
            </w:r>
            <w:r>
              <w:rPr>
                <w:rFonts w:hint="eastAsia"/>
                <w:highlight w:val="none"/>
                <w:lang w:val="en-US" w:eastAsia="zh-CN"/>
              </w:rPr>
              <w:t xml:space="preserve">此句中的</w:t>
            </w:r>
            <w:r>
              <w:rPr>
                <w:rFonts w:hint="eastAsia"/>
                <w:highlight w:val="none"/>
                <w:lang w:eastAsia="zh-CN"/>
              </w:rPr>
              <w:t xml:space="preserve">“</w:t>
            </w:r>
            <w:r>
              <w:rPr>
                <w:rFonts w:hint="eastAsia"/>
                <w:highlight w:val="none"/>
                <w:lang w:val="en-US" w:eastAsia="zh-CN"/>
              </w:rPr>
              <w:t xml:space="preserve">市</w:t>
            </w:r>
            <w:r>
              <w:rPr>
                <w:rFonts w:hint="eastAsia"/>
                <w:highlight w:val="none"/>
                <w:lang w:eastAsia="zh-CN"/>
              </w:rPr>
              <w:t xml:space="preserve">”</w:t>
            </w:r>
            <w:r>
              <w:rPr>
                <w:rFonts w:hint="eastAsia"/>
                <w:highlight w:val="none"/>
                <w:lang w:val="en-US" w:eastAsia="zh-CN"/>
              </w:rPr>
              <w:t xml:space="preserve">指设区市</w:t>
            </w:r>
            <w:r>
              <w:rPr>
                <w:rFonts w:hint="eastAsia"/>
                <w:highlight w:val="none"/>
                <w:lang w:eastAsia="zh-CN"/>
              </w:rPr>
              <w:t xml:space="preserve">）</w:t>
            </w:r>
            <w:r>
              <w:rPr>
                <w:rFonts w:hint="eastAsia"/>
                <w:highlight w:val="none"/>
              </w:rPr>
              <w:t xml:space="preserve">，</w:t>
            </w:r>
            <w:r>
              <w:rPr>
                <w:rFonts w:hint="eastAsia"/>
                <w:highlight w:val="none"/>
              </w:rPr>
              <w:t xml:space="preserve">确定实际派往并组织管理，如不能派往则视为违约。项目经理持有</w:t>
            </w:r>
            <w:bookmarkStart w:id="185" w:name="OLE_LINK45"/>
            <w:r>
              <w:rPr>
                <w:rFonts w:hint="eastAsia"/>
                <w:highlight w:val="none"/>
              </w:rPr>
              <w:t xml:space="preserve">物业管理师职业技能等级三级及以上证书</w:t>
            </w:r>
            <w:bookmarkEnd w:id="185"/>
            <w:r>
              <w:rPr>
                <w:rFonts w:hint="eastAsia"/>
                <w:highlight w:val="none"/>
              </w:rPr>
              <w:t xml:space="preserve">，能够较快熟悉采购人物业工作情况。采购人在项目经理上岗前将对其提供的资质及工作经历进行调查审核，如项目经理配备与事实不符的，需立即更换符合要求人员。</w:t>
            </w:r>
            <w:r/>
          </w:p>
        </w:tc>
      </w:tr>
      <w:tr>
        <w:trPr>
          <w:jc w:val="center"/>
          <w:trHeight w:val="90"/>
        </w:trPr>
        <w:tc>
          <w:tcPr>
            <w:tcW w:w="1296" w:type="dxa"/>
            <w:vAlign w:val="center"/>
            <w:vMerge w:val="restart"/>
            <w:textDirection w:val="lrTb"/>
            <w:noWrap w:val="false"/>
          </w:tcPr>
          <w:p>
            <w:pPr>
              <w:rPr>
                <w:highlight w:val="none"/>
                <w:lang w:eastAsia="en-US"/>
              </w:rPr>
            </w:pPr>
            <w:r>
              <w:rPr>
                <w:rFonts w:hint="eastAsia"/>
                <w:highlight w:val="none"/>
                <w:lang w:eastAsia="en-US"/>
              </w:rPr>
              <w:t xml:space="preserve">保安服务</w:t>
            </w:r>
            <w:r/>
          </w:p>
        </w:tc>
        <w:tc>
          <w:tcPr>
            <w:tcW w:w="1232" w:type="dxa"/>
            <w:vAlign w:val="center"/>
            <w:textDirection w:val="lrTb"/>
            <w:noWrap w:val="false"/>
          </w:tcPr>
          <w:p>
            <w:pPr>
              <w:rPr>
                <w:highlight w:val="none"/>
                <w:lang w:eastAsia="en-US"/>
              </w:rPr>
            </w:pPr>
            <w:r>
              <w:rPr>
                <w:rFonts w:hint="eastAsia"/>
                <w:highlight w:val="none"/>
                <w:lang w:eastAsia="en-US"/>
              </w:rPr>
              <w:t xml:space="preserve">安保主管</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专科及以上</w:t>
            </w:r>
            <w:r>
              <w:rPr>
                <w:rFonts w:hint="eastAsia" w:ascii="宋体" w:hAnsi="宋体" w:cs="宋体"/>
                <w:highlight w:val="none"/>
              </w:rPr>
              <w:t xml:space="preserve">学历</w:t>
            </w:r>
            <w:r>
              <w:rPr>
                <w:rFonts w:hint="eastAsia"/>
                <w:highlight w:val="none"/>
              </w:rPr>
              <w:t xml:space="preserve">、具备退伍军人证。因法院新址大楼灯光、空调、新风、水电等均已实现智能化管控，</w:t>
            </w:r>
            <w:bookmarkStart w:id="186" w:name="OLE_LINK32"/>
            <w:r>
              <w:rPr>
                <w:rFonts w:hint="eastAsia"/>
                <w:highlight w:val="none"/>
              </w:rPr>
              <w:t xml:space="preserve">安保主管具有智能楼宇管理员职业技能等级三级及以上证书</w:t>
            </w:r>
            <w:bookmarkEnd w:id="186"/>
            <w:r>
              <w:rPr>
                <w:rFonts w:hint="eastAsia"/>
                <w:highlight w:val="none"/>
              </w:rPr>
              <w:t xml:space="preserve">优先。</w:t>
            </w:r>
            <w:r/>
          </w:p>
        </w:tc>
      </w:tr>
      <w:tr>
        <w:trPr>
          <w:jc w:val="center"/>
          <w:trHeight w:val="304"/>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lang w:eastAsia="en-US"/>
              </w:rPr>
              <w:t xml:space="preserve">安保</w:t>
            </w:r>
            <w:r>
              <w:rPr>
                <w:rFonts w:hint="eastAsia"/>
                <w:highlight w:val="none"/>
              </w:rPr>
              <w:t xml:space="preserve">人员</w:t>
            </w:r>
            <w:r/>
          </w:p>
        </w:tc>
        <w:tc>
          <w:tcPr>
            <w:tcW w:w="1094" w:type="dxa"/>
            <w:vAlign w:val="center"/>
            <w:textDirection w:val="lrTb"/>
            <w:noWrap w:val="false"/>
          </w:tcPr>
          <w:p>
            <w:pPr>
              <w:rPr>
                <w:highlight w:val="none"/>
              </w:rPr>
            </w:pPr>
            <w:r>
              <w:rPr>
                <w:rFonts w:hint="eastAsia"/>
                <w:highlight w:val="none"/>
              </w:rPr>
              <w:t xml:space="preserve">2</w:t>
            </w:r>
            <w:r/>
          </w:p>
        </w:tc>
        <w:tc>
          <w:tcPr>
            <w:tcW w:w="1183" w:type="dxa"/>
            <w:vAlign w:val="center"/>
            <w:textDirection w:val="lrTb"/>
            <w:noWrap w:val="false"/>
          </w:tcPr>
          <w:p>
            <w:pPr>
              <w:rPr>
                <w:highlight w:val="none"/>
              </w:rPr>
            </w:pPr>
            <w:r>
              <w:rPr>
                <w:rFonts w:hint="eastAsia"/>
                <w:highlight w:val="none"/>
              </w:rPr>
              <w:t xml:space="preserve">6</w:t>
            </w:r>
            <w:r/>
          </w:p>
        </w:tc>
        <w:tc>
          <w:tcPr>
            <w:tcW w:w="4827" w:type="dxa"/>
            <w:vAlign w:val="center"/>
            <w:textDirection w:val="lrTb"/>
            <w:noWrap w:val="false"/>
          </w:tcPr>
          <w:p>
            <w:pPr>
              <w:rPr>
                <w:highlight w:val="none"/>
              </w:rPr>
            </w:pPr>
            <w:r>
              <w:rPr>
                <w:rFonts w:hint="eastAsia"/>
                <w:highlight w:val="none"/>
              </w:rPr>
              <w:t xml:space="preserve">男性1.70米以上，无前科，身体健康，工作认真负责，持公安机关核发的保安员证上岗，并定期接受培训。退役军人</w:t>
            </w:r>
            <w:bookmarkStart w:id="187" w:name="OLE_LINK13"/>
            <w:r>
              <w:rPr>
                <w:rFonts w:hint="eastAsia"/>
                <w:highlight w:val="none"/>
              </w:rPr>
              <w:t xml:space="preserve">优先，</w:t>
            </w:r>
            <w:r>
              <w:rPr>
                <w:rFonts w:hint="eastAsia" w:ascii="Arial" w:hAnsi="Arial" w:cs="Arial"/>
                <w:color w:val="000000"/>
                <w:highlight w:val="none"/>
              </w:rPr>
              <w:t xml:space="preserve">年轻精干、行动力强</w:t>
            </w:r>
            <w:r>
              <w:rPr>
                <w:rFonts w:hint="eastAsia"/>
                <w:highlight w:val="none"/>
              </w:rPr>
              <w:t xml:space="preserve">人员优先</w:t>
            </w:r>
            <w:bookmarkEnd w:id="187"/>
            <w:r>
              <w:rPr>
                <w:rFonts w:hint="eastAsia"/>
                <w:highlight w:val="none"/>
              </w:rPr>
              <w:t xml:space="preserve">。</w:t>
            </w:r>
            <w:r/>
          </w:p>
        </w:tc>
      </w:tr>
      <w:tr>
        <w:trPr>
          <w:jc w:val="center"/>
          <w:trHeight w:val="304"/>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总控室（安全监控、消防）值班员</w:t>
            </w:r>
            <w:r/>
          </w:p>
        </w:tc>
        <w:tc>
          <w:tcPr>
            <w:tcW w:w="1094" w:type="dxa"/>
            <w:vAlign w:val="center"/>
            <w:textDirection w:val="lrTb"/>
            <w:noWrap w:val="false"/>
          </w:tcPr>
          <w:p>
            <w:pPr>
              <w:rPr>
                <w:highlight w:val="none"/>
                <w:lang w:eastAsia="en-US"/>
              </w:rPr>
            </w:pPr>
            <w:r>
              <w:rPr>
                <w:highlight w:val="none"/>
                <w:lang w:eastAsia="en-US"/>
              </w:rPr>
              <w:t xml:space="preserve">2</w:t>
            </w:r>
            <w:r/>
          </w:p>
        </w:tc>
        <w:tc>
          <w:tcPr>
            <w:tcW w:w="1183" w:type="dxa"/>
            <w:vAlign w:val="center"/>
            <w:textDirection w:val="lrTb"/>
            <w:noWrap w:val="false"/>
          </w:tcPr>
          <w:p>
            <w:pPr>
              <w:rPr>
                <w:highlight w:val="none"/>
                <w:lang w:eastAsia="en-US"/>
              </w:rPr>
            </w:pPr>
            <w:r>
              <w:rPr>
                <w:rFonts w:hint="eastAsia"/>
                <w:highlight w:val="none"/>
                <w:lang w:eastAsia="en-US"/>
              </w:rPr>
              <w:t xml:space="preserve">6</w:t>
            </w:r>
            <w:r/>
          </w:p>
        </w:tc>
        <w:tc>
          <w:tcPr>
            <w:tcW w:w="4827" w:type="dxa"/>
            <w:vAlign w:val="center"/>
            <w:textDirection w:val="lrTb"/>
            <w:noWrap w:val="false"/>
          </w:tcPr>
          <w:p>
            <w:pPr>
              <w:rPr>
                <w:highlight w:val="none"/>
              </w:rPr>
            </w:pPr>
            <w:r>
              <w:rPr>
                <w:rFonts w:hint="eastAsia" w:ascii="宋体" w:hAnsi="宋体" w:cs="宋体"/>
                <w:highlight w:val="none"/>
              </w:rPr>
              <w:t xml:space="preserve">高中及以上学历，</w:t>
            </w:r>
            <w:r>
              <w:rPr>
                <w:rFonts w:hint="eastAsia"/>
                <w:highlight w:val="none"/>
              </w:rPr>
              <w:t xml:space="preserve">每班2人，持有</w:t>
            </w:r>
            <w:bookmarkStart w:id="188" w:name="OLE_LINK24"/>
            <w:r/>
            <w:bookmarkStart w:id="189" w:name="OLE_LINK25"/>
            <w:r>
              <w:rPr>
                <w:rFonts w:hint="eastAsia"/>
                <w:highlight w:val="none"/>
              </w:rPr>
              <w:t xml:space="preserve">中级（四级）及以上等级的消防设施操作员证书</w:t>
            </w:r>
            <w:bookmarkEnd w:id="188"/>
            <w:r/>
            <w:bookmarkEnd w:id="189"/>
            <w:r>
              <w:rPr>
                <w:rFonts w:hint="eastAsia"/>
                <w:highlight w:val="none"/>
              </w:rPr>
              <w:t xml:space="preserve">，具有相关工作经验。实时跟踪楼宇设备运行情况操作，包括照明、空调、门禁、给排水等。</w:t>
            </w:r>
            <w:r/>
          </w:p>
        </w:tc>
      </w:tr>
      <w:tr>
        <w:trPr>
          <w:jc w:val="center"/>
          <w:trHeight w:val="304"/>
        </w:trPr>
        <w:tc>
          <w:tcPr>
            <w:tcW w:w="1296" w:type="dxa"/>
            <w:vAlign w:val="center"/>
            <w:textDirection w:val="lrTb"/>
            <w:noWrap w:val="false"/>
          </w:tcPr>
          <w:p>
            <w:pPr>
              <w:rPr>
                <w:highlight w:val="none"/>
              </w:rPr>
            </w:pPr>
            <w:r>
              <w:rPr>
                <w:rFonts w:hint="eastAsia"/>
                <w:highlight w:val="none"/>
              </w:rPr>
              <w:t xml:space="preserve">安检巡庭服务</w:t>
            </w:r>
            <w:r/>
          </w:p>
        </w:tc>
        <w:tc>
          <w:tcPr>
            <w:tcW w:w="1232" w:type="dxa"/>
            <w:vAlign w:val="center"/>
            <w:textDirection w:val="lrTb"/>
            <w:noWrap w:val="false"/>
          </w:tcPr>
          <w:p>
            <w:pPr>
              <w:rPr>
                <w:highlight w:val="none"/>
                <w:lang w:eastAsia="en-US"/>
              </w:rPr>
            </w:pPr>
            <w:r>
              <w:rPr>
                <w:rFonts w:hint="eastAsia"/>
                <w:highlight w:val="none"/>
              </w:rPr>
              <w:t xml:space="preserve">安检人员</w:t>
            </w:r>
            <w:r/>
          </w:p>
        </w:tc>
        <w:tc>
          <w:tcPr>
            <w:tcW w:w="1094" w:type="dxa"/>
            <w:vAlign w:val="center"/>
            <w:textDirection w:val="lrTb"/>
            <w:noWrap w:val="false"/>
          </w:tcPr>
          <w:p>
            <w:pPr>
              <w:rPr>
                <w:highlight w:val="none"/>
                <w:lang w:eastAsia="en-US"/>
              </w:rPr>
            </w:pPr>
            <w:r>
              <w:rPr>
                <w:rFonts w:hint="eastAsia"/>
                <w:highlight w:val="none"/>
              </w:rPr>
              <w:t xml:space="preserve">4</w:t>
            </w:r>
            <w:r/>
          </w:p>
        </w:tc>
        <w:tc>
          <w:tcPr>
            <w:tcW w:w="1183" w:type="dxa"/>
            <w:vAlign w:val="center"/>
            <w:textDirection w:val="lrTb"/>
            <w:noWrap w:val="false"/>
          </w:tcPr>
          <w:p>
            <w:pPr>
              <w:rPr>
                <w:highlight w:val="none"/>
                <w:lang w:eastAsia="en-US"/>
              </w:rPr>
            </w:pPr>
            <w:r>
              <w:rPr>
                <w:rFonts w:hint="eastAsia"/>
                <w:highlight w:val="none"/>
              </w:rPr>
              <w:t xml:space="preserve">4</w:t>
            </w:r>
            <w:r/>
          </w:p>
        </w:tc>
        <w:tc>
          <w:tcPr>
            <w:tcW w:w="4827" w:type="dxa"/>
            <w:vAlign w:val="center"/>
            <w:textDirection w:val="lrTb"/>
            <w:noWrap w:val="false"/>
          </w:tcPr>
          <w:p>
            <w:pPr>
              <w:rPr>
                <w:highlight w:val="none"/>
              </w:rPr>
            </w:pPr>
            <w:r>
              <w:rPr>
                <w:rFonts w:hint="eastAsia"/>
                <w:highlight w:val="none"/>
              </w:rPr>
              <w:t xml:space="preserve">高中</w:t>
            </w:r>
            <w:r>
              <w:rPr>
                <w:rFonts w:hint="eastAsia" w:ascii="宋体" w:hAnsi="宋体" w:cs="宋体"/>
                <w:highlight w:val="none"/>
              </w:rPr>
              <w:t xml:space="preserve">及</w:t>
            </w:r>
            <w:r>
              <w:rPr>
                <w:rFonts w:hint="eastAsia"/>
                <w:highlight w:val="none"/>
              </w:rPr>
              <w:t xml:space="preserve">以上</w:t>
            </w:r>
            <w:r>
              <w:rPr>
                <w:rFonts w:hint="eastAsia" w:ascii="宋体" w:hAnsi="宋体" w:cs="宋体"/>
                <w:highlight w:val="none"/>
              </w:rPr>
              <w:t xml:space="preserve">学历</w:t>
            </w:r>
            <w:r>
              <w:rPr>
                <w:rFonts w:hint="eastAsia"/>
                <w:highlight w:val="none"/>
              </w:rPr>
              <w:t xml:space="preserve">，形象端正，思维清晰，表达准确，有亲和力，责任心强。男性持有公安机关核发的保安员证或有1年以上相关工作经验（需提供业主盖章的证明），女性持有安检员技能等级证书或有1年以上相关工作经验（需提供业主盖章的证明）。退伍军人、安检相同工作经历者优先</w:t>
            </w:r>
            <w:bookmarkStart w:id="190" w:name="OLE_LINK17"/>
            <w:r/>
            <w:bookmarkStart w:id="191" w:name="OLE_LINK18"/>
            <w:r>
              <w:rPr>
                <w:rFonts w:hint="eastAsia"/>
                <w:highlight w:val="none"/>
              </w:rPr>
              <w:t xml:space="preserve">，</w:t>
            </w:r>
            <w:bookmarkStart w:id="192" w:name="OLE_LINK31"/>
            <w:r/>
            <w:bookmarkStart w:id="193" w:name="OLE_LINK30"/>
            <w:r/>
            <w:bookmarkStart w:id="194" w:name="OLE_LINK29"/>
            <w:r/>
            <w:bookmarkStart w:id="195" w:name="OLE_LINK28"/>
            <w:r>
              <w:rPr>
                <w:rFonts w:ascii="Arial" w:hAnsi="Arial" w:cs="Arial"/>
                <w:color w:val="000000"/>
                <w:highlight w:val="none"/>
              </w:rPr>
              <w:t xml:space="preserve">年轻精干、行动力强</w:t>
            </w:r>
            <w:r>
              <w:rPr>
                <w:highlight w:val="none"/>
              </w:rPr>
              <w:t xml:space="preserve">人员</w:t>
            </w:r>
            <w:r>
              <w:rPr>
                <w:rFonts w:hint="eastAsia"/>
                <w:highlight w:val="none"/>
              </w:rPr>
              <w:t xml:space="preserve">优先</w:t>
            </w:r>
            <w:bookmarkEnd w:id="190"/>
            <w:r/>
            <w:bookmarkEnd w:id="191"/>
            <w:r/>
            <w:bookmarkEnd w:id="192"/>
            <w:r/>
            <w:bookmarkEnd w:id="193"/>
            <w:r>
              <w:rPr>
                <w:rFonts w:hint="eastAsia"/>
                <w:highlight w:val="none"/>
              </w:rPr>
              <w:t xml:space="preserve">。</w:t>
            </w:r>
            <w:bookmarkEnd w:id="194"/>
            <w:r/>
            <w:bookmarkEnd w:id="195"/>
            <w:r>
              <w:rPr>
                <w:rFonts w:hint="eastAsia"/>
                <w:highlight w:val="none"/>
              </w:rPr>
              <w:t xml:space="preserve">登记1人、机检1人、手检1人、巡庭1人，其中1名安检为女性。</w:t>
            </w:r>
            <w:r/>
          </w:p>
        </w:tc>
      </w:tr>
      <w:tr>
        <w:trPr>
          <w:jc w:val="center"/>
          <w:trHeight w:val="304"/>
        </w:trPr>
        <w:tc>
          <w:tcPr>
            <w:tcW w:w="1296" w:type="dxa"/>
            <w:vAlign w:val="center"/>
            <w:vMerge w:val="restart"/>
            <w:textDirection w:val="lrTb"/>
            <w:noWrap w:val="false"/>
          </w:tcPr>
          <w:p>
            <w:pPr>
              <w:rPr>
                <w:highlight w:val="none"/>
                <w:lang w:eastAsia="en-US"/>
              </w:rPr>
            </w:pPr>
            <w:r>
              <w:rPr>
                <w:rFonts w:hint="eastAsia"/>
                <w:highlight w:val="none"/>
                <w:lang w:eastAsia="en-US"/>
              </w:rPr>
              <w:t xml:space="preserve">工程服务</w:t>
            </w:r>
            <w:r/>
          </w:p>
        </w:tc>
        <w:tc>
          <w:tcPr>
            <w:tcW w:w="1232" w:type="dxa"/>
            <w:vAlign w:val="center"/>
            <w:textDirection w:val="lrTb"/>
            <w:noWrap w:val="false"/>
          </w:tcPr>
          <w:p>
            <w:pPr>
              <w:rPr>
                <w:highlight w:val="none"/>
                <w:lang w:eastAsia="en-US"/>
              </w:rPr>
            </w:pPr>
            <w:r>
              <w:rPr>
                <w:rFonts w:hint="eastAsia"/>
                <w:highlight w:val="none"/>
              </w:rPr>
              <w:t xml:space="preserve">工程</w:t>
            </w:r>
            <w:r>
              <w:rPr>
                <w:rFonts w:hint="eastAsia"/>
                <w:highlight w:val="none"/>
                <w:lang w:eastAsia="en-US"/>
              </w:rPr>
              <w:t xml:space="preserve">主管</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大专及以上</w:t>
            </w:r>
            <w:r>
              <w:rPr>
                <w:rFonts w:hint="eastAsia" w:ascii="宋体" w:hAnsi="宋体" w:cs="宋体"/>
                <w:highlight w:val="none"/>
              </w:rPr>
              <w:t xml:space="preserve">学历</w:t>
            </w:r>
            <w:r>
              <w:rPr>
                <w:rFonts w:hint="eastAsia"/>
                <w:highlight w:val="none"/>
              </w:rPr>
              <w:t xml:space="preserve">，具有</w:t>
            </w:r>
            <w:bookmarkStart w:id="196" w:name="OLE_LINK44"/>
            <w:r>
              <w:rPr>
                <w:highlight w:val="none"/>
              </w:rPr>
              <w:t xml:space="preserve">高压电工</w:t>
            </w:r>
            <w:bookmarkEnd w:id="196"/>
            <w:r>
              <w:rPr>
                <w:rFonts w:hint="eastAsia"/>
                <w:highlight w:val="none"/>
              </w:rPr>
              <w:t xml:space="preserve">证，3年</w:t>
            </w:r>
            <w:r>
              <w:rPr>
                <w:rFonts w:hint="eastAsia"/>
                <w:highlight w:val="none"/>
              </w:rPr>
              <w:t xml:space="preserve">及</w:t>
            </w:r>
            <w:r>
              <w:rPr>
                <w:rFonts w:hint="eastAsia"/>
                <w:highlight w:val="none"/>
              </w:rPr>
              <w:t xml:space="preserve">以上</w:t>
            </w:r>
            <w:r>
              <w:rPr>
                <w:rFonts w:hint="eastAsia"/>
                <w:highlight w:val="none"/>
              </w:rPr>
              <w:t xml:space="preserve">类似非住宅物业项目工程管理经验。</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配电房值班电工兼维修维护</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3</w:t>
            </w:r>
            <w:r/>
          </w:p>
        </w:tc>
        <w:tc>
          <w:tcPr>
            <w:tcW w:w="4827" w:type="dxa"/>
            <w:vAlign w:val="center"/>
            <w:textDirection w:val="lrTb"/>
            <w:noWrap w:val="false"/>
          </w:tcPr>
          <w:p>
            <w:pPr>
              <w:rPr>
                <w:highlight w:val="none"/>
              </w:rPr>
            </w:pPr>
            <w:r>
              <w:rPr>
                <w:rFonts w:hint="eastAsia"/>
                <w:highlight w:val="none"/>
              </w:rPr>
              <w:t xml:space="preserve">高中及以上学历，具有</w:t>
            </w:r>
            <w:r>
              <w:rPr>
                <w:highlight w:val="none"/>
              </w:rPr>
              <w:t xml:space="preserve">高压电工</w:t>
            </w:r>
            <w:r>
              <w:rPr>
                <w:rFonts w:hint="eastAsia"/>
                <w:highlight w:val="none"/>
              </w:rPr>
              <w:t xml:space="preserve">证。进行倒闸操作或检修时双人在岗。</w:t>
            </w:r>
            <w:r/>
          </w:p>
        </w:tc>
      </w:tr>
      <w:tr>
        <w:trPr>
          <w:jc w:val="center"/>
          <w:trHeight w:val="695"/>
        </w:trPr>
        <w:tc>
          <w:tcPr>
            <w:tcW w:w="1296" w:type="dxa"/>
            <w:vAlign w:val="center"/>
            <w:vMerge w:val="restart"/>
            <w:textDirection w:val="lrTb"/>
            <w:noWrap w:val="false"/>
          </w:tcPr>
          <w:p>
            <w:pPr>
              <w:rPr>
                <w:highlight w:val="none"/>
                <w:lang w:eastAsia="en-US"/>
              </w:rPr>
            </w:pPr>
            <w:r>
              <w:rPr>
                <w:rFonts w:hint="eastAsia"/>
                <w:highlight w:val="none"/>
                <w:lang w:eastAsia="en-US"/>
              </w:rPr>
              <w:t xml:space="preserve">客服会务服务</w:t>
            </w:r>
            <w:r/>
          </w:p>
        </w:tc>
        <w:tc>
          <w:tcPr>
            <w:tcW w:w="1232" w:type="dxa"/>
            <w:vAlign w:val="center"/>
            <w:textDirection w:val="lrTb"/>
            <w:noWrap w:val="false"/>
          </w:tcPr>
          <w:p>
            <w:pPr>
              <w:rPr>
                <w:highlight w:val="none"/>
                <w:lang w:eastAsia="en-US"/>
              </w:rPr>
            </w:pPr>
            <w:r>
              <w:rPr>
                <w:rFonts w:hint="eastAsia"/>
                <w:highlight w:val="none"/>
                <w:lang w:eastAsia="en-US"/>
              </w:rPr>
              <w:t xml:space="preserve">会务</w:t>
            </w:r>
            <w:r>
              <w:rPr>
                <w:rFonts w:hint="eastAsia"/>
                <w:highlight w:val="none"/>
                <w:lang w:eastAsia="en-US"/>
              </w:rPr>
              <w:t xml:space="preserve">主管</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本科及以上学历，具备物业管理师职业技能等级三级及以上证书、普通话二级及以上证书，3年</w:t>
            </w:r>
            <w:r>
              <w:rPr>
                <w:rFonts w:hint="eastAsia"/>
                <w:highlight w:val="none"/>
              </w:rPr>
              <w:t xml:space="preserve">及</w:t>
            </w:r>
            <w:r>
              <w:rPr>
                <w:rFonts w:hint="eastAsia" w:ascii="宋体" w:hAnsi="宋体"/>
                <w:highlight w:val="none"/>
              </w:rPr>
              <w:t xml:space="preserve">以上办公楼</w:t>
            </w:r>
            <w:r>
              <w:rPr>
                <w:rFonts w:hint="eastAsia"/>
                <w:highlight w:val="none"/>
              </w:rPr>
              <w:t xml:space="preserve">物业项目客服管理经验。会使用计算机及办公软件。</w:t>
            </w:r>
            <w:r/>
          </w:p>
        </w:tc>
      </w:tr>
      <w:tr>
        <w:trPr>
          <w:jc w:val="center"/>
          <w:trHeight w:val="639"/>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会务、文员</w:t>
            </w:r>
            <w:r/>
          </w:p>
        </w:tc>
        <w:tc>
          <w:tcPr>
            <w:tcW w:w="1094" w:type="dxa"/>
            <w:vAlign w:val="center"/>
            <w:textDirection w:val="lrTb"/>
            <w:noWrap w:val="false"/>
          </w:tcPr>
          <w:p>
            <w:pPr>
              <w:rPr>
                <w:highlight w:val="none"/>
              </w:rPr>
            </w:pPr>
            <w:r>
              <w:rPr>
                <w:rFonts w:hint="eastAsia"/>
                <w:highlight w:val="none"/>
              </w:rPr>
              <w:t xml:space="preserve">2</w:t>
            </w:r>
            <w:r/>
          </w:p>
        </w:tc>
        <w:tc>
          <w:tcPr>
            <w:tcW w:w="1183" w:type="dxa"/>
            <w:vAlign w:val="center"/>
            <w:textDirection w:val="lrTb"/>
            <w:noWrap w:val="false"/>
          </w:tcPr>
          <w:p>
            <w:pPr>
              <w:rPr>
                <w:highlight w:val="none"/>
              </w:rPr>
            </w:pPr>
            <w:r>
              <w:rPr>
                <w:rFonts w:hint="eastAsia"/>
                <w:highlight w:val="none"/>
              </w:rPr>
              <w:t xml:space="preserve">2</w:t>
            </w:r>
            <w:r/>
          </w:p>
        </w:tc>
        <w:tc>
          <w:tcPr>
            <w:tcW w:w="4827" w:type="dxa"/>
            <w:vAlign w:val="center"/>
            <w:textDirection w:val="lrTb"/>
            <w:noWrap w:val="false"/>
          </w:tcPr>
          <w:p>
            <w:pPr>
              <w:rPr>
                <w:highlight w:val="none"/>
              </w:rPr>
            </w:pPr>
            <w:r>
              <w:rPr>
                <w:rFonts w:hint="eastAsia"/>
                <w:highlight w:val="none"/>
              </w:rPr>
              <w:t xml:space="preserve">专科及以上学历，女性1.6</w:t>
            </w:r>
            <w:r>
              <w:rPr>
                <w:highlight w:val="none"/>
              </w:rPr>
              <w:t xml:space="preserve">5</w:t>
            </w:r>
            <w:r>
              <w:rPr>
                <w:rFonts w:hint="eastAsia"/>
                <w:highlight w:val="none"/>
              </w:rPr>
              <w:t xml:space="preserve">米以上，有一定工作经验及会议礼仪知识</w:t>
            </w:r>
            <w:bookmarkStart w:id="197" w:name="OLE_LINK19"/>
            <w:r>
              <w:rPr>
                <w:rFonts w:hint="eastAsia"/>
                <w:highlight w:val="none"/>
              </w:rPr>
              <w:t xml:space="preserve">，</w:t>
            </w:r>
            <w:bookmarkEnd w:id="197"/>
            <w:r>
              <w:rPr>
                <w:rFonts w:ascii="Arial" w:hAnsi="Arial" w:cs="Arial"/>
                <w:color w:val="000000"/>
                <w:highlight w:val="none"/>
              </w:rPr>
              <w:t xml:space="preserve">年轻精干、行动力强</w:t>
            </w:r>
            <w:r>
              <w:rPr>
                <w:highlight w:val="none"/>
              </w:rPr>
              <w:t xml:space="preserve">人员</w:t>
            </w:r>
            <w:r>
              <w:rPr>
                <w:rFonts w:hint="eastAsia"/>
                <w:highlight w:val="none"/>
              </w:rPr>
              <w:t xml:space="preserve">优先。</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引导台（兼收发）</w:t>
            </w:r>
            <w:r/>
          </w:p>
        </w:tc>
        <w:tc>
          <w:tcPr>
            <w:tcW w:w="1094" w:type="dxa"/>
            <w:vAlign w:val="center"/>
            <w:textDirection w:val="lrTb"/>
            <w:noWrap w:val="false"/>
          </w:tcPr>
          <w:p>
            <w:pPr>
              <w:rPr>
                <w:highlight w:val="none"/>
              </w:rPr>
            </w:pPr>
            <w:r>
              <w:rPr>
                <w:rFonts w:hint="eastAsia"/>
                <w:highlight w:val="none"/>
              </w:rPr>
              <w:t xml:space="preserve">2</w:t>
            </w:r>
            <w:r/>
          </w:p>
        </w:tc>
        <w:tc>
          <w:tcPr>
            <w:tcW w:w="1183" w:type="dxa"/>
            <w:vAlign w:val="center"/>
            <w:textDirection w:val="lrTb"/>
            <w:noWrap w:val="false"/>
          </w:tcPr>
          <w:p>
            <w:pPr>
              <w:rPr>
                <w:highlight w:val="none"/>
              </w:rPr>
            </w:pPr>
            <w:r>
              <w:rPr>
                <w:rFonts w:hint="eastAsia"/>
                <w:highlight w:val="none"/>
              </w:rPr>
              <w:t xml:space="preserve">2</w:t>
            </w:r>
            <w:r/>
          </w:p>
        </w:tc>
        <w:tc>
          <w:tcPr>
            <w:tcW w:w="4827" w:type="dxa"/>
            <w:vAlign w:val="center"/>
            <w:textDirection w:val="lrTb"/>
            <w:noWrap w:val="false"/>
          </w:tcPr>
          <w:p>
            <w:pPr>
              <w:rPr>
                <w:highlight w:val="none"/>
              </w:rPr>
            </w:pPr>
            <w:r>
              <w:rPr>
                <w:rFonts w:hint="eastAsia"/>
                <w:highlight w:val="none"/>
              </w:rPr>
              <w:t xml:space="preserve">专科及以上学历，女性1.60米以上，有一定工作经验及会议礼仪知识，</w:t>
            </w:r>
            <w:r>
              <w:rPr>
                <w:rFonts w:hint="eastAsia" w:ascii="Arial" w:hAnsi="Arial" w:cs="Arial"/>
                <w:color w:val="000000"/>
                <w:highlight w:val="none"/>
              </w:rPr>
              <w:t xml:space="preserve">年轻精干、行动力强</w:t>
            </w:r>
            <w:r>
              <w:rPr>
                <w:rFonts w:hint="eastAsia"/>
                <w:highlight w:val="none"/>
              </w:rPr>
              <w:t xml:space="preserve">人员优先。</w:t>
            </w:r>
            <w:r/>
          </w:p>
        </w:tc>
      </w:tr>
      <w:tr>
        <w:trPr>
          <w:jc w:val="center"/>
          <w:trHeight w:val="613"/>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理发师</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有3年以上理发经验，根据本院人数和理发频次调整，每周二、四上班。</w:t>
            </w:r>
            <w:r/>
          </w:p>
        </w:tc>
      </w:tr>
      <w:tr>
        <w:trPr>
          <w:jc w:val="center"/>
          <w:trHeight w:val="90"/>
        </w:trPr>
        <w:tc>
          <w:tcPr>
            <w:tcW w:w="1296" w:type="dxa"/>
            <w:vAlign w:val="center"/>
            <w:vMerge w:val="restart"/>
            <w:textDirection w:val="lrTb"/>
            <w:noWrap w:val="false"/>
          </w:tcPr>
          <w:p>
            <w:pPr>
              <w:rPr>
                <w:highlight w:val="none"/>
                <w:lang w:eastAsia="en-US"/>
              </w:rPr>
            </w:pPr>
            <w:r>
              <w:rPr>
                <w:rFonts w:hint="eastAsia"/>
                <w:highlight w:val="none"/>
                <w:lang w:eastAsia="en-US"/>
              </w:rPr>
              <w:t xml:space="preserve">保洁服务</w:t>
            </w:r>
            <w:r/>
          </w:p>
        </w:tc>
        <w:tc>
          <w:tcPr>
            <w:tcW w:w="1232" w:type="dxa"/>
            <w:vAlign w:val="center"/>
            <w:textDirection w:val="lrTb"/>
            <w:noWrap w:val="false"/>
          </w:tcPr>
          <w:p>
            <w:pPr>
              <w:rPr>
                <w:highlight w:val="none"/>
                <w:lang w:eastAsia="en-US"/>
              </w:rPr>
            </w:pPr>
            <w:r>
              <w:rPr>
                <w:rFonts w:hint="eastAsia"/>
                <w:highlight w:val="none"/>
                <w:lang w:eastAsia="en-US"/>
              </w:rPr>
              <w:t xml:space="preserve">保洁主管</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p>
        </w:tc>
        <w:tc>
          <w:tcPr>
            <w:tcW w:w="4827" w:type="dxa"/>
            <w:vAlign w:val="center"/>
            <w:textDirection w:val="lrTb"/>
            <w:noWrap w:val="false"/>
          </w:tcPr>
          <w:p>
            <w:pPr>
              <w:rPr>
                <w:highlight w:val="none"/>
              </w:rPr>
            </w:pPr>
            <w:r>
              <w:rPr>
                <w:rFonts w:hint="eastAsia"/>
                <w:highlight w:val="none"/>
              </w:rPr>
              <w:t xml:space="preserve">具有3年</w:t>
            </w:r>
            <w:r>
              <w:rPr>
                <w:rFonts w:hint="eastAsia" w:ascii="宋体" w:hAnsi="宋体"/>
                <w:highlight w:val="none"/>
              </w:rPr>
              <w:t xml:space="preserve">以上办公楼</w:t>
            </w:r>
            <w:r>
              <w:rPr>
                <w:rFonts w:hint="eastAsia"/>
                <w:highlight w:val="none"/>
              </w:rPr>
              <w:t xml:space="preserve">物业项目保洁管理经验。</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lang w:eastAsia="en-US"/>
              </w:rPr>
            </w:pPr>
            <w:r>
              <w:rPr>
                <w:rFonts w:hint="eastAsia"/>
                <w:highlight w:val="none"/>
                <w:lang w:eastAsia="en-US"/>
              </w:rPr>
              <w:t xml:space="preserve">保洁员</w:t>
            </w:r>
            <w:r/>
          </w:p>
        </w:tc>
        <w:tc>
          <w:tcPr>
            <w:tcW w:w="1094" w:type="dxa"/>
            <w:vAlign w:val="center"/>
            <w:textDirection w:val="lrTb"/>
            <w:noWrap w:val="false"/>
          </w:tcPr>
          <w:p>
            <w:pPr>
              <w:rPr>
                <w:highlight w:val="none"/>
                <w:lang w:eastAsia="en-US"/>
              </w:rPr>
            </w:pPr>
            <w:r>
              <w:rPr>
                <w:rFonts w:hint="eastAsia"/>
                <w:highlight w:val="none"/>
                <w:lang w:eastAsia="en-US"/>
              </w:rPr>
              <w:t xml:space="preserve">1</w:t>
            </w:r>
            <w:r>
              <w:rPr>
                <w:rFonts w:hint="eastAsia"/>
                <w:highlight w:val="none"/>
              </w:rPr>
              <w:t xml:space="preserve">0</w:t>
            </w:r>
            <w:r/>
          </w:p>
        </w:tc>
        <w:tc>
          <w:tcPr>
            <w:tcW w:w="1183" w:type="dxa"/>
            <w:vAlign w:val="center"/>
            <w:textDirection w:val="lrTb"/>
            <w:noWrap w:val="false"/>
          </w:tcPr>
          <w:p>
            <w:pPr>
              <w:rPr>
                <w:highlight w:val="none"/>
                <w:lang w:eastAsia="en-US"/>
              </w:rPr>
            </w:pPr>
            <w:r>
              <w:rPr>
                <w:rFonts w:hint="eastAsia"/>
                <w:highlight w:val="none"/>
                <w:lang w:eastAsia="en-US"/>
              </w:rPr>
              <w:t xml:space="preserve">1</w:t>
            </w:r>
            <w:r>
              <w:rPr>
                <w:rFonts w:hint="eastAsia"/>
                <w:highlight w:val="none"/>
              </w:rPr>
              <w:t xml:space="preserve">0</w:t>
            </w:r>
            <w:r/>
          </w:p>
        </w:tc>
        <w:tc>
          <w:tcPr>
            <w:tcW w:w="4827"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车管保洁</w:t>
            </w:r>
            <w:r/>
          </w:p>
        </w:tc>
        <w:tc>
          <w:tcPr>
            <w:tcW w:w="1094" w:type="dxa"/>
            <w:vAlign w:val="center"/>
            <w:textDirection w:val="lrTb"/>
            <w:noWrap w:val="false"/>
          </w:tcPr>
          <w:p>
            <w:pPr>
              <w:rPr>
                <w:highlight w:val="none"/>
                <w:lang w:eastAsia="en-US"/>
              </w:rPr>
            </w:pPr>
            <w:r>
              <w:rPr>
                <w:rFonts w:hint="eastAsia"/>
                <w:highlight w:val="none"/>
              </w:rPr>
              <w:t xml:space="preserve">1</w:t>
            </w:r>
            <w:r/>
          </w:p>
        </w:tc>
        <w:tc>
          <w:tcPr>
            <w:tcW w:w="1183" w:type="dxa"/>
            <w:vAlign w:val="center"/>
            <w:textDirection w:val="lrTb"/>
            <w:noWrap w:val="false"/>
          </w:tcPr>
          <w:p>
            <w:pPr>
              <w:rPr>
                <w:highlight w:val="none"/>
                <w:lang w:eastAsia="en-US"/>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无前科，身体健康，维护好上下车辆秩序，负责楼宇巡更、车库清洁、车辆清洗等，兼顾外场保洁。</w:t>
            </w:r>
            <w:r/>
          </w:p>
        </w:tc>
      </w:tr>
      <w:tr>
        <w:trPr>
          <w:jc w:val="center"/>
          <w:trHeight w:val="90"/>
        </w:trPr>
        <w:tc>
          <w:tcPr>
            <w:tcW w:w="1296" w:type="dxa"/>
            <w:vAlign w:val="center"/>
            <w:vMerge w:val="restart"/>
            <w:textDirection w:val="lrTb"/>
            <w:noWrap w:val="false"/>
          </w:tcPr>
          <w:p>
            <w:pPr>
              <w:rPr>
                <w:highlight w:val="none"/>
              </w:rPr>
            </w:pPr>
            <w:r>
              <w:rPr>
                <w:rFonts w:hint="eastAsia"/>
                <w:highlight w:val="none"/>
              </w:rPr>
              <w:t xml:space="preserve">食堂服务</w:t>
            </w:r>
            <w:r/>
          </w:p>
        </w:tc>
        <w:tc>
          <w:tcPr>
            <w:tcW w:w="1232" w:type="dxa"/>
            <w:vAlign w:val="center"/>
            <w:textDirection w:val="lrTb"/>
            <w:noWrap w:val="false"/>
          </w:tcPr>
          <w:p>
            <w:pPr>
              <w:rPr>
                <w:highlight w:val="none"/>
              </w:rPr>
            </w:pPr>
            <w:r>
              <w:rPr>
                <w:rFonts w:hint="eastAsia"/>
                <w:highlight w:val="none"/>
              </w:rPr>
              <w:t xml:space="preserve">项目经理（食堂）</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具备3年（含）以上餐饮管理经验，</w:t>
            </w:r>
            <w:r>
              <w:rPr>
                <w:rFonts w:hint="eastAsia" w:ascii="宋体" w:hAnsi="宋体" w:cs="宋体"/>
                <w:highlight w:val="none"/>
              </w:rPr>
              <w:t xml:space="preserve">大专及以上学历，持健康证，形象气质佳，女性1.65米以上，具有食品安全员证。</w:t>
            </w:r>
            <w:r>
              <w:rPr>
                <w:rFonts w:hint="eastAsia"/>
                <w:highlight w:val="none"/>
              </w:rPr>
              <w:t xml:space="preserve">熟悉厨房与餐厅管理，能妥善处理、协调采购人关系，确保双方利益得到保障。有营养配餐员职业技能等级证书的优先。</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厨师长</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从事厨师岗位5年（含）以上的工作经验且3年（含）以上的餐饮行业厨师长岗位工作经验；</w:t>
            </w:r>
            <w:r>
              <w:rPr>
                <w:rFonts w:hint="eastAsia" w:ascii="宋体" w:hAnsi="宋体" w:cs="宋体"/>
                <w:highlight w:val="none"/>
              </w:rPr>
              <w:t xml:space="preserve">持健康证，</w:t>
            </w:r>
            <w:bookmarkStart w:id="198" w:name="OLE_LINK12"/>
            <w:r>
              <w:rPr>
                <w:rFonts w:hint="eastAsia"/>
                <w:highlight w:val="none"/>
              </w:rPr>
              <w:t xml:space="preserve">具有中式烹调师职业技能等级二级及以上证书，</w:t>
            </w:r>
            <w:bookmarkEnd w:id="198"/>
            <w:r>
              <w:rPr>
                <w:rFonts w:hint="eastAsia"/>
                <w:highlight w:val="none"/>
              </w:rPr>
              <w:t xml:space="preserve">能够全面、综合地安排日常的供餐活动，包括供餐品种设计等。</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副厨</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有3年（含）以上的厨师工作经验，</w:t>
            </w:r>
            <w:r>
              <w:rPr>
                <w:rFonts w:hint="eastAsia" w:ascii="宋体" w:hAnsi="宋体" w:cs="宋体"/>
                <w:highlight w:val="none"/>
              </w:rPr>
              <w:t xml:space="preserve">持健康证，</w:t>
            </w:r>
            <w:r>
              <w:rPr>
                <w:rFonts w:hint="eastAsia"/>
                <w:highlight w:val="none"/>
              </w:rPr>
              <w:t xml:space="preserve">具有中式烹调师职业技能等级三级及以上证书的优先；能配合厨师长工作计划和岗位安排。</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面点师</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有3年（含）以上的面点工作经验，</w:t>
            </w:r>
            <w:r>
              <w:rPr>
                <w:rFonts w:hint="eastAsia" w:ascii="宋体" w:hAnsi="宋体" w:cs="宋体"/>
                <w:highlight w:val="none"/>
              </w:rPr>
              <w:t xml:space="preserve">持健康证</w:t>
            </w:r>
            <w:r>
              <w:rPr>
                <w:rFonts w:hint="eastAsia"/>
                <w:highlight w:val="none"/>
              </w:rPr>
              <w:t xml:space="preserve">具有中式面点师职业技能等级三级及以上证书的优先，能不定期对供应产品推陈出新。</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厨师（明档）</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有2年（含）以上的厨师工作经验，</w:t>
            </w:r>
            <w:r>
              <w:rPr>
                <w:rFonts w:hint="eastAsia" w:ascii="宋体" w:hAnsi="宋体" w:cs="宋体"/>
                <w:highlight w:val="none"/>
              </w:rPr>
              <w:t xml:space="preserve">持健康证</w:t>
            </w:r>
            <w:r>
              <w:rPr>
                <w:rFonts w:hint="eastAsia"/>
                <w:highlight w:val="none"/>
              </w:rPr>
              <w:t xml:space="preserve">；能配合厨师长工作计划和岗位安排。</w:t>
            </w:r>
            <w:r/>
          </w:p>
        </w:tc>
      </w:tr>
      <w:tr>
        <w:trPr>
          <w:jc w:val="center"/>
          <w:trHeight w:val="74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切配</w:t>
            </w:r>
            <w:r/>
          </w:p>
        </w:tc>
        <w:tc>
          <w:tcPr>
            <w:tcW w:w="1094" w:type="dxa"/>
            <w:vAlign w:val="center"/>
            <w:textDirection w:val="lrTb"/>
            <w:noWrap w:val="false"/>
          </w:tcPr>
          <w:p>
            <w:pPr>
              <w:rPr>
                <w:highlight w:val="none"/>
              </w:rPr>
            </w:pPr>
            <w:r>
              <w:rPr>
                <w:rFonts w:hint="eastAsia"/>
                <w:highlight w:val="none"/>
              </w:rPr>
              <w:t xml:space="preserve">1</w:t>
            </w:r>
            <w:r/>
          </w:p>
        </w:tc>
        <w:tc>
          <w:tcPr>
            <w:tcW w:w="1183" w:type="dxa"/>
            <w:vAlign w:val="center"/>
            <w:textDirection w:val="lrTb"/>
            <w:noWrap w:val="false"/>
          </w:tcPr>
          <w:p>
            <w:pPr>
              <w:rPr>
                <w:highlight w:val="none"/>
              </w:rPr>
            </w:pPr>
            <w:r>
              <w:rPr>
                <w:rFonts w:hint="eastAsia"/>
                <w:highlight w:val="none"/>
              </w:rPr>
              <w:t xml:space="preserve">1</w:t>
            </w:r>
            <w:r/>
          </w:p>
        </w:tc>
        <w:tc>
          <w:tcPr>
            <w:tcW w:w="4827" w:type="dxa"/>
            <w:vAlign w:val="center"/>
            <w:textDirection w:val="lrTb"/>
            <w:noWrap w:val="false"/>
          </w:tcPr>
          <w:p>
            <w:pPr>
              <w:rPr>
                <w:highlight w:val="none"/>
              </w:rPr>
            </w:pPr>
            <w:r>
              <w:rPr>
                <w:rFonts w:hint="eastAsia"/>
                <w:highlight w:val="none"/>
              </w:rPr>
              <w:t xml:space="preserve">有2年（含）以上的厨师工作经验，</w:t>
            </w:r>
            <w:r>
              <w:rPr>
                <w:rFonts w:hint="eastAsia" w:ascii="宋体" w:hAnsi="宋体" w:cs="宋体"/>
                <w:highlight w:val="none"/>
              </w:rPr>
              <w:t xml:space="preserve">持健康证</w:t>
            </w:r>
            <w:r>
              <w:rPr>
                <w:rFonts w:hint="eastAsia"/>
                <w:highlight w:val="none"/>
              </w:rPr>
              <w:t xml:space="preserve">；辅助面点师工作，能配合厨师长工作计划和岗位安排。</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服务员</w:t>
            </w:r>
            <w:r/>
          </w:p>
        </w:tc>
        <w:tc>
          <w:tcPr>
            <w:tcW w:w="1094" w:type="dxa"/>
            <w:vAlign w:val="center"/>
            <w:textDirection w:val="lrTb"/>
            <w:noWrap w:val="false"/>
          </w:tcPr>
          <w:p>
            <w:pPr>
              <w:rPr>
                <w:highlight w:val="none"/>
              </w:rPr>
            </w:pPr>
            <w:r>
              <w:rPr>
                <w:rFonts w:hint="eastAsia"/>
                <w:highlight w:val="none"/>
              </w:rPr>
              <w:t xml:space="preserve">3</w:t>
            </w:r>
            <w:r/>
          </w:p>
        </w:tc>
        <w:tc>
          <w:tcPr>
            <w:tcW w:w="1183" w:type="dxa"/>
            <w:vAlign w:val="center"/>
            <w:textDirection w:val="lrTb"/>
            <w:noWrap w:val="false"/>
          </w:tcPr>
          <w:p>
            <w:pPr>
              <w:rPr>
                <w:highlight w:val="none"/>
              </w:rPr>
            </w:pPr>
            <w:r>
              <w:rPr>
                <w:rFonts w:hint="eastAsia"/>
                <w:highlight w:val="none"/>
              </w:rPr>
              <w:t xml:space="preserve">3</w:t>
            </w:r>
            <w:r/>
          </w:p>
        </w:tc>
        <w:tc>
          <w:tcPr>
            <w:tcW w:w="4827" w:type="dxa"/>
            <w:vAlign w:val="center"/>
            <w:textDirection w:val="lrTb"/>
            <w:noWrap w:val="false"/>
          </w:tcPr>
          <w:p>
            <w:pPr>
              <w:rPr>
                <w:highlight w:val="none"/>
              </w:rPr>
            </w:pPr>
            <w:r>
              <w:rPr>
                <w:rFonts w:hint="eastAsia" w:ascii="宋体" w:hAnsi="宋体" w:cs="宋体"/>
                <w:highlight w:val="none"/>
              </w:rPr>
              <w:t xml:space="preserve">具备3年</w:t>
            </w:r>
            <w:r>
              <w:rPr>
                <w:rFonts w:hint="eastAsia" w:ascii="宋体" w:hAnsi="宋体" w:cs="宋体"/>
                <w:highlight w:val="none"/>
              </w:rPr>
              <w:t xml:space="preserve">及</w:t>
            </w:r>
            <w:r>
              <w:rPr>
                <w:rFonts w:hint="eastAsia" w:ascii="宋体" w:hAnsi="宋体" w:cs="宋体"/>
                <w:highlight w:val="none"/>
              </w:rPr>
              <w:t xml:space="preserve">以上餐饮项目服务经验，形象气质佳，持健康证</w:t>
            </w:r>
            <w:r>
              <w:rPr>
                <w:rFonts w:hint="eastAsia"/>
                <w:highlight w:val="none"/>
              </w:rPr>
              <w:t xml:space="preserve">，经过卫生检疫检验机构的正规培训，普通话熟练，有责任心，有较好的整理归纳和沟通的能力。</w:t>
            </w:r>
            <w:r/>
          </w:p>
        </w:tc>
      </w:tr>
      <w:tr>
        <w:trPr>
          <w:jc w:val="center"/>
          <w:trHeight w:val="90"/>
        </w:trPr>
        <w:tc>
          <w:tcPr>
            <w:tcW w:w="1296" w:type="dxa"/>
            <w:vAlign w:val="center"/>
            <w:vMerge w:val="continue"/>
            <w:textDirection w:val="lrTb"/>
            <w:noWrap w:val="false"/>
          </w:tcPr>
          <w:p>
            <w:pPr>
              <w:rPr>
                <w:highlight w:val="none"/>
              </w:rPr>
            </w:pPr>
            <w:r>
              <w:rPr>
                <w:highlight w:val="none"/>
              </w:rPr>
            </w:r>
            <w:r/>
          </w:p>
        </w:tc>
        <w:tc>
          <w:tcPr>
            <w:tcW w:w="1232" w:type="dxa"/>
            <w:vAlign w:val="center"/>
            <w:textDirection w:val="lrTb"/>
            <w:noWrap w:val="false"/>
          </w:tcPr>
          <w:p>
            <w:pPr>
              <w:rPr>
                <w:highlight w:val="none"/>
              </w:rPr>
            </w:pPr>
            <w:r>
              <w:rPr>
                <w:rFonts w:hint="eastAsia"/>
                <w:highlight w:val="none"/>
              </w:rPr>
              <w:t xml:space="preserve">厨务</w:t>
            </w:r>
            <w:r/>
          </w:p>
        </w:tc>
        <w:tc>
          <w:tcPr>
            <w:tcW w:w="1094" w:type="dxa"/>
            <w:vAlign w:val="center"/>
            <w:textDirection w:val="lrTb"/>
            <w:noWrap w:val="false"/>
          </w:tcPr>
          <w:p>
            <w:pPr>
              <w:rPr>
                <w:highlight w:val="none"/>
              </w:rPr>
            </w:pPr>
            <w:r>
              <w:rPr>
                <w:rFonts w:hint="eastAsia"/>
                <w:highlight w:val="none"/>
              </w:rPr>
              <w:t xml:space="preserve">2</w:t>
            </w:r>
            <w:r/>
          </w:p>
        </w:tc>
        <w:tc>
          <w:tcPr>
            <w:tcW w:w="1183" w:type="dxa"/>
            <w:vAlign w:val="center"/>
            <w:textDirection w:val="lrTb"/>
            <w:noWrap w:val="false"/>
          </w:tcPr>
          <w:p>
            <w:pPr>
              <w:rPr>
                <w:highlight w:val="none"/>
              </w:rPr>
            </w:pPr>
            <w:r>
              <w:rPr>
                <w:rFonts w:hint="eastAsia"/>
                <w:highlight w:val="none"/>
              </w:rPr>
              <w:t xml:space="preserve">2</w:t>
            </w:r>
            <w:r/>
          </w:p>
        </w:tc>
        <w:tc>
          <w:tcPr>
            <w:tcW w:w="4827" w:type="dxa"/>
            <w:vAlign w:val="center"/>
            <w:textDirection w:val="lrTb"/>
            <w:noWrap w:val="false"/>
          </w:tcPr>
          <w:p>
            <w:pPr>
              <w:rPr>
                <w:highlight w:val="none"/>
              </w:rPr>
            </w:pPr>
            <w:r>
              <w:rPr>
                <w:rFonts w:hint="eastAsia" w:ascii="宋体" w:hAnsi="宋体" w:cs="宋体"/>
                <w:highlight w:val="none"/>
              </w:rPr>
              <w:t xml:space="preserve">持健康证</w:t>
            </w:r>
            <w:r>
              <w:rPr>
                <w:rFonts w:hint="eastAsia"/>
                <w:highlight w:val="none"/>
              </w:rPr>
              <w:t xml:space="preserve">，经过卫生检疫检验机构的正规培训，有责任心。</w:t>
            </w:r>
            <w:r/>
          </w:p>
        </w:tc>
      </w:tr>
      <w:tr>
        <w:trPr>
          <w:jc w:val="center"/>
          <w:trHeight w:val="728"/>
        </w:trPr>
        <w:tc>
          <w:tcPr>
            <w:tcW w:w="1296" w:type="dxa"/>
            <w:vAlign w:val="center"/>
            <w:textDirection w:val="lrTb"/>
            <w:noWrap w:val="false"/>
          </w:tcPr>
          <w:p>
            <w:pPr>
              <w:jc w:val="center"/>
              <w:rPr>
                <w:highlight w:val="none"/>
              </w:rPr>
            </w:pPr>
            <w:r/>
            <w:bookmarkStart w:id="199" w:name="_Hlk230276706"/>
            <w:r/>
            <w:bookmarkStart w:id="200" w:name="OLE_LINK47"/>
            <w:r/>
            <w:bookmarkStart w:id="201" w:name="OLE_LINK46"/>
            <w:r>
              <w:rPr>
                <w:highlight w:val="none"/>
              </w:rPr>
              <w:t xml:space="preserve">合计</w:t>
            </w:r>
            <w:r/>
          </w:p>
        </w:tc>
        <w:tc>
          <w:tcPr>
            <w:tcW w:w="1232" w:type="dxa"/>
            <w:vAlign w:val="center"/>
            <w:textDirection w:val="lrTb"/>
            <w:noWrap w:val="false"/>
          </w:tcPr>
          <w:p>
            <w:pPr>
              <w:rPr>
                <w:highlight w:val="none"/>
              </w:rPr>
            </w:pPr>
            <w:r>
              <w:rPr>
                <w:highlight w:val="none"/>
              </w:rPr>
            </w:r>
            <w:r/>
          </w:p>
        </w:tc>
        <w:tc>
          <w:tcPr>
            <w:tcW w:w="1094" w:type="dxa"/>
            <w:vAlign w:val="center"/>
            <w:textDirection w:val="lrTb"/>
            <w:noWrap w:val="false"/>
          </w:tcPr>
          <w:p>
            <w:pPr>
              <w:rPr>
                <w:highlight w:val="none"/>
              </w:rPr>
            </w:pPr>
            <w:r>
              <w:rPr>
                <w:highlight w:val="none"/>
              </w:rPr>
            </w:r>
            <w:r/>
          </w:p>
        </w:tc>
        <w:tc>
          <w:tcPr>
            <w:tcW w:w="1183" w:type="dxa"/>
            <w:vAlign w:val="center"/>
            <w:textDirection w:val="lrTb"/>
            <w:noWrap w:val="false"/>
          </w:tcPr>
          <w:p>
            <w:pPr>
              <w:rPr>
                <w:highlight w:val="none"/>
              </w:rPr>
            </w:pPr>
            <w:r>
              <w:rPr>
                <w:rFonts w:hint="eastAsia"/>
                <w:highlight w:val="none"/>
              </w:rPr>
              <w:t xml:space="preserve">51</w:t>
            </w:r>
            <w:r/>
          </w:p>
        </w:tc>
        <w:tc>
          <w:tcPr>
            <w:tcW w:w="4827" w:type="dxa"/>
            <w:vAlign w:val="center"/>
            <w:textDirection w:val="lrTb"/>
            <w:noWrap w:val="false"/>
          </w:tcPr>
          <w:p>
            <w:pPr>
              <w:rPr>
                <w:rFonts w:ascii="宋体" w:hAnsi="宋体" w:cs="宋体"/>
                <w:highlight w:val="none"/>
              </w:rPr>
            </w:pPr>
            <w:r>
              <w:rPr>
                <w:rFonts w:hint="eastAsia" w:ascii="宋体" w:hAnsi="宋体" w:cs="宋体"/>
                <w:highlight w:val="none"/>
              </w:rPr>
              <w:t xml:space="preserve">院本部共需51人</w:t>
            </w:r>
            <w:bookmarkEnd w:id="199"/>
            <w:r/>
            <w:bookmarkEnd w:id="200"/>
            <w:r/>
            <w:bookmarkEnd w:id="201"/>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5.1.2连云港法庭人员配置情况（6人）</w:t>
      </w:r>
      <w:r/>
    </w:p>
    <w:tbl>
      <w:tblPr>
        <w:tblStyle w:val="773"/>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324"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59" w:type="dxa"/>
            <w:vAlign w:val="center"/>
            <w:textDirection w:val="lrTb"/>
            <w:noWrap w:val="false"/>
          </w:tcPr>
          <w:p>
            <w:pPr>
              <w:rPr>
                <w:highlight w:val="none"/>
                <w:lang w:eastAsia="en-US"/>
              </w:rPr>
            </w:pPr>
            <w:r>
              <w:rPr>
                <w:rFonts w:hint="eastAsia"/>
                <w:highlight w:val="none"/>
                <w:lang w:eastAsia="en-US"/>
              </w:rPr>
              <w:t xml:space="preserve">岗位</w:t>
            </w:r>
            <w:r/>
          </w:p>
        </w:tc>
        <w:tc>
          <w:tcPr>
            <w:tcW w:w="1118"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209"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932"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物业管理处</w:t>
            </w:r>
            <w:r/>
          </w:p>
        </w:tc>
        <w:tc>
          <w:tcPr>
            <w:tcW w:w="1259" w:type="dxa"/>
            <w:vAlign w:val="center"/>
            <w:textDirection w:val="lrTb"/>
            <w:noWrap w:val="false"/>
          </w:tcPr>
          <w:p>
            <w:pPr>
              <w:rPr>
                <w:highlight w:val="none"/>
                <w:lang w:eastAsia="en-US"/>
              </w:rPr>
            </w:pPr>
            <w:r>
              <w:rPr>
                <w:rFonts w:hint="eastAsia"/>
                <w:highlight w:val="none"/>
                <w:lang w:eastAsia="en-US" w:bidi="ar"/>
              </w:rPr>
              <w:t xml:space="preserve">项目负责人兼安检</w:t>
            </w:r>
            <w:r/>
          </w:p>
        </w:tc>
        <w:tc>
          <w:tcPr>
            <w:tcW w:w="1118" w:type="dxa"/>
            <w:vAlign w:val="center"/>
            <w:textDirection w:val="lrTb"/>
            <w:noWrap w:val="false"/>
          </w:tcPr>
          <w:p>
            <w:pPr>
              <w:rPr>
                <w:highlight w:val="none"/>
                <w:lang w:eastAsia="en-US"/>
              </w:rPr>
            </w:pPr>
            <w:r>
              <w:rPr>
                <w:rFonts w:hint="eastAsia"/>
                <w:highlight w:val="none"/>
                <w:lang w:eastAsia="en-US"/>
              </w:rPr>
              <w:t xml:space="preserve">1</w:t>
            </w:r>
            <w:r/>
          </w:p>
        </w:tc>
        <w:tc>
          <w:tcPr>
            <w:tcW w:w="1209" w:type="dxa"/>
            <w:vAlign w:val="center"/>
            <w:textDirection w:val="lrTb"/>
            <w:noWrap w:val="false"/>
          </w:tcPr>
          <w:p>
            <w:pPr>
              <w:rPr>
                <w:highlight w:val="none"/>
                <w:lang w:eastAsia="en-US"/>
              </w:rPr>
            </w:pPr>
            <w:r>
              <w:rPr>
                <w:rFonts w:hint="eastAsia"/>
                <w:highlight w:val="none"/>
                <w:lang w:eastAsia="en-US"/>
              </w:rPr>
              <w:t xml:space="preserve">1</w:t>
            </w:r>
            <w:r/>
          </w:p>
        </w:tc>
        <w:tc>
          <w:tcPr>
            <w:tcW w:w="4932" w:type="dxa"/>
            <w:vAlign w:val="center"/>
            <w:textDirection w:val="lrTb"/>
            <w:noWrap w:val="false"/>
          </w:tcPr>
          <w:p>
            <w:pPr>
              <w:rPr>
                <w:highlight w:val="none"/>
              </w:rPr>
            </w:pPr>
            <w:r>
              <w:rPr>
                <w:rFonts w:hint="eastAsia"/>
                <w:highlight w:val="none"/>
              </w:rPr>
              <w:t xml:space="preserve">负责人兼安检，具有安检工作经验，持有中级（四级）及以上等级的消防设施操作员证书，有相关工作经验。</w:t>
            </w:r>
            <w:r/>
          </w:p>
        </w:tc>
      </w:tr>
      <w:tr>
        <w:trPr>
          <w:jc w:val="center"/>
          <w:trHeight w:val="90"/>
        </w:trPr>
        <w:tc>
          <w:tcPr>
            <w:tcW w:w="1324" w:type="dxa"/>
            <w:vAlign w:val="center"/>
            <w:textDirection w:val="lrTb"/>
            <w:noWrap w:val="false"/>
          </w:tcPr>
          <w:p>
            <w:pPr>
              <w:rPr>
                <w:highlight w:val="none"/>
              </w:rPr>
            </w:pPr>
            <w:r/>
            <w:bookmarkStart w:id="202" w:name="OLE_LINK54"/>
            <w:r/>
            <w:bookmarkStart w:id="203" w:name="OLE_LINK58"/>
            <w:r/>
            <w:bookmarkStart w:id="204" w:name="_Hlk230277246"/>
            <w:r>
              <w:rPr>
                <w:rFonts w:hint="eastAsia"/>
                <w:highlight w:val="none"/>
              </w:rPr>
              <w:t xml:space="preserve">保安服务</w:t>
            </w:r>
            <w:r/>
          </w:p>
        </w:tc>
        <w:tc>
          <w:tcPr>
            <w:tcW w:w="1259" w:type="dxa"/>
            <w:vAlign w:val="center"/>
            <w:textDirection w:val="lrTb"/>
            <w:noWrap w:val="false"/>
          </w:tcPr>
          <w:p>
            <w:pPr>
              <w:rPr>
                <w:highlight w:val="none"/>
              </w:rPr>
            </w:pPr>
            <w:r>
              <w:rPr>
                <w:rFonts w:hint="eastAsia"/>
                <w:highlight w:val="none"/>
                <w:lang w:eastAsia="en-US" w:bidi="ar"/>
              </w:rPr>
              <w:t xml:space="preserve">安保</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2</w:t>
            </w:r>
            <w:r/>
          </w:p>
        </w:tc>
        <w:tc>
          <w:tcPr>
            <w:tcW w:w="1209" w:type="dxa"/>
            <w:vAlign w:val="center"/>
            <w:textDirection w:val="lrTb"/>
            <w:noWrap w:val="false"/>
          </w:tcPr>
          <w:p>
            <w:pPr>
              <w:rPr>
                <w:highlight w:val="none"/>
              </w:rPr>
            </w:pPr>
            <w:r>
              <w:rPr>
                <w:rFonts w:hint="eastAsia"/>
                <w:highlight w:val="none"/>
              </w:rPr>
              <w:t xml:space="preserve">3</w:t>
            </w:r>
            <w:r/>
          </w:p>
        </w:tc>
        <w:tc>
          <w:tcPr>
            <w:tcW w:w="4932" w:type="dxa"/>
            <w:vAlign w:val="center"/>
            <w:textDirection w:val="lrTb"/>
            <w:noWrap w:val="false"/>
          </w:tcPr>
          <w:p>
            <w:pPr>
              <w:rPr>
                <w:highlight w:val="none"/>
              </w:rPr>
            </w:pPr>
            <w:r>
              <w:rPr>
                <w:rFonts w:hint="eastAsia"/>
                <w:highlight w:val="none"/>
              </w:rPr>
              <w:t xml:space="preserve">男性1.70米以上，女性无身高要求。无前科，身体健康，工作认真负责，持公安机关核发的保安员证上岗，并定期接受培训。退役军人优先。</w:t>
            </w:r>
            <w:bookmarkEnd w:id="202"/>
            <w:r/>
            <w:bookmarkEnd w:id="203"/>
            <w:r/>
            <w:bookmarkEnd w:id="204"/>
            <w:r/>
            <w:r/>
          </w:p>
        </w:tc>
      </w:tr>
      <w:tr>
        <w:trPr>
          <w:jc w:val="center"/>
          <w:trHeight w:val="583"/>
        </w:trPr>
        <w:tc>
          <w:tcPr>
            <w:tcW w:w="1324" w:type="dxa"/>
            <w:vAlign w:val="center"/>
            <w:textDirection w:val="lrTb"/>
            <w:noWrap w:val="false"/>
          </w:tcPr>
          <w:p>
            <w:pPr>
              <w:rPr>
                <w:highlight w:val="none"/>
              </w:rPr>
            </w:pPr>
            <w:r>
              <w:rPr>
                <w:highlight w:val="none"/>
              </w:rPr>
            </w:r>
            <w:r/>
          </w:p>
        </w:tc>
        <w:tc>
          <w:tcPr>
            <w:tcW w:w="1259" w:type="dxa"/>
            <w:vAlign w:val="center"/>
            <w:textDirection w:val="lrTb"/>
            <w:noWrap w:val="false"/>
          </w:tcPr>
          <w:p>
            <w:pPr>
              <w:rPr>
                <w:highlight w:val="none"/>
                <w:lang w:bidi="ar"/>
              </w:rPr>
            </w:pPr>
            <w:r>
              <w:rPr>
                <w:highlight w:val="none"/>
                <w:lang w:bidi="ar"/>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highlight w:val="none"/>
              </w:rPr>
            </w:r>
            <w:r/>
          </w:p>
        </w:tc>
        <w:tc>
          <w:tcPr>
            <w:tcW w:w="4932" w:type="dxa"/>
            <w:vAlign w:val="center"/>
            <w:textDirection w:val="lrTb"/>
            <w:noWrap w:val="false"/>
          </w:tcPr>
          <w:p>
            <w:pPr>
              <w:rPr>
                <w:highlight w:val="none"/>
              </w:rPr>
            </w:pPr>
            <w:r/>
            <w:bookmarkStart w:id="205" w:name="OLE_LINK59"/>
            <w:r>
              <w:rPr>
                <w:rFonts w:hint="eastAsia"/>
                <w:highlight w:val="none"/>
              </w:rPr>
              <w:t xml:space="preserve">项目负责人兼安检、安保人员中需有1名为女性</w:t>
            </w:r>
            <w:bookmarkEnd w:id="205"/>
            <w:r/>
            <w:r/>
          </w:p>
        </w:tc>
      </w:tr>
      <w:tr>
        <w:trPr>
          <w:jc w:val="center"/>
          <w:trHeight w:val="563"/>
        </w:trPr>
        <w:tc>
          <w:tcPr>
            <w:tcW w:w="1324" w:type="dxa"/>
            <w:vAlign w:val="center"/>
            <w:textDirection w:val="lrTb"/>
            <w:noWrap w:val="false"/>
          </w:tcPr>
          <w:p>
            <w:pPr>
              <w:rPr>
                <w:highlight w:val="none"/>
              </w:rPr>
            </w:pPr>
            <w:r/>
            <w:bookmarkStart w:id="206" w:name="_Hlk226814527"/>
            <w:r/>
            <w:bookmarkStart w:id="207" w:name="OLE_LINK7"/>
            <w:r/>
            <w:bookmarkStart w:id="208" w:name="OLE_LINK9"/>
            <w:r>
              <w:rPr>
                <w:rFonts w:hint="eastAsia"/>
                <w:highlight w:val="none"/>
              </w:rPr>
              <w:t xml:space="preserve">保洁服务</w:t>
            </w:r>
            <w:r/>
          </w:p>
        </w:tc>
        <w:tc>
          <w:tcPr>
            <w:tcW w:w="1259" w:type="dxa"/>
            <w:vAlign w:val="center"/>
            <w:textDirection w:val="lrTb"/>
            <w:noWrap w:val="false"/>
          </w:tcPr>
          <w:p>
            <w:pPr>
              <w:rPr>
                <w:highlight w:val="none"/>
              </w:rPr>
            </w:pPr>
            <w:r>
              <w:rPr>
                <w:rFonts w:hint="eastAsia"/>
                <w:highlight w:val="none"/>
                <w:lang w:eastAsia="en-US" w:bidi="ar"/>
              </w:rPr>
              <w:t xml:space="preserve">保洁</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餐饮服务</w:t>
            </w:r>
            <w:r/>
          </w:p>
        </w:tc>
        <w:tc>
          <w:tcPr>
            <w:tcW w:w="1259" w:type="dxa"/>
            <w:vAlign w:val="center"/>
            <w:textDirection w:val="lrTb"/>
            <w:noWrap w:val="false"/>
          </w:tcPr>
          <w:p>
            <w:pPr>
              <w:rPr>
                <w:highlight w:val="none"/>
                <w:lang w:eastAsia="en-US"/>
              </w:rPr>
            </w:pPr>
            <w:r>
              <w:rPr>
                <w:rFonts w:hint="eastAsia"/>
                <w:highlight w:val="none"/>
                <w:lang w:eastAsia="en-US" w:bidi="ar"/>
              </w:rPr>
              <w:t xml:space="preserve">厨师</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cs="宋体"/>
                <w:highlight w:val="none"/>
              </w:rPr>
              <w:t xml:space="preserve">持健康证，为干警提供一日三餐，会做当地特色菜优先，会做家常菜，会面点制作</w:t>
            </w:r>
            <w:r/>
          </w:p>
        </w:tc>
      </w:tr>
      <w:tr>
        <w:trPr>
          <w:jc w:val="center"/>
          <w:trHeight w:val="694"/>
        </w:trPr>
        <w:tc>
          <w:tcPr>
            <w:tcW w:w="1324" w:type="dxa"/>
            <w:vAlign w:val="center"/>
            <w:textDirection w:val="lrTb"/>
            <w:noWrap w:val="false"/>
          </w:tcPr>
          <w:p>
            <w:pPr>
              <w:jc w:val="center"/>
              <w:rPr>
                <w:highlight w:val="none"/>
              </w:rPr>
            </w:pPr>
            <w:r/>
            <w:bookmarkStart w:id="209" w:name="OLE_LINK49"/>
            <w:r/>
            <w:bookmarkStart w:id="210" w:name="OLE_LINK48"/>
            <w:r/>
            <w:bookmarkStart w:id="211" w:name="_Hlk230276834"/>
            <w:r>
              <w:rPr>
                <w:highlight w:val="none"/>
              </w:rPr>
              <w:t xml:space="preserve">合计</w:t>
            </w:r>
            <w:r/>
          </w:p>
        </w:tc>
        <w:tc>
          <w:tcPr>
            <w:tcW w:w="1259" w:type="dxa"/>
            <w:vAlign w:val="center"/>
            <w:textDirection w:val="lrTb"/>
            <w:noWrap w:val="false"/>
          </w:tcPr>
          <w:p>
            <w:pPr>
              <w:rPr>
                <w:highlight w:val="none"/>
              </w:rPr>
            </w:pPr>
            <w:r>
              <w:rPr>
                <w:highlight w:val="none"/>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rFonts w:hint="eastAsia"/>
                <w:highlight w:val="none"/>
              </w:rPr>
              <w:t xml:space="preserve">6</w:t>
            </w:r>
            <w:r/>
          </w:p>
        </w:tc>
        <w:tc>
          <w:tcPr>
            <w:tcW w:w="4932" w:type="dxa"/>
            <w:vAlign w:val="center"/>
            <w:textDirection w:val="lrTb"/>
            <w:noWrap w:val="false"/>
          </w:tcPr>
          <w:p>
            <w:pPr>
              <w:rPr>
                <w:rFonts w:ascii="宋体" w:hAnsi="宋体" w:cs="宋体"/>
                <w:highlight w:val="none"/>
              </w:rPr>
            </w:pPr>
            <w:r>
              <w:rPr>
                <w:rFonts w:hint="eastAsia" w:ascii="宋体" w:hAnsi="宋体" w:cs="宋体"/>
                <w:highlight w:val="none"/>
              </w:rPr>
              <w:t xml:space="preserve">连云港法庭共需6人</w:t>
            </w:r>
            <w:bookmarkEnd w:id="206"/>
            <w:r/>
            <w:bookmarkEnd w:id="207"/>
            <w:r/>
            <w:bookmarkEnd w:id="208"/>
            <w:r/>
            <w:bookmarkEnd w:id="209"/>
            <w:r/>
            <w:bookmarkEnd w:id="210"/>
            <w:r/>
            <w:bookmarkEnd w:id="211"/>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5.1.3南通法庭人员配置情况（6人）</w:t>
      </w:r>
      <w:r/>
    </w:p>
    <w:tbl>
      <w:tblPr>
        <w:tblStyle w:val="773"/>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324"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59" w:type="dxa"/>
            <w:vAlign w:val="center"/>
            <w:textDirection w:val="lrTb"/>
            <w:noWrap w:val="false"/>
          </w:tcPr>
          <w:p>
            <w:pPr>
              <w:rPr>
                <w:highlight w:val="none"/>
                <w:lang w:eastAsia="en-US"/>
              </w:rPr>
            </w:pPr>
            <w:r>
              <w:rPr>
                <w:rFonts w:hint="eastAsia"/>
                <w:highlight w:val="none"/>
                <w:lang w:eastAsia="en-US"/>
              </w:rPr>
              <w:t xml:space="preserve">岗位</w:t>
            </w:r>
            <w:r/>
          </w:p>
        </w:tc>
        <w:tc>
          <w:tcPr>
            <w:tcW w:w="1118"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209"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932"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物业管理处</w:t>
            </w:r>
            <w:r/>
          </w:p>
        </w:tc>
        <w:tc>
          <w:tcPr>
            <w:tcW w:w="1259" w:type="dxa"/>
            <w:vAlign w:val="center"/>
            <w:textDirection w:val="lrTb"/>
            <w:noWrap w:val="false"/>
          </w:tcPr>
          <w:p>
            <w:pPr>
              <w:rPr>
                <w:highlight w:val="none"/>
                <w:lang w:eastAsia="en-US"/>
              </w:rPr>
            </w:pPr>
            <w:r>
              <w:rPr>
                <w:rFonts w:hint="eastAsia"/>
                <w:highlight w:val="none"/>
                <w:lang w:eastAsia="en-US" w:bidi="ar"/>
              </w:rPr>
              <w:t xml:space="preserve">项目负责人兼安检</w:t>
            </w:r>
            <w:r/>
          </w:p>
        </w:tc>
        <w:tc>
          <w:tcPr>
            <w:tcW w:w="1118" w:type="dxa"/>
            <w:vAlign w:val="center"/>
            <w:textDirection w:val="lrTb"/>
            <w:noWrap w:val="false"/>
          </w:tcPr>
          <w:p>
            <w:pPr>
              <w:rPr>
                <w:highlight w:val="none"/>
                <w:lang w:eastAsia="en-US"/>
              </w:rPr>
            </w:pPr>
            <w:r>
              <w:rPr>
                <w:rFonts w:hint="eastAsia"/>
                <w:highlight w:val="none"/>
                <w:lang w:eastAsia="en-US"/>
              </w:rPr>
              <w:t xml:space="preserve">1</w:t>
            </w:r>
            <w:r/>
          </w:p>
        </w:tc>
        <w:tc>
          <w:tcPr>
            <w:tcW w:w="1209" w:type="dxa"/>
            <w:vAlign w:val="center"/>
            <w:textDirection w:val="lrTb"/>
            <w:noWrap w:val="false"/>
          </w:tcPr>
          <w:p>
            <w:pPr>
              <w:rPr>
                <w:highlight w:val="none"/>
                <w:lang w:eastAsia="en-US"/>
              </w:rPr>
            </w:pPr>
            <w:r>
              <w:rPr>
                <w:rFonts w:hint="eastAsia"/>
                <w:highlight w:val="none"/>
                <w:lang w:eastAsia="en-US"/>
              </w:rPr>
              <w:t xml:space="preserve">1</w:t>
            </w:r>
            <w:r/>
          </w:p>
        </w:tc>
        <w:tc>
          <w:tcPr>
            <w:tcW w:w="4932" w:type="dxa"/>
            <w:vAlign w:val="center"/>
            <w:textDirection w:val="lrTb"/>
            <w:noWrap w:val="false"/>
          </w:tcPr>
          <w:p>
            <w:pPr>
              <w:rPr>
                <w:highlight w:val="none"/>
              </w:rPr>
            </w:pPr>
            <w:r>
              <w:rPr>
                <w:rFonts w:hint="eastAsia"/>
                <w:highlight w:val="none"/>
              </w:rPr>
              <w:t xml:space="preserve">负责人兼安检，具有安检工作经验，持有中级（四级）及以上等级的消防设施操作员证书，有相关工作经验。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保安服务</w:t>
            </w:r>
            <w:r/>
          </w:p>
        </w:tc>
        <w:tc>
          <w:tcPr>
            <w:tcW w:w="1259" w:type="dxa"/>
            <w:vAlign w:val="center"/>
            <w:textDirection w:val="lrTb"/>
            <w:noWrap w:val="false"/>
          </w:tcPr>
          <w:p>
            <w:pPr>
              <w:rPr>
                <w:highlight w:val="none"/>
              </w:rPr>
            </w:pPr>
            <w:r>
              <w:rPr>
                <w:rFonts w:hint="eastAsia"/>
                <w:highlight w:val="none"/>
                <w:lang w:eastAsia="en-US" w:bidi="ar"/>
              </w:rPr>
              <w:t xml:space="preserve">安保</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2</w:t>
            </w:r>
            <w:r/>
          </w:p>
        </w:tc>
        <w:tc>
          <w:tcPr>
            <w:tcW w:w="1209" w:type="dxa"/>
            <w:vAlign w:val="center"/>
            <w:textDirection w:val="lrTb"/>
            <w:noWrap w:val="false"/>
          </w:tcPr>
          <w:p>
            <w:pPr>
              <w:rPr>
                <w:highlight w:val="none"/>
              </w:rPr>
            </w:pPr>
            <w:r>
              <w:rPr>
                <w:rFonts w:hint="eastAsia"/>
                <w:highlight w:val="none"/>
              </w:rPr>
              <w:t xml:space="preserve">3</w:t>
            </w:r>
            <w:r/>
          </w:p>
        </w:tc>
        <w:tc>
          <w:tcPr>
            <w:tcW w:w="4932" w:type="dxa"/>
            <w:vAlign w:val="center"/>
            <w:textDirection w:val="lrTb"/>
            <w:noWrap w:val="false"/>
          </w:tcPr>
          <w:p>
            <w:pPr>
              <w:rPr>
                <w:highlight w:val="none"/>
              </w:rPr>
            </w:pPr>
            <w:r/>
            <w:bookmarkStart w:id="212" w:name="OLE_LINK60"/>
            <w:r/>
            <w:bookmarkStart w:id="213" w:name="OLE_LINK61"/>
            <w:r/>
            <w:bookmarkStart w:id="214" w:name="OLE_LINK62"/>
            <w:r>
              <w:rPr>
                <w:rFonts w:hint="eastAsia"/>
                <w:highlight w:val="none"/>
              </w:rPr>
              <w:t xml:space="preserve">男性</w:t>
            </w:r>
            <w:r>
              <w:rPr>
                <w:highlight w:val="none"/>
              </w:rPr>
              <w:t xml:space="preserve">1.70</w:t>
            </w:r>
            <w:r>
              <w:rPr>
                <w:rFonts w:hint="eastAsia"/>
                <w:highlight w:val="none"/>
              </w:rPr>
              <w:t xml:space="preserve">米以上，女性无身高要求。</w:t>
            </w:r>
            <w:bookmarkEnd w:id="212"/>
            <w:r/>
            <w:bookmarkEnd w:id="213"/>
            <w:r/>
            <w:bookmarkEnd w:id="214"/>
            <w:r>
              <w:rPr>
                <w:rFonts w:hint="eastAsia"/>
                <w:highlight w:val="none"/>
              </w:rPr>
              <w:t xml:space="preserve">无前科，身体健康，工作认真负责，持公安机关核发的保安员证上岗，并定期接受培训。退役军人优先。</w:t>
            </w:r>
            <w:r/>
          </w:p>
        </w:tc>
      </w:tr>
      <w:tr>
        <w:trPr>
          <w:jc w:val="center"/>
          <w:trHeight w:val="606"/>
        </w:trPr>
        <w:tc>
          <w:tcPr>
            <w:tcW w:w="1324" w:type="dxa"/>
            <w:vAlign w:val="center"/>
            <w:textDirection w:val="lrTb"/>
            <w:noWrap w:val="false"/>
          </w:tcPr>
          <w:p>
            <w:pPr>
              <w:rPr>
                <w:highlight w:val="none"/>
              </w:rPr>
            </w:pPr>
            <w:r>
              <w:rPr>
                <w:highlight w:val="none"/>
              </w:rPr>
            </w:r>
            <w:r/>
          </w:p>
        </w:tc>
        <w:tc>
          <w:tcPr>
            <w:tcW w:w="1259" w:type="dxa"/>
            <w:vAlign w:val="center"/>
            <w:textDirection w:val="lrTb"/>
            <w:noWrap w:val="false"/>
          </w:tcPr>
          <w:p>
            <w:pPr>
              <w:rPr>
                <w:highlight w:val="none"/>
                <w:lang w:eastAsia="en-US" w:bidi="ar"/>
              </w:rPr>
            </w:pPr>
            <w:r>
              <w:rPr>
                <w:highlight w:val="none"/>
                <w:lang w:eastAsia="en-US" w:bidi="ar"/>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highlight w:val="none"/>
              </w:rPr>
            </w:r>
            <w:r/>
          </w:p>
        </w:tc>
        <w:tc>
          <w:tcPr>
            <w:tcW w:w="4932" w:type="dxa"/>
            <w:vAlign w:val="center"/>
            <w:textDirection w:val="lrTb"/>
            <w:noWrap w:val="false"/>
          </w:tcPr>
          <w:p>
            <w:pPr>
              <w:rPr>
                <w:highlight w:val="none"/>
              </w:rPr>
            </w:pPr>
            <w:r/>
            <w:bookmarkStart w:id="215" w:name="OLE_LINK63"/>
            <w:r/>
            <w:bookmarkStart w:id="216" w:name="OLE_LINK64"/>
            <w:r>
              <w:rPr>
                <w:rFonts w:hint="eastAsia"/>
                <w:highlight w:val="none"/>
              </w:rPr>
              <w:t xml:space="preserve">项目负责人兼安检、安保人员中需有1名为女性</w:t>
            </w:r>
            <w:bookmarkEnd w:id="215"/>
            <w:r/>
            <w:bookmarkEnd w:id="216"/>
            <w:r/>
            <w:r/>
          </w:p>
        </w:tc>
      </w:tr>
      <w:tr>
        <w:trPr>
          <w:jc w:val="center"/>
          <w:trHeight w:val="417"/>
        </w:trPr>
        <w:tc>
          <w:tcPr>
            <w:tcW w:w="1324" w:type="dxa"/>
            <w:vAlign w:val="center"/>
            <w:textDirection w:val="lrTb"/>
            <w:noWrap w:val="false"/>
          </w:tcPr>
          <w:p>
            <w:pPr>
              <w:rPr>
                <w:highlight w:val="none"/>
              </w:rPr>
            </w:pPr>
            <w:r>
              <w:rPr>
                <w:rFonts w:hint="eastAsia"/>
                <w:highlight w:val="none"/>
              </w:rPr>
              <w:t xml:space="preserve">保洁服务</w:t>
            </w:r>
            <w:r/>
          </w:p>
        </w:tc>
        <w:tc>
          <w:tcPr>
            <w:tcW w:w="1259" w:type="dxa"/>
            <w:vAlign w:val="center"/>
            <w:textDirection w:val="lrTb"/>
            <w:noWrap w:val="false"/>
          </w:tcPr>
          <w:p>
            <w:pPr>
              <w:rPr>
                <w:highlight w:val="none"/>
              </w:rPr>
            </w:pPr>
            <w:r>
              <w:rPr>
                <w:rFonts w:hint="eastAsia" w:ascii="宋体" w:hAnsi="宋体" w:cs="宋体"/>
                <w:highlight w:val="none"/>
                <w:lang w:eastAsia="en-US" w:bidi="ar"/>
              </w:rPr>
              <w:t xml:space="preserve">保洁</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餐饮服务</w:t>
            </w:r>
            <w:r/>
          </w:p>
        </w:tc>
        <w:tc>
          <w:tcPr>
            <w:tcW w:w="1259" w:type="dxa"/>
            <w:vAlign w:val="center"/>
            <w:textDirection w:val="lrTb"/>
            <w:noWrap w:val="false"/>
          </w:tcPr>
          <w:p>
            <w:pPr>
              <w:rPr>
                <w:highlight w:val="none"/>
                <w:lang w:eastAsia="en-US"/>
              </w:rPr>
            </w:pPr>
            <w:r>
              <w:rPr>
                <w:rFonts w:hint="eastAsia" w:ascii="宋体" w:hAnsi="宋体" w:cs="宋体"/>
                <w:highlight w:val="none"/>
                <w:lang w:eastAsia="en-US" w:bidi="ar"/>
              </w:rPr>
              <w:t xml:space="preserve">厨师</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cs="宋体"/>
                <w:highlight w:val="none"/>
              </w:rPr>
              <w:t xml:space="preserve">持健康证，为干警提供一日三餐，会做当地特色菜优先，会做家常菜，会面点制作</w:t>
            </w:r>
            <w:r/>
          </w:p>
        </w:tc>
      </w:tr>
      <w:tr>
        <w:trPr>
          <w:jc w:val="center"/>
          <w:trHeight w:val="583"/>
        </w:trPr>
        <w:tc>
          <w:tcPr>
            <w:tcW w:w="1324" w:type="dxa"/>
            <w:vAlign w:val="center"/>
            <w:textDirection w:val="lrTb"/>
            <w:noWrap w:val="false"/>
          </w:tcPr>
          <w:p>
            <w:pPr>
              <w:jc w:val="center"/>
              <w:rPr>
                <w:highlight w:val="none"/>
              </w:rPr>
            </w:pPr>
            <w:r/>
            <w:bookmarkStart w:id="217" w:name="OLE_LINK51"/>
            <w:r/>
            <w:bookmarkStart w:id="218" w:name="OLE_LINK50"/>
            <w:r/>
            <w:bookmarkStart w:id="219" w:name="_Hlk230276856"/>
            <w:r>
              <w:rPr>
                <w:highlight w:val="none"/>
              </w:rPr>
              <w:t xml:space="preserve">合计</w:t>
            </w:r>
            <w:r/>
          </w:p>
        </w:tc>
        <w:tc>
          <w:tcPr>
            <w:tcW w:w="1259" w:type="dxa"/>
            <w:vAlign w:val="center"/>
            <w:textDirection w:val="lrTb"/>
            <w:noWrap w:val="false"/>
          </w:tcPr>
          <w:p>
            <w:pPr>
              <w:rPr>
                <w:highlight w:val="none"/>
              </w:rPr>
            </w:pPr>
            <w:r>
              <w:rPr>
                <w:highlight w:val="none"/>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rFonts w:hint="eastAsia"/>
                <w:highlight w:val="none"/>
              </w:rPr>
              <w:t xml:space="preserve">6</w:t>
            </w:r>
            <w:r/>
          </w:p>
        </w:tc>
        <w:tc>
          <w:tcPr>
            <w:tcW w:w="4932" w:type="dxa"/>
            <w:vAlign w:val="center"/>
            <w:textDirection w:val="lrTb"/>
            <w:noWrap w:val="false"/>
          </w:tcPr>
          <w:p>
            <w:pPr>
              <w:rPr>
                <w:rFonts w:ascii="宋体" w:hAnsi="宋体" w:cs="宋体"/>
                <w:highlight w:val="none"/>
              </w:rPr>
            </w:pPr>
            <w:r>
              <w:rPr>
                <w:rFonts w:hint="eastAsia" w:ascii="宋体" w:hAnsi="宋体" w:cs="宋体"/>
                <w:highlight w:val="none"/>
              </w:rPr>
              <w:t xml:space="preserve">南通法庭共需6人</w:t>
            </w:r>
            <w:bookmarkEnd w:id="217"/>
            <w:r/>
            <w:bookmarkEnd w:id="218"/>
            <w:r/>
            <w:bookmarkEnd w:id="219"/>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5.1.4泰州法庭人员配置情况（6人）</w:t>
      </w:r>
      <w:r/>
    </w:p>
    <w:tbl>
      <w:tblPr>
        <w:tblStyle w:val="773"/>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324"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59" w:type="dxa"/>
            <w:vAlign w:val="center"/>
            <w:textDirection w:val="lrTb"/>
            <w:noWrap w:val="false"/>
          </w:tcPr>
          <w:p>
            <w:pPr>
              <w:rPr>
                <w:highlight w:val="none"/>
                <w:lang w:eastAsia="en-US"/>
              </w:rPr>
            </w:pPr>
            <w:r>
              <w:rPr>
                <w:rFonts w:hint="eastAsia"/>
                <w:highlight w:val="none"/>
                <w:lang w:eastAsia="en-US"/>
              </w:rPr>
              <w:t xml:space="preserve">岗位</w:t>
            </w:r>
            <w:r/>
          </w:p>
        </w:tc>
        <w:tc>
          <w:tcPr>
            <w:tcW w:w="1118"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209"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932"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物业管理处</w:t>
            </w:r>
            <w:r/>
          </w:p>
        </w:tc>
        <w:tc>
          <w:tcPr>
            <w:tcW w:w="1259" w:type="dxa"/>
            <w:vAlign w:val="center"/>
            <w:textDirection w:val="lrTb"/>
            <w:noWrap w:val="false"/>
          </w:tcPr>
          <w:p>
            <w:pPr>
              <w:rPr>
                <w:highlight w:val="none"/>
                <w:lang w:eastAsia="en-US"/>
              </w:rPr>
            </w:pPr>
            <w:r>
              <w:rPr>
                <w:rFonts w:hint="eastAsia"/>
                <w:highlight w:val="none"/>
                <w:lang w:eastAsia="en-US" w:bidi="ar"/>
              </w:rPr>
              <w:t xml:space="preserve">项目负责人兼安检</w:t>
            </w:r>
            <w:r/>
          </w:p>
        </w:tc>
        <w:tc>
          <w:tcPr>
            <w:tcW w:w="1118" w:type="dxa"/>
            <w:vAlign w:val="center"/>
            <w:textDirection w:val="lrTb"/>
            <w:noWrap w:val="false"/>
          </w:tcPr>
          <w:p>
            <w:pPr>
              <w:rPr>
                <w:highlight w:val="none"/>
                <w:lang w:eastAsia="en-US"/>
              </w:rPr>
            </w:pPr>
            <w:r>
              <w:rPr>
                <w:rFonts w:hint="eastAsia"/>
                <w:highlight w:val="none"/>
                <w:lang w:eastAsia="en-US"/>
              </w:rPr>
              <w:t xml:space="preserve">1</w:t>
            </w:r>
            <w:r/>
          </w:p>
        </w:tc>
        <w:tc>
          <w:tcPr>
            <w:tcW w:w="1209" w:type="dxa"/>
            <w:vAlign w:val="center"/>
            <w:textDirection w:val="lrTb"/>
            <w:noWrap w:val="false"/>
          </w:tcPr>
          <w:p>
            <w:pPr>
              <w:rPr>
                <w:highlight w:val="none"/>
                <w:lang w:eastAsia="en-US"/>
              </w:rPr>
            </w:pPr>
            <w:r>
              <w:rPr>
                <w:rFonts w:hint="eastAsia"/>
                <w:highlight w:val="none"/>
                <w:lang w:eastAsia="en-US"/>
              </w:rPr>
              <w:t xml:space="preserve">1</w:t>
            </w:r>
            <w:r/>
          </w:p>
        </w:tc>
        <w:tc>
          <w:tcPr>
            <w:tcW w:w="4932" w:type="dxa"/>
            <w:vAlign w:val="center"/>
            <w:textDirection w:val="lrTb"/>
            <w:noWrap w:val="false"/>
          </w:tcPr>
          <w:p>
            <w:pPr>
              <w:rPr>
                <w:highlight w:val="none"/>
              </w:rPr>
            </w:pPr>
            <w:r>
              <w:rPr>
                <w:rFonts w:hint="eastAsia"/>
                <w:highlight w:val="none"/>
              </w:rPr>
              <w:t xml:space="preserve">负责人兼安检，具有安检工作经验，持有中级（四级）及以上等级的消防设施操作员证书，有相关工作经验。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保安服务</w:t>
            </w:r>
            <w:r/>
          </w:p>
        </w:tc>
        <w:tc>
          <w:tcPr>
            <w:tcW w:w="1259" w:type="dxa"/>
            <w:vAlign w:val="center"/>
            <w:textDirection w:val="lrTb"/>
            <w:noWrap w:val="false"/>
          </w:tcPr>
          <w:p>
            <w:pPr>
              <w:rPr>
                <w:highlight w:val="none"/>
              </w:rPr>
            </w:pPr>
            <w:r>
              <w:rPr>
                <w:rFonts w:hint="eastAsia"/>
                <w:highlight w:val="none"/>
                <w:lang w:eastAsia="en-US" w:bidi="ar"/>
              </w:rPr>
              <w:t xml:space="preserve">安保</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2</w:t>
            </w:r>
            <w:r/>
          </w:p>
        </w:tc>
        <w:tc>
          <w:tcPr>
            <w:tcW w:w="1209" w:type="dxa"/>
            <w:vAlign w:val="center"/>
            <w:textDirection w:val="lrTb"/>
            <w:noWrap w:val="false"/>
          </w:tcPr>
          <w:p>
            <w:pPr>
              <w:rPr>
                <w:highlight w:val="none"/>
              </w:rPr>
            </w:pPr>
            <w:r>
              <w:rPr>
                <w:rFonts w:hint="eastAsia"/>
                <w:highlight w:val="none"/>
              </w:rPr>
              <w:t xml:space="preserve">3</w:t>
            </w:r>
            <w:r/>
          </w:p>
        </w:tc>
        <w:tc>
          <w:tcPr>
            <w:tcW w:w="4932" w:type="dxa"/>
            <w:vAlign w:val="center"/>
            <w:textDirection w:val="lrTb"/>
            <w:noWrap w:val="false"/>
          </w:tcPr>
          <w:p>
            <w:pPr>
              <w:rPr>
                <w:highlight w:val="none"/>
              </w:rPr>
            </w:pPr>
            <w:r/>
            <w:bookmarkStart w:id="220" w:name="OLE_LINK65"/>
            <w:r/>
            <w:bookmarkStart w:id="221" w:name="OLE_LINK66"/>
            <w:r>
              <w:rPr>
                <w:rFonts w:hint="eastAsia"/>
                <w:highlight w:val="none"/>
              </w:rPr>
              <w:t xml:space="preserve">男性</w:t>
            </w:r>
            <w:r>
              <w:rPr>
                <w:highlight w:val="none"/>
              </w:rPr>
              <w:t xml:space="preserve">1.70</w:t>
            </w:r>
            <w:r>
              <w:rPr>
                <w:rFonts w:hint="eastAsia"/>
                <w:highlight w:val="none"/>
              </w:rPr>
              <w:t xml:space="preserve">米以上，女性无身高要求。</w:t>
            </w:r>
            <w:bookmarkEnd w:id="220"/>
            <w:r/>
            <w:bookmarkEnd w:id="221"/>
            <w:r>
              <w:rPr>
                <w:rFonts w:hint="eastAsia"/>
                <w:highlight w:val="none"/>
              </w:rPr>
              <w:t xml:space="preserve">无前科，身体健康，工作认真负责，持公安机关核发的保安员证上岗，并定期接受培训。退役军人优先。</w:t>
            </w:r>
            <w:r/>
          </w:p>
        </w:tc>
      </w:tr>
      <w:tr>
        <w:trPr>
          <w:jc w:val="center"/>
          <w:trHeight w:val="538"/>
        </w:trPr>
        <w:tc>
          <w:tcPr>
            <w:tcW w:w="1324" w:type="dxa"/>
            <w:vAlign w:val="center"/>
            <w:textDirection w:val="lrTb"/>
            <w:noWrap w:val="false"/>
          </w:tcPr>
          <w:p>
            <w:pPr>
              <w:rPr>
                <w:highlight w:val="none"/>
              </w:rPr>
            </w:pPr>
            <w:r>
              <w:rPr>
                <w:highlight w:val="none"/>
              </w:rPr>
            </w:r>
            <w:r/>
          </w:p>
        </w:tc>
        <w:tc>
          <w:tcPr>
            <w:tcW w:w="1259" w:type="dxa"/>
            <w:vAlign w:val="center"/>
            <w:textDirection w:val="lrTb"/>
            <w:noWrap w:val="false"/>
          </w:tcPr>
          <w:p>
            <w:pPr>
              <w:rPr>
                <w:highlight w:val="none"/>
                <w:lang w:eastAsia="en-US" w:bidi="ar"/>
              </w:rPr>
            </w:pPr>
            <w:r>
              <w:rPr>
                <w:highlight w:val="none"/>
                <w:lang w:eastAsia="en-US" w:bidi="ar"/>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highlight w:val="none"/>
              </w:rPr>
            </w:r>
            <w:r/>
          </w:p>
        </w:tc>
        <w:tc>
          <w:tcPr>
            <w:tcW w:w="4932" w:type="dxa"/>
            <w:vAlign w:val="center"/>
            <w:textDirection w:val="lrTb"/>
            <w:noWrap w:val="false"/>
          </w:tcPr>
          <w:p>
            <w:pPr>
              <w:rPr>
                <w:highlight w:val="none"/>
              </w:rPr>
            </w:pPr>
            <w:r>
              <w:rPr>
                <w:rFonts w:hint="eastAsia"/>
                <w:highlight w:val="none"/>
              </w:rPr>
              <w:t xml:space="preserve">项目负责人兼安检、安保人员中需有1名为女性</w:t>
            </w:r>
            <w:r/>
          </w:p>
        </w:tc>
      </w:tr>
      <w:tr>
        <w:trPr>
          <w:jc w:val="center"/>
          <w:trHeight w:val="418"/>
        </w:trPr>
        <w:tc>
          <w:tcPr>
            <w:tcW w:w="1324" w:type="dxa"/>
            <w:vAlign w:val="center"/>
            <w:textDirection w:val="lrTb"/>
            <w:noWrap w:val="false"/>
          </w:tcPr>
          <w:p>
            <w:pPr>
              <w:rPr>
                <w:highlight w:val="none"/>
              </w:rPr>
            </w:pPr>
            <w:r>
              <w:rPr>
                <w:rFonts w:hint="eastAsia"/>
                <w:highlight w:val="none"/>
              </w:rPr>
              <w:t xml:space="preserve">保洁服务</w:t>
            </w:r>
            <w:r/>
          </w:p>
        </w:tc>
        <w:tc>
          <w:tcPr>
            <w:tcW w:w="1259" w:type="dxa"/>
            <w:vAlign w:val="center"/>
            <w:textDirection w:val="lrTb"/>
            <w:noWrap w:val="false"/>
          </w:tcPr>
          <w:p>
            <w:pPr>
              <w:rPr>
                <w:highlight w:val="none"/>
              </w:rPr>
            </w:pPr>
            <w:r>
              <w:rPr>
                <w:rFonts w:hint="eastAsia" w:ascii="宋体" w:hAnsi="宋体" w:cs="宋体"/>
                <w:highlight w:val="none"/>
                <w:lang w:eastAsia="en-US" w:bidi="ar"/>
              </w:rPr>
              <w:t xml:space="preserve">保洁</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餐饮服务</w:t>
            </w:r>
            <w:r/>
          </w:p>
        </w:tc>
        <w:tc>
          <w:tcPr>
            <w:tcW w:w="1259" w:type="dxa"/>
            <w:vAlign w:val="center"/>
            <w:textDirection w:val="lrTb"/>
            <w:noWrap w:val="false"/>
          </w:tcPr>
          <w:p>
            <w:pPr>
              <w:rPr>
                <w:highlight w:val="none"/>
                <w:lang w:eastAsia="en-US"/>
              </w:rPr>
            </w:pPr>
            <w:r>
              <w:rPr>
                <w:rFonts w:hint="eastAsia" w:ascii="宋体" w:hAnsi="宋体" w:cs="宋体"/>
                <w:highlight w:val="none"/>
                <w:lang w:eastAsia="en-US" w:bidi="ar"/>
              </w:rPr>
              <w:t xml:space="preserve">厨师</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cs="宋体"/>
                <w:highlight w:val="none"/>
              </w:rPr>
              <w:t xml:space="preserve">持健康证，为干警提供一日三餐，会做当地特色菜优先，会做家常菜，会面点制作</w:t>
            </w:r>
            <w:r/>
          </w:p>
        </w:tc>
      </w:tr>
      <w:tr>
        <w:trPr>
          <w:jc w:val="center"/>
          <w:trHeight w:val="669"/>
        </w:trPr>
        <w:tc>
          <w:tcPr>
            <w:tcW w:w="1324" w:type="dxa"/>
            <w:vAlign w:val="center"/>
            <w:textDirection w:val="lrTb"/>
            <w:noWrap w:val="false"/>
          </w:tcPr>
          <w:p>
            <w:pPr>
              <w:jc w:val="center"/>
              <w:rPr>
                <w:highlight w:val="none"/>
              </w:rPr>
            </w:pPr>
            <w:r/>
            <w:bookmarkStart w:id="222" w:name="OLE_LINK53"/>
            <w:r/>
            <w:bookmarkStart w:id="223" w:name="OLE_LINK52"/>
            <w:r/>
            <w:bookmarkStart w:id="224" w:name="_Hlk230276872"/>
            <w:r>
              <w:rPr>
                <w:highlight w:val="none"/>
              </w:rPr>
              <w:t xml:space="preserve">合计</w:t>
            </w:r>
            <w:r/>
          </w:p>
        </w:tc>
        <w:tc>
          <w:tcPr>
            <w:tcW w:w="1259" w:type="dxa"/>
            <w:vAlign w:val="center"/>
            <w:textDirection w:val="lrTb"/>
            <w:noWrap w:val="false"/>
          </w:tcPr>
          <w:p>
            <w:pPr>
              <w:rPr>
                <w:highlight w:val="none"/>
              </w:rPr>
            </w:pPr>
            <w:r>
              <w:rPr>
                <w:highlight w:val="none"/>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rFonts w:hint="eastAsia"/>
                <w:highlight w:val="none"/>
              </w:rPr>
              <w:t xml:space="preserve">6</w:t>
            </w:r>
            <w:r/>
          </w:p>
        </w:tc>
        <w:tc>
          <w:tcPr>
            <w:tcW w:w="4932" w:type="dxa"/>
            <w:vAlign w:val="center"/>
            <w:textDirection w:val="lrTb"/>
            <w:noWrap w:val="false"/>
          </w:tcPr>
          <w:p>
            <w:pPr>
              <w:rPr>
                <w:rFonts w:ascii="宋体" w:hAnsi="宋体" w:cs="宋体"/>
                <w:highlight w:val="none"/>
              </w:rPr>
            </w:pPr>
            <w:r>
              <w:rPr>
                <w:rFonts w:hint="eastAsia" w:ascii="宋体" w:hAnsi="宋体" w:cs="宋体"/>
                <w:highlight w:val="none"/>
              </w:rPr>
              <w:t xml:space="preserve">泰州法庭共需6人</w:t>
            </w:r>
            <w:bookmarkEnd w:id="222"/>
            <w:r/>
            <w:bookmarkEnd w:id="223"/>
            <w:r/>
            <w:bookmarkEnd w:id="224"/>
            <w:r/>
            <w:r/>
          </w:p>
        </w:tc>
      </w:tr>
    </w:tbl>
    <w:p>
      <w:pPr>
        <w:ind w:firstLine="480"/>
        <w:spacing w:line="360" w:lineRule="auto"/>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5.1.5苏州法庭人员配置情况（6人）</w:t>
      </w:r>
      <w:r/>
    </w:p>
    <w:tbl>
      <w:tblPr>
        <w:tblStyle w:val="773"/>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1259"/>
        <w:gridCol w:w="1118"/>
        <w:gridCol w:w="1209"/>
        <w:gridCol w:w="4932"/>
      </w:tblGrid>
      <w:tr>
        <w:trPr>
          <w:jc w:val="center"/>
          <w:trHeight w:val="454"/>
        </w:trPr>
        <w:tc>
          <w:tcPr>
            <w:tcW w:w="1324" w:type="dxa"/>
            <w:vAlign w:val="center"/>
            <w:textDirection w:val="lrTb"/>
            <w:noWrap w:val="false"/>
          </w:tcPr>
          <w:p>
            <w:pPr>
              <w:rPr>
                <w:highlight w:val="none"/>
                <w:lang w:eastAsia="en-US"/>
              </w:rPr>
            </w:pPr>
            <w:r>
              <w:rPr>
                <w:rFonts w:hint="eastAsia"/>
                <w:highlight w:val="none"/>
                <w:lang w:eastAsia="en-US"/>
              </w:rPr>
              <w:t xml:space="preserve">部门职能</w:t>
            </w:r>
            <w:r/>
          </w:p>
        </w:tc>
        <w:tc>
          <w:tcPr>
            <w:tcW w:w="1259" w:type="dxa"/>
            <w:vAlign w:val="center"/>
            <w:textDirection w:val="lrTb"/>
            <w:noWrap w:val="false"/>
          </w:tcPr>
          <w:p>
            <w:pPr>
              <w:rPr>
                <w:highlight w:val="none"/>
                <w:lang w:eastAsia="en-US"/>
              </w:rPr>
            </w:pPr>
            <w:r>
              <w:rPr>
                <w:rFonts w:hint="eastAsia"/>
                <w:highlight w:val="none"/>
                <w:lang w:eastAsia="en-US"/>
              </w:rPr>
              <w:t xml:space="preserve">岗位</w:t>
            </w:r>
            <w:r/>
          </w:p>
        </w:tc>
        <w:tc>
          <w:tcPr>
            <w:tcW w:w="1118" w:type="dxa"/>
            <w:vAlign w:val="center"/>
            <w:textDirection w:val="lrTb"/>
            <w:noWrap w:val="false"/>
          </w:tcPr>
          <w:p>
            <w:pPr>
              <w:rPr>
                <w:highlight w:val="none"/>
                <w:lang w:eastAsia="en-US"/>
              </w:rPr>
            </w:pPr>
            <w:r>
              <w:rPr>
                <w:rFonts w:hint="eastAsia"/>
                <w:highlight w:val="none"/>
                <w:lang w:eastAsia="en-US"/>
              </w:rPr>
              <w:t xml:space="preserve">同时在岗人数</w:t>
            </w:r>
            <w:r/>
          </w:p>
        </w:tc>
        <w:tc>
          <w:tcPr>
            <w:tcW w:w="1209" w:type="dxa"/>
            <w:vAlign w:val="center"/>
            <w:textDirection w:val="lrTb"/>
            <w:noWrap w:val="false"/>
          </w:tcPr>
          <w:p>
            <w:pPr>
              <w:rPr>
                <w:highlight w:val="none"/>
                <w:lang w:eastAsia="en-US"/>
              </w:rPr>
            </w:pPr>
            <w:r>
              <w:rPr>
                <w:rFonts w:hint="eastAsia"/>
                <w:highlight w:val="none"/>
                <w:lang w:eastAsia="en-US"/>
              </w:rPr>
              <w:t xml:space="preserve">岗位所需总人数</w:t>
            </w:r>
            <w:r/>
          </w:p>
        </w:tc>
        <w:tc>
          <w:tcPr>
            <w:tcW w:w="4932" w:type="dxa"/>
            <w:vAlign w:val="center"/>
            <w:textDirection w:val="lrTb"/>
            <w:noWrap w:val="false"/>
          </w:tcPr>
          <w:p>
            <w:pPr>
              <w:rPr>
                <w:highlight w:val="none"/>
              </w:rPr>
            </w:pPr>
            <w:r>
              <w:rPr>
                <w:rFonts w:hint="eastAsia"/>
                <w:highlight w:val="none"/>
              </w:rPr>
              <w:t xml:space="preserve">备注（岗位所需服务时长或时段、需具备的上岗资格证、人员学历、工作经验等要求）</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物业管理处</w:t>
            </w:r>
            <w:r/>
          </w:p>
        </w:tc>
        <w:tc>
          <w:tcPr>
            <w:tcW w:w="1259" w:type="dxa"/>
            <w:vAlign w:val="center"/>
            <w:textDirection w:val="lrTb"/>
            <w:noWrap w:val="false"/>
          </w:tcPr>
          <w:p>
            <w:pPr>
              <w:rPr>
                <w:highlight w:val="none"/>
                <w:lang w:eastAsia="en-US"/>
              </w:rPr>
            </w:pPr>
            <w:r>
              <w:rPr>
                <w:rFonts w:hint="eastAsia"/>
                <w:highlight w:val="none"/>
                <w:lang w:eastAsia="en-US" w:bidi="ar"/>
              </w:rPr>
              <w:t xml:space="preserve">项目负责人兼安检</w:t>
            </w:r>
            <w:r/>
          </w:p>
        </w:tc>
        <w:tc>
          <w:tcPr>
            <w:tcW w:w="1118" w:type="dxa"/>
            <w:vAlign w:val="center"/>
            <w:textDirection w:val="lrTb"/>
            <w:noWrap w:val="false"/>
          </w:tcPr>
          <w:p>
            <w:pPr>
              <w:rPr>
                <w:highlight w:val="none"/>
                <w:lang w:eastAsia="en-US"/>
              </w:rPr>
            </w:pPr>
            <w:r>
              <w:rPr>
                <w:rFonts w:hint="eastAsia"/>
                <w:highlight w:val="none"/>
                <w:lang w:eastAsia="en-US"/>
              </w:rPr>
              <w:t xml:space="preserve">1</w:t>
            </w:r>
            <w:r/>
          </w:p>
        </w:tc>
        <w:tc>
          <w:tcPr>
            <w:tcW w:w="1209" w:type="dxa"/>
            <w:vAlign w:val="center"/>
            <w:textDirection w:val="lrTb"/>
            <w:noWrap w:val="false"/>
          </w:tcPr>
          <w:p>
            <w:pPr>
              <w:rPr>
                <w:highlight w:val="none"/>
                <w:lang w:eastAsia="en-US"/>
              </w:rPr>
            </w:pPr>
            <w:r>
              <w:rPr>
                <w:rFonts w:hint="eastAsia"/>
                <w:highlight w:val="none"/>
                <w:lang w:eastAsia="en-US"/>
              </w:rPr>
              <w:t xml:space="preserve">1</w:t>
            </w:r>
            <w:r/>
          </w:p>
        </w:tc>
        <w:tc>
          <w:tcPr>
            <w:tcW w:w="4932" w:type="dxa"/>
            <w:vAlign w:val="center"/>
            <w:textDirection w:val="lrTb"/>
            <w:noWrap w:val="false"/>
          </w:tcPr>
          <w:p>
            <w:pPr>
              <w:rPr>
                <w:highlight w:val="none"/>
              </w:rPr>
            </w:pPr>
            <w:r>
              <w:rPr>
                <w:rFonts w:hint="eastAsia"/>
                <w:highlight w:val="none"/>
              </w:rPr>
              <w:t xml:space="preserve">负责人兼安检，具有安检工作经验，持有中级（四级）及以上等级的消防设施操作员证书，有相关工作经验。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保安服务</w:t>
            </w:r>
            <w:r/>
          </w:p>
        </w:tc>
        <w:tc>
          <w:tcPr>
            <w:tcW w:w="1259" w:type="dxa"/>
            <w:vAlign w:val="center"/>
            <w:textDirection w:val="lrTb"/>
            <w:noWrap w:val="false"/>
          </w:tcPr>
          <w:p>
            <w:pPr>
              <w:rPr>
                <w:highlight w:val="none"/>
              </w:rPr>
            </w:pPr>
            <w:r>
              <w:rPr>
                <w:rFonts w:hint="eastAsia"/>
                <w:highlight w:val="none"/>
                <w:lang w:eastAsia="en-US" w:bidi="ar"/>
              </w:rPr>
              <w:t xml:space="preserve">安保</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2</w:t>
            </w:r>
            <w:r/>
          </w:p>
        </w:tc>
        <w:tc>
          <w:tcPr>
            <w:tcW w:w="1209" w:type="dxa"/>
            <w:vAlign w:val="center"/>
            <w:textDirection w:val="lrTb"/>
            <w:noWrap w:val="false"/>
          </w:tcPr>
          <w:p>
            <w:pPr>
              <w:rPr>
                <w:highlight w:val="none"/>
              </w:rPr>
            </w:pPr>
            <w:r>
              <w:rPr>
                <w:rFonts w:hint="eastAsia"/>
                <w:highlight w:val="none"/>
              </w:rPr>
              <w:t xml:space="preserve">3</w:t>
            </w:r>
            <w:r/>
          </w:p>
        </w:tc>
        <w:tc>
          <w:tcPr>
            <w:tcW w:w="4932" w:type="dxa"/>
            <w:vAlign w:val="center"/>
            <w:textDirection w:val="lrTb"/>
            <w:noWrap w:val="false"/>
          </w:tcPr>
          <w:p>
            <w:pPr>
              <w:rPr>
                <w:highlight w:val="none"/>
              </w:rPr>
            </w:pPr>
            <w:r>
              <w:rPr>
                <w:rFonts w:hint="eastAsia"/>
                <w:highlight w:val="none"/>
              </w:rPr>
              <w:t xml:space="preserve">男性</w:t>
            </w:r>
            <w:r>
              <w:rPr>
                <w:highlight w:val="none"/>
              </w:rPr>
              <w:t xml:space="preserve">1.70</w:t>
            </w:r>
            <w:r>
              <w:rPr>
                <w:rFonts w:hint="eastAsia"/>
                <w:highlight w:val="none"/>
              </w:rPr>
              <w:t xml:space="preserve">米以上，女性无身高要求。无前科，身体健康，工作认真负责，持公安机关核发的保安员证上岗，并定期接受培训。退役军人优先。</w:t>
            </w:r>
            <w:r/>
          </w:p>
        </w:tc>
      </w:tr>
      <w:tr>
        <w:trPr>
          <w:jc w:val="center"/>
          <w:trHeight w:val="456"/>
        </w:trPr>
        <w:tc>
          <w:tcPr>
            <w:tcW w:w="1324" w:type="dxa"/>
            <w:vAlign w:val="center"/>
            <w:textDirection w:val="lrTb"/>
            <w:noWrap w:val="false"/>
          </w:tcPr>
          <w:p>
            <w:pPr>
              <w:rPr>
                <w:highlight w:val="none"/>
              </w:rPr>
            </w:pPr>
            <w:r>
              <w:rPr>
                <w:highlight w:val="none"/>
              </w:rPr>
            </w:r>
            <w:r/>
          </w:p>
        </w:tc>
        <w:tc>
          <w:tcPr>
            <w:tcW w:w="1259" w:type="dxa"/>
            <w:vAlign w:val="center"/>
            <w:textDirection w:val="lrTb"/>
            <w:noWrap w:val="false"/>
          </w:tcPr>
          <w:p>
            <w:pPr>
              <w:rPr>
                <w:highlight w:val="none"/>
                <w:lang w:eastAsia="en-US" w:bidi="ar"/>
              </w:rPr>
            </w:pPr>
            <w:r>
              <w:rPr>
                <w:highlight w:val="none"/>
                <w:lang w:eastAsia="en-US" w:bidi="ar"/>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highlight w:val="none"/>
              </w:rPr>
            </w:r>
            <w:r/>
          </w:p>
        </w:tc>
        <w:tc>
          <w:tcPr>
            <w:tcW w:w="4932" w:type="dxa"/>
            <w:vAlign w:val="center"/>
            <w:textDirection w:val="lrTb"/>
            <w:noWrap w:val="false"/>
          </w:tcPr>
          <w:p>
            <w:pPr>
              <w:rPr>
                <w:highlight w:val="none"/>
              </w:rPr>
            </w:pPr>
            <w:r>
              <w:rPr>
                <w:rFonts w:hint="eastAsia"/>
                <w:highlight w:val="none"/>
              </w:rPr>
              <w:t xml:space="preserve">项目负责人兼安检、安保人员中需有1名为女性</w:t>
            </w:r>
            <w:r/>
          </w:p>
        </w:tc>
      </w:tr>
      <w:tr>
        <w:trPr>
          <w:jc w:val="center"/>
          <w:trHeight w:val="424"/>
        </w:trPr>
        <w:tc>
          <w:tcPr>
            <w:tcW w:w="1324" w:type="dxa"/>
            <w:vAlign w:val="center"/>
            <w:textDirection w:val="lrTb"/>
            <w:noWrap w:val="false"/>
          </w:tcPr>
          <w:p>
            <w:pPr>
              <w:rPr>
                <w:highlight w:val="none"/>
              </w:rPr>
            </w:pPr>
            <w:r>
              <w:rPr>
                <w:rFonts w:hint="eastAsia"/>
                <w:highlight w:val="none"/>
              </w:rPr>
              <w:t xml:space="preserve">保洁服务</w:t>
            </w:r>
            <w:r/>
          </w:p>
        </w:tc>
        <w:tc>
          <w:tcPr>
            <w:tcW w:w="1259" w:type="dxa"/>
            <w:vAlign w:val="center"/>
            <w:textDirection w:val="lrTb"/>
            <w:noWrap w:val="false"/>
          </w:tcPr>
          <w:p>
            <w:pPr>
              <w:rPr>
                <w:highlight w:val="none"/>
              </w:rPr>
            </w:pPr>
            <w:r>
              <w:rPr>
                <w:rFonts w:hint="eastAsia" w:ascii="宋体" w:hAnsi="宋体" w:cs="宋体"/>
                <w:highlight w:val="none"/>
                <w:lang w:eastAsia="en-US" w:bidi="ar"/>
              </w:rPr>
              <w:t xml:space="preserve">保洁</w:t>
            </w:r>
            <w:r>
              <w:rPr>
                <w:rFonts w:hint="eastAsia"/>
                <w:highlight w:val="none"/>
                <w:lang w:bidi="ar"/>
              </w:rPr>
              <w:t xml:space="preserve">人员</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highlight w:val="none"/>
              </w:rPr>
              <w:t xml:space="preserve">具有</w:t>
            </w:r>
            <w:r>
              <w:rPr>
                <w:rFonts w:hint="eastAsia"/>
                <w:highlight w:val="none"/>
              </w:rPr>
              <w:t xml:space="preserve">1年以上</w:t>
            </w:r>
            <w:r>
              <w:rPr>
                <w:rFonts w:hint="eastAsia" w:ascii="宋体" w:hAnsi="宋体"/>
                <w:highlight w:val="none"/>
              </w:rPr>
              <w:t xml:space="preserve">办公楼</w:t>
            </w:r>
            <w:r>
              <w:rPr>
                <w:rFonts w:hint="eastAsia"/>
                <w:highlight w:val="none"/>
              </w:rPr>
              <w:t xml:space="preserve">物业项目保洁工作经验。</w:t>
            </w:r>
            <w:r/>
          </w:p>
        </w:tc>
      </w:tr>
      <w:tr>
        <w:trPr>
          <w:jc w:val="center"/>
          <w:trHeight w:val="90"/>
        </w:trPr>
        <w:tc>
          <w:tcPr>
            <w:tcW w:w="1324" w:type="dxa"/>
            <w:vAlign w:val="center"/>
            <w:textDirection w:val="lrTb"/>
            <w:noWrap w:val="false"/>
          </w:tcPr>
          <w:p>
            <w:pPr>
              <w:rPr>
                <w:highlight w:val="none"/>
              </w:rPr>
            </w:pPr>
            <w:r>
              <w:rPr>
                <w:rFonts w:hint="eastAsia"/>
                <w:highlight w:val="none"/>
              </w:rPr>
              <w:t xml:space="preserve">餐饮服务</w:t>
            </w:r>
            <w:r/>
          </w:p>
        </w:tc>
        <w:tc>
          <w:tcPr>
            <w:tcW w:w="1259" w:type="dxa"/>
            <w:vAlign w:val="center"/>
            <w:textDirection w:val="lrTb"/>
            <w:noWrap w:val="false"/>
          </w:tcPr>
          <w:p>
            <w:pPr>
              <w:rPr>
                <w:highlight w:val="none"/>
                <w:lang w:eastAsia="en-US"/>
              </w:rPr>
            </w:pPr>
            <w:r>
              <w:rPr>
                <w:rFonts w:hint="eastAsia" w:ascii="宋体" w:hAnsi="宋体" w:cs="宋体"/>
                <w:highlight w:val="none"/>
                <w:lang w:eastAsia="en-US" w:bidi="ar"/>
              </w:rPr>
              <w:t xml:space="preserve">厨师</w:t>
            </w:r>
            <w:r/>
          </w:p>
        </w:tc>
        <w:tc>
          <w:tcPr>
            <w:tcW w:w="1118" w:type="dxa"/>
            <w:vAlign w:val="center"/>
            <w:textDirection w:val="lrTb"/>
            <w:noWrap w:val="false"/>
          </w:tcPr>
          <w:p>
            <w:pPr>
              <w:rPr>
                <w:highlight w:val="none"/>
              </w:rPr>
            </w:pPr>
            <w:r>
              <w:rPr>
                <w:rFonts w:hint="eastAsia"/>
                <w:highlight w:val="none"/>
              </w:rPr>
              <w:t xml:space="preserve">1</w:t>
            </w:r>
            <w:r/>
          </w:p>
        </w:tc>
        <w:tc>
          <w:tcPr>
            <w:tcW w:w="1209" w:type="dxa"/>
            <w:vAlign w:val="center"/>
            <w:textDirection w:val="lrTb"/>
            <w:noWrap w:val="false"/>
          </w:tcPr>
          <w:p>
            <w:pPr>
              <w:rPr>
                <w:highlight w:val="none"/>
              </w:rPr>
            </w:pPr>
            <w:r>
              <w:rPr>
                <w:rFonts w:hint="eastAsia"/>
                <w:highlight w:val="none"/>
              </w:rPr>
              <w:t xml:space="preserve">1</w:t>
            </w:r>
            <w:r/>
          </w:p>
        </w:tc>
        <w:tc>
          <w:tcPr>
            <w:tcW w:w="4932" w:type="dxa"/>
            <w:vAlign w:val="center"/>
            <w:textDirection w:val="lrTb"/>
            <w:noWrap w:val="false"/>
          </w:tcPr>
          <w:p>
            <w:pPr>
              <w:rPr>
                <w:highlight w:val="none"/>
              </w:rPr>
            </w:pPr>
            <w:r>
              <w:rPr>
                <w:rFonts w:hint="eastAsia" w:ascii="宋体" w:hAnsi="宋体" w:cs="宋体"/>
                <w:highlight w:val="none"/>
              </w:rPr>
              <w:t xml:space="preserve">持健康证，为干警提供一日三餐，会做当地特色菜优先，会做家常菜，会面点制作</w:t>
            </w:r>
            <w:r/>
          </w:p>
        </w:tc>
      </w:tr>
      <w:tr>
        <w:trPr>
          <w:jc w:val="center"/>
          <w:trHeight w:val="543"/>
        </w:trPr>
        <w:tc>
          <w:tcPr>
            <w:tcW w:w="1324" w:type="dxa"/>
            <w:vAlign w:val="center"/>
            <w:textDirection w:val="lrTb"/>
            <w:noWrap w:val="false"/>
          </w:tcPr>
          <w:p>
            <w:pPr>
              <w:jc w:val="center"/>
              <w:rPr>
                <w:highlight w:val="none"/>
              </w:rPr>
            </w:pPr>
            <w:r>
              <w:rPr>
                <w:highlight w:val="none"/>
              </w:rPr>
              <w:t xml:space="preserve">合计</w:t>
            </w:r>
            <w:r/>
          </w:p>
        </w:tc>
        <w:tc>
          <w:tcPr>
            <w:tcW w:w="1259" w:type="dxa"/>
            <w:vAlign w:val="center"/>
            <w:textDirection w:val="lrTb"/>
            <w:noWrap w:val="false"/>
          </w:tcPr>
          <w:p>
            <w:pPr>
              <w:rPr>
                <w:highlight w:val="none"/>
              </w:rPr>
            </w:pPr>
            <w:r>
              <w:rPr>
                <w:highlight w:val="none"/>
              </w:rPr>
            </w:r>
            <w:r/>
          </w:p>
        </w:tc>
        <w:tc>
          <w:tcPr>
            <w:tcW w:w="1118" w:type="dxa"/>
            <w:vAlign w:val="center"/>
            <w:textDirection w:val="lrTb"/>
            <w:noWrap w:val="false"/>
          </w:tcPr>
          <w:p>
            <w:pPr>
              <w:rPr>
                <w:highlight w:val="none"/>
              </w:rPr>
            </w:pPr>
            <w:r>
              <w:rPr>
                <w:highlight w:val="none"/>
              </w:rPr>
            </w:r>
            <w:r/>
          </w:p>
        </w:tc>
        <w:tc>
          <w:tcPr>
            <w:tcW w:w="1209" w:type="dxa"/>
            <w:vAlign w:val="center"/>
            <w:textDirection w:val="lrTb"/>
            <w:noWrap w:val="false"/>
          </w:tcPr>
          <w:p>
            <w:pPr>
              <w:rPr>
                <w:highlight w:val="none"/>
              </w:rPr>
            </w:pPr>
            <w:r>
              <w:rPr>
                <w:rFonts w:hint="eastAsia"/>
                <w:highlight w:val="none"/>
              </w:rPr>
              <w:t xml:space="preserve">6</w:t>
            </w:r>
            <w:r/>
          </w:p>
        </w:tc>
        <w:tc>
          <w:tcPr>
            <w:tcW w:w="4932" w:type="dxa"/>
            <w:vAlign w:val="center"/>
            <w:textDirection w:val="lrTb"/>
            <w:noWrap w:val="false"/>
          </w:tcPr>
          <w:p>
            <w:pPr>
              <w:rPr>
                <w:rFonts w:ascii="宋体" w:hAnsi="宋体" w:cs="宋体"/>
                <w:highlight w:val="none"/>
              </w:rPr>
            </w:pPr>
            <w:r>
              <w:rPr>
                <w:rFonts w:hint="eastAsia" w:ascii="宋体" w:hAnsi="宋体" w:cs="宋体"/>
                <w:highlight w:val="none"/>
              </w:rPr>
              <w:t xml:space="preserve">苏州法庭共需6人</w:t>
            </w:r>
            <w:r/>
          </w:p>
        </w:tc>
      </w:tr>
    </w:tbl>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5.2投标人拟服务本项目人员，需身体健康（非退休年龄），必须遵守国家的法律、法规及我院的各项规章制度。具有相应上岗资质，无犯罪记录，身心健康，无不良嗜好；爱岗敬业，责任心强，工作勤快，礼貌待人；文明作业、文明用语。所有人员上岗时必须做到不喝酒，不抽烟，不擅离工作岗位，不迟到，不早退，不做与工作无关的事。</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投标人应当按国家相关法律法规，合理确定服务人员工资标准、工作时间等。投标人应当自行为服务人员办理必需的保险，有关人员伤亡及第三者责任险均应当考虑在报价因素中。</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5.</w:t>
      </w:r>
      <w:r>
        <w:rPr>
          <w:rFonts w:hint="eastAsia" w:ascii="方正仿宋_GBK" w:hAnsi="方正仿宋_GBK" w:eastAsia="方正仿宋_GBK" w:cs="方正仿宋_GBK"/>
          <w:bCs/>
          <w:sz w:val="32"/>
          <w:szCs w:val="32"/>
          <w:highlight w:val="none"/>
        </w:rPr>
        <w:t xml:space="preserve">3投标人拟派驻现场的项目经理在中标后必须驻现场管理，进场时提供身份证正反面复印件、学历证书复印件、相关资历证书复印件、近3个月中任意1个月社会保险的证明材料为其缴纳的社保材料</w:t>
      </w:r>
      <w:r>
        <w:rPr>
          <w:rFonts w:ascii="方正仿宋_GBK" w:hAnsi="方正仿宋_GBK" w:eastAsia="方正仿宋_GBK" w:cs="方正仿宋_GBK"/>
          <w:bCs/>
          <w:sz w:val="32"/>
          <w:szCs w:val="32"/>
          <w:highlight w:val="none"/>
        </w:rPr>
        <w:t xml:space="preserve">。</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5.</w:t>
      </w:r>
      <w:r>
        <w:rPr>
          <w:rFonts w:hint="eastAsia" w:ascii="方正仿宋_GBK" w:hAnsi="方正仿宋_GBK" w:eastAsia="方正仿宋_GBK" w:cs="方正仿宋_GBK"/>
          <w:bCs/>
          <w:sz w:val="32"/>
          <w:szCs w:val="32"/>
          <w:highlight w:val="none"/>
        </w:rPr>
        <w:t xml:space="preserve">4</w:t>
      </w:r>
      <w:r>
        <w:rPr>
          <w:rFonts w:ascii="方正仿宋_GBK" w:hAnsi="方正仿宋_GBK" w:eastAsia="方正仿宋_GBK" w:cs="方正仿宋_GBK"/>
          <w:bCs/>
          <w:sz w:val="32"/>
          <w:szCs w:val="32"/>
          <w:highlight w:val="none"/>
        </w:rPr>
        <w:t xml:space="preserve">为本项目服务的项目经理、主管</w:t>
      </w:r>
      <w:r>
        <w:rPr>
          <w:rFonts w:hint="eastAsia" w:ascii="方正仿宋_GBK" w:hAnsi="方正仿宋_GBK" w:eastAsia="方正仿宋_GBK" w:cs="方正仿宋_GBK"/>
          <w:bCs/>
          <w:sz w:val="32"/>
          <w:szCs w:val="32"/>
          <w:highlight w:val="none"/>
        </w:rPr>
        <w:t xml:space="preserve">、食堂厨师长</w:t>
      </w:r>
      <w:r>
        <w:rPr>
          <w:rFonts w:ascii="方正仿宋_GBK" w:hAnsi="方正仿宋_GBK" w:eastAsia="方正仿宋_GBK" w:cs="方正仿宋_GBK"/>
          <w:bCs/>
          <w:sz w:val="32"/>
          <w:szCs w:val="32"/>
          <w:highlight w:val="none"/>
        </w:rPr>
        <w:t xml:space="preserve">未经采购人</w:t>
      </w:r>
      <w:r>
        <w:rPr>
          <w:rFonts w:hint="eastAsia" w:ascii="方正仿宋_GBK" w:hAnsi="方正仿宋_GBK" w:eastAsia="方正仿宋_GBK" w:cs="方正仿宋_GBK"/>
          <w:bCs/>
          <w:sz w:val="32"/>
          <w:szCs w:val="32"/>
          <w:highlight w:val="none"/>
        </w:rPr>
        <w:t xml:space="preserve">书面</w:t>
      </w:r>
      <w:r>
        <w:rPr>
          <w:rFonts w:ascii="方正仿宋_GBK" w:hAnsi="方正仿宋_GBK" w:eastAsia="方正仿宋_GBK" w:cs="方正仿宋_GBK"/>
          <w:bCs/>
          <w:sz w:val="32"/>
          <w:szCs w:val="32"/>
          <w:highlight w:val="none"/>
        </w:rPr>
        <w:t xml:space="preserve">同意，不得私自更换，经采购人同意更换的人员，上岗前需经采购人同意，并须符合招标文件上岗位的配置要求。采购人认为需要更换的人员，中标人应在采购人规定的时间内，进行更换。</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5.5 合同签订后，3日内主要管理人员到岗，7日内其他工作人员到岗。服务人员应符合本工作的身体健康状况，无重大疾病或传染病，精神饱满，统一服装，规范整齐，具备较高的道德品质、较强的责任心、良好的服务意识。</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5.6 投标人应对服务人员购置相关保险，因意外造成的伤害或损失由投标人负责。</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5.7中标单位保证按投标文件所列人员全部上岗，有专门的培训部门和制度，有新进员工上岗前培训计划及针对本项目中标后员工培训计划，本项目员工上岗培训率应达到100％。</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5.8中标单位必须保证项目经理及所有主管人员（含食堂项目经理、厨师长）的稳定，未经甲方书面同意不得中途（合同期内）调整上述人员离开采购人责任区域。如中标单位擅自调整，则视为违反合同，采购单位有权解除合同，且不承担任何法律责任和经济责任。</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5.9</w:t>
      </w:r>
      <w:r>
        <w:rPr>
          <w:rFonts w:ascii="方正仿宋_GBK" w:hAnsi="方正仿宋_GBK" w:eastAsia="方正仿宋_GBK" w:cs="方正仿宋_GBK"/>
          <w:bCs/>
          <w:sz w:val="32"/>
          <w:szCs w:val="32"/>
          <w:highlight w:val="none"/>
        </w:rPr>
        <w:t xml:space="preserve">投标人具备完善规范化运营管理体系，持有有效正规第三方认证机构颁发的质量管理、职业健康安全、环境、信息安全等相关管理体系认证证书。</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5.10针对本项目实际需求，</w:t>
      </w:r>
      <w:r>
        <w:rPr>
          <w:rFonts w:ascii="方正仿宋_GBK" w:hAnsi="方正仿宋_GBK" w:eastAsia="方正仿宋_GBK" w:cs="方正仿宋_GBK"/>
          <w:bCs/>
          <w:sz w:val="32"/>
          <w:szCs w:val="32"/>
          <w:highlight w:val="none"/>
        </w:rPr>
        <w:t xml:space="preserve">投标人具备</w:t>
      </w:r>
      <w:bookmarkStart w:id="225" w:name="OLE_LINK75"/>
      <w:r/>
      <w:bookmarkStart w:id="226" w:name="OLE_LINK74"/>
      <w:r>
        <w:rPr>
          <w:rFonts w:hint="eastAsia" w:ascii="方正仿宋_GBK" w:hAnsi="方正仿宋_GBK" w:eastAsia="方正仿宋_GBK" w:cs="方正仿宋_GBK"/>
          <w:sz w:val="32"/>
          <w:szCs w:val="32"/>
          <w:highlight w:val="none"/>
        </w:rPr>
        <w:t xml:space="preserve">自2021年1月1日（以合同签订日期为准）以来</w:t>
      </w:r>
      <w:r>
        <w:rPr>
          <w:rFonts w:ascii="方正仿宋_GBK" w:hAnsi="方正仿宋_GBK" w:eastAsia="方正仿宋_GBK" w:cs="方正仿宋_GBK"/>
          <w:bCs/>
          <w:sz w:val="32"/>
          <w:szCs w:val="32"/>
          <w:highlight w:val="none"/>
        </w:rPr>
        <w:t xml:space="preserve">类似办公场所</w:t>
      </w:r>
      <w:r>
        <w:rPr>
          <w:rFonts w:hint="eastAsia" w:ascii="方正仿宋_GBK" w:hAnsi="方正仿宋_GBK" w:eastAsia="方正仿宋_GBK" w:cs="方正仿宋_GBK"/>
          <w:bCs/>
          <w:sz w:val="32"/>
          <w:szCs w:val="32"/>
          <w:highlight w:val="none"/>
        </w:rPr>
        <w:t xml:space="preserve">类物业管理服务业绩（服务范围同时包含会务、保洁、安保、食堂餐饮等上述所有内容）</w:t>
      </w:r>
      <w:r>
        <w:rPr>
          <w:rFonts w:ascii="方正仿宋_GBK" w:hAnsi="方正仿宋_GBK" w:eastAsia="方正仿宋_GBK" w:cs="方正仿宋_GBK"/>
          <w:bCs/>
          <w:sz w:val="32"/>
          <w:szCs w:val="32"/>
          <w:highlight w:val="none"/>
        </w:rPr>
        <w:t xml:space="preserve">、</w:t>
      </w:r>
      <w:r>
        <w:rPr>
          <w:rFonts w:hint="eastAsia" w:ascii="方正仿宋_GBK" w:hAnsi="方正仿宋_GBK" w:eastAsia="方正仿宋_GBK" w:cs="方正仿宋_GBK"/>
          <w:bCs/>
          <w:sz w:val="32"/>
          <w:szCs w:val="32"/>
          <w:highlight w:val="none"/>
        </w:rPr>
        <w:t xml:space="preserve">承接过市域外物业服务项目或同一个项目其中有服务点位于市域外</w:t>
      </w:r>
      <w:bookmarkEnd w:id="225"/>
      <w:r/>
      <w:bookmarkEnd w:id="226"/>
      <w:r>
        <w:rPr>
          <w:rFonts w:hint="eastAsia" w:ascii="方正仿宋_GBK" w:hAnsi="方正仿宋_GBK" w:eastAsia="方正仿宋_GBK" w:cs="方正仿宋_GBK"/>
          <w:bCs/>
          <w:sz w:val="32"/>
          <w:szCs w:val="32"/>
          <w:highlight w:val="none"/>
        </w:rPr>
        <w:t xml:space="preserve">（此句中的“市”指设区市）</w:t>
      </w:r>
      <w:r>
        <w:rPr>
          <w:rFonts w:ascii="方正仿宋_GBK" w:hAnsi="方正仿宋_GBK" w:eastAsia="方正仿宋_GBK" w:cs="方正仿宋_GBK"/>
          <w:bCs/>
          <w:sz w:val="32"/>
          <w:szCs w:val="32"/>
          <w:highlight w:val="none"/>
        </w:rPr>
        <w:t xml:space="preserve">，且取得业主单位满意、优秀</w:t>
      </w:r>
      <w:r>
        <w:rPr>
          <w:rFonts w:hint="eastAsia" w:ascii="方正仿宋_GBK" w:hAnsi="方正仿宋_GBK" w:eastAsia="方正仿宋_GBK" w:cs="方正仿宋_GBK"/>
          <w:bCs/>
          <w:sz w:val="32"/>
          <w:szCs w:val="32"/>
          <w:highlight w:val="none"/>
        </w:rPr>
        <w:t xml:space="preserve">或同等级的评价</w:t>
      </w:r>
      <w:r>
        <w:rPr>
          <w:rFonts w:ascii="方正仿宋_GBK" w:hAnsi="方正仿宋_GBK" w:eastAsia="方正仿宋_GBK" w:cs="方正仿宋_GBK"/>
          <w:bCs/>
          <w:sz w:val="32"/>
          <w:szCs w:val="32"/>
          <w:highlight w:val="none"/>
        </w:rPr>
        <w:t xml:space="preserve">。</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5.11</w:t>
      </w:r>
      <w:r>
        <w:rPr>
          <w:rFonts w:ascii="方正仿宋_GBK" w:hAnsi="方正仿宋_GBK" w:eastAsia="方正仿宋_GBK" w:cs="方正仿宋_GBK"/>
          <w:bCs/>
          <w:sz w:val="32"/>
          <w:szCs w:val="32"/>
          <w:highlight w:val="none"/>
        </w:rPr>
        <w:t xml:space="preserve">投标人开展物业服务工作须配备成熟完善的智慧物业一体化智能管理平台，平台具备类似客户服务、线上报修、楼宇设备自动管控、设备远程节能管控、全域视频监控运维、智慧食堂运营管理等相关功能模块。</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（六）项目管理服务方案（不仅限于以下内容）</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投标人基于对本项目物业服务特点的理解和认识，进行总体分析，提出包括认识、定位、目标、整体设想等方面的总体实施方案，管理模式、运作流程等，确保卫生清洁、秩序维护、安检巡庭、会务服务、设施设备维护等各分项服务方案落实。</w:t>
      </w:r>
      <w:r/>
    </w:p>
    <w:p>
      <w:pPr>
        <w:ind w:firstLine="640"/>
        <w:spacing w:line="560" w:lineRule="exact"/>
        <w:rPr>
          <w:rFonts w:ascii="方正仿宋_GBK" w:hAnsi="方正仿宋_GBK" w:eastAsia="方正仿宋_GBK" w:cs="方正仿宋_GBK"/>
          <w:bCs/>
          <w:sz w:val="32"/>
          <w:szCs w:val="32"/>
          <w:highlight w:val="none"/>
        </w:rPr>
      </w:pPr>
      <w:r/>
      <w:bookmarkStart w:id="227" w:name="OLE_LINK163"/>
      <w:r/>
      <w:bookmarkStart w:id="228" w:name="OLE_LINK162"/>
      <w:r>
        <w:rPr>
          <w:rFonts w:ascii="方正仿宋_GBK" w:hAnsi="方正仿宋_GBK" w:eastAsia="方正仿宋_GBK" w:cs="方正仿宋_GBK"/>
          <w:bCs/>
          <w:sz w:val="32"/>
          <w:szCs w:val="32"/>
          <w:highlight w:val="none"/>
        </w:rPr>
        <w:t xml:space="preserve">6.1</w:t>
      </w:r>
      <w:r>
        <w:rPr>
          <w:rFonts w:hint="eastAsia" w:ascii="方正仿宋_GBK" w:hAnsi="方正仿宋_GBK" w:eastAsia="方正仿宋_GBK" w:cs="方正仿宋_GBK"/>
          <w:bCs/>
          <w:sz w:val="32"/>
          <w:szCs w:val="32"/>
          <w:highlight w:val="none"/>
        </w:rPr>
        <w:t xml:space="preserve">项目实施方案。投标人应根据招标文件提供的人员配置情况、各项管理标准、工作要求制定切实可行的运作模式，加强工作人员管理和考核；积极组织员工培训，确保员工业务能力上适应岗位要求；制订管理、培训和考核制度；配备必要的工具设备，建立相关工作台账，做好档案管理工作；制订合理、合法、高效的交接方案。进场时，合同签订后3日内主要管理人员到岗，</w:t>
      </w:r>
      <w:r>
        <w:rPr>
          <w:rFonts w:ascii="方正仿宋_GBK" w:hAnsi="方正仿宋_GBK" w:eastAsia="方正仿宋_GBK" w:cs="方正仿宋_GBK"/>
          <w:bCs/>
          <w:sz w:val="32"/>
          <w:szCs w:val="32"/>
          <w:highlight w:val="none"/>
        </w:rPr>
        <w:t xml:space="preserve">7</w:t>
      </w:r>
      <w:r>
        <w:rPr>
          <w:rFonts w:hint="eastAsia" w:ascii="方正仿宋_GBK" w:hAnsi="方正仿宋_GBK" w:eastAsia="方正仿宋_GBK" w:cs="方正仿宋_GBK"/>
          <w:bCs/>
          <w:sz w:val="32"/>
          <w:szCs w:val="32"/>
          <w:highlight w:val="none"/>
        </w:rPr>
        <w:t xml:space="preserve">日内其他工作人员到岗；退场时，应及时稳妥撤出物业管理项目，按照采购人要求毫无保留地移交档案资料、管理用房并做好设备设施等交接工作。</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6.2</w:t>
      </w:r>
      <w:r>
        <w:rPr>
          <w:rFonts w:hint="eastAsia" w:ascii="方正仿宋_GBK" w:hAnsi="方正仿宋_GBK" w:eastAsia="方正仿宋_GBK" w:cs="方正仿宋_GBK"/>
          <w:bCs/>
          <w:sz w:val="32"/>
          <w:szCs w:val="32"/>
          <w:highlight w:val="none"/>
        </w:rPr>
        <w:t xml:space="preserve">人员配置方案。</w:t>
      </w:r>
      <w:r>
        <w:rPr>
          <w:rFonts w:hint="eastAsia" w:ascii="方正仿宋_GBK" w:hAnsi="方正仿宋_GBK" w:eastAsia="方正仿宋_GBK" w:cs="方正仿宋_GBK"/>
          <w:bCs/>
          <w:sz w:val="32"/>
          <w:szCs w:val="32"/>
          <w:highlight w:val="none"/>
        </w:rPr>
        <w:t xml:space="preserve">投标人提供拟配置人员的年龄、学历、工作经验、</w:t>
      </w:r>
      <w:r>
        <w:rPr>
          <w:rFonts w:hint="eastAsia" w:ascii="方正仿宋_GBK" w:hAnsi="方正仿宋_GBK" w:eastAsia="方正仿宋_GBK" w:cs="方正仿宋_GBK"/>
          <w:bCs/>
          <w:sz w:val="32"/>
          <w:szCs w:val="32"/>
          <w:highlight w:val="none"/>
          <w:lang w:val="en-US" w:eastAsia="zh-CN"/>
        </w:rPr>
        <w:t xml:space="preserve">工作</w:t>
      </w:r>
      <w:r>
        <w:rPr>
          <w:rFonts w:hint="eastAsia" w:ascii="方正仿宋_GBK" w:hAnsi="方正仿宋_GBK" w:eastAsia="方正仿宋_GBK" w:cs="方正仿宋_GBK"/>
          <w:bCs/>
          <w:sz w:val="32"/>
          <w:szCs w:val="32"/>
          <w:highlight w:val="none"/>
        </w:rPr>
        <w:t xml:space="preserve">特长</w:t>
      </w:r>
      <w:r>
        <w:rPr>
          <w:rFonts w:hint="eastAsia" w:ascii="方正仿宋_GBK" w:hAnsi="方正仿宋_GBK" w:eastAsia="方正仿宋_GBK" w:cs="方正仿宋_GBK"/>
          <w:bCs/>
          <w:sz w:val="32"/>
          <w:szCs w:val="32"/>
          <w:highlight w:val="none"/>
          <w:lang w:eastAsia="zh-CN"/>
        </w:rPr>
        <w:t xml:space="preserve">、后备机动人员配置（原定人员因休假或特殊原因离职时后备即时顶岗）</w:t>
      </w:r>
      <w:r>
        <w:rPr>
          <w:rFonts w:hint="eastAsia" w:ascii="方正仿宋_GBK" w:hAnsi="方正仿宋_GBK" w:eastAsia="方正仿宋_GBK" w:cs="方正仿宋_GBK"/>
          <w:bCs/>
          <w:sz w:val="32"/>
          <w:szCs w:val="32"/>
          <w:highlight w:val="none"/>
          <w:lang w:val="en-US" w:eastAsia="zh-CN"/>
        </w:rPr>
        <w:t xml:space="preserve">等</w:t>
      </w:r>
      <w:r>
        <w:rPr>
          <w:rFonts w:hint="eastAsia" w:ascii="方正仿宋_GBK" w:hAnsi="方正仿宋_GBK" w:eastAsia="方正仿宋_GBK" w:cs="方正仿宋_GBK"/>
          <w:bCs/>
          <w:sz w:val="32"/>
          <w:szCs w:val="32"/>
          <w:highlight w:val="none"/>
        </w:rPr>
        <w:t xml:space="preserve">，并包含以下内容：</w:t>
      </w:r>
      <w:r>
        <w:rPr>
          <w:rFonts w:hint="eastAsia" w:ascii="方正仿宋_GBK" w:hAnsi="方正仿宋_GBK" w:eastAsia="方正仿宋_GBK" w:cs="方正仿宋_GBK"/>
          <w:bCs/>
          <w:sz w:val="32"/>
          <w:szCs w:val="32"/>
          <w:highlight w:val="none"/>
        </w:rPr>
        <w:t xml:space="preserve">1）本项目管理人员一经确定，未经采</w:t>
      </w:r>
      <w:r>
        <w:rPr>
          <w:rFonts w:hint="eastAsia" w:ascii="方正仿宋_GBK" w:hAnsi="方正仿宋_GBK" w:eastAsia="方正仿宋_GBK" w:cs="方正仿宋_GBK"/>
          <w:bCs/>
          <w:sz w:val="32"/>
          <w:szCs w:val="32"/>
          <w:highlight w:val="none"/>
        </w:rPr>
        <w:t xml:space="preserve">购人同意不得随意更换。2）驻场项目经理要求具备良好的沟通和协调能力，团队合作精神和领导能力，能够带领团队高效完成工作任务，能快速融入新环境。3）所有员工必须经过岗前培训，培训合格方能入职，物业员工需具有垃圾分类、节能环保、控烟意识，特殊岗位需熟悉特种设备操作技术。4）投标人所投服务所有人员（含管理人员）必须专职为采购人服务，不得兼职（理发师除外）。5）本项目中凡要求按照国家相关规定持证（包括但不限于上岗资格证等）上岗的人员，投标人相关人员均须按文件要求100%持有效证件上岗，并由投标人承担证书及其相关费用。</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w:t>
      </w:r>
      <w:r>
        <w:rPr>
          <w:rFonts w:ascii="方正仿宋_GBK" w:hAnsi="方正仿宋_GBK" w:eastAsia="方正仿宋_GBK" w:cs="方正仿宋_GBK"/>
          <w:bCs/>
          <w:sz w:val="32"/>
          <w:szCs w:val="32"/>
          <w:highlight w:val="none"/>
        </w:rPr>
        <w:t xml:space="preserve">.3</w:t>
      </w:r>
      <w:r>
        <w:rPr>
          <w:rFonts w:hint="eastAsia" w:ascii="方正仿宋_GBK" w:hAnsi="方正仿宋_GBK" w:eastAsia="方正仿宋_GBK" w:cs="方正仿宋_GBK"/>
          <w:bCs/>
          <w:sz w:val="32"/>
          <w:szCs w:val="32"/>
          <w:highlight w:val="none"/>
        </w:rPr>
        <w:t xml:space="preserve">维护维修方案。投标人根据项目实际情况，制定切实可行的维护维修方案，内容包括但不仅限于建筑设施、中央空调系统（含VRV空调）、电梯、消防、监控、会议室设备、多媒体系统、供电、照明、电器、供气、供水、排水及水泵、阀等使用与管理等。</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6.4</w:t>
      </w:r>
      <w:r>
        <w:rPr>
          <w:rFonts w:hint="eastAsia" w:ascii="方正仿宋_GBK" w:hAnsi="方正仿宋_GBK" w:eastAsia="方正仿宋_GBK" w:cs="方正仿宋_GBK"/>
          <w:bCs/>
          <w:sz w:val="32"/>
          <w:szCs w:val="32"/>
          <w:highlight w:val="none"/>
        </w:rPr>
        <w:t xml:space="preserve">保洁服务方案。投标人提供在物业服务区域内综合保洁、保养方案，应包括各区域的电梯厅、通道、楼梯、卫生间、开水间、会议室、办公室及其他用房地面、墙面、天花板、门窗玻璃、门及门窗框，外墙、办公家具、设备设施等表面等所有公共场地和“门前三包”区域的日常保洁保养以及垃圾、废弃物清理等。</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6.5</w:t>
      </w:r>
      <w:r>
        <w:rPr>
          <w:rFonts w:hint="eastAsia" w:ascii="方正仿宋_GBK" w:hAnsi="方正仿宋_GBK" w:eastAsia="方正仿宋_GBK" w:cs="方正仿宋_GBK"/>
          <w:bCs/>
          <w:sz w:val="32"/>
          <w:szCs w:val="32"/>
          <w:highlight w:val="none"/>
        </w:rPr>
        <w:t xml:space="preserve">安保服务方案。投标人提供关于人员、重点部位安全管理等问题的对策方案，应包括人员管理、安全维护、治安防盗、消防管理、监控中心管理、车辆管理等。</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6.6</w:t>
      </w:r>
      <w:r>
        <w:rPr>
          <w:rFonts w:hint="eastAsia" w:ascii="方正仿宋_GBK" w:hAnsi="方正仿宋_GBK" w:eastAsia="方正仿宋_GBK" w:cs="方正仿宋_GBK"/>
          <w:bCs/>
          <w:sz w:val="32"/>
          <w:szCs w:val="32"/>
          <w:highlight w:val="none"/>
        </w:rPr>
        <w:t xml:space="preserve">会议服务方案。投标人做好会务服务保障，</w:t>
      </w:r>
      <w:r>
        <w:rPr>
          <w:rFonts w:hint="eastAsia" w:ascii="方正仿宋_GBK" w:hAnsi="方正仿宋_GBK" w:eastAsia="方正仿宋_GBK" w:cs="方正仿宋_GBK"/>
          <w:bCs/>
          <w:sz w:val="32"/>
          <w:szCs w:val="32"/>
          <w:highlight w:val="none"/>
        </w:rPr>
        <w:t xml:space="preserve">应包括会前筹备服务、会中现场服务、会后收尾服务、增值配套会务等，</w:t>
      </w:r>
      <w:r>
        <w:rPr>
          <w:rFonts w:hint="eastAsia" w:ascii="方正仿宋_GBK" w:hAnsi="方正仿宋_GBK" w:eastAsia="方正仿宋_GBK" w:cs="方正仿宋_GBK"/>
          <w:bCs/>
          <w:sz w:val="32"/>
          <w:szCs w:val="32"/>
          <w:highlight w:val="none"/>
        </w:rPr>
        <w:t xml:space="preserve">高标准、全方位、优质规范，确保礼仪服务达到四星宾馆服务标准，对临时或紧急会务有快速的响应对策。</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6.7节能减排及楼宇智能化管理方案。投标人根据项目具体情况，针对本项目提供详尽的节能减排及楼宇智能化管理方案，内容包括但不仅限于公共照明、设施设备、厨房设备、中央空调等</w:t>
      </w:r>
      <w:bookmarkStart w:id="229" w:name="OLE_LINK185"/>
      <w:r/>
      <w:bookmarkStart w:id="230" w:name="OLE_LINK186"/>
      <w:r>
        <w:rPr>
          <w:rFonts w:hint="eastAsia" w:ascii="方正仿宋_GBK" w:hAnsi="方正仿宋_GBK" w:eastAsia="方正仿宋_GBK" w:cs="方正仿宋_GBK"/>
          <w:bCs/>
          <w:sz w:val="32"/>
          <w:szCs w:val="32"/>
          <w:highlight w:val="none"/>
        </w:rPr>
        <w:t xml:space="preserve">水电气能耗管控、节能巡查计划方案、楼宇智能化系统管理</w:t>
      </w:r>
      <w:bookmarkEnd w:id="229"/>
      <w:r/>
      <w:bookmarkEnd w:id="230"/>
      <w:r>
        <w:rPr>
          <w:rFonts w:hint="eastAsia" w:ascii="方正仿宋_GBK" w:hAnsi="方正仿宋_GBK" w:eastAsia="方正仿宋_GBK" w:cs="方正仿宋_GBK"/>
          <w:bCs/>
          <w:sz w:val="32"/>
          <w:szCs w:val="32"/>
          <w:highlight w:val="none"/>
        </w:rPr>
        <w:t xml:space="preserve">等，贴合党政机关要过“紧日子”的要求。</w:t>
      </w:r>
      <w:r/>
    </w:p>
    <w:p>
      <w:pPr>
        <w:ind w:firstLine="640"/>
        <w:spacing w:line="560" w:lineRule="exact"/>
        <w:rPr>
          <w:rFonts w:ascii="方正仿宋_GBK" w:hAnsi="方正仿宋_GBK" w:eastAsia="方正仿宋_GBK" w:cs="方正仿宋_GBK"/>
          <w:bCs/>
          <w:sz w:val="32"/>
          <w:szCs w:val="32"/>
          <w:highlight w:val="none"/>
        </w:rPr>
      </w:pPr>
      <w:r>
        <w:rPr>
          <w:rFonts w:ascii="方正仿宋_GBK" w:hAnsi="方正仿宋_GBK" w:eastAsia="方正仿宋_GBK" w:cs="方正仿宋_GBK"/>
          <w:bCs/>
          <w:sz w:val="32"/>
          <w:szCs w:val="32"/>
          <w:highlight w:val="none"/>
        </w:rPr>
        <w:t xml:space="preserve">6.</w:t>
      </w:r>
      <w:r>
        <w:rPr>
          <w:rFonts w:hint="eastAsia" w:ascii="方正仿宋_GBK" w:hAnsi="方正仿宋_GBK" w:eastAsia="方正仿宋_GBK" w:cs="方正仿宋_GBK"/>
          <w:bCs/>
          <w:sz w:val="32"/>
          <w:szCs w:val="32"/>
          <w:highlight w:val="none"/>
        </w:rPr>
        <w:t xml:space="preserve">8安检巡查方案。投标人根据法院性质特点，提出安检巡查方案，包括但不限于人员安检、区域巡查、视频监控、应急处置方案等。</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6.9值庭巡查方案。投标人根据法院审判工作性质、司法安全管理特点及庭审保障实际需求，提出值庭巡查方案，包括但不限于值庭人员配置、重点区域巡查、庭审秩序维护、应急处置方案等。</w:t>
      </w:r>
      <w:r/>
    </w:p>
    <w:p>
      <w:pPr>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w:t>
      </w:r>
      <w:r>
        <w:rPr>
          <w:rFonts w:ascii="方正仿宋_GBK" w:hAnsi="方正仿宋_GBK" w:eastAsia="方正仿宋_GBK" w:cs="方正仿宋_GBK"/>
          <w:bCs/>
          <w:sz w:val="32"/>
          <w:szCs w:val="32"/>
          <w:highlight w:val="none"/>
        </w:rPr>
        <w:t xml:space="preserve">6.</w:t>
      </w:r>
      <w:r>
        <w:rPr>
          <w:rFonts w:hint="eastAsia" w:ascii="方正仿宋_GBK" w:hAnsi="方正仿宋_GBK" w:eastAsia="方正仿宋_GBK" w:cs="方正仿宋_GBK"/>
          <w:bCs/>
          <w:sz w:val="32"/>
          <w:szCs w:val="32"/>
          <w:highlight w:val="none"/>
        </w:rPr>
        <w:t xml:space="preserve">10交接过渡方案。投标人根据法院特点及项目具体情况提供进退场交接过渡方案，包括前期接管组织，以及合同到期交接、过渡时的组织管理等。</w:t>
      </w:r>
      <w:r/>
    </w:p>
    <w:p>
      <w:pPr>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w:t>
      </w:r>
      <w:r>
        <w:rPr>
          <w:rFonts w:ascii="方正仿宋_GBK" w:hAnsi="方正仿宋_GBK" w:eastAsia="方正仿宋_GBK" w:cs="方正仿宋_GBK"/>
          <w:bCs/>
          <w:sz w:val="32"/>
          <w:szCs w:val="32"/>
          <w:highlight w:val="none"/>
        </w:rPr>
        <w:t xml:space="preserve">6.</w:t>
      </w:r>
      <w:r>
        <w:rPr>
          <w:rFonts w:hint="eastAsia" w:ascii="方正仿宋_GBK" w:hAnsi="方正仿宋_GBK" w:eastAsia="方正仿宋_GBK" w:cs="方正仿宋_GBK"/>
          <w:bCs/>
          <w:sz w:val="32"/>
          <w:szCs w:val="32"/>
          <w:highlight w:val="none"/>
        </w:rPr>
        <w:t xml:space="preserve">11</w:t>
      </w:r>
      <w:bookmarkStart w:id="231" w:name="OLE_LINK42"/>
      <w:r>
        <w:rPr>
          <w:rFonts w:hint="eastAsia" w:ascii="方正仿宋_GBK" w:hAnsi="方正仿宋_GBK" w:eastAsia="方正仿宋_GBK" w:cs="方正仿宋_GBK"/>
          <w:bCs/>
          <w:sz w:val="32"/>
          <w:szCs w:val="32"/>
          <w:highlight w:val="none"/>
        </w:rPr>
        <w:t xml:space="preserve">非正常信访事项处置方案。投标人</w:t>
      </w:r>
      <w:bookmarkStart w:id="232" w:name="OLE_LINK40"/>
      <w:r>
        <w:rPr>
          <w:rFonts w:hint="eastAsia" w:ascii="方正仿宋_GBK" w:hAnsi="方正仿宋_GBK" w:eastAsia="方正仿宋_GBK" w:cs="方正仿宋_GBK"/>
          <w:bCs/>
          <w:sz w:val="32"/>
          <w:szCs w:val="32"/>
          <w:highlight w:val="none"/>
        </w:rPr>
        <w:t xml:space="preserve">根据法院特点及项目具体情况，</w:t>
      </w:r>
      <w:bookmarkEnd w:id="232"/>
      <w:r>
        <w:rPr>
          <w:rFonts w:hint="eastAsia" w:ascii="方正仿宋_GBK" w:hAnsi="方正仿宋_GBK" w:eastAsia="方正仿宋_GBK" w:cs="方正仿宋_GBK"/>
          <w:bCs/>
          <w:sz w:val="32"/>
          <w:szCs w:val="32"/>
          <w:highlight w:val="none"/>
        </w:rPr>
        <w:t xml:space="preserve">充分考虑如何妥善处置可能存在的案件当事人缠访、闹访</w:t>
      </w:r>
      <w:r>
        <w:rPr>
          <w:rFonts w:hint="eastAsia" w:ascii="方正仿宋_GBK" w:hAnsi="方正仿宋_GBK" w:eastAsia="方正仿宋_GBK" w:cs="方正仿宋_GBK"/>
          <w:bCs/>
          <w:sz w:val="32"/>
          <w:szCs w:val="32"/>
          <w:highlight w:val="none"/>
        </w:rPr>
        <w:t xml:space="preserve">，如弃置人员胁迫型信访、要挟类信访、重要节点非访</w:t>
      </w:r>
      <w:r>
        <w:rPr>
          <w:rFonts w:hint="eastAsia" w:ascii="方正仿宋_GBK" w:hAnsi="方正仿宋_GBK" w:eastAsia="方正仿宋_GBK" w:cs="方正仿宋_GBK"/>
          <w:bCs/>
          <w:sz w:val="32"/>
          <w:szCs w:val="32"/>
          <w:highlight w:val="none"/>
        </w:rPr>
        <w:t xml:space="preserve">等非正常信访活动。</w:t>
      </w:r>
      <w:bookmarkEnd w:id="231"/>
      <w:r/>
      <w:r/>
    </w:p>
    <w:p>
      <w:pPr>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6</w:t>
      </w:r>
      <w:r>
        <w:rPr>
          <w:rFonts w:ascii="方正仿宋_GBK" w:hAnsi="方正仿宋_GBK" w:eastAsia="方正仿宋_GBK" w:cs="方正仿宋_GBK"/>
          <w:bCs/>
          <w:sz w:val="32"/>
          <w:szCs w:val="32"/>
          <w:highlight w:val="none"/>
        </w:rPr>
        <w:t xml:space="preserve">.1</w:t>
      </w:r>
      <w:r>
        <w:rPr>
          <w:rFonts w:hint="eastAsia" w:ascii="方正仿宋_GBK" w:hAnsi="方正仿宋_GBK" w:eastAsia="方正仿宋_GBK" w:cs="方正仿宋_GBK"/>
          <w:bCs/>
          <w:sz w:val="32"/>
          <w:szCs w:val="32"/>
          <w:highlight w:val="none"/>
        </w:rPr>
        <w:t xml:space="preserve">2</w:t>
      </w:r>
      <w:bookmarkStart w:id="233" w:name="OLE_LINK41"/>
      <w:r>
        <w:rPr>
          <w:rFonts w:hint="eastAsia" w:ascii="方正仿宋_GBK" w:hAnsi="方正仿宋_GBK" w:eastAsia="方正仿宋_GBK" w:cs="方正仿宋_GBK"/>
          <w:bCs/>
          <w:sz w:val="32"/>
          <w:szCs w:val="32"/>
          <w:highlight w:val="none"/>
        </w:rPr>
        <w:t xml:space="preserve">突发事件应急处置方案。投标人根据法院特点及项目具体情况，梳理庭审过程中可能发生的各类突发情形</w:t>
      </w:r>
      <w:r>
        <w:rPr>
          <w:rFonts w:hint="eastAsia" w:ascii="方正仿宋_GBK" w:hAnsi="方正仿宋_GBK" w:eastAsia="方正仿宋_GBK" w:cs="方正仿宋_GBK"/>
          <w:bCs/>
          <w:sz w:val="32"/>
          <w:szCs w:val="32"/>
          <w:highlight w:val="none"/>
        </w:rPr>
        <w:t xml:space="preserve">，如当事人突发疾病、旁听人员闹事、冲击法庭等，</w:t>
      </w:r>
      <w:r>
        <w:rPr>
          <w:rFonts w:hint="eastAsia" w:ascii="方正仿宋_GBK" w:hAnsi="方正仿宋_GBK" w:eastAsia="方正仿宋_GBK" w:cs="方正仿宋_GBK"/>
          <w:bCs/>
          <w:sz w:val="32"/>
          <w:szCs w:val="32"/>
          <w:highlight w:val="none"/>
        </w:rPr>
        <w:t xml:space="preserve">并相应提出处置方案。</w:t>
      </w:r>
      <w:bookmarkEnd w:id="233"/>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6.13餐饮服务方案。投标人根据本项目性质，提出餐饮服务方案，包括但不限于膳食营养方案（拟定干警食堂一个月中餐菜谱）、餐饮安全卫生保障方案、应急处置方案等。提供的方案应细致完整、针对性强、服务保障措施有力。</w:t>
      </w:r>
      <w:bookmarkEnd w:id="227"/>
      <w:r/>
      <w:bookmarkEnd w:id="228"/>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四、商务要求</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（一）</w:t>
      </w:r>
      <w:r>
        <w:rPr>
          <w:rFonts w:ascii="方正仿宋_GBK" w:hAnsi="方正仿宋_GBK" w:eastAsia="方正仿宋_GBK" w:cs="方正仿宋_GBK"/>
          <w:bCs/>
          <w:sz w:val="32"/>
          <w:szCs w:val="32"/>
          <w:highlight w:val="none"/>
        </w:rPr>
        <w:t xml:space="preserve">实施期限</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本项目服务期为三年。合同一年一签，如果中标单位未能通过年度考核，采购人有权终止合同，不再续签下一年合同。</w:t>
      </w:r>
      <w:r>
        <w:rPr>
          <w:rFonts w:ascii="方正仿宋_GBK" w:hAnsi="方正仿宋_GBK" w:eastAsia="方正仿宋_GBK" w:cs="方正仿宋_GBK"/>
          <w:bCs/>
          <w:sz w:val="32"/>
          <w:szCs w:val="32"/>
          <w:highlight w:val="none"/>
        </w:rPr>
        <w:t xml:space="preserve">在管理期内中标人如因自身履约不到位导致发生安全生产等重大事故，采购人有权提前终止合同并依法追究中标人责任。</w:t>
      </w:r>
      <w:r/>
    </w:p>
    <w:p>
      <w:pPr>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    （二）</w:t>
      </w:r>
      <w:r>
        <w:rPr>
          <w:rFonts w:ascii="方正仿宋_GBK" w:hAnsi="方正仿宋_GBK" w:eastAsia="方正仿宋_GBK" w:cs="方正仿宋_GBK"/>
          <w:bCs/>
          <w:sz w:val="32"/>
          <w:szCs w:val="32"/>
          <w:highlight w:val="none"/>
        </w:rPr>
        <w:t xml:space="preserve">付款方式</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w:t>
      </w:r>
      <w:r>
        <w:rPr>
          <w:rFonts w:ascii="方正仿宋_GBK" w:hAnsi="方正仿宋_GBK" w:eastAsia="方正仿宋_GBK" w:cs="方正仿宋_GBK"/>
          <w:bCs/>
          <w:sz w:val="32"/>
          <w:szCs w:val="32"/>
          <w:highlight w:val="none"/>
        </w:rPr>
        <w:t xml:space="preserve">中标人须接受本项目履行合同管理评价。</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w:t>
      </w:r>
      <w:r>
        <w:rPr>
          <w:rFonts w:ascii="方正仿宋_GBK" w:hAnsi="方正仿宋_GBK" w:eastAsia="方正仿宋_GBK" w:cs="方正仿宋_GBK"/>
          <w:bCs/>
          <w:sz w:val="32"/>
          <w:szCs w:val="32"/>
          <w:highlight w:val="none"/>
        </w:rPr>
        <w:t xml:space="preserve">本项目所有款项均以人民币支付。</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3.合同签订后7日内，采购人向投标供应商支付全年合同总额的30%作为预付款。</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4.剩余合同金额65%的物业费分两次支付，第一次为签订合同当年12月20日前，支付合同金额的30%，第二次为签订合同次年6月30日前，支付合同金额的35%。付款前提为乙方达到相关考核条件。</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预留本项目每年度合同金额的百分之五作为考核基金，平分到半年，结合半年考核情况支付，考核结果为一等的全额支付考核基金；考核结果为二等的支付考核基金的百分之七十五；考核结果为三等的支付考核基金的百分之四十；考核结果不合格的不予支付考核基金，并给予1个月整改时间，再次考核仍不合格的，甲方有权解除合同。合同期内因乙方责任发生安全责任事故的，扣减全年考核基金，甲方有权解除合同并追究乙方的相关责任。（考核等次标准见物业管理的考核）</w:t>
      </w:r>
      <w:bookmarkStart w:id="234" w:name="OLE_LINK57"/>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（三）</w:t>
      </w:r>
      <w:r>
        <w:rPr>
          <w:rFonts w:ascii="方正仿宋_GBK" w:hAnsi="方正仿宋_GBK" w:eastAsia="方正仿宋_GBK" w:cs="方正仿宋_GBK"/>
          <w:bCs/>
          <w:sz w:val="32"/>
          <w:szCs w:val="32"/>
          <w:highlight w:val="none"/>
        </w:rPr>
        <w:t xml:space="preserve">验收标准与考核履约评价</w:t>
      </w:r>
      <w:bookmarkEnd w:id="234"/>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w:t>
      </w:r>
      <w:r>
        <w:rPr>
          <w:rFonts w:ascii="方正仿宋_GBK" w:hAnsi="方正仿宋_GBK" w:eastAsia="方正仿宋_GBK" w:cs="方正仿宋_GBK"/>
          <w:bCs/>
          <w:sz w:val="32"/>
          <w:szCs w:val="32"/>
          <w:highlight w:val="none"/>
        </w:rPr>
        <w:t xml:space="preserve">中标人必须严格执行南京市政府</w:t>
      </w:r>
      <w:r>
        <w:rPr>
          <w:rFonts w:hint="eastAsia" w:ascii="方正仿宋_GBK" w:hAnsi="方正仿宋_GBK" w:eastAsia="方正仿宋_GBK" w:cs="方正仿宋_GBK"/>
          <w:bCs/>
          <w:sz w:val="32"/>
          <w:szCs w:val="32"/>
          <w:highlight w:val="none"/>
        </w:rPr>
        <w:t xml:space="preserve">及法庭所在地市</w:t>
      </w:r>
      <w:r>
        <w:rPr>
          <w:rFonts w:ascii="方正仿宋_GBK" w:hAnsi="方正仿宋_GBK" w:eastAsia="方正仿宋_GBK" w:cs="方正仿宋_GBK"/>
          <w:bCs/>
          <w:sz w:val="32"/>
          <w:szCs w:val="32"/>
          <w:highlight w:val="none"/>
        </w:rPr>
        <w:t xml:space="preserve">用工工资标准的有关规定，并承担其员工的劳动报酬、福利待遇，按劳动法缴纳社会保险、劳动保护、工伤抚恤等用人费用，承担未正确执行劳动用工规定所产生的法律责任，维护和保障员工的合法权益。</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2.南京海事法院综合办公室，负责本项目的日常事务管理、制定考核办法、组织实施考核。</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3.考核结果达到</w:t>
      </w:r>
      <w:r>
        <w:rPr>
          <w:rFonts w:ascii="方正仿宋_GBK" w:hAnsi="方正仿宋_GBK" w:eastAsia="方正仿宋_GBK" w:cs="方正仿宋_GBK"/>
          <w:bCs/>
          <w:sz w:val="32"/>
          <w:szCs w:val="32"/>
          <w:highlight w:val="none"/>
        </w:rPr>
        <w:t xml:space="preserve">90</w:t>
      </w:r>
      <w:r>
        <w:rPr>
          <w:rFonts w:hint="eastAsia" w:ascii="方正仿宋_GBK" w:hAnsi="方正仿宋_GBK" w:eastAsia="方正仿宋_GBK" w:cs="方正仿宋_GBK"/>
          <w:bCs/>
          <w:sz w:val="32"/>
          <w:szCs w:val="32"/>
          <w:highlight w:val="none"/>
        </w:rPr>
        <w:t xml:space="preserve">分以上（含</w:t>
      </w:r>
      <w:r>
        <w:rPr>
          <w:rFonts w:ascii="方正仿宋_GBK" w:hAnsi="方正仿宋_GBK" w:eastAsia="方正仿宋_GBK" w:cs="方正仿宋_GBK"/>
          <w:bCs/>
          <w:sz w:val="32"/>
          <w:szCs w:val="32"/>
          <w:highlight w:val="none"/>
        </w:rPr>
        <w:t xml:space="preserve">90</w:t>
      </w:r>
      <w:r>
        <w:rPr>
          <w:rFonts w:hint="eastAsia" w:ascii="方正仿宋_GBK" w:hAnsi="方正仿宋_GBK" w:eastAsia="方正仿宋_GBK" w:cs="方正仿宋_GBK"/>
          <w:bCs/>
          <w:sz w:val="32"/>
          <w:szCs w:val="32"/>
          <w:highlight w:val="none"/>
        </w:rPr>
        <w:t xml:space="preserve">分）为一等；考核得分90分以下，</w:t>
      </w:r>
      <w:r>
        <w:rPr>
          <w:rFonts w:ascii="方正仿宋_GBK" w:hAnsi="方正仿宋_GBK" w:eastAsia="方正仿宋_GBK" w:cs="方正仿宋_GBK"/>
          <w:bCs/>
          <w:sz w:val="32"/>
          <w:szCs w:val="32"/>
          <w:highlight w:val="none"/>
        </w:rPr>
        <w:t xml:space="preserve">8</w:t>
      </w:r>
      <w:r>
        <w:rPr>
          <w:rFonts w:hint="eastAsia" w:ascii="方正仿宋_GBK" w:hAnsi="方正仿宋_GBK" w:eastAsia="方正仿宋_GBK" w:cs="方正仿宋_GBK"/>
          <w:bCs/>
          <w:sz w:val="32"/>
          <w:szCs w:val="32"/>
          <w:highlight w:val="none"/>
        </w:rPr>
        <w:t xml:space="preserve">5分以上（含85分）为二等；考核得分</w:t>
      </w:r>
      <w:r>
        <w:rPr>
          <w:rFonts w:ascii="方正仿宋_GBK" w:hAnsi="方正仿宋_GBK" w:eastAsia="方正仿宋_GBK" w:cs="方正仿宋_GBK"/>
          <w:bCs/>
          <w:sz w:val="32"/>
          <w:szCs w:val="32"/>
          <w:highlight w:val="none"/>
        </w:rPr>
        <w:t xml:space="preserve">8</w:t>
      </w:r>
      <w:r>
        <w:rPr>
          <w:rFonts w:hint="eastAsia" w:ascii="方正仿宋_GBK" w:hAnsi="方正仿宋_GBK" w:eastAsia="方正仿宋_GBK" w:cs="方正仿宋_GBK"/>
          <w:bCs/>
          <w:sz w:val="32"/>
          <w:szCs w:val="32"/>
          <w:highlight w:val="none"/>
        </w:rPr>
        <w:t xml:space="preserve">5分以下，</w:t>
      </w:r>
      <w:r>
        <w:rPr>
          <w:rFonts w:ascii="方正仿宋_GBK" w:hAnsi="方正仿宋_GBK" w:eastAsia="方正仿宋_GBK" w:cs="方正仿宋_GBK"/>
          <w:bCs/>
          <w:sz w:val="32"/>
          <w:szCs w:val="32"/>
          <w:highlight w:val="none"/>
        </w:rPr>
        <w:t xml:space="preserve">8</w:t>
      </w:r>
      <w:r>
        <w:rPr>
          <w:rFonts w:hint="eastAsia" w:ascii="方正仿宋_GBK" w:hAnsi="方正仿宋_GBK" w:eastAsia="方正仿宋_GBK" w:cs="方正仿宋_GBK"/>
          <w:bCs/>
          <w:sz w:val="32"/>
          <w:szCs w:val="32"/>
          <w:highlight w:val="none"/>
        </w:rPr>
        <w:t xml:space="preserve">0分以上（含80分）为三等；考核低于80分为不合格。</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4.预留本项目每年度合同金额的百分之五作为考核基金，结合考核情况分半年支付</w:t>
      </w:r>
      <w:r>
        <w:rPr>
          <w:rFonts w:ascii="方正仿宋_GBK" w:hAnsi="方正仿宋_GBK" w:eastAsia="方正仿宋_GBK" w:cs="方正仿宋_GBK"/>
          <w:bCs/>
          <w:sz w:val="32"/>
          <w:szCs w:val="32"/>
          <w:highlight w:val="none"/>
        </w:rPr>
        <w:t xml:space="preserve">，考核结果</w:t>
      </w:r>
      <w:r>
        <w:rPr>
          <w:rFonts w:hint="eastAsia" w:ascii="方正仿宋_GBK" w:hAnsi="方正仿宋_GBK" w:eastAsia="方正仿宋_GBK" w:cs="方正仿宋_GBK"/>
          <w:bCs/>
          <w:sz w:val="32"/>
          <w:szCs w:val="32"/>
          <w:highlight w:val="none"/>
        </w:rPr>
        <w:t xml:space="preserve">为一等的</w:t>
      </w:r>
      <w:r>
        <w:rPr>
          <w:rFonts w:ascii="方正仿宋_GBK" w:hAnsi="方正仿宋_GBK" w:eastAsia="方正仿宋_GBK" w:cs="方正仿宋_GBK"/>
          <w:bCs/>
          <w:sz w:val="32"/>
          <w:szCs w:val="32"/>
          <w:highlight w:val="none"/>
        </w:rPr>
        <w:t xml:space="preserve">全额</w:t>
      </w:r>
      <w:r>
        <w:rPr>
          <w:rFonts w:hint="eastAsia" w:ascii="方正仿宋_GBK" w:hAnsi="方正仿宋_GBK" w:eastAsia="方正仿宋_GBK" w:cs="方正仿宋_GBK"/>
          <w:bCs/>
          <w:sz w:val="32"/>
          <w:szCs w:val="32"/>
          <w:highlight w:val="none"/>
        </w:rPr>
        <w:t xml:space="preserve">支付考核基金</w:t>
      </w:r>
      <w:r>
        <w:rPr>
          <w:rFonts w:ascii="方正仿宋_GBK" w:hAnsi="方正仿宋_GBK" w:eastAsia="方正仿宋_GBK" w:cs="方正仿宋_GBK"/>
          <w:bCs/>
          <w:sz w:val="32"/>
          <w:szCs w:val="32"/>
          <w:highlight w:val="none"/>
        </w:rPr>
        <w:t xml:space="preserve">；考核</w:t>
      </w:r>
      <w:r>
        <w:rPr>
          <w:rFonts w:hint="eastAsia" w:ascii="方正仿宋_GBK" w:hAnsi="方正仿宋_GBK" w:eastAsia="方正仿宋_GBK" w:cs="方正仿宋_GBK"/>
          <w:bCs/>
          <w:sz w:val="32"/>
          <w:szCs w:val="32"/>
          <w:highlight w:val="none"/>
        </w:rPr>
        <w:t xml:space="preserve">结果为二等的支付考核基金的百分之七十五；</w:t>
      </w:r>
      <w:r>
        <w:rPr>
          <w:rFonts w:ascii="方正仿宋_GBK" w:hAnsi="方正仿宋_GBK" w:eastAsia="方正仿宋_GBK" w:cs="方正仿宋_GBK"/>
          <w:bCs/>
          <w:sz w:val="32"/>
          <w:szCs w:val="32"/>
          <w:highlight w:val="none"/>
        </w:rPr>
        <w:t xml:space="preserve">考核</w:t>
      </w:r>
      <w:r>
        <w:rPr>
          <w:rFonts w:hint="eastAsia" w:ascii="方正仿宋_GBK" w:hAnsi="方正仿宋_GBK" w:eastAsia="方正仿宋_GBK" w:cs="方正仿宋_GBK"/>
          <w:bCs/>
          <w:sz w:val="32"/>
          <w:szCs w:val="32"/>
          <w:highlight w:val="none"/>
        </w:rPr>
        <w:t xml:space="preserve">结果为三等的支付考核基金的百分之四十；考核结果不合格的不予支付考核基金，并给予1个月整改时间，再次考核仍不合格的，</w:t>
      </w:r>
      <w:r>
        <w:rPr>
          <w:rFonts w:ascii="方正仿宋_GBK" w:hAnsi="方正仿宋_GBK" w:eastAsia="方正仿宋_GBK" w:cs="方正仿宋_GBK"/>
          <w:bCs/>
          <w:sz w:val="32"/>
          <w:szCs w:val="32"/>
          <w:highlight w:val="none"/>
        </w:rPr>
        <w:t xml:space="preserve">采购方有权解除合同。合同期内因</w:t>
      </w:r>
      <w:r>
        <w:rPr>
          <w:rFonts w:hint="eastAsia" w:ascii="方正仿宋_GBK" w:hAnsi="方正仿宋_GBK" w:eastAsia="方正仿宋_GBK" w:cs="方正仿宋_GBK"/>
          <w:bCs/>
          <w:sz w:val="32"/>
          <w:szCs w:val="32"/>
          <w:highlight w:val="none"/>
        </w:rPr>
        <w:t xml:space="preserve">中</w:t>
      </w:r>
      <w:r>
        <w:rPr>
          <w:rFonts w:ascii="方正仿宋_GBK" w:hAnsi="方正仿宋_GBK" w:eastAsia="方正仿宋_GBK" w:cs="方正仿宋_GBK"/>
          <w:bCs/>
          <w:sz w:val="32"/>
          <w:szCs w:val="32"/>
          <w:highlight w:val="none"/>
        </w:rPr>
        <w:t xml:space="preserve">标人责任发生安全责任事故的</w:t>
      </w:r>
      <w:r>
        <w:rPr>
          <w:rFonts w:hint="eastAsia" w:ascii="方正仿宋_GBK" w:hAnsi="方正仿宋_GBK" w:eastAsia="方正仿宋_GBK" w:cs="方正仿宋_GBK"/>
          <w:bCs/>
          <w:sz w:val="32"/>
          <w:szCs w:val="32"/>
          <w:highlight w:val="none"/>
        </w:rPr>
        <w:t xml:space="preserve">扣减</w:t>
      </w:r>
      <w:r>
        <w:rPr>
          <w:rFonts w:ascii="方正仿宋_GBK" w:hAnsi="方正仿宋_GBK" w:eastAsia="方正仿宋_GBK" w:cs="方正仿宋_GBK"/>
          <w:bCs/>
          <w:sz w:val="32"/>
          <w:szCs w:val="32"/>
          <w:highlight w:val="none"/>
        </w:rPr>
        <w:t xml:space="preserve">全年</w:t>
      </w:r>
      <w:r>
        <w:rPr>
          <w:rFonts w:hint="eastAsia" w:ascii="方正仿宋_GBK" w:hAnsi="方正仿宋_GBK" w:eastAsia="方正仿宋_GBK" w:cs="方正仿宋_GBK"/>
          <w:bCs/>
          <w:sz w:val="32"/>
          <w:szCs w:val="32"/>
          <w:highlight w:val="none"/>
        </w:rPr>
        <w:t xml:space="preserve">考核基金，采购人有权解除合同并追究中标人相关责任</w:t>
      </w:r>
      <w:r>
        <w:rPr>
          <w:rFonts w:ascii="方正仿宋_GBK" w:hAnsi="方正仿宋_GBK" w:eastAsia="方正仿宋_GBK" w:cs="方正仿宋_GBK"/>
          <w:bCs/>
          <w:sz w:val="32"/>
          <w:szCs w:val="32"/>
          <w:highlight w:val="none"/>
        </w:rPr>
        <w:t xml:space="preserve">。</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5.服务期内每半年进行考核，具体考核评分细则详见《物业服务考核暂行办法》。</w:t>
      </w:r>
      <w:r>
        <w:rPr>
          <w:rFonts w:ascii="方正仿宋_GBK" w:hAnsi="方正仿宋_GBK" w:eastAsia="方正仿宋_GBK" w:cs="方正仿宋_GBK"/>
          <w:bCs/>
          <w:sz w:val="32"/>
          <w:szCs w:val="32"/>
          <w:highlight w:val="none"/>
        </w:rPr>
        <w:t xml:space="preserve">合同到期</w:t>
      </w:r>
      <w:r>
        <w:rPr>
          <w:rFonts w:hint="eastAsia" w:ascii="方正仿宋_GBK" w:hAnsi="方正仿宋_GBK" w:eastAsia="方正仿宋_GBK" w:cs="方正仿宋_GBK"/>
          <w:bCs/>
          <w:sz w:val="32"/>
          <w:szCs w:val="32"/>
          <w:highlight w:val="none"/>
        </w:rPr>
        <w:t xml:space="preserve">中标人不再为采购人提供物业管理服务</w:t>
      </w:r>
      <w:r>
        <w:rPr>
          <w:rFonts w:ascii="方正仿宋_GBK" w:hAnsi="方正仿宋_GBK" w:eastAsia="方正仿宋_GBK" w:cs="方正仿宋_GBK"/>
          <w:bCs/>
          <w:sz w:val="32"/>
          <w:szCs w:val="32"/>
          <w:highlight w:val="none"/>
        </w:rPr>
        <w:t xml:space="preserve">时，中标人必须协助</w:t>
      </w:r>
      <w:r>
        <w:rPr>
          <w:rFonts w:hint="eastAsia" w:ascii="方正仿宋_GBK" w:hAnsi="方正仿宋_GBK" w:eastAsia="方正仿宋_GBK" w:cs="方正仿宋_GBK"/>
          <w:bCs/>
          <w:sz w:val="32"/>
          <w:szCs w:val="32"/>
          <w:highlight w:val="none"/>
        </w:rPr>
        <w:t xml:space="preserve">采购人</w:t>
      </w:r>
      <w:r>
        <w:rPr>
          <w:rFonts w:ascii="方正仿宋_GBK" w:hAnsi="方正仿宋_GBK" w:eastAsia="方正仿宋_GBK" w:cs="方正仿宋_GBK"/>
          <w:bCs/>
          <w:sz w:val="32"/>
          <w:szCs w:val="32"/>
          <w:highlight w:val="none"/>
        </w:rPr>
        <w:t xml:space="preserve">做好新旧两家服务单位的平稳过渡和交接工作。合同到期进行交接手续时，暂扣本年度最后一个月的管理服务费作为风险担保金。</w:t>
      </w:r>
      <w:r>
        <w:rPr>
          <w:rFonts w:hint="eastAsia" w:ascii="方正仿宋_GBK" w:hAnsi="方正仿宋_GBK" w:eastAsia="方正仿宋_GBK" w:cs="方正仿宋_GBK"/>
          <w:bCs/>
          <w:sz w:val="32"/>
          <w:szCs w:val="32"/>
          <w:highlight w:val="none"/>
        </w:rPr>
        <w:t xml:space="preserve">合同结束交接顺利完成,新旧两家服务单位签署交接清单</w:t>
      </w:r>
      <w:r>
        <w:rPr>
          <w:rFonts w:ascii="方正仿宋_GBK" w:hAnsi="方正仿宋_GBK" w:eastAsia="方正仿宋_GBK" w:cs="方正仿宋_GBK"/>
          <w:bCs/>
          <w:sz w:val="32"/>
          <w:szCs w:val="32"/>
          <w:highlight w:val="none"/>
        </w:rPr>
        <w:t xml:space="preserve">后十五天内，</w:t>
      </w:r>
      <w:r>
        <w:rPr>
          <w:rFonts w:hint="eastAsia" w:ascii="方正仿宋_GBK" w:hAnsi="方正仿宋_GBK" w:eastAsia="方正仿宋_GBK" w:cs="方正仿宋_GBK"/>
          <w:bCs/>
          <w:sz w:val="32"/>
          <w:szCs w:val="32"/>
          <w:highlight w:val="none"/>
        </w:rPr>
        <w:t xml:space="preserve">采购人</w:t>
      </w:r>
      <w:r>
        <w:rPr>
          <w:rFonts w:ascii="方正仿宋_GBK" w:hAnsi="方正仿宋_GBK" w:eastAsia="方正仿宋_GBK" w:cs="方正仿宋_GBK"/>
          <w:bCs/>
          <w:sz w:val="32"/>
          <w:szCs w:val="32"/>
          <w:highlight w:val="none"/>
        </w:rPr>
        <w:t xml:space="preserve">付清全部尾款（含风险担保金）。</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6.本次招标服务期为3年，自合同签订之日起算。合同一年一签，考核结果达到80分及以上的续签下一年合同，考核结果80分以下的，采购人有权不续签合同。</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7.《物业服务考核暂行办法》</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为认真做好服务区物业管理服务工作，严格履行《物业管理服务合同》规定的服务质量要求，真正把服务落到实处，确保上级下达的工作任务顺利完成，经双方协商一致，制定本考核办法：</w:t>
      </w:r>
      <w:r/>
    </w:p>
    <w:p>
      <w:pPr>
        <w:ind w:firstLine="42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（1）指导思想</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按照甲乙双方由招标后签订的《物业管理服务合同》规定的服务工作范围、标准、双方的权利和义务，以及双方均应承担的责任，坚持“实事求是、质量第一、服务至上”的原则，组织实施考核。</w:t>
      </w:r>
      <w:r/>
    </w:p>
    <w:p>
      <w:pPr>
        <w:ind w:firstLine="42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（2）考核方法</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1、考核的方式按百分制计算：共分七部分</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第一部分为规范管理部分，占总分的10%；</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第二部分为安全管理部分，占总分的20%；</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第三部分为环境卫生管理部分，占总分的15%；</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第四部分为公共设施设备管理部分，占总分的13%；</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第五部分为节能减排管理部分，占部分的5%；</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第六部分为食堂管理部分，占总分的33%</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第七部分为其它事项部分，占总分的4%。</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2、考核程序</w:t>
      </w:r>
      <w:r/>
    </w:p>
    <w:p>
      <w:pPr>
        <w:ind w:firstLine="640"/>
        <w:spacing w:line="560" w:lineRule="exact"/>
        <w:rPr>
          <w:rFonts w:ascii="方正仿宋_GBK" w:hAnsi="方正仿宋_GBK" w:eastAsia="方正仿宋_GBK" w:cs="方正仿宋_GBK"/>
          <w:bCs/>
          <w:sz w:val="32"/>
          <w:szCs w:val="32"/>
          <w:highlight w:val="none"/>
        </w:rPr>
      </w:pPr>
      <w:r>
        <w:rPr>
          <w:rFonts w:hint="eastAsia" w:ascii="Arial Unicode MS" w:hAnsi="Arial Unicode MS" w:eastAsia="Arial Unicode MS" w:cs="Arial Unicode MS"/>
          <w:bCs/>
          <w:sz w:val="32"/>
          <w:szCs w:val="32"/>
          <w:highlight w:val="none"/>
        </w:rPr>
        <w:t xml:space="preserve">①</w:t>
      </w:r>
      <w:r>
        <w:rPr>
          <w:rFonts w:hint="eastAsia" w:ascii="方正仿宋_GBK" w:hAnsi="方正仿宋_GBK" w:eastAsia="方正仿宋_GBK" w:cs="方正仿宋_GBK"/>
          <w:bCs/>
          <w:sz w:val="32"/>
          <w:szCs w:val="32"/>
          <w:highlight w:val="none"/>
        </w:rPr>
        <w:t xml:space="preserve">日常检查与协调，由综合办公室负责，对于工作中发现的问题，及时进行沟通，并提出整改意见；</w:t>
      </w:r>
      <w:r/>
    </w:p>
    <w:p>
      <w:pPr>
        <w:ind w:firstLine="640"/>
        <w:spacing w:line="560" w:lineRule="exact"/>
        <w:rPr>
          <w:rFonts w:ascii="方正仿宋_GBK" w:hAnsi="方正仿宋_GBK" w:eastAsia="方正仿宋_GBK" w:cs="方正仿宋_GBK"/>
          <w:bCs/>
          <w:sz w:val="32"/>
          <w:szCs w:val="32"/>
          <w:highlight w:val="none"/>
        </w:rPr>
      </w:pPr>
      <w:r>
        <w:rPr>
          <w:rFonts w:hint="eastAsia" w:ascii="Arial Unicode MS" w:hAnsi="Arial Unicode MS" w:eastAsia="Arial Unicode MS" w:cs="Arial Unicode MS"/>
          <w:bCs/>
          <w:sz w:val="32"/>
          <w:szCs w:val="32"/>
          <w:highlight w:val="none"/>
        </w:rPr>
        <w:t xml:space="preserve">②</w:t>
      </w:r>
      <w:r>
        <w:rPr>
          <w:rFonts w:hint="eastAsia" w:ascii="方正仿宋_GBK" w:hAnsi="方正仿宋_GBK" w:eastAsia="方正仿宋_GBK" w:cs="方正仿宋_GBK"/>
          <w:bCs/>
          <w:sz w:val="32"/>
          <w:szCs w:val="32"/>
          <w:highlight w:val="none"/>
        </w:rPr>
        <w:t xml:space="preserve">半年度考核及年度考核评议，根据日常工作情况，组织进行检查或不定期抽查等方式综合评比打分。</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3、考核分数计算方法</w:t>
      </w:r>
      <w:r/>
    </w:p>
    <w:p>
      <w:pPr>
        <w:ind w:firstLine="640"/>
        <w:spacing w:line="560" w:lineRule="exact"/>
        <w:rPr>
          <w:rFonts w:ascii="方正仿宋_GBK" w:hAnsi="方正仿宋_GBK" w:eastAsia="方正仿宋_GBK" w:cs="方正仿宋_GBK"/>
          <w:bCs/>
          <w:sz w:val="32"/>
          <w:szCs w:val="32"/>
          <w:highlight w:val="none"/>
        </w:rPr>
      </w:pPr>
      <w:r>
        <w:rPr>
          <w:rFonts w:hint="eastAsia" w:ascii="Arial Unicode MS" w:hAnsi="Arial Unicode MS" w:eastAsia="Arial Unicode MS" w:cs="Arial Unicode MS"/>
          <w:bCs/>
          <w:sz w:val="32"/>
          <w:szCs w:val="32"/>
          <w:highlight w:val="none"/>
        </w:rPr>
        <w:t xml:space="preserve">①</w:t>
      </w:r>
      <w:r>
        <w:rPr>
          <w:rFonts w:hint="eastAsia" w:ascii="方正仿宋_GBK" w:hAnsi="方正仿宋_GBK" w:eastAsia="方正仿宋_GBK" w:cs="方正仿宋_GBK"/>
          <w:bCs/>
          <w:sz w:val="32"/>
          <w:szCs w:val="32"/>
          <w:highlight w:val="none"/>
        </w:rPr>
        <w:t xml:space="preserve">每次考核分数=总分—检查所扣分数；</w:t>
      </w:r>
      <w:r/>
    </w:p>
    <w:p>
      <w:pPr>
        <w:ind w:firstLine="640"/>
        <w:spacing w:line="560" w:lineRule="exact"/>
        <w:rPr>
          <w:rFonts w:ascii="方正仿宋_GBK" w:hAnsi="方正仿宋_GBK" w:eastAsia="方正仿宋_GBK" w:cs="方正仿宋_GBK"/>
          <w:bCs/>
          <w:sz w:val="32"/>
          <w:szCs w:val="32"/>
          <w:highlight w:val="none"/>
        </w:rPr>
      </w:pPr>
      <w:r>
        <w:rPr>
          <w:rFonts w:hint="eastAsia" w:ascii="Arial Unicode MS" w:hAnsi="Arial Unicode MS" w:eastAsia="Arial Unicode MS" w:cs="Arial Unicode MS"/>
          <w:bCs/>
          <w:sz w:val="32"/>
          <w:szCs w:val="32"/>
          <w:highlight w:val="none"/>
        </w:rPr>
        <w:t xml:space="preserve">②</w:t>
      </w:r>
      <w:r>
        <w:rPr>
          <w:rFonts w:hint="eastAsia" w:ascii="方正仿宋_GBK" w:hAnsi="方正仿宋_GBK" w:eastAsia="方正仿宋_GBK" w:cs="方正仿宋_GBK"/>
          <w:bCs/>
          <w:sz w:val="32"/>
          <w:szCs w:val="32"/>
          <w:highlight w:val="none"/>
        </w:rPr>
        <w:t xml:space="preserve">半年度考核分数=半年度考核分数总和÷半年度考核次数。</w:t>
      </w:r>
      <w:r/>
    </w:p>
    <w:p>
      <w:pPr>
        <w:ind w:firstLine="42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（3）考核具体内容</w:t>
      </w:r>
      <w:r/>
    </w:p>
    <w:tbl>
      <w:tblPr>
        <w:tblStyle w:val="773"/>
        <w:tblW w:w="9258" w:type="dxa"/>
        <w:tblInd w:w="-15" w:type="dxa"/>
        <w:tblLayout w:type="fixed"/>
        <w:tblCellMar>
          <w:left w:w="15" w:type="dxa"/>
          <w:top w:w="15" w:type="dxa"/>
          <w:right w:w="15" w:type="dxa"/>
          <w:bottom w:w="0" w:type="dxa"/>
        </w:tblCellMar>
        <w:tblLook w:val="04A0" w:firstRow="1" w:lastRow="0" w:firstColumn="1" w:lastColumn="0" w:noHBand="0" w:noVBand="1"/>
      </w:tblPr>
      <w:tblGrid>
        <w:gridCol w:w="903"/>
        <w:gridCol w:w="3093"/>
        <w:gridCol w:w="570"/>
        <w:gridCol w:w="3822"/>
        <w:gridCol w:w="444"/>
        <w:gridCol w:w="426"/>
      </w:tblGrid>
      <w:tr>
        <w:trPr>
          <w:trHeight w:val="600"/>
        </w:trPr>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项目</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标准内容</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分值</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评分细则</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备注</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得分</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规范</w:t>
            </w:r>
            <w:r>
              <w:rPr>
                <w:rFonts w:ascii="方正仿宋_GB2312" w:hAnsi="宋体" w:eastAsia="方正仿宋_GB2312" w:cs="方正仿宋_GB2312"/>
                <w:highlight w:val="none"/>
              </w:rPr>
              <w:t xml:space="preserve">                        </w:t>
            </w:r>
            <w:r>
              <w:rPr>
                <w:rFonts w:hint="eastAsia" w:ascii="方正仿宋_GB2312" w:hAnsi="宋体" w:eastAsia="方正仿宋_GB2312" w:cs="方正仿宋_GB2312"/>
                <w:highlight w:val="none"/>
              </w:rPr>
              <w:t xml:space="preserve">管理</w:t>
            </w:r>
            <w:r>
              <w:rPr>
                <w:rFonts w:ascii="方正仿宋_GB2312" w:hAnsi="宋体" w:eastAsia="方正仿宋_GB2312" w:cs="方正仿宋_GB2312"/>
                <w:highlight w:val="none"/>
              </w:rPr>
              <w:t xml:space="preserve">                    </w:t>
            </w:r>
            <w:r>
              <w:rPr>
                <w:rFonts w:hint="eastAsia" w:ascii="方正仿宋_GB2312" w:hAnsi="宋体" w:eastAsia="方正仿宋_GB2312" w:cs="方正仿宋_GB2312"/>
                <w:highlight w:val="none"/>
              </w:rPr>
              <w:t xml:space="preserve">10</w:t>
            </w:r>
            <w:r>
              <w:rPr>
                <w:rFonts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1、物业服务企业的服务人员和专业技术人员持相关证件上岗；员工统一着装，</w:t>
            </w:r>
            <w:r>
              <w:rPr>
                <w:rFonts w:hint="eastAsia" w:ascii="方正仿宋_GB2312" w:hAnsi="宋体" w:eastAsia="方正仿宋_GB2312" w:cs="方正仿宋_GB2312"/>
                <w:highlight w:val="none"/>
              </w:rPr>
              <w:t xml:space="preserve">佩戴</w:t>
            </w:r>
            <w:r>
              <w:rPr>
                <w:rFonts w:ascii="方正仿宋_GB2312" w:hAnsi="宋体" w:eastAsia="方正仿宋_GB2312" w:cs="方正仿宋_GB2312"/>
                <w:highlight w:val="none"/>
              </w:rPr>
              <w:t xml:space="preserve">胸牌及工作证等标志，服务规范，作风严谨。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一处不符合扣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2、物业服务建立健全各项服务制度、各岗位工作标准，并制定具体的落实措施和考核办法（上墙），建立物业台账，台账记录完整。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w:t>
            </w:r>
            <w:r>
              <w:rPr>
                <w:rFonts w:hint="eastAsia" w:ascii="方正仿宋_GB2312" w:hAnsi="宋体" w:eastAsia="方正仿宋_GB2312" w:cs="方正仿宋_GB2312"/>
                <w:highlight w:val="none"/>
              </w:rPr>
              <w:t xml:space="preserve">不符</w:t>
            </w:r>
            <w:r>
              <w:rPr>
                <w:rFonts w:ascii="方正仿宋_GB2312" w:hAnsi="宋体" w:eastAsia="方正仿宋_GB2312" w:cs="方正仿宋_GB2312"/>
                <w:highlight w:val="none"/>
              </w:rPr>
              <w:t xml:space="preserve">合要求扣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3、建立24小时值班制度，设立服务电话，接受物业服务报修、求助、建议、问询等各类信息的收集和反馈，并及时处理，记录。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值班制度不符合扣0.</w:t>
            </w:r>
            <w:r>
              <w:rPr>
                <w:rFonts w:hint="eastAsia" w:ascii="方正仿宋_GB2312" w:hAnsi="宋体" w:eastAsia="方正仿宋_GB2312" w:cs="方正仿宋_GB2312"/>
                <w:highlight w:val="none"/>
              </w:rPr>
              <w:t xml:space="preserve">25分</w:t>
            </w:r>
            <w:r>
              <w:rPr>
                <w:rFonts w:ascii="方正仿宋_GB2312" w:hAnsi="宋体" w:eastAsia="方正仿宋_GB2312" w:cs="方正仿宋_GB2312"/>
                <w:highlight w:val="none"/>
              </w:rPr>
              <w:t xml:space="preserve">。                                                                                                     发现一次不及时处理扣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安全     管理</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20</w:t>
            </w:r>
            <w:r>
              <w:rPr>
                <w:rFonts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、建立安全管理制度，定期巡检，对安全隐患排查和监督。对生活（消防）水泵房、变配电室、水箱间、消防监控系统等设备进行巡查，并做好记录及存档。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发生一次消防安全事故扣</w:t>
            </w:r>
            <w:r>
              <w:rPr>
                <w:rFonts w:hint="eastAsia" w:ascii="方正仿宋_GB2312" w:hAnsi="宋体" w:eastAsia="方正仿宋_GB2312" w:cs="方正仿宋_GB2312"/>
                <w:highlight w:val="none"/>
              </w:rPr>
              <w:t xml:space="preserve">5分</w:t>
            </w:r>
            <w:r>
              <w:rPr>
                <w:rFonts w:ascii="方正仿宋_GB2312" w:hAnsi="宋体" w:eastAsia="方正仿宋_GB2312" w:cs="方正仿宋_GB2312"/>
                <w:highlight w:val="none"/>
              </w:rPr>
              <w:t xml:space="preserve">。                                               发现一处未排查的隐患或未及时跟踪的安全隐患扣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未按要求登记，每发现一处不符合扣1.0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、实行24小时值班及巡逻制度，值班保安员训练有素，认真负责，遇到特殊情况有专项预案处理方案，并及时通知上级视具体情况作报警处理。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5</w:t>
            </w:r>
            <w:r>
              <w:rPr>
                <w:rFonts w:hint="eastAsia"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符合5.0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发生1次安保治安事件扣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，每增加1次扣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6</w:t>
            </w:r>
            <w:r>
              <w:rPr>
                <w:rFonts w:ascii="方正仿宋_GB2312" w:hAnsi="宋体" w:eastAsia="方正仿宋_GB2312" w:cs="方正仿宋_GB2312"/>
                <w:highlight w:val="none"/>
              </w:rPr>
              <w:t xml:space="preserve">、安保队伍配合法院做好诉讼处理</w:t>
            </w:r>
            <w:r>
              <w:rPr>
                <w:rFonts w:hint="eastAsia" w:ascii="方正仿宋_GB2312" w:hAnsi="宋体" w:eastAsia="方正仿宋_GB2312" w:cs="方正仿宋_GB2312"/>
                <w:highlight w:val="none"/>
              </w:rPr>
              <w:t xml:space="preserve">、</w:t>
            </w:r>
            <w:r>
              <w:rPr>
                <w:rFonts w:ascii="方正仿宋_GB2312" w:hAnsi="宋体" w:eastAsia="方正仿宋_GB2312" w:cs="方正仿宋_GB2312"/>
                <w:highlight w:val="none"/>
              </w:rPr>
              <w:t xml:space="preserve">信访接待相关工作，确保法院信访工作的稳定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5</w:t>
            </w:r>
            <w:r>
              <w:rPr>
                <w:rFonts w:hint="eastAsia"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符合5.0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发生1次未处理好的信访涉稳事件扣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，每增加1次扣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7</w:t>
            </w:r>
            <w:r>
              <w:rPr>
                <w:rFonts w:ascii="方正仿宋_GB2312" w:hAnsi="宋体" w:eastAsia="方正仿宋_GB2312" w:cs="方正仿宋_GB2312"/>
                <w:highlight w:val="none"/>
              </w:rPr>
              <w:t xml:space="preserve">、有健全的安保组织和紧急事件处理预案措施，楼内值庭执勤人员，严格按照法院相关安全保卫要求，做好现场安全秩序的维护工作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5</w:t>
            </w:r>
            <w:r>
              <w:rPr>
                <w:rFonts w:hint="eastAsia"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符合5.0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发现一项不符合扣</w:t>
            </w:r>
            <w:r>
              <w:rPr>
                <w:rFonts w:hint="eastAsia" w:ascii="方正仿宋_GB2312" w:hAnsi="宋体" w:eastAsia="方正仿宋_GB2312" w:cs="方正仿宋_GB2312"/>
                <w:highlight w:val="none"/>
              </w:rPr>
              <w:t xml:space="preserve">1.0分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r>
      <w:tr>
        <w:trPr>
          <w:trHeight w:val="8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环境</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卫生</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管理</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15</w:t>
            </w:r>
            <w:r>
              <w:rPr>
                <w:rFonts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8</w:t>
            </w:r>
            <w:r>
              <w:rPr>
                <w:rFonts w:ascii="方正仿宋_GB2312" w:hAnsi="宋体" w:eastAsia="方正仿宋_GB2312" w:cs="方正仿宋_GB2312"/>
                <w:highlight w:val="none"/>
              </w:rPr>
              <w:t xml:space="preserve">、环卫设施设备完善；垃圾清运及时；定期进行卫生消毒灭杀。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发现一项不符合扣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04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9</w:t>
            </w:r>
            <w:r>
              <w:rPr>
                <w:rFonts w:ascii="方正仿宋_GB2312" w:hAnsi="宋体" w:eastAsia="方正仿宋_GB2312" w:cs="方正仿宋_GB2312"/>
                <w:highlight w:val="none"/>
              </w:rPr>
              <w:t xml:space="preserve">、物业服务实行网格化管理，有专职的清洁人员和明确的责任范围划分，实行标准化保洁。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脱岗扣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                                                                                                  无专职的清洁人员、无明确的责任范围各扣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                                                   未实行标准化保洁的扣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16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0</w:t>
            </w:r>
            <w:r>
              <w:rPr>
                <w:rFonts w:ascii="方正仿宋_GB2312" w:hAnsi="宋体" w:eastAsia="方正仿宋_GB2312" w:cs="方正仿宋_GB2312"/>
                <w:highlight w:val="none"/>
              </w:rPr>
              <w:t xml:space="preserve">、垃圾箱（筒）旁及其它公共场地不得有裸露垃圾；公共场地无纸屑、烟头、一次性餐筷盒等废弃物。区内无卫生死角。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发现一处裸露垃圾扣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                                         发现纸屑、烟头等废弃物乱丢现象每处扣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                                        发现一处卫生死角扣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06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、楼层过道每天不定时清扫，每天清扫拖洗两次；楼道每天清扫、拖洗1次，无卫生死角，保持楼道内清洁；楼内公共设施每天清洁1次，公共设施无蛛网浮</w:t>
            </w:r>
            <w:r>
              <w:rPr>
                <w:rFonts w:hint="eastAsia" w:ascii="方正仿宋_GB2312" w:hAnsi="宋体" w:eastAsia="方正仿宋_GB2312" w:cs="方正仿宋_GB2312"/>
                <w:highlight w:val="none"/>
              </w:rPr>
              <w:t xml:space="preserve">尘</w:t>
            </w:r>
            <w:r>
              <w:rPr>
                <w:rFonts w:ascii="方正仿宋_GB2312" w:hAnsi="宋体" w:eastAsia="方正仿宋_GB2312" w:cs="方正仿宋_GB2312"/>
                <w:highlight w:val="none"/>
              </w:rPr>
              <w:t xml:space="preserve">；扶手每天清抹1次，公共部位玻璃每日保洁1次，保持无污渍、手印、光洁透明。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6</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公共</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设施</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设备</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管理</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13</w:t>
            </w:r>
            <w:r>
              <w:rPr>
                <w:rFonts w:ascii="方正仿宋_GB2312" w:hAnsi="宋体" w:eastAsia="方正仿宋_GB2312" w:cs="方正仿宋_GB231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2</w:t>
            </w:r>
            <w:r>
              <w:rPr>
                <w:rFonts w:ascii="方正仿宋_GB2312" w:hAnsi="宋体" w:eastAsia="方正仿宋_GB2312" w:cs="方正仿宋_GB2312"/>
                <w:highlight w:val="none"/>
              </w:rPr>
              <w:t xml:space="preserve">、配套设施完好，无随意改变用途现象；维护人员严格遵守操作规程与保养规范，无事故隐患。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每发现一处不符合扣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、设施设备的运行使用及维修按规定要求记录；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2</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未按要求登记，每发现一处不符合扣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、非机动车停放有序，定时巡查。车位地面无明显污渍、废弃物，无杂物、易燃易爆品存放。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每发现一处不符合</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0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、制定配电房供电服务措施并严格执行，记录完整；供电设备运行正常，配电室服务符合规定；路灯、楼道灯等公共照明设备完好。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10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节能   减排   管理    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w:t>
            </w:r>
            <w:r>
              <w:rPr>
                <w:rFonts w:hint="eastAsia" w:ascii="方正仿宋_GB2312" w:hAnsi="宋体" w:eastAsia="方正仿宋_GB2312" w:cs="方正仿宋_GB2312"/>
                <w:highlight w:val="none"/>
              </w:rPr>
              <w:t xml:space="preserve">6</w:t>
            </w:r>
            <w:r>
              <w:rPr>
                <w:rFonts w:ascii="方正仿宋_GB2312" w:hAnsi="宋体" w:eastAsia="方正仿宋_GB2312" w:cs="方正仿宋_GB2312"/>
                <w:highlight w:val="none"/>
              </w:rPr>
              <w:t xml:space="preserve">、合理设置公共照明、电梯、空调、水泵等设备运行时间与参数，推行分时、分区、感应式启停控制</w:t>
            </w:r>
            <w:r>
              <w:rPr>
                <w:rFonts w:hint="eastAsia" w:ascii="方正仿宋_GB2312" w:hAnsi="宋体" w:eastAsia="方正仿宋_GB2312" w:cs="方正仿宋_GB2312"/>
                <w:highlight w:val="none"/>
              </w:rPr>
              <w:t xml:space="preserve">；</w:t>
            </w:r>
            <w:r>
              <w:rPr>
                <w:rFonts w:ascii="方正仿宋_GB2312" w:hAnsi="宋体" w:eastAsia="方正仿宋_GB2312" w:cs="方正仿宋_GB2312"/>
                <w:highlight w:val="none"/>
              </w:rPr>
              <w:t xml:space="preserve">建立水、电、气等能耗计量台账，定期开展能耗数据分析与对比，及时发现异常能耗并整改</w:t>
            </w:r>
            <w:r>
              <w:rPr>
                <w:rFonts w:hint="eastAsia" w:ascii="方正仿宋_GB2312" w:hAnsi="宋体" w:eastAsia="方正仿宋_GB2312" w:cs="方正仿宋_GB2312"/>
                <w:highlight w:val="none"/>
              </w:rPr>
              <w:t xml:space="preserve">；</w:t>
            </w:r>
            <w:r>
              <w:rPr>
                <w:rFonts w:ascii="方正仿宋_GB2312" w:hAnsi="宋体" w:eastAsia="方正仿宋_GB2312" w:cs="方正仿宋_GB2312"/>
                <w:highlight w:val="none"/>
              </w:rPr>
              <w:t xml:space="preserve">通过提示标识、宣传栏等开展节能宣传</w:t>
            </w:r>
            <w:r>
              <w:rPr>
                <w:rFonts w:hint="eastAsia"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color w:val="4f81bd"/>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食堂   管理   33分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17、</w:t>
            </w:r>
            <w:r>
              <w:rPr>
                <w:rFonts w:hint="eastAsia" w:ascii="方正仿宋_GB2312" w:hAnsi="宋体" w:eastAsia="方正仿宋_GB2312" w:cs="方正仿宋_GB2312"/>
                <w:highlight w:val="none"/>
              </w:rPr>
              <w:t xml:space="preserve">加工制作的品种符合服务内容规定种类，无质量问题；每日食材采购计划与菜单内容、用餐人数以及其他实际需求不匹配，食材成本把控规范有效；食堂员工节约用水、用电、用气及食材，食材无过期使用情况，未造成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5</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18、食材验收质量关、数量关把控严格，验收工作在摄像头下进行，食材验收单按规定时间(每日14：00前)提交财务核算；下周菜单按规定时间(每周三下班前)提交管理员审核；干警对食堂未提出负面意见。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8</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19、严格执行就餐刷卡管理制度，每周就餐未刷卡及每日三餐餐盘使用统计数据按规定时间（次周周一下班前）提交财务核算。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6</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0.25分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20、严格餐饮安全管理规定，不使用过期变质食材，不违反食品加工制度，杜绝食品安全事故的发生。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8</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1.0分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21、按时缴纳员工合法收入所得。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发现一处不符合扣</w:t>
            </w:r>
            <w:r>
              <w:rPr>
                <w:rFonts w:hint="eastAsia" w:ascii="方正仿宋_GB2312" w:hAnsi="宋体" w:eastAsia="方正仿宋_GB2312" w:cs="方正仿宋_GB2312"/>
                <w:highlight w:val="none"/>
              </w:rPr>
              <w:t xml:space="preserve">0.5分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22</w:t>
            </w:r>
            <w:r>
              <w:rPr>
                <w:rFonts w:ascii="方正仿宋_GB2312" w:hAnsi="宋体" w:eastAsia="方正仿宋_GB2312" w:cs="方正仿宋_GB2312"/>
                <w:highlight w:val="none"/>
              </w:rPr>
              <w:t xml:space="preserve">、</w:t>
            </w:r>
            <w:r>
              <w:rPr>
                <w:rFonts w:hint="eastAsia" w:ascii="方正仿宋_GB2312" w:hAnsi="宋体" w:eastAsia="方正仿宋_GB2312" w:cs="方正仿宋_GB2312"/>
                <w:highlight w:val="none"/>
              </w:rPr>
              <w:t xml:space="preserve">委托管理的固定资产、后厨灶具、餐厅厨具等设施设备完好率98%以上。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3</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w:t>
            </w:r>
            <w:r>
              <w:rPr>
                <w:rFonts w:hint="eastAsia" w:ascii="方正仿宋_GB2312" w:hAnsi="宋体" w:eastAsia="方正仿宋_GB2312" w:cs="方正仿宋_GB2312"/>
                <w:highlight w:val="none"/>
              </w:rPr>
              <w:t xml:space="preserve">指标每低于一个百分点</w:t>
            </w:r>
            <w:r>
              <w:rPr>
                <w:rFonts w:ascii="方正仿宋_GB2312" w:hAnsi="宋体" w:eastAsia="方正仿宋_GB2312" w:cs="方正仿宋_GB2312"/>
                <w:highlight w:val="none"/>
              </w:rPr>
              <w:t xml:space="preserve">扣</w:t>
            </w:r>
            <w:r>
              <w:rPr>
                <w:rFonts w:hint="eastAsia" w:ascii="方正仿宋_GB2312" w:hAnsi="宋体" w:eastAsia="方正仿宋_GB2312" w:cs="方正仿宋_GB2312"/>
                <w:highlight w:val="none"/>
              </w:rPr>
              <w:t xml:space="preserve">0.1分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03" w:type="dxa"/>
            <w:vAlign w:val="center"/>
            <w:vMerge w:val="restart"/>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其它  </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事项</w:t>
            </w:r>
            <w:r/>
          </w:p>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4</w:t>
            </w:r>
            <w:r>
              <w:rPr>
                <w:rFonts w:ascii="方正仿宋_GB2312" w:hAnsi="宋体" w:eastAsia="方正仿宋_GB2312" w:cs="方正仿宋_GB2312"/>
                <w:highlight w:val="none"/>
              </w:rPr>
              <w:t xml:space="preserve">分</w:t>
            </w:r>
            <w:r/>
          </w:p>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23</w:t>
            </w:r>
            <w:r>
              <w:rPr>
                <w:rFonts w:ascii="方正仿宋_GB2312" w:hAnsi="宋体" w:eastAsia="方正仿宋_GB2312" w:cs="方正仿宋_GB2312"/>
                <w:highlight w:val="none"/>
              </w:rPr>
              <w:t xml:space="preserve">、突发事件处理的及时性和稳定性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2</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未完成扣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03" w:type="dxa"/>
            <w:vAlign w:val="center"/>
            <w:vMerge w:val="continue"/>
            <w:textDirection w:val="lrTb"/>
            <w:noWrap/>
          </w:tcPr>
          <w:p>
            <w:pPr>
              <w:jc w:val="center"/>
              <w:rPr>
                <w:rFonts w:ascii="方正仿宋_GB2312" w:hAnsi="宋体" w:eastAsia="方正仿宋_GB2312" w:cs="方正仿宋_GB2312"/>
                <w:highlight w:val="none"/>
              </w:rPr>
            </w:pPr>
            <w:r>
              <w:rPr>
                <w:rFonts w:ascii="方正仿宋_GB2312" w:hAnsi="宋体" w:eastAsia="方正仿宋_GB2312" w:cs="方正仿宋_GB231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3" w:type="dxa"/>
            <w:vAlign w:val="center"/>
            <w:textDirection w:val="lrTb"/>
            <w:noWrap/>
          </w:tcPr>
          <w:p>
            <w:pP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24</w:t>
            </w:r>
            <w:r>
              <w:rPr>
                <w:rFonts w:ascii="方正仿宋_GB2312" w:hAnsi="宋体" w:eastAsia="方正仿宋_GB2312" w:cs="方正仿宋_GB2312"/>
                <w:highlight w:val="none"/>
              </w:rPr>
              <w:t xml:space="preserve">、严格安全保密制度，做好安全保密相关工作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jc w:val="center"/>
              <w:rPr>
                <w:rFonts w:ascii="方正仿宋_GB2312" w:hAnsi="宋体" w:eastAsia="方正仿宋_GB2312" w:cs="方正仿宋_GB2312"/>
                <w:highlight w:val="none"/>
              </w:rPr>
            </w:pPr>
            <w:r>
              <w:rPr>
                <w:rFonts w:hint="eastAsia" w:ascii="方正仿宋_GB2312" w:hAnsi="宋体" w:eastAsia="方正仿宋_GB2312" w:cs="方正仿宋_GB2312"/>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tcPr>
          <w:p>
            <w:pPr>
              <w:jc w:val="left"/>
              <w:rPr>
                <w:rFonts w:ascii="方正仿宋_GB2312" w:hAnsi="宋体" w:eastAsia="方正仿宋_GB2312" w:cs="方正仿宋_GB2312"/>
                <w:highlight w:val="none"/>
              </w:rPr>
            </w:pPr>
            <w:r>
              <w:rPr>
                <w:rFonts w:ascii="方正仿宋_GB2312" w:hAnsi="宋体" w:eastAsia="方正仿宋_GB2312" w:cs="方正仿宋_GB2312"/>
                <w:highlight w:val="none"/>
              </w:rPr>
              <w:t xml:space="preserve">符合</w:t>
            </w:r>
            <w:r>
              <w:rPr>
                <w:rFonts w:hint="eastAsia" w:ascii="方正仿宋_GB2312" w:hAnsi="宋体" w:eastAsia="方正仿宋_GB2312" w:cs="方正仿宋_GB2312"/>
                <w:highlight w:val="none"/>
              </w:rPr>
              <w:t xml:space="preserve">2</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                                                                 未完成扣</w:t>
            </w:r>
            <w:r>
              <w:rPr>
                <w:rFonts w:hint="eastAsia" w:ascii="方正仿宋_GB2312" w:hAnsi="宋体" w:eastAsia="方正仿宋_GB2312" w:cs="方正仿宋_GB2312"/>
                <w:highlight w:val="none"/>
              </w:rPr>
              <w:t xml:space="preserve">1</w:t>
            </w:r>
            <w:r>
              <w:rPr>
                <w:rFonts w:ascii="方正仿宋_GB2312" w:hAnsi="宋体" w:eastAsia="方正仿宋_GB2312" w:cs="方正仿宋_GB2312"/>
                <w:highlight w:val="none"/>
              </w:rPr>
              <w:t xml:space="preserve">.0</w:t>
            </w:r>
            <w:r>
              <w:rPr>
                <w:rFonts w:hint="eastAsia" w:ascii="方正仿宋_GB2312" w:hAnsi="宋体" w:eastAsia="方正仿宋_GB2312" w:cs="方正仿宋_GB2312"/>
                <w:highlight w:val="none"/>
              </w:rPr>
              <w:t xml:space="preserve">分</w:t>
            </w:r>
            <w:r>
              <w:rPr>
                <w:rFonts w:ascii="方正仿宋_GB2312" w:hAnsi="宋体" w:eastAsia="方正仿宋_GB2312" w:cs="方正仿宋_GB2312"/>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tcPr>
          <w:p>
            <w:pP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6" w:type="dxa"/>
            <w:vAlign w:val="center"/>
            <w:textDirection w:val="lrTb"/>
            <w:noWrap/>
          </w:tcPr>
          <w:p>
            <w:pPr>
              <w:jc w:val="center"/>
              <w:rPr>
                <w:rFonts w:ascii="方正仿宋_GB2312" w:hAnsi="宋体" w:eastAsia="方正仿宋_GB2312" w:cs="方正仿宋_GB2312"/>
                <w:color w:val="4f81bd"/>
                <w:highlight w:val="none"/>
              </w:rPr>
            </w:pPr>
            <w:r>
              <w:rPr>
                <w:rFonts w:ascii="方正仿宋_GB2312" w:hAnsi="宋体" w:eastAsia="方正仿宋_GB2312" w:cs="方正仿宋_GB2312"/>
                <w:color w:val="4f81bd"/>
                <w:highlight w:val="none"/>
              </w:rPr>
            </w:r>
            <w:r/>
          </w:p>
        </w:tc>
      </w:tr>
    </w:tbl>
    <w:p>
      <w:pPr>
        <w:pStyle w:val="861"/>
        <w:ind w:firstLine="640"/>
        <w:spacing w:before="120" w:after="120"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（四）报价要求</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1.</w:t>
      </w:r>
      <w:r>
        <w:rPr>
          <w:rFonts w:ascii="方正仿宋_GBK" w:hAnsi="方正仿宋_GBK" w:eastAsia="方正仿宋_GBK" w:cs="方正仿宋_GBK"/>
          <w:bCs/>
          <w:color w:val="000000"/>
          <w:sz w:val="32"/>
          <w:szCs w:val="32"/>
          <w:highlight w:val="none"/>
        </w:rPr>
        <w:t xml:space="preserve">投标应以人民币报价。以报实价为准，报价时应考虑所有可能影响到报价的价格因素</w:t>
      </w:r>
      <w:r>
        <w:rPr>
          <w:rFonts w:hint="eastAsia" w:ascii="方正仿宋_GBK" w:hAnsi="方正仿宋_GBK" w:eastAsia="方正仿宋_GBK" w:cs="方正仿宋_GBK"/>
          <w:bCs/>
          <w:color w:val="000000"/>
          <w:sz w:val="32"/>
          <w:szCs w:val="32"/>
          <w:highlight w:val="none"/>
        </w:rPr>
        <w:t xml:space="preserve">及</w:t>
      </w:r>
      <w:r>
        <w:rPr>
          <w:rFonts w:ascii="方正仿宋_GBK" w:hAnsi="方正仿宋_GBK" w:eastAsia="方正仿宋_GBK" w:cs="方正仿宋_GBK"/>
          <w:bCs/>
          <w:color w:val="000000"/>
          <w:sz w:val="32"/>
          <w:szCs w:val="32"/>
          <w:highlight w:val="none"/>
        </w:rPr>
        <w:t xml:space="preserve">相关风险（例如社会最低工资标准调整</w:t>
      </w:r>
      <w:r>
        <w:rPr>
          <w:rFonts w:hint="eastAsia" w:ascii="方正仿宋_GBK" w:hAnsi="方正仿宋_GBK" w:eastAsia="方正仿宋_GBK" w:cs="方正仿宋_GBK"/>
          <w:bCs/>
          <w:color w:val="000000"/>
          <w:sz w:val="32"/>
          <w:szCs w:val="32"/>
          <w:highlight w:val="none"/>
        </w:rPr>
        <w:t xml:space="preserve">、</w:t>
      </w:r>
      <w:r>
        <w:rPr>
          <w:rFonts w:ascii="方正仿宋_GBK" w:hAnsi="方正仿宋_GBK" w:eastAsia="方正仿宋_GBK" w:cs="方正仿宋_GBK"/>
          <w:bCs/>
          <w:color w:val="000000"/>
          <w:sz w:val="32"/>
          <w:szCs w:val="32"/>
          <w:highlight w:val="none"/>
        </w:rPr>
        <w:t xml:space="preserve">最低社会保险缴纳基数标准调整</w:t>
      </w:r>
      <w:r>
        <w:rPr>
          <w:rFonts w:hint="eastAsia" w:ascii="方正仿宋_GBK" w:hAnsi="方正仿宋_GBK" w:eastAsia="方正仿宋_GBK" w:cs="方正仿宋_GBK"/>
          <w:bCs/>
          <w:color w:val="000000"/>
          <w:sz w:val="32"/>
          <w:szCs w:val="32"/>
          <w:highlight w:val="none"/>
        </w:rPr>
        <w:t xml:space="preserve">等</w:t>
      </w:r>
      <w:r>
        <w:rPr>
          <w:rFonts w:ascii="方正仿宋_GBK" w:hAnsi="方正仿宋_GBK" w:eastAsia="方正仿宋_GBK" w:cs="方正仿宋_GBK"/>
          <w:bCs/>
          <w:color w:val="000000"/>
          <w:sz w:val="32"/>
          <w:szCs w:val="32"/>
          <w:highlight w:val="none"/>
        </w:rPr>
        <w:t xml:space="preserve">）</w:t>
      </w:r>
      <w:r>
        <w:rPr>
          <w:rFonts w:hint="eastAsia" w:ascii="方正仿宋_GBK" w:hAnsi="方正仿宋_GBK" w:eastAsia="方正仿宋_GBK" w:cs="方正仿宋_GBK"/>
          <w:bCs/>
          <w:color w:val="000000"/>
          <w:sz w:val="32"/>
          <w:szCs w:val="32"/>
          <w:highlight w:val="none"/>
        </w:rPr>
        <w:t xml:space="preserve">，</w:t>
      </w:r>
      <w:r>
        <w:rPr>
          <w:rFonts w:ascii="方正仿宋_GBK" w:hAnsi="方正仿宋_GBK" w:eastAsia="方正仿宋_GBK" w:cs="方正仿宋_GBK"/>
          <w:bCs/>
          <w:color w:val="000000"/>
          <w:sz w:val="32"/>
          <w:szCs w:val="32"/>
          <w:highlight w:val="none"/>
        </w:rPr>
        <w:t xml:space="preserve">一旦</w:t>
      </w:r>
      <w:r>
        <w:rPr>
          <w:rFonts w:hint="eastAsia" w:ascii="方正仿宋_GBK" w:hAnsi="方正仿宋_GBK" w:eastAsia="方正仿宋_GBK" w:cs="方正仿宋_GBK"/>
          <w:bCs/>
          <w:color w:val="000000"/>
          <w:sz w:val="32"/>
          <w:szCs w:val="32"/>
          <w:highlight w:val="none"/>
        </w:rPr>
        <w:t xml:space="preserve">中标</w:t>
      </w:r>
      <w:r>
        <w:rPr>
          <w:rFonts w:ascii="方正仿宋_GBK" w:hAnsi="方正仿宋_GBK" w:eastAsia="方正仿宋_GBK" w:cs="方正仿宋_GBK"/>
          <w:bCs/>
          <w:color w:val="000000"/>
          <w:sz w:val="32"/>
          <w:szCs w:val="32"/>
          <w:highlight w:val="none"/>
        </w:rPr>
        <w:t xml:space="preserve">，总价将包定，合同期（三年）内不予调整。</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2</w:t>
      </w:r>
      <w:r>
        <w:rPr>
          <w:rFonts w:ascii="方正仿宋_GBK" w:hAnsi="方正仿宋_GBK" w:eastAsia="方正仿宋_GBK" w:cs="方正仿宋_GBK"/>
          <w:bCs/>
          <w:color w:val="000000"/>
          <w:sz w:val="32"/>
          <w:szCs w:val="32"/>
          <w:highlight w:val="none"/>
        </w:rPr>
        <w:t xml:space="preserve">.</w:t>
      </w:r>
      <w:r>
        <w:rPr>
          <w:rFonts w:hint="eastAsia" w:ascii="方正仿宋_GBK" w:hAnsi="方正仿宋_GBK" w:eastAsia="方正仿宋_GBK" w:cs="方正仿宋_GBK"/>
          <w:bCs/>
          <w:color w:val="000000"/>
          <w:sz w:val="32"/>
          <w:szCs w:val="32"/>
          <w:highlight w:val="none"/>
        </w:rPr>
        <w:t xml:space="preserve">投标人应与投入到本项目的所有服务人员依法建立劳动关系，并签订劳动合同。人员工资应符合物业服务所在地市现行法规要求，不低于物业服务所在地市最低工资标准。投标人应依法为本项目所有员工缴纳规定的各项社会保险及公积金（五险一金）并不低于物业服务所在地市最低缴费标准。聘用员工后，按要求签订劳动合同并按规定在本企业缴纳五险一金，并在《投标报价明细表》中详细列明。</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3.供应商报价是根据采购文件所确定的管理服务范围内的全部工作人员和内容的价格体现，是为完成采购文件规定的服务管理工作所涉及到的一切费用，包含但不仅限于以下内容：</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1）人员工资、员工“五险一金”社会保障费用、全年福利、培训、体检、高温费、服装费、劳保防护、法定节假日加班费、年终奖金、工伤治疗、补偿费、投保物业公众责任险、利润、税金及其它费用等。</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w:t>
      </w:r>
      <w:r>
        <w:rPr>
          <w:rFonts w:ascii="方正仿宋_GBK" w:hAnsi="方正仿宋_GBK" w:eastAsia="方正仿宋_GBK" w:cs="方正仿宋_GBK"/>
          <w:bCs/>
          <w:sz w:val="32"/>
          <w:szCs w:val="32"/>
          <w:highlight w:val="none"/>
        </w:rPr>
        <w:t xml:space="preserve">重大活动、临时性活动、突发性活动</w:t>
      </w:r>
      <w:r>
        <w:rPr>
          <w:rFonts w:hint="eastAsia" w:ascii="方正仿宋_GBK" w:hAnsi="方正仿宋_GBK" w:eastAsia="方正仿宋_GBK" w:cs="方正仿宋_GBK"/>
          <w:bCs/>
          <w:sz w:val="32"/>
          <w:szCs w:val="32"/>
          <w:highlight w:val="none"/>
        </w:rPr>
        <w:t xml:space="preserve">等</w:t>
      </w:r>
      <w:r>
        <w:rPr>
          <w:rFonts w:ascii="方正仿宋_GBK" w:hAnsi="方正仿宋_GBK" w:eastAsia="方正仿宋_GBK" w:cs="方正仿宋_GBK"/>
          <w:bCs/>
          <w:sz w:val="32"/>
          <w:szCs w:val="32"/>
          <w:highlight w:val="none"/>
        </w:rPr>
        <w:t xml:space="preserve">需中标</w:t>
      </w:r>
      <w:r>
        <w:rPr>
          <w:rFonts w:hint="eastAsia" w:ascii="方正仿宋_GBK" w:hAnsi="方正仿宋_GBK" w:eastAsia="方正仿宋_GBK" w:cs="方正仿宋_GBK"/>
          <w:bCs/>
          <w:sz w:val="32"/>
          <w:szCs w:val="32"/>
          <w:highlight w:val="none"/>
        </w:rPr>
        <w:t xml:space="preserve">单位</w:t>
      </w:r>
      <w:r>
        <w:rPr>
          <w:rFonts w:ascii="方正仿宋_GBK" w:hAnsi="方正仿宋_GBK" w:eastAsia="方正仿宋_GBK" w:cs="方正仿宋_GBK"/>
          <w:bCs/>
          <w:sz w:val="32"/>
          <w:szCs w:val="32"/>
          <w:highlight w:val="none"/>
        </w:rPr>
        <w:t xml:space="preserve">服务人员加班</w:t>
      </w:r>
      <w:r>
        <w:rPr>
          <w:rFonts w:hint="eastAsia" w:ascii="方正仿宋_GBK" w:hAnsi="方正仿宋_GBK" w:eastAsia="方正仿宋_GBK" w:cs="方正仿宋_GBK"/>
          <w:bCs/>
          <w:sz w:val="32"/>
          <w:szCs w:val="32"/>
          <w:highlight w:val="none"/>
        </w:rPr>
        <w:t xml:space="preserve">所产生的</w:t>
      </w:r>
      <w:r>
        <w:rPr>
          <w:rFonts w:ascii="方正仿宋_GBK" w:hAnsi="方正仿宋_GBK" w:eastAsia="方正仿宋_GBK" w:cs="方正仿宋_GBK"/>
          <w:bCs/>
          <w:sz w:val="32"/>
          <w:szCs w:val="32"/>
          <w:highlight w:val="none"/>
        </w:rPr>
        <w:t xml:space="preserve">服务加班费用。</w:t>
      </w:r>
      <w:r>
        <w:rPr>
          <w:rFonts w:hint="eastAsia" w:ascii="方正仿宋_GBK" w:hAnsi="方正仿宋_GBK" w:eastAsia="方正仿宋_GBK" w:cs="方正仿宋_GBK"/>
          <w:bCs/>
          <w:sz w:val="32"/>
          <w:szCs w:val="32"/>
          <w:highlight w:val="none"/>
        </w:rPr>
        <w:t xml:space="preserve">发放加班费须经甲方书面审批同意。</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2）用于物业管理</w:t>
      </w:r>
      <w:r>
        <w:rPr>
          <w:rFonts w:ascii="方正仿宋_GBK" w:hAnsi="方正仿宋_GBK" w:eastAsia="方正仿宋_GBK" w:cs="方正仿宋_GBK"/>
          <w:bCs/>
          <w:sz w:val="32"/>
          <w:szCs w:val="32"/>
          <w:highlight w:val="none"/>
        </w:rPr>
        <w:t xml:space="preserve">服务所用设备、工具购置及维护费用，保洁服务所用</w:t>
      </w:r>
      <w:r>
        <w:rPr>
          <w:rFonts w:hint="eastAsia" w:ascii="方正仿宋_GBK" w:hAnsi="方正仿宋_GBK" w:eastAsia="方正仿宋_GBK" w:cs="方正仿宋_GBK"/>
          <w:bCs/>
          <w:sz w:val="32"/>
          <w:szCs w:val="32"/>
          <w:highlight w:val="none"/>
        </w:rPr>
        <w:t xml:space="preserve">清洁</w:t>
      </w:r>
      <w:r>
        <w:rPr>
          <w:rFonts w:ascii="方正仿宋_GBK" w:hAnsi="方正仿宋_GBK" w:eastAsia="方正仿宋_GBK" w:cs="方正仿宋_GBK"/>
          <w:bCs/>
          <w:sz w:val="32"/>
          <w:szCs w:val="32"/>
          <w:highlight w:val="none"/>
        </w:rPr>
        <w:t xml:space="preserve">用品费用、管理费用、利润、税金等支出。</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sz w:val="32"/>
          <w:szCs w:val="32"/>
          <w:highlight w:val="none"/>
        </w:rPr>
        <w:t xml:space="preserve">3）物业公共设施设备日常零星维修费由采购人承担，投标人负责随工配合。日常零星维修费主要是指日常性的维护和小修项目，界定标准是：除大楼照明系统，单个部件维修费用在100元以内（含100元）由投标人承担，100元以上由采购人承担。</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仿宋_GBK" w:hAnsi="方正仿宋_GBK" w:eastAsia="方正仿宋_GBK" w:cs="方正仿宋_GBK"/>
          <w:bCs/>
          <w:color w:val="000000"/>
          <w:sz w:val="32"/>
          <w:szCs w:val="32"/>
          <w:highlight w:val="none"/>
        </w:rPr>
        <w:t xml:space="preserve">4.</w:t>
      </w:r>
      <w:r>
        <w:rPr>
          <w:rFonts w:ascii="方正仿宋_GBK" w:hAnsi="方正仿宋_GBK" w:eastAsia="方正仿宋_GBK" w:cs="方正仿宋_GBK"/>
          <w:bCs/>
          <w:color w:val="000000"/>
          <w:sz w:val="32"/>
          <w:szCs w:val="32"/>
          <w:highlight w:val="none"/>
        </w:rPr>
        <w:t xml:space="preserve">免费维保范围以外的大修或改造项目由采购人实施，投标人负责随工配合、监管，工料费用由采购人承担。</w:t>
      </w:r>
      <w:r>
        <w:rPr>
          <w:rFonts w:hint="eastAsia" w:ascii="方正仿宋_GBK" w:hAnsi="方正仿宋_GBK" w:eastAsia="方正仿宋_GBK" w:cs="方正仿宋_GBK"/>
          <w:bCs/>
          <w:color w:val="000000"/>
          <w:sz w:val="32"/>
          <w:szCs w:val="32"/>
          <w:highlight w:val="none"/>
        </w:rPr>
        <w:t xml:space="preserve">公用</w:t>
      </w:r>
      <w:r>
        <w:rPr>
          <w:rFonts w:ascii="方正仿宋_GBK" w:hAnsi="方正仿宋_GBK" w:eastAsia="方正仿宋_GBK" w:cs="方正仿宋_GBK"/>
          <w:bCs/>
          <w:color w:val="000000"/>
          <w:sz w:val="32"/>
          <w:szCs w:val="32"/>
          <w:highlight w:val="none"/>
        </w:rPr>
        <w:t xml:space="preserve">设备（如：电梯、空调等）维护，由维保单位负责，费用由采购人承担，投标人负责随工配合，不列入本次报价。</w:t>
      </w:r>
      <w:r/>
    </w:p>
    <w:p>
      <w:pPr>
        <w:pStyle w:val="861"/>
        <w:ind w:firstLine="640"/>
        <w:spacing w:before="120" w:after="120"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五、其他要求</w:t>
      </w:r>
      <w:r/>
    </w:p>
    <w:p>
      <w:pPr>
        <w:ind w:firstLine="640"/>
        <w:spacing w:line="56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bCs/>
          <w:color w:val="000000"/>
          <w:sz w:val="32"/>
          <w:szCs w:val="32"/>
          <w:highlight w:val="none"/>
        </w:rPr>
        <w:t xml:space="preserve">（一）项目属性:服务类项目。</w:t>
      </w:r>
      <w:r/>
    </w:p>
    <w:p>
      <w:pPr>
        <w:pStyle w:val="823"/>
        <w:rPr>
          <w:rFonts w:ascii="黑体" w:eastAsia="黑体"/>
          <w:bCs/>
          <w:sz w:val="44"/>
          <w:highlight w:val="none"/>
        </w:rPr>
      </w:pPr>
      <w:r/>
      <w:bookmarkStart w:id="235" w:name="_Toc120614281"/>
      <w:r/>
      <w:r/>
    </w:p>
    <w:p>
      <w:pPr>
        <w:pStyle w:val="824"/>
        <w:spacing w:line="400" w:lineRule="exact"/>
        <w:rPr>
          <w:rFonts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第五章  评标方法与评标标准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32"/>
          <w:szCs w:val="32"/>
          <w:highlight w:val="none"/>
        </w:rPr>
        <w:t xml:space="preserve">得分且投标报价相同的并列。</w:t>
      </w:r>
      <w:r/>
    </w:p>
    <w:tbl>
      <w:tblPr>
        <w:tblStyle w:val="773"/>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183"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p>
        </w:tc>
        <w:tc>
          <w:tcPr>
            <w:tcW w:w="5134"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p>
        </w:tc>
      </w:tr>
      <w:tr>
        <w:trPr/>
        <w:tc>
          <w:tcPr>
            <w:tcW w:w="1608"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183" w:type="dxa"/>
            <w:vAlign w:val="center"/>
            <w:textDirection w:val="lrTb"/>
            <w:noWrap w:val="false"/>
          </w:tcPr>
          <w:p>
            <w:pPr>
              <w:jc w:val="center"/>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134" w:type="dxa"/>
            <w:textDirection w:val="lrTb"/>
            <w:noWrap w:val="false"/>
          </w:tcPr>
          <w:p>
            <w:pPr>
              <w:jc w:val="left"/>
              <w:spacing w:line="56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p>
        </w:tc>
      </w:tr>
    </w:tbl>
    <w:p>
      <w:pPr>
        <w:pStyle w:val="922"/>
        <w:ind w:firstLine="643"/>
        <w:spacing w:before="0" w:after="0" w:line="560" w:lineRule="exact"/>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政府采购政策功能落实</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1.小微型企业价格扣除</w:t>
      </w:r>
      <w:r/>
    </w:p>
    <w:p>
      <w:pPr>
        <w:pStyle w:val="922"/>
        <w:ind w:firstLine="640"/>
        <w:spacing w:before="0" w:after="0" w:line="560" w:lineRule="exact"/>
        <w:rPr>
          <w:rFonts w:ascii="宋体" w:hAnsi="宋体"/>
          <w:sz w:val="32"/>
          <w:szCs w:val="32"/>
          <w:highlight w:val="none"/>
        </w:rPr>
      </w:pPr>
      <w:r>
        <w:rPr>
          <w:rFonts w:hint="eastAsia" w:ascii="方正仿宋_GBK" w:hAnsi="方正仿宋_GBK" w:eastAsia="方正仿宋_GBK" w:cs="方正仿宋_GBK"/>
          <w:color w:val="000000"/>
          <w:sz w:val="32"/>
          <w:szCs w:val="32"/>
          <w:highlight w:val="none"/>
        </w:rPr>
        <w:t xml:space="preserve">（1）本项目对小型和微型企业提供的服务给予10%的扣除价格，用扣除后的价格参与评审。</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（2）供应商需按照采购文件的要求提供相应的《中小微企业声明函》。</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2.残疾人福利单位价格扣除</w:t>
      </w:r>
      <w:r/>
    </w:p>
    <w:p>
      <w:pPr>
        <w:pStyle w:val="922"/>
        <w:ind w:firstLine="640"/>
        <w:spacing w:before="0" w:after="0" w:line="560" w:lineRule="exact"/>
        <w:rPr>
          <w:rFonts w:ascii="宋体" w:hAnsi="宋体"/>
          <w:sz w:val="32"/>
          <w:szCs w:val="32"/>
          <w:highlight w:val="none"/>
        </w:rPr>
      </w:pPr>
      <w:r>
        <w:rPr>
          <w:rFonts w:hint="eastAsia" w:ascii="方正仿宋_GBK" w:hAnsi="方正仿宋_GBK" w:eastAsia="方正仿宋_GBK" w:cs="方正仿宋_GBK"/>
          <w:color w:val="000000"/>
          <w:sz w:val="32"/>
          <w:szCs w:val="32"/>
          <w:highlight w:val="none"/>
        </w:rPr>
        <w:t xml:space="preserve">（1）本项目对残疾人福利性单位视同小型、微型企业，给予10%的价格扣除，用扣除后的价格参与评审。</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（2）残疾人福利单位需按照采购文件的要求提供《残疾人福利性单位声明函》。</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（3）残疾人福利单位标准请参照《关于促进残疾人就业政府采购政策的通知》（财库〔2017〕141号）。</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3.监狱和戒毒企业价格扣除</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（1）本项目对监狱和戒毒企业（简称监狱企业）视同小型、微型企业，给予10%的价格扣除，用扣除后的价格参与评审。</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（3）监狱企业标准请参照《关于政府采购支持监狱企业发展有关问题的通知》（财库〔2014〕68号）。</w:t>
      </w:r>
      <w:r/>
    </w:p>
    <w:p>
      <w:pPr>
        <w:pStyle w:val="922"/>
        <w:ind w:firstLine="640"/>
        <w:spacing w:before="0" w:after="0"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4.残疾人福利单位、监狱企业属于小型、微型企业的，不重复享受政策。</w:t>
      </w:r>
      <w:r/>
    </w:p>
    <w:p>
      <w:pPr>
        <w:pStyle w:val="922"/>
        <w:ind w:firstLine="640"/>
        <w:spacing w:before="0" w:after="0" w:line="560" w:lineRule="exact"/>
        <w:rPr>
          <w:rFonts w:ascii="宋体" w:hAnsi="宋体"/>
          <w:sz w:val="32"/>
          <w:szCs w:val="32"/>
          <w:highlight w:val="none"/>
        </w:rPr>
      </w:pPr>
      <w:r>
        <w:rPr>
          <w:rFonts w:hint="eastAsia" w:ascii="方正仿宋_GBK" w:hAnsi="方正仿宋_GBK" w:eastAsia="方正仿宋_GBK" w:cs="方正仿宋_GBK"/>
          <w:color w:val="000000"/>
          <w:sz w:val="32"/>
          <w:szCs w:val="32"/>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22"/>
        <w:ind w:firstLine="640"/>
        <w:spacing w:before="0" w:after="0" w:line="560" w:lineRule="exact"/>
        <w:rPr>
          <w:rFonts w:ascii="宋体" w:hAnsi="宋体"/>
          <w:sz w:val="32"/>
          <w:szCs w:val="32"/>
          <w:highlight w:val="none"/>
        </w:rPr>
      </w:pPr>
      <w:r>
        <w:rPr>
          <w:rFonts w:hint="eastAsia" w:ascii="方正仿宋_GBK" w:hAnsi="方正仿宋_GBK" w:eastAsia="方正仿宋_GBK" w:cs="方正仿宋_GBK"/>
          <w:color w:val="000000"/>
          <w:sz w:val="32"/>
          <w:szCs w:val="32"/>
          <w:highlight w:val="none"/>
        </w:rPr>
        <w:t xml:space="preserve">6.联合体各方均为小型、微型企业（残疾人福利单位、监狱企业）的，联合体享受10%价格扣除，用扣除后的价格参与评审。</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7.采购本国产品的支持政策</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32"/>
          <w:szCs w:val="32"/>
          <w:highlight w:val="none"/>
          <w:u w:val="single"/>
        </w:rPr>
        <w:t xml:space="preserve">80%</w:t>
      </w:r>
      <w:r>
        <w:rPr>
          <w:rFonts w:hint="eastAsia" w:ascii="方正仿宋_GBK" w:hAnsi="方正仿宋_GBK" w:eastAsia="方正仿宋_GBK" w:cs="方正仿宋_GBK"/>
          <w:sz w:val="32"/>
          <w:szCs w:val="32"/>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32"/>
          <w:szCs w:val="32"/>
          <w:highlight w:val="none"/>
          <w:u w:val="single"/>
        </w:rPr>
        <w:t xml:space="preserve">20%</w:t>
      </w:r>
      <w:r>
        <w:rPr>
          <w:rFonts w:hint="eastAsia" w:ascii="方正仿宋_GBK" w:hAnsi="方正仿宋_GBK" w:eastAsia="方正仿宋_GBK" w:cs="方正仿宋_GBK"/>
          <w:sz w:val="32"/>
          <w:szCs w:val="32"/>
          <w:highlight w:val="none"/>
        </w:rPr>
        <w:t xml:space="preserve">的价格扣除，用扣除后的价格参与评审。供应商未填写比例数值，或比例数值不足</w:t>
      </w:r>
      <w:r>
        <w:rPr>
          <w:rFonts w:hint="eastAsia" w:ascii="方正仿宋_GBK" w:hAnsi="方正仿宋_GBK" w:eastAsia="方正仿宋_GBK" w:cs="方正仿宋_GBK"/>
          <w:sz w:val="32"/>
          <w:szCs w:val="32"/>
          <w:highlight w:val="none"/>
          <w:u w:val="single"/>
        </w:rPr>
        <w:t xml:space="preserve">80%</w:t>
      </w:r>
      <w:r>
        <w:rPr>
          <w:rFonts w:hint="eastAsia" w:ascii="方正仿宋_GBK" w:hAnsi="方正仿宋_GBK" w:eastAsia="方正仿宋_GBK" w:cs="方正仿宋_GBK"/>
          <w:sz w:val="32"/>
          <w:szCs w:val="32"/>
          <w:highlight w:val="none"/>
        </w:rPr>
        <w:t xml:space="preserve">的，将不享受本国产品价格评审优惠。</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7.2 供应商需按照招标文件的要求提供《关于符合本国产品标准的声明函》（以下简称《声明函》），如不提供将不享受本国产品价格评审优惠。</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sz w:val="32"/>
          <w:szCs w:val="32"/>
          <w:highlight w:val="none"/>
          <w:u w:val="single"/>
        </w:rPr>
        <w:t xml:space="preserve">“  /  ”</w:t>
      </w:r>
      <w:r>
        <w:rPr>
          <w:rFonts w:hint="eastAsia" w:ascii="方正仿宋_GBK" w:hAnsi="方正仿宋_GBK" w:eastAsia="方正仿宋_GBK" w:cs="方正仿宋_GBK"/>
          <w:sz w:val="32"/>
          <w:szCs w:val="32"/>
          <w:highlight w:val="none"/>
        </w:rPr>
        <w:t xml:space="preserve">的地方无需填写），三项信息中任意一项未填写的视为该项产品不符合本国产品标准，不享受本国产品价格评审优惠。</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43"/>
        <w:jc w:val="left"/>
        <w:spacing w:before="120" w:after="120" w:line="0" w:lineRule="atLeast"/>
        <w:rPr>
          <w:rFonts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评标方法与评标标准</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（一）投标报价（10分）</w:t>
      </w:r>
      <w:r/>
    </w:p>
    <w:p>
      <w:pPr>
        <w:ind w:firstLine="641"/>
        <w:jc w:val="both"/>
        <w:keepLines w:val="0"/>
        <w:keepNext w:val="0"/>
        <w:pageBreakBefore w:val="0"/>
        <w:spacing w:line="560" w:lineRule="exact"/>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1.1价格分采用低价优先法计算，即满足招标文件要求且报价最低的供应商报价为评标基准价，其价格分为满分10分，其他</w:t>
      </w:r>
      <w:r>
        <w:rPr>
          <w:rFonts w:hint="eastAsia" w:ascii="方正仿宋_GBK" w:hAnsi="方正仿宋_GBK" w:eastAsia="方正仿宋_GBK" w:cs="方正仿宋_GBK"/>
          <w:sz w:val="32"/>
          <w:szCs w:val="32"/>
          <w:highlight w:val="none"/>
          <w:lang w:val="en-US" w:eastAsia="zh-CN"/>
        </w:rPr>
        <w:t xml:space="preserve">投标人</w:t>
      </w:r>
      <w:r>
        <w:rPr>
          <w:rFonts w:hint="eastAsia" w:ascii="方正仿宋_GBK" w:hAnsi="方正仿宋_GBK" w:eastAsia="方正仿宋_GBK" w:cs="方正仿宋_GBK"/>
          <w:sz w:val="32"/>
          <w:szCs w:val="32"/>
          <w:highlight w:val="none"/>
        </w:rPr>
        <w:t xml:space="preserve">的价格分统一按照以下公式计算：报价得分=（评标基准价/该供应商的投标报价）×10分。（保留小数点后两位</w:t>
      </w:r>
      <w:bookmarkStart w:id="369" w:name="_GoBack"/>
      <w:r/>
      <w:bookmarkEnd w:id="369"/>
      <w:r>
        <w:rPr>
          <w:rFonts w:hint="eastAsia" w:ascii="方正仿宋_GBK" w:hAnsi="方正仿宋_GBK" w:eastAsia="方正仿宋_GBK" w:cs="方正仿宋_GBK"/>
          <w:sz w:val="32"/>
          <w:szCs w:val="32"/>
          <w:highlight w:val="none"/>
        </w:rPr>
        <w:t xml:space="preserve">）。</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（二）服务方案（31分）</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评委根据投标文件对招标文件第四章“采购需求”中“设计方案”要求的响应情况进行评审：</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w:t>
      </w:r>
      <w:bookmarkStart w:id="236" w:name="OLE_LINK38"/>
      <w:r/>
      <w:bookmarkStart w:id="237" w:name="OLE_LINK37"/>
      <w:r>
        <w:rPr>
          <w:rFonts w:hint="eastAsia" w:ascii="方正仿宋_GBK" w:hAnsi="方正仿宋_GBK" w:eastAsia="方正仿宋_GBK" w:cs="方正仿宋_GBK"/>
          <w:sz w:val="32"/>
          <w:szCs w:val="32"/>
          <w:highlight w:val="none"/>
        </w:rPr>
        <w:t xml:space="preserve">项目总体实施方案</w:t>
      </w:r>
      <w:bookmarkEnd w:id="236"/>
      <w:r/>
      <w:bookmarkEnd w:id="237"/>
      <w:r>
        <w:rPr>
          <w:rFonts w:hint="eastAsia" w:ascii="方正仿宋_GBK" w:hAnsi="方正仿宋_GBK" w:eastAsia="方正仿宋_GBK" w:cs="方正仿宋_GBK"/>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bookmarkStart w:id="238" w:name="OLE_LINK39"/>
      <w:r/>
      <w:bookmarkStart w:id="239" w:name="OLE_LINK82"/>
      <w:r/>
      <w:bookmarkStart w:id="240" w:name="OLE_LINK21"/>
      <w:r>
        <w:rPr>
          <w:rFonts w:hint="eastAsia" w:ascii="方正仿宋_GBK" w:hAnsi="方正仿宋_GBK" w:eastAsia="方正仿宋_GBK" w:cs="方正仿宋_GBK"/>
          <w:sz w:val="32"/>
          <w:szCs w:val="32"/>
          <w:highlight w:val="none"/>
        </w:rPr>
        <w:t xml:space="preserve">（1）投标文件未符合“项目总体实施方案”中全部条款要求的，视为不符合招标文件，本项得0分。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（2）投标文件符合“项目总体实施方案”中全部条款要求的，视为符合招标文件，本项得1分。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（3）经评委认定，投标文件对“项目总体实施方案”中</w:t>
      </w:r>
      <w:bookmarkStart w:id="241" w:name="OLE_LINK110"/>
      <w:r/>
      <w:bookmarkStart w:id="242" w:name="OLE_LINK107"/>
      <w:r>
        <w:rPr>
          <w:rFonts w:hint="eastAsia" w:ascii="方正仿宋_GBK" w:hAnsi="方正仿宋_GBK" w:eastAsia="方正仿宋_GBK" w:cs="方正仿宋_GBK"/>
          <w:sz w:val="32"/>
          <w:szCs w:val="32"/>
          <w:highlight w:val="none"/>
        </w:rPr>
        <w:t xml:space="preserve">“管理标准”、“运作模式”、“员工培训”</w:t>
      </w:r>
      <w:bookmarkEnd w:id="241"/>
      <w:r/>
      <w:bookmarkEnd w:id="242"/>
      <w:r>
        <w:rPr>
          <w:rFonts w:hint="eastAsia" w:ascii="方正仿宋_GBK" w:hAnsi="方正仿宋_GBK" w:eastAsia="方正仿宋_GBK" w:cs="方正仿宋_GBK"/>
          <w:sz w:val="32"/>
          <w:szCs w:val="32"/>
          <w:highlight w:val="none"/>
        </w:rPr>
        <w:t xml:space="preserve">三项要求的响应内容全部优于招标文件要求的（投标文件对“项目总体实施方案”中除“管理标准”、“运作模式”、“员工培训”外其他要求响应内容符合招标文件要求），本项得3分。</w:t>
      </w:r>
      <w:bookmarkEnd w:id="238"/>
      <w:r/>
      <w:bookmarkEnd w:id="239"/>
      <w:r/>
      <w:bookmarkEnd w:id="240"/>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w:t>
      </w:r>
      <w:bookmarkStart w:id="243" w:name="OLE_LINK87"/>
      <w:r/>
      <w:bookmarkStart w:id="244" w:name="OLE_LINK90"/>
      <w:r/>
      <w:bookmarkStart w:id="245" w:name="OLE_LINK56"/>
      <w:r/>
      <w:bookmarkStart w:id="246" w:name="OLE_LINK55"/>
      <w:r>
        <w:rPr>
          <w:rFonts w:hint="eastAsia" w:ascii="方正仿宋_GBK" w:hAnsi="方正仿宋_GBK" w:eastAsia="方正仿宋_GBK" w:cs="方正仿宋_GBK"/>
          <w:sz w:val="32"/>
          <w:szCs w:val="32"/>
          <w:highlight w:val="none"/>
        </w:rPr>
        <w:t xml:space="preserve">人员配置</w:t>
      </w:r>
      <w:bookmarkEnd w:id="243"/>
      <w:r/>
      <w:bookmarkEnd w:id="244"/>
      <w:r>
        <w:rPr>
          <w:rFonts w:hint="eastAsia" w:ascii="方正仿宋_GBK" w:hAnsi="方正仿宋_GBK" w:eastAsia="方正仿宋_GBK" w:cs="方正仿宋_GBK"/>
          <w:sz w:val="32"/>
          <w:szCs w:val="32"/>
          <w:highlight w:val="none"/>
        </w:rPr>
        <w:t xml:space="preserve">方案</w:t>
      </w:r>
      <w:bookmarkEnd w:id="245"/>
      <w:r/>
      <w:bookmarkEnd w:id="246"/>
      <w:r>
        <w:rPr>
          <w:rFonts w:hint="eastAsia" w:ascii="方正仿宋_GBK" w:hAnsi="方正仿宋_GBK" w:eastAsia="方正仿宋_GBK" w:cs="方正仿宋_GBK"/>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bookmarkStart w:id="247" w:name="OLE_LINK76"/>
      <w:r/>
      <w:bookmarkStart w:id="248" w:name="OLE_LINK77"/>
      <w:r>
        <w:rPr>
          <w:rFonts w:hint="eastAsia" w:ascii="方正仿宋_GBK" w:hAnsi="方正仿宋_GBK" w:eastAsia="方正仿宋_GBK" w:cs="方正仿宋_GBK"/>
          <w:sz w:val="32"/>
          <w:szCs w:val="32"/>
          <w:highlight w:val="none"/>
        </w:rPr>
        <w:t xml:space="preserve">（1）投标文件未符合“人员配置方案”中全部条款要求的，视为不符合招标文件，本项得0分。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（2）投标文件符合“人员配置方案”中全部条款要求的，视为符合招标文件，本项得1分。</w:t>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（3）经评委认定，投标文件对“人员配置方案”中</w:t>
      </w:r>
      <w:bookmarkStart w:id="249" w:name="OLE_LINK115"/>
      <w:r/>
      <w:bookmarkStart w:id="250" w:name="OLE_LINK111"/>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lang w:val="en-US" w:eastAsia="zh-CN"/>
        </w:rPr>
        <w:t xml:space="preserve">人员年龄</w:t>
      </w:r>
      <w:r>
        <w:rPr>
          <w:rFonts w:hint="eastAsia" w:ascii="方正仿宋_GBK" w:hAnsi="方正仿宋_GBK" w:eastAsia="方正仿宋_GBK" w:cs="方正仿宋_GBK"/>
          <w:sz w:val="32"/>
          <w:szCs w:val="32"/>
          <w:highlight w:val="none"/>
        </w:rPr>
        <w:t xml:space="preserve">”、“工作特长”、“后备机动人员配置”</w:t>
      </w:r>
      <w:bookmarkEnd w:id="249"/>
      <w:r/>
      <w:bookmarkEnd w:id="250"/>
      <w:r>
        <w:rPr>
          <w:rFonts w:hint="eastAsia" w:ascii="方正仿宋_GBK" w:hAnsi="方正仿宋_GBK" w:eastAsia="方正仿宋_GBK" w:cs="方正仿宋_GBK"/>
          <w:sz w:val="32"/>
          <w:szCs w:val="32"/>
          <w:highlight w:val="none"/>
        </w:rPr>
        <w:t xml:space="preserve">三项要求的响应内容全部优于招标文件要求的（投标文件对“人员配置方案”中除“</w:t>
      </w:r>
      <w:r>
        <w:rPr>
          <w:rFonts w:hint="eastAsia" w:ascii="方正仿宋_GBK" w:hAnsi="方正仿宋_GBK" w:eastAsia="方正仿宋_GBK" w:cs="方正仿宋_GBK"/>
          <w:sz w:val="32"/>
          <w:szCs w:val="32"/>
          <w:highlight w:val="none"/>
          <w:lang w:val="en-US" w:eastAsia="zh-CN"/>
        </w:rPr>
        <w:t xml:space="preserve">人员年龄</w:t>
      </w:r>
      <w:r>
        <w:rPr>
          <w:rFonts w:hint="eastAsia" w:ascii="方正仿宋_GBK" w:hAnsi="方正仿宋_GBK" w:eastAsia="方正仿宋_GBK" w:cs="方正仿宋_GBK"/>
          <w:sz w:val="32"/>
          <w:szCs w:val="32"/>
          <w:highlight w:val="none"/>
        </w:rPr>
        <w:t xml:space="preserve">”、“工作特长”、“后备机动人员配置”外其他要求响应内容符合招标文件要求），本项得3分。</w:t>
      </w:r>
      <w:bookmarkEnd w:id="247"/>
      <w:r/>
      <w:bookmarkEnd w:id="248"/>
      <w:r/>
      <w:r/>
    </w:p>
    <w:p>
      <w:pPr>
        <w:ind w:firstLine="640"/>
        <w:jc w:val="lef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2.3</w:t>
      </w:r>
      <w:bookmarkStart w:id="251" w:name="OLE_LINK92"/>
      <w:r/>
      <w:bookmarkStart w:id="252" w:name="OLE_LINK102"/>
      <w:r/>
      <w:bookmarkStart w:id="253" w:name="OLE_LINK91"/>
      <w:r>
        <w:rPr>
          <w:rFonts w:hint="eastAsia" w:ascii="方正仿宋_GBK" w:hAnsi="方正仿宋_GBK" w:eastAsia="方正仿宋_GBK" w:cs="方正仿宋_GBK"/>
          <w:sz w:val="32"/>
          <w:szCs w:val="32"/>
          <w:highlight w:val="none"/>
        </w:rPr>
        <w:t xml:space="preserve">维护维修方案</w:t>
      </w:r>
      <w:bookmarkEnd w:id="251"/>
      <w:r/>
      <w:bookmarkEnd w:id="252"/>
      <w:r/>
      <w:bookmarkEnd w:id="253"/>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54" w:name="OLE_LINK121"/>
      <w:r/>
      <w:bookmarkStart w:id="255" w:name="OLE_LINK122"/>
      <w:r/>
      <w:bookmarkStart w:id="256" w:name="OLE_LINK103"/>
      <w:r/>
      <w:bookmarkStart w:id="257" w:name="OLE_LINK104"/>
      <w:r>
        <w:rPr>
          <w:rFonts w:hint="eastAsia" w:ascii="方正仿宋_GBK" w:hAnsi="方正仿宋_GBK" w:eastAsia="方正仿宋_GBK" w:cs="方正仿宋_GBK"/>
          <w:sz w:val="32"/>
          <w:szCs w:val="32"/>
          <w:highlight w:val="none"/>
        </w:rPr>
        <w:t xml:space="preserve">（1）投标文件未符合“维护维修方案”中全部条款要求的，视为不符合招标文件，本项得0分。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（2）投标文件符合“维护维修方案”中全部条款要求的，视为符合招标文件，本项得1分。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（3）经评委认定，投标文件对“维护维修方案”中</w:t>
      </w:r>
      <w:bookmarkStart w:id="258" w:name="OLE_LINK118"/>
      <w:r/>
      <w:bookmarkStart w:id="259" w:name="OLE_LINK119"/>
      <w:r>
        <w:rPr>
          <w:rFonts w:hint="eastAsia" w:ascii="方正仿宋_GBK" w:hAnsi="方正仿宋_GBK" w:eastAsia="方正仿宋_GBK" w:cs="方正仿宋_GBK"/>
          <w:sz w:val="32"/>
          <w:szCs w:val="32"/>
          <w:highlight w:val="none"/>
        </w:rPr>
        <w:t xml:space="preserve">“空调维护维修”、“监控维护维修”、“多媒体系统维护维修”</w:t>
      </w:r>
      <w:bookmarkEnd w:id="258"/>
      <w:r/>
      <w:bookmarkEnd w:id="259"/>
      <w:r>
        <w:rPr>
          <w:rFonts w:hint="eastAsia" w:ascii="方正仿宋_GBK" w:hAnsi="方正仿宋_GBK" w:eastAsia="方正仿宋_GBK" w:cs="方正仿宋_GBK"/>
          <w:sz w:val="32"/>
          <w:szCs w:val="32"/>
          <w:highlight w:val="none"/>
        </w:rPr>
        <w:t xml:space="preserve">三项要求的响应内容全部优于招标文件要求的（投标文件对“维护维修方案”中除“空调维护维修”、“监控维护维修”、“多媒体系统维护维修”外其他要求响应内容符合招标文件要求），本项得2分。</w:t>
      </w:r>
      <w:bookmarkEnd w:id="254"/>
      <w:r/>
      <w:bookmarkEnd w:id="255"/>
      <w:r/>
      <w:bookmarkEnd w:id="256"/>
      <w:r/>
      <w:bookmarkEnd w:id="257"/>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2.4</w:t>
      </w:r>
      <w:bookmarkStart w:id="260" w:name="OLE_LINK105"/>
      <w:r/>
      <w:bookmarkStart w:id="261" w:name="OLE_LINK106"/>
      <w:r/>
      <w:bookmarkStart w:id="262" w:name="OLE_LINK124"/>
      <w:r/>
      <w:bookmarkStart w:id="263" w:name="OLE_LINK123"/>
      <w:r>
        <w:rPr>
          <w:rFonts w:hint="eastAsia" w:ascii="方正仿宋_GBK" w:hAnsi="方正仿宋_GBK" w:eastAsia="方正仿宋_GBK" w:cs="方正仿宋_GBK"/>
          <w:sz w:val="32"/>
          <w:szCs w:val="32"/>
          <w:highlight w:val="none"/>
        </w:rPr>
        <w:t xml:space="preserve">保洁服务</w:t>
      </w:r>
      <w:bookmarkEnd w:id="260"/>
      <w:r/>
      <w:bookmarkEnd w:id="261"/>
      <w:r>
        <w:rPr>
          <w:rFonts w:hint="eastAsia" w:ascii="方正仿宋_GBK" w:hAnsi="方正仿宋_GBK" w:eastAsia="方正仿宋_GBK" w:cs="方正仿宋_GBK"/>
          <w:sz w:val="32"/>
          <w:szCs w:val="32"/>
          <w:highlight w:val="none"/>
        </w:rPr>
        <w:t xml:space="preserve">方案</w:t>
      </w:r>
      <w:bookmarkEnd w:id="262"/>
      <w:r/>
      <w:bookmarkEnd w:id="263"/>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64" w:name="OLE_LINK127"/>
      <w:r/>
      <w:bookmarkStart w:id="265" w:name="OLE_LINK128"/>
      <w:r>
        <w:rPr>
          <w:rFonts w:hint="eastAsia" w:ascii="方正仿宋_GBK" w:hAnsi="方正仿宋_GBK" w:eastAsia="方正仿宋_GBK" w:cs="方正仿宋_GBK"/>
          <w:sz w:val="32"/>
          <w:szCs w:val="32"/>
          <w:highlight w:val="none"/>
        </w:rPr>
        <w:t xml:space="preserve">（1）投标文件未符合“保洁服务方案”中全部条款要求的，视为不符合招标文件，本项得0分。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w:t>
      </w:r>
      <w:bookmarkStart w:id="266" w:name="OLE_LINK125"/>
      <w:r/>
      <w:bookmarkStart w:id="267" w:name="OLE_LINK126"/>
      <w:r>
        <w:rPr>
          <w:rFonts w:hint="eastAsia" w:ascii="方正仿宋_GBK" w:hAnsi="方正仿宋_GBK" w:eastAsia="方正仿宋_GBK" w:cs="方正仿宋_GBK"/>
          <w:sz w:val="32"/>
          <w:szCs w:val="32"/>
          <w:highlight w:val="none"/>
        </w:rPr>
        <w:t xml:space="preserve">保洁服务方案</w:t>
      </w:r>
      <w:bookmarkEnd w:id="266"/>
      <w:r/>
      <w:bookmarkEnd w:id="267"/>
      <w:r>
        <w:rPr>
          <w:rFonts w:hint="eastAsia" w:ascii="方正仿宋_GBK" w:hAnsi="方正仿宋_GBK" w:eastAsia="方正仿宋_GBK" w:cs="方正仿宋_GBK"/>
          <w:sz w:val="32"/>
          <w:szCs w:val="32"/>
          <w:highlight w:val="none"/>
        </w:rPr>
        <w:t xml:space="preserve">”中全部条款要求的，视为符合招标文件，本项得1分。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（3）经评委认定，投标文件对“保洁服务方案”中</w:t>
      </w:r>
      <w:bookmarkStart w:id="268" w:name="OLE_LINK164"/>
      <w:r/>
      <w:bookmarkStart w:id="269" w:name="OLE_LINK120"/>
      <w:r>
        <w:rPr>
          <w:rFonts w:hint="eastAsia" w:ascii="方正仿宋_GBK" w:hAnsi="方正仿宋_GBK" w:eastAsia="方正仿宋_GBK" w:cs="方正仿宋_GBK"/>
          <w:sz w:val="32"/>
          <w:szCs w:val="32"/>
          <w:highlight w:val="none"/>
        </w:rPr>
        <w:t xml:space="preserve">“电梯厅保洁”、“会议室保洁”、“垃圾清理”</w:t>
      </w:r>
      <w:bookmarkEnd w:id="268"/>
      <w:r/>
      <w:bookmarkEnd w:id="269"/>
      <w:r>
        <w:rPr>
          <w:rFonts w:hint="eastAsia" w:ascii="方正仿宋_GBK" w:hAnsi="方正仿宋_GBK" w:eastAsia="方正仿宋_GBK" w:cs="方正仿宋_GBK"/>
          <w:sz w:val="32"/>
          <w:szCs w:val="32"/>
          <w:highlight w:val="none"/>
        </w:rPr>
        <w:t xml:space="preserve">三项要求的响应内容全部优于招标文件要求的（投标文件对“保洁服务方案”中除“电梯厅保洁”、“会议室保洁”、“垃圾清理”外其他要求响应内容符合招标文件要求），本项得2分。</w:t>
      </w:r>
      <w:bookmarkEnd w:id="264"/>
      <w:r/>
      <w:bookmarkEnd w:id="265"/>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2.5</w:t>
      </w:r>
      <w:bookmarkStart w:id="270" w:name="OLE_LINK129"/>
      <w:r/>
      <w:bookmarkStart w:id="271" w:name="OLE_LINK130"/>
      <w:r>
        <w:rPr>
          <w:rFonts w:hint="eastAsia" w:ascii="方正仿宋_GBK" w:hAnsi="方正仿宋_GBK" w:eastAsia="方正仿宋_GBK" w:cs="方正仿宋_GBK"/>
          <w:sz w:val="32"/>
          <w:szCs w:val="32"/>
          <w:highlight w:val="none"/>
        </w:rPr>
        <w:t xml:space="preserve">安保服务方案</w:t>
      </w:r>
      <w:bookmarkEnd w:id="270"/>
      <w:r/>
      <w:bookmarkEnd w:id="271"/>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72" w:name="OLE_LINK133"/>
      <w:r/>
      <w:bookmarkStart w:id="273" w:name="OLE_LINK134"/>
      <w:r>
        <w:rPr>
          <w:rFonts w:hint="eastAsia" w:ascii="方正仿宋_GBK" w:hAnsi="方正仿宋_GBK" w:eastAsia="方正仿宋_GBK" w:cs="方正仿宋_GBK"/>
          <w:sz w:val="32"/>
          <w:szCs w:val="32"/>
          <w:highlight w:val="none"/>
        </w:rPr>
        <w:t xml:space="preserve">（1）投标文件未符合“</w:t>
      </w:r>
      <w:bookmarkStart w:id="274" w:name="OLE_LINK132"/>
      <w:r/>
      <w:bookmarkStart w:id="275" w:name="OLE_LINK131"/>
      <w:r>
        <w:rPr>
          <w:rFonts w:hint="eastAsia" w:ascii="方正仿宋_GBK" w:hAnsi="方正仿宋_GBK" w:eastAsia="方正仿宋_GBK" w:cs="方正仿宋_GBK"/>
          <w:sz w:val="32"/>
          <w:szCs w:val="32"/>
          <w:highlight w:val="none"/>
        </w:rPr>
        <w:t xml:space="preserve">安保服务方案</w:t>
      </w:r>
      <w:bookmarkEnd w:id="274"/>
      <w:r/>
      <w:bookmarkEnd w:id="275"/>
      <w:r>
        <w:rPr>
          <w:rFonts w:hint="eastAsia" w:ascii="方正仿宋_GBK" w:hAnsi="方正仿宋_GBK" w:eastAsia="方正仿宋_GBK" w:cs="方正仿宋_GBK"/>
          <w:sz w:val="32"/>
          <w:szCs w:val="32"/>
          <w:highlight w:val="none"/>
        </w:rPr>
        <w:t xml:space="preserve">”中全部条款要求的，视为不符合招标文件，本项得0分。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（2）投标文件符合“安保服务方案”中全部条款要求的，视为符合招标文件，本项得1分。</w:t>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（3）经评委认定，投标文件对“安保服务方案”中</w:t>
      </w:r>
      <w:bookmarkStart w:id="276" w:name="OLE_LINK165"/>
      <w:r/>
      <w:bookmarkStart w:id="277" w:name="OLE_LINK166"/>
      <w:r>
        <w:rPr>
          <w:rFonts w:hint="eastAsia" w:ascii="方正仿宋_GBK" w:hAnsi="方正仿宋_GBK" w:eastAsia="方正仿宋_GBK" w:cs="方正仿宋_GBK"/>
          <w:sz w:val="32"/>
          <w:szCs w:val="32"/>
          <w:highlight w:val="none"/>
        </w:rPr>
        <w:t xml:space="preserve">“人员管理”、“监控中心管理”、“车辆管理”</w:t>
      </w:r>
      <w:bookmarkEnd w:id="276"/>
      <w:r/>
      <w:bookmarkEnd w:id="277"/>
      <w:r>
        <w:rPr>
          <w:rFonts w:hint="eastAsia" w:ascii="方正仿宋_GBK" w:hAnsi="方正仿宋_GBK" w:eastAsia="方正仿宋_GBK" w:cs="方正仿宋_GBK"/>
          <w:sz w:val="32"/>
          <w:szCs w:val="32"/>
          <w:highlight w:val="none"/>
        </w:rPr>
        <w:t xml:space="preserve">三项要求的响应内容全部优于招标文件要求的（投标文件对“安保服务方案”中除“人员管理”、“监控中心管理”、“车辆管理”外其他要求响应内容符合招标文件要求），本项得2分。</w:t>
      </w:r>
      <w:bookmarkEnd w:id="272"/>
      <w:r/>
      <w:bookmarkEnd w:id="273"/>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2.6</w:t>
      </w:r>
      <w:bookmarkStart w:id="278" w:name="OLE_LINK135"/>
      <w:r/>
      <w:bookmarkStart w:id="279" w:name="OLE_LINK136"/>
      <w:r/>
      <w:bookmarkStart w:id="280" w:name="OLE_LINK179"/>
      <w:r>
        <w:rPr>
          <w:rFonts w:hint="eastAsia" w:ascii="方正仿宋_GBK" w:hAnsi="方正仿宋_GBK" w:eastAsia="方正仿宋_GBK" w:cs="方正仿宋_GBK"/>
          <w:sz w:val="32"/>
          <w:szCs w:val="32"/>
          <w:highlight w:val="none"/>
        </w:rPr>
        <w:t xml:space="preserve">会议服务方案</w:t>
      </w:r>
      <w:bookmarkEnd w:id="278"/>
      <w:r/>
      <w:bookmarkEnd w:id="279"/>
      <w:r/>
      <w:bookmarkEnd w:id="280"/>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81" w:name="OLE_LINK137"/>
      <w:r/>
      <w:bookmarkStart w:id="282" w:name="OLE_LINK138"/>
      <w:r>
        <w:rPr>
          <w:rFonts w:hint="eastAsia" w:ascii="方正仿宋_GBK" w:hAnsi="方正仿宋_GBK" w:eastAsia="方正仿宋_GBK" w:cs="方正仿宋_GBK"/>
          <w:sz w:val="32"/>
          <w:szCs w:val="32"/>
          <w:highlight w:val="none"/>
        </w:rPr>
        <w:t xml:space="preserve">（1）投标文件未符合“会议服务方案”中全部条款要求的，视为不符合招标文件，本项得0分。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（2）投标文件符合“会议服务方案”中全部条款要求的，视为符合招标文件，本项得1分。</w:t>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（3）经评委认定，投标文件对“会议服务方案”中</w:t>
      </w:r>
      <w:bookmarkStart w:id="283" w:name="OLE_LINK182"/>
      <w:r/>
      <w:bookmarkStart w:id="284" w:name="OLE_LINK183"/>
      <w:r>
        <w:rPr>
          <w:rFonts w:hint="eastAsia" w:ascii="方正仿宋_GBK" w:hAnsi="方正仿宋_GBK" w:eastAsia="方正仿宋_GBK" w:cs="方正仿宋_GBK"/>
          <w:sz w:val="32"/>
          <w:szCs w:val="32"/>
          <w:highlight w:val="none"/>
        </w:rPr>
        <w:t xml:space="preserve">“会前筹备服务”、“会中现场服务”、“会后收尾服务”</w:t>
      </w:r>
      <w:bookmarkEnd w:id="283"/>
      <w:r/>
      <w:bookmarkEnd w:id="284"/>
      <w:r>
        <w:rPr>
          <w:rFonts w:hint="eastAsia" w:ascii="方正仿宋_GBK" w:hAnsi="方正仿宋_GBK" w:eastAsia="方正仿宋_GBK" w:cs="方正仿宋_GBK"/>
          <w:sz w:val="32"/>
          <w:szCs w:val="32"/>
          <w:highlight w:val="none"/>
        </w:rPr>
        <w:t xml:space="preserve">三项要求的响应内容全部优于招标文件要求的（投标文件对“会议服务方案”中除“会前筹备服务”、“会中现场服务”、“会后收尾服务”外其他要求响应内容符合招标文件要求），本项得2分。</w:t>
      </w:r>
      <w:bookmarkEnd w:id="281"/>
      <w:r/>
      <w:bookmarkEnd w:id="282"/>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7</w:t>
      </w:r>
      <w:bookmarkStart w:id="285" w:name="OLE_LINK109"/>
      <w:r/>
      <w:bookmarkStart w:id="286" w:name="OLE_LINK108"/>
      <w:r/>
      <w:bookmarkStart w:id="287" w:name="OLE_LINK139"/>
      <w:r/>
      <w:bookmarkStart w:id="288" w:name="OLE_LINK140"/>
      <w:r>
        <w:rPr>
          <w:rFonts w:hint="eastAsia" w:ascii="方正仿宋_GBK" w:hAnsi="方正仿宋_GBK" w:eastAsia="方正仿宋_GBK" w:cs="方正仿宋_GBK"/>
          <w:sz w:val="32"/>
          <w:szCs w:val="32"/>
          <w:highlight w:val="none"/>
        </w:rPr>
        <w:t xml:space="preserve">节能减排及楼宇智能化管理</w:t>
      </w:r>
      <w:bookmarkEnd w:id="285"/>
      <w:r/>
      <w:bookmarkEnd w:id="286"/>
      <w:r>
        <w:rPr>
          <w:rFonts w:hint="eastAsia" w:ascii="方正仿宋_GBK" w:hAnsi="方正仿宋_GBK" w:eastAsia="方正仿宋_GBK" w:cs="方正仿宋_GBK"/>
          <w:sz w:val="32"/>
          <w:szCs w:val="32"/>
          <w:highlight w:val="none"/>
        </w:rPr>
        <w:t xml:space="preserve">方案</w:t>
      </w:r>
      <w:bookmarkEnd w:id="287"/>
      <w:r/>
      <w:bookmarkEnd w:id="288"/>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89" w:name="OLE_LINK141"/>
      <w:r/>
      <w:bookmarkStart w:id="290" w:name="OLE_LINK142"/>
      <w:r>
        <w:rPr>
          <w:rFonts w:hint="eastAsia" w:ascii="方正仿宋_GBK" w:hAnsi="方正仿宋_GBK" w:eastAsia="方正仿宋_GBK" w:cs="方正仿宋_GBK"/>
          <w:sz w:val="32"/>
          <w:szCs w:val="32"/>
          <w:highlight w:val="none"/>
        </w:rPr>
        <w:t xml:space="preserve">（1）投标文件未符合“节能减排及楼宇智能化管理方案”中全部条款要求的，视为不符合招标文件，本项得0分。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（2）投标文件符合“节能减排及楼宇智能化管理方案”中全部条款要求的，视为符合招标文件，本项得1分。</w:t>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（3）经评委认定，投标文件对“节能减排及楼宇智能化管理方案”中</w:t>
      </w:r>
      <w:bookmarkStart w:id="291" w:name="OLE_LINK188"/>
      <w:r/>
      <w:bookmarkStart w:id="292" w:name="OLE_LINK187"/>
      <w:r>
        <w:rPr>
          <w:rFonts w:hint="eastAsia" w:ascii="方正仿宋_GBK" w:hAnsi="方正仿宋_GBK" w:eastAsia="方正仿宋_GBK" w:cs="方正仿宋_GBK"/>
          <w:sz w:val="32"/>
          <w:szCs w:val="32"/>
          <w:highlight w:val="none"/>
        </w:rPr>
        <w:t xml:space="preserve">“水电气能耗管控”、“节能巡查计划”、“楼宇智能化系统管理”</w:t>
      </w:r>
      <w:bookmarkEnd w:id="291"/>
      <w:r/>
      <w:bookmarkEnd w:id="292"/>
      <w:r>
        <w:rPr>
          <w:rFonts w:hint="eastAsia" w:ascii="方正仿宋_GBK" w:hAnsi="方正仿宋_GBK" w:eastAsia="方正仿宋_GBK" w:cs="方正仿宋_GBK"/>
          <w:sz w:val="32"/>
          <w:szCs w:val="32"/>
          <w:highlight w:val="none"/>
        </w:rPr>
        <w:t xml:space="preserve">三项要求的响应内容全部优于招标文件要求的（投标文件对“节能减排及楼宇智能化管理方案”中除“水电气能耗管控”、“节能巡查计划”、“楼宇智能化系统管理”外其他要求响应内容符合招标文件要求），本项得2分。</w:t>
      </w:r>
      <w:bookmarkEnd w:id="289"/>
      <w:r/>
      <w:bookmarkEnd w:id="290"/>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8</w:t>
      </w:r>
      <w:bookmarkStart w:id="293" w:name="OLE_LINK143"/>
      <w:r/>
      <w:bookmarkStart w:id="294" w:name="OLE_LINK144"/>
      <w:r>
        <w:rPr>
          <w:rFonts w:hint="eastAsia" w:ascii="方正仿宋_GBK" w:hAnsi="方正仿宋_GBK" w:eastAsia="方正仿宋_GBK" w:cs="方正仿宋_GBK"/>
          <w:sz w:val="32"/>
          <w:szCs w:val="32"/>
          <w:highlight w:val="none"/>
        </w:rPr>
        <w:t xml:space="preserve">安检巡查方案</w:t>
      </w:r>
      <w:bookmarkEnd w:id="293"/>
      <w:r/>
      <w:bookmarkEnd w:id="294"/>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295" w:name="OLE_LINK145"/>
      <w:r/>
      <w:bookmarkStart w:id="296" w:name="OLE_LINK146"/>
      <w:r>
        <w:rPr>
          <w:rFonts w:hint="eastAsia" w:ascii="方正仿宋_GBK" w:hAnsi="方正仿宋_GBK" w:eastAsia="方正仿宋_GBK" w:cs="方正仿宋_GBK"/>
          <w:sz w:val="32"/>
          <w:szCs w:val="32"/>
          <w:highlight w:val="none"/>
        </w:rPr>
        <w:t xml:space="preserve">（1）投标文件未符合“安检巡查方案”中全部条款要求的，视为不符合招标文件，本项得0分。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（2）投标文件符合“安检巡查方案”中全部条款要求的，视为符合招标文件，本项得1分。</w:t>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（3）经评委认定，投标文件对“安检巡查方案”中</w:t>
      </w:r>
      <w:bookmarkStart w:id="297" w:name="OLE_LINK167"/>
      <w:r>
        <w:rPr>
          <w:rFonts w:hint="eastAsia" w:ascii="方正仿宋_GBK" w:hAnsi="方正仿宋_GBK" w:eastAsia="方正仿宋_GBK" w:cs="方正仿宋_GBK"/>
          <w:sz w:val="32"/>
          <w:szCs w:val="32"/>
          <w:highlight w:val="none"/>
        </w:rPr>
        <w:t xml:space="preserve">“人员安检”、“区域巡查”、“视频监控”</w:t>
      </w:r>
      <w:bookmarkEnd w:id="297"/>
      <w:r>
        <w:rPr>
          <w:rFonts w:hint="eastAsia" w:ascii="方正仿宋_GBK" w:hAnsi="方正仿宋_GBK" w:eastAsia="方正仿宋_GBK" w:cs="方正仿宋_GBK"/>
          <w:sz w:val="32"/>
          <w:szCs w:val="32"/>
          <w:highlight w:val="none"/>
        </w:rPr>
        <w:t xml:space="preserve">三项要求的响应内容全部优于招标文件要求的（投标文件对“安检巡查方案”中除“人员安检”、“区域巡查”、“视频监控”外其他要求响应内容符合招标文件要求），本项得2分。</w:t>
      </w:r>
      <w:bookmarkEnd w:id="295"/>
      <w:r/>
      <w:bookmarkEnd w:id="296"/>
      <w:r/>
      <w:r/>
    </w:p>
    <w:p>
      <w:pPr>
        <w:ind w:firstLine="645"/>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9</w:t>
      </w:r>
      <w:bookmarkStart w:id="298" w:name="OLE_LINK148"/>
      <w:r/>
      <w:bookmarkStart w:id="299" w:name="OLE_LINK147"/>
      <w:r>
        <w:rPr>
          <w:rFonts w:hint="eastAsia" w:ascii="方正仿宋_GBK" w:hAnsi="方正仿宋_GBK" w:eastAsia="方正仿宋_GBK" w:cs="方正仿宋_GBK"/>
          <w:sz w:val="32"/>
          <w:szCs w:val="32"/>
          <w:highlight w:val="none"/>
        </w:rPr>
        <w:t xml:space="preserve">值庭巡查方案</w:t>
      </w:r>
      <w:bookmarkEnd w:id="298"/>
      <w:r/>
      <w:bookmarkEnd w:id="299"/>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（1）投标文件未符合“值庭巡查方案”中全部条款要求的，视为不符合招标文件，本项得0分。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w:t>
      </w:r>
      <w:bookmarkStart w:id="300" w:name="OLE_LINK149"/>
      <w:r/>
      <w:bookmarkStart w:id="301" w:name="OLE_LINK150"/>
      <w:r>
        <w:rPr>
          <w:rFonts w:hint="eastAsia" w:ascii="方正仿宋_GBK" w:hAnsi="方正仿宋_GBK" w:eastAsia="方正仿宋_GBK" w:cs="方正仿宋_GBK"/>
          <w:sz w:val="32"/>
          <w:szCs w:val="32"/>
          <w:highlight w:val="none"/>
        </w:rPr>
        <w:t xml:space="preserve">值庭巡查方案</w:t>
      </w:r>
      <w:bookmarkEnd w:id="300"/>
      <w:r/>
      <w:bookmarkEnd w:id="301"/>
      <w:r>
        <w:rPr>
          <w:rFonts w:hint="eastAsia" w:ascii="方正仿宋_GBK" w:hAnsi="方正仿宋_GBK" w:eastAsia="方正仿宋_GBK" w:cs="方正仿宋_GBK"/>
          <w:sz w:val="32"/>
          <w:szCs w:val="32"/>
          <w:highlight w:val="none"/>
        </w:rPr>
        <w:t xml:space="preserve">”中全部条款要求的，视为符合招标文件，本项得1分。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（3）经评委认定，投标文件对“值庭巡查方案”中</w:t>
      </w:r>
      <w:bookmarkStart w:id="302" w:name="OLE_LINK169"/>
      <w:r/>
      <w:bookmarkStart w:id="303" w:name="OLE_LINK168"/>
      <w:r>
        <w:rPr>
          <w:rFonts w:hint="eastAsia" w:ascii="方正仿宋_GBK" w:hAnsi="方正仿宋_GBK" w:eastAsia="方正仿宋_GBK" w:cs="方正仿宋_GBK"/>
          <w:sz w:val="32"/>
          <w:szCs w:val="32"/>
          <w:highlight w:val="none"/>
        </w:rPr>
        <w:t xml:space="preserve">“值庭人员配置”、“重点区域巡查”、“庭审秩序维护”</w:t>
      </w:r>
      <w:bookmarkEnd w:id="302"/>
      <w:r/>
      <w:bookmarkEnd w:id="303"/>
      <w:r>
        <w:rPr>
          <w:rFonts w:hint="eastAsia" w:ascii="方正仿宋_GBK" w:hAnsi="方正仿宋_GBK" w:eastAsia="方正仿宋_GBK" w:cs="方正仿宋_GBK"/>
          <w:sz w:val="32"/>
          <w:szCs w:val="32"/>
          <w:highlight w:val="none"/>
        </w:rPr>
        <w:t xml:space="preserve">三项要求的响应内容全部优于招标文件要求的（投标文件对“值庭巡查方案”中除“值庭人员配置”、“重点区域巡查”、“庭审秩序维护”外其他要求响应内容符合招标文件要求），本项得2分。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10</w:t>
      </w:r>
      <w:bookmarkStart w:id="304" w:name="OLE_LINK151"/>
      <w:r/>
      <w:bookmarkStart w:id="305" w:name="OLE_LINK152"/>
      <w:r>
        <w:rPr>
          <w:rFonts w:hint="eastAsia" w:ascii="方正仿宋_GBK" w:hAnsi="方正仿宋_GBK" w:eastAsia="方正仿宋_GBK" w:cs="方正仿宋_GBK"/>
          <w:sz w:val="32"/>
          <w:szCs w:val="32"/>
          <w:highlight w:val="none"/>
        </w:rPr>
        <w:t xml:space="preserve">交接过渡方案</w:t>
      </w:r>
      <w:bookmarkEnd w:id="304"/>
      <w:r/>
      <w:bookmarkEnd w:id="305"/>
      <w:r>
        <w:rPr>
          <w:rFonts w:hint="eastAsia" w:ascii="方正仿宋_GBK" w:hAnsi="方正仿宋_GBK" w:eastAsia="方正仿宋_GBK" w:cs="方正仿宋_GBK"/>
          <w:sz w:val="32"/>
          <w:szCs w:val="32"/>
          <w:highlight w:val="none"/>
        </w:rPr>
        <w:t xml:space="preserve">（2分）</w:t>
      </w:r>
      <w:r/>
    </w:p>
    <w:p>
      <w:pPr>
        <w:ind w:firstLine="640"/>
        <w:spacing w:line="560" w:lineRule="exact"/>
        <w:rPr>
          <w:rFonts w:ascii="方正仿宋_GBK" w:hAnsi="方正仿宋_GBK" w:eastAsia="方正仿宋_GBK" w:cs="方正仿宋_GBK"/>
          <w:sz w:val="32"/>
          <w:szCs w:val="32"/>
          <w:highlight w:val="none"/>
        </w:rPr>
      </w:pPr>
      <w:r/>
      <w:bookmarkStart w:id="306" w:name="OLE_LINK154"/>
      <w:r/>
      <w:bookmarkStart w:id="307" w:name="OLE_LINK153"/>
      <w:r>
        <w:rPr>
          <w:rFonts w:hint="eastAsia" w:ascii="方正仿宋_GBK" w:hAnsi="方正仿宋_GBK" w:eastAsia="方正仿宋_GBK" w:cs="方正仿宋_GBK"/>
          <w:sz w:val="32"/>
          <w:szCs w:val="32"/>
          <w:highlight w:val="none"/>
        </w:rPr>
        <w:t xml:space="preserve">（1）投标文件未符合“交接过渡方案”中全部条款要求的，视为不符合招标文件，本项得0分。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（2）投标文件符合“交接过渡方案”中全部条款要求的，视为符合招标文件，本项得1分。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（3）经评委认定，投标文件对“交接过渡方案”中</w:t>
      </w:r>
      <w:bookmarkStart w:id="308" w:name="OLE_LINK170"/>
      <w:r/>
      <w:bookmarkStart w:id="309" w:name="OLE_LINK171"/>
      <w:r>
        <w:rPr>
          <w:rFonts w:hint="eastAsia" w:ascii="方正仿宋_GBK" w:hAnsi="方正仿宋_GBK" w:eastAsia="方正仿宋_GBK" w:cs="方正仿宋_GBK"/>
          <w:sz w:val="32"/>
          <w:szCs w:val="32"/>
          <w:highlight w:val="none"/>
        </w:rPr>
        <w:t xml:space="preserve">“前期接管组织管理”、“合同到期交接”、“过渡时期组织管理”</w:t>
      </w:r>
      <w:bookmarkEnd w:id="308"/>
      <w:r/>
      <w:bookmarkEnd w:id="309"/>
      <w:r>
        <w:rPr>
          <w:rFonts w:hint="eastAsia" w:ascii="方正仿宋_GBK" w:hAnsi="方正仿宋_GBK" w:eastAsia="方正仿宋_GBK" w:cs="方正仿宋_GBK"/>
          <w:sz w:val="32"/>
          <w:szCs w:val="32"/>
          <w:highlight w:val="none"/>
        </w:rPr>
        <w:t xml:space="preserve">三项要求的响应内容全部优于招标文件要求的（投标文件对“交接过渡方案”中除“前期接管组织管理”、“合同到期交接”、“过渡时期组织管理”外其他要求响应内容符合招标文件要求），本项得2分。</w:t>
      </w:r>
      <w:bookmarkEnd w:id="306"/>
      <w:r/>
      <w:bookmarkEnd w:id="307"/>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sz w:val="32"/>
          <w:szCs w:val="32"/>
          <w:highlight w:val="none"/>
        </w:rPr>
        <w:t xml:space="preserve">2.11</w:t>
      </w:r>
      <w:bookmarkStart w:id="310" w:name="OLE_LINK113"/>
      <w:r/>
      <w:bookmarkStart w:id="311" w:name="OLE_LINK112"/>
      <w:r/>
      <w:bookmarkStart w:id="312" w:name="OLE_LINK114"/>
      <w:r/>
      <w:bookmarkStart w:id="313" w:name="OLE_LINK156"/>
      <w:r/>
      <w:bookmarkStart w:id="314" w:name="OLE_LINK155"/>
      <w:r>
        <w:rPr>
          <w:rFonts w:hint="eastAsia" w:ascii="方正仿宋_GBK" w:hAnsi="方正仿宋_GBK" w:eastAsia="方正仿宋_GBK" w:cs="方正仿宋_GBK"/>
          <w:sz w:val="32"/>
          <w:szCs w:val="32"/>
          <w:highlight w:val="none"/>
        </w:rPr>
        <w:t xml:space="preserve">非</w:t>
      </w:r>
      <w:r>
        <w:rPr>
          <w:rFonts w:hint="eastAsia" w:ascii="方正仿宋_GBK" w:hAnsi="方正仿宋_GBK" w:eastAsia="方正仿宋_GBK" w:cs="方正仿宋_GBK"/>
          <w:bCs/>
          <w:sz w:val="32"/>
          <w:szCs w:val="32"/>
          <w:highlight w:val="none"/>
        </w:rPr>
        <w:t xml:space="preserve">正常信访事项处置</w:t>
      </w:r>
      <w:bookmarkEnd w:id="310"/>
      <w:r/>
      <w:bookmarkEnd w:id="311"/>
      <w:r/>
      <w:bookmarkEnd w:id="312"/>
      <w:r>
        <w:rPr>
          <w:rFonts w:hint="eastAsia" w:ascii="方正仿宋_GBK" w:hAnsi="方正仿宋_GBK" w:eastAsia="方正仿宋_GBK" w:cs="方正仿宋_GBK"/>
          <w:bCs/>
          <w:sz w:val="32"/>
          <w:szCs w:val="32"/>
          <w:highlight w:val="none"/>
        </w:rPr>
        <w:t xml:space="preserve">方案</w:t>
      </w:r>
      <w:bookmarkEnd w:id="313"/>
      <w:r/>
      <w:bookmarkEnd w:id="314"/>
      <w:r>
        <w:rPr>
          <w:rFonts w:hint="eastAsia" w:ascii="方正仿宋_GBK" w:hAnsi="方正仿宋_GBK" w:eastAsia="方正仿宋_GBK" w:cs="方正仿宋_GBK"/>
          <w:bCs/>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（1）投标文件未符合“非</w:t>
      </w:r>
      <w:r>
        <w:rPr>
          <w:rFonts w:hint="eastAsia" w:ascii="方正仿宋_GBK" w:hAnsi="方正仿宋_GBK" w:eastAsia="方正仿宋_GBK" w:cs="方正仿宋_GBK"/>
          <w:bCs/>
          <w:sz w:val="32"/>
          <w:szCs w:val="32"/>
          <w:highlight w:val="none"/>
        </w:rPr>
        <w:t xml:space="preserve">正常信访事项处置方案</w:t>
      </w:r>
      <w:r>
        <w:rPr>
          <w:rFonts w:hint="eastAsia" w:ascii="方正仿宋_GBK" w:hAnsi="方正仿宋_GBK" w:eastAsia="方正仿宋_GBK" w:cs="方正仿宋_GBK"/>
          <w:sz w:val="32"/>
          <w:szCs w:val="32"/>
          <w:highlight w:val="none"/>
        </w:rPr>
        <w:t xml:space="preserve">”中全部条款要求的，视为不符合招标文件，本项得0分。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（2）投标文件符合“非</w:t>
      </w:r>
      <w:r>
        <w:rPr>
          <w:rFonts w:hint="eastAsia" w:ascii="方正仿宋_GBK" w:hAnsi="方正仿宋_GBK" w:eastAsia="方正仿宋_GBK" w:cs="方正仿宋_GBK"/>
          <w:bCs/>
          <w:sz w:val="32"/>
          <w:szCs w:val="32"/>
          <w:highlight w:val="none"/>
        </w:rPr>
        <w:t xml:space="preserve">正常信访事项处置方案</w:t>
      </w:r>
      <w:r>
        <w:rPr>
          <w:rFonts w:hint="eastAsia" w:ascii="方正仿宋_GBK" w:hAnsi="方正仿宋_GBK" w:eastAsia="方正仿宋_GBK" w:cs="方正仿宋_GBK"/>
          <w:sz w:val="32"/>
          <w:szCs w:val="32"/>
          <w:highlight w:val="none"/>
        </w:rPr>
        <w:t xml:space="preserve">”中全部条款要求的，视为符合招标文件，本项得1分。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（3）经评委认定，投标文件对“非</w:t>
      </w:r>
      <w:r>
        <w:rPr>
          <w:rFonts w:hint="eastAsia" w:ascii="方正仿宋_GBK" w:hAnsi="方正仿宋_GBK" w:eastAsia="方正仿宋_GBK" w:cs="方正仿宋_GBK"/>
          <w:bCs/>
          <w:sz w:val="32"/>
          <w:szCs w:val="32"/>
          <w:highlight w:val="none"/>
        </w:rPr>
        <w:t xml:space="preserve">正常信访事项处置方案</w:t>
      </w:r>
      <w:r>
        <w:rPr>
          <w:rFonts w:hint="eastAsia" w:ascii="方正仿宋_GBK" w:hAnsi="方正仿宋_GBK" w:eastAsia="方正仿宋_GBK" w:cs="方正仿宋_GBK"/>
          <w:sz w:val="32"/>
          <w:szCs w:val="32"/>
          <w:highlight w:val="none"/>
        </w:rPr>
        <w:t xml:space="preserve">”中</w:t>
      </w:r>
      <w:bookmarkStart w:id="315" w:name="OLE_LINK175"/>
      <w:r/>
      <w:bookmarkStart w:id="316" w:name="OLE_LINK176"/>
      <w:r>
        <w:rPr>
          <w:rFonts w:hint="eastAsia" w:ascii="方正仿宋_GBK" w:hAnsi="方正仿宋_GBK" w:eastAsia="方正仿宋_GBK" w:cs="方正仿宋_GBK"/>
          <w:sz w:val="32"/>
          <w:szCs w:val="32"/>
          <w:highlight w:val="none"/>
        </w:rPr>
        <w:t xml:space="preserve">“</w:t>
      </w:r>
      <w:bookmarkStart w:id="317" w:name="OLE_LINK190"/>
      <w:r/>
      <w:bookmarkStart w:id="318" w:name="OLE_LINK192"/>
      <w:r/>
      <w:bookmarkStart w:id="319" w:name="OLE_LINK193"/>
      <w:r/>
      <w:bookmarkStart w:id="320" w:name="OLE_LINK191"/>
      <w:r>
        <w:rPr>
          <w:rFonts w:ascii="方正仿宋_GBK" w:hAnsi="方正仿宋_GBK" w:eastAsia="方正仿宋_GBK" w:cs="方正仿宋_GBK"/>
          <w:sz w:val="32"/>
          <w:szCs w:val="32"/>
          <w:highlight w:val="none"/>
        </w:rPr>
        <w:t xml:space="preserve">弃置人员胁迫型信访</w:t>
      </w:r>
      <w:bookmarkEnd w:id="317"/>
      <w:r/>
      <w:bookmarkEnd w:id="318"/>
      <w:r/>
      <w:bookmarkEnd w:id="319"/>
      <w:r/>
      <w:bookmarkEnd w:id="320"/>
      <w:r>
        <w:rPr>
          <w:rFonts w:hint="eastAsia" w:ascii="方正仿宋_GBK" w:hAnsi="方正仿宋_GBK" w:eastAsia="方正仿宋_GBK" w:cs="方正仿宋_GBK"/>
          <w:sz w:val="32"/>
          <w:szCs w:val="32"/>
          <w:highlight w:val="none"/>
        </w:rPr>
        <w:t xml:space="preserve">”、“要挟类信访”、“重要节点非访”</w:t>
      </w:r>
      <w:bookmarkEnd w:id="315"/>
      <w:r/>
      <w:bookmarkEnd w:id="316"/>
      <w:r>
        <w:rPr>
          <w:rFonts w:hint="eastAsia" w:ascii="方正仿宋_GBK" w:hAnsi="方正仿宋_GBK" w:eastAsia="方正仿宋_GBK" w:cs="方正仿宋_GBK"/>
          <w:sz w:val="32"/>
          <w:szCs w:val="32"/>
          <w:highlight w:val="none"/>
        </w:rPr>
        <w:t xml:space="preserve">三项要求的响应内容全部优于招标文件要求的（投标文件对“非</w:t>
      </w:r>
      <w:r>
        <w:rPr>
          <w:rFonts w:hint="eastAsia" w:ascii="方正仿宋_GBK" w:hAnsi="方正仿宋_GBK" w:eastAsia="方正仿宋_GBK" w:cs="方正仿宋_GBK"/>
          <w:bCs/>
          <w:sz w:val="32"/>
          <w:szCs w:val="32"/>
          <w:highlight w:val="none"/>
        </w:rPr>
        <w:t xml:space="preserve">正常信访事项处置方案</w:t>
      </w:r>
      <w:r>
        <w:rPr>
          <w:rFonts w:hint="eastAsia" w:ascii="方正仿宋_GBK" w:hAnsi="方正仿宋_GBK" w:eastAsia="方正仿宋_GBK" w:cs="方正仿宋_GBK"/>
          <w:sz w:val="32"/>
          <w:szCs w:val="32"/>
          <w:highlight w:val="none"/>
        </w:rPr>
        <w:t xml:space="preserve">”中除“弃置人员胁迫型信访”、“要挟类信访”、“重要节点非访”外其他要求响应内容符合招标文件要求），本项得</w:t>
      </w:r>
      <w:r>
        <w:rPr>
          <w:rFonts w:hint="eastAsia" w:ascii="方正仿宋_GBK" w:hAnsi="方正仿宋_GBK" w:eastAsia="方正仿宋_GBK" w:cs="方正仿宋_GBK"/>
          <w:sz w:val="32"/>
          <w:szCs w:val="32"/>
          <w:highlight w:val="none"/>
          <w:lang w:val="en-US" w:eastAsia="zh-CN"/>
        </w:rPr>
        <w:t xml:space="preserve">3</w:t>
      </w:r>
      <w:r>
        <w:rPr>
          <w:rFonts w:hint="eastAsia" w:ascii="方正仿宋_GBK" w:hAnsi="方正仿宋_GBK" w:eastAsia="方正仿宋_GBK" w:cs="方正仿宋_GBK"/>
          <w:sz w:val="32"/>
          <w:szCs w:val="32"/>
          <w:highlight w:val="none"/>
        </w:rPr>
        <w:t xml:space="preserve">分。</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2.12</w:t>
      </w:r>
      <w:bookmarkStart w:id="321" w:name="OLE_LINK158"/>
      <w:r/>
      <w:bookmarkStart w:id="322" w:name="OLE_LINK157"/>
      <w:r>
        <w:rPr>
          <w:rFonts w:hint="eastAsia" w:ascii="方正仿宋_GBK" w:hAnsi="方正仿宋_GBK" w:eastAsia="方正仿宋_GBK" w:cs="方正仿宋_GBK"/>
          <w:bCs/>
          <w:sz w:val="32"/>
          <w:szCs w:val="32"/>
          <w:highlight w:val="none"/>
        </w:rPr>
        <w:t xml:space="preserve">突发事件应急处置方案</w:t>
      </w:r>
      <w:bookmarkEnd w:id="321"/>
      <w:r/>
      <w:bookmarkEnd w:id="322"/>
      <w:r>
        <w:rPr>
          <w:rFonts w:hint="eastAsia" w:ascii="方正仿宋_GBK" w:hAnsi="方正仿宋_GBK" w:eastAsia="方正仿宋_GBK" w:cs="方正仿宋_GBK"/>
          <w:bCs/>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（1）投标文件未符合“</w:t>
      </w:r>
      <w:r>
        <w:rPr>
          <w:rFonts w:hint="eastAsia" w:ascii="方正仿宋_GBK" w:hAnsi="方正仿宋_GBK" w:eastAsia="方正仿宋_GBK" w:cs="方正仿宋_GBK"/>
          <w:bCs/>
          <w:sz w:val="32"/>
          <w:szCs w:val="32"/>
          <w:highlight w:val="none"/>
        </w:rPr>
        <w:t xml:space="preserve">突发事件应急处置方案</w:t>
      </w:r>
      <w:r>
        <w:rPr>
          <w:rFonts w:hint="eastAsia" w:ascii="方正仿宋_GBK" w:hAnsi="方正仿宋_GBK" w:eastAsia="方正仿宋_GBK" w:cs="方正仿宋_GBK"/>
          <w:sz w:val="32"/>
          <w:szCs w:val="32"/>
          <w:highlight w:val="none"/>
        </w:rPr>
        <w:t xml:space="preserve">”中全部条款要求的，视为不符合招标文件，本项得0分。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w:t>
      </w:r>
      <w:r>
        <w:rPr>
          <w:rFonts w:hint="eastAsia" w:ascii="方正仿宋_GBK" w:hAnsi="方正仿宋_GBK" w:eastAsia="方正仿宋_GBK" w:cs="方正仿宋_GBK"/>
          <w:bCs/>
          <w:sz w:val="32"/>
          <w:szCs w:val="32"/>
          <w:highlight w:val="none"/>
        </w:rPr>
        <w:t xml:space="preserve">突发事件应急处置方案</w:t>
      </w:r>
      <w:r>
        <w:rPr>
          <w:rFonts w:hint="eastAsia" w:ascii="方正仿宋_GBK" w:hAnsi="方正仿宋_GBK" w:eastAsia="方正仿宋_GBK" w:cs="方正仿宋_GBK"/>
          <w:sz w:val="32"/>
          <w:szCs w:val="32"/>
          <w:highlight w:val="none"/>
        </w:rPr>
        <w:t xml:space="preserve">”中全部条款要求的，视为符合招标文件，本项得1分。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w:t>
      </w:r>
      <w:r>
        <w:rPr>
          <w:rFonts w:hint="eastAsia" w:ascii="方正仿宋_GBK" w:hAnsi="方正仿宋_GBK" w:eastAsia="方正仿宋_GBK" w:cs="方正仿宋_GBK"/>
          <w:bCs/>
          <w:sz w:val="32"/>
          <w:szCs w:val="32"/>
          <w:highlight w:val="none"/>
        </w:rPr>
        <w:t xml:space="preserve">突发事件应急处置方案</w:t>
      </w:r>
      <w:r>
        <w:rPr>
          <w:rFonts w:hint="eastAsia" w:ascii="方正仿宋_GBK" w:hAnsi="方正仿宋_GBK" w:eastAsia="方正仿宋_GBK" w:cs="方正仿宋_GBK"/>
          <w:sz w:val="32"/>
          <w:szCs w:val="32"/>
          <w:highlight w:val="none"/>
        </w:rPr>
        <w:t xml:space="preserve">”中</w:t>
      </w:r>
      <w:bookmarkStart w:id="323" w:name="OLE_LINK195"/>
      <w:r/>
      <w:bookmarkStart w:id="324" w:name="OLE_LINK194"/>
      <w:r>
        <w:rPr>
          <w:rFonts w:hint="eastAsia" w:ascii="方正仿宋_GBK" w:hAnsi="方正仿宋_GBK" w:eastAsia="方正仿宋_GBK" w:cs="方正仿宋_GBK"/>
          <w:sz w:val="32"/>
          <w:szCs w:val="32"/>
          <w:highlight w:val="none"/>
        </w:rPr>
        <w:t xml:space="preserve">“当事人突发疾病”、“旁听人员闹事”、“冲击法庭”</w:t>
      </w:r>
      <w:bookmarkEnd w:id="323"/>
      <w:r/>
      <w:bookmarkEnd w:id="324"/>
      <w:r>
        <w:rPr>
          <w:rFonts w:hint="eastAsia" w:ascii="方正仿宋_GBK" w:hAnsi="方正仿宋_GBK" w:eastAsia="方正仿宋_GBK" w:cs="方正仿宋_GBK"/>
          <w:sz w:val="32"/>
          <w:szCs w:val="32"/>
          <w:highlight w:val="none"/>
        </w:rPr>
        <w:t xml:space="preserve">三项要求的响应内容全部优于招标文件要求的（投标文件对“</w:t>
      </w:r>
      <w:r>
        <w:rPr>
          <w:rFonts w:hint="eastAsia" w:ascii="方正仿宋_GBK" w:hAnsi="方正仿宋_GBK" w:eastAsia="方正仿宋_GBK" w:cs="方正仿宋_GBK"/>
          <w:bCs/>
          <w:sz w:val="32"/>
          <w:szCs w:val="32"/>
          <w:highlight w:val="none"/>
        </w:rPr>
        <w:t xml:space="preserve">突发事件应急处置方案</w:t>
      </w:r>
      <w:r>
        <w:rPr>
          <w:rFonts w:hint="eastAsia" w:ascii="方正仿宋_GBK" w:hAnsi="方正仿宋_GBK" w:eastAsia="方正仿宋_GBK" w:cs="方正仿宋_GBK"/>
          <w:sz w:val="32"/>
          <w:szCs w:val="32"/>
          <w:highlight w:val="none"/>
        </w:rPr>
        <w:t xml:space="preserve">”中除“当事人突发疾病”、“旁听人员闹事”、“冲击法庭”外其他要求响应内容符合招标文件要求），本项得</w:t>
      </w:r>
      <w:r>
        <w:rPr>
          <w:rFonts w:hint="eastAsia" w:ascii="方正仿宋_GBK" w:hAnsi="方正仿宋_GBK" w:eastAsia="方正仿宋_GBK" w:cs="方正仿宋_GBK"/>
          <w:sz w:val="32"/>
          <w:szCs w:val="32"/>
          <w:highlight w:val="none"/>
          <w:lang w:val="en-US" w:eastAsia="zh-CN"/>
        </w:rPr>
        <w:t xml:space="preserve">3</w:t>
      </w:r>
      <w:r>
        <w:rPr>
          <w:rFonts w:hint="eastAsia" w:ascii="方正仿宋_GBK" w:hAnsi="方正仿宋_GBK" w:eastAsia="方正仿宋_GBK" w:cs="方正仿宋_GBK"/>
          <w:sz w:val="32"/>
          <w:szCs w:val="32"/>
          <w:highlight w:val="none"/>
        </w:rPr>
        <w:t xml:space="preserve">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2.13</w:t>
      </w:r>
      <w:bookmarkStart w:id="325" w:name="OLE_LINK160"/>
      <w:r/>
      <w:bookmarkStart w:id="326" w:name="OLE_LINK159"/>
      <w:r/>
      <w:bookmarkStart w:id="327" w:name="OLE_LINK161"/>
      <w:r>
        <w:rPr>
          <w:rFonts w:hint="eastAsia" w:ascii="方正仿宋_GBK" w:hAnsi="方正仿宋_GBK" w:eastAsia="方正仿宋_GBK" w:cs="方正仿宋_GBK"/>
          <w:sz w:val="32"/>
          <w:szCs w:val="32"/>
          <w:highlight w:val="none"/>
        </w:rPr>
        <w:t xml:space="preserve">餐饮服务方案</w:t>
      </w:r>
      <w:bookmarkEnd w:id="325"/>
      <w:r/>
      <w:bookmarkEnd w:id="326"/>
      <w:r/>
      <w:bookmarkEnd w:id="327"/>
      <w:r>
        <w:rPr>
          <w:rFonts w:hint="eastAsia" w:ascii="方正仿宋_GBK" w:hAnsi="方正仿宋_GBK" w:eastAsia="方正仿宋_GBK" w:cs="方正仿宋_GBK"/>
          <w:sz w:val="32"/>
          <w:szCs w:val="32"/>
          <w:highlight w:val="none"/>
        </w:rPr>
        <w:t xml:space="preserve">（3分）。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（1）投标文件未符合“餐饮服务方案”中全部条款要求的，视为不符合招标文件，本项得0分。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（2）投标文件符合“餐饮服务方案”中全部条款要求的，视为符合招标文件，本项得1分。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（3）经评委认定，投标文件对“餐饮服务方案”中</w:t>
      </w:r>
      <w:bookmarkStart w:id="328" w:name="OLE_LINK173"/>
      <w:r/>
      <w:bookmarkStart w:id="329" w:name="OLE_LINK172"/>
      <w:r>
        <w:rPr>
          <w:rFonts w:hint="eastAsia" w:ascii="方正仿宋_GBK" w:hAnsi="方正仿宋_GBK" w:eastAsia="方正仿宋_GBK" w:cs="方正仿宋_GBK"/>
          <w:sz w:val="32"/>
          <w:szCs w:val="32"/>
          <w:highlight w:val="none"/>
        </w:rPr>
        <w:t xml:space="preserve">“膳食营养方案”、“餐饮安全卫生保障方案”、“应急处置方案”</w:t>
      </w:r>
      <w:bookmarkEnd w:id="328"/>
      <w:r/>
      <w:bookmarkEnd w:id="329"/>
      <w:r>
        <w:rPr>
          <w:rFonts w:hint="eastAsia" w:ascii="方正仿宋_GBK" w:hAnsi="方正仿宋_GBK" w:eastAsia="方正仿宋_GBK" w:cs="方正仿宋_GBK"/>
          <w:sz w:val="32"/>
          <w:szCs w:val="32"/>
          <w:highlight w:val="none"/>
        </w:rPr>
        <w:t xml:space="preserve">三项要求的响应内容全部优于招标文件要求的（投标文件对“餐饮服务方案”中除“膳食营养方案”、“餐饮安全卫生保障方案”、“应急处置方案”外其他要求响应内容符合招标文件要求），本项得</w:t>
      </w:r>
      <w:r>
        <w:rPr>
          <w:rFonts w:hint="eastAsia" w:ascii="方正仿宋_GBK" w:hAnsi="方正仿宋_GBK" w:eastAsia="方正仿宋_GBK" w:cs="方正仿宋_GBK"/>
          <w:sz w:val="32"/>
          <w:szCs w:val="32"/>
          <w:highlight w:val="none"/>
          <w:lang w:val="en-US" w:eastAsia="zh-CN"/>
        </w:rPr>
        <w:t xml:space="preserve">3</w:t>
      </w:r>
      <w:r>
        <w:rPr>
          <w:rFonts w:hint="eastAsia" w:ascii="方正仿宋_GBK" w:hAnsi="方正仿宋_GBK" w:eastAsia="方正仿宋_GBK" w:cs="方正仿宋_GBK"/>
          <w:sz w:val="32"/>
          <w:szCs w:val="32"/>
          <w:highlight w:val="none"/>
        </w:rPr>
        <w:t xml:space="preserve">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bookmarkStart w:id="330" w:name="OLE_LINK68"/>
      <w:r/>
      <w:bookmarkStart w:id="331" w:name="OLE_LINK67"/>
      <w:r>
        <w:rPr>
          <w:rFonts w:hint="eastAsia" w:ascii="方正仿宋_GBK" w:hAnsi="方正仿宋_GBK" w:eastAsia="方正仿宋_GBK" w:cs="方正仿宋_GBK"/>
          <w:sz w:val="32"/>
          <w:szCs w:val="32"/>
          <w:highlight w:val="none"/>
        </w:rPr>
        <w:t xml:space="preserve">（三）服务资质（4分）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3.1投标人具有</w:t>
      </w:r>
      <w:bookmarkStart w:id="332" w:name="OLE_LINK10"/>
      <w:r>
        <w:rPr>
          <w:rFonts w:ascii="方正仿宋_GBK" w:hAnsi="方正仿宋_GBK" w:eastAsia="方正仿宋_GBK" w:cs="方正仿宋_GBK"/>
          <w:sz w:val="32"/>
          <w:szCs w:val="32"/>
          <w:highlight w:val="none"/>
        </w:rPr>
        <w:t xml:space="preserve">ISO9001</w:t>
      </w:r>
      <w:r>
        <w:rPr>
          <w:rFonts w:hint="eastAsia" w:ascii="方正仿宋_GBK" w:hAnsi="方正仿宋_GBK" w:eastAsia="方正仿宋_GBK" w:cs="方正仿宋_GBK"/>
          <w:sz w:val="32"/>
          <w:szCs w:val="32"/>
          <w:highlight w:val="none"/>
        </w:rPr>
        <w:t xml:space="preserve">系列质量管理体系认证证书得1分，具有I</w:t>
      </w:r>
      <w:r>
        <w:rPr>
          <w:rFonts w:ascii="方正仿宋_GBK" w:hAnsi="方正仿宋_GBK" w:eastAsia="方正仿宋_GBK" w:cs="方正仿宋_GBK"/>
          <w:sz w:val="32"/>
          <w:szCs w:val="32"/>
          <w:highlight w:val="none"/>
        </w:rPr>
        <w:t xml:space="preserve">SO45001</w:t>
      </w:r>
      <w:r>
        <w:rPr>
          <w:rFonts w:hint="eastAsia" w:ascii="方正仿宋_GBK" w:hAnsi="方正仿宋_GBK" w:eastAsia="方正仿宋_GBK" w:cs="方正仿宋_GBK"/>
          <w:sz w:val="32"/>
          <w:szCs w:val="32"/>
          <w:highlight w:val="none"/>
        </w:rPr>
        <w:t xml:space="preserve">系列职业健康安全管理体系认证证书得1分，具有ISO14001环境管理体系认证证书得1分，具有ISO27001信息安全管理体系认证得1分</w:t>
      </w:r>
      <w:bookmarkEnd w:id="332"/>
      <w:r>
        <w:rPr>
          <w:rFonts w:hint="eastAsia" w:ascii="方正仿宋_GBK" w:hAnsi="方正仿宋_GBK" w:eastAsia="方正仿宋_GBK" w:cs="方正仿宋_GBK"/>
          <w:sz w:val="32"/>
          <w:szCs w:val="32"/>
          <w:highlight w:val="none"/>
        </w:rPr>
        <w:t xml:space="preserve">，最高得4分。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提供有效认证证书复印件或扫描件，否则不得分。</w:t>
      </w:r>
      <w:bookmarkEnd w:id="330"/>
      <w:r/>
      <w:bookmarkEnd w:id="331"/>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（四）服务团队（43分）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1 项目经理（8分）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①具有本科及以上学历得2分；②具备类似本项目的办公楼物业项目经理管理经验</w:t>
      </w:r>
      <w:r>
        <w:rPr>
          <w:rFonts w:ascii="方正仿宋_GBK" w:hAnsi="方正仿宋_GBK" w:eastAsia="方正仿宋_GBK" w:cs="方正仿宋_GBK"/>
          <w:sz w:val="32"/>
          <w:szCs w:val="32"/>
          <w:highlight w:val="none"/>
        </w:rPr>
        <w:t xml:space="preserve">5年及以</w:t>
      </w:r>
      <w:r>
        <w:rPr>
          <w:rFonts w:hint="eastAsia" w:ascii="方正仿宋_GBK" w:hAnsi="方正仿宋_GBK" w:eastAsia="方正仿宋_GBK" w:cs="方正仿宋_GBK"/>
          <w:sz w:val="32"/>
          <w:szCs w:val="32"/>
          <w:highlight w:val="none"/>
        </w:rPr>
        <w:t xml:space="preserve">上的得2分；③具有</w:t>
      </w:r>
      <w:bookmarkStart w:id="333" w:name="OLE_LINK26"/>
      <w:r/>
      <w:bookmarkStart w:id="334" w:name="OLE_LINK27"/>
      <w:r>
        <w:rPr>
          <w:rFonts w:ascii="方正仿宋_GBK" w:hAnsi="方正仿宋_GBK" w:eastAsia="方正仿宋_GBK" w:cs="方正仿宋_GBK"/>
          <w:sz w:val="32"/>
          <w:szCs w:val="32"/>
          <w:highlight w:val="none"/>
        </w:rPr>
        <w:t xml:space="preserve">物业管理师职业技能等级证书（三级及以上）</w:t>
      </w:r>
      <w:bookmarkEnd w:id="333"/>
      <w:r/>
      <w:bookmarkEnd w:id="334"/>
      <w:r>
        <w:rPr>
          <w:rFonts w:hint="eastAsia" w:ascii="方正仿宋_GBK" w:hAnsi="方正仿宋_GBK" w:eastAsia="方正仿宋_GBK" w:cs="方正仿宋_GBK"/>
          <w:sz w:val="32"/>
          <w:szCs w:val="32"/>
          <w:highlight w:val="none"/>
        </w:rPr>
        <w:t xml:space="preserve">的得2分；④具有市域外物业服务项目或同一个项目其中有服务点位于市域外物业管理经验的得</w:t>
      </w:r>
      <w:r>
        <w:rPr>
          <w:rFonts w:ascii="方正仿宋_GBK" w:hAnsi="方正仿宋_GBK" w:eastAsia="方正仿宋_GBK" w:cs="方正仿宋_GBK"/>
          <w:sz w:val="32"/>
          <w:szCs w:val="32"/>
          <w:highlight w:val="none"/>
        </w:rPr>
        <w:t xml:space="preserve">2分</w:t>
      </w:r>
      <w:r>
        <w:rPr>
          <w:rFonts w:hint="eastAsia" w:ascii="方正仿宋_GBK" w:hAnsi="方正仿宋_GBK" w:eastAsia="方正仿宋_GBK" w:cs="方正仿宋_GBK"/>
          <w:sz w:val="32"/>
          <w:szCs w:val="32"/>
          <w:highlight w:val="none"/>
        </w:rPr>
        <w:t xml:space="preserve">（此句中的“市”指设区市）</w:t>
      </w:r>
      <w:r>
        <w:rPr>
          <w:rFonts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①、③需提供相关证书复印件</w:t>
      </w:r>
      <w:bookmarkStart w:id="335" w:name="OLE_LINK15"/>
      <w:r>
        <w:rPr>
          <w:rFonts w:hint="eastAsia" w:ascii="方正仿宋_GBK" w:hAnsi="方正仿宋_GBK" w:eastAsia="方正仿宋_GBK" w:cs="方正仿宋_GBK"/>
          <w:sz w:val="32"/>
          <w:szCs w:val="32"/>
          <w:highlight w:val="none"/>
        </w:rPr>
        <w:t xml:space="preserve">或扫描件；②、④需提供其担任项目经理的物业项目合同复印件或扫描件，以及业主单位盖章的工作经验证明材料</w:t>
      </w:r>
      <w:bookmarkEnd w:id="335"/>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不可重复得分</w:t>
      </w:r>
      <w:r>
        <w:rPr>
          <w:rFonts w:hint="eastAsia" w:ascii="方正仿宋_GBK" w:hAnsi="方正仿宋_GBK" w:eastAsia="方正仿宋_GBK" w:cs="方正仿宋_GBK"/>
          <w:sz w:val="32"/>
          <w:szCs w:val="32"/>
          <w:highlight w:val="none"/>
        </w:rPr>
        <w:t xml:space="preserve">。除提供上述材料，投标人还需提供近3个月内任意1个月为其缴纳社保的证明材料。</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t xml:space="preserve">4.2</w:t>
      </w:r>
      <w:r>
        <w:rPr>
          <w:rFonts w:hint="eastAsia" w:ascii="方正仿宋_GBK" w:hAnsi="方正仿宋_GBK" w:eastAsia="方正仿宋_GBK" w:cs="方正仿宋_GBK"/>
          <w:sz w:val="32"/>
          <w:szCs w:val="32"/>
          <w:highlight w:val="none"/>
        </w:rPr>
        <w:t xml:space="preserve">安保主管（</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具有大专及以上学历的得1分；具备智能楼宇管理员职业技能等级证书（三级及以上）的得2分；是退伍军人的得1分。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提供相关证书复印件或扫描件，以及投标人近3个月内任意1个月为其缴纳社保的证明材料。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4.3</w:t>
      </w:r>
      <w:r>
        <w:rPr>
          <w:rFonts w:hint="eastAsia" w:ascii="方正仿宋_GBK" w:hAnsi="方正仿宋_GBK" w:eastAsia="方正仿宋_GBK" w:cs="方正仿宋_GBK"/>
          <w:sz w:val="32"/>
          <w:szCs w:val="32"/>
          <w:highlight w:val="none"/>
        </w:rPr>
        <w:t xml:space="preserve">安保（安检）人员（5分）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拟派驻本项目的安保（安检）人员（除安保主管）中具有退伍证的，每提供1人得0.5分，最多得5分。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提供相关证书复印件或扫描件，以及投标人近3个月内任意1个月为其缴纳社保的证明材料。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4会务主管（4分）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拟派驻本项目的会务主管具备3年及以上本项目类似会务接待项目经验的得1分；②具有物业管理师职业技能等级证书（三级及以上）的得1分；③具有本科及以上学历的得1分；④具有普通话证书二级甲等及以上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②、③、④需提供相关证书复印件或扫描件；①需提供其担任会务主管的物业项目合同复印件或扫描件，以及业主单位盖章的工作经验证明材料。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4.5会务人员（2分）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①拟派驻本项目的会务客服人员具有大专及以上学历的，每提供1人得0.5分，最多得1分；②具备3年及以上本项目类似会务接待项目经验的，每提供1人得0.5分，最多得1分。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需提供相关证书复印件或扫描件；②需提供其担任会务客服的物业项目合同复印件或扫描件以及业主单位盖章的工作经验证明材料。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6工程主管（</w:t>
      </w:r>
      <w:r>
        <w:rPr>
          <w:rFonts w:ascii="方正仿宋_GBK" w:hAnsi="方正仿宋_GBK" w:eastAsia="方正仿宋_GBK" w:cs="方正仿宋_GBK"/>
          <w:sz w:val="32"/>
          <w:szCs w:val="32"/>
          <w:highlight w:val="none"/>
        </w:rPr>
        <w:t xml:space="preserve">3</w:t>
      </w:r>
      <w:r>
        <w:rPr>
          <w:rFonts w:hint="eastAsia" w:ascii="方正仿宋_GBK" w:hAnsi="方正仿宋_GBK" w:eastAsia="方正仿宋_GBK" w:cs="方正仿宋_GBK"/>
          <w:sz w:val="32"/>
          <w:szCs w:val="32"/>
          <w:highlight w:val="none"/>
        </w:rPr>
        <w:t xml:space="preserve">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①具有3年及以上本项目类似物业项目工程管理经验得1分；②具有高压电工证得2分。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①需提供该人员担任工程主管的物业项目合同复印件或扫描件，以及业主单位盖章的工作经验证明材料；②需提供相关证书复印件或扫描件。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4.7监控岗人员（3分）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具备中级（四级）及以上等级的消防设施操作员证书，每提供1人得0.5分，最高得3分。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提供有效证书复印件或扫描件及证书颁发机构在技能人才评价工作网的职业资格鉴定机构查询截图，或证书在技能人才评价工作网的截图。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8院本部食堂人员（14分）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8</w:t>
      </w:r>
      <w:r>
        <w:rPr>
          <w:rFonts w:ascii="方正仿宋_GBK" w:hAnsi="方正仿宋_GBK" w:eastAsia="方正仿宋_GBK" w:cs="方正仿宋_GBK"/>
          <w:sz w:val="32"/>
          <w:szCs w:val="32"/>
          <w:highlight w:val="none"/>
        </w:rPr>
        <w:t xml:space="preserve">.1</w:t>
      </w:r>
      <w:r>
        <w:rPr>
          <w:rFonts w:hint="eastAsia" w:ascii="方正仿宋_GBK" w:hAnsi="方正仿宋_GBK" w:eastAsia="方正仿宋_GBK" w:cs="方正仿宋_GBK"/>
          <w:sz w:val="32"/>
          <w:szCs w:val="32"/>
          <w:highlight w:val="none"/>
        </w:rPr>
        <w:t xml:space="preserve">食堂项目经理（5分）：①大专及以上学历得1分；②具备3年（含）以上餐饮管理经验得2分；③具备营养配餐员职业技能等级证书（三级及以上）的得1分；④具有食品安全员人员能力验证证书的得1分。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①、</w:t>
      </w:r>
      <w:bookmarkStart w:id="336" w:name="OLE_LINK97"/>
      <w:r/>
      <w:bookmarkStart w:id="337" w:name="OLE_LINK96"/>
      <w:r>
        <w:rPr>
          <w:rFonts w:hint="eastAsia" w:ascii="方正仿宋_GBK" w:hAnsi="方正仿宋_GBK" w:eastAsia="方正仿宋_GBK" w:cs="方正仿宋_GBK"/>
          <w:sz w:val="32"/>
          <w:szCs w:val="32"/>
          <w:highlight w:val="none"/>
        </w:rPr>
        <w:t xml:space="preserve">③</w:t>
      </w:r>
      <w:bookmarkEnd w:id="336"/>
      <w:r/>
      <w:bookmarkEnd w:id="337"/>
      <w:r>
        <w:rPr>
          <w:rFonts w:hint="eastAsia" w:ascii="方正仿宋_GBK" w:hAnsi="方正仿宋_GBK" w:eastAsia="方正仿宋_GBK" w:cs="方正仿宋_GBK"/>
          <w:sz w:val="32"/>
          <w:szCs w:val="32"/>
          <w:highlight w:val="none"/>
        </w:rPr>
        <w:t xml:space="preserve">、④需提供相关证书复印件或扫描件；②需提供该人员担任餐饮服务管理负责人的项目合同复印件或扫描件，以及业主单位盖章的工作经验证明材料。除提供上述材料，投标人还需提供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4.8.2</w:t>
      </w:r>
      <w:bookmarkStart w:id="338" w:name="OLE_LINK22"/>
      <w:r>
        <w:rPr>
          <w:rFonts w:hint="eastAsia" w:ascii="方正仿宋_GBK" w:hAnsi="方正仿宋_GBK" w:eastAsia="方正仿宋_GBK" w:cs="方正仿宋_GBK"/>
          <w:sz w:val="32"/>
          <w:szCs w:val="32"/>
          <w:highlight w:val="none"/>
        </w:rPr>
        <w:t xml:space="preserve">厨师长（3分）：①具备厨师岗位工作经验累计满5年的得1分，可在不同单位任职；②担任餐饮行业厨师长岗位累计满3年的得1分，</w:t>
      </w:r>
      <w:bookmarkStart w:id="339" w:name="OLE_LINK88"/>
      <w:r/>
      <w:bookmarkStart w:id="340" w:name="OLE_LINK89"/>
      <w:r>
        <w:rPr>
          <w:rFonts w:hint="eastAsia" w:ascii="方正仿宋_GBK" w:hAnsi="方正仿宋_GBK" w:eastAsia="方正仿宋_GBK" w:cs="方正仿宋_GBK"/>
          <w:sz w:val="32"/>
          <w:szCs w:val="32"/>
          <w:highlight w:val="none"/>
        </w:rPr>
        <w:t xml:space="preserve">可在不同单位任职</w:t>
      </w:r>
      <w:bookmarkEnd w:id="339"/>
      <w:r/>
      <w:bookmarkEnd w:id="340"/>
      <w:r>
        <w:rPr>
          <w:rFonts w:hint="eastAsia" w:ascii="方正仿宋_GBK" w:hAnsi="方正仿宋_GBK" w:eastAsia="方正仿宋_GBK" w:cs="方正仿宋_GBK"/>
          <w:sz w:val="32"/>
          <w:szCs w:val="32"/>
          <w:highlight w:val="none"/>
        </w:rPr>
        <w:t xml:space="preserve">；③有中式烹调师二级及以上证书的得1分。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bookmarkStart w:id="341" w:name="OLE_LINK81"/>
      <w:r/>
      <w:bookmarkStart w:id="342" w:name="OLE_LINK80"/>
      <w:r>
        <w:rPr>
          <w:rFonts w:hint="eastAsia" w:ascii="方正仿宋_GBK" w:hAnsi="方正仿宋_GBK" w:eastAsia="方正仿宋_GBK" w:cs="方正仿宋_GBK"/>
          <w:sz w:val="32"/>
          <w:szCs w:val="32"/>
          <w:highlight w:val="none"/>
        </w:rPr>
        <w:t xml:space="preserve">①</w:t>
      </w:r>
      <w:bookmarkEnd w:id="341"/>
      <w:r/>
      <w:bookmarkEnd w:id="342"/>
      <w:r>
        <w:rPr>
          <w:rFonts w:hint="eastAsia" w:ascii="方正仿宋_GBK" w:hAnsi="方正仿宋_GBK" w:eastAsia="方正仿宋_GBK" w:cs="方正仿宋_GBK"/>
          <w:sz w:val="32"/>
          <w:szCs w:val="32"/>
          <w:highlight w:val="none"/>
        </w:rPr>
        <w:t xml:space="preserve">、②需提供该人员担任厨师、厨师长岗位的项目合同复印件及业主单位盖章的工作经验证明材料，任职年限可重复叠加计算；③需提供相关证书复印件</w:t>
      </w:r>
      <w:bookmarkStart w:id="343" w:name="OLE_LINK95"/>
      <w:r/>
      <w:bookmarkStart w:id="344" w:name="OLE_LINK94"/>
      <w:r/>
      <w:bookmarkStart w:id="345" w:name="OLE_LINK93"/>
      <w:r>
        <w:rPr>
          <w:rFonts w:hint="eastAsia" w:ascii="方正仿宋_GBK" w:hAnsi="方正仿宋_GBK" w:eastAsia="方正仿宋_GBK" w:cs="方正仿宋_GBK"/>
          <w:sz w:val="32"/>
          <w:szCs w:val="32"/>
          <w:highlight w:val="none"/>
        </w:rPr>
        <w:t xml:space="preserve">或</w:t>
      </w:r>
      <w:r>
        <w:rPr>
          <w:rFonts w:hint="eastAsia" w:ascii="方正仿宋_GBK" w:hAnsi="方正仿宋_GBK" w:eastAsia="方正仿宋_GBK" w:cs="方正仿宋_GBK"/>
          <w:sz w:val="32"/>
          <w:szCs w:val="32"/>
          <w:highlight w:val="none"/>
        </w:rPr>
        <w:t xml:space="preserve">扫描件</w:t>
      </w:r>
      <w:r>
        <w:rPr>
          <w:rFonts w:hint="eastAsia" w:ascii="方正仿宋_GBK" w:hAnsi="方正仿宋_GBK" w:eastAsia="方正仿宋_GBK" w:cs="方正仿宋_GBK"/>
          <w:sz w:val="32"/>
          <w:szCs w:val="32"/>
          <w:highlight w:val="none"/>
        </w:rPr>
        <w:t xml:space="preserve">。除提供上述材料，投标人还需提供近3个月内任意1个月为其缴纳社保的证明材料。</w:t>
      </w:r>
      <w:bookmarkEnd w:id="338"/>
      <w:r/>
      <w:bookmarkEnd w:id="343"/>
      <w:r/>
      <w:bookmarkEnd w:id="344"/>
      <w:r/>
      <w:bookmarkEnd w:id="345"/>
      <w:r/>
      <w:r/>
    </w:p>
    <w:p>
      <w:pPr>
        <w:spacing w:line="560" w:lineRule="exact"/>
        <w:rPr>
          <w:rFonts w:ascii="方正仿宋_GBK" w:hAnsi="方正仿宋_GBK" w:eastAsia="方正仿宋_GBK" w:cs="方正仿宋_GBK"/>
          <w:color w:val="0000ff"/>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color w:val="0000ff"/>
          <w:sz w:val="32"/>
          <w:szCs w:val="32"/>
          <w:highlight w:val="none"/>
        </w:rPr>
        <w:t xml:space="preserve">  </w:t>
      </w:r>
      <w:r>
        <w:rPr>
          <w:rFonts w:ascii="方正仿宋_GBK" w:hAnsi="方正仿宋_GBK" w:eastAsia="方正仿宋_GBK" w:cs="方正仿宋_GBK"/>
          <w:sz w:val="32"/>
          <w:szCs w:val="32"/>
          <w:highlight w:val="none"/>
        </w:rPr>
        <w:t xml:space="preserve">4.</w:t>
      </w:r>
      <w:r>
        <w:rPr>
          <w:rFonts w:hint="eastAsia" w:ascii="方正仿宋_GBK" w:hAnsi="方正仿宋_GBK" w:eastAsia="方正仿宋_GBK" w:cs="方正仿宋_GBK"/>
          <w:sz w:val="32"/>
          <w:szCs w:val="32"/>
          <w:highlight w:val="none"/>
        </w:rPr>
        <w:t xml:space="preserve">8</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3副厨（2分）：</w:t>
      </w:r>
      <w:bookmarkStart w:id="346" w:name="OLE_LINK86"/>
      <w:r/>
      <w:bookmarkStart w:id="347" w:name="OLE_LINK85"/>
      <w:r/>
      <w:bookmarkStart w:id="348" w:name="OLE_LINK99"/>
      <w:r/>
      <w:bookmarkStart w:id="349" w:name="OLE_LINK98"/>
      <w:r>
        <w:rPr>
          <w:rFonts w:hint="eastAsia" w:ascii="方正仿宋_GBK" w:hAnsi="方正仿宋_GBK" w:eastAsia="方正仿宋_GBK" w:cs="方正仿宋_GBK"/>
          <w:sz w:val="32"/>
          <w:szCs w:val="32"/>
          <w:highlight w:val="none"/>
        </w:rPr>
        <w:t xml:space="preserve">①</w:t>
      </w:r>
      <w:bookmarkEnd w:id="346"/>
      <w:r/>
      <w:bookmarkEnd w:id="347"/>
      <w:r>
        <w:rPr>
          <w:rFonts w:hint="eastAsia" w:ascii="方正仿宋_GBK" w:hAnsi="方正仿宋_GBK" w:eastAsia="方正仿宋_GBK" w:cs="方正仿宋_GBK"/>
          <w:sz w:val="32"/>
          <w:szCs w:val="32"/>
          <w:highlight w:val="none"/>
        </w:rPr>
        <w:t xml:space="preserve">有3年及以上的厨师工作经验的得1分；</w:t>
      </w:r>
      <w:bookmarkStart w:id="350" w:name="OLE_LINK84"/>
      <w:r/>
      <w:bookmarkStart w:id="351" w:name="OLE_LINK83"/>
      <w:r>
        <w:rPr>
          <w:rFonts w:hint="eastAsia" w:ascii="方正仿宋_GBK" w:hAnsi="方正仿宋_GBK" w:eastAsia="方正仿宋_GBK" w:cs="方正仿宋_GBK"/>
          <w:sz w:val="32"/>
          <w:szCs w:val="32"/>
          <w:highlight w:val="none"/>
        </w:rPr>
        <w:t xml:space="preserve">②</w:t>
      </w:r>
      <w:bookmarkEnd w:id="350"/>
      <w:r/>
      <w:bookmarkEnd w:id="351"/>
      <w:r>
        <w:rPr>
          <w:rFonts w:hint="eastAsia" w:ascii="方正仿宋_GBK" w:hAnsi="方正仿宋_GBK" w:eastAsia="方正仿宋_GBK" w:cs="方正仿宋_GBK"/>
          <w:sz w:val="32"/>
          <w:szCs w:val="32"/>
          <w:highlight w:val="none"/>
        </w:rPr>
        <w:t xml:space="preserve">有中式烹调师三级及以上证书的得1分。</w:t>
      </w:r>
      <w:bookmarkEnd w:id="348"/>
      <w:r/>
      <w:bookmarkEnd w:id="349"/>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bookmarkStart w:id="352" w:name="OLE_LINK101"/>
      <w:r/>
      <w:bookmarkStart w:id="353" w:name="OLE_LINK100"/>
      <w:r>
        <w:rPr>
          <w:rFonts w:hint="eastAsia" w:ascii="方正仿宋_GBK" w:hAnsi="方正仿宋_GBK" w:eastAsia="方正仿宋_GBK" w:cs="方正仿宋_GBK"/>
          <w:sz w:val="32"/>
          <w:szCs w:val="32"/>
          <w:highlight w:val="none"/>
        </w:rPr>
        <w:t xml:space="preserve">②需提供相关证书复印件或扫描件；①需提供该人员担任厨师的项目合同复印件</w:t>
      </w:r>
      <w:bookmarkStart w:id="354" w:name="OLE_LINK20"/>
      <w:r>
        <w:rPr>
          <w:rFonts w:hint="eastAsia" w:ascii="方正仿宋_GBK" w:hAnsi="方正仿宋_GBK" w:eastAsia="方正仿宋_GBK" w:cs="方正仿宋_GBK"/>
          <w:sz w:val="32"/>
          <w:szCs w:val="32"/>
          <w:highlight w:val="none"/>
        </w:rPr>
        <w:t xml:space="preserve">或扫描件以及业主单位盖章的工作经验证明材料。除提供上述材料，投标人还需提供近3个月内任意1个月为其缴纳社保的证明材料。</w:t>
      </w:r>
      <w:bookmarkEnd w:id="352"/>
      <w:r/>
      <w:bookmarkEnd w:id="353"/>
      <w:r/>
      <w:bookmarkEnd w:id="354"/>
      <w:r/>
      <w:r/>
    </w:p>
    <w:p>
      <w:pPr>
        <w:spacing w:line="560" w:lineRule="exact"/>
        <w:rPr>
          <w:rFonts w:ascii="方正仿宋_GBK" w:hAnsi="方正仿宋_GBK" w:eastAsia="方正仿宋_GBK" w:cs="方正仿宋_GBK"/>
          <w:color w:val="0000ff"/>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color w:val="0000ff"/>
          <w:sz w:val="32"/>
          <w:szCs w:val="32"/>
          <w:highlight w:val="none"/>
        </w:rPr>
        <w:t xml:space="preserve">  </w:t>
      </w:r>
      <w:r>
        <w:rPr>
          <w:rFonts w:hint="eastAsia" w:ascii="方正仿宋_GBK" w:hAnsi="方正仿宋_GBK" w:eastAsia="方正仿宋_GBK" w:cs="方正仿宋_GBK"/>
          <w:sz w:val="32"/>
          <w:szCs w:val="32"/>
          <w:highlight w:val="none"/>
        </w:rPr>
        <w:t xml:space="preserve">4.8.4面点师（2分）：①有3年及以上的厨师工作经验的得1分；②有中式面点师三级及以上证书的得1分。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②需提供相关证书复印件或扫描件；①需提供该人员担任厨师的项目合同复印件或扫描件以及业主单位盖章的工作经验证明材料。除提供上述材料，投标人还需提供近3个月内任意1个月为其缴纳社保的证明材料。</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4.8.5服务员（2分）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拟派驻本项目的服务员具备3年及以上本项目类似餐饮项目经验的，每提供1人得1分，最多得2分。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提供担任服务员的餐饮项目合同复印件或扫描件、业主单位盖章的工作经验证明材料，以及投标人近3个月内任意1个月为其缴纳社保的证明材料。</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bookmarkStart w:id="355" w:name="OLE_LINK70"/>
      <w:r/>
      <w:bookmarkStart w:id="356" w:name="OLE_LINK69"/>
      <w:r>
        <w:rPr>
          <w:rFonts w:hint="eastAsia" w:ascii="方正仿宋_GBK" w:hAnsi="方正仿宋_GBK" w:eastAsia="方正仿宋_GBK" w:cs="方正仿宋_GBK"/>
          <w:sz w:val="32"/>
          <w:szCs w:val="32"/>
          <w:highlight w:val="none"/>
        </w:rPr>
        <w:t xml:space="preserve">（五）综合实力（12分）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5.1业绩（9分）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5.1.1投标人自2021年1月1日（以合同签订日期为准）以来具有类似</w:t>
      </w:r>
      <w:bookmarkStart w:id="357" w:name="OLE_LINK78"/>
      <w:r/>
      <w:bookmarkStart w:id="358" w:name="OLE_LINK79"/>
      <w:r>
        <w:rPr>
          <w:rFonts w:hint="eastAsia" w:ascii="方正仿宋_GBK" w:hAnsi="方正仿宋_GBK" w:eastAsia="方正仿宋_GBK" w:cs="方正仿宋_GBK"/>
          <w:sz w:val="32"/>
          <w:szCs w:val="32"/>
          <w:highlight w:val="none"/>
        </w:rPr>
        <w:t xml:space="preserve">办公场所</w:t>
      </w:r>
      <w:bookmarkEnd w:id="357"/>
      <w:r/>
      <w:bookmarkEnd w:id="358"/>
      <w:r>
        <w:rPr>
          <w:rFonts w:hint="eastAsia" w:ascii="方正仿宋_GBK" w:hAnsi="方正仿宋_GBK" w:eastAsia="方正仿宋_GBK" w:cs="方正仿宋_GBK"/>
          <w:sz w:val="32"/>
          <w:szCs w:val="32"/>
          <w:highlight w:val="none"/>
        </w:rPr>
        <w:t xml:space="preserve">类项目物业管理服务业绩（服务范围同时包含会务、保洁、安保、食堂餐饮等上述所有内容），每提供一个得1分，最高得3分。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同一业主或同一项目不重复计分。投标人须提供合同复印件并加盖投标人公章，合同应清晰反映出合同双方信息、服务内容、签订时间等，合同中不能体现相关信息的，另需提供由业主单位盖章的服务内容证明材料。</w:t>
      </w:r>
      <w:r/>
    </w:p>
    <w:p>
      <w:pPr>
        <w:ind w:firstLine="66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5.1.2投标人自2021年1月1日（以合同签订日期为准）以来有</w:t>
      </w:r>
      <w:r>
        <w:rPr>
          <w:rFonts w:hint="eastAsia" w:ascii="方正仿宋_GBK" w:hAnsi="方正仿宋_GBK" w:eastAsia="方正仿宋_GBK" w:cs="方正仿宋_GBK"/>
          <w:sz w:val="32"/>
          <w:szCs w:val="32"/>
          <w:highlight w:val="none"/>
        </w:rPr>
        <w:t xml:space="preserve">承接过市域外物业服务项目或同一个项目其中有服务点位于市域外的</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t xml:space="preserve">此句中的</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t xml:space="preserve">市</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lang w:val="en-US" w:eastAsia="zh-CN"/>
        </w:rPr>
        <w:t xml:space="preserve">指设区市</w:t>
      </w:r>
      <w:r>
        <w:rPr>
          <w:rFonts w:hint="eastAsia" w:ascii="方正仿宋_GBK" w:hAnsi="方正仿宋_GBK" w:eastAsia="方正仿宋_GBK" w:cs="方正仿宋_GBK"/>
          <w:sz w:val="32"/>
          <w:szCs w:val="32"/>
          <w:highlight w:val="none"/>
          <w:lang w:eastAsia="zh-CN"/>
        </w:rPr>
        <w:t xml:space="preserve">）</w:t>
      </w: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每提供一个得</w:t>
      </w:r>
      <w:r>
        <w:rPr>
          <w:rFonts w:hint="eastAsia" w:ascii="方正仿宋_GBK" w:hAnsi="方正仿宋_GBK" w:eastAsia="方正仿宋_GBK" w:cs="方正仿宋_GBK"/>
          <w:sz w:val="32"/>
          <w:szCs w:val="32"/>
          <w:highlight w:val="none"/>
        </w:rPr>
        <w:t xml:space="preserve">2</w:t>
      </w:r>
      <w:r>
        <w:rPr>
          <w:rFonts w:hint="eastAsia" w:ascii="方正仿宋_GBK" w:hAnsi="方正仿宋_GBK" w:eastAsia="方正仿宋_GBK" w:cs="方正仿宋_GBK"/>
          <w:sz w:val="32"/>
          <w:szCs w:val="32"/>
          <w:highlight w:val="none"/>
        </w:rPr>
        <w:t xml:space="preserve">分，最高得4分。</w:t>
      </w:r>
      <w:r/>
    </w:p>
    <w:p>
      <w:pPr>
        <w:ind w:firstLine="66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（1）以投标人</w:t>
      </w:r>
      <w:r>
        <w:rPr>
          <w:rFonts w:hint="eastAsia" w:ascii="方正仿宋_GBK" w:hAnsi="方正仿宋_GBK" w:eastAsia="方正仿宋_GBK" w:cs="方正仿宋_GBK"/>
          <w:sz w:val="32"/>
          <w:szCs w:val="32"/>
          <w:highlight w:val="none"/>
        </w:rPr>
        <w:t xml:space="preserve">工商注册地所在市域为参照</w:t>
      </w:r>
      <w:r>
        <w:rPr>
          <w:rFonts w:hint="eastAsia" w:ascii="方正仿宋_GBK" w:hAnsi="方正仿宋_GBK" w:eastAsia="方正仿宋_GBK" w:cs="方正仿宋_GBK"/>
          <w:sz w:val="32"/>
          <w:szCs w:val="32"/>
          <w:highlight w:val="none"/>
        </w:rPr>
        <w:t xml:space="preserve">，承接过市域外物业服务项目或同一个项目有其中服务点位于市域外，均视为 1 个有效业绩。</w:t>
      </w:r>
      <w:r/>
    </w:p>
    <w:p>
      <w:pPr>
        <w:ind w:firstLine="66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lang w:val="en-US" w:eastAsia="zh-CN"/>
        </w:rPr>
        <w:t xml:space="preserve">2</w:t>
      </w:r>
      <w:r>
        <w:rPr>
          <w:rFonts w:hint="eastAsia" w:ascii="方正仿宋_GBK" w:hAnsi="方正仿宋_GBK" w:eastAsia="方正仿宋_GBK" w:cs="方正仿宋_GBK"/>
          <w:sz w:val="32"/>
          <w:szCs w:val="32"/>
          <w:highlight w:val="none"/>
        </w:rPr>
        <w:t xml:space="preserve">）同一业主、同一项目、同一份合同项下多个异地点位均只按一个业绩计分，不重复计分。投标人须提供合同复印件并加盖投标人公章，合同应清晰反映出合同双方信息、服务内容、签订时间等，合同中不能体现相关信息的，另需提供由业主单位盖章的服务内容证明材料。</w:t>
      </w:r>
      <w:r>
        <w:rPr>
          <w:rFonts w:ascii="方正仿宋_GBK" w:hAnsi="方正仿宋_GBK" w:eastAsia="方正仿宋_GBK" w:cs="方正仿宋_GBK"/>
          <w:sz w:val="32"/>
          <w:szCs w:val="32"/>
          <w:highlight w:val="none"/>
        </w:rPr>
        <w:t xml:space="preserve">5.1.1和5.1.2不可重</w:t>
      </w:r>
      <w:r>
        <w:rPr>
          <w:rFonts w:hint="eastAsia" w:ascii="方正仿宋_GBK" w:hAnsi="方正仿宋_GBK" w:eastAsia="方正仿宋_GBK" w:cs="方正仿宋_GBK"/>
          <w:sz w:val="32"/>
          <w:szCs w:val="32"/>
          <w:highlight w:val="none"/>
        </w:rPr>
        <w:t xml:space="preserve">复得分。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5.1.3服务评价（2分）。投标人提供与上述5.1.1或5.1.2项业绩项目对应的业主单位出具的对物业服务满意或优秀或同等级的评价证明材料，每提供1个得0.5分，最高得2分。</w:t>
      </w:r>
      <w:r/>
    </w:p>
    <w:p>
      <w:pPr>
        <w:ind w:firstLine="660"/>
        <w:spacing w:line="560" w:lineRule="exact"/>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rPr>
        <w:t xml:space="preserve">证明材料需业主单位盖章，提供出具单位联系人和联系方式，满意度为一般或者差的不得分</w:t>
      </w:r>
      <w:r>
        <w:rPr>
          <w:rFonts w:hint="eastAsia" w:ascii="方正仿宋_GBK" w:hAnsi="方正仿宋_GBK" w:eastAsia="方正仿宋_GBK" w:cs="方正仿宋_GBK"/>
          <w:sz w:val="32"/>
          <w:szCs w:val="32"/>
          <w:highlight w:val="none"/>
          <w:lang w:eastAsia="zh-CN"/>
        </w:rPr>
        <w:t xml:space="preserve">。</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5</w:t>
      </w:r>
      <w:r>
        <w:rPr>
          <w:rFonts w:ascii="方正仿宋_GBK" w:hAnsi="方正仿宋_GBK" w:eastAsia="方正仿宋_GBK" w:cs="方正仿宋_GBK"/>
          <w:sz w:val="32"/>
          <w:szCs w:val="32"/>
          <w:highlight w:val="none"/>
        </w:rPr>
        <w:t xml:space="preserve">.</w:t>
      </w:r>
      <w:r>
        <w:rPr>
          <w:rFonts w:hint="eastAsia" w:ascii="方正仿宋_GBK" w:hAnsi="方正仿宋_GBK" w:eastAsia="方正仿宋_GBK" w:cs="方正仿宋_GBK"/>
          <w:sz w:val="32"/>
          <w:szCs w:val="32"/>
          <w:highlight w:val="none"/>
        </w:rPr>
        <w:t xml:space="preserve">2物业信息化管理能力（3分）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投标人拟投入的信息化技术可运用于本项目（如手机APP或微信小程序等），包括客户服务、报修、楼宇设备自控、设备远程节能控制、在线视频监控管理、智慧食堂管理。每有1个功能得0.5分，最多得3分。</w:t>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每项功能需同时提供以下材料，缺一不可，否则不得分：（</w:t>
      </w:r>
      <w:r>
        <w:rPr>
          <w:rFonts w:ascii="方正仿宋_GBK" w:hAnsi="方正仿宋_GBK" w:eastAsia="方正仿宋_GBK" w:cs="方正仿宋_GBK"/>
          <w:sz w:val="32"/>
          <w:szCs w:val="32"/>
          <w:highlight w:val="none"/>
        </w:rPr>
        <w:t xml:space="preserve">1</w:t>
      </w:r>
      <w:r>
        <w:rPr>
          <w:rFonts w:hint="eastAsia" w:ascii="方正仿宋_GBK" w:hAnsi="方正仿宋_GBK" w:eastAsia="方正仿宋_GBK" w:cs="方正仿宋_GBK"/>
          <w:sz w:val="32"/>
          <w:szCs w:val="32"/>
          <w:highlight w:val="none"/>
        </w:rPr>
        <w:t xml:space="preserve">）系统功能截图及功能说明；（2）业主或业主单位管理部门盖章的使用证明材料；（3）投标人若自有该功能的，提供软件著作权证书（须含投标人名称）复印件或扫描件。如为购买或租用的，需提供有效购买或租用合同及软件著作权证书复印件或扫描件、与购买或租用合同付款要求相对应的部分银行资金往来证明，缺一项证明材料则该功能不得分。如投标文件中提供的著作权名称表述与招标文件描述的关键字样不一致，而该投标文件中能提供相关材料证明该拥有著作权的软件具有相同或相似功能和效果，且评标委员会认可的，视同符合要求。</w:t>
      </w:r>
      <w:bookmarkEnd w:id="355"/>
      <w:r/>
      <w:bookmarkEnd w:id="356"/>
      <w:r/>
      <w:r/>
    </w:p>
    <w:p>
      <w:pPr>
        <w:ind w:right="839"/>
        <w:jc w:val="center"/>
        <w:spacing w:line="660" w:lineRule="exact"/>
        <w:rPr>
          <w:rFonts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t xml:space="preserve">第六章  投标</w:t>
      </w:r>
      <w:bookmarkEnd w:id="163"/>
      <w:r/>
      <w:bookmarkEnd w:id="164"/>
      <w:r/>
      <w:bookmarkEnd w:id="235"/>
      <w:r>
        <w:rPr>
          <w:rFonts w:hint="eastAsia" w:ascii="方正黑体_GBK" w:hAnsi="方正黑体_GBK" w:eastAsia="方正黑体_GBK" w:cs="方正黑体_GBK"/>
          <w:color w:val="000000"/>
          <w:sz w:val="32"/>
          <w:szCs w:val="32"/>
          <w:highlight w:val="none"/>
        </w:rPr>
        <w:t xml:space="preserve">文件格式 </w:t>
      </w:r>
      <w:r/>
    </w:p>
    <w:p>
      <w:pPr>
        <w:jc w:val="center"/>
        <w:rPr>
          <w:rFonts w:ascii="宋体" w:hAnsi="宋体"/>
          <w:b/>
          <w:sz w:val="72"/>
          <w:highlight w:val="none"/>
        </w:rPr>
      </w:pPr>
      <w:r/>
      <w:bookmarkStart w:id="359" w:name="_Hlt26955039"/>
      <w:r/>
      <w:bookmarkEnd w:id="359"/>
      <w:r/>
      <w:bookmarkStart w:id="360" w:name="_Hlt26671244"/>
      <w:r/>
      <w:bookmarkEnd w:id="360"/>
      <w:r/>
      <w:bookmarkStart w:id="361" w:name="_Toc49090576"/>
      <w:r/>
      <w:bookmarkStart w:id="362" w:name="_Toc26554094"/>
      <w:r/>
      <w:bookmarkStart w:id="363" w:name="_Toc120614282"/>
      <w:r/>
      <w:r/>
    </w:p>
    <w:p>
      <w:pPr>
        <w:jc w:val="center"/>
        <w:rPr>
          <w:rFonts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960"/>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项 目 名 称：</w:t>
      </w:r>
      <w:r>
        <w:rPr>
          <w:rFonts w:hint="eastAsia" w:ascii="方正黑体_GBK" w:hAnsi="方正黑体_GBK" w:eastAsia="方正黑体_GBK" w:cs="方正黑体_GBK"/>
          <w:bCs/>
          <w:sz w:val="32"/>
          <w:szCs w:val="32"/>
          <w:highlight w:val="none"/>
          <w:u w:val="single"/>
        </w:rPr>
        <w:t xml:space="preserve">               </w:t>
      </w:r>
      <w:r/>
    </w:p>
    <w:p>
      <w:pPr>
        <w:ind w:firstLine="960"/>
        <w:rPr>
          <w:rFonts w:ascii="方正黑体_GBK" w:hAnsi="方正黑体_GBK" w:eastAsia="方正黑体_GBK" w:cs="方正黑体_GBK"/>
          <w:bCs/>
          <w:sz w:val="32"/>
          <w:szCs w:val="32"/>
          <w:highlight w:val="none"/>
          <w:u w:val="single"/>
        </w:rPr>
      </w:pPr>
      <w:r>
        <w:rPr>
          <w:rFonts w:hint="eastAsia" w:ascii="方正黑体_GBK" w:hAnsi="方正黑体_GBK" w:eastAsia="方正黑体_GBK" w:cs="方正黑体_GBK"/>
          <w:bCs/>
          <w:sz w:val="32"/>
          <w:szCs w:val="32"/>
          <w:highlight w:val="none"/>
        </w:rPr>
        <w:t xml:space="preserve">采 购 编 号：</w:t>
      </w:r>
      <w:r>
        <w:rPr>
          <w:rFonts w:hint="eastAsia" w:ascii="方正黑体_GBK" w:hAnsi="方正黑体_GBK" w:eastAsia="方正黑体_GBK" w:cs="方正黑体_GBK"/>
          <w:bCs/>
          <w:sz w:val="32"/>
          <w:szCs w:val="32"/>
          <w:highlight w:val="none"/>
          <w:u w:val="single"/>
        </w:rPr>
        <w:t xml:space="preserve">               </w:t>
      </w:r>
      <w:r/>
    </w:p>
    <w:p>
      <w:pPr>
        <w:rPr>
          <w:rFonts w:ascii="方正黑体_GBK" w:hAnsi="方正黑体_GBK" w:eastAsia="方正黑体_GBK" w:cs="方正黑体_GBK"/>
          <w:bCs/>
          <w:sz w:val="32"/>
          <w:szCs w:val="32"/>
          <w:highlight w:val="none"/>
          <w:u w:val="single"/>
        </w:rPr>
      </w:pPr>
      <w:r>
        <w:rPr>
          <w:rFonts w:hint="eastAsia" w:ascii="方正黑体_GBK" w:hAnsi="方正黑体_GBK" w:eastAsia="方正黑体_GBK" w:cs="方正黑体_GBK"/>
          <w:bCs/>
          <w:sz w:val="32"/>
          <w:szCs w:val="32"/>
          <w:highlight w:val="none"/>
        </w:rPr>
        <w:t xml:space="preserve">      投标人名称 ：</w:t>
      </w:r>
      <w:r>
        <w:rPr>
          <w:rFonts w:hint="eastAsia" w:ascii="方正黑体_GBK" w:hAnsi="方正黑体_GBK" w:eastAsia="方正黑体_GBK" w:cs="方正黑体_GBK"/>
          <w:bCs/>
          <w:sz w:val="32"/>
          <w:szCs w:val="32"/>
          <w:highlight w:val="none"/>
          <w:u w:val="single"/>
        </w:rPr>
        <w:t xml:space="preserve">（加盖CA电子公章）</w:t>
      </w:r>
      <w:r/>
    </w:p>
    <w:p>
      <w:pPr>
        <w:rPr>
          <w:rFonts w:ascii="方正黑体_GBK" w:hAnsi="方正黑体_GBK" w:eastAsia="方正黑体_GBK" w:cs="方正黑体_GBK"/>
          <w:bCs/>
          <w:sz w:val="32"/>
          <w:szCs w:val="32"/>
          <w:highlight w:val="none"/>
          <w:u w:val="single"/>
        </w:rPr>
      </w:pPr>
      <w:r>
        <w:rPr>
          <w:rFonts w:hint="eastAsia" w:ascii="方正黑体_GBK" w:hAnsi="方正黑体_GBK" w:eastAsia="方正黑体_GBK" w:cs="方正黑体_GBK"/>
          <w:bCs/>
          <w:sz w:val="32"/>
          <w:szCs w:val="32"/>
          <w:highlight w:val="none"/>
        </w:rPr>
        <w:t xml:space="preserve">      日      期 ：</w:t>
      </w:r>
      <w:r>
        <w:rPr>
          <w:rFonts w:hint="eastAsia" w:ascii="方正黑体_GBK" w:hAnsi="方正黑体_GBK" w:eastAsia="方正黑体_GBK" w:cs="方正黑体_GBK"/>
          <w:bCs/>
          <w:sz w:val="32"/>
          <w:szCs w:val="32"/>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投标文件的组成</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640"/>
        <w:jc w:val="left"/>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一、基本目录</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1.开标一览表（格式见附件1）</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2.投标分项报价表（格式见附件2）</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3.技术要求响应及偏离表（格式见附件3）</w:t>
      </w:r>
      <w:r/>
    </w:p>
    <w:p>
      <w:pPr>
        <w:ind w:firstLine="640"/>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4.商务要求响应及偏离表（格式见附件4）</w:t>
      </w:r>
      <w:r/>
    </w:p>
    <w:p>
      <w:pPr>
        <w:ind w:firstLine="640"/>
        <w:jc w:val="left"/>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二、资格审查内容</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1.法人或者其他组织的营业执照等证明文件，自然人的身份证明</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2.2024或2025年度的财务状况报告（投标人成立不满一年无需提供）</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4.具备履行合同所必需的设备和专业技术能力的书面声明（格式见附件5）</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5.参加政府采购活动前 3 年内在经营活动中没有重大违法记录的书面声明（格式见附件6）</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6.特定资格要求的证明文件（如果本项目对投标人做出特定资格要求的，必须提供）</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7.在“信用中国”网站（</w:t>
      </w:r>
      <w:r>
        <w:rPr>
          <w:rFonts w:hint="eastAsia" w:eastAsia="方正仿宋_GBK"/>
          <w:color w:val="000000"/>
          <w:sz w:val="32"/>
          <w:szCs w:val="32"/>
          <w:highlight w:val="none"/>
        </w:rPr>
        <w:t xml:space="preserve">www.creditchina.gov.cn</w:t>
      </w:r>
      <w:r>
        <w:rPr>
          <w:rFonts w:hint="eastAsia" w:ascii="方正仿宋_GBK" w:hAnsi="方正仿宋_GBK" w:eastAsia="方正仿宋_GBK" w:cs="方正仿宋_GBK"/>
          <w:sz w:val="32"/>
          <w:szCs w:val="32"/>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8.法人授权书（格式见附件7）</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9.投标函（格式见附件8）</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10.中小微企业声明函（如果本项目专门面向中小微型企业采购，则必须提供。格式见附件9）</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11.残疾人福利性单位声明函（如果本项目专门面向中小微型企业采购，供应商为残疾人福利性单位并由本单位提供服务。格式见附件10）</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12.联合体协议（如果本项目接受联合体参加投标，投标人是联合体的，则必须提供。格式见附件11）</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总备注：上述“资格审查内容”中1-5条、8、9条投标人必须在投标文件中提供相关材料，否则作无效投标处理；6、10、11、12条如招标文件要求必须提供相关材料而未提供的，作无效投标处理。</w:t>
      </w:r>
      <w:r/>
    </w:p>
    <w:p>
      <w:pPr>
        <w:ind w:firstLine="640"/>
        <w:jc w:val="left"/>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三、符合性审查内容</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投标人必须对招标文件（含技术要求和商务要求）中</w:t>
      </w:r>
      <w:r>
        <w:rPr>
          <w:rFonts w:hint="eastAsia" w:ascii="方正仿宋_GBK" w:hAnsi="方正仿宋_GBK" w:eastAsia="方正仿宋_GBK" w:cs="方正仿宋_GBK"/>
          <w:b/>
          <w:bCs/>
          <w:i/>
          <w:sz w:val="32"/>
          <w:szCs w:val="32"/>
          <w:highlight w:val="none"/>
          <w:u w:val="single"/>
        </w:rPr>
        <w:t xml:space="preserve">斜体且有下划线部分</w:t>
      </w:r>
      <w:r>
        <w:rPr>
          <w:rFonts w:hint="eastAsia" w:ascii="方正仿宋_GBK" w:hAnsi="方正仿宋_GBK" w:eastAsia="方正仿宋_GBK" w:cs="方正仿宋_GBK"/>
          <w:b/>
          <w:bCs/>
          <w:sz w:val="32"/>
          <w:szCs w:val="32"/>
          <w:highlight w:val="none"/>
        </w:rPr>
        <w:t xml:space="preserve">或加*号条款</w:t>
      </w:r>
      <w:r>
        <w:rPr>
          <w:rFonts w:hint="eastAsia" w:ascii="方正仿宋_GBK" w:hAnsi="方正仿宋_GBK" w:eastAsia="方正仿宋_GBK" w:cs="方正仿宋_GBK"/>
          <w:sz w:val="32"/>
          <w:szCs w:val="32"/>
          <w:highlight w:val="none"/>
        </w:rPr>
        <w:t xml:space="preserve">的实质性要求逐条做出响应，并按照招标文件要求提供证明材料，否则作无效投标处理。（格式见附件12）</w:t>
      </w:r>
      <w:r/>
    </w:p>
    <w:p>
      <w:pPr>
        <w:ind w:firstLine="640"/>
        <w:jc w:val="left"/>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 xml:space="preserve">四、价格扣除证明文件</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1.中小微企业声明函（格式见附件9）</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2.残疾人福利性单位声明函（格式见附件10）</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3.关于符合本国产品标准的声明函（格式见附件13）</w:t>
      </w:r>
      <w:r/>
    </w:p>
    <w:p>
      <w:pPr>
        <w:rPr>
          <w:rFonts w:ascii="宋体" w:hAnsi="宋体"/>
          <w:b/>
          <w:color w:val="ff0000"/>
          <w:sz w:val="24"/>
          <w:szCs w:val="24"/>
          <w:highlight w:val="none"/>
        </w:rPr>
      </w:pPr>
      <w:r>
        <w:rPr>
          <w:rFonts w:ascii="宋体" w:hAnsi="宋体"/>
          <w:b/>
          <w:color w:val="ff0000"/>
          <w:sz w:val="24"/>
          <w:szCs w:val="24"/>
          <w:highlight w:val="none"/>
        </w:rPr>
      </w:r>
      <w:r/>
    </w:p>
    <w:p>
      <w:pPr>
        <w:spacing w:line="560" w:lineRule="exac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bCs/>
          <w:sz w:val="32"/>
          <w:szCs w:val="32"/>
          <w:highlight w:val="none"/>
        </w:rPr>
        <w:t xml:space="preserve">附件1 开标一览表</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投标人全称（加盖CA电子签章）：</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项目名称：</w:t>
      </w:r>
      <w:r>
        <w:rPr>
          <w:rFonts w:hint="eastAsia" w:eastAsia="方正仿宋_GBK"/>
          <w:color w:val="000000"/>
          <w:sz w:val="32"/>
          <w:szCs w:val="32"/>
          <w:highlight w:val="none"/>
        </w:rPr>
        <w:t xml:space="preserve">XXXX</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采购编号：</w:t>
      </w:r>
      <w:r>
        <w:rPr>
          <w:rFonts w:hint="eastAsia" w:eastAsia="方正仿宋_GBK"/>
          <w:color w:val="000000"/>
          <w:sz w:val="32"/>
          <w:szCs w:val="32"/>
          <w:highlight w:val="none"/>
        </w:rPr>
        <w:t xml:space="preserve">JSZC-320000-SCZX-G20XX-XXXX    </w:t>
      </w:r>
      <w:r>
        <w:rPr>
          <w:rFonts w:hint="eastAsia" w:ascii="方正仿宋_GBK" w:hAnsi="方正仿宋_GBK" w:eastAsia="方正仿宋_GBK" w:cs="方正仿宋_GBK"/>
          <w:sz w:val="32"/>
          <w:szCs w:val="32"/>
          <w:highlight w:val="none"/>
        </w:rPr>
        <w:t xml:space="preserve">                                  </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采购包号：</w:t>
      </w:r>
      <w:r>
        <w:rPr>
          <w:rFonts w:hint="eastAsia" w:eastAsia="方正仿宋_GBK"/>
          <w:color w:val="000000"/>
          <w:sz w:val="32"/>
          <w:szCs w:val="32"/>
          <w:highlight w:val="none"/>
        </w:rPr>
        <w:t xml:space="preserve">XX</w:t>
      </w:r>
      <w:r/>
    </w:p>
    <w:tbl>
      <w:tblPr>
        <w:tblStyle w:val="7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投标总报价（三年）</w:t>
            </w:r>
            <w:r/>
          </w:p>
        </w:tc>
      </w:tr>
      <w:tr>
        <w:trPr>
          <w:cantSplit/>
          <w:trHeight w:val="612"/>
        </w:trPr>
        <w:tc>
          <w:tcPr>
            <w:tcW w:w="8934" w:type="dxa"/>
            <w:vAlign w:val="center"/>
            <w:textDirection w:val="lrTb"/>
            <w:noWrap w:val="false"/>
          </w:tcPr>
          <w:p>
            <w:pPr>
              <w:pStyle w:val="922"/>
              <w:ind w:firstLine="0"/>
              <w:spacing w:before="0" w:after="0" w:line="5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p>
        </w:tc>
      </w:tr>
    </w:tbl>
    <w:p>
      <w:pPr>
        <w:ind w:firstLine="480"/>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附件2 投标分项报价表（采购包号：</w:t>
      </w:r>
      <w:r>
        <w:rPr>
          <w:rFonts w:hint="eastAsia" w:eastAsia="方正仿宋_GBK"/>
          <w:color w:val="000000"/>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tbl>
      <w:tblPr>
        <w:tblStyle w:val="773"/>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104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p>
        </w:tc>
      </w:tr>
      <w:tr>
        <w:trPr>
          <w:cantSplit/>
          <w:trHeight w:val="294"/>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1106" w:type="dxa"/>
            <w:vAlign w:val="center"/>
            <w:textDirection w:val="lrTb"/>
            <w:noWrap w:val="false"/>
          </w:tcPr>
          <w:p>
            <w:pP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分项服务名称/货物名称</w:t>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p>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p>
        </w:tc>
        <w:tc>
          <w:tcPr>
            <w:tcW w:w="104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交付期/服务期</w:t>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p>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p>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p>
        </w:tc>
      </w:tr>
      <w:tr>
        <w:trPr>
          <w:cantSplit/>
          <w:trHeight w:val="696"/>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4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724"/>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4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4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580"/>
        </w:trPr>
        <w:tc>
          <w:tcPr>
            <w:tcW w:w="7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10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064"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40"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25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0"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86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434"/>
        </w:trPr>
        <w:tc>
          <w:tcPr>
            <w:gridSpan w:val="10"/>
            <w:tcW w:w="9861" w:type="dxa"/>
            <w:textDirection w:val="lrTb"/>
            <w:noWrap w:val="false"/>
          </w:tcPr>
          <w:p>
            <w:pPr>
              <w:spacing w:line="0" w:lineRule="atLeas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p>
        </w:tc>
      </w:tr>
      <w:tr>
        <w:trPr>
          <w:cantSplit/>
          <w:trHeight w:val="757"/>
        </w:trPr>
        <w:tc>
          <w:tcPr>
            <w:gridSpan w:val="10"/>
            <w:tcW w:w="9861" w:type="dxa"/>
            <w:textDirection w:val="lrTb"/>
            <w:noWrap w:val="false"/>
          </w:tcPr>
          <w:p>
            <w:pPr>
              <w:pStyle w:val="893"/>
              <w:spacing w:before="0" w:beforeAutospacing="0" w:after="0" w:afterAutospacing="0"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sz w:val="32"/>
                <w:szCs w:val="32"/>
                <w:highlight w:val="none"/>
                <w:u w:val="single"/>
              </w:rPr>
              <w:t xml:space="preserve">XX</w:t>
            </w:r>
            <w:r>
              <w:rPr>
                <w:rFonts w:hint="eastAsia" w:ascii="方正仿宋_GBK" w:hAnsi="方正仿宋_GBK" w:eastAsia="方正仿宋_GBK" w:cs="方正仿宋_GBK"/>
                <w:sz w:val="28"/>
                <w:szCs w:val="28"/>
                <w:highlight w:val="none"/>
              </w:rPr>
              <w:t xml:space="preserve">%。</w:t>
            </w:r>
            <w:r/>
          </w:p>
        </w:tc>
      </w:tr>
    </w:tbl>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2.“投标分项报价表”中“投标总报价”数额应当与“开标一览表”中“投标总报价”数额一致。</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3.分项服务不需填写品牌、规格型号、制造商、产地。</w:t>
      </w:r>
      <w:r/>
    </w:p>
    <w:p>
      <w:pPr>
        <w:ind w:firstLine="482"/>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ascii="宋体" w:hAnsi="宋体"/>
          <w:sz w:val="24"/>
          <w:szCs w:val="24"/>
          <w:highlight w:val="none"/>
        </w:rPr>
      </w:pPr>
      <w:r>
        <w:rPr>
          <w:rFonts w:ascii="宋体" w:hAnsi="宋体"/>
          <w:sz w:val="24"/>
          <w:szCs w:val="24"/>
          <w:highlight w:val="none"/>
        </w:rPr>
      </w:r>
      <w:r/>
    </w:p>
    <w:p>
      <w:pPr>
        <w:spacing w:line="0" w:lineRule="atLeast"/>
        <w:rPr>
          <w:rFonts w:ascii="宋体" w:hAnsi="宋体"/>
          <w:sz w:val="32"/>
          <w:szCs w:val="32"/>
          <w:highlight w:val="none"/>
        </w:rPr>
      </w:pPr>
      <w:r>
        <w:rPr>
          <w:rFonts w:ascii="宋体" w:hAnsi="宋体"/>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人员工资、社会保险和公积金三项费用报价表（采购包号：</w:t>
      </w:r>
      <w:r>
        <w:rPr>
          <w:rFonts w:eastAsia="方正黑体_GBK"/>
          <w:bCs/>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tbl>
      <w:tblPr>
        <w:tblStyle w:val="773"/>
        <w:tblW w:w="4972"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350"/>
        <w:gridCol w:w="1410"/>
        <w:gridCol w:w="1560"/>
        <w:gridCol w:w="1005"/>
        <w:gridCol w:w="1365"/>
        <w:gridCol w:w="1625"/>
      </w:tblGrid>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总价1</w:t>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人员工资</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p>
        </w:tc>
        <w:tc>
          <w:tcPr>
            <w:tcW w:w="1625" w:type="dxa"/>
            <w:vAlign w:val="center"/>
            <w:vMerge w:val="continue"/>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p>
        </w:tc>
        <w:tc>
          <w:tcPr>
            <w:tcW w:w="1410" w:type="dxa"/>
            <w:vAlign w:val="center"/>
            <w:textDirection w:val="lrTb"/>
            <w:noWrap w:val="false"/>
          </w:tcPr>
          <w:p>
            <w:pPr>
              <w:jc w:val="center"/>
              <w:spacing w:line="0" w:lineRule="atLeas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005" w:type="dxa"/>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365"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625" w:type="dxa"/>
            <w:vAlign w:val="center"/>
            <w:textDirection w:val="lrTb"/>
            <w:noWrap w:val="false"/>
          </w:tcPr>
          <w:p>
            <w:pPr>
              <w:jc w:val="left"/>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p>
        </w:tc>
        <w:tc>
          <w:tcPr>
            <w:tcW w:w="1410" w:type="dxa"/>
            <w:vAlign w:val="center"/>
            <w:textDirection w:val="lrTb"/>
            <w:noWrap w:val="false"/>
          </w:tcPr>
          <w:p>
            <w:pPr>
              <w:jc w:val="center"/>
              <w:spacing w:line="0" w:lineRule="atLeas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005" w:type="dxa"/>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365"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625" w:type="dxa"/>
            <w:vAlign w:val="center"/>
            <w:textDirection w:val="lrTb"/>
            <w:noWrap w:val="false"/>
          </w:tcPr>
          <w:p>
            <w:pPr>
              <w:jc w:val="left"/>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410" w:type="dxa"/>
            <w:vAlign w:val="center"/>
            <w:textDirection w:val="lrTb"/>
            <w:noWrap w:val="false"/>
          </w:tcPr>
          <w:p>
            <w:pPr>
              <w:jc w:val="center"/>
              <w:spacing w:line="0" w:lineRule="atLeas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005" w:type="dxa"/>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365"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tc>
        <w:tc>
          <w:tcPr>
            <w:tcW w:w="1625" w:type="dxa"/>
            <w:vAlign w:val="center"/>
            <w:textDirection w:val="lrTb"/>
            <w:noWrap w:val="false"/>
          </w:tcPr>
          <w:p>
            <w:pPr>
              <w:jc w:val="left"/>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jc w:val="left"/>
              <w:spacing w:line="0" w:lineRule="atLeas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分项总价1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 期 限</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总价2</w:t>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p>
        </w:tc>
      </w:tr>
      <w:tr>
        <w:trPr>
          <w:trHeight w:val="628"/>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社会保险</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费用</w:t>
            </w:r>
            <w:r/>
          </w:p>
        </w:tc>
        <w:tc>
          <w:tcPr>
            <w:tcW w:w="141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p>
        </w:tc>
        <w:tc>
          <w:tcPr>
            <w:tcW w:w="1625" w:type="dxa"/>
            <w:vAlign w:val="center"/>
            <w:vMerge w:val="continue"/>
            <w:textDirection w:val="lrTb"/>
            <w:noWrap w:val="false"/>
          </w:tcPr>
          <w:p>
            <w:pPr>
              <w:jc w:val="left"/>
              <w:spacing w:line="0" w:lineRule="atLeast"/>
              <w:rPr>
                <w:rFonts w:ascii="方正仿宋_GBK" w:hAnsi="方正仿宋_GBK" w:eastAsia="方正仿宋_GBK" w:cs="方正仿宋_GBK"/>
                <w:i/>
                <w:sz w:val="28"/>
                <w:szCs w:val="28"/>
                <w:highlight w:val="none"/>
                <w:u w:val="single"/>
              </w:rPr>
            </w:pPr>
            <w:r>
              <w:rPr>
                <w:rFonts w:ascii="方正仿宋_GBK" w:hAnsi="方正仿宋_GBK" w:eastAsia="方正仿宋_GBK" w:cs="方正仿宋_GBK"/>
                <w:i/>
                <w:sz w:val="28"/>
                <w:szCs w:val="28"/>
                <w:highlight w:val="none"/>
                <w:u w:val="single"/>
              </w:rPr>
            </w:r>
            <w:r/>
          </w:p>
        </w:tc>
      </w:tr>
      <w:tr>
        <w:trPr>
          <w:trHeight w:val="563"/>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该人员正常缴纳社会保</w:t>
            </w:r>
            <w:r/>
          </w:p>
          <w:p>
            <w:pP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险/</w:t>
            </w:r>
            <w:r>
              <w:rPr>
                <w:rFonts w:hint="eastAsia" w:ascii="方正仿宋_GBK" w:hAnsi="方正仿宋_GBK" w:eastAsia="方正仿宋_GBK" w:cs="方正仿宋_GBK"/>
                <w:iCs/>
                <w:sz w:val="28"/>
                <w:szCs w:val="28"/>
                <w:highlight w:val="none"/>
              </w:rPr>
              <w:t xml:space="preserve">如该人员依法享受社会保险费用缴纳减免政策，请在此框内进行说明</w:t>
            </w:r>
            <w:r/>
          </w:p>
        </w:tc>
      </w:tr>
      <w:tr>
        <w:trPr>
          <w:trHeight w:val="261"/>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vMerge w:val="continue"/>
            <w:textDirection w:val="lrTb"/>
            <w:noWrap w:val="false"/>
          </w:tcPr>
          <w:p>
            <w:pPr>
              <w:jc w:val="left"/>
              <w:spacing w:line="0" w:lineRule="atLeast"/>
              <w:widowControl/>
              <w:rPr>
                <w:rFonts w:ascii="方正仿宋_GBK" w:hAnsi="方正仿宋_GBK" w:eastAsia="方正仿宋_GBK" w:cs="方正仿宋_GBK"/>
                <w:i/>
                <w:sz w:val="28"/>
                <w:szCs w:val="28"/>
                <w:highlight w:val="none"/>
                <w:u w:val="single"/>
              </w:rPr>
            </w:pPr>
            <w:r>
              <w:rPr>
                <w:rFonts w:ascii="方正仿宋_GBK" w:hAnsi="方正仿宋_GBK" w:eastAsia="方正仿宋_GBK" w:cs="方正仿宋_GBK"/>
                <w:i/>
                <w:sz w:val="28"/>
                <w:szCs w:val="28"/>
                <w:highlight w:val="none"/>
                <w:u w:val="single"/>
              </w:rPr>
            </w:r>
            <w:r/>
          </w:p>
        </w:tc>
      </w:tr>
      <w:tr>
        <w:trPr>
          <w:trHeight w:val="261"/>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261"/>
        </w:trPr>
        <w:tc>
          <w:tcPr>
            <w:gridSpan w:val="7"/>
            <w:tcW w:w="9119" w:type="dxa"/>
            <w:vAlign w:val="center"/>
            <w:textDirection w:val="lrTb"/>
            <w:noWrap w:val="false"/>
          </w:tcPr>
          <w:p>
            <w:pPr>
              <w:jc w:val="left"/>
              <w:spacing w:line="0" w:lineRule="atLeas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分项总价2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p>
        </w:tc>
      </w:tr>
      <w:tr>
        <w:trPr>
          <w:trHeight w:val="261"/>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p>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总价3</w:t>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p>
        </w:tc>
      </w:tr>
      <w:tr>
        <w:trPr>
          <w:trHeight w:val="261"/>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住房公积金</w:t>
            </w:r>
            <w:r/>
          </w:p>
        </w:tc>
        <w:tc>
          <w:tcPr>
            <w:tcW w:w="141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p>
        </w:tc>
        <w:tc>
          <w:tcPr>
            <w:tcW w:w="1560" w:type="dxa"/>
            <w:vAlign w:val="center"/>
            <w:textDirection w:val="lrTb"/>
            <w:noWrap w:val="false"/>
          </w:tcPr>
          <w:p>
            <w:pPr>
              <w:jc w:val="center"/>
              <w:spacing w:line="0" w:lineRule="atLeas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p>
        </w:tc>
        <w:tc>
          <w:tcPr>
            <w:tcW w:w="100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p>
        </w:tc>
        <w:tc>
          <w:tcPr>
            <w:tcW w:w="1625" w:type="dxa"/>
            <w:vAlign w:val="center"/>
            <w:vMerge w:val="continue"/>
            <w:textDirection w:val="lrTb"/>
            <w:noWrap w:val="false"/>
          </w:tcPr>
          <w:p>
            <w:pPr>
              <w:jc w:val="left"/>
              <w:spacing w:line="0" w:lineRule="atLeast"/>
              <w:widowControl/>
              <w:rPr>
                <w:rFonts w:ascii="方正仿宋_GBK" w:hAnsi="方正仿宋_GBK" w:eastAsia="方正仿宋_GBK" w:cs="方正仿宋_GBK"/>
                <w:i/>
                <w:sz w:val="28"/>
                <w:szCs w:val="28"/>
                <w:highlight w:val="none"/>
                <w:u w:val="single"/>
              </w:rPr>
            </w:pPr>
            <w:r>
              <w:rPr>
                <w:rFonts w:ascii="方正仿宋_GBK" w:hAnsi="方正仿宋_GBK" w:eastAsia="方正仿宋_GBK" w:cs="方正仿宋_GBK"/>
                <w:i/>
                <w:sz w:val="28"/>
                <w:szCs w:val="28"/>
                <w:highlight w:val="none"/>
                <w:u w:val="singl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vMerge w:val="restart"/>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该人员正常缴存住房公</w:t>
            </w:r>
            <w:r/>
          </w:p>
          <w:p>
            <w:pPr>
              <w:spacing w:line="0" w:lineRule="atLeast"/>
              <w:widowControl/>
              <w:rPr>
                <w:rFonts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积金/</w:t>
            </w:r>
            <w:r>
              <w:rPr>
                <w:rFonts w:hint="eastAsia" w:ascii="方正仿宋_GBK" w:hAnsi="方正仿宋_GBK" w:eastAsia="方正仿宋_GBK" w:cs="方正仿宋_GBK"/>
                <w:iCs/>
                <w:sz w:val="28"/>
                <w:szCs w:val="28"/>
                <w:highlight w:val="none"/>
              </w:rPr>
              <w:t xml:space="preserve">如该人员依法享受住房公积金缴存减免政策，请在此框内进行说明</w:t>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w:t>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vMerge w:val="continue"/>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tcW w:w="804"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5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141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60"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5" w:type="dxa"/>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65" w:type="dxa"/>
            <w:vAlign w:val="center"/>
            <w:textDirection w:val="lrTb"/>
            <w:noWrap w:val="false"/>
          </w:tcPr>
          <w:p>
            <w:pPr>
              <w:jc w:val="center"/>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25" w:type="dxa"/>
            <w:vAlign w:val="center"/>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jc w:val="left"/>
              <w:spacing w:line="0" w:lineRule="atLeas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分项总价3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p>
        </w:tc>
      </w:tr>
    </w:tbl>
    <w:p>
      <w:pPr>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spacing w:line="560" w:lineRule="exact"/>
        <w:rPr>
          <w:rFonts w:ascii="方正仿宋_GBK" w:hAnsi="方正仿宋_GBK" w:eastAsia="方正仿宋_GBK" w:cs="方正仿宋_GBK"/>
          <w:iCs/>
          <w:sz w:val="32"/>
          <w:szCs w:val="32"/>
          <w:highlight w:val="none"/>
        </w:rPr>
      </w:pPr>
      <w:r>
        <w:rPr>
          <w:rFonts w:hint="eastAsia" w:ascii="方正仿宋_GBK" w:hAnsi="方正仿宋_GBK" w:eastAsia="方正仿宋_GBK" w:cs="方正仿宋_GBK"/>
          <w:iCs/>
          <w:sz w:val="32"/>
          <w:szCs w:val="32"/>
          <w:highlight w:val="none"/>
        </w:rPr>
        <w:t xml:space="preserve">1.本表仅适用于物业管理服务品目政府采购项目，供应商需在投标（响应）文件中填报此表。</w:t>
      </w:r>
      <w:r/>
    </w:p>
    <w:p>
      <w:pPr>
        <w:spacing w:line="560" w:lineRule="exact"/>
        <w:rPr>
          <w:rFonts w:ascii="方正仿宋_GBK" w:hAnsi="方正仿宋_GBK" w:eastAsia="方正仿宋_GBK" w:cs="方正仿宋_GBK"/>
          <w:i/>
          <w:sz w:val="32"/>
          <w:szCs w:val="32"/>
          <w:highlight w:val="none"/>
          <w:u w:val="single"/>
        </w:rPr>
      </w:pPr>
      <w:r>
        <w:rPr>
          <w:rFonts w:hint="eastAsia" w:ascii="方正仿宋_GBK" w:hAnsi="方正仿宋_GBK" w:eastAsia="方正仿宋_GBK" w:cs="方正仿宋_GBK"/>
          <w:i/>
          <w:sz w:val="32"/>
          <w:szCs w:val="32"/>
          <w:highlight w:val="none"/>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highlight w:val="none"/>
        </w:rPr>
      </w:pPr>
      <w:r>
        <w:rPr>
          <w:rFonts w:ascii="方正魏碑_GBK" w:hAnsi="方正魏碑_GBK" w:eastAsia="方正魏碑_GBK" w:cs="方正魏碑_GBK"/>
          <w:b/>
          <w:bCs/>
          <w:color w:val="ff0000"/>
          <w:sz w:val="28"/>
          <w:szCs w:val="28"/>
          <w:highlight w:val="none"/>
        </w:rPr>
      </w:r>
      <w:r/>
    </w:p>
    <w:p>
      <w:pPr>
        <w:rPr>
          <w:highlight w:val="none"/>
        </w:rPr>
      </w:pPr>
      <w:r>
        <w:rPr>
          <w:highlight w:val="none"/>
        </w:rPr>
      </w:r>
      <w:r/>
    </w:p>
    <w:p>
      <w:pPr>
        <w:spacing w:line="0" w:lineRule="atLeast"/>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hint="eastAsia" w:ascii="宋体" w:hAnsi="宋体"/>
          <w:sz w:val="24"/>
          <w:szCs w:val="24"/>
          <w:highlight w:val="none"/>
        </w:rPr>
        <w:t xml:space="preserve">                                 </w:t>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附件3 技术要求响应及偏离表（采购包号：XX）</w:t>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28"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jc w:val="left"/>
        <w:spacing w:line="0" w:lineRule="atLeast"/>
        <w:rPr>
          <w:rFonts w:ascii="宋体" w:hAnsi="宋体"/>
          <w:sz w:val="24"/>
          <w:szCs w:val="24"/>
          <w:highlight w:val="none"/>
        </w:rPr>
      </w:pPr>
      <w:r>
        <w:rPr>
          <w:rFonts w:hint="eastAsia" w:ascii="方正仿宋_GBK" w:hAnsi="方正仿宋_GBK" w:eastAsia="方正仿宋_GBK" w:cs="方正仿宋_GBK"/>
          <w:sz w:val="32"/>
          <w:szCs w:val="32"/>
          <w:highlight w:val="none"/>
        </w:rPr>
        <w:t xml:space="preserve">附件3-1  证明材料1，证明材料2，……</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1.投标人需对招标文件技术要求中非实质性要求（</w:t>
      </w:r>
      <w:r>
        <w:rPr>
          <w:rFonts w:hint="eastAsia" w:ascii="方正仿宋_GBK" w:hAnsi="方正仿宋_GBK" w:eastAsia="方正仿宋_GBK" w:cs="方正仿宋_GBK"/>
          <w:b/>
          <w:sz w:val="32"/>
          <w:szCs w:val="32"/>
          <w:highlight w:val="none"/>
        </w:rPr>
        <w:t xml:space="preserve">未加</w:t>
      </w:r>
      <w:r>
        <w:rPr>
          <w:rFonts w:hint="eastAsia" w:ascii="方正仿宋_GBK" w:hAnsi="方正仿宋_GBK" w:eastAsia="方正仿宋_GBK" w:cs="方正仿宋_GBK"/>
          <w:b/>
          <w:i/>
          <w:sz w:val="32"/>
          <w:szCs w:val="32"/>
          <w:highlight w:val="none"/>
          <w:u w:val="single"/>
        </w:rPr>
        <w:t xml:space="preserve">斜体下划线</w:t>
      </w:r>
      <w:r>
        <w:rPr>
          <w:rFonts w:hint="eastAsia" w:ascii="方正仿宋_GBK" w:hAnsi="方正仿宋_GBK" w:eastAsia="方正仿宋_GBK" w:cs="方正仿宋_GBK"/>
          <w:b/>
          <w:iCs/>
          <w:sz w:val="32"/>
          <w:szCs w:val="32"/>
          <w:highlight w:val="none"/>
        </w:rPr>
        <w:t xml:space="preserve">部分</w:t>
      </w:r>
      <w:r>
        <w:rPr>
          <w:rFonts w:hint="eastAsia" w:ascii="方正仿宋_GBK" w:hAnsi="方正仿宋_GBK" w:eastAsia="方正仿宋_GBK" w:cs="方正仿宋_GBK"/>
          <w:b/>
          <w:sz w:val="32"/>
          <w:szCs w:val="32"/>
          <w:highlight w:val="none"/>
        </w:rPr>
        <w:t xml:space="preserve">或未加*号条款</w:t>
      </w:r>
      <w:r>
        <w:rPr>
          <w:rFonts w:hint="eastAsia" w:ascii="方正仿宋_GBK" w:hAnsi="方正仿宋_GBK" w:eastAsia="方正仿宋_GBK" w:cs="方正仿宋_GBK"/>
          <w:sz w:val="32"/>
          <w:szCs w:val="32"/>
          <w:highlight w:val="none"/>
        </w:rPr>
        <w:t xml:space="preserve">）逐条做出明确响应。</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2.如果招标文件要求提供证明材料，投标人需将证明材料列于该表之下。</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附件4 商务要求响应及偏离表（采购包号：XX）</w:t>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p>
        </w:tc>
        <w:tc>
          <w:tcPr>
            <w:tcW w:w="3191"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296" w:type="dxa"/>
            <w:vAlign w:val="center"/>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191"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296"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063"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296" w:type="dxa"/>
            <w:textDirection w:val="lrTb"/>
            <w:noWrap w:val="false"/>
          </w:tcPr>
          <w:p>
            <w:pPr>
              <w:jc w:val="center"/>
              <w:spacing w:line="0" w:lineRule="atLeas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jc w:val="left"/>
        <w:spacing w:line="0" w:lineRule="atLeas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附件4-1  证明材料1，证明材料2，……</w:t>
      </w:r>
      <w:r/>
    </w:p>
    <w:p>
      <w:pPr>
        <w:spacing w:line="400" w:lineRule="exact"/>
        <w:rPr>
          <w:rFonts w:ascii="宋体" w:hAnsi="宋体"/>
          <w:sz w:val="24"/>
          <w:szCs w:val="24"/>
          <w:highlight w:val="none"/>
        </w:rPr>
      </w:pPr>
      <w:r>
        <w:rPr>
          <w:rFonts w:ascii="宋体" w:hAnsi="宋体"/>
          <w:sz w:val="24"/>
          <w:szCs w:val="24"/>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1.投标人需对招标文件商务要求中非实质性要求（</w:t>
      </w:r>
      <w:r>
        <w:rPr>
          <w:rFonts w:hint="eastAsia" w:ascii="方正仿宋_GBK" w:hAnsi="方正仿宋_GBK" w:eastAsia="方正仿宋_GBK" w:cs="方正仿宋_GBK"/>
          <w:b/>
          <w:sz w:val="32"/>
          <w:szCs w:val="32"/>
          <w:highlight w:val="none"/>
        </w:rPr>
        <w:t xml:space="preserve">未加</w:t>
      </w:r>
      <w:r>
        <w:rPr>
          <w:rFonts w:hint="eastAsia" w:ascii="方正仿宋_GBK" w:hAnsi="方正仿宋_GBK" w:eastAsia="方正仿宋_GBK" w:cs="方正仿宋_GBK"/>
          <w:b/>
          <w:i/>
          <w:sz w:val="32"/>
          <w:szCs w:val="32"/>
          <w:highlight w:val="none"/>
          <w:u w:val="single"/>
        </w:rPr>
        <w:t xml:space="preserve">斜体下划线</w:t>
      </w:r>
      <w:r>
        <w:rPr>
          <w:rFonts w:hint="eastAsia" w:ascii="方正仿宋_GBK" w:hAnsi="方正仿宋_GBK" w:eastAsia="方正仿宋_GBK" w:cs="方正仿宋_GBK"/>
          <w:b/>
          <w:iCs/>
          <w:sz w:val="32"/>
          <w:szCs w:val="32"/>
          <w:highlight w:val="none"/>
        </w:rPr>
        <w:t xml:space="preserve">部分</w:t>
      </w:r>
      <w:r>
        <w:rPr>
          <w:rFonts w:hint="eastAsia" w:ascii="方正仿宋_GBK" w:hAnsi="方正仿宋_GBK" w:eastAsia="方正仿宋_GBK" w:cs="方正仿宋_GBK"/>
          <w:b/>
          <w:sz w:val="32"/>
          <w:szCs w:val="32"/>
          <w:highlight w:val="none"/>
        </w:rPr>
        <w:t xml:space="preserve">或未加*号条款</w:t>
      </w:r>
      <w:r>
        <w:rPr>
          <w:rFonts w:hint="eastAsia" w:ascii="方正仿宋_GBK" w:hAnsi="方正仿宋_GBK" w:eastAsia="方正仿宋_GBK" w:cs="方正仿宋_GBK"/>
          <w:sz w:val="32"/>
          <w:szCs w:val="32"/>
          <w:highlight w:val="none"/>
        </w:rPr>
        <w:t xml:space="preserve">）逐条做出明确响应。</w:t>
      </w:r>
      <w:r/>
    </w:p>
    <w:p>
      <w:pPr>
        <w:ind w:firstLine="640"/>
        <w:spacing w:line="560" w:lineRule="exact"/>
        <w:rPr>
          <w:rFonts w:ascii="宋体" w:hAnsi="宋体"/>
          <w:b/>
          <w:sz w:val="24"/>
          <w:highlight w:val="none"/>
        </w:rPr>
      </w:pPr>
      <w:r>
        <w:rPr>
          <w:rFonts w:hint="eastAsia" w:ascii="方正仿宋_GBK" w:hAnsi="方正仿宋_GBK" w:eastAsia="方正仿宋_GBK" w:cs="方正仿宋_GBK"/>
          <w:sz w:val="32"/>
          <w:szCs w:val="32"/>
          <w:highlight w:val="none"/>
        </w:rPr>
        <w:t xml:space="preserve">2.如果招标文件要求提供证明材料，投标人需将证明材料列于该表之下。</w:t>
      </w:r>
      <w:r/>
    </w:p>
    <w:p>
      <w:pPr>
        <w:ind w:firstLine="480"/>
        <w:spacing w:line="440" w:lineRule="exact"/>
        <w:rPr>
          <w:rFonts w:ascii="宋体" w:hAnsi="宋体"/>
          <w:sz w:val="24"/>
          <w:highlight w:val="none"/>
        </w:rPr>
      </w:pPr>
      <w:r>
        <w:rPr>
          <w:rFonts w:ascii="宋体" w:hAnsi="宋体"/>
          <w:sz w:val="24"/>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附件5 具备履行合同所必需的设备和专业技术能力的书面声明</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我单位郑重声明：我单位具备履行本项采购合同所必需的设备和专业技术能力，为履行本项采购合同我公司具备如下主要设备和主要专业技术能力：</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主要设备有：</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主要专业技术能力有：</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w:t>
      </w:r>
      <w:r/>
    </w:p>
    <w:p>
      <w:pPr>
        <w:spacing w:line="460" w:lineRule="exact"/>
        <w:rPr>
          <w:rFonts w:ascii="宋体" w:hAnsi="宋体"/>
          <w:b/>
          <w:color w:val="000000"/>
          <w:sz w:val="24"/>
          <w:highlight w:val="none"/>
        </w:rPr>
      </w:pPr>
      <w:r>
        <w:rPr>
          <w:rFonts w:hint="eastAsia" w:ascii="宋体" w:hAnsi="宋体"/>
          <w:bCs/>
          <w:color w:val="000000"/>
          <w:sz w:val="24"/>
          <w:highlight w:val="none"/>
        </w:rPr>
        <w:t xml:space="preserve">                                     </w:t>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宋体" w:hAnsi="宋体"/>
          <w:bCs/>
          <w:color w:val="000000"/>
          <w:sz w:val="24"/>
          <w:highlight w:val="none"/>
        </w:rPr>
      </w:pPr>
      <w:r/>
      <w:bookmarkStart w:id="364" w:name="OLE_LINK71"/>
      <w:r/>
      <w:bookmarkStart w:id="365" w:name="OLE_LINK23"/>
      <w:r>
        <w:rPr>
          <w:rFonts w:hint="eastAsia" w:ascii="方正黑体_GBK" w:hAnsi="方正黑体_GBK" w:eastAsia="方正黑体_GBK" w:cs="方正黑体_GBK"/>
          <w:bCs/>
          <w:sz w:val="32"/>
          <w:szCs w:val="32"/>
          <w:highlight w:val="none"/>
        </w:rPr>
        <w:t xml:space="preserve">附件6 参加政府采购活动前 3 年内在经营活动中没有重大违法记录的书面声明</w:t>
      </w:r>
      <w:r/>
    </w:p>
    <w:p>
      <w:pPr>
        <w:ind w:firstLine="640"/>
        <w:spacing w:line="560" w:lineRule="exact"/>
        <w:rPr>
          <w:rFonts w:ascii="方正仿宋_GBK" w:hAnsi="方正仿宋_GBK" w:eastAsia="方正仿宋_GBK" w:cs="方正仿宋_GBK"/>
          <w:sz w:val="32"/>
          <w:szCs w:val="32"/>
          <w:highlight w:val="none"/>
        </w:rPr>
      </w:pPr>
      <w:r/>
      <w:bookmarkStart w:id="366" w:name="OLE_LINK73"/>
      <w:r/>
      <w:bookmarkStart w:id="367" w:name="OLE_LINK72"/>
      <w:r>
        <w:rPr>
          <w:rFonts w:hint="eastAsia" w:ascii="方正仿宋_GBK" w:hAnsi="方正仿宋_GBK" w:eastAsia="方正仿宋_GBK" w:cs="方正仿宋_GBK"/>
          <w:sz w:val="32"/>
          <w:szCs w:val="32"/>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364"/>
      <w:r/>
      <w:bookmarkEnd w:id="365"/>
      <w:r/>
      <w:bookmarkEnd w:id="366"/>
      <w:r/>
      <w:bookmarkEnd w:id="367"/>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spacing w:line="560" w:lineRule="exact"/>
        <w:rPr>
          <w:rFonts w:ascii="方正黑体_GBK" w:hAnsi="方正黑体_GBK" w:eastAsia="方正黑体_GBK" w:cs="方正黑体_GBK"/>
          <w:bCs/>
          <w:sz w:val="32"/>
          <w:szCs w:val="32"/>
          <w:highlight w:val="none"/>
        </w:rPr>
      </w:pPr>
      <w:r>
        <w:rPr>
          <w:rFonts w:ascii="方正黑体_GBK" w:hAnsi="方正黑体_GBK" w:eastAsia="方正黑体_GBK" w:cs="方正黑体_GBK"/>
          <w:bCs/>
          <w:sz w:val="32"/>
          <w:szCs w:val="32"/>
          <w:highlight w:val="none"/>
        </w:rPr>
      </w:r>
      <w:r/>
    </w:p>
    <w:p>
      <w:pPr>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附件7         法人授权书</w:t>
      </w:r>
      <w:r/>
    </w:p>
    <w:p>
      <w:pPr>
        <w:ind w:firstLine="640"/>
        <w:spacing w:line="560" w:lineRule="exact"/>
        <w:tabs>
          <w:tab w:val="left" w:pos="360" w:leader="none"/>
        </w:tabs>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本授权书声明：</w:t>
      </w:r>
      <w:r>
        <w:rPr>
          <w:rFonts w:eastAsia="方正仿宋_GBK"/>
          <w:color w:val="000000"/>
          <w:sz w:val="32"/>
          <w:szCs w:val="32"/>
          <w:highlight w:val="none"/>
          <w:u w:val="single"/>
        </w:rPr>
        <w:t xml:space="preserve">XXXX</w:t>
      </w:r>
      <w:r>
        <w:rPr>
          <w:rFonts w:hint="eastAsia" w:ascii="方正仿宋_GBK" w:hAnsi="方正仿宋_GBK" w:eastAsia="方正仿宋_GBK" w:cs="方正仿宋_GBK"/>
          <w:color w:val="000000"/>
          <w:sz w:val="32"/>
          <w:szCs w:val="32"/>
          <w:highlight w:val="none"/>
        </w:rPr>
        <w:t xml:space="preserve">（投标人名称）授权</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color w:val="000000"/>
          <w:sz w:val="32"/>
          <w:szCs w:val="32"/>
          <w:highlight w:val="none"/>
        </w:rPr>
        <w:t xml:space="preserve">（被授权人的姓名）为我方就采购编号为</w:t>
      </w:r>
      <w:r>
        <w:rPr>
          <w:rFonts w:eastAsia="方正仿宋_GBK"/>
          <w:color w:val="000000"/>
          <w:sz w:val="32"/>
          <w:szCs w:val="32"/>
          <w:highlight w:val="none"/>
        </w:rPr>
        <w:t xml:space="preserve">JSZC-320000-SCZX-G20XX-XXXX</w:t>
      </w:r>
      <w:r>
        <w:rPr>
          <w:rFonts w:hint="eastAsia" w:ascii="方正仿宋_GBK" w:hAnsi="方正仿宋_GBK" w:eastAsia="方正仿宋_GBK" w:cs="方正仿宋_GBK"/>
          <w:color w:val="000000"/>
          <w:sz w:val="32"/>
          <w:szCs w:val="32"/>
          <w:highlight w:val="none"/>
        </w:rPr>
        <w:t xml:space="preserve">，</w:t>
      </w:r>
      <w:r>
        <w:rPr>
          <w:rFonts w:hint="eastAsia" w:eastAsia="方正仿宋_GBK"/>
          <w:color w:val="000000"/>
          <w:sz w:val="32"/>
          <w:szCs w:val="32"/>
          <w:highlight w:val="none"/>
          <w:u w:val="single"/>
        </w:rPr>
        <w:t xml:space="preserve">XXXX</w:t>
      </w:r>
      <w:r>
        <w:rPr>
          <w:rFonts w:hint="eastAsia" w:ascii="方正仿宋_GBK" w:hAnsi="方正仿宋_GBK" w:eastAsia="方正仿宋_GBK" w:cs="方正仿宋_GBK"/>
          <w:color w:val="000000"/>
          <w:sz w:val="32"/>
          <w:szCs w:val="32"/>
          <w:highlight w:val="none"/>
        </w:rPr>
        <w:t xml:space="preserve">项目（项目名称）采购活动的合法代理人，以本单位名义全权处理一切与该项目采购有关的事务。</w:t>
      </w:r>
      <w:r/>
    </w:p>
    <w:p>
      <w:pPr>
        <w:ind w:firstLine="640"/>
        <w:spacing w:line="560" w:lineRule="exact"/>
        <w:tabs>
          <w:tab w:val="left" w:pos="360" w:leader="none"/>
        </w:tabs>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本授权书于</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color w:val="000000"/>
          <w:sz w:val="32"/>
          <w:szCs w:val="32"/>
          <w:highlight w:val="none"/>
        </w:rPr>
        <w:t xml:space="preserve">年</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color w:val="000000"/>
          <w:sz w:val="32"/>
          <w:szCs w:val="32"/>
          <w:highlight w:val="none"/>
        </w:rPr>
        <w:t xml:space="preserve">月</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color w:val="000000"/>
          <w:sz w:val="32"/>
          <w:szCs w:val="32"/>
          <w:highlight w:val="none"/>
        </w:rPr>
        <w:t xml:space="preserve">日起生效，特此声明。</w:t>
      </w:r>
      <w:r/>
    </w:p>
    <w:p>
      <w:pPr>
        <w:ind w:firstLine="640"/>
        <w:spacing w:line="560" w:lineRule="exact"/>
        <w:tabs>
          <w:tab w:val="left" w:pos="360" w:leader="none"/>
        </w:tabs>
        <w:rPr>
          <w:rFonts w:ascii="方正仿宋_GBK" w:hAnsi="方正仿宋_GBK" w:eastAsia="方正仿宋_GBK" w:cs="方正仿宋_GBK"/>
          <w:color w:val="000000"/>
          <w:sz w:val="32"/>
          <w:szCs w:val="32"/>
          <w:highlight w:val="none"/>
          <w:u w:val="single"/>
        </w:rPr>
      </w:pPr>
      <w:r>
        <w:rPr>
          <w:rFonts w:hint="eastAsia" w:ascii="方正仿宋_GBK" w:hAnsi="方正仿宋_GBK" w:eastAsia="方正仿宋_GBK" w:cs="方正仿宋_GBK"/>
          <w:color w:val="000000"/>
          <w:sz w:val="32"/>
          <w:szCs w:val="32"/>
          <w:highlight w:val="none"/>
        </w:rPr>
        <w:t xml:space="preserve">被授权人身份证号码：</w:t>
      </w:r>
      <w:r>
        <w:rPr>
          <w:rFonts w:hint="eastAsia" w:ascii="方正仿宋_GBK" w:hAnsi="方正仿宋_GBK" w:eastAsia="方正仿宋_GBK" w:cs="方正仿宋_GBK"/>
          <w:color w:val="000000"/>
          <w:sz w:val="32"/>
          <w:szCs w:val="32"/>
          <w:highlight w:val="none"/>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被授权人联系电话：（手机）</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被授权人电子邮箱：</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授权单位名称：</w:t>
      </w:r>
      <w:r>
        <w:rPr>
          <w:rFonts w:hint="eastAsia" w:ascii="方正仿宋_GBK" w:hAnsi="方正仿宋_GBK" w:eastAsia="方正仿宋_GBK" w:cs="方正仿宋_GBK"/>
          <w:sz w:val="32"/>
          <w:szCs w:val="32"/>
          <w:highlight w:val="none"/>
          <w:u w:val="single"/>
        </w:rPr>
        <w:t xml:space="preserve">（加盖CA电子公章）</w:t>
      </w:r>
      <w:r/>
    </w:p>
    <w:p>
      <w:pPr>
        <w:ind w:firstLine="640"/>
        <w:spacing w:line="560" w:lineRule="exact"/>
        <w:tabs>
          <w:tab w:val="left" w:pos="360" w:leader="none"/>
        </w:tabs>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单位地址：</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tabs>
          <w:tab w:val="left" w:pos="360" w:leader="none"/>
        </w:tabs>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日    期：</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r>
      <w:r/>
    </w:p>
    <w:p>
      <w:pPr>
        <w:ind w:firstLine="640"/>
        <w:spacing w:line="56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r>
      <w:r/>
    </w:p>
    <w:p>
      <w:pPr>
        <w:jc w:val="center"/>
        <w:spacing w:line="560" w:lineRule="exact"/>
        <w:rPr>
          <w:rFonts w:ascii="黑体" w:hAnsi="黑体" w:eastAsia="黑体"/>
          <w:b/>
          <w:i/>
          <w:color w:val="000000"/>
          <w:sz w:val="32"/>
          <w:szCs w:val="32"/>
          <w:highlight w:val="none"/>
          <w:u w:val="single"/>
        </w:rPr>
      </w:pPr>
      <w:r>
        <w:rPr>
          <w:rFonts w:hint="eastAsia" w:ascii="方正黑体_GBK" w:hAnsi="方正黑体_GBK" w:eastAsia="方正黑体_GBK" w:cs="方正黑体_GBK"/>
          <w:bCs/>
          <w:sz w:val="32"/>
          <w:szCs w:val="32"/>
          <w:highlight w:val="none"/>
        </w:rPr>
        <w:t xml:space="preserve">附件8              投标函</w:t>
      </w:r>
      <w:r/>
    </w:p>
    <w:p>
      <w:pPr>
        <w:ind w:firstLine="640"/>
        <w:jc w:val="left"/>
        <w:spacing w:line="56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致：江苏省政府采购中心</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sz w:val="32"/>
          <w:szCs w:val="32"/>
          <w:highlight w:val="none"/>
        </w:rPr>
        <w:t xml:space="preserve">根据贵方</w:t>
      </w:r>
      <w:r>
        <w:rPr>
          <w:rFonts w:hint="eastAsia" w:ascii="方正仿宋_GBK" w:hAnsi="方正仿宋_GBK" w:eastAsia="方正仿宋_GBK" w:cs="方正仿宋_GBK"/>
          <w:sz w:val="32"/>
          <w:szCs w:val="32"/>
          <w:highlight w:val="none"/>
        </w:rPr>
        <w:t xml:space="preserve">采购编号为</w:t>
      </w:r>
      <w:r>
        <w:rPr>
          <w:rFonts w:ascii="Times New Roman" w:hAnsi="Times New Roman" w:eastAsia="方正仿宋_GBK"/>
          <w:color w:val="000000"/>
          <w:sz w:val="32"/>
          <w:szCs w:val="32"/>
          <w:highlight w:val="none"/>
        </w:rPr>
        <w:t xml:space="preserve">JSZC-320000-SCZX-G20XX-XXXX</w:t>
      </w:r>
      <w:r>
        <w:rPr>
          <w:rFonts w:ascii="Times New Roman" w:hAnsi="Times New Roman" w:eastAsia="方正仿宋_GBK"/>
          <w:sz w:val="32"/>
          <w:szCs w:val="32"/>
          <w:highlight w:val="none"/>
        </w:rPr>
        <w:t xml:space="preserve">，</w:t>
      </w:r>
      <w:r>
        <w:rPr>
          <w:rFonts w:ascii="Times New Roman" w:hAnsi="Times New Roman" w:eastAsia="方正仿宋_GBK"/>
          <w:color w:val="000000"/>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项目（项目名称）的</w:t>
      </w:r>
      <w:r>
        <w:rPr>
          <w:rFonts w:hint="eastAsia" w:ascii="方正仿宋_GBK" w:hAnsi="方正仿宋_GBK" w:eastAsia="方正仿宋_GBK" w:cs="方正仿宋_GBK"/>
          <w:color w:val="000000"/>
          <w:sz w:val="32"/>
          <w:szCs w:val="32"/>
          <w:highlight w:val="none"/>
        </w:rPr>
        <w:t xml:space="preserve">招标文件</w:t>
      </w:r>
      <w:r>
        <w:rPr>
          <w:rFonts w:hint="eastAsia" w:ascii="方正仿宋_GBK" w:hAnsi="方正仿宋_GBK" w:eastAsia="方正仿宋_GBK" w:cs="方正仿宋_GBK"/>
          <w:sz w:val="32"/>
          <w:szCs w:val="32"/>
          <w:highlight w:val="none"/>
        </w:rPr>
        <w:t xml:space="preserve">，正式授权下述签字人</w:t>
      </w:r>
      <w:r>
        <w:rPr>
          <w:rFonts w:hint="eastAsia" w:ascii="Times New Roman" w:hAnsi="Times New Roman"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(姓名)代表我方</w:t>
      </w:r>
      <w:r>
        <w:rPr>
          <w:rFonts w:hint="eastAsia" w:ascii="Times New Roman" w:hAnsi="Times New Roman" w:eastAsia="方正仿宋_GBK"/>
          <w:color w:val="000000"/>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（投标人的名称），全权处理本次项目投标的有关事宜。</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据此函，</w:t>
      </w:r>
      <w:r>
        <w:rPr>
          <w:rFonts w:hint="eastAsia" w:ascii="Times New Roman" w:hAnsi="Times New Roman"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签字人兹宣布同意如下：</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1.按招标文件规定的各项要求，向买方提供所需服务（包含与服务相关的货物）。</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2.我们完全理解贵方不一定将合同授予最低报价的投标人。</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3.我们已详细审核全部招标文件及其有效补充文件。</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4.我们同意从规定的开标日期起遵循本投标文件，并在规定的投标有效期期满之前均具有约束力。</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5.同意向贵方提供贵方可能另外要求的与投标有关的任何证据或资料，并保证我方已提供和将要提供的文件是真实的、准确的。</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6.一旦我方中标,我方将根据招标文件的规定，严格履行合同的责任和义务,并保证在招标文件规定的时间内完成项目，交付买方验收、使用。</w:t>
      </w:r>
      <w:r/>
    </w:p>
    <w:p>
      <w:pPr>
        <w:pStyle w:val="922"/>
        <w:ind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7.与本投标有关的正式通讯地址为：</w:t>
      </w:r>
      <w:r/>
    </w:p>
    <w:p>
      <w:pPr>
        <w:pStyle w:val="922"/>
        <w:ind w:firstLine="1049"/>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          址：</w:t>
      </w:r>
      <w:r/>
    </w:p>
    <w:p>
      <w:pPr>
        <w:pStyle w:val="922"/>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邮          编：</w:t>
      </w:r>
      <w:r/>
    </w:p>
    <w:p>
      <w:pPr>
        <w:pStyle w:val="922"/>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电          话：</w:t>
      </w:r>
      <w:r/>
    </w:p>
    <w:p>
      <w:pPr>
        <w:pStyle w:val="922"/>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传          真：</w:t>
      </w:r>
      <w:r/>
    </w:p>
    <w:p>
      <w:pPr>
        <w:pStyle w:val="922"/>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投标人开户行：</w:t>
      </w:r>
      <w:r/>
    </w:p>
    <w:p>
      <w:pPr>
        <w:pStyle w:val="922"/>
        <w:ind w:left="420" w:firstLine="640"/>
        <w:spacing w:before="0" w:after="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账        号： </w:t>
      </w:r>
      <w:r/>
    </w:p>
    <w:p>
      <w:pPr>
        <w:pStyle w:val="922"/>
        <w:ind w:left="420"/>
        <w:spacing w:before="0" w:after="0" w:line="420" w:lineRule="exact"/>
        <w:rPr>
          <w:rFonts w:ascii="宋体" w:hAnsi="宋体"/>
          <w:szCs w:val="21"/>
          <w:highlight w:val="none"/>
        </w:rPr>
      </w:pPr>
      <w:r>
        <w:rPr>
          <w:rFonts w:ascii="宋体" w:hAnsi="宋体"/>
          <w:szCs w:val="21"/>
          <w:highlight w:val="none"/>
        </w:rPr>
      </w:r>
      <w:r/>
    </w:p>
    <w:p>
      <w:pPr>
        <w:jc w:val="right"/>
        <w:spacing w:line="420" w:lineRule="exact"/>
        <w:rPr>
          <w:rFonts w:ascii="方正仿宋_GBK" w:hAnsi="方正仿宋_GBK" w:eastAsia="方正仿宋_GBK" w:cs="方正仿宋_GBK"/>
          <w:highlight w:val="none"/>
        </w:rPr>
      </w:pPr>
      <w:r>
        <w:rPr>
          <w:rFonts w:hint="eastAsia" w:ascii="方正仿宋_GBK" w:hAnsi="方正仿宋_GBK" w:eastAsia="方正仿宋_GBK" w:cs="方正仿宋_GBK"/>
          <w:sz w:val="32"/>
          <w:szCs w:val="32"/>
          <w:highlight w:val="none"/>
        </w:rPr>
        <w:t xml:space="preserve">供应商全称（加盖CA电子公章）：</w:t>
      </w:r>
      <w:r/>
    </w:p>
    <w:p>
      <w:pPr>
        <w:pStyle w:val="922"/>
        <w:jc w:val="right"/>
        <w:spacing w:before="0" w:after="0" w:line="420" w:lineRule="exact"/>
        <w:rPr>
          <w:rFonts w:ascii="方正仿宋_GBK" w:hAnsi="方正仿宋_GBK" w:eastAsia="方正仿宋_GBK" w:cs="方正仿宋_GBK"/>
          <w:bCs/>
          <w:color w:val="000000"/>
          <w:sz w:val="32"/>
          <w:szCs w:val="32"/>
          <w:highlight w:val="none"/>
        </w:rPr>
      </w:pPr>
      <w:r>
        <w:rPr>
          <w:rFonts w:hint="eastAsia" w:ascii="方正仿宋_GBK" w:hAnsi="方正仿宋_GBK" w:eastAsia="方正仿宋_GBK" w:cs="方正仿宋_GBK"/>
          <w:sz w:val="32"/>
          <w:szCs w:val="32"/>
          <w:highlight w:val="none"/>
        </w:rPr>
        <w:t xml:space="preserve">日      期：___年____月____日</w:t>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bookmarkEnd w:id="361"/>
      <w:r/>
      <w:bookmarkEnd w:id="362"/>
      <w:r/>
      <w:bookmarkEnd w:id="363"/>
      <w:r/>
      <w:r/>
    </w:p>
    <w:p>
      <w:pPr>
        <w:jc w:val="center"/>
        <w:spacing w:line="560" w:lineRule="exact"/>
        <w:rPr>
          <w:rFonts w:ascii="方正黑体_GBK" w:hAnsi="方正黑体_GBK" w:eastAsia="方正黑体_GBK" w:cs="方正黑体_GBK"/>
          <w:bCs/>
          <w:sz w:val="32"/>
          <w:szCs w:val="32"/>
          <w:highlight w:val="none"/>
        </w:rPr>
      </w:pPr>
      <w:r/>
      <w:bookmarkStart w:id="368" w:name="_Toc120614284"/>
      <w:r>
        <w:rPr>
          <w:rFonts w:hint="eastAsia" w:ascii="方正黑体_GBK" w:hAnsi="方正黑体_GBK" w:eastAsia="方正黑体_GBK" w:cs="方正黑体_GBK"/>
          <w:bCs/>
          <w:sz w:val="32"/>
          <w:szCs w:val="32"/>
          <w:highlight w:val="none"/>
        </w:rPr>
        <w:t xml:space="preserve">附件9 中小微企业声明函（服务类项目）（采购包号：</w:t>
      </w:r>
      <w:r>
        <w:rPr>
          <w:rFonts w:eastAsia="方正黑体_GBK"/>
          <w:bCs/>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（单位名称）采购编号为</w:t>
      </w:r>
      <w:r>
        <w:rPr>
          <w:rFonts w:hint="eastAsia" w:eastAsia="方正黑体_GBK"/>
          <w:bCs/>
          <w:sz w:val="32"/>
          <w:szCs w:val="32"/>
          <w:highlight w:val="none"/>
        </w:rPr>
        <w:t xml:space="preserve">JSZC-320000-SCZX-G20XX-XXXX</w:t>
      </w:r>
      <w:r>
        <w:rPr>
          <w:rFonts w:hint="eastAsia" w:ascii="方正仿宋_GBK" w:hAnsi="方正仿宋_GBK" w:eastAsia="方正仿宋_GBK" w:cs="方正仿宋_GBK"/>
          <w:sz w:val="32"/>
          <w:szCs w:val="32"/>
          <w:highlight w:val="none"/>
        </w:rPr>
        <w:t xml:space="preserve">，</w:t>
      </w:r>
      <w:r>
        <w:rPr>
          <w:rFonts w:hint="eastAsia" w:eastAsia="方正仿宋_GBK"/>
          <w:color w:val="000000"/>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项目（项目名称）（采购包号：XX）的采购活动，服务全部由符合政策的中小微企业承接。相关企业（含联合体中的中小微企业、签订采购包意向协议的中小微企业）的具体情况如下：</w:t>
      </w:r>
      <w:r/>
    </w:p>
    <w:p>
      <w:pPr>
        <w:ind w:firstLine="640"/>
        <w:spacing w:line="560" w:lineRule="exact"/>
        <w:rPr>
          <w:rFonts w:ascii="方正仿宋_GBK" w:hAnsi="方正仿宋_GBK" w:eastAsia="方正仿宋_GBK" w:cs="方正仿宋_GBK"/>
          <w:i/>
          <w:sz w:val="32"/>
          <w:szCs w:val="32"/>
          <w:highlight w:val="none"/>
          <w:u w:val="single"/>
        </w:rPr>
      </w:pPr>
      <w:r>
        <w:rPr>
          <w:rFonts w:hint="eastAsia" w:ascii="方正仿宋_GBK" w:hAnsi="方正仿宋_GBK" w:eastAsia="方正仿宋_GBK" w:cs="方正仿宋_GBK"/>
          <w:sz w:val="32"/>
          <w:szCs w:val="32"/>
          <w:highlight w:val="none"/>
        </w:rPr>
        <w:t xml:space="preserve">1.</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（标的名称）</w:t>
      </w:r>
      <w:r>
        <w:rPr>
          <w:rFonts w:hint="eastAsia" w:ascii="方正仿宋_GBK" w:hAnsi="方正仿宋_GBK" w:eastAsia="方正仿宋_GBK" w:cs="方正仿宋_GBK"/>
          <w:i/>
          <w:sz w:val="32"/>
          <w:szCs w:val="32"/>
          <w:highlight w:val="none"/>
        </w:rPr>
        <w:t xml:space="preserve">，</w:t>
      </w:r>
      <w:r>
        <w:rPr>
          <w:rFonts w:hint="eastAsia" w:ascii="方正仿宋_GBK" w:hAnsi="方正仿宋_GBK" w:eastAsia="方正仿宋_GBK" w:cs="方正仿宋_GBK"/>
          <w:sz w:val="32"/>
          <w:szCs w:val="32"/>
          <w:highlight w:val="none"/>
        </w:rPr>
        <w:t xml:space="preserve">属于</w:t>
      </w:r>
      <w:r>
        <w:rPr>
          <w:rFonts w:hint="eastAsia" w:eastAsia="方正仿宋_GBK"/>
          <w:color w:val="000000"/>
          <w:sz w:val="32"/>
          <w:szCs w:val="32"/>
          <w:highlight w:val="none"/>
          <w:u w:val="single"/>
        </w:rPr>
        <w:t xml:space="preserve">XX</w:t>
      </w:r>
      <w:r>
        <w:rPr>
          <w:rFonts w:hint="eastAsia" w:eastAsia="方正仿宋_GBK"/>
          <w:color w:val="000000"/>
          <w:sz w:val="32"/>
          <w:szCs w:val="32"/>
          <w:highlight w:val="none"/>
        </w:rPr>
        <w:t xml:space="preserve">（</w:t>
      </w:r>
      <w:r>
        <w:rPr>
          <w:rFonts w:hint="eastAsia" w:ascii="方正仿宋_GBK" w:hAnsi="方正仿宋_GBK" w:eastAsia="方正仿宋_GBK" w:cs="方正仿宋_GBK"/>
          <w:sz w:val="32"/>
          <w:szCs w:val="32"/>
          <w:highlight w:val="none"/>
        </w:rPr>
        <w:t xml:space="preserve">供应商填写招标文件中明确的所属行业）行业；承接企业为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（企业名称），从业人员</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人，营业收入为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万元，资产总额为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万元</w:t>
      </w:r>
      <w:r>
        <w:rPr>
          <w:rFonts w:hint="eastAsia" w:ascii="方正仿宋_GBK" w:hAnsi="方正仿宋_GBK" w:eastAsia="方正仿宋_GBK" w:cs="方正仿宋_GBK"/>
          <w:sz w:val="32"/>
          <w:szCs w:val="32"/>
          <w:highlight w:val="none"/>
          <w:vertAlign w:val="superscript"/>
        </w:rPr>
        <w:t xml:space="preserve">1</w:t>
      </w:r>
      <w:r>
        <w:rPr>
          <w:rFonts w:hint="eastAsia" w:ascii="方正仿宋_GBK" w:hAnsi="方正仿宋_GBK" w:eastAsia="方正仿宋_GBK" w:cs="方正仿宋_GBK"/>
          <w:sz w:val="32"/>
          <w:szCs w:val="32"/>
          <w:highlight w:val="none"/>
        </w:rPr>
        <w:t xml:space="preserve">，属于</w:t>
      </w:r>
      <w:r>
        <w:rPr>
          <w:rFonts w:hint="eastAsia" w:ascii="方正仿宋_GBK" w:hAnsi="方正仿宋_GBK" w:eastAsia="方正仿宋_GBK" w:cs="方正仿宋_GBK"/>
          <w:sz w:val="32"/>
          <w:szCs w:val="32"/>
          <w:highlight w:val="none"/>
          <w:u w:val="single"/>
        </w:rPr>
        <w:t xml:space="preserve">（□中型企业 □小型企业 □微型企业）；</w:t>
      </w:r>
      <w:r/>
    </w:p>
    <w:p>
      <w:pPr>
        <w:ind w:firstLine="640"/>
        <w:spacing w:line="560" w:lineRule="exact"/>
        <w:rPr>
          <w:rFonts w:ascii="方正仿宋_GBK" w:hAnsi="方正仿宋_GBK" w:eastAsia="方正仿宋_GBK" w:cs="方正仿宋_GBK"/>
          <w:i/>
          <w:sz w:val="32"/>
          <w:szCs w:val="32"/>
          <w:highlight w:val="none"/>
          <w:u w:val="single"/>
        </w:rPr>
      </w:pPr>
      <w:r>
        <w:rPr>
          <w:rFonts w:hint="eastAsia" w:ascii="方正仿宋_GBK" w:hAnsi="方正仿宋_GBK" w:eastAsia="方正仿宋_GBK" w:cs="方正仿宋_GBK"/>
          <w:sz w:val="32"/>
          <w:szCs w:val="32"/>
          <w:highlight w:val="none"/>
        </w:rPr>
        <w:t xml:space="preserve">2.</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（标的名称）</w:t>
      </w:r>
      <w:r>
        <w:rPr>
          <w:rFonts w:hint="eastAsia" w:ascii="方正仿宋_GBK" w:hAnsi="方正仿宋_GBK" w:eastAsia="方正仿宋_GBK" w:cs="方正仿宋_GBK"/>
          <w:i/>
          <w:sz w:val="32"/>
          <w:szCs w:val="32"/>
          <w:highlight w:val="none"/>
        </w:rPr>
        <w:t xml:space="preserve">，</w:t>
      </w:r>
      <w:r>
        <w:rPr>
          <w:rFonts w:hint="eastAsia" w:ascii="方正仿宋_GBK" w:hAnsi="方正仿宋_GBK" w:eastAsia="方正仿宋_GBK" w:cs="方正仿宋_GBK"/>
          <w:sz w:val="32"/>
          <w:szCs w:val="32"/>
          <w:highlight w:val="none"/>
        </w:rPr>
        <w:t xml:space="preserve">属于</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（供应商填写招标文件中明确的所属行业）行业；承接企业为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（企业名称），从业人员</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人，营业收入为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万元，资产总额为</w:t>
      </w:r>
      <w:r>
        <w:rPr>
          <w:rFonts w:hint="eastAsia" w:eastAsia="方正仿宋_GBK"/>
          <w:color w:val="000000"/>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万元</w:t>
      </w:r>
      <w:r>
        <w:rPr>
          <w:rFonts w:hint="eastAsia" w:ascii="方正仿宋_GBK" w:hAnsi="方正仿宋_GBK" w:eastAsia="方正仿宋_GBK" w:cs="方正仿宋_GBK"/>
          <w:sz w:val="32"/>
          <w:szCs w:val="32"/>
          <w:highlight w:val="none"/>
          <w:vertAlign w:val="superscript"/>
        </w:rPr>
        <w:t xml:space="preserve">1</w:t>
      </w:r>
      <w:r>
        <w:rPr>
          <w:rFonts w:hint="eastAsia" w:ascii="方正仿宋_GBK" w:hAnsi="方正仿宋_GBK" w:eastAsia="方正仿宋_GBK" w:cs="方正仿宋_GBK"/>
          <w:sz w:val="32"/>
          <w:szCs w:val="32"/>
          <w:highlight w:val="none"/>
        </w:rPr>
        <w:t xml:space="preserve">，属于</w:t>
      </w:r>
      <w:r>
        <w:rPr>
          <w:rFonts w:hint="eastAsia" w:ascii="方正仿宋_GBK" w:hAnsi="方正仿宋_GBK" w:eastAsia="方正仿宋_GBK" w:cs="方正仿宋_GBK"/>
          <w:sz w:val="32"/>
          <w:szCs w:val="32"/>
          <w:highlight w:val="none"/>
          <w:u w:val="single"/>
        </w:rPr>
        <w:t xml:space="preserve">（□中型企业 □小型企业 □微型企业）；</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以上企业，不属于大企业的分支机构，不存在控股股东为大企业的情形，也不存在与大企业的负责人为同一人的情形。</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本企业对上述声明内容的真实性负责。如有虚假，将依法承担相应责任</w:t>
      </w:r>
      <w:r/>
    </w:p>
    <w:p>
      <w:pPr>
        <w:ind w:right="720"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right="180" w:firstLine="640"/>
        <w:jc w:val="cente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企业名称（加盖CA电子公章）：</w:t>
      </w:r>
      <w:r/>
    </w:p>
    <w:p>
      <w:pPr>
        <w:ind w:right="180" w:firstLine="640"/>
        <w:jc w:val="center"/>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                    日     期：___年___月___日 </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1.从业人员、营业收入、资产总额填报上一年度数据，无上一年度数据的新成立企业可不填报。</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64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64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spacing w:line="560" w:lineRule="exact"/>
        <w:rPr>
          <w:rFonts w:ascii="宋体" w:hAnsi="宋体"/>
          <w:color w:val="ff0000"/>
          <w:sz w:val="24"/>
          <w:szCs w:val="24"/>
          <w:highlight w:val="none"/>
        </w:rPr>
      </w:pPr>
      <w:r>
        <w:rPr>
          <w:rFonts w:hint="eastAsia" w:ascii="方正黑体_GBK" w:hAnsi="方正黑体_GBK" w:eastAsia="方正黑体_GBK" w:cs="方正黑体_GBK"/>
          <w:bCs/>
          <w:sz w:val="32"/>
          <w:szCs w:val="32"/>
          <w:highlight w:val="none"/>
        </w:rPr>
        <w:t xml:space="preserve">附件10 残疾人福利性单位声明函（服务类项目）（采购包号：</w:t>
      </w:r>
      <w:r>
        <w:rPr>
          <w:rFonts w:hint="eastAsia" w:eastAsia="方正黑体_GBK"/>
          <w:bCs/>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单位采购编号为</w:t>
      </w:r>
      <w:r>
        <w:rPr>
          <w:rFonts w:hint="eastAsia" w:eastAsia="方正黑体_GBK"/>
          <w:bCs/>
          <w:sz w:val="32"/>
          <w:szCs w:val="32"/>
          <w:highlight w:val="none"/>
        </w:rPr>
        <w:t xml:space="preserve">JSZC-320000-SCZX-G20XX-XXXX</w:t>
      </w: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u w:val="single"/>
        </w:rPr>
        <w:t xml:space="preserve">    </w:t>
      </w:r>
      <w:r>
        <w:rPr>
          <w:rFonts w:hint="eastAsia" w:eastAsia="方正仿宋_GBK"/>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项目（项目名称）（采购包号：</w:t>
      </w:r>
      <w:r>
        <w:rPr>
          <w:rFonts w:hint="eastAsia" w:eastAsia="方正黑体_GBK"/>
          <w:bCs/>
          <w:sz w:val="32"/>
          <w:szCs w:val="32"/>
          <w:highlight w:val="none"/>
        </w:rPr>
        <w:t xml:space="preserve">XX</w:t>
      </w:r>
      <w:r>
        <w:rPr>
          <w:rFonts w:hint="eastAsia" w:ascii="方正仿宋_GBK" w:hAnsi="方正仿宋_GBK" w:eastAsia="方正仿宋_GBK" w:cs="方正仿宋_GBK"/>
          <w:sz w:val="32"/>
          <w:szCs w:val="32"/>
          <w:highlight w:val="none"/>
        </w:rPr>
        <w:t xml:space="preserve">）采购活动由本单位提供服务。</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本单位对上述声明的真实性负责。如有虚假，将依法承担相应责任。</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1.专门面向中小微型企业采购的项目，供应商为残疾人福利性单位并提供服务的必须提供此声明函，否则将不能通过资格审查。</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2.非专门面向中小微型企业采购的项目，供应商如不提供此声明函，价格将不做相应扣除。</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3.中标/成交供应商为残疾人福利性单位的，此声明函将随中标/成交结果同时公告，接受社会监督</w:t>
      </w:r>
      <w:r/>
    </w:p>
    <w:p>
      <w:pPr>
        <w:ind w:firstLine="664"/>
        <w:spacing w:line="560" w:lineRule="exact"/>
        <w:rPr>
          <w:rFonts w:ascii="方正仿宋_GBK" w:hAnsi="方正仿宋_GBK" w:eastAsia="方正仿宋_GBK" w:cs="方正仿宋_GBK"/>
          <w:spacing w:val="6"/>
          <w:sz w:val="32"/>
          <w:szCs w:val="32"/>
          <w:highlight w:val="none"/>
        </w:rPr>
      </w:pPr>
      <w:r>
        <w:rPr>
          <w:rFonts w:ascii="方正仿宋_GBK" w:hAnsi="方正仿宋_GBK" w:eastAsia="方正仿宋_GBK" w:cs="方正仿宋_GBK"/>
          <w:spacing w:val="6"/>
          <w:sz w:val="32"/>
          <w:szCs w:val="32"/>
          <w:highlight w:val="none"/>
        </w:rPr>
      </w:r>
      <w:r/>
    </w:p>
    <w:p>
      <w:pPr>
        <w:ind w:right="1559" w:firstLine="664"/>
        <w:jc w:val="center"/>
        <w:spacing w:line="560" w:lineRule="exact"/>
        <w:tabs>
          <w:tab w:val="left" w:pos="4860" w:leader="none"/>
        </w:tabs>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pacing w:val="6"/>
          <w:sz w:val="32"/>
          <w:szCs w:val="32"/>
          <w:highlight w:val="none"/>
        </w:rPr>
        <w:t xml:space="preserve">            </w:t>
      </w:r>
      <w:r>
        <w:rPr>
          <w:rFonts w:hint="eastAsia" w:ascii="方正仿宋_GBK" w:hAnsi="方正仿宋_GBK" w:eastAsia="方正仿宋_GBK" w:cs="方正仿宋_GBK"/>
          <w:sz w:val="32"/>
          <w:szCs w:val="32"/>
          <w:highlight w:val="none"/>
        </w:rPr>
        <w:t xml:space="preserve">供应商全称（加盖CA电子公章）：</w:t>
      </w:r>
      <w:r/>
    </w:p>
    <w:p>
      <w:pPr>
        <w:ind w:right="1559" w:firstLine="640"/>
        <w:jc w:val="center"/>
        <w:spacing w:line="560" w:lineRule="exact"/>
        <w:tabs>
          <w:tab w:val="left" w:pos="4860" w:leader="none"/>
        </w:tabs>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shd w:val="clear" w:color="auto" w:fill="ffffff"/>
        </w:rPr>
        <w:t xml:space="preserve">日     期：___年___月___日   </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640"/>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附件11 联合体协议（参考格式）（采购包号：XX）</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（联合体中各供应商全称）在此达成以下协议：</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1.我们</w:t>
      </w:r>
      <w:r>
        <w:rPr>
          <w:rFonts w:hint="eastAsia" w:ascii="方正仿宋_GBK" w:hAnsi="方正仿宋_GBK" w:eastAsia="方正仿宋_GBK" w:cs="方正仿宋_GBK"/>
          <w:sz w:val="32"/>
          <w:szCs w:val="32"/>
          <w:highlight w:val="none"/>
          <w:u w:val="single"/>
        </w:rPr>
        <w:t xml:space="preserve"> （供应商1），（供应商2） ，……</w:t>
      </w:r>
      <w:r>
        <w:rPr>
          <w:rFonts w:hint="eastAsia" w:ascii="方正仿宋_GBK" w:hAnsi="方正仿宋_GBK" w:eastAsia="方正仿宋_GBK" w:cs="方正仿宋_GBK"/>
          <w:sz w:val="32"/>
          <w:szCs w:val="32"/>
          <w:highlight w:val="none"/>
        </w:rPr>
        <w:t xml:space="preserve">自愿组成联合体，参加江苏省政府采购中心组织的采购编号为</w:t>
      </w:r>
      <w:r>
        <w:rPr>
          <w:rFonts w:eastAsia="方正仿宋_GBK"/>
          <w:color w:val="000000"/>
          <w:sz w:val="32"/>
          <w:szCs w:val="32"/>
          <w:highlight w:val="none"/>
        </w:rPr>
        <w:t xml:space="preserve">JSZC-320000-SCZX-G20XX-XXXX</w:t>
      </w:r>
      <w:r>
        <w:rPr>
          <w:rFonts w:hint="eastAsia" w:ascii="方正仿宋_GBK" w:hAnsi="方正仿宋_GBK" w:eastAsia="方正仿宋_GBK" w:cs="方正仿宋_GBK"/>
          <w:sz w:val="32"/>
          <w:szCs w:val="32"/>
          <w:highlight w:val="none"/>
        </w:rPr>
        <w:t xml:space="preserve">，</w:t>
      </w:r>
      <w:r>
        <w:rPr>
          <w:rFonts w:hint="eastAsia" w:eastAsia="方正仿宋_GBK"/>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项目（项目名称）（采购包号：XX）的政府采购活动，我联合体指定</w:t>
      </w:r>
      <w:r>
        <w:rPr>
          <w:rFonts w:hint="eastAsia"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（供应商全称）为牵头单位（牵头单位必须为联合体成员）。</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2.若我们联合中标、成交，</w:t>
      </w:r>
      <w:r>
        <w:rPr>
          <w:rFonts w:hint="eastAsia"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（供应商单位1全称）实施项目中</w:t>
      </w:r>
      <w:r>
        <w:rPr>
          <w:rFonts w:hint="eastAsia" w:eastAsia="方正仿宋_GBK"/>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（工作内容）部分工作，并承担相应的责任。</w:t>
      </w:r>
      <w:r>
        <w:rPr>
          <w:rFonts w:hint="eastAsia"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（供应商单位2全称）实施项目中</w:t>
      </w:r>
      <w:r>
        <w:rPr>
          <w:rFonts w:hint="eastAsia" w:eastAsia="方正仿宋_GBK"/>
          <w:sz w:val="32"/>
          <w:szCs w:val="32"/>
          <w:highlight w:val="none"/>
          <w:u w:val="single"/>
        </w:rPr>
        <w:t xml:space="preserve">XXXX</w:t>
      </w:r>
      <w:r>
        <w:rPr>
          <w:rFonts w:hint="eastAsia" w:ascii="方正仿宋_GBK" w:hAnsi="方正仿宋_GBK" w:eastAsia="方正仿宋_GBK" w:cs="方正仿宋_GBK"/>
          <w:sz w:val="32"/>
          <w:szCs w:val="32"/>
          <w:highlight w:val="none"/>
        </w:rPr>
        <w:t xml:space="preserve">（工作内容）部分工作，并承担相应的责任……。（注：联合体中各供应商都应明示所承担的工作和相应的责任）。</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3.其中</w:t>
      </w:r>
      <w:r>
        <w:rPr>
          <w:rFonts w:hint="eastAsia" w:eastAsia="方正仿宋_GBK"/>
          <w:sz w:val="32"/>
          <w:szCs w:val="32"/>
          <w:highlight w:val="none"/>
          <w:u w:val="single"/>
        </w:rPr>
        <w:t xml:space="preserve">XX</w:t>
      </w:r>
      <w:r>
        <w:rPr>
          <w:rFonts w:hint="eastAsia" w:ascii="方正仿宋_GBK" w:hAnsi="方正仿宋_GBK" w:eastAsia="方正仿宋_GBK" w:cs="方正仿宋_GBK"/>
          <w:sz w:val="32"/>
          <w:szCs w:val="32"/>
          <w:highlight w:val="none"/>
        </w:rPr>
        <w:t xml:space="preserve">（小型、微型企业/残疾人福利性单位/监狱企业全称）为（</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小型、微型企业 </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残疾人福利性单位 </w:t>
      </w:r>
      <w:r>
        <w:rPr>
          <w:rFonts w:ascii="Wingdings 2" w:hAnsi="Wingdings 2" w:eastAsia="Wingdings 2" w:cs="Wingdings 2"/>
          <w:sz w:val="32"/>
          <w:szCs w:val="32"/>
          <w:highlight w:val="none"/>
        </w:rPr>
        <w:t xml:space="preserve"></w:t>
      </w:r>
      <w:r>
        <w:rPr>
          <w:rFonts w:hint="eastAsia" w:ascii="方正仿宋_GBK" w:hAnsi="方正仿宋_GBK" w:eastAsia="方正仿宋_GBK" w:cs="方正仿宋_GBK"/>
          <w:sz w:val="32"/>
          <w:szCs w:val="32"/>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p>
    <w:p>
      <w:pPr>
        <w:ind w:firstLine="640"/>
        <w:jc w:val="right"/>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联合体中各供应商全称（公章）：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rPr>
          <w:rFonts w:hint="eastAsia" w:ascii="方正仿宋_GBK" w:hAnsi="方正仿宋_GBK" w:eastAsia="方正仿宋_GBK" w:cs="方正仿宋_GBK"/>
          <w:sz w:val="32"/>
          <w:szCs w:val="32"/>
          <w:highlight w:val="none"/>
          <w:shd w:val="clear" w:color="auto" w:fill="ffffff"/>
        </w:rPr>
        <w:t xml:space="preserve">日期：___年____月____日     </w:t>
      </w:r>
      <w:r/>
    </w:p>
    <w:p>
      <w:pPr>
        <w:ind w:firstLine="640"/>
        <w:spacing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备注：本招标文件中要求加盖CA电子签章的地方，仅需加盖牵头单位的CA电子签章。</w:t>
      </w:r>
      <w:r/>
    </w:p>
    <w:p>
      <w:pPr>
        <w:ind w:firstLine="645"/>
        <w:spacing w:line="560" w:lineRule="exact"/>
        <w:rPr>
          <w:rFonts w:ascii="宋体" w:hAnsi="宋体"/>
          <w:sz w:val="24"/>
          <w:highlight w:val="none"/>
        </w:rPr>
      </w:pPr>
      <w:r>
        <w:rPr>
          <w:rFonts w:ascii="宋体" w:hAnsi="宋体"/>
          <w:sz w:val="24"/>
          <w:highlight w:val="none"/>
        </w:rPr>
      </w:r>
      <w:r/>
    </w:p>
    <w:p>
      <w:pPr>
        <w:ind w:firstLine="640"/>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附件12 实质性要求响应及偏离表（采购包号：XX）</w:t>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附件12-1 证明材料1，证明材料2，……</w:t>
      </w:r>
      <w:r/>
    </w:p>
    <w:p>
      <w:pPr>
        <w:spacing w:line="400" w:lineRule="exact"/>
        <w:rPr>
          <w:rFonts w:ascii="方正仿宋_GBK" w:hAnsi="方正仿宋_GBK" w:eastAsia="方正仿宋_GBK" w:cs="方正仿宋_GBK"/>
          <w:sz w:val="24"/>
          <w:szCs w:val="24"/>
          <w:highlight w:val="none"/>
        </w:rPr>
      </w:pPr>
      <w:r>
        <w:rPr>
          <w:rFonts w:ascii="方正仿宋_GBK" w:hAnsi="方正仿宋_GBK" w:eastAsia="方正仿宋_GBK" w:cs="方正仿宋_GBK"/>
          <w:sz w:val="24"/>
          <w:szCs w:val="24"/>
          <w:highlight w:val="none"/>
        </w:rPr>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备注：</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1.投标人必须对招标文件（含技术要求和商务要求）中的实质性要求</w:t>
      </w:r>
      <w:r>
        <w:rPr>
          <w:rFonts w:hint="eastAsia" w:ascii="方正仿宋_GBK" w:hAnsi="方正仿宋_GBK" w:eastAsia="方正仿宋_GBK" w:cs="方正仿宋_GBK"/>
          <w:b/>
          <w:bCs/>
          <w:sz w:val="32"/>
          <w:szCs w:val="32"/>
          <w:highlight w:val="none"/>
        </w:rPr>
        <w:t xml:space="preserve">（</w:t>
      </w:r>
      <w:r>
        <w:rPr>
          <w:rFonts w:hint="eastAsia" w:ascii="方正仿宋_GBK" w:hAnsi="方正仿宋_GBK" w:eastAsia="方正仿宋_GBK" w:cs="方正仿宋_GBK"/>
          <w:b/>
          <w:bCs/>
          <w:i/>
          <w:sz w:val="32"/>
          <w:szCs w:val="32"/>
          <w:highlight w:val="none"/>
          <w:u w:val="single"/>
        </w:rPr>
        <w:t xml:space="preserve">斜体且有下划线部分</w:t>
      </w:r>
      <w:r>
        <w:rPr>
          <w:rFonts w:hint="eastAsia" w:ascii="方正仿宋_GBK" w:hAnsi="方正仿宋_GBK" w:eastAsia="方正仿宋_GBK" w:cs="方正仿宋_GBK"/>
          <w:b/>
          <w:bCs/>
          <w:sz w:val="32"/>
          <w:szCs w:val="32"/>
          <w:highlight w:val="none"/>
        </w:rPr>
        <w:t xml:space="preserve">或加*号条款为实质性要求）</w:t>
      </w:r>
      <w:r>
        <w:rPr>
          <w:rFonts w:hint="eastAsia" w:ascii="方正仿宋_GBK" w:hAnsi="方正仿宋_GBK" w:eastAsia="方正仿宋_GBK" w:cs="方正仿宋_GBK"/>
          <w:sz w:val="32"/>
          <w:szCs w:val="32"/>
          <w:highlight w:val="none"/>
        </w:rPr>
        <w:t xml:space="preserve">逐条做出明确响应，否则作无效投标处理。</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2.如果招标文件要求提供证明材料，投标人必须将证明材料列于该表之下。</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highlight w:val="none"/>
        </w:rPr>
      </w:pPr>
      <w:r>
        <w:rPr>
          <w:rFonts w:ascii="宋体" w:hAnsi="宋体"/>
          <w:color w:val="ff0000"/>
          <w:sz w:val="24"/>
          <w:szCs w:val="24"/>
          <w:highlight w:val="none"/>
        </w:rPr>
      </w:r>
      <w:r/>
    </w:p>
    <w:p>
      <w:pPr>
        <w:jc w:val="center"/>
        <w:rPr>
          <w:rFonts w:ascii="宋体" w:hAnsi="宋体" w:cs="宋体"/>
          <w:b/>
          <w:sz w:val="24"/>
          <w:szCs w:val="24"/>
          <w:highlight w:val="none"/>
        </w:rPr>
      </w:pPr>
      <w:r>
        <w:rPr>
          <w:rFonts w:ascii="宋体" w:hAnsi="宋体" w:cs="宋体"/>
          <w:b/>
          <w:sz w:val="24"/>
          <w:szCs w:val="24"/>
          <w:highlight w:val="none"/>
        </w:rPr>
      </w:r>
      <w:r/>
    </w:p>
    <w:p>
      <w:pPr>
        <w:jc w:val="center"/>
        <w:rPr>
          <w:rFonts w:ascii="宋体" w:hAnsi="宋体" w:cs="宋体"/>
          <w:b/>
          <w:sz w:val="24"/>
          <w:szCs w:val="24"/>
          <w:highlight w:val="none"/>
        </w:rPr>
      </w:pPr>
      <w:r>
        <w:rPr>
          <w:rFonts w:ascii="宋体" w:hAnsi="宋体" w:cs="宋体"/>
          <w:b/>
          <w:sz w:val="24"/>
          <w:szCs w:val="24"/>
          <w:highlight w:val="none"/>
        </w:rPr>
      </w:r>
      <w:r/>
    </w:p>
    <w:p>
      <w:pPr>
        <w:ind w:firstLine="640"/>
        <w:spacing w:line="560" w:lineRule="exact"/>
        <w:rPr>
          <w:rFonts w:hint="eastAsia" w:ascii="方正黑体_GBK" w:hAnsi="方正黑体_GBK" w:eastAsia="方正黑体_GBK" w:cs="方正黑体_GBK"/>
          <w:bCs/>
          <w:sz w:val="48"/>
          <w:szCs w:val="48"/>
          <w:highlight w:val="none"/>
        </w:rPr>
      </w:pPr>
      <w:r>
        <w:rPr>
          <w:rFonts w:hint="eastAsia" w:ascii="方正黑体_GBK" w:hAnsi="方正黑体_GBK" w:eastAsia="方正黑体_GBK" w:cs="方正黑体_GBK"/>
          <w:bCs/>
          <w:sz w:val="48"/>
          <w:szCs w:val="48"/>
          <w:highlight w:val="none"/>
        </w:rPr>
      </w:r>
      <w:r/>
    </w:p>
    <w:p>
      <w:pPr>
        <w:ind w:firstLine="640"/>
        <w:spacing w:line="560" w:lineRule="exact"/>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附件13  关于符合本国产品标准的声明函（采购包号：XX）</w:t>
      </w:r>
      <w:r/>
    </w:p>
    <w:p>
      <w:pPr>
        <w:pStyle w:val="893"/>
        <w:ind w:firstLine="640"/>
        <w:spacing w:before="0" w:beforeAutospacing="0" w:after="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1.</w:t>
      </w:r>
      <w:r>
        <w:rPr>
          <w:rStyle w:val="908"/>
          <w:rFonts w:hint="eastAsia" w:ascii="方正仿宋_GBK" w:hAnsi="方正仿宋_GBK" w:eastAsia="方正仿宋_GBK" w:cs="方正仿宋_GBK"/>
          <w:i w:val="0"/>
          <w:sz w:val="32"/>
          <w:szCs w:val="32"/>
          <w:highlight w:val="none"/>
          <w:u w:val="single"/>
          <w:shd w:val="clear" w:color="auto" w:fill="ffffff"/>
        </w:rPr>
        <w:t xml:space="preserve">（产品名称1）</w:t>
      </w:r>
      <w:r>
        <w:rPr>
          <w:rStyle w:val="908"/>
          <w:rFonts w:hint="eastAsia" w:ascii="方正仿宋_GBK" w:hAnsi="方正仿宋_GBK" w:eastAsia="方正仿宋_GBK" w:cs="方正仿宋_GBK"/>
          <w:i w:val="0"/>
          <w:sz w:val="32"/>
          <w:szCs w:val="32"/>
          <w:highlight w:val="none"/>
          <w:shd w:val="clear" w:color="auto" w:fill="ffffff"/>
          <w:vertAlign w:val="superscript"/>
        </w:rPr>
        <w:t xml:space="preserve">1</w:t>
      </w:r>
      <w:r>
        <w:rPr>
          <w:rFonts w:hint="eastAsia" w:ascii="方正仿宋_GBK" w:hAnsi="方正仿宋_GBK" w:eastAsia="方正仿宋_GBK" w:cs="方正仿宋_GBK"/>
          <w:sz w:val="32"/>
          <w:szCs w:val="32"/>
          <w:highlight w:val="none"/>
          <w:shd w:val="clear" w:color="auto" w:fill="ffffff"/>
        </w:rPr>
        <w:t xml:space="preserve">，生产厂为</w:t>
      </w:r>
      <w:r>
        <w:rPr>
          <w:rStyle w:val="908"/>
          <w:rFonts w:hint="eastAsia" w:ascii="方正仿宋_GBK" w:hAnsi="方正仿宋_GBK" w:eastAsia="方正仿宋_GBK" w:cs="方正仿宋_GBK"/>
          <w:i w:val="0"/>
          <w:sz w:val="32"/>
          <w:szCs w:val="32"/>
          <w:highlight w:val="none"/>
          <w:u w:val="single"/>
          <w:shd w:val="clear" w:color="auto" w:fill="ffffff"/>
        </w:rPr>
        <w:t xml:space="preserve">（厂名）</w:t>
      </w:r>
      <w:r>
        <w:rPr>
          <w:rStyle w:val="908"/>
          <w:rFonts w:hint="eastAsia" w:ascii="方正仿宋_GBK" w:hAnsi="方正仿宋_GBK" w:eastAsia="方正仿宋_GBK" w:cs="方正仿宋_GBK"/>
          <w:i w:val="0"/>
          <w:sz w:val="32"/>
          <w:szCs w:val="32"/>
          <w:highlight w:val="none"/>
          <w:shd w:val="clear" w:color="auto" w:fill="ffffff"/>
          <w:vertAlign w:val="superscript"/>
        </w:rPr>
        <w:t xml:space="preserve">2</w:t>
      </w:r>
      <w:r>
        <w:rPr>
          <w:rFonts w:hint="eastAsia" w:ascii="方正仿宋_GBK" w:hAnsi="方正仿宋_GBK" w:eastAsia="方正仿宋_GBK" w:cs="方正仿宋_GBK"/>
          <w:sz w:val="32"/>
          <w:szCs w:val="32"/>
          <w:highlight w:val="none"/>
          <w:shd w:val="clear" w:color="auto" w:fill="ffffff"/>
        </w:rPr>
        <w:t xml:space="preserve">，厂址为</w:t>
      </w:r>
      <w:r>
        <w:rPr>
          <w:rStyle w:val="908"/>
          <w:rFonts w:hint="eastAsia" w:ascii="方正仿宋_GBK" w:hAnsi="方正仿宋_GBK" w:eastAsia="方正仿宋_GBK" w:cs="方正仿宋_GBK"/>
          <w:i w:val="0"/>
          <w:sz w:val="32"/>
          <w:szCs w:val="32"/>
          <w:highlight w:val="none"/>
          <w:u w:val="single"/>
          <w:shd w:val="clear" w:color="auto" w:fill="ffffff"/>
        </w:rPr>
        <w:t xml:space="preserve">（生产厂址）</w:t>
      </w:r>
      <w:r>
        <w:rPr>
          <w:rFonts w:hint="eastAsia" w:ascii="方正仿宋_GBK" w:hAnsi="方正仿宋_GBK" w:eastAsia="方正仿宋_GBK" w:cs="方正仿宋_GBK"/>
          <w:sz w:val="32"/>
          <w:szCs w:val="32"/>
          <w:highlight w:val="none"/>
          <w:shd w:val="clear" w:color="auto" w:fill="ffffff"/>
        </w:rPr>
        <w:t xml:space="preserve">。</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的中国境内生产的组件成本占比≥</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shd w:val="clear" w:color="auto" w:fill="ffffff"/>
          <w:vertAlign w:val="superscript"/>
        </w:rPr>
        <w:t xml:space="preserve">3</w:t>
      </w:r>
      <w:r>
        <w:rPr>
          <w:rFonts w:hint="eastAsia" w:ascii="方正仿宋_GBK" w:hAnsi="方正仿宋_GBK" w:eastAsia="方正仿宋_GBK" w:cs="方正仿宋_GBK"/>
          <w:sz w:val="32"/>
          <w:szCs w:val="32"/>
          <w:highlight w:val="none"/>
          <w:shd w:val="clear" w:color="auto" w:fill="ffffff"/>
        </w:rPr>
        <w:t xml:space="preserve">。</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shd w:val="clear" w:color="auto" w:fill="ffffff"/>
          <w:vertAlign w:val="superscript"/>
        </w:rPr>
        <w:t xml:space="preserve">4</w:t>
      </w:r>
      <w:r>
        <w:rPr>
          <w:rFonts w:hint="eastAsia" w:ascii="方正仿宋_GBK" w:hAnsi="方正仿宋_GBK" w:eastAsia="方正仿宋_GBK" w:cs="方正仿宋_GBK"/>
          <w:sz w:val="32"/>
          <w:szCs w:val="32"/>
          <w:highlight w:val="none"/>
          <w:shd w:val="clear" w:color="auto" w:fill="ffffff"/>
        </w:rPr>
        <w:t xml:space="preserve">在中国境内生产。</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shd w:val="clear" w:color="auto" w:fill="ffffff"/>
          <w:vertAlign w:val="superscript"/>
        </w:rPr>
        <w:t xml:space="preserve">5</w:t>
      </w:r>
      <w:r>
        <w:rPr>
          <w:rFonts w:hint="eastAsia" w:ascii="方正仿宋_GBK" w:hAnsi="方正仿宋_GBK" w:eastAsia="方正仿宋_GBK" w:cs="方正仿宋_GBK"/>
          <w:sz w:val="32"/>
          <w:szCs w:val="32"/>
          <w:highlight w:val="none"/>
          <w:shd w:val="clear" w:color="auto" w:fill="ffffff"/>
        </w:rPr>
        <w:t xml:space="preserve">在中国境内完成。</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2.</w:t>
      </w:r>
      <w:r>
        <w:rPr>
          <w:rStyle w:val="908"/>
          <w:rFonts w:hint="eastAsia" w:ascii="方正仿宋_GBK" w:hAnsi="方正仿宋_GBK" w:eastAsia="方正仿宋_GBK" w:cs="方正仿宋_GBK"/>
          <w:i w:val="0"/>
          <w:sz w:val="32"/>
          <w:szCs w:val="32"/>
          <w:highlight w:val="none"/>
          <w:u w:val="single"/>
          <w:shd w:val="clear" w:color="auto" w:fill="ffffff"/>
        </w:rPr>
        <w:t xml:space="preserve">（产品名称2）</w:t>
      </w:r>
      <w:r>
        <w:rPr>
          <w:rFonts w:hint="eastAsia" w:ascii="方正仿宋_GBK" w:hAnsi="方正仿宋_GBK" w:eastAsia="方正仿宋_GBK" w:cs="方正仿宋_GBK"/>
          <w:sz w:val="32"/>
          <w:szCs w:val="32"/>
          <w:highlight w:val="none"/>
          <w:shd w:val="clear" w:color="auto" w:fill="ffffff"/>
        </w:rPr>
        <w:t xml:space="preserve">，生产厂为</w:t>
      </w:r>
      <w:r>
        <w:rPr>
          <w:rStyle w:val="908"/>
          <w:rFonts w:hint="eastAsia" w:ascii="方正仿宋_GBK" w:hAnsi="方正仿宋_GBK" w:eastAsia="方正仿宋_GBK" w:cs="方正仿宋_GBK"/>
          <w:i w:val="0"/>
          <w:sz w:val="32"/>
          <w:szCs w:val="32"/>
          <w:highlight w:val="none"/>
          <w:u w:val="single"/>
          <w:shd w:val="clear" w:color="auto" w:fill="ffffff"/>
        </w:rPr>
        <w:t xml:space="preserve">（厂名）</w:t>
      </w:r>
      <w:r>
        <w:rPr>
          <w:rFonts w:hint="eastAsia" w:ascii="方正仿宋_GBK" w:hAnsi="方正仿宋_GBK" w:eastAsia="方正仿宋_GBK" w:cs="方正仿宋_GBK"/>
          <w:sz w:val="32"/>
          <w:szCs w:val="32"/>
          <w:highlight w:val="none"/>
          <w:shd w:val="clear" w:color="auto" w:fill="ffffff"/>
        </w:rPr>
        <w:t xml:space="preserve">，厂址为</w:t>
      </w:r>
      <w:r>
        <w:rPr>
          <w:rStyle w:val="908"/>
          <w:rFonts w:hint="eastAsia" w:ascii="方正仿宋_GBK" w:hAnsi="方正仿宋_GBK" w:eastAsia="方正仿宋_GBK" w:cs="方正仿宋_GBK"/>
          <w:i w:val="0"/>
          <w:sz w:val="32"/>
          <w:szCs w:val="32"/>
          <w:highlight w:val="none"/>
          <w:u w:val="single"/>
          <w:shd w:val="clear" w:color="auto" w:fill="ffffff"/>
        </w:rPr>
        <w:t xml:space="preserve">（生产厂址）</w:t>
      </w:r>
      <w:r>
        <w:rPr>
          <w:rFonts w:hint="eastAsia" w:ascii="方正仿宋_GBK" w:hAnsi="方正仿宋_GBK" w:eastAsia="方正仿宋_GBK" w:cs="方正仿宋_GBK"/>
          <w:sz w:val="32"/>
          <w:szCs w:val="32"/>
          <w:highlight w:val="none"/>
          <w:shd w:val="clear" w:color="auto" w:fill="ffffff"/>
        </w:rPr>
        <w:t xml:space="preserve">。</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的中国境内生产的组件成本占比≥</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在中国境内生产。</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在中国境内完成。</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本公司（单位）对上述声明内容的真实性负责。如有虚假，愿承担相应法律责任。</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pStyle w:val="893"/>
        <w:ind w:firstLine="640"/>
        <w:jc w:val="right"/>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    公司（单位）名称（加盖CA电子公章）：　        </w:t>
      </w:r>
      <w:r/>
    </w:p>
    <w:p>
      <w:pPr>
        <w:pStyle w:val="893"/>
        <w:ind w:firstLine="640"/>
        <w:jc w:val="center"/>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          日期：</w:t>
      </w:r>
      <w:r>
        <w:rPr>
          <w:rFonts w:hint="eastAsia" w:ascii="方正仿宋_GBK" w:hAnsi="方正仿宋_GBK" w:eastAsia="方正仿宋_GBK" w:cs="方正仿宋_GBK"/>
          <w:sz w:val="32"/>
          <w:szCs w:val="32"/>
          <w:highlight w:val="none"/>
        </w:rPr>
        <w:t xml:space="preserve">___年____月____日</w:t>
      </w:r>
      <w:r>
        <w:rPr>
          <w:rFonts w:hint="eastAsia" w:ascii="方正仿宋_GBK" w:hAnsi="方正仿宋_GBK" w:eastAsia="方正仿宋_GBK" w:cs="方正仿宋_GBK"/>
          <w:sz w:val="32"/>
          <w:szCs w:val="32"/>
          <w:highlight w:val="none"/>
          <w:shd w:val="clear" w:color="auto" w:fill="ffffff"/>
        </w:rPr>
        <w:t xml:space="preserve">        </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__________________</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1.产品如有型号，请在“产品名称”栏一并填写。</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2.生产厂名与厂址应与生产厂营业执照载明的相关信息保持一致。</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3.该产品的中国境内生产的组件成本占比相关要求实施前，“规定比例”栏可不填，下同。</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shd w:val="clear" w:color="auto" w:fill="ffffff"/>
        </w:rPr>
        <w:t xml:space="preserve">4.该产品的关键组件要求实施前，“关键组件”栏可不填，下同。</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shd w:val="clear" w:color="auto" w:fill="ffffff"/>
        </w:rPr>
      </w:pPr>
      <w:r>
        <w:rPr>
          <w:rFonts w:hint="eastAsia" w:ascii="方正仿宋_GBK" w:hAnsi="方正仿宋_GBK" w:eastAsia="方正仿宋_GBK" w:cs="方正仿宋_GBK"/>
          <w:sz w:val="32"/>
          <w:szCs w:val="32"/>
          <w:highlight w:val="none"/>
          <w:shd w:val="clear" w:color="auto" w:fill="ffffff"/>
        </w:rPr>
        <w:t xml:space="preserve">5.该产品的关键工序要求实施前，“关键工序”栏可不填，下同。</w:t>
      </w:r>
      <w:r/>
    </w:p>
    <w:p>
      <w:pPr>
        <w:pStyle w:val="893"/>
        <w:ind w:firstLine="640"/>
        <w:spacing w:before="30" w:beforeAutospacing="0" w:after="30" w:afterAutospacing="0" w:line="560" w:lineRule="exact"/>
        <w:rPr>
          <w:rFonts w:ascii="方正仿宋_GBK" w:hAnsi="方正仿宋_GBK" w:eastAsia="方正仿宋_GBK" w:cs="方正仿宋_GBK"/>
          <w:sz w:val="32"/>
          <w:szCs w:val="32"/>
          <w:highlight w:val="none"/>
          <w:shd w:val="clear" w:color="auto" w:fill="ffffff"/>
        </w:rPr>
      </w:pPr>
      <w:r>
        <w:rPr>
          <w:rFonts w:hint="eastAsia" w:ascii="方正仿宋_GBK" w:hAnsi="方正仿宋_GBK" w:eastAsia="方正仿宋_GBK" w:cs="方正仿宋_GBK"/>
          <w:sz w:val="32"/>
          <w:szCs w:val="32"/>
          <w:highlight w:val="none"/>
          <w:shd w:val="clear" w:color="auto" w:fill="ffffff"/>
        </w:rPr>
        <w:t xml:space="preserve">6.《声明函》中标注“</w:t>
      </w:r>
      <w:r>
        <w:rPr>
          <w:rFonts w:hint="eastAsia" w:ascii="方正仿宋_GBK" w:hAnsi="方正仿宋_GBK" w:eastAsia="方正仿宋_GBK" w:cs="方正仿宋_GBK"/>
          <w:sz w:val="32"/>
          <w:szCs w:val="32"/>
          <w:highlight w:val="none"/>
          <w:u w:val="single"/>
          <w:shd w:val="clear" w:color="auto" w:fill="ffffff"/>
        </w:rPr>
        <w:t xml:space="preserve">  </w:t>
      </w:r>
      <w:r>
        <w:rPr>
          <w:rStyle w:val="908"/>
          <w:rFonts w:hint="eastAsia" w:ascii="方正仿宋_GBK" w:hAnsi="方正仿宋_GBK" w:eastAsia="方正仿宋_GBK" w:cs="方正仿宋_GBK"/>
          <w:i w:val="0"/>
          <w:sz w:val="32"/>
          <w:szCs w:val="32"/>
          <w:highlight w:val="none"/>
          <w:u w:val="single"/>
          <w:shd w:val="clear" w:color="auto" w:fill="ffffff"/>
        </w:rPr>
        <w:t xml:space="preserve">/  </w:t>
      </w:r>
      <w:r>
        <w:rPr>
          <w:rFonts w:hint="eastAsia" w:ascii="方正仿宋_GBK" w:hAnsi="方正仿宋_GBK" w:eastAsia="方正仿宋_GBK" w:cs="方正仿宋_GBK"/>
          <w:sz w:val="32"/>
          <w:szCs w:val="32"/>
          <w:highlight w:val="none"/>
          <w:shd w:val="clear" w:color="auto" w:fill="ffffff"/>
        </w:rPr>
        <w:t xml:space="preserve">”的地方无需填写。</w:t>
      </w:r>
      <w:r/>
    </w:p>
    <w:p>
      <w:pPr>
        <w:spacing w:line="460" w:lineRule="exact"/>
        <w:rPr>
          <w:rFonts w:ascii="方正仿宋_GBK" w:hAnsi="方正仿宋_GBK" w:eastAsia="方正仿宋_GBK" w:cs="方正仿宋_GBK"/>
          <w:bCs/>
          <w:sz w:val="24"/>
          <w:highlight w:val="none"/>
        </w:rPr>
      </w:pPr>
      <w:r>
        <w:rPr>
          <w:rFonts w:ascii="方正仿宋_GBK" w:hAnsi="方正仿宋_GBK" w:eastAsia="方正仿宋_GBK" w:cs="方正仿宋_GBK"/>
          <w:bCs/>
          <w:sz w:val="24"/>
          <w:highlight w:val="none"/>
        </w:rPr>
      </w:r>
      <w:r/>
    </w:p>
    <w:p>
      <w:pPr>
        <w:rPr>
          <w:rFonts w:ascii="黑体" w:hAnsi="黑体" w:eastAsia="黑体"/>
          <w:b/>
          <w:sz w:val="32"/>
          <w:szCs w:val="32"/>
          <w:highlight w:val="none"/>
        </w:rPr>
      </w:pPr>
      <w:r>
        <w:rPr>
          <w:rFonts w:ascii="黑体" w:hAnsi="黑体" w:eastAsia="黑体"/>
          <w:b/>
          <w:sz w:val="32"/>
          <w:szCs w:val="32"/>
          <w:highlight w:val="none"/>
        </w:rPr>
      </w:r>
      <w:bookmarkEnd w:id="161"/>
      <w:r/>
      <w:bookmarkEnd w:id="162"/>
      <w:r/>
      <w:bookmarkEnd w:id="368"/>
      <w:r/>
      <w:r/>
    </w:p>
    <w:p>
      <w:pPr>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br w:type="page" w:clear="all"/>
      </w:r>
      <w:r/>
    </w:p>
    <w:p>
      <w:pPr>
        <w:ind w:firstLine="640"/>
        <w:jc w:val="center"/>
        <w:spacing w:line="560" w:lineRule="exact"/>
        <w:rPr>
          <w:rFonts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质疑函范本</w:t>
      </w:r>
      <w:r/>
    </w:p>
    <w:p>
      <w:pPr>
        <w:ind w:firstLine="640"/>
        <w:spacing w:before="290"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一、质疑供应商基本信息</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质疑供应商：</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邮编：</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联系人：</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联系电话：</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授权代表：</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联系电话：</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地址： </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邮编：</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二、质疑项目基本情况</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质疑项目的名称：</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质疑项目的编号：</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rPr>
        <w:t xml:space="preserve">包号：</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采购人名称：</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采购文件获取日期：</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三、质疑事项具体内容</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质疑事项1：</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事实依据：</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法律依据：</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质疑事项2</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w:t>
      </w:r>
      <w:r/>
    </w:p>
    <w:p>
      <w:pPr>
        <w:ind w:firstLine="640"/>
        <w:spacing w:line="560" w:lineRule="exact"/>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t xml:space="preserve">四、与质疑事项相关的质疑请求</w:t>
      </w:r>
      <w:r/>
    </w:p>
    <w:p>
      <w:pPr>
        <w:ind w:firstLine="640"/>
        <w:spacing w:line="560" w:lineRule="exact"/>
        <w:rPr>
          <w:rFonts w:ascii="方正仿宋_GBK" w:hAnsi="方正仿宋_GBK" w:eastAsia="方正仿宋_GBK" w:cs="方正仿宋_GBK"/>
          <w:sz w:val="32"/>
          <w:szCs w:val="32"/>
          <w:highlight w:val="none"/>
          <w:u w:val="single"/>
        </w:rPr>
      </w:pPr>
      <w:r>
        <w:rPr>
          <w:rFonts w:hint="eastAsia" w:ascii="方正仿宋_GBK" w:hAnsi="方正仿宋_GBK" w:eastAsia="方正仿宋_GBK" w:cs="方正仿宋_GBK"/>
          <w:sz w:val="32"/>
          <w:szCs w:val="32"/>
          <w:highlight w:val="none"/>
        </w:rPr>
        <w:t xml:space="preserve">请求：</w:t>
      </w:r>
      <w:r>
        <w:rPr>
          <w:rFonts w:hint="eastAsia" w:ascii="方正仿宋_GBK" w:hAnsi="方正仿宋_GBK" w:eastAsia="方正仿宋_GBK" w:cs="方正仿宋_GBK"/>
          <w:sz w:val="32"/>
          <w:szCs w:val="32"/>
          <w:highlight w:val="none"/>
          <w:u w:val="single"/>
        </w:rPr>
        <w:t xml:space="preserve">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签字(签章)：                   公章：                      </w:t>
      </w:r>
      <w:r/>
    </w:p>
    <w:p>
      <w:pPr>
        <w:ind w:firstLine="640"/>
        <w:spacing w:line="560" w:lineRule="exac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日期：    </w:t>
      </w:r>
      <w:r/>
    </w:p>
    <w:p>
      <w:pPr>
        <w:ind w:firstLine="643"/>
        <w:spacing w:line="560" w:lineRule="exact"/>
        <w:rPr>
          <w:rFonts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 xml:space="preserve">质疑函制作说明：</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1.供应商提出质疑时，应提交质疑函和必要的证明材料。</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3.质疑供应商若对项目的某一采购包进行质疑，质疑函中应列明具体采购包号。</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4.质疑函的质疑事项应具体、明确，并有必要的事实依据和法律依据。</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5.质疑函的质疑请求应与质疑事项相关。</w:t>
      </w:r>
      <w:r/>
    </w:p>
    <w:p>
      <w:pPr>
        <w:ind w:firstLine="640"/>
        <w:jc w:val="left"/>
        <w:spacing w:line="560" w:lineRule="exact"/>
        <w:widowControl/>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74"/>
        <w:rPr>
          <w:sz w:val="24"/>
          <w:szCs w:val="24"/>
          <w:highlight w:val="none"/>
        </w:rPr>
      </w:pPr>
      <w:r>
        <w:rPr>
          <w:sz w:val="24"/>
          <w:szCs w:val="24"/>
          <w:highlight w:val="none"/>
        </w:rPr>
      </w:r>
      <w:r/>
    </w:p>
    <w:p>
      <w:pPr>
        <w:pStyle w:val="774"/>
        <w:rPr>
          <w:sz w:val="24"/>
          <w:szCs w:val="24"/>
          <w:highlight w:val="none"/>
        </w:rPr>
      </w:pPr>
      <w:r>
        <w:rPr>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ymbol">
    <w:panose1 w:val="05050102010706020507"/>
  </w:font>
  <w:font w:name="Arial Black">
    <w:panose1 w:val="020B0A04020102020204"/>
  </w:font>
  <w:font w:name="Wingdings">
    <w:panose1 w:val="05000000000000000000"/>
  </w:font>
  <w:font w:name="华文楷体">
    <w:panose1 w:val="02010600040101010101"/>
  </w:font>
  <w:font w:name="Segoe Print">
    <w:panose1 w:val="020006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Courier New">
    <w:panose1 w:val="02070309020205020404"/>
  </w:font>
  <w:font w:name="方正仿宋_GB2312">
    <w:panose1 w:val="020B0503020202020204"/>
  </w:font>
  <w:font w:name="华文中宋">
    <w:panose1 w:val="02010600040101010101"/>
  </w:font>
  <w:font w:name="Verdana">
    <w:panose1 w:val="020B0604030504040204"/>
  </w:font>
  <w:font w:name="幼圆">
    <w:panose1 w:val="02010509060101010101"/>
  </w:font>
  <w:font w:name="黑体">
    <w:panose1 w:val="02010609060101010101"/>
  </w:font>
  <w:font w:name="仿宋">
    <w:panose1 w:val="02010609060101010101"/>
  </w:font>
  <w:font w:name="DejaVu Math TeX Gyre">
    <w:panose1 w:val="02000503000000000000"/>
  </w:font>
  <w:font w:name="方正楷体_GB2312">
    <w:panose1 w:val="020B0503020202020204"/>
  </w:font>
  <w:font w:name="等线">
    <w:panose1 w:val="0201060003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80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1</w:t>
    </w:r>
    <w:r>
      <w:fldChar w:fldCharType="end"/>
    </w:r>
    <w:r/>
  </w:p>
  <w:p>
    <w:pPr>
      <w:pStyle w:val="8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56</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56</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pStyle w:val="1232"/>
      <w:isLgl w:val="false"/>
      <w:suff w:val="tab"/>
      <w:lvlText w:val="§"/>
      <w:lvlJc w:val="left"/>
      <w:pPr>
        <w:ind w:left="4320" w:hanging="360"/>
      </w:pPr>
      <w:rPr>
        <w:rFonts w:ascii="Wingdings" w:hAnsi="Wingdings" w:eastAsia="Wingdings" w:cs="Wingdings"/>
      </w:rPr>
    </w:lvl>
    <w:lvl w:ilvl="6">
      <w:start w:val="1"/>
      <w:numFmt w:val="bullet"/>
      <w:pStyle w:val="1233"/>
      <w:isLgl w:val="false"/>
      <w:suff w:val="tab"/>
      <w:lvlText w:val="·"/>
      <w:lvlJc w:val="left"/>
      <w:pPr>
        <w:ind w:left="5040" w:hanging="360"/>
      </w:pPr>
      <w:rPr>
        <w:rFonts w:ascii="Symbol" w:hAnsi="Symbol" w:eastAsia="Symbol" w:cs="Symbol"/>
      </w:rPr>
    </w:lvl>
    <w:lvl w:ilvl="7">
      <w:start w:val="1"/>
      <w:numFmt w:val="bullet"/>
      <w:pStyle w:val="1234"/>
      <w:isLgl w:val="false"/>
      <w:suff w:val="tab"/>
      <w:lvlText w:val="o"/>
      <w:lvlJc w:val="left"/>
      <w:pPr>
        <w:ind w:left="5760" w:hanging="360"/>
      </w:pPr>
      <w:rPr>
        <w:rFonts w:ascii="Courier New" w:hAnsi="Courier New" w:eastAsia="Courier New" w:cs="Courier New"/>
      </w:rPr>
    </w:lvl>
    <w:lvl w:ilvl="8">
      <w:start w:val="1"/>
      <w:numFmt w:val="bullet"/>
      <w:pStyle w:val="1235"/>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28"/>
      <w:isLgl w:val="false"/>
      <w:suff w:val="nothing"/>
      <w:lvlText w:val=""/>
      <w:lvlJc w:val="left"/>
      <w:pPr>
        <w:ind w:left="0" w:firstLine="0"/>
      </w:pPr>
      <w:rPr>
        <w:rFonts w:hint="eastAsia"/>
      </w:rPr>
    </w:lvl>
    <w:lvl w:ilvl="6">
      <w:start w:val="1"/>
      <w:numFmt w:val="decimal"/>
      <w:pStyle w:val="829"/>
      <w:isLgl w:val="false"/>
      <w:suff w:val="nothing"/>
      <w:lvlText w:val=""/>
      <w:lvlJc w:val="left"/>
      <w:pPr>
        <w:ind w:left="0" w:firstLine="0"/>
      </w:pPr>
      <w:rPr>
        <w:rFonts w:hint="eastAsia"/>
      </w:rPr>
    </w:lvl>
    <w:lvl w:ilvl="7">
      <w:start w:val="1"/>
      <w:numFmt w:val="decimal"/>
      <w:pStyle w:val="830"/>
      <w:isLgl w:val="false"/>
      <w:suff w:val="nothing"/>
      <w:lvlText w:val=""/>
      <w:lvlJc w:val="left"/>
      <w:pPr>
        <w:ind w:left="0" w:firstLine="0"/>
      </w:pPr>
      <w:rPr>
        <w:rFonts w:hint="eastAsia"/>
      </w:rPr>
    </w:lvl>
    <w:lvl w:ilvl="8">
      <w:start w:val="1"/>
      <w:numFmt w:val="decimal"/>
      <w:pStyle w:val="831"/>
      <w:isLgl w:val="false"/>
      <w:suff w:val="nothing"/>
      <w:lvlText w:val=""/>
      <w:lvlJc w:val="left"/>
      <w:pPr>
        <w:ind w:left="0" w:firstLine="0"/>
      </w:pPr>
      <w:rPr>
        <w:rFonts w:hint="eastAsia"/>
      </w:rPr>
    </w:lvl>
  </w:abstractNum>
  <w:abstractNum w:abstractNumId="4">
    <w:multiLevelType w:val="hybridMultilevel"/>
    <w:lvl w:ilvl="0">
      <w:start w:val="1"/>
      <w:numFmt w:val="decimal"/>
      <w:pStyle w:val="11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TOC Heading"/>
    <w:uiPriority w:val="39"/>
    <w:unhideWhenUsed/>
  </w:style>
  <w:style w:type="paragraph" w:styleId="76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3">
    <w:name w:val="Heading 1"/>
    <w:next w:val="762"/>
    <w:link w:val="984"/>
    <w:uiPriority w:val="99"/>
    <w:qFormat/>
    <w:pPr>
      <w:spacing w:before="240" w:after="120" w:line="360" w:lineRule="auto"/>
      <w:widowControl w:val="off"/>
      <w:outlineLvl w:val="0"/>
    </w:pPr>
    <w:rPr>
      <w:rFonts w:ascii="宋体" w:hAnsi="宋体" w:eastAsia="宋体" w:cs="宋体"/>
      <w:b/>
      <w:bCs/>
      <w:sz w:val="24"/>
      <w:szCs w:val="30"/>
      <w:lang w:val="en-US" w:eastAsia="zh-CN" w:bidi="ar-SA"/>
    </w:rPr>
  </w:style>
  <w:style w:type="paragraph" w:styleId="764">
    <w:name w:val="Heading 2"/>
    <w:basedOn w:val="762"/>
    <w:next w:val="762"/>
    <w:link w:val="985"/>
    <w:uiPriority w:val="99"/>
    <w:unhideWhenUsed/>
    <w:qFormat/>
    <w:pPr>
      <w:jc w:val="left"/>
      <w:spacing w:after="120" w:line="360" w:lineRule="auto"/>
      <w:outlineLvl w:val="1"/>
    </w:pPr>
    <w:rPr>
      <w:b/>
      <w:color w:val="000000"/>
      <w:sz w:val="24"/>
    </w:rPr>
  </w:style>
  <w:style w:type="paragraph" w:styleId="765">
    <w:name w:val="Heading 3"/>
    <w:basedOn w:val="762"/>
    <w:next w:val="762"/>
    <w:link w:val="986"/>
    <w:uiPriority w:val="99"/>
    <w:unhideWhenUsed/>
    <w:qFormat/>
    <w:pPr>
      <w:jc w:val="left"/>
      <w:spacing w:after="120" w:line="360" w:lineRule="auto"/>
      <w:outlineLvl w:val="2"/>
    </w:pPr>
    <w:rPr>
      <w:b/>
      <w:color w:val="000000"/>
      <w:sz w:val="24"/>
    </w:rPr>
  </w:style>
  <w:style w:type="paragraph" w:styleId="766">
    <w:name w:val="Heading 4"/>
    <w:basedOn w:val="762"/>
    <w:next w:val="774"/>
    <w:link w:val="987"/>
    <w:uiPriority w:val="99"/>
    <w:unhideWhenUsed/>
    <w:qFormat/>
    <w:pPr>
      <w:jc w:val="left"/>
      <w:spacing w:after="120" w:line="360" w:lineRule="auto"/>
      <w:outlineLvl w:val="3"/>
    </w:pPr>
    <w:rPr>
      <w:color w:val="000000"/>
      <w:sz w:val="24"/>
    </w:rPr>
  </w:style>
  <w:style w:type="paragraph" w:styleId="767">
    <w:name w:val="Heading 5"/>
    <w:next w:val="762"/>
    <w:link w:val="988"/>
    <w:uiPriority w:val="0"/>
    <w:unhideWhenUsed/>
    <w:qFormat/>
    <w:pPr>
      <w:spacing w:after="120" w:line="440" w:lineRule="exact"/>
      <w:widowControl w:val="off"/>
      <w:outlineLvl w:val="4"/>
    </w:pPr>
    <w:rPr>
      <w:rFonts w:ascii="Times New Roman" w:hAnsi="Times New Roman" w:eastAsia="宋体" w:cs="Times New Roman"/>
      <w:sz w:val="24"/>
      <w:lang w:val="en-US" w:eastAsia="zh-CN" w:bidi="ar-SA"/>
    </w:rPr>
  </w:style>
  <w:style w:type="paragraph" w:styleId="768">
    <w:name w:val="Heading 6"/>
    <w:next w:val="762"/>
    <w:link w:val="989"/>
    <w:uiPriority w:val="0"/>
    <w:unhideWhenUsed/>
    <w:qFormat/>
    <w:pPr>
      <w:spacing w:after="120" w:line="360" w:lineRule="auto"/>
      <w:widowControl w:val="off"/>
      <w:outlineLvl w:val="5"/>
    </w:pPr>
    <w:rPr>
      <w:rFonts w:ascii="Times New Roman" w:hAnsi="Times New Roman" w:eastAsia="宋体" w:cs="Times New Roman"/>
      <w:sz w:val="24"/>
      <w:lang w:val="en-US" w:eastAsia="zh-CN" w:bidi="ar-SA"/>
    </w:rPr>
  </w:style>
  <w:style w:type="paragraph" w:styleId="769">
    <w:name w:val="Heading 7"/>
    <w:next w:val="762"/>
    <w:link w:val="990"/>
    <w:uiPriority w:val="9"/>
    <w:unhideWhenUsed/>
    <w:qFormat/>
    <w:pPr>
      <w:spacing w:after="120" w:line="360" w:lineRule="auto"/>
      <w:widowControl w:val="off"/>
      <w:outlineLvl w:val="6"/>
    </w:pPr>
    <w:rPr>
      <w:rFonts w:ascii="Times New Roman" w:hAnsi="Times New Roman" w:eastAsia="宋体" w:cs="Times New Roman"/>
      <w:sz w:val="24"/>
      <w:lang w:val="en-US" w:eastAsia="zh-CN" w:bidi="ar-SA"/>
    </w:rPr>
  </w:style>
  <w:style w:type="paragraph" w:styleId="770">
    <w:name w:val="Heading 8"/>
    <w:next w:val="762"/>
    <w:link w:val="991"/>
    <w:uiPriority w:val="0"/>
    <w:unhideWhenUsed/>
    <w:qFormat/>
    <w:pPr>
      <w:spacing w:after="120" w:line="360" w:lineRule="auto"/>
      <w:widowControl w:val="off"/>
      <w:outlineLvl w:val="7"/>
    </w:pPr>
    <w:rPr>
      <w:rFonts w:ascii="Times New Roman" w:hAnsi="Times New Roman" w:eastAsia="宋体" w:cs="Times New Roman"/>
      <w:sz w:val="24"/>
      <w:lang w:val="en-US" w:eastAsia="zh-CN" w:bidi="ar-SA"/>
    </w:rPr>
  </w:style>
  <w:style w:type="paragraph" w:styleId="771">
    <w:name w:val="Heading 9"/>
    <w:next w:val="762"/>
    <w:link w:val="992"/>
    <w:uiPriority w:val="0"/>
    <w:unhideWhenUsed/>
    <w:qFormat/>
    <w:pPr>
      <w:spacing w:after="120" w:line="360" w:lineRule="auto"/>
      <w:widowControl w:val="off"/>
      <w:outlineLvl w:val="8"/>
    </w:pPr>
    <w:rPr>
      <w:rFonts w:ascii="Times New Roman" w:hAnsi="Times New Roman" w:eastAsia="宋体" w:cs="Times New Roman"/>
      <w:sz w:val="24"/>
      <w:lang w:val="en-US" w:eastAsia="zh-CN" w:bidi="ar-SA"/>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customStyle="1">
    <w:name w:val="正文缩进11"/>
    <w:basedOn w:val="762"/>
    <w:link w:val="836"/>
    <w:uiPriority w:val="0"/>
    <w:qFormat/>
    <w:pPr>
      <w:ind w:firstLine="420"/>
    </w:pPr>
  </w:style>
  <w:style w:type="paragraph" w:styleId="775">
    <w:name w:val="toc 7"/>
    <w:basedOn w:val="762"/>
    <w:next w:val="762"/>
    <w:uiPriority w:val="39"/>
    <w:unhideWhenUsed/>
    <w:qFormat/>
    <w:pPr>
      <w:ind w:left="1701"/>
      <w:spacing w:after="57"/>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2"/>
    <w:uiPriority w:val="99"/>
    <w:semiHidden/>
    <w:unhideWhenUsed/>
    <w:qFormat/>
    <w:pPr>
      <w:jc w:val="left"/>
    </w:pPr>
  </w:style>
  <w:style w:type="paragraph" w:styleId="778">
    <w:name w:val="toc 5"/>
    <w:basedOn w:val="762"/>
    <w:next w:val="762"/>
    <w:uiPriority w:val="39"/>
    <w:unhideWhenUsed/>
    <w:qFormat/>
    <w:pPr>
      <w:ind w:left="1134"/>
      <w:spacing w:after="57"/>
    </w:pPr>
  </w:style>
  <w:style w:type="paragraph" w:styleId="779">
    <w:name w:val="toc 3"/>
    <w:basedOn w:val="762"/>
    <w:next w:val="762"/>
    <w:uiPriority w:val="39"/>
    <w:unhideWhenUsed/>
    <w:qFormat/>
    <w:pPr>
      <w:ind w:left="567"/>
      <w:spacing w:after="57"/>
    </w:pPr>
  </w:style>
  <w:style w:type="paragraph" w:styleId="780">
    <w:name w:val="toc 8"/>
    <w:basedOn w:val="762"/>
    <w:next w:val="762"/>
    <w:uiPriority w:val="39"/>
    <w:unhideWhenUsed/>
    <w:qFormat/>
    <w:pPr>
      <w:ind w:left="1984"/>
      <w:spacing w:after="57"/>
    </w:pPr>
  </w:style>
  <w:style w:type="paragraph" w:styleId="781">
    <w:name w:val="endnote text"/>
    <w:basedOn w:val="762"/>
    <w:uiPriority w:val="99"/>
    <w:semiHidden/>
    <w:unhideWhenUsed/>
    <w:qFormat/>
    <w:rPr>
      <w:sz w:val="20"/>
    </w:rPr>
  </w:style>
  <w:style w:type="paragraph" w:styleId="782">
    <w:name w:val="Balloon Text"/>
    <w:basedOn w:val="762"/>
    <w:link w:val="1317"/>
    <w:uiPriority w:val="99"/>
    <w:semiHidden/>
    <w:unhideWhenUsed/>
    <w:qFormat/>
    <w:rPr>
      <w:sz w:val="18"/>
      <w:szCs w:val="18"/>
    </w:rPr>
  </w:style>
  <w:style w:type="paragraph" w:styleId="783">
    <w:name w:val="Footer"/>
    <w:basedOn w:val="762"/>
    <w:uiPriority w:val="99"/>
    <w:unhideWhenUsed/>
    <w:qFormat/>
    <w:pPr>
      <w:tabs>
        <w:tab w:val="center" w:pos="7143" w:leader="none"/>
        <w:tab w:val="right" w:pos="14287" w:leader="none"/>
      </w:tabs>
    </w:pPr>
  </w:style>
  <w:style w:type="paragraph" w:styleId="784">
    <w:name w:val="Header"/>
    <w:basedOn w:val="762"/>
    <w:uiPriority w:val="99"/>
    <w:unhideWhenUsed/>
    <w:qFormat/>
    <w:pPr>
      <w:tabs>
        <w:tab w:val="center" w:pos="7143" w:leader="none"/>
        <w:tab w:val="right" w:pos="14287" w:leader="none"/>
      </w:tabs>
    </w:pPr>
  </w:style>
  <w:style w:type="paragraph" w:styleId="785">
    <w:name w:val="toc 1"/>
    <w:basedOn w:val="762"/>
    <w:next w:val="762"/>
    <w:uiPriority w:val="39"/>
    <w:unhideWhenUsed/>
    <w:qFormat/>
    <w:pPr>
      <w:spacing w:after="57"/>
    </w:pPr>
  </w:style>
  <w:style w:type="paragraph" w:styleId="786">
    <w:name w:val="toc 4"/>
    <w:basedOn w:val="762"/>
    <w:next w:val="762"/>
    <w:uiPriority w:val="39"/>
    <w:unhideWhenUsed/>
    <w:qFormat/>
    <w:pPr>
      <w:ind w:left="850"/>
      <w:spacing w:after="57"/>
    </w:pPr>
  </w:style>
  <w:style w:type="paragraph" w:styleId="787">
    <w:name w:val="Subtitle"/>
    <w:basedOn w:val="762"/>
    <w:next w:val="762"/>
    <w:uiPriority w:val="11"/>
    <w:qFormat/>
    <w:pPr>
      <w:spacing w:before="200" w:after="200"/>
    </w:pPr>
    <w:rPr>
      <w:sz w:val="24"/>
      <w:szCs w:val="24"/>
    </w:rPr>
  </w:style>
  <w:style w:type="paragraph" w:styleId="788">
    <w:name w:val="footnote text"/>
    <w:basedOn w:val="762"/>
    <w:uiPriority w:val="99"/>
    <w:semiHidden/>
    <w:unhideWhenUsed/>
    <w:qFormat/>
    <w:pPr>
      <w:spacing w:after="40"/>
    </w:pPr>
    <w:rPr>
      <w:sz w:val="18"/>
    </w:rPr>
  </w:style>
  <w:style w:type="paragraph" w:styleId="789">
    <w:name w:val="toc 6"/>
    <w:basedOn w:val="762"/>
    <w:next w:val="762"/>
    <w:uiPriority w:val="39"/>
    <w:unhideWhenUsed/>
    <w:qFormat/>
    <w:pPr>
      <w:ind w:left="1417"/>
      <w:spacing w:after="57"/>
    </w:pPr>
  </w:style>
  <w:style w:type="paragraph" w:styleId="790">
    <w:name w:val="table of figures"/>
    <w:basedOn w:val="762"/>
    <w:next w:val="762"/>
    <w:uiPriority w:val="99"/>
    <w:unhideWhenUsed/>
    <w:qFormat/>
  </w:style>
  <w:style w:type="paragraph" w:styleId="791">
    <w:name w:val="toc 2"/>
    <w:basedOn w:val="762"/>
    <w:next w:val="762"/>
    <w:uiPriority w:val="39"/>
    <w:unhideWhenUsed/>
    <w:qFormat/>
    <w:pPr>
      <w:ind w:left="283"/>
      <w:spacing w:after="57"/>
    </w:pPr>
  </w:style>
  <w:style w:type="paragraph" w:styleId="792">
    <w:name w:val="toc 9"/>
    <w:basedOn w:val="762"/>
    <w:next w:val="762"/>
    <w:uiPriority w:val="39"/>
    <w:unhideWhenUsed/>
    <w:qFormat/>
    <w:pPr>
      <w:ind w:left="2268"/>
      <w:spacing w:after="57"/>
    </w:pPr>
  </w:style>
  <w:style w:type="paragraph" w:styleId="793">
    <w:name w:val="Title"/>
    <w:basedOn w:val="762"/>
    <w:next w:val="762"/>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72"/>
    <w:uiPriority w:val="99"/>
    <w:semiHidden/>
    <w:unhideWhenUsed/>
    <w:qFormat/>
    <w:rPr>
      <w:sz w:val="21"/>
      <w:szCs w:val="21"/>
    </w:rPr>
  </w:style>
  <w:style w:type="character" w:styleId="798">
    <w:name w:val="footnote reference"/>
    <w:uiPriority w:val="99"/>
    <w:unhideWhenUsed/>
    <w:qFormat/>
    <w:rPr>
      <w:vertAlign w:val="superscript"/>
    </w:rPr>
  </w:style>
  <w:style w:type="paragraph" w:styleId="799">
    <w:name w:val="List Paragraph"/>
    <w:basedOn w:val="762"/>
    <w:uiPriority w:val="34"/>
    <w:qFormat/>
    <w:pPr>
      <w:contextualSpacing/>
      <w:ind w:left="720"/>
    </w:pPr>
  </w:style>
  <w:style w:type="paragraph" w:styleId="800">
    <w:name w:val="No Spacing"/>
    <w:uiPriority w:val="1"/>
    <w:qFormat/>
    <w:rPr>
      <w:rFonts w:ascii="Calibri" w:hAnsi="Calibri" w:eastAsia="宋体" w:cs="Times New Roman"/>
      <w:lang w:val="en-US" w:eastAsia="zh-CN" w:bidi="ar-SA"/>
    </w:rPr>
  </w:style>
  <w:style w:type="paragraph" w:styleId="801">
    <w:name w:val="Quote"/>
    <w:basedOn w:val="762"/>
    <w:next w:val="762"/>
    <w:uiPriority w:val="29"/>
    <w:qFormat/>
    <w:pPr>
      <w:ind w:left="720" w:right="720"/>
    </w:pPr>
    <w:rPr>
      <w:i/>
    </w:rPr>
  </w:style>
  <w:style w:type="paragraph" w:styleId="802">
    <w:name w:val="Intense Quote"/>
    <w:basedOn w:val="762"/>
    <w:next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2" w:customStyle="1">
    <w:name w:val="TOC 标题1"/>
    <w:uiPriority w:val="39"/>
    <w:unhideWhenUsed/>
    <w:qFormat/>
    <w:rPr>
      <w:rFonts w:ascii="Calibri" w:hAnsi="Calibri" w:eastAsia="宋体" w:cs="Times New Roman"/>
      <w:lang w:val="en-US" w:eastAsia="zh-CN" w:bidi="ar-SA"/>
    </w:rPr>
  </w:style>
  <w:style w:type="paragraph" w:styleId="823" w:customStyle="1">
    <w:name w:val="标题 111"/>
    <w:basedOn w:val="762"/>
    <w:next w:val="762"/>
    <w:link w:val="834"/>
    <w:uiPriority w:val="9"/>
    <w:qFormat/>
    <w:pPr>
      <w:jc w:val="center"/>
      <w:keepNext/>
      <w:outlineLvl w:val="0"/>
    </w:pPr>
    <w:rPr>
      <w:rFonts w:ascii="方正楷体_GB2312" w:eastAsia="方正楷体_GB2312"/>
      <w:sz w:val="28"/>
      <w:szCs w:val="28"/>
    </w:rPr>
  </w:style>
  <w:style w:type="paragraph" w:styleId="824" w:customStyle="1">
    <w:name w:val="标题 211"/>
    <w:basedOn w:val="762"/>
    <w:next w:val="774"/>
    <w:link w:val="8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25" w:customStyle="1">
    <w:name w:val="标题 311"/>
    <w:basedOn w:val="762"/>
    <w:next w:val="774"/>
    <w:link w:val="837"/>
    <w:uiPriority w:val="0"/>
    <w:qFormat/>
    <w:pPr>
      <w:keepLines/>
      <w:keepNext/>
      <w:spacing w:before="260" w:after="260" w:line="416" w:lineRule="auto"/>
      <w:outlineLvl w:val="2"/>
    </w:pPr>
    <w:rPr>
      <w:b/>
      <w:bCs/>
      <w:sz w:val="32"/>
      <w:szCs w:val="32"/>
    </w:rPr>
  </w:style>
  <w:style w:type="paragraph" w:styleId="826" w:customStyle="1">
    <w:name w:val="标题 411"/>
    <w:basedOn w:val="762"/>
    <w:next w:val="774"/>
    <w:link w:val="838"/>
    <w:uiPriority w:val="0"/>
    <w:qFormat/>
    <w:pPr>
      <w:keepLines/>
      <w:keepNext/>
      <w:spacing w:before="280" w:after="290" w:line="376" w:lineRule="auto"/>
      <w:outlineLvl w:val="3"/>
    </w:pPr>
    <w:rPr>
      <w:rFonts w:ascii="Arial" w:hAnsi="Arial" w:eastAsia="黑体" w:cs="Arial"/>
      <w:b/>
      <w:bCs/>
      <w:sz w:val="28"/>
      <w:szCs w:val="28"/>
    </w:rPr>
  </w:style>
  <w:style w:type="paragraph" w:styleId="827" w:customStyle="1">
    <w:name w:val="标题 511"/>
    <w:basedOn w:val="762"/>
    <w:next w:val="774"/>
    <w:link w:val="839"/>
    <w:uiPriority w:val="0"/>
    <w:qFormat/>
    <w:pPr>
      <w:keepNext/>
      <w:outlineLvl w:val="4"/>
    </w:pPr>
    <w:rPr>
      <w:rFonts w:ascii="宋体"/>
      <w:color w:val="000000"/>
      <w:sz w:val="28"/>
      <w:szCs w:val="28"/>
    </w:rPr>
  </w:style>
  <w:style w:type="paragraph" w:styleId="828" w:customStyle="1">
    <w:name w:val="标题 611"/>
    <w:basedOn w:val="762"/>
    <w:next w:val="762"/>
    <w:link w:val="8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29" w:customStyle="1">
    <w:name w:val="标题 711"/>
    <w:basedOn w:val="762"/>
    <w:next w:val="762"/>
    <w:link w:val="841"/>
    <w:uiPriority w:val="0"/>
    <w:qFormat/>
    <w:pPr>
      <w:numPr>
        <w:ilvl w:val="6"/>
        <w:numId w:val="1"/>
      </w:numPr>
      <w:keepLines/>
      <w:keepNext/>
      <w:spacing w:before="240" w:after="64" w:line="320" w:lineRule="auto"/>
      <w:outlineLvl w:val="6"/>
    </w:pPr>
    <w:rPr>
      <w:b/>
      <w:bCs/>
      <w:sz w:val="24"/>
      <w:szCs w:val="24"/>
    </w:rPr>
  </w:style>
  <w:style w:type="paragraph" w:styleId="830" w:customStyle="1">
    <w:name w:val="标题 811"/>
    <w:basedOn w:val="762"/>
    <w:next w:val="762"/>
    <w:link w:val="8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31" w:customStyle="1">
    <w:name w:val="标题 911"/>
    <w:basedOn w:val="762"/>
    <w:next w:val="762"/>
    <w:link w:val="843"/>
    <w:uiPriority w:val="0"/>
    <w:qFormat/>
    <w:pPr>
      <w:numPr>
        <w:ilvl w:val="8"/>
        <w:numId w:val="1"/>
      </w:numPr>
      <w:keepLines/>
      <w:keepNext/>
      <w:spacing w:before="240" w:after="64" w:line="320" w:lineRule="auto"/>
      <w:outlineLvl w:val="8"/>
    </w:pPr>
    <w:rPr>
      <w:rFonts w:ascii="Arial" w:hAnsi="Arial" w:eastAsia="黑体"/>
    </w:rPr>
  </w:style>
  <w:style w:type="character" w:styleId="832" w:customStyle="1">
    <w:name w:val="默认段落字体1"/>
    <w:uiPriority w:val="1"/>
    <w:unhideWhenUsed/>
    <w:qFormat/>
  </w:style>
  <w:style w:type="table" w:styleId="833" w:customStyle="1">
    <w:name w:val="普通表格1"/>
    <w:uiPriority w:val="99"/>
    <w:unhideWhenUsed/>
    <w:qFormat/>
    <w:tblPr>
      <w:tblCellMar>
        <w:left w:w="0" w:type="dxa"/>
        <w:top w:w="0" w:type="dxa"/>
        <w:right w:w="0" w:type="dxa"/>
        <w:bottom w:w="0" w:type="dxa"/>
      </w:tblCellMar>
    </w:tblPr>
  </w:style>
  <w:style w:type="character" w:styleId="834" w:customStyle="1">
    <w:name w:val="标题 1 Char"/>
    <w:link w:val="823"/>
    <w:uiPriority w:val="9"/>
    <w:qFormat/>
    <w:rPr>
      <w:rFonts w:ascii="方正楷体_GB2312" w:hAnsi="Times New Roman" w:eastAsia="方正楷体_GB2312" w:cs="Times New Roman"/>
      <w:sz w:val="28"/>
      <w:szCs w:val="28"/>
    </w:rPr>
  </w:style>
  <w:style w:type="character" w:styleId="835" w:customStyle="1">
    <w:name w:val="标题 2 Char"/>
    <w:link w:val="824"/>
    <w:uiPriority w:val="9"/>
    <w:qFormat/>
    <w:rPr>
      <w:rFonts w:ascii="Arial" w:hAnsi="Arial" w:eastAsia="幼圆" w:cs="Arial"/>
      <w:b/>
      <w:bCs/>
      <w:sz w:val="44"/>
      <w:szCs w:val="44"/>
    </w:rPr>
  </w:style>
  <w:style w:type="character" w:styleId="836" w:customStyle="1">
    <w:name w:val="正文缩进 Char"/>
    <w:link w:val="774"/>
    <w:uiPriority w:val="0"/>
    <w:qFormat/>
    <w:rPr>
      <w:rFonts w:ascii="Times New Roman" w:hAnsi="Times New Roman" w:eastAsia="宋体" w:cs="Times New Roman"/>
      <w:szCs w:val="21"/>
    </w:rPr>
  </w:style>
  <w:style w:type="character" w:styleId="837" w:customStyle="1">
    <w:name w:val="标题 3 Char"/>
    <w:link w:val="825"/>
    <w:uiPriority w:val="9"/>
    <w:qFormat/>
    <w:rPr>
      <w:rFonts w:ascii="Times New Roman" w:hAnsi="Times New Roman" w:eastAsia="宋体" w:cs="Times New Roman"/>
      <w:b/>
      <w:bCs/>
      <w:sz w:val="32"/>
      <w:szCs w:val="32"/>
    </w:rPr>
  </w:style>
  <w:style w:type="character" w:styleId="838" w:customStyle="1">
    <w:name w:val="标题 4 Char"/>
    <w:link w:val="826"/>
    <w:uiPriority w:val="9"/>
    <w:qFormat/>
    <w:rPr>
      <w:rFonts w:ascii="Arial" w:hAnsi="Arial" w:eastAsia="黑体" w:cs="Arial"/>
      <w:b/>
      <w:bCs/>
      <w:sz w:val="28"/>
      <w:szCs w:val="28"/>
    </w:rPr>
  </w:style>
  <w:style w:type="character" w:styleId="839" w:customStyle="1">
    <w:name w:val="标题 5 Char"/>
    <w:link w:val="827"/>
    <w:uiPriority w:val="9"/>
    <w:qFormat/>
    <w:rPr>
      <w:rFonts w:ascii="宋体" w:hAnsi="Times New Roman" w:eastAsia="宋体" w:cs="Times New Roman"/>
      <w:color w:val="000000"/>
      <w:sz w:val="28"/>
      <w:szCs w:val="28"/>
    </w:rPr>
  </w:style>
  <w:style w:type="character" w:styleId="840" w:customStyle="1">
    <w:name w:val="标题 6 Char"/>
    <w:link w:val="828"/>
    <w:uiPriority w:val="9"/>
    <w:qFormat/>
    <w:rPr>
      <w:rFonts w:ascii="Arial" w:hAnsi="Arial" w:eastAsia="黑体" w:cs="Times New Roman"/>
      <w:b/>
      <w:bCs/>
      <w:sz w:val="24"/>
      <w:szCs w:val="24"/>
    </w:rPr>
  </w:style>
  <w:style w:type="character" w:styleId="841" w:customStyle="1">
    <w:name w:val="标题 7 Char"/>
    <w:link w:val="829"/>
    <w:uiPriority w:val="9"/>
    <w:qFormat/>
    <w:rPr>
      <w:rFonts w:ascii="Times New Roman" w:hAnsi="Times New Roman" w:eastAsia="宋体" w:cs="Times New Roman"/>
      <w:b/>
      <w:bCs/>
      <w:sz w:val="24"/>
      <w:szCs w:val="24"/>
    </w:rPr>
  </w:style>
  <w:style w:type="character" w:styleId="842" w:customStyle="1">
    <w:name w:val="标题 8 Char"/>
    <w:link w:val="830"/>
    <w:uiPriority w:val="9"/>
    <w:qFormat/>
    <w:rPr>
      <w:rFonts w:ascii="Arial" w:hAnsi="Arial" w:eastAsia="黑体" w:cs="Times New Roman"/>
      <w:sz w:val="24"/>
      <w:szCs w:val="24"/>
    </w:rPr>
  </w:style>
  <w:style w:type="character" w:styleId="843" w:customStyle="1">
    <w:name w:val="标题 9 Char"/>
    <w:link w:val="831"/>
    <w:uiPriority w:val="9"/>
    <w:qFormat/>
    <w:rPr>
      <w:rFonts w:ascii="Arial" w:hAnsi="Arial" w:eastAsia="黑体" w:cs="Times New Roman"/>
      <w:szCs w:val="21"/>
    </w:rPr>
  </w:style>
  <w:style w:type="paragraph" w:styleId="844" w:customStyle="1">
    <w:name w:val="列表 31"/>
    <w:basedOn w:val="762"/>
    <w:uiPriority w:val="0"/>
    <w:qFormat/>
    <w:pPr>
      <w:ind w:left="100" w:hanging="200"/>
    </w:pPr>
  </w:style>
  <w:style w:type="paragraph" w:styleId="845" w:customStyle="1">
    <w:name w:val="目录 71"/>
    <w:basedOn w:val="762"/>
    <w:next w:val="762"/>
    <w:uiPriority w:val="39"/>
    <w:qFormat/>
    <w:pPr>
      <w:ind w:left="1260"/>
      <w:jc w:val="left"/>
    </w:pPr>
  </w:style>
  <w:style w:type="paragraph" w:styleId="846" w:customStyle="1">
    <w:name w:val="文档结构图1"/>
    <w:basedOn w:val="762"/>
    <w:link w:val="847"/>
    <w:uiPriority w:val="99"/>
    <w:qFormat/>
    <w:pPr>
      <w:shd w:val="clear" w:color="auto" w:fill="000080"/>
    </w:pPr>
  </w:style>
  <w:style w:type="character" w:styleId="847" w:customStyle="1">
    <w:name w:val="文档结构图 Char"/>
    <w:link w:val="846"/>
    <w:uiPriority w:val="0"/>
    <w:qFormat/>
    <w:rPr>
      <w:rFonts w:ascii="Times New Roman" w:hAnsi="Times New Roman" w:eastAsia="宋体" w:cs="Times New Roman"/>
      <w:szCs w:val="21"/>
      <w:shd w:val="clear" w:color="auto" w:fill="000080"/>
    </w:rPr>
  </w:style>
  <w:style w:type="paragraph" w:styleId="848" w:customStyle="1">
    <w:name w:val="批注文字1"/>
    <w:basedOn w:val="762"/>
    <w:link w:val="849"/>
    <w:uiPriority w:val="0"/>
    <w:qFormat/>
    <w:pPr>
      <w:jc w:val="left"/>
    </w:pPr>
  </w:style>
  <w:style w:type="character" w:styleId="849" w:customStyle="1">
    <w:name w:val="批注文字 Char"/>
    <w:link w:val="848"/>
    <w:uiPriority w:val="0"/>
    <w:qFormat/>
    <w:rPr>
      <w:rFonts w:ascii="Times New Roman" w:hAnsi="Times New Roman" w:eastAsia="宋体" w:cs="Times New Roman"/>
      <w:szCs w:val="21"/>
    </w:rPr>
  </w:style>
  <w:style w:type="paragraph" w:styleId="850" w:customStyle="1">
    <w:name w:val="正文文本 31"/>
    <w:basedOn w:val="762"/>
    <w:link w:val="851"/>
    <w:uiPriority w:val="0"/>
    <w:qFormat/>
    <w:rPr>
      <w:rFonts w:ascii="方正仿宋_GB2312" w:hAnsi="Arial" w:eastAsia="方正仿宋_GB2312"/>
      <w:sz w:val="32"/>
      <w:szCs w:val="32"/>
    </w:rPr>
  </w:style>
  <w:style w:type="character" w:styleId="851" w:customStyle="1">
    <w:name w:val="正文文本 3 Char"/>
    <w:link w:val="850"/>
    <w:uiPriority w:val="0"/>
    <w:qFormat/>
    <w:rPr>
      <w:rFonts w:ascii="方正仿宋_GB2312" w:hAnsi="Arial" w:eastAsia="方正仿宋_GB2312" w:cs="Times New Roman"/>
      <w:sz w:val="32"/>
      <w:szCs w:val="32"/>
    </w:rPr>
  </w:style>
  <w:style w:type="paragraph" w:styleId="852" w:customStyle="1">
    <w:name w:val="正文文本11"/>
    <w:basedOn w:val="762"/>
    <w:link w:val="853"/>
    <w:uiPriority w:val="99"/>
    <w:qFormat/>
    <w:rPr>
      <w:rFonts w:ascii="方正楷体_GB2312" w:hAnsi="Arial" w:eastAsia="方正楷体_GB2312"/>
      <w:sz w:val="28"/>
      <w:szCs w:val="28"/>
    </w:rPr>
  </w:style>
  <w:style w:type="character" w:styleId="853" w:customStyle="1">
    <w:name w:val="正文文本 Char"/>
    <w:link w:val="852"/>
    <w:uiPriority w:val="99"/>
    <w:qFormat/>
    <w:rPr>
      <w:rFonts w:ascii="方正楷体_GB2312" w:hAnsi="Arial" w:eastAsia="方正楷体_GB2312" w:cs="Times New Roman"/>
      <w:sz w:val="28"/>
      <w:szCs w:val="28"/>
    </w:rPr>
  </w:style>
  <w:style w:type="paragraph" w:styleId="854" w:customStyle="1">
    <w:name w:val="正文文本缩进111"/>
    <w:basedOn w:val="762"/>
    <w:link w:val="855"/>
    <w:uiPriority w:val="0"/>
    <w:qFormat/>
    <w:pPr>
      <w:ind w:firstLine="645"/>
    </w:pPr>
    <w:rPr>
      <w:rFonts w:ascii="方正楷体_GB2312" w:eastAsia="方正楷体_GB2312"/>
      <w:sz w:val="32"/>
      <w:szCs w:val="32"/>
    </w:rPr>
  </w:style>
  <w:style w:type="character" w:styleId="855" w:customStyle="1">
    <w:name w:val="正文文本缩进 Char"/>
    <w:link w:val="854"/>
    <w:uiPriority w:val="0"/>
    <w:qFormat/>
    <w:rPr>
      <w:rFonts w:ascii="方正楷体_GB2312" w:hAnsi="Times New Roman" w:eastAsia="方正楷体_GB2312" w:cs="Times New Roman"/>
      <w:sz w:val="32"/>
      <w:szCs w:val="32"/>
    </w:rPr>
  </w:style>
  <w:style w:type="paragraph" w:styleId="856" w:customStyle="1">
    <w:name w:val="列表 21"/>
    <w:basedOn w:val="762"/>
    <w:uiPriority w:val="0"/>
    <w:qFormat/>
    <w:pPr>
      <w:ind w:left="100" w:hanging="200"/>
    </w:pPr>
  </w:style>
  <w:style w:type="paragraph" w:styleId="857" w:customStyle="1">
    <w:name w:val="文本块1"/>
    <w:basedOn w:val="762"/>
    <w:uiPriority w:val="99"/>
    <w:qFormat/>
    <w:pPr>
      <w:ind w:left="1440" w:right="1440"/>
      <w:jc w:val="left"/>
      <w:spacing w:after="120" w:line="276" w:lineRule="auto"/>
      <w:widowControl/>
    </w:pPr>
    <w:rPr>
      <w:rFonts w:ascii="Arial" w:hAnsi="Arial" w:cs="Arial"/>
      <w:sz w:val="22"/>
      <w:szCs w:val="22"/>
    </w:rPr>
  </w:style>
  <w:style w:type="paragraph" w:styleId="858" w:customStyle="1">
    <w:name w:val="索引 411"/>
    <w:basedOn w:val="762"/>
    <w:next w:val="762"/>
    <w:uiPriority w:val="99"/>
    <w:qFormat/>
    <w:pPr>
      <w:ind w:left="600"/>
      <w:jc w:val="left"/>
      <w:widowControl/>
    </w:pPr>
    <w:rPr>
      <w:rFonts w:ascii="Calibri" w:hAnsi="Calibri" w:eastAsia="Arial" w:cs="Arial"/>
      <w:color w:val="000000"/>
    </w:rPr>
  </w:style>
  <w:style w:type="paragraph" w:styleId="859" w:customStyle="1">
    <w:name w:val="目录 51"/>
    <w:basedOn w:val="762"/>
    <w:next w:val="762"/>
    <w:uiPriority w:val="39"/>
    <w:qFormat/>
    <w:pPr>
      <w:ind w:left="840"/>
      <w:jc w:val="left"/>
    </w:pPr>
  </w:style>
  <w:style w:type="paragraph" w:styleId="860" w:customStyle="1">
    <w:name w:val="目录 31"/>
    <w:basedOn w:val="762"/>
    <w:next w:val="762"/>
    <w:uiPriority w:val="39"/>
    <w:qFormat/>
    <w:pPr>
      <w:ind w:left="420"/>
      <w:jc w:val="left"/>
    </w:pPr>
    <w:rPr>
      <w:i/>
      <w:iCs/>
      <w:szCs w:val="24"/>
    </w:rPr>
  </w:style>
  <w:style w:type="paragraph" w:styleId="861" w:customStyle="1">
    <w:name w:val="纯文本11"/>
    <w:basedOn w:val="762"/>
    <w:link w:val="862"/>
    <w:uiPriority w:val="0"/>
    <w:qFormat/>
    <w:rPr>
      <w:rFonts w:ascii="宋体" w:hAnsi="Courier New" w:cs="Courier New"/>
    </w:rPr>
  </w:style>
  <w:style w:type="character" w:styleId="862" w:customStyle="1">
    <w:name w:val="纯文本 Char"/>
    <w:link w:val="861"/>
    <w:uiPriority w:val="0"/>
    <w:qFormat/>
    <w:rPr>
      <w:rFonts w:ascii="宋体" w:hAnsi="Courier New" w:eastAsia="宋体" w:cs="Courier New"/>
      <w:szCs w:val="21"/>
    </w:rPr>
  </w:style>
  <w:style w:type="paragraph" w:styleId="863" w:customStyle="1">
    <w:name w:val="目录 81"/>
    <w:basedOn w:val="762"/>
    <w:next w:val="762"/>
    <w:uiPriority w:val="39"/>
    <w:qFormat/>
    <w:pPr>
      <w:ind w:left="1470"/>
      <w:jc w:val="left"/>
    </w:pPr>
  </w:style>
  <w:style w:type="paragraph" w:styleId="864" w:customStyle="1">
    <w:name w:val="日期1"/>
    <w:basedOn w:val="762"/>
    <w:next w:val="762"/>
    <w:link w:val="865"/>
    <w:uiPriority w:val="0"/>
    <w:qFormat/>
    <w:rPr>
      <w:sz w:val="24"/>
      <w:szCs w:val="24"/>
    </w:rPr>
  </w:style>
  <w:style w:type="character" w:styleId="865" w:customStyle="1">
    <w:name w:val="日期 Char"/>
    <w:link w:val="864"/>
    <w:uiPriority w:val="99"/>
    <w:qFormat/>
    <w:rPr>
      <w:rFonts w:ascii="Times New Roman" w:hAnsi="Times New Roman" w:eastAsia="宋体" w:cs="Times New Roman"/>
      <w:sz w:val="24"/>
      <w:szCs w:val="24"/>
    </w:rPr>
  </w:style>
  <w:style w:type="paragraph" w:styleId="866" w:customStyle="1">
    <w:name w:val="正文文本缩进 21"/>
    <w:basedOn w:val="762"/>
    <w:link w:val="867"/>
    <w:uiPriority w:val="0"/>
    <w:qFormat/>
    <w:pPr>
      <w:ind w:left="630" w:firstLine="645"/>
    </w:pPr>
    <w:rPr>
      <w:rFonts w:ascii="Arial" w:hAnsi="Arial" w:eastAsia="方正仿宋_GB2312" w:cs="Arial"/>
      <w:sz w:val="32"/>
      <w:szCs w:val="32"/>
    </w:rPr>
  </w:style>
  <w:style w:type="character" w:styleId="867" w:customStyle="1">
    <w:name w:val="正文文本缩进 2 Char"/>
    <w:link w:val="866"/>
    <w:uiPriority w:val="0"/>
    <w:qFormat/>
    <w:rPr>
      <w:rFonts w:ascii="Arial" w:hAnsi="Arial" w:eastAsia="方正仿宋_GB2312" w:cs="Arial"/>
      <w:sz w:val="32"/>
      <w:szCs w:val="32"/>
    </w:rPr>
  </w:style>
  <w:style w:type="paragraph" w:styleId="868" w:customStyle="1">
    <w:name w:val="尾注文本1"/>
    <w:basedOn w:val="762"/>
    <w:link w:val="869"/>
    <w:uiPriority w:val="99"/>
    <w:unhideWhenUsed/>
    <w:qFormat/>
    <w:pPr>
      <w:jc w:val="left"/>
      <w:widowControl/>
    </w:pPr>
    <w:rPr>
      <w:rFonts w:ascii="Calibri" w:hAnsi="Calibri" w:cs="Arial"/>
      <w:sz w:val="20"/>
      <w:szCs w:val="22"/>
    </w:rPr>
  </w:style>
  <w:style w:type="character" w:styleId="869" w:customStyle="1">
    <w:name w:val="尾注文本 Char"/>
    <w:link w:val="868"/>
    <w:uiPriority w:val="99"/>
    <w:qFormat/>
    <w:rPr>
      <w:rFonts w:cs="Arial"/>
      <w:szCs w:val="22"/>
    </w:rPr>
  </w:style>
  <w:style w:type="paragraph" w:styleId="870" w:customStyle="1">
    <w:name w:val="批注框文本1"/>
    <w:basedOn w:val="762"/>
    <w:link w:val="871"/>
    <w:uiPriority w:val="99"/>
    <w:qFormat/>
    <w:rPr>
      <w:sz w:val="18"/>
      <w:szCs w:val="18"/>
    </w:rPr>
  </w:style>
  <w:style w:type="character" w:styleId="871" w:customStyle="1">
    <w:name w:val="批注框文本 Char"/>
    <w:link w:val="870"/>
    <w:uiPriority w:val="99"/>
    <w:semiHidden/>
    <w:qFormat/>
    <w:rPr>
      <w:rFonts w:ascii="Times New Roman" w:hAnsi="Times New Roman" w:eastAsia="宋体" w:cs="Times New Roman"/>
      <w:sz w:val="18"/>
      <w:szCs w:val="18"/>
    </w:rPr>
  </w:style>
  <w:style w:type="paragraph" w:styleId="872" w:customStyle="1">
    <w:name w:val="页脚11"/>
    <w:basedOn w:val="762"/>
    <w:link w:val="873"/>
    <w:uiPriority w:val="99"/>
    <w:qFormat/>
    <w:pPr>
      <w:jc w:val="left"/>
      <w:tabs>
        <w:tab w:val="center" w:pos="4153" w:leader="none"/>
        <w:tab w:val="right" w:pos="8306" w:leader="none"/>
      </w:tabs>
    </w:pPr>
    <w:rPr>
      <w:sz w:val="18"/>
      <w:szCs w:val="18"/>
    </w:rPr>
  </w:style>
  <w:style w:type="character" w:styleId="873" w:customStyle="1">
    <w:name w:val="页脚 Char"/>
    <w:link w:val="872"/>
    <w:uiPriority w:val="99"/>
    <w:qFormat/>
    <w:rPr>
      <w:rFonts w:ascii="Times New Roman" w:hAnsi="Times New Roman" w:eastAsia="宋体" w:cs="Times New Roman"/>
      <w:sz w:val="18"/>
      <w:szCs w:val="18"/>
    </w:rPr>
  </w:style>
  <w:style w:type="paragraph" w:styleId="874" w:customStyle="1">
    <w:name w:val="页眉11"/>
    <w:basedOn w:val="762"/>
    <w:link w:val="875"/>
    <w:uiPriority w:val="99"/>
    <w:qFormat/>
    <w:pPr>
      <w:jc w:val="center"/>
      <w:tabs>
        <w:tab w:val="center" w:pos="4153" w:leader="none"/>
        <w:tab w:val="right" w:pos="8306" w:leader="none"/>
      </w:tabs>
      <w:pBdr>
        <w:bottom w:val="single" w:color="000000" w:sz="6" w:space="1"/>
      </w:pBdr>
    </w:pPr>
    <w:rPr>
      <w:sz w:val="18"/>
      <w:szCs w:val="18"/>
    </w:rPr>
  </w:style>
  <w:style w:type="character" w:styleId="875" w:customStyle="1">
    <w:name w:val="页眉 Char"/>
    <w:link w:val="874"/>
    <w:uiPriority w:val="99"/>
    <w:qFormat/>
    <w:rPr>
      <w:rFonts w:ascii="Times New Roman" w:hAnsi="Times New Roman" w:eastAsia="宋体" w:cs="Times New Roman"/>
      <w:sz w:val="18"/>
      <w:szCs w:val="18"/>
    </w:rPr>
  </w:style>
  <w:style w:type="paragraph" w:styleId="876" w:customStyle="1">
    <w:name w:val="目录 11"/>
    <w:basedOn w:val="762"/>
    <w:next w:val="762"/>
    <w:uiPriority w:val="39"/>
    <w:qFormat/>
    <w:pPr>
      <w:jc w:val="left"/>
      <w:spacing w:before="120" w:after="120" w:line="400" w:lineRule="exact"/>
      <w:tabs>
        <w:tab w:val="right" w:pos="8720" w:leader="dot"/>
      </w:tabs>
    </w:pPr>
    <w:rPr>
      <w:rFonts w:ascii="宋体" w:hAnsi="宋体"/>
      <w:caps/>
      <w:sz w:val="24"/>
      <w:szCs w:val="24"/>
    </w:rPr>
  </w:style>
  <w:style w:type="paragraph" w:styleId="877" w:customStyle="1">
    <w:name w:val="目录 41"/>
    <w:basedOn w:val="762"/>
    <w:next w:val="762"/>
    <w:uiPriority w:val="39"/>
    <w:qFormat/>
    <w:pPr>
      <w:ind w:left="630"/>
      <w:jc w:val="left"/>
    </w:pPr>
  </w:style>
  <w:style w:type="paragraph" w:styleId="878" w:customStyle="1">
    <w:name w:val="副标题1"/>
    <w:link w:val="879"/>
    <w:uiPriority w:val="11"/>
    <w:qFormat/>
    <w:pPr>
      <w:jc w:val="center"/>
      <w:spacing w:after="240"/>
      <w:widowControl w:val="off"/>
    </w:pPr>
    <w:rPr>
      <w:rFonts w:ascii="Times New Roman" w:hAnsi="Times New Roman" w:eastAsia="宋体" w:cs="Times New Roman"/>
      <w:sz w:val="21"/>
      <w:lang w:val="en-US" w:eastAsia="zh-CN" w:bidi="ar-SA"/>
    </w:rPr>
  </w:style>
  <w:style w:type="character" w:styleId="879" w:customStyle="1">
    <w:name w:val="副标题 Char2"/>
    <w:link w:val="878"/>
    <w:uiPriority w:val="11"/>
    <w:qFormat/>
    <w:rPr>
      <w:rFonts w:ascii="Times New Roman" w:hAnsi="Times New Roman"/>
      <w:sz w:val="21"/>
    </w:rPr>
  </w:style>
  <w:style w:type="paragraph" w:styleId="880" w:customStyle="1">
    <w:name w:val="列表1"/>
    <w:basedOn w:val="762"/>
    <w:uiPriority w:val="0"/>
    <w:qFormat/>
    <w:pPr>
      <w:ind w:left="200" w:hanging="200"/>
    </w:pPr>
  </w:style>
  <w:style w:type="paragraph" w:styleId="881" w:customStyle="1">
    <w:name w:val="脚注文本1"/>
    <w:basedOn w:val="762"/>
    <w:link w:val="882"/>
    <w:uiPriority w:val="99"/>
    <w:unhideWhenUsed/>
    <w:qFormat/>
    <w:pPr>
      <w:jc w:val="left"/>
      <w:spacing w:after="40"/>
      <w:widowControl/>
    </w:pPr>
    <w:rPr>
      <w:rFonts w:ascii="Calibri" w:hAnsi="Calibri" w:cs="Arial"/>
      <w:sz w:val="18"/>
      <w:szCs w:val="22"/>
    </w:rPr>
  </w:style>
  <w:style w:type="character" w:styleId="882" w:customStyle="1">
    <w:name w:val="脚注文本 Char"/>
    <w:link w:val="881"/>
    <w:uiPriority w:val="99"/>
    <w:qFormat/>
    <w:rPr>
      <w:rFonts w:cs="Arial"/>
      <w:sz w:val="18"/>
      <w:szCs w:val="22"/>
    </w:rPr>
  </w:style>
  <w:style w:type="paragraph" w:styleId="883" w:customStyle="1">
    <w:name w:val="目录 61"/>
    <w:basedOn w:val="762"/>
    <w:next w:val="762"/>
    <w:uiPriority w:val="39"/>
    <w:qFormat/>
    <w:pPr>
      <w:ind w:left="1050"/>
      <w:jc w:val="left"/>
    </w:pPr>
  </w:style>
  <w:style w:type="paragraph" w:styleId="884" w:customStyle="1">
    <w:name w:val="正文文本缩进 31"/>
    <w:basedOn w:val="762"/>
    <w:link w:val="885"/>
    <w:uiPriority w:val="0"/>
    <w:qFormat/>
    <w:pPr>
      <w:ind w:left="645" w:firstLine="645"/>
    </w:pPr>
    <w:rPr>
      <w:rFonts w:ascii="Arial" w:hAnsi="Arial" w:eastAsia="方正仿宋_GB2312" w:cs="Arial"/>
      <w:color w:val="ffff00"/>
      <w:sz w:val="32"/>
      <w:szCs w:val="32"/>
    </w:rPr>
  </w:style>
  <w:style w:type="character" w:styleId="885" w:customStyle="1">
    <w:name w:val="正文文本缩进 3 Char"/>
    <w:link w:val="884"/>
    <w:uiPriority w:val="99"/>
    <w:qFormat/>
    <w:rPr>
      <w:rFonts w:ascii="Arial" w:hAnsi="Arial" w:eastAsia="方正仿宋_GB2312" w:cs="Arial"/>
      <w:color w:val="ffff00"/>
      <w:sz w:val="32"/>
      <w:szCs w:val="32"/>
    </w:rPr>
  </w:style>
  <w:style w:type="paragraph" w:styleId="886" w:customStyle="1">
    <w:name w:val="图表目录1"/>
    <w:basedOn w:val="762"/>
    <w:next w:val="762"/>
    <w:uiPriority w:val="0"/>
    <w:qFormat/>
    <w:pPr>
      <w:ind w:left="840" w:hanging="420"/>
    </w:pPr>
  </w:style>
  <w:style w:type="paragraph" w:styleId="887" w:customStyle="1">
    <w:name w:val="目录 21"/>
    <w:basedOn w:val="762"/>
    <w:next w:val="762"/>
    <w:uiPriority w:val="39"/>
    <w:qFormat/>
    <w:pPr>
      <w:ind w:left="210"/>
      <w:jc w:val="left"/>
    </w:pPr>
    <w:rPr>
      <w:smallCaps/>
      <w:szCs w:val="24"/>
    </w:rPr>
  </w:style>
  <w:style w:type="paragraph" w:styleId="888" w:customStyle="1">
    <w:name w:val="目录 91"/>
    <w:basedOn w:val="762"/>
    <w:next w:val="762"/>
    <w:uiPriority w:val="39"/>
    <w:qFormat/>
    <w:pPr>
      <w:ind w:left="1680"/>
      <w:jc w:val="left"/>
    </w:pPr>
  </w:style>
  <w:style w:type="paragraph" w:styleId="889" w:customStyle="1">
    <w:name w:val="正文文本 21"/>
    <w:basedOn w:val="762"/>
    <w:link w:val="890"/>
    <w:uiPriority w:val="0"/>
    <w:qFormat/>
    <w:pPr>
      <w:jc w:val="center"/>
      <w:widowControl/>
    </w:pPr>
    <w:rPr>
      <w:rFonts w:ascii="方正楷体_GB2312" w:eastAsia="方正楷体_GB2312"/>
      <w:sz w:val="28"/>
      <w:szCs w:val="28"/>
    </w:rPr>
  </w:style>
  <w:style w:type="character" w:styleId="890" w:customStyle="1">
    <w:name w:val="正文文本 2 Char"/>
    <w:link w:val="889"/>
    <w:uiPriority w:val="99"/>
    <w:qFormat/>
    <w:rPr>
      <w:rFonts w:ascii="方正楷体_GB2312" w:hAnsi="Times New Roman" w:eastAsia="方正楷体_GB2312" w:cs="Times New Roman"/>
      <w:sz w:val="28"/>
      <w:szCs w:val="28"/>
    </w:rPr>
  </w:style>
  <w:style w:type="paragraph" w:styleId="891" w:customStyle="1">
    <w:name w:val="HTML 预设格式1"/>
    <w:basedOn w:val="762"/>
    <w:link w:val="89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2" w:customStyle="1">
    <w:name w:val="HTML 预设格式 Char"/>
    <w:link w:val="891"/>
    <w:uiPriority w:val="99"/>
    <w:qFormat/>
    <w:rPr>
      <w:rFonts w:ascii="宋体" w:hAnsi="宋体"/>
      <w:sz w:val="24"/>
      <w:szCs w:val="24"/>
    </w:rPr>
  </w:style>
  <w:style w:type="paragraph" w:styleId="893" w:customStyle="1">
    <w:name w:val="普通(网站)1"/>
    <w:basedOn w:val="762"/>
    <w:uiPriority w:val="99"/>
    <w:qFormat/>
    <w:pPr>
      <w:jc w:val="left"/>
      <w:spacing w:before="100" w:beforeAutospacing="1" w:after="100" w:afterAutospacing="1"/>
      <w:widowControl/>
    </w:pPr>
    <w:rPr>
      <w:rFonts w:ascii="宋体" w:hAnsi="宋体" w:cs="宋体"/>
      <w:sz w:val="24"/>
      <w:szCs w:val="24"/>
    </w:rPr>
  </w:style>
  <w:style w:type="paragraph" w:styleId="894" w:customStyle="1">
    <w:name w:val="索引 11"/>
    <w:basedOn w:val="762"/>
    <w:next w:val="762"/>
    <w:uiPriority w:val="0"/>
    <w:qFormat/>
    <w:pPr>
      <w:spacing w:line="240" w:lineRule="atLeast"/>
    </w:pPr>
    <w:rPr>
      <w:b/>
      <w:bCs/>
    </w:rPr>
  </w:style>
  <w:style w:type="paragraph" w:styleId="895" w:customStyle="1">
    <w:name w:val="标题11"/>
    <w:link w:val="896"/>
    <w:uiPriority w:val="10"/>
    <w:qFormat/>
    <w:pPr>
      <w:jc w:val="center"/>
      <w:spacing w:before="240" w:after="240"/>
    </w:pPr>
    <w:rPr>
      <w:rFonts w:ascii="Times New Roman" w:hAnsi="Times New Roman" w:eastAsia="宋体" w:cs="Times New Roman"/>
      <w:b/>
      <w:sz w:val="32"/>
      <w:lang w:val="en-US" w:eastAsia="zh-CN" w:bidi="ar-SA"/>
    </w:rPr>
  </w:style>
  <w:style w:type="character" w:styleId="896" w:customStyle="1">
    <w:name w:val="标题 Char2"/>
    <w:link w:val="895"/>
    <w:uiPriority w:val="10"/>
    <w:qFormat/>
    <w:rPr>
      <w:rFonts w:ascii="Times New Roman" w:hAnsi="Times New Roman"/>
      <w:b/>
      <w:sz w:val="32"/>
    </w:rPr>
  </w:style>
  <w:style w:type="paragraph" w:styleId="897" w:customStyle="1">
    <w:name w:val="批注主题1"/>
    <w:basedOn w:val="848"/>
    <w:next w:val="848"/>
    <w:link w:val="898"/>
    <w:uiPriority w:val="0"/>
    <w:qFormat/>
    <w:rPr>
      <w:b/>
      <w:bCs/>
    </w:rPr>
  </w:style>
  <w:style w:type="character" w:styleId="898" w:customStyle="1">
    <w:name w:val="批注主题 Char"/>
    <w:link w:val="897"/>
    <w:uiPriority w:val="99"/>
    <w:semiHidden/>
    <w:qFormat/>
    <w:rPr>
      <w:rFonts w:ascii="Times New Roman" w:hAnsi="Times New Roman" w:eastAsia="宋体" w:cs="Times New Roman"/>
      <w:b/>
      <w:bCs/>
      <w:szCs w:val="21"/>
    </w:rPr>
  </w:style>
  <w:style w:type="paragraph" w:styleId="899" w:customStyle="1">
    <w:name w:val="正文首行缩进1"/>
    <w:basedOn w:val="762"/>
    <w:link w:val="900"/>
    <w:uiPriority w:val="0"/>
    <w:qFormat/>
    <w:pPr>
      <w:ind w:firstLine="200"/>
      <w:spacing w:line="360" w:lineRule="auto"/>
    </w:pPr>
    <w:rPr>
      <w:rFonts w:ascii="方正仿宋_GB2312" w:eastAsia="方正仿宋_GB2312"/>
      <w:sz w:val="30"/>
      <w:szCs w:val="30"/>
    </w:rPr>
  </w:style>
  <w:style w:type="character" w:styleId="900" w:customStyle="1">
    <w:name w:val="正文首行缩进 Char"/>
    <w:link w:val="899"/>
    <w:uiPriority w:val="99"/>
    <w:qFormat/>
    <w:rPr>
      <w:rFonts w:ascii="方正仿宋_GB2312" w:hAnsi="Times New Roman" w:eastAsia="方正仿宋_GB2312" w:cs="Times New Roman"/>
      <w:sz w:val="30"/>
      <w:szCs w:val="30"/>
    </w:rPr>
  </w:style>
  <w:style w:type="paragraph" w:styleId="901" w:customStyle="1">
    <w:name w:val="正文首行缩进 2111"/>
    <w:basedOn w:val="854"/>
    <w:link w:val="902"/>
    <w:uiPriority w:val="0"/>
    <w:qFormat/>
    <w:pPr>
      <w:ind w:firstLine="420"/>
      <w:spacing w:line="360" w:lineRule="auto"/>
    </w:pPr>
    <w:rPr>
      <w:rFonts w:ascii="宋体" w:hAnsi="宋体" w:eastAsia="宋体"/>
      <w:sz w:val="21"/>
      <w:szCs w:val="20"/>
    </w:rPr>
  </w:style>
  <w:style w:type="character" w:styleId="902" w:customStyle="1">
    <w:name w:val="正文首行缩进 2 Char"/>
    <w:link w:val="901"/>
    <w:uiPriority w:val="99"/>
    <w:qFormat/>
    <w:rPr>
      <w:rFonts w:ascii="宋体" w:hAnsi="宋体" w:eastAsia="宋体" w:cs="Times New Roman"/>
      <w:sz w:val="32"/>
      <w:szCs w:val="20"/>
    </w:rPr>
  </w:style>
  <w:style w:type="table" w:styleId="903" w:customStyle="1">
    <w:name w:val="网格型111"/>
    <w:basedOn w:val="833"/>
    <w:uiPriority w:val="99"/>
    <w:qFormat/>
    <w:pPr>
      <w:jc w:val="both"/>
      <w:widowControl w:val="off"/>
    </w:pPr>
    <w:rPr>
      <w:rFonts w:ascii="Times New Roman" w:hAnsi="Times New Roman"/>
    </w:rPr>
    <w:tblPr>
      <w:tblCellMar>
        <w:left w:w="0" w:type="dxa"/>
        <w:top w:w="0" w:type="dxa"/>
        <w:right w:w="0" w:type="dxa"/>
        <w:bottom w:w="0" w:type="dxa"/>
      </w:tblCellMar>
    </w:tblPr>
  </w:style>
  <w:style w:type="character" w:styleId="904" w:customStyle="1">
    <w:name w:val="要点1"/>
    <w:uiPriority w:val="22"/>
    <w:qFormat/>
    <w:rPr>
      <w:b/>
      <w:bCs/>
    </w:rPr>
  </w:style>
  <w:style w:type="character" w:styleId="905" w:customStyle="1">
    <w:name w:val="尾注引用1"/>
    <w:uiPriority w:val="99"/>
    <w:unhideWhenUsed/>
    <w:qFormat/>
    <w:rPr>
      <w:vertAlign w:val="superscript"/>
    </w:rPr>
  </w:style>
  <w:style w:type="character" w:styleId="906" w:customStyle="1">
    <w:name w:val="页码11"/>
    <w:uiPriority w:val="0"/>
    <w:qFormat/>
  </w:style>
  <w:style w:type="character" w:styleId="907" w:customStyle="1">
    <w:name w:val="已访问的超链接1"/>
    <w:uiPriority w:val="0"/>
    <w:qFormat/>
    <w:rPr>
      <w:color w:val="800080"/>
      <w:u w:val="single"/>
    </w:rPr>
  </w:style>
  <w:style w:type="character" w:styleId="908" w:customStyle="1">
    <w:name w:val="强调1"/>
    <w:uiPriority w:val="20"/>
    <w:qFormat/>
    <w:rPr>
      <w:i/>
    </w:rPr>
  </w:style>
  <w:style w:type="character" w:styleId="909" w:customStyle="1">
    <w:name w:val="超链接1"/>
    <w:uiPriority w:val="99"/>
    <w:qFormat/>
    <w:rPr>
      <w:color w:val="0000ff"/>
      <w:u w:val="single"/>
    </w:rPr>
  </w:style>
  <w:style w:type="character" w:styleId="910" w:customStyle="1">
    <w:name w:val="批注引用1"/>
    <w:uiPriority w:val="0"/>
    <w:qFormat/>
    <w:rPr>
      <w:sz w:val="21"/>
      <w:szCs w:val="21"/>
    </w:rPr>
  </w:style>
  <w:style w:type="character" w:styleId="911" w:customStyle="1">
    <w:name w:val="脚注引用1"/>
    <w:uiPriority w:val="99"/>
    <w:unhideWhenUsed/>
    <w:qFormat/>
    <w:rPr>
      <w:vertAlign w:val="superscript"/>
    </w:rPr>
  </w:style>
  <w:style w:type="character" w:styleId="912" w:customStyle="1">
    <w:name w:val="font5 Char"/>
    <w:uiPriority w:val="0"/>
    <w:qFormat/>
    <w:rPr>
      <w:rFonts w:ascii="宋体" w:hAnsi="宋体" w:eastAsia="宋体"/>
      <w:sz w:val="28"/>
      <w:szCs w:val="28"/>
      <w:lang w:val="en-US" w:eastAsia="zh-CN" w:bidi="ar-SA"/>
    </w:rPr>
  </w:style>
  <w:style w:type="character" w:styleId="913" w:customStyle="1">
    <w:name w:val="二级目录 Char"/>
    <w:link w:val="914"/>
    <w:uiPriority w:val="0"/>
    <w:qFormat/>
    <w:rPr>
      <w:b/>
      <w:sz w:val="30"/>
      <w:szCs w:val="28"/>
    </w:rPr>
  </w:style>
  <w:style w:type="paragraph" w:styleId="914" w:customStyle="1">
    <w:name w:val="二级目录"/>
    <w:next w:val="762"/>
    <w:link w:val="91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15" w:customStyle="1">
    <w:name w:val="列出段落 Char"/>
    <w:link w:val="916"/>
    <w:uiPriority w:val="0"/>
    <w:qFormat/>
    <w:rPr>
      <w:rFonts w:ascii="Calibri" w:hAnsi="Calibri"/>
      <w:sz w:val="24"/>
      <w:szCs w:val="24"/>
      <w:lang w:eastAsia="en-US" w:bidi="en-US"/>
    </w:rPr>
  </w:style>
  <w:style w:type="paragraph" w:styleId="916" w:customStyle="1">
    <w:name w:val="列出段落1"/>
    <w:basedOn w:val="762"/>
    <w:link w:val="915"/>
    <w:uiPriority w:val="0"/>
    <w:qFormat/>
    <w:pPr>
      <w:contextualSpacing/>
      <w:ind w:left="720"/>
      <w:jc w:val="left"/>
      <w:widowControl/>
    </w:pPr>
    <w:rPr>
      <w:rFonts w:ascii="Calibri" w:hAnsi="Calibri"/>
      <w:sz w:val="24"/>
      <w:szCs w:val="24"/>
      <w:lang w:eastAsia="en-US" w:bidi="en-US"/>
    </w:rPr>
  </w:style>
  <w:style w:type="paragraph" w:styleId="917" w:customStyle="1">
    <w:name w:val="Body Text(ch)"/>
    <w:basedOn w:val="762"/>
    <w:next w:val="852"/>
    <w:uiPriority w:val="0"/>
    <w:qFormat/>
    <w:pPr>
      <w:spacing w:after="120"/>
    </w:pPr>
    <w:rPr>
      <w:rFonts w:ascii="宋体" w:hAnsi="Arial"/>
      <w:bCs/>
      <w:iCs/>
      <w:szCs w:val="24"/>
    </w:rPr>
  </w:style>
  <w:style w:type="paragraph" w:styleId="918" w:customStyle="1">
    <w:name w:val="xl27"/>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9" w:customStyle="1">
    <w:name w:val="xl2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0" w:customStyle="1">
    <w:name w:val="Char"/>
    <w:basedOn w:val="762"/>
    <w:uiPriority w:val="0"/>
    <w:qFormat/>
    <w:pPr>
      <w:ind w:firstLine="200"/>
      <w:tabs>
        <w:tab w:val="left" w:pos="360" w:leader="none"/>
      </w:tabs>
    </w:pPr>
    <w:rPr>
      <w:sz w:val="28"/>
      <w:szCs w:val="30"/>
    </w:rPr>
  </w:style>
  <w:style w:type="paragraph" w:styleId="921" w:customStyle="1">
    <w:name w:val="Char11"/>
    <w:basedOn w:val="846"/>
    <w:uiPriority w:val="0"/>
    <w:qFormat/>
    <w:rPr>
      <w:rFonts w:ascii="Tahoma" w:hAnsi="Tahoma"/>
      <w:sz w:val="24"/>
      <w:szCs w:val="24"/>
    </w:rPr>
  </w:style>
  <w:style w:type="paragraph" w:styleId="922"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923" w:customStyle="1">
    <w:name w:val="table_lines"/>
    <w:basedOn w:val="762"/>
    <w:uiPriority w:val="0"/>
    <w:qFormat/>
    <w:pPr>
      <w:jc w:val="left"/>
      <w:widowControl/>
    </w:pPr>
    <w:rPr>
      <w:sz w:val="20"/>
      <w:szCs w:val="20"/>
      <w:lang w:val="de-DE" w:eastAsia="de-DE"/>
    </w:rPr>
  </w:style>
  <w:style w:type="paragraph" w:styleId="92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25" w:customStyle="1">
    <w:name w:val="font7"/>
    <w:basedOn w:val="762"/>
    <w:uiPriority w:val="0"/>
    <w:qFormat/>
    <w:pPr>
      <w:jc w:val="left"/>
      <w:spacing w:before="100" w:beforeAutospacing="1" w:after="100" w:afterAutospacing="1"/>
      <w:widowControl/>
    </w:pPr>
    <w:rPr>
      <w:rFonts w:hint="eastAsia" w:ascii="宋体" w:hAnsi="宋体"/>
      <w:sz w:val="18"/>
      <w:szCs w:val="18"/>
    </w:rPr>
  </w:style>
  <w:style w:type="paragraph" w:styleId="926" w:customStyle="1">
    <w:name w:val="Char Char Char Char"/>
    <w:basedOn w:val="846"/>
    <w:uiPriority w:val="0"/>
    <w:qFormat/>
    <w:pPr>
      <w:spacing w:line="360" w:lineRule="auto"/>
    </w:pPr>
    <w:rPr>
      <w:rFonts w:ascii="Tahoma" w:hAnsi="Tahoma"/>
      <w:sz w:val="24"/>
      <w:szCs w:val="24"/>
    </w:rPr>
  </w:style>
  <w:style w:type="paragraph" w:styleId="927" w:customStyle="1">
    <w:name w:val="列出段落2"/>
    <w:basedOn w:val="762"/>
    <w:uiPriority w:val="34"/>
    <w:qFormat/>
    <w:pPr>
      <w:contextualSpacing/>
      <w:ind w:left="720"/>
      <w:jc w:val="left"/>
      <w:widowControl/>
    </w:pPr>
    <w:rPr>
      <w:rFonts w:ascii="Calibri" w:hAnsi="Calibri"/>
      <w:sz w:val="24"/>
      <w:szCs w:val="24"/>
      <w:lang w:eastAsia="en-US" w:bidi="en-US"/>
    </w:rPr>
  </w:style>
  <w:style w:type="paragraph" w:styleId="928" w:customStyle="1">
    <w:name w:val="4"/>
    <w:basedOn w:val="762"/>
    <w:next w:val="884"/>
    <w:uiPriority w:val="0"/>
    <w:qFormat/>
    <w:pPr>
      <w:ind w:firstLine="420"/>
      <w:spacing w:line="360" w:lineRule="auto"/>
    </w:pPr>
    <w:rPr>
      <w:color w:val="ff0000"/>
      <w:sz w:val="24"/>
      <w:szCs w:val="24"/>
    </w:rPr>
  </w:style>
  <w:style w:type="paragraph" w:styleId="929" w:customStyle="1">
    <w:name w:val="普通 (Web)"/>
    <w:basedOn w:val="762"/>
    <w:uiPriority w:val="0"/>
    <w:qFormat/>
    <w:pPr>
      <w:jc w:val="left"/>
      <w:spacing w:before="100" w:beforeAutospacing="1" w:after="100" w:afterAutospacing="1"/>
      <w:widowControl/>
    </w:pPr>
    <w:rPr>
      <w:rFonts w:ascii="宋体" w:hAnsi="宋体"/>
      <w:sz w:val="24"/>
      <w:szCs w:val="24"/>
    </w:rPr>
  </w:style>
  <w:style w:type="paragraph" w:styleId="930" w:customStyle="1">
    <w:name w:val="Char Char Char Char Char Char Char Char Char Char"/>
    <w:basedOn w:val="762"/>
    <w:uiPriority w:val="0"/>
    <w:qFormat/>
    <w:pPr>
      <w:spacing w:line="360" w:lineRule="auto"/>
    </w:pPr>
    <w:rPr>
      <w:sz w:val="24"/>
      <w:szCs w:val="20"/>
    </w:rPr>
  </w:style>
  <w:style w:type="paragraph" w:styleId="931" w:customStyle="1">
    <w:name w:val="样式1"/>
    <w:basedOn w:val="762"/>
    <w:uiPriority w:val="0"/>
    <w:qFormat/>
    <w:pPr>
      <w:ind w:left="709" w:hanging="709"/>
      <w:tabs>
        <w:tab w:val="left" w:pos="709" w:leader="none"/>
      </w:tabs>
    </w:pPr>
    <w:rPr>
      <w:rFonts w:ascii="宋体" w:hAnsi="宋体"/>
    </w:rPr>
  </w:style>
  <w:style w:type="paragraph" w:styleId="932" w:customStyle="1">
    <w:name w:val="font6"/>
    <w:basedOn w:val="762"/>
    <w:uiPriority w:val="0"/>
    <w:qFormat/>
    <w:pPr>
      <w:jc w:val="left"/>
      <w:spacing w:before="100" w:beforeAutospacing="1" w:after="100" w:afterAutospacing="1"/>
      <w:widowControl/>
    </w:pPr>
    <w:rPr>
      <w:rFonts w:hint="eastAsia" w:ascii="宋体" w:hAnsi="宋体"/>
      <w:sz w:val="28"/>
      <w:szCs w:val="28"/>
      <w:u w:val="single"/>
    </w:rPr>
  </w:style>
  <w:style w:type="paragraph" w:styleId="933" w:customStyle="1">
    <w:name w:val="xl25"/>
    <w:basedOn w:val="7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4" w:customStyle="1">
    <w:name w:val="图标"/>
    <w:basedOn w:val="762"/>
    <w:next w:val="762"/>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935" w:customStyle="1">
    <w:name w:val="标题3"/>
    <w:basedOn w:val="762"/>
    <w:next w:val="762"/>
    <w:uiPriority w:val="0"/>
    <w:qFormat/>
    <w:pPr>
      <w:ind w:firstLine="624"/>
      <w:spacing w:line="590" w:lineRule="atLeast"/>
    </w:pPr>
    <w:rPr>
      <w:rFonts w:ascii="方正黑体_GBK" w:eastAsia="方正黑体_GBK"/>
      <w:sz w:val="32"/>
      <w:szCs w:val="32"/>
    </w:rPr>
  </w:style>
  <w:style w:type="paragraph" w:styleId="936" w:customStyle="1">
    <w:name w:val="xl24"/>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customStyle="1">
    <w:name w:val="xl29"/>
    <w:basedOn w:val="7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8" w:customStyle="1">
    <w:name w:val="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939"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0" w:customStyle="1">
    <w:name w:val="Char Char Char Char Char Char Char Char11"/>
    <w:basedOn w:val="762"/>
    <w:uiPriority w:val="0"/>
    <w:qFormat/>
    <w:pPr>
      <w:jc w:val="left"/>
      <w:spacing w:after="160" w:line="240" w:lineRule="exact"/>
      <w:widowControl/>
    </w:pPr>
    <w:rPr>
      <w:rFonts w:ascii="Verdana" w:hAnsi="Verdana"/>
      <w:sz w:val="20"/>
      <w:szCs w:val="20"/>
      <w:lang w:eastAsia="en-US"/>
    </w:rPr>
  </w:style>
  <w:style w:type="paragraph" w:styleId="941" w:customStyle="1">
    <w:name w:val="xl30"/>
    <w:basedOn w:val="762"/>
    <w:uiPriority w:val="0"/>
    <w:qFormat/>
    <w:pPr>
      <w:jc w:val="center"/>
      <w:spacing w:before="100" w:beforeAutospacing="1" w:after="100" w:afterAutospacing="1"/>
      <w:widowControl/>
    </w:pPr>
    <w:rPr>
      <w:rFonts w:ascii="宋体" w:hAnsi="宋体"/>
      <w:b/>
      <w:bCs/>
      <w:sz w:val="36"/>
      <w:szCs w:val="36"/>
    </w:rPr>
  </w:style>
  <w:style w:type="paragraph" w:styleId="942" w:customStyle="1">
    <w:name w:val="Char Char Char Char11"/>
    <w:basedOn w:val="846"/>
    <w:uiPriority w:val="0"/>
    <w:qFormat/>
    <w:pPr>
      <w:spacing w:line="360" w:lineRule="auto"/>
    </w:pPr>
    <w:rPr>
      <w:rFonts w:ascii="Tahoma" w:hAnsi="Tahoma"/>
      <w:sz w:val="24"/>
      <w:szCs w:val="24"/>
    </w:rPr>
  </w:style>
  <w:style w:type="paragraph" w:styleId="943" w:customStyle="1">
    <w:name w:val="table_1stline"/>
    <w:basedOn w:val="762"/>
    <w:uiPriority w:val="0"/>
    <w:qFormat/>
    <w:pPr>
      <w:jc w:val="left"/>
      <w:spacing w:before="120"/>
      <w:widowControl/>
    </w:pPr>
    <w:rPr>
      <w:bCs/>
      <w:sz w:val="20"/>
      <w:szCs w:val="20"/>
      <w:lang w:val="de-DE" w:eastAsia="de-DE"/>
    </w:rPr>
  </w:style>
  <w:style w:type="paragraph" w:styleId="944" w:customStyle="1">
    <w:name w:val="font5"/>
    <w:basedOn w:val="762"/>
    <w:uiPriority w:val="0"/>
    <w:qFormat/>
    <w:pPr>
      <w:jc w:val="left"/>
      <w:spacing w:before="100" w:beforeAutospacing="1" w:after="100" w:afterAutospacing="1"/>
      <w:widowControl/>
    </w:pPr>
    <w:rPr>
      <w:rFonts w:hint="eastAsia" w:ascii="宋体" w:hAnsi="宋体"/>
      <w:sz w:val="28"/>
      <w:szCs w:val="28"/>
    </w:rPr>
  </w:style>
  <w:style w:type="paragraph" w:styleId="945" w:customStyle="1">
    <w:name w:val="标题1"/>
    <w:basedOn w:val="762"/>
    <w:next w:val="7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6" w:customStyle="1">
    <w:name w:val="修订1"/>
    <w:uiPriority w:val="99"/>
    <w:qFormat/>
    <w:rPr>
      <w:rFonts w:ascii="Times New Roman" w:hAnsi="Times New Roman" w:eastAsia="宋体" w:cs="Times New Roman"/>
      <w:sz w:val="21"/>
      <w:szCs w:val="21"/>
      <w:lang w:val="en-US" w:eastAsia="zh-CN" w:bidi="ar-SA"/>
    </w:rPr>
  </w:style>
  <w:style w:type="paragraph" w:styleId="947" w:customStyle="1">
    <w:name w:val="无间隔1"/>
    <w:link w:val="948"/>
    <w:uiPriority w:val="99"/>
    <w:qFormat/>
    <w:pPr>
      <w:jc w:val="both"/>
      <w:widowControl w:val="off"/>
    </w:pPr>
    <w:rPr>
      <w:rFonts w:ascii="Times New Roman" w:hAnsi="Times New Roman" w:eastAsia="宋体" w:cs="Times New Roman"/>
      <w:sz w:val="21"/>
      <w:szCs w:val="21"/>
      <w:lang w:val="en-US" w:eastAsia="zh-CN" w:bidi="ar-SA"/>
    </w:rPr>
  </w:style>
  <w:style w:type="character" w:styleId="948" w:customStyle="1">
    <w:name w:val="无间隔 Char1"/>
    <w:link w:val="947"/>
    <w:uiPriority w:val="99"/>
    <w:qFormat/>
    <w:rPr>
      <w:rFonts w:ascii="Times New Roman" w:hAnsi="Times New Roman"/>
      <w:sz w:val="21"/>
      <w:szCs w:val="21"/>
    </w:rPr>
  </w:style>
  <w:style w:type="character" w:styleId="949" w:customStyle="1">
    <w:name w:val="文档结构图 Char2"/>
    <w:uiPriority w:val="99"/>
    <w:qFormat/>
    <w:rPr>
      <w:rFonts w:cs="Arial"/>
      <w:sz w:val="21"/>
      <w:szCs w:val="21"/>
      <w:shd w:val="clear" w:color="auto" w:fill="000080"/>
    </w:rPr>
  </w:style>
  <w:style w:type="character" w:styleId="950" w:customStyle="1">
    <w:name w:val="正文文本 3 Char2"/>
    <w:uiPriority w:val="0"/>
    <w:qFormat/>
    <w:rPr>
      <w:rFonts w:ascii="方正仿宋_GB2312" w:hAnsi="Arial" w:eastAsia="方正仿宋_GB2312" w:cs="Arial"/>
      <w:sz w:val="32"/>
      <w:szCs w:val="32"/>
    </w:rPr>
  </w:style>
  <w:style w:type="character" w:styleId="951" w:customStyle="1">
    <w:name w:val="正文文本 Char2"/>
    <w:uiPriority w:val="99"/>
    <w:qFormat/>
    <w:rPr>
      <w:color w:val="000000"/>
      <w:sz w:val="24"/>
      <w:szCs w:val="21"/>
    </w:rPr>
  </w:style>
  <w:style w:type="character" w:styleId="952" w:customStyle="1">
    <w:name w:val="正文文本缩进 Char3"/>
    <w:uiPriority w:val="0"/>
    <w:qFormat/>
    <w:rPr>
      <w:rFonts w:ascii="Arial" w:hAnsi="Arial" w:eastAsia="Arial" w:cs="Arial"/>
      <w:color w:val="000000"/>
      <w:sz w:val="21"/>
      <w:szCs w:val="21"/>
    </w:rPr>
  </w:style>
  <w:style w:type="character" w:styleId="953" w:customStyle="1">
    <w:name w:val="纯文本 Char1"/>
    <w:uiPriority w:val="0"/>
    <w:qFormat/>
    <w:rPr>
      <w:rFonts w:ascii="宋体" w:hAnsi="宋体" w:cs="宋体"/>
      <w:sz w:val="24"/>
      <w:szCs w:val="24"/>
    </w:rPr>
  </w:style>
  <w:style w:type="character" w:styleId="954" w:customStyle="1">
    <w:name w:val="日期 Char1"/>
    <w:uiPriority w:val="0"/>
    <w:qFormat/>
    <w:rPr>
      <w:rFonts w:cs="Arial"/>
      <w:sz w:val="24"/>
      <w:szCs w:val="24"/>
    </w:rPr>
  </w:style>
  <w:style w:type="character" w:styleId="955" w:customStyle="1">
    <w:name w:val="正文文本缩进 2 Char2"/>
    <w:uiPriority w:val="0"/>
    <w:qFormat/>
    <w:rPr>
      <w:rFonts w:ascii="Arial" w:hAnsi="Arial" w:eastAsia="方正仿宋_GB2312" w:cs="Arial"/>
      <w:sz w:val="32"/>
      <w:szCs w:val="32"/>
    </w:rPr>
  </w:style>
  <w:style w:type="character" w:styleId="956" w:customStyle="1">
    <w:name w:val="批注框文本 Char1"/>
    <w:uiPriority w:val="99"/>
    <w:qFormat/>
    <w:rPr>
      <w:rFonts w:ascii="Calibri" w:hAnsi="Calibri" w:cs="Arial"/>
      <w:sz w:val="18"/>
      <w:szCs w:val="18"/>
    </w:rPr>
  </w:style>
  <w:style w:type="character" w:styleId="957" w:customStyle="1">
    <w:name w:val="副标题 Char"/>
    <w:uiPriority w:val="11"/>
    <w:qFormat/>
    <w:rPr>
      <w:rFonts w:ascii="Cambria" w:hAnsi="Cambria" w:cs="Times New Roman"/>
      <w:b/>
      <w:bCs/>
      <w:sz w:val="32"/>
      <w:szCs w:val="32"/>
    </w:rPr>
  </w:style>
  <w:style w:type="character" w:styleId="958" w:customStyle="1">
    <w:name w:val="正文文本缩进 3 Char2"/>
    <w:uiPriority w:val="0"/>
    <w:qFormat/>
    <w:rPr>
      <w:rFonts w:ascii="Arial" w:hAnsi="Arial" w:eastAsia="方正仿宋_GB2312" w:cs="Arial"/>
      <w:color w:val="ffff00"/>
      <w:sz w:val="32"/>
      <w:szCs w:val="32"/>
    </w:rPr>
  </w:style>
  <w:style w:type="character" w:styleId="959" w:customStyle="1">
    <w:name w:val="正文文本 2 Char1"/>
    <w:uiPriority w:val="0"/>
    <w:qFormat/>
    <w:rPr>
      <w:rFonts w:ascii="方正楷体_GB2312" w:eastAsia="方正楷体_GB2312" w:cs="Arial"/>
      <w:sz w:val="28"/>
      <w:szCs w:val="28"/>
    </w:rPr>
  </w:style>
  <w:style w:type="character" w:styleId="960" w:customStyle="1">
    <w:name w:val="标题 Char"/>
    <w:uiPriority w:val="10"/>
    <w:qFormat/>
    <w:rPr>
      <w:rFonts w:ascii="Cambria" w:hAnsi="Cambria" w:cs="Times New Roman"/>
      <w:b/>
      <w:bCs/>
      <w:sz w:val="32"/>
      <w:szCs w:val="32"/>
    </w:rPr>
  </w:style>
  <w:style w:type="character" w:styleId="961" w:customStyle="1">
    <w:name w:val="批注主题 Char2"/>
    <w:uiPriority w:val="0"/>
    <w:qFormat/>
    <w:rPr>
      <w:rFonts w:ascii="Arial" w:hAnsi="Arial" w:eastAsia="Arial" w:cs="Arial"/>
      <w:b/>
      <w:bCs/>
      <w:color w:val="000000"/>
      <w:sz w:val="21"/>
      <w:szCs w:val="21"/>
    </w:rPr>
  </w:style>
  <w:style w:type="character" w:styleId="962" w:customStyle="1">
    <w:name w:val="正文首行缩进 Char1"/>
    <w:uiPriority w:val="0"/>
    <w:qFormat/>
    <w:rPr>
      <w:rFonts w:ascii="宋体" w:hAnsi="宋体"/>
      <w:color w:val="000000"/>
    </w:rPr>
  </w:style>
  <w:style w:type="character" w:styleId="963" w:customStyle="1">
    <w:name w:val="正文首行缩进 2 Char1"/>
    <w:uiPriority w:val="0"/>
    <w:qFormat/>
    <w:rPr>
      <w:rFonts w:ascii="Arial" w:hAnsi="Arial" w:eastAsia="Arial" w:cs="Arial"/>
      <w:color w:val="000000"/>
      <w:sz w:val="21"/>
      <w:szCs w:val="24"/>
    </w:rPr>
  </w:style>
  <w:style w:type="table" w:styleId="964" w:customStyle="1">
    <w:name w:val="无格式表格 1"/>
    <w:basedOn w:val="833"/>
    <w:uiPriority w:val="59"/>
    <w:qFormat/>
    <w:rPr>
      <w:rFonts w:ascii="Times New Roman" w:hAnsi="Times New Roman"/>
    </w:rPr>
    <w:tblPr>
      <w:tblCellMar>
        <w:left w:w="0" w:type="dxa"/>
        <w:top w:w="0" w:type="dxa"/>
        <w:right w:w="0" w:type="dxa"/>
        <w:bottom w:w="0" w:type="dxa"/>
      </w:tblCellMar>
    </w:tblPr>
  </w:style>
  <w:style w:type="table" w:styleId="965" w:customStyle="1">
    <w:name w:val="无格式表格 2"/>
    <w:basedOn w:val="833"/>
    <w:uiPriority w:val="59"/>
    <w:qFormat/>
    <w:rPr>
      <w:rFonts w:ascii="Times New Roman" w:hAnsi="Times New Roman"/>
    </w:rPr>
    <w:tblPr>
      <w:tblCellMar>
        <w:left w:w="0" w:type="dxa"/>
        <w:top w:w="0" w:type="dxa"/>
        <w:right w:w="0" w:type="dxa"/>
        <w:bottom w:w="0" w:type="dxa"/>
      </w:tblCellMar>
    </w:tblPr>
  </w:style>
  <w:style w:type="table" w:styleId="966" w:customStyle="1">
    <w:name w:val="无格式表格 3"/>
    <w:basedOn w:val="833"/>
    <w:uiPriority w:val="99"/>
    <w:qFormat/>
    <w:rPr>
      <w:rFonts w:ascii="Times New Roman" w:hAnsi="Times New Roman"/>
    </w:rPr>
    <w:tblPr>
      <w:tblCellMar>
        <w:left w:w="0" w:type="dxa"/>
        <w:top w:w="0" w:type="dxa"/>
        <w:right w:w="0" w:type="dxa"/>
        <w:bottom w:w="0" w:type="dxa"/>
      </w:tblCellMar>
    </w:tblPr>
  </w:style>
  <w:style w:type="table" w:styleId="967" w:customStyle="1">
    <w:name w:val="无格式表格 4"/>
    <w:basedOn w:val="833"/>
    <w:uiPriority w:val="99"/>
    <w:qFormat/>
    <w:rPr>
      <w:rFonts w:ascii="Times New Roman" w:hAnsi="Times New Roman"/>
    </w:rPr>
    <w:tblPr>
      <w:tblCellMar>
        <w:left w:w="0" w:type="dxa"/>
        <w:top w:w="0" w:type="dxa"/>
        <w:right w:w="0" w:type="dxa"/>
        <w:bottom w:w="0" w:type="dxa"/>
      </w:tblCellMar>
    </w:tblPr>
  </w:style>
  <w:style w:type="table" w:styleId="968" w:customStyle="1">
    <w:name w:val="无格式表格 5"/>
    <w:basedOn w:val="833"/>
    <w:uiPriority w:val="99"/>
    <w:qFormat/>
    <w:rPr>
      <w:rFonts w:ascii="Times New Roman" w:hAnsi="Times New Roman"/>
    </w:rPr>
    <w:tblPr>
      <w:tblCellMar>
        <w:left w:w="0" w:type="dxa"/>
        <w:top w:w="0" w:type="dxa"/>
        <w:right w:w="0" w:type="dxa"/>
        <w:bottom w:w="0" w:type="dxa"/>
      </w:tblCellMar>
    </w:tblPr>
  </w:style>
  <w:style w:type="table" w:styleId="969" w:customStyle="1">
    <w:name w:val="网格表 1 浅色"/>
    <w:basedOn w:val="833"/>
    <w:uiPriority w:val="99"/>
    <w:qFormat/>
    <w:rPr>
      <w:rFonts w:ascii="Times New Roman" w:hAnsi="Times New Roman"/>
    </w:rPr>
    <w:tblPr>
      <w:tblCellMar>
        <w:left w:w="0" w:type="dxa"/>
        <w:top w:w="0" w:type="dxa"/>
        <w:right w:w="0" w:type="dxa"/>
        <w:bottom w:w="0" w:type="dxa"/>
      </w:tblCellMar>
    </w:tblPr>
  </w:style>
  <w:style w:type="table" w:styleId="970" w:customStyle="1">
    <w:name w:val="网格表 2"/>
    <w:basedOn w:val="833"/>
    <w:uiPriority w:val="99"/>
    <w:qFormat/>
    <w:rPr>
      <w:rFonts w:ascii="Times New Roman" w:hAnsi="Times New Roman"/>
    </w:rPr>
    <w:tblPr>
      <w:tblCellMar>
        <w:left w:w="0" w:type="dxa"/>
        <w:top w:w="0" w:type="dxa"/>
        <w:right w:w="0" w:type="dxa"/>
        <w:bottom w:w="0" w:type="dxa"/>
      </w:tblCellMar>
    </w:tblPr>
  </w:style>
  <w:style w:type="table" w:styleId="971" w:customStyle="1">
    <w:name w:val="网格表 3"/>
    <w:basedOn w:val="833"/>
    <w:uiPriority w:val="99"/>
    <w:qFormat/>
    <w:rPr>
      <w:rFonts w:ascii="Times New Roman" w:hAnsi="Times New Roman"/>
    </w:rPr>
    <w:tblPr>
      <w:tblCellMar>
        <w:left w:w="0" w:type="dxa"/>
        <w:top w:w="0" w:type="dxa"/>
        <w:right w:w="0" w:type="dxa"/>
        <w:bottom w:w="0" w:type="dxa"/>
      </w:tblCellMar>
    </w:tblPr>
  </w:style>
  <w:style w:type="table" w:styleId="972" w:customStyle="1">
    <w:name w:val="网格表 4"/>
    <w:basedOn w:val="833"/>
    <w:uiPriority w:val="59"/>
    <w:qFormat/>
    <w:rPr>
      <w:rFonts w:ascii="Times New Roman" w:hAnsi="Times New Roman"/>
    </w:rPr>
    <w:tblPr>
      <w:tblCellMar>
        <w:left w:w="0" w:type="dxa"/>
        <w:top w:w="0" w:type="dxa"/>
        <w:right w:w="0" w:type="dxa"/>
        <w:bottom w:w="0" w:type="dxa"/>
      </w:tblCellMar>
    </w:tblPr>
  </w:style>
  <w:style w:type="table" w:styleId="973" w:customStyle="1">
    <w:name w:val="网格表 5 深色"/>
    <w:basedOn w:val="833"/>
    <w:uiPriority w:val="99"/>
    <w:qFormat/>
    <w:rPr>
      <w:rFonts w:ascii="Times New Roman" w:hAnsi="Times New Roman"/>
    </w:rPr>
    <w:tblPr>
      <w:tblCellMar>
        <w:left w:w="0" w:type="dxa"/>
        <w:top w:w="0" w:type="dxa"/>
        <w:right w:w="0" w:type="dxa"/>
        <w:bottom w:w="0" w:type="dxa"/>
      </w:tblCellMar>
    </w:tblPr>
  </w:style>
  <w:style w:type="table" w:styleId="974" w:customStyle="1">
    <w:name w:val="网格表 6 彩色"/>
    <w:basedOn w:val="833"/>
    <w:uiPriority w:val="99"/>
    <w:qFormat/>
    <w:rPr>
      <w:rFonts w:ascii="Times New Roman" w:hAnsi="Times New Roman"/>
    </w:rPr>
    <w:tblPr>
      <w:tblCellMar>
        <w:left w:w="0" w:type="dxa"/>
        <w:top w:w="0" w:type="dxa"/>
        <w:right w:w="0" w:type="dxa"/>
        <w:bottom w:w="0" w:type="dxa"/>
      </w:tblCellMar>
    </w:tblPr>
  </w:style>
  <w:style w:type="table" w:styleId="975" w:customStyle="1">
    <w:name w:val="网格表 7 彩色"/>
    <w:basedOn w:val="833"/>
    <w:uiPriority w:val="99"/>
    <w:qFormat/>
    <w:rPr>
      <w:rFonts w:ascii="Times New Roman" w:hAnsi="Times New Roman"/>
    </w:rPr>
    <w:tblPr>
      <w:tblCellMar>
        <w:left w:w="0" w:type="dxa"/>
        <w:top w:w="0" w:type="dxa"/>
        <w:right w:w="0" w:type="dxa"/>
        <w:bottom w:w="0" w:type="dxa"/>
      </w:tblCellMar>
    </w:tblPr>
  </w:style>
  <w:style w:type="table" w:styleId="976" w:customStyle="1">
    <w:name w:val="清单表 1 浅色"/>
    <w:basedOn w:val="833"/>
    <w:uiPriority w:val="99"/>
    <w:qFormat/>
    <w:rPr>
      <w:rFonts w:ascii="Times New Roman" w:hAnsi="Times New Roman"/>
    </w:rPr>
    <w:tblPr>
      <w:tblCellMar>
        <w:left w:w="0" w:type="dxa"/>
        <w:top w:w="0" w:type="dxa"/>
        <w:right w:w="0" w:type="dxa"/>
        <w:bottom w:w="0" w:type="dxa"/>
      </w:tblCellMar>
    </w:tblPr>
  </w:style>
  <w:style w:type="table" w:styleId="977" w:customStyle="1">
    <w:name w:val="清单表 2"/>
    <w:basedOn w:val="833"/>
    <w:uiPriority w:val="99"/>
    <w:qFormat/>
    <w:rPr>
      <w:rFonts w:ascii="Times New Roman" w:hAnsi="Times New Roman"/>
    </w:rPr>
    <w:tblPr>
      <w:tblCellMar>
        <w:left w:w="0" w:type="dxa"/>
        <w:top w:w="0" w:type="dxa"/>
        <w:right w:w="0" w:type="dxa"/>
        <w:bottom w:w="0" w:type="dxa"/>
      </w:tblCellMar>
    </w:tblPr>
  </w:style>
  <w:style w:type="table" w:styleId="978" w:customStyle="1">
    <w:name w:val="清单表 3"/>
    <w:basedOn w:val="833"/>
    <w:uiPriority w:val="99"/>
    <w:qFormat/>
    <w:rPr>
      <w:rFonts w:ascii="Times New Roman" w:hAnsi="Times New Roman"/>
    </w:rPr>
    <w:tblPr>
      <w:tblCellMar>
        <w:left w:w="0" w:type="dxa"/>
        <w:top w:w="0" w:type="dxa"/>
        <w:right w:w="0" w:type="dxa"/>
        <w:bottom w:w="0" w:type="dxa"/>
      </w:tblCellMar>
    </w:tblPr>
  </w:style>
  <w:style w:type="table" w:styleId="979" w:customStyle="1">
    <w:name w:val="清单表 4"/>
    <w:basedOn w:val="833"/>
    <w:uiPriority w:val="99"/>
    <w:qFormat/>
    <w:rPr>
      <w:rFonts w:ascii="Times New Roman" w:hAnsi="Times New Roman"/>
    </w:rPr>
    <w:tblPr>
      <w:tblCellMar>
        <w:left w:w="0" w:type="dxa"/>
        <w:top w:w="0" w:type="dxa"/>
        <w:right w:w="0" w:type="dxa"/>
        <w:bottom w:w="0" w:type="dxa"/>
      </w:tblCellMar>
    </w:tblPr>
  </w:style>
  <w:style w:type="table" w:styleId="980" w:customStyle="1">
    <w:name w:val="清单表 5 深色"/>
    <w:basedOn w:val="833"/>
    <w:uiPriority w:val="99"/>
    <w:qFormat/>
    <w:rPr>
      <w:rFonts w:ascii="Times New Roman" w:hAnsi="Times New Roman"/>
    </w:rPr>
    <w:tblPr>
      <w:tblCellMar>
        <w:left w:w="0" w:type="dxa"/>
        <w:top w:w="0" w:type="dxa"/>
        <w:right w:w="0" w:type="dxa"/>
        <w:bottom w:w="0" w:type="dxa"/>
      </w:tblCellMar>
    </w:tblPr>
  </w:style>
  <w:style w:type="table" w:styleId="981" w:customStyle="1">
    <w:name w:val="清单表 6 彩色"/>
    <w:basedOn w:val="833"/>
    <w:uiPriority w:val="99"/>
    <w:qFormat/>
    <w:rPr>
      <w:rFonts w:ascii="Times New Roman" w:hAnsi="Times New Roman"/>
    </w:rPr>
    <w:tblPr>
      <w:tblCellMar>
        <w:left w:w="0" w:type="dxa"/>
        <w:top w:w="0" w:type="dxa"/>
        <w:right w:w="0" w:type="dxa"/>
        <w:bottom w:w="0" w:type="dxa"/>
      </w:tblCellMar>
    </w:tblPr>
  </w:style>
  <w:style w:type="table" w:styleId="982" w:customStyle="1">
    <w:name w:val="清单表 7 彩色"/>
    <w:basedOn w:val="833"/>
    <w:uiPriority w:val="99"/>
    <w:qFormat/>
    <w:rPr>
      <w:rFonts w:ascii="Times New Roman" w:hAnsi="Times New Roman"/>
    </w:rPr>
    <w:tblPr>
      <w:tblCellMar>
        <w:left w:w="0" w:type="dxa"/>
        <w:top w:w="0" w:type="dxa"/>
        <w:right w:w="0" w:type="dxa"/>
        <w:bottom w:w="0" w:type="dxa"/>
      </w:tblCellMar>
    </w:tblPr>
  </w:style>
  <w:style w:type="paragraph" w:styleId="983" w:customStyle="1">
    <w:name w:val="TOC 标题2"/>
    <w:uiPriority w:val="39"/>
    <w:qFormat/>
    <w:rPr>
      <w:rFonts w:ascii="Times New Roman" w:hAnsi="Times New Roman" w:eastAsia="宋体" w:cs="Times New Roman"/>
      <w:lang w:val="en-US" w:eastAsia="zh-CN" w:bidi="ar-SA"/>
    </w:rPr>
  </w:style>
  <w:style w:type="character" w:styleId="984" w:customStyle="1">
    <w:name w:val="标题 1 Char1"/>
    <w:link w:val="763"/>
    <w:uiPriority w:val="99"/>
    <w:qFormat/>
    <w:rPr>
      <w:rFonts w:ascii="宋体" w:hAnsi="宋体" w:cs="宋体"/>
      <w:b/>
      <w:bCs/>
      <w:sz w:val="24"/>
      <w:szCs w:val="30"/>
    </w:rPr>
  </w:style>
  <w:style w:type="character" w:styleId="985" w:customStyle="1">
    <w:name w:val="标题 2 Char1"/>
    <w:link w:val="764"/>
    <w:uiPriority w:val="99"/>
    <w:qFormat/>
    <w:rPr>
      <w:rFonts w:ascii="Times New Roman" w:hAnsi="Times New Roman"/>
      <w:b/>
      <w:color w:val="000000"/>
      <w:sz w:val="24"/>
      <w:szCs w:val="21"/>
    </w:rPr>
  </w:style>
  <w:style w:type="character" w:styleId="986" w:customStyle="1">
    <w:name w:val="标题 3 Char2"/>
    <w:link w:val="765"/>
    <w:uiPriority w:val="99"/>
    <w:qFormat/>
    <w:rPr>
      <w:rFonts w:ascii="Times New Roman" w:hAnsi="Times New Roman"/>
      <w:b/>
      <w:color w:val="000000"/>
      <w:sz w:val="24"/>
      <w:szCs w:val="21"/>
    </w:rPr>
  </w:style>
  <w:style w:type="character" w:styleId="987" w:customStyle="1">
    <w:name w:val="标题 4 Char2"/>
    <w:link w:val="766"/>
    <w:uiPriority w:val="99"/>
    <w:qFormat/>
    <w:rPr>
      <w:rFonts w:ascii="Times New Roman" w:hAnsi="Times New Roman"/>
      <w:color w:val="000000"/>
      <w:sz w:val="24"/>
      <w:szCs w:val="21"/>
    </w:rPr>
  </w:style>
  <w:style w:type="character" w:styleId="988" w:customStyle="1">
    <w:name w:val="标题 5 Char1"/>
    <w:link w:val="767"/>
    <w:uiPriority w:val="0"/>
    <w:qFormat/>
    <w:rPr>
      <w:rFonts w:ascii="Times New Roman" w:hAnsi="Times New Roman"/>
      <w:sz w:val="24"/>
    </w:rPr>
  </w:style>
  <w:style w:type="character" w:styleId="989" w:customStyle="1">
    <w:name w:val="标题 6 Char1"/>
    <w:link w:val="768"/>
    <w:uiPriority w:val="0"/>
    <w:qFormat/>
    <w:rPr>
      <w:rFonts w:ascii="Times New Roman" w:hAnsi="Times New Roman"/>
      <w:sz w:val="24"/>
    </w:rPr>
  </w:style>
  <w:style w:type="character" w:styleId="990" w:customStyle="1">
    <w:name w:val="标题 7 Char1"/>
    <w:link w:val="769"/>
    <w:uiPriority w:val="9"/>
    <w:qFormat/>
    <w:rPr>
      <w:rFonts w:ascii="Times New Roman" w:hAnsi="Times New Roman"/>
      <w:sz w:val="24"/>
    </w:rPr>
  </w:style>
  <w:style w:type="character" w:styleId="991" w:customStyle="1">
    <w:name w:val="标题 8 Char1"/>
    <w:link w:val="770"/>
    <w:uiPriority w:val="0"/>
    <w:qFormat/>
    <w:rPr>
      <w:rFonts w:ascii="Times New Roman" w:hAnsi="Times New Roman"/>
      <w:sz w:val="24"/>
    </w:rPr>
  </w:style>
  <w:style w:type="character" w:styleId="992" w:customStyle="1">
    <w:name w:val="标题 9 Char1"/>
    <w:link w:val="771"/>
    <w:uiPriority w:val="0"/>
    <w:qFormat/>
    <w:rPr>
      <w:rFonts w:ascii="Times New Roman" w:hAnsi="Times New Roman"/>
      <w:sz w:val="24"/>
    </w:rPr>
  </w:style>
  <w:style w:type="paragraph" w:styleId="993" w:customStyle="1">
    <w:name w:val="Caption1"/>
    <w:basedOn w:val="762"/>
    <w:next w:val="762"/>
    <w:uiPriority w:val="35"/>
    <w:unhideWhenUsed/>
    <w:qFormat/>
    <w:pPr>
      <w:jc w:val="left"/>
      <w:spacing w:after="200" w:line="276" w:lineRule="auto"/>
      <w:widowControl/>
    </w:pPr>
    <w:rPr>
      <w:rFonts w:ascii="Calibri" w:hAnsi="Calibri" w:cs="Arial"/>
      <w:b/>
      <w:bCs/>
      <w:color w:val="4874cb"/>
      <w:sz w:val="18"/>
      <w:szCs w:val="18"/>
    </w:rPr>
  </w:style>
  <w:style w:type="paragraph" w:styleId="994" w:customStyle="1">
    <w:name w:val="Footer1"/>
    <w:basedOn w:val="762"/>
    <w:link w:val="995"/>
    <w:uiPriority w:val="99"/>
    <w:qFormat/>
    <w:pPr>
      <w:jc w:val="left"/>
      <w:widowControl/>
      <w:tabs>
        <w:tab w:val="center" w:pos="4153" w:leader="none"/>
        <w:tab w:val="right" w:pos="8306" w:leader="none"/>
      </w:tabs>
    </w:pPr>
    <w:rPr>
      <w:rFonts w:ascii="Arial" w:hAnsi="Arial" w:eastAsia="Arial" w:cs="Arial"/>
      <w:color w:val="000000"/>
      <w:sz w:val="18"/>
    </w:rPr>
  </w:style>
  <w:style w:type="character" w:styleId="995" w:customStyle="1">
    <w:name w:val="页脚 字符"/>
    <w:link w:val="994"/>
    <w:uiPriority w:val="99"/>
    <w:qFormat/>
    <w:rPr>
      <w:rFonts w:ascii="Arial" w:hAnsi="Arial" w:eastAsia="Arial" w:cs="Arial"/>
      <w:color w:val="000000"/>
      <w:sz w:val="18"/>
      <w:szCs w:val="21"/>
    </w:rPr>
  </w:style>
  <w:style w:type="paragraph" w:styleId="996" w:customStyle="1">
    <w:name w:val="Header1"/>
    <w:basedOn w:val="762"/>
    <w:link w:val="997"/>
    <w:uiPriority w:val="99"/>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rPr>
  </w:style>
  <w:style w:type="character" w:styleId="997" w:customStyle="1">
    <w:name w:val="页眉 字符"/>
    <w:link w:val="996"/>
    <w:uiPriority w:val="99"/>
    <w:qFormat/>
    <w:rPr>
      <w:rFonts w:ascii="Arial" w:hAnsi="Arial" w:eastAsia="Arial" w:cs="Arial"/>
      <w:color w:val="000000"/>
      <w:sz w:val="18"/>
      <w:szCs w:val="21"/>
    </w:rPr>
  </w:style>
  <w:style w:type="table" w:styleId="998" w:customStyle="1">
    <w:name w:val="无格式表格 11"/>
    <w:basedOn w:val="833"/>
    <w:uiPriority w:val="59"/>
    <w:qFormat/>
    <w:rPr>
      <w:rFonts w:cs="Arial"/>
    </w:rPr>
    <w:tblPr>
      <w:tblCellMar>
        <w:left w:w="0" w:type="dxa"/>
        <w:top w:w="0" w:type="dxa"/>
        <w:right w:w="0" w:type="dxa"/>
        <w:bottom w:w="0" w:type="dxa"/>
      </w:tblCellMar>
    </w:tblPr>
  </w:style>
  <w:style w:type="table" w:styleId="999" w:customStyle="1">
    <w:name w:val="无格式表格 21"/>
    <w:basedOn w:val="833"/>
    <w:uiPriority w:val="59"/>
    <w:qFormat/>
    <w:rPr>
      <w:rFonts w:cs="Arial"/>
    </w:rPr>
    <w:tblPr>
      <w:tblCellMar>
        <w:left w:w="0" w:type="dxa"/>
        <w:top w:w="0" w:type="dxa"/>
        <w:right w:w="0" w:type="dxa"/>
        <w:bottom w:w="0" w:type="dxa"/>
      </w:tblCellMar>
    </w:tblPr>
  </w:style>
  <w:style w:type="table" w:styleId="1000" w:customStyle="1">
    <w:name w:val="无格式表格 31"/>
    <w:basedOn w:val="833"/>
    <w:uiPriority w:val="99"/>
    <w:qFormat/>
    <w:rPr>
      <w:rFonts w:cs="Arial"/>
    </w:rPr>
    <w:tblPr>
      <w:tblCellMar>
        <w:left w:w="0" w:type="dxa"/>
        <w:top w:w="0" w:type="dxa"/>
        <w:right w:w="0" w:type="dxa"/>
        <w:bottom w:w="0" w:type="dxa"/>
      </w:tblCellMar>
    </w:tblPr>
  </w:style>
  <w:style w:type="table" w:styleId="1001" w:customStyle="1">
    <w:name w:val="无格式表格 41"/>
    <w:basedOn w:val="833"/>
    <w:uiPriority w:val="99"/>
    <w:qFormat/>
    <w:rPr>
      <w:rFonts w:cs="Arial"/>
    </w:rPr>
    <w:tblPr>
      <w:tblCellMar>
        <w:left w:w="0" w:type="dxa"/>
        <w:top w:w="0" w:type="dxa"/>
        <w:right w:w="0" w:type="dxa"/>
        <w:bottom w:w="0" w:type="dxa"/>
      </w:tblCellMar>
    </w:tblPr>
  </w:style>
  <w:style w:type="table" w:styleId="1002" w:customStyle="1">
    <w:name w:val="无格式表格 51"/>
    <w:basedOn w:val="833"/>
    <w:uiPriority w:val="99"/>
    <w:qFormat/>
    <w:rPr>
      <w:rFonts w:cs="Arial"/>
    </w:rPr>
    <w:tblPr>
      <w:tblCellMar>
        <w:left w:w="0" w:type="dxa"/>
        <w:top w:w="0" w:type="dxa"/>
        <w:right w:w="0" w:type="dxa"/>
        <w:bottom w:w="0" w:type="dxa"/>
      </w:tblCellMar>
    </w:tblPr>
  </w:style>
  <w:style w:type="table" w:styleId="1003" w:customStyle="1">
    <w:name w:val="网格表 1 浅色1"/>
    <w:basedOn w:val="833"/>
    <w:uiPriority w:val="99"/>
    <w:qFormat/>
    <w:rPr>
      <w:rFonts w:cs="Arial"/>
    </w:rPr>
    <w:tblPr>
      <w:tblCellMar>
        <w:left w:w="0" w:type="dxa"/>
        <w:top w:w="0" w:type="dxa"/>
        <w:right w:w="0" w:type="dxa"/>
        <w:bottom w:w="0" w:type="dxa"/>
      </w:tblCellMar>
    </w:tblPr>
  </w:style>
  <w:style w:type="table" w:styleId="1004" w:customStyle="1">
    <w:name w:val="网格表 21"/>
    <w:basedOn w:val="833"/>
    <w:uiPriority w:val="99"/>
    <w:qFormat/>
    <w:rPr>
      <w:rFonts w:cs="Arial"/>
    </w:rPr>
    <w:tblPr>
      <w:tblCellMar>
        <w:left w:w="0" w:type="dxa"/>
        <w:top w:w="0" w:type="dxa"/>
        <w:right w:w="0" w:type="dxa"/>
        <w:bottom w:w="0" w:type="dxa"/>
      </w:tblCellMar>
    </w:tblPr>
  </w:style>
  <w:style w:type="table" w:styleId="1005" w:customStyle="1">
    <w:name w:val="网格表 31"/>
    <w:basedOn w:val="833"/>
    <w:uiPriority w:val="99"/>
    <w:qFormat/>
    <w:rPr>
      <w:rFonts w:cs="Arial"/>
    </w:rPr>
    <w:tblPr>
      <w:tblCellMar>
        <w:left w:w="0" w:type="dxa"/>
        <w:top w:w="0" w:type="dxa"/>
        <w:right w:w="0" w:type="dxa"/>
        <w:bottom w:w="0" w:type="dxa"/>
      </w:tblCellMar>
    </w:tblPr>
  </w:style>
  <w:style w:type="table" w:styleId="1006" w:customStyle="1">
    <w:name w:val="网格表 41"/>
    <w:basedOn w:val="833"/>
    <w:uiPriority w:val="59"/>
    <w:qFormat/>
    <w:rPr>
      <w:rFonts w:cs="Arial"/>
    </w:rPr>
    <w:tblPr>
      <w:tblCellMar>
        <w:left w:w="0" w:type="dxa"/>
        <w:top w:w="0" w:type="dxa"/>
        <w:right w:w="0" w:type="dxa"/>
        <w:bottom w:w="0" w:type="dxa"/>
      </w:tblCellMar>
    </w:tblPr>
  </w:style>
  <w:style w:type="table" w:styleId="1007" w:customStyle="1">
    <w:name w:val="网格表 5 深色1"/>
    <w:basedOn w:val="833"/>
    <w:uiPriority w:val="99"/>
    <w:qFormat/>
    <w:rPr>
      <w:rFonts w:cs="Arial"/>
    </w:rPr>
    <w:tblPr>
      <w:tblCellMar>
        <w:left w:w="0" w:type="dxa"/>
        <w:top w:w="0" w:type="dxa"/>
        <w:right w:w="0" w:type="dxa"/>
        <w:bottom w:w="0" w:type="dxa"/>
      </w:tblCellMar>
    </w:tblPr>
  </w:style>
  <w:style w:type="table" w:styleId="1008" w:customStyle="1">
    <w:name w:val="网格表 6 彩色1"/>
    <w:basedOn w:val="833"/>
    <w:uiPriority w:val="99"/>
    <w:qFormat/>
    <w:rPr>
      <w:rFonts w:cs="Arial"/>
    </w:rPr>
    <w:tblPr>
      <w:tblCellMar>
        <w:left w:w="0" w:type="dxa"/>
        <w:top w:w="0" w:type="dxa"/>
        <w:right w:w="0" w:type="dxa"/>
        <w:bottom w:w="0" w:type="dxa"/>
      </w:tblCellMar>
    </w:tblPr>
  </w:style>
  <w:style w:type="table" w:styleId="1009" w:customStyle="1">
    <w:name w:val="网格表 7 彩色1"/>
    <w:basedOn w:val="833"/>
    <w:uiPriority w:val="99"/>
    <w:qFormat/>
    <w:rPr>
      <w:rFonts w:cs="Arial"/>
    </w:rPr>
    <w:tblPr>
      <w:tblCellMar>
        <w:left w:w="0" w:type="dxa"/>
        <w:top w:w="0" w:type="dxa"/>
        <w:right w:w="0" w:type="dxa"/>
        <w:bottom w:w="0" w:type="dxa"/>
      </w:tblCellMar>
    </w:tblPr>
  </w:style>
  <w:style w:type="table" w:styleId="1010" w:customStyle="1">
    <w:name w:val="清单表 1 浅色1"/>
    <w:basedOn w:val="833"/>
    <w:uiPriority w:val="99"/>
    <w:qFormat/>
    <w:rPr>
      <w:rFonts w:cs="Arial"/>
    </w:rPr>
    <w:tblPr>
      <w:tblCellMar>
        <w:left w:w="0" w:type="dxa"/>
        <w:top w:w="0" w:type="dxa"/>
        <w:right w:w="0" w:type="dxa"/>
        <w:bottom w:w="0" w:type="dxa"/>
      </w:tblCellMar>
    </w:tblPr>
  </w:style>
  <w:style w:type="table" w:styleId="1011" w:customStyle="1">
    <w:name w:val="清单表 21"/>
    <w:basedOn w:val="833"/>
    <w:uiPriority w:val="99"/>
    <w:qFormat/>
    <w:rPr>
      <w:rFonts w:cs="Arial"/>
    </w:rPr>
    <w:tblPr>
      <w:tblCellMar>
        <w:left w:w="0" w:type="dxa"/>
        <w:top w:w="0" w:type="dxa"/>
        <w:right w:w="0" w:type="dxa"/>
        <w:bottom w:w="0" w:type="dxa"/>
      </w:tblCellMar>
    </w:tblPr>
  </w:style>
  <w:style w:type="table" w:styleId="1012" w:customStyle="1">
    <w:name w:val="清单表 31"/>
    <w:basedOn w:val="833"/>
    <w:uiPriority w:val="99"/>
    <w:qFormat/>
    <w:rPr>
      <w:rFonts w:cs="Arial"/>
    </w:rPr>
    <w:tblPr>
      <w:tblCellMar>
        <w:left w:w="0" w:type="dxa"/>
        <w:top w:w="0" w:type="dxa"/>
        <w:right w:w="0" w:type="dxa"/>
        <w:bottom w:w="0" w:type="dxa"/>
      </w:tblCellMar>
    </w:tblPr>
  </w:style>
  <w:style w:type="table" w:styleId="1013" w:customStyle="1">
    <w:name w:val="清单表 41"/>
    <w:basedOn w:val="833"/>
    <w:uiPriority w:val="99"/>
    <w:qFormat/>
    <w:rPr>
      <w:rFonts w:cs="Arial"/>
    </w:rPr>
    <w:tblPr>
      <w:tblCellMar>
        <w:left w:w="0" w:type="dxa"/>
        <w:top w:w="0" w:type="dxa"/>
        <w:right w:w="0" w:type="dxa"/>
        <w:bottom w:w="0" w:type="dxa"/>
      </w:tblCellMar>
    </w:tblPr>
  </w:style>
  <w:style w:type="table" w:styleId="1014" w:customStyle="1">
    <w:name w:val="清单表 5 深色1"/>
    <w:basedOn w:val="833"/>
    <w:uiPriority w:val="99"/>
    <w:qFormat/>
    <w:rPr>
      <w:rFonts w:cs="Arial"/>
    </w:rPr>
    <w:tblPr>
      <w:tblCellMar>
        <w:left w:w="0" w:type="dxa"/>
        <w:top w:w="0" w:type="dxa"/>
        <w:right w:w="0" w:type="dxa"/>
        <w:bottom w:w="0" w:type="dxa"/>
      </w:tblCellMar>
    </w:tblPr>
  </w:style>
  <w:style w:type="table" w:styleId="1015" w:customStyle="1">
    <w:name w:val="清单表 6 彩色1"/>
    <w:basedOn w:val="833"/>
    <w:uiPriority w:val="99"/>
    <w:qFormat/>
    <w:rPr>
      <w:rFonts w:cs="Arial"/>
    </w:rPr>
    <w:tblPr>
      <w:tblCellMar>
        <w:left w:w="0" w:type="dxa"/>
        <w:top w:w="0" w:type="dxa"/>
        <w:right w:w="0" w:type="dxa"/>
        <w:bottom w:w="0" w:type="dxa"/>
      </w:tblCellMar>
    </w:tblPr>
  </w:style>
  <w:style w:type="table" w:styleId="1016" w:customStyle="1">
    <w:name w:val="清单表 7 彩色1"/>
    <w:basedOn w:val="833"/>
    <w:uiPriority w:val="99"/>
    <w:qFormat/>
    <w:rPr>
      <w:rFonts w:cs="Arial"/>
    </w:rPr>
    <w:tblPr>
      <w:tblCellMar>
        <w:left w:w="0" w:type="dxa"/>
        <w:top w:w="0" w:type="dxa"/>
        <w:right w:w="0" w:type="dxa"/>
        <w:bottom w:w="0" w:type="dxa"/>
      </w:tblCellMar>
    </w:tblPr>
  </w:style>
  <w:style w:type="paragraph" w:styleId="1017" w:customStyle="1">
    <w:name w:val="TOC 标题111"/>
    <w:uiPriority w:val="39"/>
    <w:unhideWhenUsed/>
    <w:qFormat/>
    <w:rPr>
      <w:rFonts w:ascii="Times New Roman" w:hAnsi="Times New Roman" w:eastAsia="宋体" w:cs="Times New Roman"/>
      <w:lang w:val="en-US" w:eastAsia="zh-CN" w:bidi="ar-SA"/>
    </w:rPr>
  </w:style>
  <w:style w:type="paragraph" w:styleId="1018" w:customStyle="1">
    <w:name w:val="段"/>
    <w:next w:val="762"/>
    <w:uiPriority w:val="0"/>
    <w:qFormat/>
    <w:pPr>
      <w:ind w:firstLine="200"/>
      <w:jc w:val="both"/>
      <w:spacing w:line="360" w:lineRule="auto"/>
    </w:pPr>
    <w:rPr>
      <w:rFonts w:ascii="宋体" w:hAnsi="Times New Roman" w:eastAsia="宋体" w:cs="Times New Roman"/>
      <w:sz w:val="24"/>
      <w:szCs w:val="22"/>
      <w:lang w:val="en-US" w:eastAsia="zh-CN" w:bidi="ar-SA"/>
    </w:rPr>
  </w:style>
  <w:style w:type="table" w:styleId="1019" w:customStyle="1">
    <w:name w:val="Table Normal_0"/>
    <w:uiPriority w:val="0"/>
    <w:unhideWhenUsed/>
    <w:qFormat/>
    <w:rPr>
      <w:rFonts w:ascii="Times New Roman" w:hAnsi="Times New Roman"/>
    </w:rPr>
    <w:tblPr>
      <w:tblCellMar>
        <w:left w:w="0" w:type="dxa"/>
        <w:top w:w="0" w:type="dxa"/>
        <w:right w:w="0" w:type="dxa"/>
        <w:bottom w:w="0" w:type="dxa"/>
      </w:tblCellMar>
    </w:tblPr>
  </w:style>
  <w:style w:type="paragraph" w:styleId="1020" w:customStyle="1">
    <w:name w:val="Table Text"/>
    <w:basedOn w:val="762"/>
    <w:uiPriority w:val="0"/>
    <w:semiHidden/>
    <w:qFormat/>
    <w:pPr>
      <w:jc w:val="left"/>
      <w:widowControl/>
    </w:pPr>
    <w:rPr>
      <w:rFonts w:ascii="宋体" w:hAnsi="宋体" w:cs="宋体"/>
      <w:color w:val="000000"/>
      <w:sz w:val="24"/>
      <w:szCs w:val="24"/>
    </w:rPr>
  </w:style>
  <w:style w:type="paragraph" w:styleId="1021" w:customStyle="1">
    <w:name w:val="标题 21"/>
    <w:basedOn w:val="762"/>
    <w:next w:val="1022"/>
    <w:uiPriority w:val="0"/>
    <w:qFormat/>
    <w:pPr>
      <w:jc w:val="center"/>
      <w:keepLines/>
      <w:keepNext/>
      <w:spacing w:before="260" w:after="260" w:line="416" w:lineRule="auto"/>
      <w:widowControl/>
      <w:outlineLvl w:val="1"/>
    </w:pPr>
    <w:rPr>
      <w:rFonts w:ascii="Arial" w:hAnsi="Arial" w:eastAsia="幼圆" w:cs="Arial"/>
      <w:b/>
      <w:bCs/>
      <w:color w:val="000000"/>
      <w:sz w:val="44"/>
      <w:szCs w:val="44"/>
    </w:rPr>
  </w:style>
  <w:style w:type="paragraph" w:styleId="1022" w:customStyle="1">
    <w:name w:val="正文缩进1"/>
    <w:basedOn w:val="762"/>
    <w:uiPriority w:val="0"/>
    <w:qFormat/>
    <w:pPr>
      <w:ind w:firstLine="420"/>
      <w:jc w:val="left"/>
      <w:widowControl/>
    </w:pPr>
    <w:rPr>
      <w:rFonts w:ascii="Arial" w:hAnsi="Arial" w:eastAsia="Arial" w:cs="Arial"/>
      <w:color w:val="000000"/>
      <w:sz w:val="20"/>
    </w:rPr>
  </w:style>
  <w:style w:type="paragraph" w:styleId="1023" w:customStyle="1">
    <w:name w:val="无间隔11"/>
    <w:uiPriority w:val="1"/>
    <w:qFormat/>
    <w:pPr>
      <w:jc w:val="both"/>
      <w:widowControl w:val="off"/>
    </w:pPr>
    <w:rPr>
      <w:rFonts w:ascii="Times New Roman" w:hAnsi="Times New Roman" w:eastAsia="宋体" w:cs="Times New Roman"/>
      <w:sz w:val="21"/>
      <w:szCs w:val="21"/>
      <w:lang w:val="en-US" w:eastAsia="zh-CN" w:bidi="ar-SA"/>
    </w:rPr>
  </w:style>
  <w:style w:type="paragraph" w:styleId="1024" w:customStyle="1">
    <w:name w:val="索引 41"/>
    <w:basedOn w:val="762"/>
    <w:next w:val="762"/>
    <w:uiPriority w:val="99"/>
    <w:unhideWhenUsed/>
    <w:qFormat/>
    <w:pPr>
      <w:ind w:left="600"/>
      <w:jc w:val="left"/>
      <w:widowControl/>
    </w:pPr>
    <w:rPr>
      <w:rFonts w:ascii="Arial" w:hAnsi="Arial" w:eastAsia="Arial" w:cs="Arial"/>
      <w:color w:val="000000"/>
    </w:rPr>
  </w:style>
  <w:style w:type="paragraph" w:styleId="1025" w:customStyle="1">
    <w:name w:val="标题 31"/>
    <w:basedOn w:val="762"/>
    <w:next w:val="1022"/>
    <w:uiPriority w:val="0"/>
    <w:qFormat/>
    <w:pPr>
      <w:jc w:val="left"/>
      <w:keepLines/>
      <w:keepNext/>
      <w:spacing w:before="260" w:after="260" w:line="416" w:lineRule="auto"/>
      <w:widowControl/>
      <w:outlineLvl w:val="2"/>
    </w:pPr>
    <w:rPr>
      <w:rFonts w:ascii="Arial" w:hAnsi="Arial" w:eastAsia="Arial" w:cs="Arial"/>
      <w:b/>
      <w:bCs/>
      <w:color w:val="000000"/>
      <w:sz w:val="32"/>
      <w:szCs w:val="32"/>
    </w:rPr>
  </w:style>
  <w:style w:type="paragraph" w:styleId="1026" w:customStyle="1">
    <w:name w:val="页眉1"/>
    <w:basedOn w:val="762"/>
    <w:uiPriority w:val="0"/>
    <w:qFormat/>
    <w:pPr>
      <w:jc w:val="center"/>
      <w:widowControl/>
      <w:tabs>
        <w:tab w:val="center" w:pos="4153" w:leader="none"/>
        <w:tab w:val="right" w:pos="8306" w:leader="none"/>
      </w:tabs>
      <w:pBdr>
        <w:bottom w:val="single" w:color="000000" w:sz="6" w:space="1"/>
      </w:pBdr>
    </w:pPr>
    <w:rPr>
      <w:rFonts w:ascii="Arial" w:hAnsi="Arial" w:eastAsia="Arial" w:cs="Arial"/>
      <w:color w:val="000000"/>
      <w:sz w:val="18"/>
      <w:szCs w:val="18"/>
    </w:rPr>
  </w:style>
  <w:style w:type="paragraph" w:styleId="1027" w:customStyle="1">
    <w:name w:val="页脚1"/>
    <w:basedOn w:val="762"/>
    <w:uiPriority w:val="99"/>
    <w:qFormat/>
    <w:pPr>
      <w:jc w:val="left"/>
      <w:widowControl/>
      <w:tabs>
        <w:tab w:val="center" w:pos="4153" w:leader="none"/>
        <w:tab w:val="right" w:pos="8306" w:leader="none"/>
      </w:tabs>
    </w:pPr>
    <w:rPr>
      <w:rFonts w:ascii="Arial" w:hAnsi="Arial" w:eastAsia="Arial" w:cs="Arial"/>
      <w:color w:val="000000"/>
      <w:sz w:val="18"/>
      <w:szCs w:val="18"/>
    </w:rPr>
  </w:style>
  <w:style w:type="character" w:styleId="1028" w:customStyle="1">
    <w:name w:val="页码1"/>
    <w:uiPriority w:val="0"/>
    <w:qFormat/>
    <w:rPr>
      <w:rFonts w:ascii="Arial" w:hAnsi="Arial" w:eastAsia="Arial" w:cs="Arial"/>
      <w:color w:val="000000"/>
      <w:sz w:val="21"/>
      <w:szCs w:val="21"/>
      <w:lang w:val="en-US" w:eastAsia="en-US" w:bidi="ar-SA"/>
    </w:rPr>
  </w:style>
  <w:style w:type="paragraph" w:styleId="1029" w:customStyle="1">
    <w:name w:val="纯文本1"/>
    <w:basedOn w:val="762"/>
    <w:uiPriority w:val="0"/>
    <w:qFormat/>
    <w:pPr>
      <w:jc w:val="left"/>
      <w:widowControl/>
    </w:pPr>
    <w:rPr>
      <w:rFonts w:ascii="宋体" w:hAnsi="Courier New" w:eastAsia="Arial" w:cs="Arial"/>
      <w:color w:val="000000"/>
      <w:sz w:val="20"/>
    </w:rPr>
  </w:style>
  <w:style w:type="paragraph" w:styleId="1030" w:customStyle="1">
    <w:name w:val="UserStyle_61"/>
    <w:basedOn w:val="762"/>
    <w:next w:val="916"/>
    <w:uiPriority w:val="34"/>
    <w:qFormat/>
    <w:pPr>
      <w:contextualSpacing/>
      <w:ind w:left="720"/>
      <w:jc w:val="left"/>
      <w:widowControl/>
    </w:pPr>
    <w:rPr>
      <w:rFonts w:ascii="Arial" w:hAnsi="Arial" w:eastAsia="Arial" w:cs="Arial"/>
      <w:color w:val="000000"/>
      <w:sz w:val="24"/>
      <w:szCs w:val="24"/>
      <w:lang w:bidi="en-US"/>
    </w:rPr>
  </w:style>
  <w:style w:type="paragraph" w:styleId="1031" w:customStyle="1">
    <w:name w:val="正文首行缩进 21"/>
    <w:basedOn w:val="1032"/>
    <w:uiPriority w:val="0"/>
    <w:qFormat/>
    <w:pPr>
      <w:ind w:firstLine="420"/>
      <w:spacing w:line="360" w:lineRule="auto"/>
    </w:pPr>
    <w:rPr>
      <w:rFonts w:ascii="宋体" w:hAnsi="宋体" w:eastAsia="宋体"/>
      <w:szCs w:val="20"/>
    </w:rPr>
  </w:style>
  <w:style w:type="paragraph" w:styleId="1032" w:customStyle="1">
    <w:name w:val="正文文本缩进1"/>
    <w:basedOn w:val="762"/>
    <w:uiPriority w:val="0"/>
    <w:qFormat/>
    <w:pPr>
      <w:ind w:firstLine="645"/>
      <w:jc w:val="left"/>
      <w:widowControl/>
    </w:pPr>
    <w:rPr>
      <w:rFonts w:ascii="方正楷体_GB2312" w:hAnsi="Arial" w:eastAsia="方正楷体_GB2312" w:cs="Arial"/>
      <w:color w:val="000000"/>
      <w:sz w:val="32"/>
      <w:szCs w:val="32"/>
    </w:rPr>
  </w:style>
  <w:style w:type="paragraph" w:styleId="1033" w:customStyle="1">
    <w:name w:val="附录标题"/>
    <w:next w:val="762"/>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1034" w:customStyle="1">
    <w:name w:val="文档说明标题"/>
    <w:next w:val="762"/>
    <w:uiPriority w:val="0"/>
    <w:qFormat/>
    <w:pPr>
      <w:jc w:val="center"/>
      <w:spacing w:before="100" w:after="100"/>
      <w:widowControl w:val="off"/>
    </w:pPr>
    <w:rPr>
      <w:rFonts w:ascii="Times New Roman" w:hAnsi="Times New Roman" w:eastAsia="黑体" w:cs="Times New Roman"/>
      <w:sz w:val="52"/>
      <w:szCs w:val="52"/>
      <w:lang w:val="en-US" w:eastAsia="zh-CN" w:bidi="ar-SA"/>
    </w:rPr>
  </w:style>
  <w:style w:type="paragraph" w:styleId="1035" w:customStyle="1">
    <w:name w:val="章标题"/>
    <w:next w:val="762"/>
    <w:uiPriority w:val="0"/>
    <w:qFormat/>
    <w:pPr>
      <w:jc w:val="center"/>
      <w:spacing w:before="100" w:after="100" w:line="360" w:lineRule="auto"/>
      <w:widowControl w:val="off"/>
      <w:outlineLvl w:val="0"/>
    </w:pPr>
    <w:rPr>
      <w:rFonts w:ascii="Times New Roman" w:hAnsi="Times New Roman" w:eastAsia="黑体" w:cs="Times New Roman"/>
      <w:sz w:val="36"/>
      <w:szCs w:val="44"/>
      <w:lang w:val="en-US" w:eastAsia="zh-CN" w:bidi="ar-SA"/>
    </w:rPr>
  </w:style>
  <w:style w:type="paragraph" w:styleId="1036" w:customStyle="1">
    <w:name w:val="题注1"/>
    <w:next w:val="762"/>
    <w:uiPriority w:val="0"/>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paragraph" w:styleId="1037" w:customStyle="1">
    <w:name w:val="章前标题"/>
    <w:next w:val="762"/>
    <w:uiPriority w:val="0"/>
    <w:qFormat/>
    <w:pPr>
      <w:jc w:val="center"/>
      <w:spacing w:before="240" w:after="240"/>
      <w:widowControl w:val="off"/>
    </w:pPr>
    <w:rPr>
      <w:rFonts w:ascii="黑体" w:hAnsi="黑体" w:eastAsia="黑体" w:cs="黑体"/>
      <w:sz w:val="32"/>
      <w:szCs w:val="36"/>
      <w:lang w:val="en-US" w:eastAsia="zh-CN" w:bidi="ar-SA"/>
    </w:rPr>
  </w:style>
  <w:style w:type="paragraph" w:styleId="1038" w:customStyle="1">
    <w:name w:val="章节标题"/>
    <w:next w:val="762"/>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1039" w:customStyle="1">
    <w:name w:val="内嵌文档标题1"/>
    <w:next w:val="762"/>
    <w:uiPriority w:val="0"/>
    <w:qFormat/>
    <w:pPr>
      <w:jc w:val="center"/>
      <w:spacing w:before="240" w:after="240" w:line="360" w:lineRule="auto"/>
      <w:widowControl w:val="off"/>
      <w:outlineLvl w:val="0"/>
    </w:pPr>
    <w:rPr>
      <w:rFonts w:ascii="Times New Roman" w:hAnsi="Times New Roman" w:eastAsia="宋体" w:cs="Times New Roman"/>
      <w:b/>
      <w:sz w:val="24"/>
      <w:lang w:val="en-US" w:eastAsia="zh-CN" w:bidi="ar-SA"/>
    </w:rPr>
  </w:style>
  <w:style w:type="paragraph" w:styleId="1040" w:customStyle="1">
    <w:name w:val="表格标题"/>
    <w:next w:val="762"/>
    <w:uiPriority w:val="0"/>
    <w:qFormat/>
    <w:pPr>
      <w:jc w:val="center"/>
      <w:spacing w:before="240" w:after="240"/>
      <w:widowControl w:val="off"/>
    </w:pPr>
    <w:rPr>
      <w:rFonts w:ascii="宋体" w:hAnsi="宋体" w:eastAsia="宋体" w:cs="宋体"/>
      <w:b/>
      <w:sz w:val="24"/>
      <w:szCs w:val="22"/>
      <w:lang w:val="en-US" w:eastAsia="zh-CN" w:bidi="ar-SA"/>
    </w:rPr>
  </w:style>
  <w:style w:type="paragraph" w:styleId="1041" w:customStyle="1">
    <w:name w:val="内嵌文档标题2"/>
    <w:next w:val="762"/>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lang w:val="en-US" w:eastAsia="zh-CN" w:bidi="ar-SA"/>
    </w:rPr>
  </w:style>
  <w:style w:type="paragraph" w:styleId="1042" w:customStyle="1">
    <w:name w:val="B正文"/>
    <w:basedOn w:val="762"/>
    <w:uiPriority w:val="0"/>
    <w:qFormat/>
    <w:pPr>
      <w:ind w:firstLine="560"/>
      <w:spacing w:line="500" w:lineRule="exact"/>
      <w:widowControl/>
    </w:pPr>
    <w:rPr>
      <w:rFonts w:ascii="Calibri" w:hAnsi="Calibri" w:eastAsia="Arial" w:cs="Arial"/>
      <w:color w:val="000000"/>
      <w:sz w:val="28"/>
      <w:szCs w:val="24"/>
    </w:rPr>
  </w:style>
  <w:style w:type="character" w:styleId="1043" w:customStyle="1">
    <w:name w:val="font41"/>
    <w:uiPriority w:val="0"/>
    <w:qFormat/>
    <w:rPr>
      <w:rFonts w:hint="eastAsia" w:ascii="等线" w:hAnsi="等线" w:eastAsia="等线" w:cs="等线"/>
      <w:color w:val="000000"/>
      <w:sz w:val="24"/>
      <w:szCs w:val="24"/>
      <w:u w:val="none"/>
    </w:rPr>
  </w:style>
  <w:style w:type="character" w:styleId="1044" w:customStyle="1">
    <w:name w:val="font21"/>
    <w:uiPriority w:val="0"/>
    <w:qFormat/>
    <w:rPr>
      <w:rFonts w:hint="eastAsia" w:ascii="等线" w:hAnsi="等线" w:eastAsia="等线" w:cs="等线"/>
      <w:color w:val="000000"/>
      <w:sz w:val="24"/>
      <w:szCs w:val="24"/>
      <w:u w:val="none"/>
    </w:rPr>
  </w:style>
  <w:style w:type="paragraph" w:styleId="1045" w:customStyle="1">
    <w:name w:val="列出段落11"/>
    <w:basedOn w:val="762"/>
    <w:uiPriority w:val="0"/>
    <w:qFormat/>
    <w:pPr>
      <w:ind w:firstLine="420"/>
      <w:jc w:val="left"/>
      <w:widowControl/>
    </w:pPr>
    <w:rPr>
      <w:rFonts w:ascii="Calibri" w:hAnsi="Calibri" w:eastAsia="Arial" w:cs="Arial"/>
      <w:color w:val="000000"/>
      <w:szCs w:val="22"/>
    </w:rPr>
  </w:style>
  <w:style w:type="character" w:styleId="1046" w:customStyle="1">
    <w:name w:val="NormalCharacter1"/>
    <w:uiPriority w:val="0"/>
    <w:qFormat/>
    <w:rPr>
      <w:rFonts w:ascii="DejaVu Math TeX Gyre" w:hAnsi="DejaVu Math TeX Gyre" w:eastAsia="Segoe Print" w:cs="DejaVu Math TeX Gyre"/>
      <w:sz w:val="21"/>
      <w:szCs w:val="22"/>
      <w:lang w:val="en-US" w:eastAsia="zh-CN" w:bidi="ar-SA"/>
    </w:rPr>
  </w:style>
  <w:style w:type="paragraph" w:styleId="1047" w:customStyle="1">
    <w:name w:val="修订111"/>
    <w:uiPriority w:val="99"/>
    <w:unhideWhenUsed/>
    <w:qFormat/>
    <w:rPr>
      <w:rFonts w:ascii="Arial" w:hAnsi="Arial" w:eastAsia="Arial" w:cs="Arial"/>
      <w:color w:val="000000"/>
      <w:sz w:val="21"/>
      <w:szCs w:val="21"/>
      <w:lang w:val="en-US" w:eastAsia="zh-CN" w:bidi="ar-SA"/>
    </w:rPr>
  </w:style>
  <w:style w:type="paragraph" w:styleId="1048" w:customStyle="1">
    <w:name w:val="引用1"/>
    <w:basedOn w:val="762"/>
    <w:next w:val="762"/>
    <w:link w:val="1049"/>
    <w:uiPriority w:val="29"/>
    <w:qFormat/>
    <w:pPr>
      <w:ind w:left="720" w:right="720"/>
      <w:jc w:val="left"/>
      <w:spacing w:after="200" w:line="276" w:lineRule="auto"/>
      <w:widowControl/>
    </w:pPr>
    <w:rPr>
      <w:rFonts w:ascii="Calibri" w:hAnsi="Calibri" w:cs="Arial"/>
      <w:i/>
      <w:sz w:val="22"/>
      <w:szCs w:val="22"/>
    </w:rPr>
  </w:style>
  <w:style w:type="character" w:styleId="1049" w:customStyle="1">
    <w:name w:val="引用 Char2"/>
    <w:link w:val="1048"/>
    <w:uiPriority w:val="29"/>
    <w:qFormat/>
    <w:rPr>
      <w:rFonts w:cs="Arial"/>
      <w:i/>
      <w:sz w:val="22"/>
      <w:szCs w:val="22"/>
    </w:rPr>
  </w:style>
  <w:style w:type="character" w:styleId="1050" w:customStyle="1">
    <w:name w:val="引用 Char"/>
    <w:uiPriority w:val="29"/>
    <w:qFormat/>
    <w:rPr>
      <w:rFonts w:ascii="Times New Roman" w:hAnsi="Times New Roman"/>
      <w:i/>
      <w:iCs/>
      <w:color w:val="000000"/>
      <w:sz w:val="21"/>
      <w:szCs w:val="21"/>
    </w:rPr>
  </w:style>
  <w:style w:type="paragraph" w:styleId="1051" w:customStyle="1">
    <w:name w:val="明显引用1"/>
    <w:basedOn w:val="762"/>
    <w:next w:val="762"/>
    <w:link w:val="1052"/>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Calibri" w:hAnsi="Calibri" w:cs="Arial"/>
      <w:i/>
      <w:sz w:val="22"/>
      <w:szCs w:val="22"/>
    </w:rPr>
  </w:style>
  <w:style w:type="character" w:styleId="1052" w:customStyle="1">
    <w:name w:val="明显引用 Char2"/>
    <w:link w:val="1051"/>
    <w:uiPriority w:val="30"/>
    <w:qFormat/>
    <w:rPr>
      <w:rFonts w:cs="Arial"/>
      <w:i/>
      <w:sz w:val="22"/>
      <w:szCs w:val="22"/>
      <w:shd w:val="clear" w:color="auto" w:fill="f2f2f2"/>
    </w:rPr>
  </w:style>
  <w:style w:type="character" w:styleId="1053" w:customStyle="1">
    <w:name w:val="明显引用 Char"/>
    <w:uiPriority w:val="30"/>
    <w:qFormat/>
    <w:rPr>
      <w:rFonts w:ascii="Times New Roman" w:hAnsi="Times New Roman"/>
      <w:b/>
      <w:bCs/>
      <w:i/>
      <w:iCs/>
      <w:color w:val="4f81bd"/>
      <w:sz w:val="21"/>
      <w:szCs w:val="21"/>
    </w:rPr>
  </w:style>
  <w:style w:type="character" w:styleId="1054" w:customStyle="1">
    <w:name w:val="Footer Char"/>
    <w:uiPriority w:val="99"/>
    <w:qFormat/>
  </w:style>
  <w:style w:type="table" w:styleId="1055" w:customStyle="1">
    <w:name w:val="Table Grid Light"/>
    <w:basedOn w:val="833"/>
    <w:uiPriority w:val="59"/>
    <w:qFormat/>
    <w:rPr>
      <w:rFonts w:cs="Arial"/>
    </w:rPr>
    <w:tblPr>
      <w:tblCellMar>
        <w:left w:w="0" w:type="dxa"/>
        <w:top w:w="0" w:type="dxa"/>
        <w:right w:w="0" w:type="dxa"/>
        <w:bottom w:w="0" w:type="dxa"/>
      </w:tblCellMar>
    </w:tblPr>
  </w:style>
  <w:style w:type="table" w:styleId="1056" w:customStyle="1">
    <w:name w:val="Grid Table 1 Light - Accent 1"/>
    <w:basedOn w:val="833"/>
    <w:uiPriority w:val="99"/>
    <w:qFormat/>
    <w:rPr>
      <w:rFonts w:cs="Arial"/>
    </w:rPr>
    <w:tblPr>
      <w:tblCellMar>
        <w:left w:w="0" w:type="dxa"/>
        <w:top w:w="0" w:type="dxa"/>
        <w:right w:w="0" w:type="dxa"/>
        <w:bottom w:w="0" w:type="dxa"/>
      </w:tblCellMar>
    </w:tblPr>
  </w:style>
  <w:style w:type="table" w:styleId="1057" w:customStyle="1">
    <w:name w:val="Grid Table 1 Light - Accent 2"/>
    <w:basedOn w:val="833"/>
    <w:uiPriority w:val="99"/>
    <w:qFormat/>
    <w:rPr>
      <w:rFonts w:cs="Arial"/>
    </w:rPr>
    <w:tblPr>
      <w:tblCellMar>
        <w:left w:w="0" w:type="dxa"/>
        <w:top w:w="0" w:type="dxa"/>
        <w:right w:w="0" w:type="dxa"/>
        <w:bottom w:w="0" w:type="dxa"/>
      </w:tblCellMar>
    </w:tblPr>
  </w:style>
  <w:style w:type="table" w:styleId="1058" w:customStyle="1">
    <w:name w:val="Grid Table 1 Light - Accent 3"/>
    <w:basedOn w:val="833"/>
    <w:uiPriority w:val="99"/>
    <w:qFormat/>
    <w:rPr>
      <w:rFonts w:cs="Arial"/>
    </w:rPr>
    <w:tblPr>
      <w:tblCellMar>
        <w:left w:w="0" w:type="dxa"/>
        <w:top w:w="0" w:type="dxa"/>
        <w:right w:w="0" w:type="dxa"/>
        <w:bottom w:w="0" w:type="dxa"/>
      </w:tblCellMar>
    </w:tblPr>
  </w:style>
  <w:style w:type="table" w:styleId="1059" w:customStyle="1">
    <w:name w:val="Grid Table 1 Light - Accent 4"/>
    <w:basedOn w:val="833"/>
    <w:uiPriority w:val="99"/>
    <w:qFormat/>
    <w:rPr>
      <w:rFonts w:cs="Arial"/>
    </w:rPr>
    <w:tblPr>
      <w:tblCellMar>
        <w:left w:w="0" w:type="dxa"/>
        <w:top w:w="0" w:type="dxa"/>
        <w:right w:w="0" w:type="dxa"/>
        <w:bottom w:w="0" w:type="dxa"/>
      </w:tblCellMar>
    </w:tblPr>
  </w:style>
  <w:style w:type="table" w:styleId="1060" w:customStyle="1">
    <w:name w:val="Grid Table 1 Light - Accent 5"/>
    <w:basedOn w:val="833"/>
    <w:uiPriority w:val="99"/>
    <w:qFormat/>
    <w:rPr>
      <w:rFonts w:cs="Arial"/>
    </w:rPr>
    <w:tblPr>
      <w:tblCellMar>
        <w:left w:w="0" w:type="dxa"/>
        <w:top w:w="0" w:type="dxa"/>
        <w:right w:w="0" w:type="dxa"/>
        <w:bottom w:w="0" w:type="dxa"/>
      </w:tblCellMar>
    </w:tblPr>
  </w:style>
  <w:style w:type="table" w:styleId="1061" w:customStyle="1">
    <w:name w:val="Grid Table 1 Light - Accent 6"/>
    <w:basedOn w:val="833"/>
    <w:uiPriority w:val="99"/>
    <w:qFormat/>
    <w:rPr>
      <w:rFonts w:cs="Arial"/>
    </w:rPr>
    <w:tblPr>
      <w:tblCellMar>
        <w:left w:w="0" w:type="dxa"/>
        <w:top w:w="0" w:type="dxa"/>
        <w:right w:w="0" w:type="dxa"/>
        <w:bottom w:w="0" w:type="dxa"/>
      </w:tblCellMar>
    </w:tblPr>
  </w:style>
  <w:style w:type="table" w:styleId="1062" w:customStyle="1">
    <w:name w:val="Grid Table 2 - Accent 1"/>
    <w:basedOn w:val="833"/>
    <w:uiPriority w:val="99"/>
    <w:qFormat/>
    <w:rPr>
      <w:rFonts w:cs="Arial"/>
    </w:rPr>
    <w:tblPr>
      <w:tblCellMar>
        <w:left w:w="0" w:type="dxa"/>
        <w:top w:w="0" w:type="dxa"/>
        <w:right w:w="0" w:type="dxa"/>
        <w:bottom w:w="0" w:type="dxa"/>
      </w:tblCellMar>
    </w:tblPr>
  </w:style>
  <w:style w:type="table" w:styleId="1063" w:customStyle="1">
    <w:name w:val="Grid Table 2 - Accent 2"/>
    <w:basedOn w:val="833"/>
    <w:uiPriority w:val="99"/>
    <w:qFormat/>
    <w:rPr>
      <w:rFonts w:cs="Arial"/>
    </w:rPr>
    <w:tblPr>
      <w:tblCellMar>
        <w:left w:w="0" w:type="dxa"/>
        <w:top w:w="0" w:type="dxa"/>
        <w:right w:w="0" w:type="dxa"/>
        <w:bottom w:w="0" w:type="dxa"/>
      </w:tblCellMar>
    </w:tblPr>
  </w:style>
  <w:style w:type="table" w:styleId="1064" w:customStyle="1">
    <w:name w:val="Grid Table 2 - Accent 3"/>
    <w:basedOn w:val="833"/>
    <w:uiPriority w:val="99"/>
    <w:qFormat/>
    <w:rPr>
      <w:rFonts w:cs="Arial"/>
    </w:rPr>
    <w:tblPr>
      <w:tblCellMar>
        <w:left w:w="0" w:type="dxa"/>
        <w:top w:w="0" w:type="dxa"/>
        <w:right w:w="0" w:type="dxa"/>
        <w:bottom w:w="0" w:type="dxa"/>
      </w:tblCellMar>
    </w:tblPr>
  </w:style>
  <w:style w:type="table" w:styleId="1065" w:customStyle="1">
    <w:name w:val="Grid Table 2 - Accent 4"/>
    <w:basedOn w:val="833"/>
    <w:uiPriority w:val="99"/>
    <w:qFormat/>
    <w:rPr>
      <w:rFonts w:cs="Arial"/>
    </w:rPr>
    <w:tblPr>
      <w:tblCellMar>
        <w:left w:w="0" w:type="dxa"/>
        <w:top w:w="0" w:type="dxa"/>
        <w:right w:w="0" w:type="dxa"/>
        <w:bottom w:w="0" w:type="dxa"/>
      </w:tblCellMar>
    </w:tblPr>
  </w:style>
  <w:style w:type="table" w:styleId="1066" w:customStyle="1">
    <w:name w:val="Grid Table 2 - Accent 5"/>
    <w:basedOn w:val="833"/>
    <w:uiPriority w:val="99"/>
    <w:qFormat/>
    <w:rPr>
      <w:rFonts w:cs="Arial"/>
    </w:rPr>
    <w:tblPr>
      <w:tblCellMar>
        <w:left w:w="0" w:type="dxa"/>
        <w:top w:w="0" w:type="dxa"/>
        <w:right w:w="0" w:type="dxa"/>
        <w:bottom w:w="0" w:type="dxa"/>
      </w:tblCellMar>
    </w:tblPr>
  </w:style>
  <w:style w:type="table" w:styleId="1067" w:customStyle="1">
    <w:name w:val="Grid Table 2 - Accent 6"/>
    <w:basedOn w:val="833"/>
    <w:uiPriority w:val="99"/>
    <w:qFormat/>
    <w:rPr>
      <w:rFonts w:cs="Arial"/>
    </w:rPr>
    <w:tblPr>
      <w:tblCellMar>
        <w:left w:w="0" w:type="dxa"/>
        <w:top w:w="0" w:type="dxa"/>
        <w:right w:w="0" w:type="dxa"/>
        <w:bottom w:w="0" w:type="dxa"/>
      </w:tblCellMar>
    </w:tblPr>
  </w:style>
  <w:style w:type="table" w:styleId="1068" w:customStyle="1">
    <w:name w:val="Grid Table 3 - Accent 1"/>
    <w:basedOn w:val="833"/>
    <w:uiPriority w:val="99"/>
    <w:qFormat/>
    <w:rPr>
      <w:rFonts w:cs="Arial"/>
    </w:rPr>
    <w:tblPr>
      <w:tblCellMar>
        <w:left w:w="0" w:type="dxa"/>
        <w:top w:w="0" w:type="dxa"/>
        <w:right w:w="0" w:type="dxa"/>
        <w:bottom w:w="0" w:type="dxa"/>
      </w:tblCellMar>
    </w:tblPr>
  </w:style>
  <w:style w:type="table" w:styleId="1069" w:customStyle="1">
    <w:name w:val="Grid Table 3 - Accent 2"/>
    <w:basedOn w:val="833"/>
    <w:uiPriority w:val="99"/>
    <w:qFormat/>
    <w:rPr>
      <w:rFonts w:cs="Arial"/>
    </w:rPr>
    <w:tblPr>
      <w:tblCellMar>
        <w:left w:w="0" w:type="dxa"/>
        <w:top w:w="0" w:type="dxa"/>
        <w:right w:w="0" w:type="dxa"/>
        <w:bottom w:w="0" w:type="dxa"/>
      </w:tblCellMar>
    </w:tblPr>
  </w:style>
  <w:style w:type="table" w:styleId="1070" w:customStyle="1">
    <w:name w:val="Grid Table 3 - Accent 3"/>
    <w:basedOn w:val="833"/>
    <w:uiPriority w:val="99"/>
    <w:qFormat/>
    <w:rPr>
      <w:rFonts w:cs="Arial"/>
    </w:rPr>
    <w:tblPr>
      <w:tblCellMar>
        <w:left w:w="0" w:type="dxa"/>
        <w:top w:w="0" w:type="dxa"/>
        <w:right w:w="0" w:type="dxa"/>
        <w:bottom w:w="0" w:type="dxa"/>
      </w:tblCellMar>
    </w:tblPr>
  </w:style>
  <w:style w:type="table" w:styleId="1071" w:customStyle="1">
    <w:name w:val="Grid Table 3 - Accent 4"/>
    <w:basedOn w:val="833"/>
    <w:uiPriority w:val="99"/>
    <w:qFormat/>
    <w:rPr>
      <w:rFonts w:cs="Arial"/>
    </w:rPr>
    <w:tblPr>
      <w:tblCellMar>
        <w:left w:w="0" w:type="dxa"/>
        <w:top w:w="0" w:type="dxa"/>
        <w:right w:w="0" w:type="dxa"/>
        <w:bottom w:w="0" w:type="dxa"/>
      </w:tblCellMar>
    </w:tblPr>
  </w:style>
  <w:style w:type="table" w:styleId="1072" w:customStyle="1">
    <w:name w:val="Grid Table 3 - Accent 5"/>
    <w:basedOn w:val="833"/>
    <w:uiPriority w:val="99"/>
    <w:qFormat/>
    <w:rPr>
      <w:rFonts w:cs="Arial"/>
    </w:rPr>
    <w:tblPr>
      <w:tblCellMar>
        <w:left w:w="0" w:type="dxa"/>
        <w:top w:w="0" w:type="dxa"/>
        <w:right w:w="0" w:type="dxa"/>
        <w:bottom w:w="0" w:type="dxa"/>
      </w:tblCellMar>
    </w:tblPr>
  </w:style>
  <w:style w:type="table" w:styleId="1073" w:customStyle="1">
    <w:name w:val="Grid Table 3 - Accent 6"/>
    <w:basedOn w:val="833"/>
    <w:uiPriority w:val="99"/>
    <w:qFormat/>
    <w:rPr>
      <w:rFonts w:cs="Arial"/>
    </w:rPr>
    <w:tblPr>
      <w:tblCellMar>
        <w:left w:w="0" w:type="dxa"/>
        <w:top w:w="0" w:type="dxa"/>
        <w:right w:w="0" w:type="dxa"/>
        <w:bottom w:w="0" w:type="dxa"/>
      </w:tblCellMar>
    </w:tblPr>
  </w:style>
  <w:style w:type="table" w:styleId="1074" w:customStyle="1">
    <w:name w:val="Grid Table 4 - Accent 1"/>
    <w:basedOn w:val="833"/>
    <w:uiPriority w:val="59"/>
    <w:qFormat/>
    <w:rPr>
      <w:rFonts w:cs="Arial"/>
    </w:rPr>
    <w:tblPr>
      <w:tblCellMar>
        <w:left w:w="0" w:type="dxa"/>
        <w:top w:w="0" w:type="dxa"/>
        <w:right w:w="0" w:type="dxa"/>
        <w:bottom w:w="0" w:type="dxa"/>
      </w:tblCellMar>
    </w:tblPr>
  </w:style>
  <w:style w:type="table" w:styleId="1075" w:customStyle="1">
    <w:name w:val="Grid Table 4 - Accent 2"/>
    <w:basedOn w:val="833"/>
    <w:uiPriority w:val="59"/>
    <w:qFormat/>
    <w:rPr>
      <w:rFonts w:cs="Arial"/>
    </w:rPr>
    <w:tblPr>
      <w:tblCellMar>
        <w:left w:w="0" w:type="dxa"/>
        <w:top w:w="0" w:type="dxa"/>
        <w:right w:w="0" w:type="dxa"/>
        <w:bottom w:w="0" w:type="dxa"/>
      </w:tblCellMar>
    </w:tblPr>
  </w:style>
  <w:style w:type="table" w:styleId="1076" w:customStyle="1">
    <w:name w:val="Grid Table 4 - Accent 3"/>
    <w:basedOn w:val="833"/>
    <w:uiPriority w:val="59"/>
    <w:qFormat/>
    <w:rPr>
      <w:rFonts w:cs="Arial"/>
    </w:rPr>
    <w:tblPr>
      <w:tblCellMar>
        <w:left w:w="0" w:type="dxa"/>
        <w:top w:w="0" w:type="dxa"/>
        <w:right w:w="0" w:type="dxa"/>
        <w:bottom w:w="0" w:type="dxa"/>
      </w:tblCellMar>
    </w:tblPr>
  </w:style>
  <w:style w:type="table" w:styleId="1077" w:customStyle="1">
    <w:name w:val="Grid Table 4 - Accent 4"/>
    <w:basedOn w:val="833"/>
    <w:uiPriority w:val="59"/>
    <w:qFormat/>
    <w:rPr>
      <w:rFonts w:cs="Arial"/>
    </w:rPr>
    <w:tblPr>
      <w:tblCellMar>
        <w:left w:w="0" w:type="dxa"/>
        <w:top w:w="0" w:type="dxa"/>
        <w:right w:w="0" w:type="dxa"/>
        <w:bottom w:w="0" w:type="dxa"/>
      </w:tblCellMar>
    </w:tblPr>
  </w:style>
  <w:style w:type="table" w:styleId="1078" w:customStyle="1">
    <w:name w:val="Grid Table 4 - Accent 5"/>
    <w:basedOn w:val="833"/>
    <w:uiPriority w:val="59"/>
    <w:qFormat/>
    <w:rPr>
      <w:rFonts w:cs="Arial"/>
    </w:rPr>
    <w:tblPr>
      <w:tblCellMar>
        <w:left w:w="0" w:type="dxa"/>
        <w:top w:w="0" w:type="dxa"/>
        <w:right w:w="0" w:type="dxa"/>
        <w:bottom w:w="0" w:type="dxa"/>
      </w:tblCellMar>
    </w:tblPr>
  </w:style>
  <w:style w:type="table" w:styleId="1079" w:customStyle="1">
    <w:name w:val="Grid Table 4 - Accent 6"/>
    <w:basedOn w:val="833"/>
    <w:uiPriority w:val="59"/>
    <w:qFormat/>
    <w:rPr>
      <w:rFonts w:cs="Arial"/>
    </w:rPr>
    <w:tblPr>
      <w:tblCellMar>
        <w:left w:w="0" w:type="dxa"/>
        <w:top w:w="0" w:type="dxa"/>
        <w:right w:w="0" w:type="dxa"/>
        <w:bottom w:w="0" w:type="dxa"/>
      </w:tblCellMar>
    </w:tblPr>
  </w:style>
  <w:style w:type="table" w:styleId="1080" w:customStyle="1">
    <w:name w:val="Grid Table 5 Dark- Accent 1"/>
    <w:basedOn w:val="833"/>
    <w:uiPriority w:val="99"/>
    <w:qFormat/>
    <w:rPr>
      <w:rFonts w:cs="Arial"/>
    </w:rPr>
    <w:tblPr>
      <w:tblCellMar>
        <w:left w:w="0" w:type="dxa"/>
        <w:top w:w="0" w:type="dxa"/>
        <w:right w:w="0" w:type="dxa"/>
        <w:bottom w:w="0" w:type="dxa"/>
      </w:tblCellMar>
    </w:tblPr>
  </w:style>
  <w:style w:type="table" w:styleId="1081" w:customStyle="1">
    <w:name w:val="Grid Table 5 Dark - Accent 2"/>
    <w:basedOn w:val="833"/>
    <w:uiPriority w:val="99"/>
    <w:qFormat/>
    <w:rPr>
      <w:rFonts w:cs="Arial"/>
    </w:rPr>
    <w:tblPr>
      <w:tblCellMar>
        <w:left w:w="0" w:type="dxa"/>
        <w:top w:w="0" w:type="dxa"/>
        <w:right w:w="0" w:type="dxa"/>
        <w:bottom w:w="0" w:type="dxa"/>
      </w:tblCellMar>
    </w:tblPr>
  </w:style>
  <w:style w:type="table" w:styleId="1082" w:customStyle="1">
    <w:name w:val="Grid Table 5 Dark - Accent 3"/>
    <w:basedOn w:val="833"/>
    <w:uiPriority w:val="99"/>
    <w:qFormat/>
    <w:rPr>
      <w:rFonts w:cs="Arial"/>
    </w:rPr>
    <w:tblPr>
      <w:tblCellMar>
        <w:left w:w="0" w:type="dxa"/>
        <w:top w:w="0" w:type="dxa"/>
        <w:right w:w="0" w:type="dxa"/>
        <w:bottom w:w="0" w:type="dxa"/>
      </w:tblCellMar>
    </w:tblPr>
  </w:style>
  <w:style w:type="table" w:styleId="1083" w:customStyle="1">
    <w:name w:val="Grid Table 5 Dark- Accent 4"/>
    <w:basedOn w:val="833"/>
    <w:uiPriority w:val="99"/>
    <w:qFormat/>
    <w:rPr>
      <w:rFonts w:cs="Arial"/>
    </w:rPr>
    <w:tblPr>
      <w:tblCellMar>
        <w:left w:w="0" w:type="dxa"/>
        <w:top w:w="0" w:type="dxa"/>
        <w:right w:w="0" w:type="dxa"/>
        <w:bottom w:w="0" w:type="dxa"/>
      </w:tblCellMar>
    </w:tblPr>
  </w:style>
  <w:style w:type="table" w:styleId="1084" w:customStyle="1">
    <w:name w:val="Grid Table 5 Dark - Accent 5"/>
    <w:basedOn w:val="833"/>
    <w:uiPriority w:val="99"/>
    <w:qFormat/>
    <w:rPr>
      <w:rFonts w:cs="Arial"/>
    </w:rPr>
    <w:tblPr>
      <w:tblCellMar>
        <w:left w:w="0" w:type="dxa"/>
        <w:top w:w="0" w:type="dxa"/>
        <w:right w:w="0" w:type="dxa"/>
        <w:bottom w:w="0" w:type="dxa"/>
      </w:tblCellMar>
    </w:tblPr>
  </w:style>
  <w:style w:type="table" w:styleId="1085" w:customStyle="1">
    <w:name w:val="Grid Table 5 Dark - Accent 6"/>
    <w:basedOn w:val="833"/>
    <w:uiPriority w:val="99"/>
    <w:qFormat/>
    <w:rPr>
      <w:rFonts w:cs="Arial"/>
    </w:rPr>
    <w:tblPr>
      <w:tblCellMar>
        <w:left w:w="0" w:type="dxa"/>
        <w:top w:w="0" w:type="dxa"/>
        <w:right w:w="0" w:type="dxa"/>
        <w:bottom w:w="0" w:type="dxa"/>
      </w:tblCellMar>
    </w:tblPr>
  </w:style>
  <w:style w:type="table" w:styleId="1086" w:customStyle="1">
    <w:name w:val="Grid Table 6 Colorful - Accent 1"/>
    <w:basedOn w:val="833"/>
    <w:uiPriority w:val="99"/>
    <w:qFormat/>
    <w:rPr>
      <w:rFonts w:cs="Arial"/>
    </w:rPr>
    <w:tblPr>
      <w:tblCellMar>
        <w:left w:w="0" w:type="dxa"/>
        <w:top w:w="0" w:type="dxa"/>
        <w:right w:w="0" w:type="dxa"/>
        <w:bottom w:w="0" w:type="dxa"/>
      </w:tblCellMar>
    </w:tblPr>
  </w:style>
  <w:style w:type="table" w:styleId="1087" w:customStyle="1">
    <w:name w:val="Grid Table 6 Colorful - Accent 2"/>
    <w:basedOn w:val="833"/>
    <w:uiPriority w:val="99"/>
    <w:qFormat/>
    <w:rPr>
      <w:rFonts w:cs="Arial"/>
    </w:rPr>
    <w:tblPr>
      <w:tblCellMar>
        <w:left w:w="0" w:type="dxa"/>
        <w:top w:w="0" w:type="dxa"/>
        <w:right w:w="0" w:type="dxa"/>
        <w:bottom w:w="0" w:type="dxa"/>
      </w:tblCellMar>
    </w:tblPr>
  </w:style>
  <w:style w:type="table" w:styleId="1088" w:customStyle="1">
    <w:name w:val="Grid Table 6 Colorful - Accent 3"/>
    <w:basedOn w:val="833"/>
    <w:uiPriority w:val="99"/>
    <w:qFormat/>
    <w:rPr>
      <w:rFonts w:cs="Arial"/>
    </w:rPr>
    <w:tblPr>
      <w:tblCellMar>
        <w:left w:w="0" w:type="dxa"/>
        <w:top w:w="0" w:type="dxa"/>
        <w:right w:w="0" w:type="dxa"/>
        <w:bottom w:w="0" w:type="dxa"/>
      </w:tblCellMar>
    </w:tblPr>
  </w:style>
  <w:style w:type="table" w:styleId="1089" w:customStyle="1">
    <w:name w:val="Grid Table 6 Colorful - Accent 4"/>
    <w:basedOn w:val="833"/>
    <w:uiPriority w:val="99"/>
    <w:qFormat/>
    <w:rPr>
      <w:rFonts w:cs="Arial"/>
    </w:rPr>
    <w:tblPr>
      <w:tblCellMar>
        <w:left w:w="0" w:type="dxa"/>
        <w:top w:w="0" w:type="dxa"/>
        <w:right w:w="0" w:type="dxa"/>
        <w:bottom w:w="0" w:type="dxa"/>
      </w:tblCellMar>
    </w:tblPr>
  </w:style>
  <w:style w:type="table" w:styleId="1090" w:customStyle="1">
    <w:name w:val="Grid Table 6 Colorful - Accent 5"/>
    <w:basedOn w:val="833"/>
    <w:uiPriority w:val="99"/>
    <w:qFormat/>
    <w:rPr>
      <w:rFonts w:cs="Arial"/>
    </w:rPr>
    <w:tblPr>
      <w:tblCellMar>
        <w:left w:w="0" w:type="dxa"/>
        <w:top w:w="0" w:type="dxa"/>
        <w:right w:w="0" w:type="dxa"/>
        <w:bottom w:w="0" w:type="dxa"/>
      </w:tblCellMar>
    </w:tblPr>
  </w:style>
  <w:style w:type="table" w:styleId="1091" w:customStyle="1">
    <w:name w:val="Grid Table 6 Colorful - Accent 6"/>
    <w:basedOn w:val="833"/>
    <w:uiPriority w:val="99"/>
    <w:qFormat/>
    <w:rPr>
      <w:rFonts w:cs="Arial"/>
    </w:rPr>
    <w:tblPr>
      <w:tblCellMar>
        <w:left w:w="0" w:type="dxa"/>
        <w:top w:w="0" w:type="dxa"/>
        <w:right w:w="0" w:type="dxa"/>
        <w:bottom w:w="0" w:type="dxa"/>
      </w:tblCellMar>
    </w:tblPr>
  </w:style>
  <w:style w:type="table" w:styleId="1092" w:customStyle="1">
    <w:name w:val="Grid Table 7 Colorful - Accent 1"/>
    <w:basedOn w:val="833"/>
    <w:uiPriority w:val="99"/>
    <w:qFormat/>
    <w:rPr>
      <w:rFonts w:cs="Arial"/>
    </w:rPr>
    <w:tblPr>
      <w:tblCellMar>
        <w:left w:w="0" w:type="dxa"/>
        <w:top w:w="0" w:type="dxa"/>
        <w:right w:w="0" w:type="dxa"/>
        <w:bottom w:w="0" w:type="dxa"/>
      </w:tblCellMar>
    </w:tblPr>
  </w:style>
  <w:style w:type="table" w:styleId="1093" w:customStyle="1">
    <w:name w:val="Grid Table 7 Colorful - Accent 2"/>
    <w:basedOn w:val="833"/>
    <w:uiPriority w:val="99"/>
    <w:qFormat/>
    <w:rPr>
      <w:rFonts w:cs="Arial"/>
    </w:rPr>
    <w:tblPr>
      <w:tblCellMar>
        <w:left w:w="0" w:type="dxa"/>
        <w:top w:w="0" w:type="dxa"/>
        <w:right w:w="0" w:type="dxa"/>
        <w:bottom w:w="0" w:type="dxa"/>
      </w:tblCellMar>
    </w:tblPr>
  </w:style>
  <w:style w:type="table" w:styleId="1094" w:customStyle="1">
    <w:name w:val="Grid Table 7 Colorful - Accent 3"/>
    <w:basedOn w:val="833"/>
    <w:uiPriority w:val="99"/>
    <w:qFormat/>
    <w:rPr>
      <w:rFonts w:cs="Arial"/>
    </w:rPr>
    <w:tblPr>
      <w:tblCellMar>
        <w:left w:w="0" w:type="dxa"/>
        <w:top w:w="0" w:type="dxa"/>
        <w:right w:w="0" w:type="dxa"/>
        <w:bottom w:w="0" w:type="dxa"/>
      </w:tblCellMar>
    </w:tblPr>
  </w:style>
  <w:style w:type="table" w:styleId="1095" w:customStyle="1">
    <w:name w:val="Grid Table 7 Colorful - Accent 4"/>
    <w:basedOn w:val="833"/>
    <w:uiPriority w:val="99"/>
    <w:qFormat/>
    <w:rPr>
      <w:rFonts w:cs="Arial"/>
    </w:rPr>
    <w:tblPr>
      <w:tblCellMar>
        <w:left w:w="0" w:type="dxa"/>
        <w:top w:w="0" w:type="dxa"/>
        <w:right w:w="0" w:type="dxa"/>
        <w:bottom w:w="0" w:type="dxa"/>
      </w:tblCellMar>
    </w:tblPr>
  </w:style>
  <w:style w:type="table" w:styleId="1096" w:customStyle="1">
    <w:name w:val="Grid Table 7 Colorful - Accent 5"/>
    <w:basedOn w:val="833"/>
    <w:uiPriority w:val="99"/>
    <w:qFormat/>
    <w:rPr>
      <w:rFonts w:cs="Arial"/>
    </w:rPr>
    <w:tblPr>
      <w:tblCellMar>
        <w:left w:w="0" w:type="dxa"/>
        <w:top w:w="0" w:type="dxa"/>
        <w:right w:w="0" w:type="dxa"/>
        <w:bottom w:w="0" w:type="dxa"/>
      </w:tblCellMar>
    </w:tblPr>
  </w:style>
  <w:style w:type="table" w:styleId="1097" w:customStyle="1">
    <w:name w:val="Grid Table 7 Colorful - Accent 6"/>
    <w:basedOn w:val="833"/>
    <w:uiPriority w:val="99"/>
    <w:qFormat/>
    <w:rPr>
      <w:rFonts w:cs="Arial"/>
    </w:rPr>
    <w:tblPr>
      <w:tblCellMar>
        <w:left w:w="0" w:type="dxa"/>
        <w:top w:w="0" w:type="dxa"/>
        <w:right w:w="0" w:type="dxa"/>
        <w:bottom w:w="0" w:type="dxa"/>
      </w:tblCellMar>
    </w:tblPr>
  </w:style>
  <w:style w:type="table" w:styleId="1098" w:customStyle="1">
    <w:name w:val="List Table 1 Light - Accent 1"/>
    <w:basedOn w:val="833"/>
    <w:uiPriority w:val="99"/>
    <w:qFormat/>
    <w:rPr>
      <w:rFonts w:cs="Arial"/>
    </w:rPr>
    <w:tblPr>
      <w:tblCellMar>
        <w:left w:w="0" w:type="dxa"/>
        <w:top w:w="0" w:type="dxa"/>
        <w:right w:w="0" w:type="dxa"/>
        <w:bottom w:w="0" w:type="dxa"/>
      </w:tblCellMar>
    </w:tblPr>
  </w:style>
  <w:style w:type="table" w:styleId="1099" w:customStyle="1">
    <w:name w:val="List Table 1 Light - Accent 2"/>
    <w:basedOn w:val="833"/>
    <w:uiPriority w:val="99"/>
    <w:qFormat/>
    <w:rPr>
      <w:rFonts w:cs="Arial"/>
    </w:rPr>
    <w:tblPr>
      <w:tblCellMar>
        <w:left w:w="0" w:type="dxa"/>
        <w:top w:w="0" w:type="dxa"/>
        <w:right w:w="0" w:type="dxa"/>
        <w:bottom w:w="0" w:type="dxa"/>
      </w:tblCellMar>
    </w:tblPr>
  </w:style>
  <w:style w:type="table" w:styleId="1100" w:customStyle="1">
    <w:name w:val="List Table 1 Light - Accent 3"/>
    <w:basedOn w:val="833"/>
    <w:uiPriority w:val="99"/>
    <w:qFormat/>
    <w:rPr>
      <w:rFonts w:cs="Arial"/>
    </w:rPr>
    <w:tblPr>
      <w:tblCellMar>
        <w:left w:w="0" w:type="dxa"/>
        <w:top w:w="0" w:type="dxa"/>
        <w:right w:w="0" w:type="dxa"/>
        <w:bottom w:w="0" w:type="dxa"/>
      </w:tblCellMar>
    </w:tblPr>
  </w:style>
  <w:style w:type="table" w:styleId="1101" w:customStyle="1">
    <w:name w:val="List Table 1 Light - Accent 4"/>
    <w:basedOn w:val="833"/>
    <w:uiPriority w:val="99"/>
    <w:qFormat/>
    <w:rPr>
      <w:rFonts w:cs="Arial"/>
    </w:rPr>
    <w:tblPr>
      <w:tblCellMar>
        <w:left w:w="0" w:type="dxa"/>
        <w:top w:w="0" w:type="dxa"/>
        <w:right w:w="0" w:type="dxa"/>
        <w:bottom w:w="0" w:type="dxa"/>
      </w:tblCellMar>
    </w:tblPr>
  </w:style>
  <w:style w:type="table" w:styleId="1102" w:customStyle="1">
    <w:name w:val="List Table 1 Light - Accent 5"/>
    <w:basedOn w:val="833"/>
    <w:uiPriority w:val="99"/>
    <w:qFormat/>
    <w:rPr>
      <w:rFonts w:cs="Arial"/>
    </w:rPr>
    <w:tblPr>
      <w:tblCellMar>
        <w:left w:w="0" w:type="dxa"/>
        <w:top w:w="0" w:type="dxa"/>
        <w:right w:w="0" w:type="dxa"/>
        <w:bottom w:w="0" w:type="dxa"/>
      </w:tblCellMar>
    </w:tblPr>
  </w:style>
  <w:style w:type="table" w:styleId="1103" w:customStyle="1">
    <w:name w:val="List Table 1 Light - Accent 6"/>
    <w:basedOn w:val="833"/>
    <w:uiPriority w:val="99"/>
    <w:qFormat/>
    <w:rPr>
      <w:rFonts w:cs="Arial"/>
    </w:rPr>
    <w:tblPr>
      <w:tblCellMar>
        <w:left w:w="0" w:type="dxa"/>
        <w:top w:w="0" w:type="dxa"/>
        <w:right w:w="0" w:type="dxa"/>
        <w:bottom w:w="0" w:type="dxa"/>
      </w:tblCellMar>
    </w:tblPr>
  </w:style>
  <w:style w:type="table" w:styleId="1104" w:customStyle="1">
    <w:name w:val="List Table 2 - Accent 1"/>
    <w:basedOn w:val="833"/>
    <w:uiPriority w:val="99"/>
    <w:qFormat/>
    <w:rPr>
      <w:rFonts w:cs="Arial"/>
    </w:rPr>
    <w:tblPr>
      <w:tblCellMar>
        <w:left w:w="0" w:type="dxa"/>
        <w:top w:w="0" w:type="dxa"/>
        <w:right w:w="0" w:type="dxa"/>
        <w:bottom w:w="0" w:type="dxa"/>
      </w:tblCellMar>
    </w:tblPr>
  </w:style>
  <w:style w:type="table" w:styleId="1105" w:customStyle="1">
    <w:name w:val="List Table 2 - Accent 2"/>
    <w:basedOn w:val="833"/>
    <w:uiPriority w:val="99"/>
    <w:qFormat/>
    <w:rPr>
      <w:rFonts w:cs="Arial"/>
    </w:rPr>
    <w:tblPr>
      <w:tblCellMar>
        <w:left w:w="0" w:type="dxa"/>
        <w:top w:w="0" w:type="dxa"/>
        <w:right w:w="0" w:type="dxa"/>
        <w:bottom w:w="0" w:type="dxa"/>
      </w:tblCellMar>
    </w:tblPr>
  </w:style>
  <w:style w:type="table" w:styleId="1106" w:customStyle="1">
    <w:name w:val="List Table 2 - Accent 3"/>
    <w:basedOn w:val="833"/>
    <w:uiPriority w:val="99"/>
    <w:qFormat/>
    <w:rPr>
      <w:rFonts w:cs="Arial"/>
    </w:rPr>
    <w:tblPr>
      <w:tblCellMar>
        <w:left w:w="0" w:type="dxa"/>
        <w:top w:w="0" w:type="dxa"/>
        <w:right w:w="0" w:type="dxa"/>
        <w:bottom w:w="0" w:type="dxa"/>
      </w:tblCellMar>
    </w:tblPr>
  </w:style>
  <w:style w:type="table" w:styleId="1107" w:customStyle="1">
    <w:name w:val="List Table 2 - Accent 4"/>
    <w:basedOn w:val="833"/>
    <w:uiPriority w:val="99"/>
    <w:qFormat/>
    <w:rPr>
      <w:rFonts w:cs="Arial"/>
    </w:rPr>
    <w:tblPr>
      <w:tblCellMar>
        <w:left w:w="0" w:type="dxa"/>
        <w:top w:w="0" w:type="dxa"/>
        <w:right w:w="0" w:type="dxa"/>
        <w:bottom w:w="0" w:type="dxa"/>
      </w:tblCellMar>
    </w:tblPr>
  </w:style>
  <w:style w:type="table" w:styleId="1108" w:customStyle="1">
    <w:name w:val="List Table 2 - Accent 5"/>
    <w:basedOn w:val="833"/>
    <w:uiPriority w:val="99"/>
    <w:qFormat/>
    <w:rPr>
      <w:rFonts w:cs="Arial"/>
    </w:rPr>
    <w:tblPr>
      <w:tblCellMar>
        <w:left w:w="0" w:type="dxa"/>
        <w:top w:w="0" w:type="dxa"/>
        <w:right w:w="0" w:type="dxa"/>
        <w:bottom w:w="0" w:type="dxa"/>
      </w:tblCellMar>
    </w:tblPr>
  </w:style>
  <w:style w:type="table" w:styleId="1109" w:customStyle="1">
    <w:name w:val="List Table 2 - Accent 6"/>
    <w:basedOn w:val="833"/>
    <w:uiPriority w:val="99"/>
    <w:qFormat/>
    <w:rPr>
      <w:rFonts w:cs="Arial"/>
    </w:rPr>
    <w:tblPr>
      <w:tblCellMar>
        <w:left w:w="0" w:type="dxa"/>
        <w:top w:w="0" w:type="dxa"/>
        <w:right w:w="0" w:type="dxa"/>
        <w:bottom w:w="0" w:type="dxa"/>
      </w:tblCellMar>
    </w:tblPr>
  </w:style>
  <w:style w:type="table" w:styleId="1110" w:customStyle="1">
    <w:name w:val="List Table 3 - Accent 1"/>
    <w:basedOn w:val="833"/>
    <w:uiPriority w:val="99"/>
    <w:qFormat/>
    <w:rPr>
      <w:rFonts w:cs="Arial"/>
    </w:rPr>
    <w:tblPr>
      <w:tblCellMar>
        <w:left w:w="0" w:type="dxa"/>
        <w:top w:w="0" w:type="dxa"/>
        <w:right w:w="0" w:type="dxa"/>
        <w:bottom w:w="0" w:type="dxa"/>
      </w:tblCellMar>
    </w:tblPr>
  </w:style>
  <w:style w:type="table" w:styleId="1111" w:customStyle="1">
    <w:name w:val="List Table 3 - Accent 2"/>
    <w:basedOn w:val="833"/>
    <w:uiPriority w:val="99"/>
    <w:qFormat/>
    <w:rPr>
      <w:rFonts w:cs="Arial"/>
    </w:rPr>
    <w:tblPr>
      <w:tblCellMar>
        <w:left w:w="0" w:type="dxa"/>
        <w:top w:w="0" w:type="dxa"/>
        <w:right w:w="0" w:type="dxa"/>
        <w:bottom w:w="0" w:type="dxa"/>
      </w:tblCellMar>
    </w:tblPr>
  </w:style>
  <w:style w:type="table" w:styleId="1112" w:customStyle="1">
    <w:name w:val="List Table 3 - Accent 3"/>
    <w:basedOn w:val="833"/>
    <w:uiPriority w:val="99"/>
    <w:qFormat/>
    <w:rPr>
      <w:rFonts w:cs="Arial"/>
    </w:rPr>
    <w:tblPr>
      <w:tblCellMar>
        <w:left w:w="0" w:type="dxa"/>
        <w:top w:w="0" w:type="dxa"/>
        <w:right w:w="0" w:type="dxa"/>
        <w:bottom w:w="0" w:type="dxa"/>
      </w:tblCellMar>
    </w:tblPr>
  </w:style>
  <w:style w:type="table" w:styleId="1113" w:customStyle="1">
    <w:name w:val="List Table 3 - Accent 4"/>
    <w:basedOn w:val="833"/>
    <w:uiPriority w:val="99"/>
    <w:qFormat/>
    <w:rPr>
      <w:rFonts w:cs="Arial"/>
    </w:rPr>
    <w:tblPr>
      <w:tblCellMar>
        <w:left w:w="0" w:type="dxa"/>
        <w:top w:w="0" w:type="dxa"/>
        <w:right w:w="0" w:type="dxa"/>
        <w:bottom w:w="0" w:type="dxa"/>
      </w:tblCellMar>
    </w:tblPr>
  </w:style>
  <w:style w:type="table" w:styleId="1114" w:customStyle="1">
    <w:name w:val="List Table 3 - Accent 5"/>
    <w:basedOn w:val="833"/>
    <w:uiPriority w:val="99"/>
    <w:qFormat/>
    <w:rPr>
      <w:rFonts w:cs="Arial"/>
    </w:rPr>
    <w:tblPr>
      <w:tblCellMar>
        <w:left w:w="0" w:type="dxa"/>
        <w:top w:w="0" w:type="dxa"/>
        <w:right w:w="0" w:type="dxa"/>
        <w:bottom w:w="0" w:type="dxa"/>
      </w:tblCellMar>
    </w:tblPr>
  </w:style>
  <w:style w:type="table" w:styleId="1115" w:customStyle="1">
    <w:name w:val="List Table 3 - Accent 6"/>
    <w:basedOn w:val="833"/>
    <w:uiPriority w:val="99"/>
    <w:qFormat/>
    <w:rPr>
      <w:rFonts w:cs="Arial"/>
    </w:rPr>
    <w:tblPr>
      <w:tblCellMar>
        <w:left w:w="0" w:type="dxa"/>
        <w:top w:w="0" w:type="dxa"/>
        <w:right w:w="0" w:type="dxa"/>
        <w:bottom w:w="0" w:type="dxa"/>
      </w:tblCellMar>
    </w:tblPr>
  </w:style>
  <w:style w:type="table" w:styleId="1116" w:customStyle="1">
    <w:name w:val="List Table 4 - Accent 1"/>
    <w:basedOn w:val="833"/>
    <w:uiPriority w:val="99"/>
    <w:qFormat/>
    <w:rPr>
      <w:rFonts w:cs="Arial"/>
    </w:rPr>
    <w:tblPr>
      <w:tblCellMar>
        <w:left w:w="0" w:type="dxa"/>
        <w:top w:w="0" w:type="dxa"/>
        <w:right w:w="0" w:type="dxa"/>
        <w:bottom w:w="0" w:type="dxa"/>
      </w:tblCellMar>
    </w:tblPr>
  </w:style>
  <w:style w:type="table" w:styleId="1117" w:customStyle="1">
    <w:name w:val="List Table 4 - Accent 2"/>
    <w:basedOn w:val="833"/>
    <w:uiPriority w:val="99"/>
    <w:qFormat/>
    <w:rPr>
      <w:rFonts w:cs="Arial"/>
    </w:rPr>
    <w:tblPr>
      <w:tblCellMar>
        <w:left w:w="0" w:type="dxa"/>
        <w:top w:w="0" w:type="dxa"/>
        <w:right w:w="0" w:type="dxa"/>
        <w:bottom w:w="0" w:type="dxa"/>
      </w:tblCellMar>
    </w:tblPr>
  </w:style>
  <w:style w:type="table" w:styleId="1118" w:customStyle="1">
    <w:name w:val="List Table 4 - Accent 3"/>
    <w:basedOn w:val="833"/>
    <w:uiPriority w:val="99"/>
    <w:qFormat/>
    <w:rPr>
      <w:rFonts w:cs="Arial"/>
    </w:rPr>
    <w:tblPr>
      <w:tblCellMar>
        <w:left w:w="0" w:type="dxa"/>
        <w:top w:w="0" w:type="dxa"/>
        <w:right w:w="0" w:type="dxa"/>
        <w:bottom w:w="0" w:type="dxa"/>
      </w:tblCellMar>
    </w:tblPr>
  </w:style>
  <w:style w:type="table" w:styleId="1119" w:customStyle="1">
    <w:name w:val="List Table 4 - Accent 4"/>
    <w:basedOn w:val="833"/>
    <w:uiPriority w:val="99"/>
    <w:qFormat/>
    <w:rPr>
      <w:rFonts w:cs="Arial"/>
    </w:rPr>
    <w:tblPr>
      <w:tblCellMar>
        <w:left w:w="0" w:type="dxa"/>
        <w:top w:w="0" w:type="dxa"/>
        <w:right w:w="0" w:type="dxa"/>
        <w:bottom w:w="0" w:type="dxa"/>
      </w:tblCellMar>
    </w:tblPr>
  </w:style>
  <w:style w:type="table" w:styleId="1120" w:customStyle="1">
    <w:name w:val="List Table 4 - Accent 5"/>
    <w:basedOn w:val="833"/>
    <w:uiPriority w:val="99"/>
    <w:qFormat/>
    <w:rPr>
      <w:rFonts w:cs="Arial"/>
    </w:rPr>
    <w:tblPr>
      <w:tblCellMar>
        <w:left w:w="0" w:type="dxa"/>
        <w:top w:w="0" w:type="dxa"/>
        <w:right w:w="0" w:type="dxa"/>
        <w:bottom w:w="0" w:type="dxa"/>
      </w:tblCellMar>
    </w:tblPr>
  </w:style>
  <w:style w:type="table" w:styleId="1121" w:customStyle="1">
    <w:name w:val="List Table 4 - Accent 6"/>
    <w:basedOn w:val="833"/>
    <w:uiPriority w:val="99"/>
    <w:qFormat/>
    <w:rPr>
      <w:rFonts w:cs="Arial"/>
    </w:rPr>
    <w:tblPr>
      <w:tblCellMar>
        <w:left w:w="0" w:type="dxa"/>
        <w:top w:w="0" w:type="dxa"/>
        <w:right w:w="0" w:type="dxa"/>
        <w:bottom w:w="0" w:type="dxa"/>
      </w:tblCellMar>
    </w:tblPr>
  </w:style>
  <w:style w:type="table" w:styleId="1122" w:customStyle="1">
    <w:name w:val="List Table 5 Dark - Accent 1"/>
    <w:basedOn w:val="833"/>
    <w:uiPriority w:val="99"/>
    <w:qFormat/>
    <w:rPr>
      <w:rFonts w:cs="Arial"/>
    </w:rPr>
    <w:tblPr>
      <w:tblCellMar>
        <w:left w:w="0" w:type="dxa"/>
        <w:top w:w="0" w:type="dxa"/>
        <w:right w:w="0" w:type="dxa"/>
        <w:bottom w:w="0" w:type="dxa"/>
      </w:tblCellMar>
    </w:tblPr>
  </w:style>
  <w:style w:type="table" w:styleId="1123" w:customStyle="1">
    <w:name w:val="List Table 5 Dark - Accent 2"/>
    <w:basedOn w:val="833"/>
    <w:uiPriority w:val="99"/>
    <w:qFormat/>
    <w:rPr>
      <w:rFonts w:cs="Arial"/>
    </w:rPr>
    <w:tblPr>
      <w:tblCellMar>
        <w:left w:w="0" w:type="dxa"/>
        <w:top w:w="0" w:type="dxa"/>
        <w:right w:w="0" w:type="dxa"/>
        <w:bottom w:w="0" w:type="dxa"/>
      </w:tblCellMar>
    </w:tblPr>
  </w:style>
  <w:style w:type="table" w:styleId="1124" w:customStyle="1">
    <w:name w:val="List Table 5 Dark - Accent 3"/>
    <w:basedOn w:val="833"/>
    <w:uiPriority w:val="99"/>
    <w:qFormat/>
    <w:rPr>
      <w:rFonts w:cs="Arial"/>
    </w:rPr>
    <w:tblPr>
      <w:tblCellMar>
        <w:left w:w="0" w:type="dxa"/>
        <w:top w:w="0" w:type="dxa"/>
        <w:right w:w="0" w:type="dxa"/>
        <w:bottom w:w="0" w:type="dxa"/>
      </w:tblCellMar>
    </w:tblPr>
  </w:style>
  <w:style w:type="table" w:styleId="1125" w:customStyle="1">
    <w:name w:val="List Table 5 Dark - Accent 4"/>
    <w:basedOn w:val="833"/>
    <w:uiPriority w:val="99"/>
    <w:qFormat/>
    <w:rPr>
      <w:rFonts w:cs="Arial"/>
    </w:rPr>
    <w:tblPr>
      <w:tblCellMar>
        <w:left w:w="0" w:type="dxa"/>
        <w:top w:w="0" w:type="dxa"/>
        <w:right w:w="0" w:type="dxa"/>
        <w:bottom w:w="0" w:type="dxa"/>
      </w:tblCellMar>
    </w:tblPr>
  </w:style>
  <w:style w:type="table" w:styleId="1126" w:customStyle="1">
    <w:name w:val="List Table 5 Dark - Accent 5"/>
    <w:basedOn w:val="833"/>
    <w:uiPriority w:val="99"/>
    <w:qFormat/>
    <w:rPr>
      <w:rFonts w:cs="Arial"/>
    </w:rPr>
    <w:tblPr>
      <w:tblCellMar>
        <w:left w:w="0" w:type="dxa"/>
        <w:top w:w="0" w:type="dxa"/>
        <w:right w:w="0" w:type="dxa"/>
        <w:bottom w:w="0" w:type="dxa"/>
      </w:tblCellMar>
    </w:tblPr>
  </w:style>
  <w:style w:type="table" w:styleId="1127" w:customStyle="1">
    <w:name w:val="List Table 5 Dark - Accent 6"/>
    <w:basedOn w:val="833"/>
    <w:uiPriority w:val="99"/>
    <w:qFormat/>
    <w:rPr>
      <w:rFonts w:cs="Arial"/>
    </w:rPr>
    <w:tblPr>
      <w:tblCellMar>
        <w:left w:w="0" w:type="dxa"/>
        <w:top w:w="0" w:type="dxa"/>
        <w:right w:w="0" w:type="dxa"/>
        <w:bottom w:w="0" w:type="dxa"/>
      </w:tblCellMar>
    </w:tblPr>
  </w:style>
  <w:style w:type="table" w:styleId="1128" w:customStyle="1">
    <w:name w:val="List Table 6 Colorful - Accent 1"/>
    <w:basedOn w:val="833"/>
    <w:uiPriority w:val="99"/>
    <w:qFormat/>
    <w:rPr>
      <w:rFonts w:cs="Arial"/>
    </w:rPr>
    <w:tblPr>
      <w:tblCellMar>
        <w:left w:w="0" w:type="dxa"/>
        <w:top w:w="0" w:type="dxa"/>
        <w:right w:w="0" w:type="dxa"/>
        <w:bottom w:w="0" w:type="dxa"/>
      </w:tblCellMar>
    </w:tblPr>
  </w:style>
  <w:style w:type="table" w:styleId="1129" w:customStyle="1">
    <w:name w:val="List Table 6 Colorful - Accent 2"/>
    <w:basedOn w:val="833"/>
    <w:uiPriority w:val="99"/>
    <w:qFormat/>
    <w:rPr>
      <w:rFonts w:cs="Arial"/>
    </w:rPr>
    <w:tblPr>
      <w:tblCellMar>
        <w:left w:w="0" w:type="dxa"/>
        <w:top w:w="0" w:type="dxa"/>
        <w:right w:w="0" w:type="dxa"/>
        <w:bottom w:w="0" w:type="dxa"/>
      </w:tblCellMar>
    </w:tblPr>
  </w:style>
  <w:style w:type="table" w:styleId="1130" w:customStyle="1">
    <w:name w:val="List Table 6 Colorful - Accent 3"/>
    <w:basedOn w:val="833"/>
    <w:uiPriority w:val="99"/>
    <w:qFormat/>
    <w:rPr>
      <w:rFonts w:cs="Arial"/>
    </w:rPr>
    <w:tblPr>
      <w:tblCellMar>
        <w:left w:w="0" w:type="dxa"/>
        <w:top w:w="0" w:type="dxa"/>
        <w:right w:w="0" w:type="dxa"/>
        <w:bottom w:w="0" w:type="dxa"/>
      </w:tblCellMar>
    </w:tblPr>
  </w:style>
  <w:style w:type="table" w:styleId="1131" w:customStyle="1">
    <w:name w:val="List Table 6 Colorful - Accent 4"/>
    <w:basedOn w:val="833"/>
    <w:uiPriority w:val="99"/>
    <w:qFormat/>
    <w:rPr>
      <w:rFonts w:cs="Arial"/>
    </w:rPr>
    <w:tblPr>
      <w:tblCellMar>
        <w:left w:w="0" w:type="dxa"/>
        <w:top w:w="0" w:type="dxa"/>
        <w:right w:w="0" w:type="dxa"/>
        <w:bottom w:w="0" w:type="dxa"/>
      </w:tblCellMar>
    </w:tblPr>
  </w:style>
  <w:style w:type="table" w:styleId="1132" w:customStyle="1">
    <w:name w:val="List Table 6 Colorful - Accent 5"/>
    <w:basedOn w:val="833"/>
    <w:uiPriority w:val="99"/>
    <w:qFormat/>
    <w:rPr>
      <w:rFonts w:cs="Arial"/>
    </w:rPr>
    <w:tblPr>
      <w:tblCellMar>
        <w:left w:w="0" w:type="dxa"/>
        <w:top w:w="0" w:type="dxa"/>
        <w:right w:w="0" w:type="dxa"/>
        <w:bottom w:w="0" w:type="dxa"/>
      </w:tblCellMar>
    </w:tblPr>
  </w:style>
  <w:style w:type="table" w:styleId="1133" w:customStyle="1">
    <w:name w:val="List Table 6 Colorful - Accent 6"/>
    <w:basedOn w:val="833"/>
    <w:uiPriority w:val="99"/>
    <w:qFormat/>
    <w:rPr>
      <w:rFonts w:cs="Arial"/>
    </w:rPr>
    <w:tblPr>
      <w:tblCellMar>
        <w:left w:w="0" w:type="dxa"/>
        <w:top w:w="0" w:type="dxa"/>
        <w:right w:w="0" w:type="dxa"/>
        <w:bottom w:w="0" w:type="dxa"/>
      </w:tblCellMar>
    </w:tblPr>
  </w:style>
  <w:style w:type="table" w:styleId="1134" w:customStyle="1">
    <w:name w:val="List Table 7 Colorful - Accent 1"/>
    <w:basedOn w:val="833"/>
    <w:uiPriority w:val="99"/>
    <w:qFormat/>
    <w:rPr>
      <w:rFonts w:cs="Arial"/>
    </w:rPr>
    <w:tblPr>
      <w:tblCellMar>
        <w:left w:w="0" w:type="dxa"/>
        <w:top w:w="0" w:type="dxa"/>
        <w:right w:w="0" w:type="dxa"/>
        <w:bottom w:w="0" w:type="dxa"/>
      </w:tblCellMar>
    </w:tblPr>
  </w:style>
  <w:style w:type="table" w:styleId="1135" w:customStyle="1">
    <w:name w:val="List Table 7 Colorful - Accent 2"/>
    <w:basedOn w:val="833"/>
    <w:uiPriority w:val="99"/>
    <w:qFormat/>
    <w:rPr>
      <w:rFonts w:cs="Arial"/>
    </w:rPr>
    <w:tblPr>
      <w:tblCellMar>
        <w:left w:w="0" w:type="dxa"/>
        <w:top w:w="0" w:type="dxa"/>
        <w:right w:w="0" w:type="dxa"/>
        <w:bottom w:w="0" w:type="dxa"/>
      </w:tblCellMar>
    </w:tblPr>
  </w:style>
  <w:style w:type="table" w:styleId="1136" w:customStyle="1">
    <w:name w:val="List Table 7 Colorful - Accent 3"/>
    <w:basedOn w:val="833"/>
    <w:uiPriority w:val="99"/>
    <w:qFormat/>
    <w:rPr>
      <w:rFonts w:cs="Arial"/>
    </w:rPr>
    <w:tblPr>
      <w:tblCellMar>
        <w:left w:w="0" w:type="dxa"/>
        <w:top w:w="0" w:type="dxa"/>
        <w:right w:w="0" w:type="dxa"/>
        <w:bottom w:w="0" w:type="dxa"/>
      </w:tblCellMar>
    </w:tblPr>
  </w:style>
  <w:style w:type="table" w:styleId="1137" w:customStyle="1">
    <w:name w:val="List Table 7 Colorful - Accent 4"/>
    <w:basedOn w:val="833"/>
    <w:uiPriority w:val="99"/>
    <w:qFormat/>
    <w:rPr>
      <w:rFonts w:cs="Arial"/>
    </w:rPr>
    <w:tblPr>
      <w:tblCellMar>
        <w:left w:w="0" w:type="dxa"/>
        <w:top w:w="0" w:type="dxa"/>
        <w:right w:w="0" w:type="dxa"/>
        <w:bottom w:w="0" w:type="dxa"/>
      </w:tblCellMar>
    </w:tblPr>
  </w:style>
  <w:style w:type="table" w:styleId="1138" w:customStyle="1">
    <w:name w:val="List Table 7 Colorful - Accent 5"/>
    <w:basedOn w:val="833"/>
    <w:uiPriority w:val="99"/>
    <w:qFormat/>
    <w:rPr>
      <w:rFonts w:cs="Arial"/>
    </w:rPr>
    <w:tblPr>
      <w:tblCellMar>
        <w:left w:w="0" w:type="dxa"/>
        <w:top w:w="0" w:type="dxa"/>
        <w:right w:w="0" w:type="dxa"/>
        <w:bottom w:w="0" w:type="dxa"/>
      </w:tblCellMar>
    </w:tblPr>
  </w:style>
  <w:style w:type="table" w:styleId="1139" w:customStyle="1">
    <w:name w:val="List Table 7 Colorful - Accent 6"/>
    <w:basedOn w:val="833"/>
    <w:uiPriority w:val="99"/>
    <w:qFormat/>
    <w:rPr>
      <w:rFonts w:cs="Arial"/>
    </w:rPr>
    <w:tblPr>
      <w:tblCellMar>
        <w:left w:w="0" w:type="dxa"/>
        <w:top w:w="0" w:type="dxa"/>
        <w:right w:w="0" w:type="dxa"/>
        <w:bottom w:w="0" w:type="dxa"/>
      </w:tblCellMar>
    </w:tblPr>
  </w:style>
  <w:style w:type="table" w:styleId="1140" w:customStyle="1">
    <w:name w:val="Lined - Accent"/>
    <w:basedOn w:val="833"/>
    <w:uiPriority w:val="99"/>
    <w:qFormat/>
    <w:rPr>
      <w:rFonts w:cs="Arial"/>
      <w:color w:val="404040"/>
    </w:rPr>
    <w:tblPr>
      <w:tblCellMar>
        <w:left w:w="0" w:type="dxa"/>
        <w:top w:w="0" w:type="dxa"/>
        <w:right w:w="0" w:type="dxa"/>
        <w:bottom w:w="0" w:type="dxa"/>
      </w:tblCellMar>
    </w:tblPr>
  </w:style>
  <w:style w:type="table" w:styleId="1141" w:customStyle="1">
    <w:name w:val="Lined - Accent 1"/>
    <w:basedOn w:val="833"/>
    <w:uiPriority w:val="99"/>
    <w:qFormat/>
    <w:rPr>
      <w:rFonts w:cs="Arial"/>
      <w:color w:val="404040"/>
    </w:rPr>
    <w:tblPr>
      <w:tblCellMar>
        <w:left w:w="0" w:type="dxa"/>
        <w:top w:w="0" w:type="dxa"/>
        <w:right w:w="0" w:type="dxa"/>
        <w:bottom w:w="0" w:type="dxa"/>
      </w:tblCellMar>
    </w:tblPr>
  </w:style>
  <w:style w:type="table" w:styleId="1142" w:customStyle="1">
    <w:name w:val="Lined - Accent 2"/>
    <w:basedOn w:val="833"/>
    <w:uiPriority w:val="99"/>
    <w:qFormat/>
    <w:rPr>
      <w:rFonts w:cs="Arial"/>
      <w:color w:val="404040"/>
    </w:rPr>
    <w:tblPr>
      <w:tblCellMar>
        <w:left w:w="0" w:type="dxa"/>
        <w:top w:w="0" w:type="dxa"/>
        <w:right w:w="0" w:type="dxa"/>
        <w:bottom w:w="0" w:type="dxa"/>
      </w:tblCellMar>
    </w:tblPr>
  </w:style>
  <w:style w:type="table" w:styleId="1143" w:customStyle="1">
    <w:name w:val="Lined - Accent 3"/>
    <w:basedOn w:val="833"/>
    <w:uiPriority w:val="99"/>
    <w:qFormat/>
    <w:rPr>
      <w:rFonts w:cs="Arial"/>
      <w:color w:val="404040"/>
    </w:rPr>
    <w:tblPr>
      <w:tblCellMar>
        <w:left w:w="0" w:type="dxa"/>
        <w:top w:w="0" w:type="dxa"/>
        <w:right w:w="0" w:type="dxa"/>
        <w:bottom w:w="0" w:type="dxa"/>
      </w:tblCellMar>
    </w:tblPr>
  </w:style>
  <w:style w:type="table" w:styleId="1144" w:customStyle="1">
    <w:name w:val="Lined - Accent 4"/>
    <w:basedOn w:val="833"/>
    <w:uiPriority w:val="99"/>
    <w:qFormat/>
    <w:rPr>
      <w:rFonts w:cs="Arial"/>
      <w:color w:val="404040"/>
    </w:rPr>
    <w:tblPr>
      <w:tblCellMar>
        <w:left w:w="0" w:type="dxa"/>
        <w:top w:w="0" w:type="dxa"/>
        <w:right w:w="0" w:type="dxa"/>
        <w:bottom w:w="0" w:type="dxa"/>
      </w:tblCellMar>
    </w:tblPr>
  </w:style>
  <w:style w:type="table" w:styleId="1145" w:customStyle="1">
    <w:name w:val="Lined - Accent 5"/>
    <w:basedOn w:val="833"/>
    <w:uiPriority w:val="99"/>
    <w:qFormat/>
    <w:rPr>
      <w:rFonts w:cs="Arial"/>
      <w:color w:val="404040"/>
    </w:rPr>
    <w:tblPr>
      <w:tblCellMar>
        <w:left w:w="0" w:type="dxa"/>
        <w:top w:w="0" w:type="dxa"/>
        <w:right w:w="0" w:type="dxa"/>
        <w:bottom w:w="0" w:type="dxa"/>
      </w:tblCellMar>
    </w:tblPr>
  </w:style>
  <w:style w:type="table" w:styleId="1146" w:customStyle="1">
    <w:name w:val="Lined - Accent 6"/>
    <w:basedOn w:val="833"/>
    <w:uiPriority w:val="99"/>
    <w:qFormat/>
    <w:rPr>
      <w:rFonts w:cs="Arial"/>
      <w:color w:val="404040"/>
    </w:rPr>
    <w:tblPr>
      <w:tblCellMar>
        <w:left w:w="0" w:type="dxa"/>
        <w:top w:w="0" w:type="dxa"/>
        <w:right w:w="0" w:type="dxa"/>
        <w:bottom w:w="0" w:type="dxa"/>
      </w:tblCellMar>
    </w:tblPr>
  </w:style>
  <w:style w:type="table" w:styleId="1147" w:customStyle="1">
    <w:name w:val="Bordered &amp; Lined - Accent"/>
    <w:basedOn w:val="833"/>
    <w:uiPriority w:val="99"/>
    <w:qFormat/>
    <w:rPr>
      <w:rFonts w:cs="Arial"/>
      <w:color w:val="404040"/>
    </w:rPr>
    <w:tblPr>
      <w:tblCellMar>
        <w:left w:w="0" w:type="dxa"/>
        <w:top w:w="0" w:type="dxa"/>
        <w:right w:w="0" w:type="dxa"/>
        <w:bottom w:w="0" w:type="dxa"/>
      </w:tblCellMar>
    </w:tblPr>
  </w:style>
  <w:style w:type="table" w:styleId="1148" w:customStyle="1">
    <w:name w:val="Bordered &amp; Lined - Accent 1"/>
    <w:basedOn w:val="833"/>
    <w:uiPriority w:val="99"/>
    <w:qFormat/>
    <w:rPr>
      <w:rFonts w:cs="Arial"/>
      <w:color w:val="404040"/>
    </w:rPr>
    <w:tblPr>
      <w:tblCellMar>
        <w:left w:w="0" w:type="dxa"/>
        <w:top w:w="0" w:type="dxa"/>
        <w:right w:w="0" w:type="dxa"/>
        <w:bottom w:w="0" w:type="dxa"/>
      </w:tblCellMar>
    </w:tblPr>
  </w:style>
  <w:style w:type="table" w:styleId="1149" w:customStyle="1">
    <w:name w:val="Bordered &amp; Lined - Accent 2"/>
    <w:basedOn w:val="833"/>
    <w:uiPriority w:val="99"/>
    <w:qFormat/>
    <w:rPr>
      <w:rFonts w:cs="Arial"/>
      <w:color w:val="404040"/>
    </w:rPr>
    <w:tblPr>
      <w:tblCellMar>
        <w:left w:w="0" w:type="dxa"/>
        <w:top w:w="0" w:type="dxa"/>
        <w:right w:w="0" w:type="dxa"/>
        <w:bottom w:w="0" w:type="dxa"/>
      </w:tblCellMar>
    </w:tblPr>
  </w:style>
  <w:style w:type="table" w:styleId="1150" w:customStyle="1">
    <w:name w:val="Bordered &amp; Lined - Accent 3"/>
    <w:basedOn w:val="833"/>
    <w:uiPriority w:val="99"/>
    <w:qFormat/>
    <w:rPr>
      <w:rFonts w:cs="Arial"/>
      <w:color w:val="404040"/>
    </w:rPr>
    <w:tblPr>
      <w:tblCellMar>
        <w:left w:w="0" w:type="dxa"/>
        <w:top w:w="0" w:type="dxa"/>
        <w:right w:w="0" w:type="dxa"/>
        <w:bottom w:w="0" w:type="dxa"/>
      </w:tblCellMar>
    </w:tblPr>
  </w:style>
  <w:style w:type="table" w:styleId="1151" w:customStyle="1">
    <w:name w:val="Bordered &amp; Lined - Accent 4"/>
    <w:basedOn w:val="833"/>
    <w:uiPriority w:val="99"/>
    <w:qFormat/>
    <w:rPr>
      <w:rFonts w:cs="Arial"/>
      <w:color w:val="404040"/>
    </w:rPr>
    <w:tblPr>
      <w:tblCellMar>
        <w:left w:w="0" w:type="dxa"/>
        <w:top w:w="0" w:type="dxa"/>
        <w:right w:w="0" w:type="dxa"/>
        <w:bottom w:w="0" w:type="dxa"/>
      </w:tblCellMar>
    </w:tblPr>
  </w:style>
  <w:style w:type="table" w:styleId="1152" w:customStyle="1">
    <w:name w:val="Bordered &amp; Lined - Accent 5"/>
    <w:basedOn w:val="833"/>
    <w:uiPriority w:val="99"/>
    <w:qFormat/>
    <w:rPr>
      <w:rFonts w:cs="Arial"/>
      <w:color w:val="404040"/>
    </w:rPr>
    <w:tblPr>
      <w:tblCellMar>
        <w:left w:w="0" w:type="dxa"/>
        <w:top w:w="0" w:type="dxa"/>
        <w:right w:w="0" w:type="dxa"/>
        <w:bottom w:w="0" w:type="dxa"/>
      </w:tblCellMar>
    </w:tblPr>
  </w:style>
  <w:style w:type="table" w:styleId="1153" w:customStyle="1">
    <w:name w:val="Bordered &amp; Lined - Accent 6"/>
    <w:basedOn w:val="833"/>
    <w:uiPriority w:val="99"/>
    <w:qFormat/>
    <w:rPr>
      <w:rFonts w:cs="Arial"/>
      <w:color w:val="404040"/>
    </w:rPr>
    <w:tblPr>
      <w:tblCellMar>
        <w:left w:w="0" w:type="dxa"/>
        <w:top w:w="0" w:type="dxa"/>
        <w:right w:w="0" w:type="dxa"/>
        <w:bottom w:w="0" w:type="dxa"/>
      </w:tblCellMar>
    </w:tblPr>
  </w:style>
  <w:style w:type="table" w:styleId="1154" w:customStyle="1">
    <w:name w:val="Bordered"/>
    <w:basedOn w:val="833"/>
    <w:uiPriority w:val="99"/>
    <w:qFormat/>
    <w:rPr>
      <w:rFonts w:cs="Arial"/>
    </w:rPr>
    <w:tblPr>
      <w:tblCellMar>
        <w:left w:w="0" w:type="dxa"/>
        <w:top w:w="0" w:type="dxa"/>
        <w:right w:w="0" w:type="dxa"/>
        <w:bottom w:w="0" w:type="dxa"/>
      </w:tblCellMar>
    </w:tblPr>
  </w:style>
  <w:style w:type="table" w:styleId="1155" w:customStyle="1">
    <w:name w:val="Bordered - Accent 1"/>
    <w:basedOn w:val="833"/>
    <w:uiPriority w:val="99"/>
    <w:qFormat/>
    <w:rPr>
      <w:rFonts w:cs="Arial"/>
    </w:rPr>
    <w:tblPr>
      <w:tblCellMar>
        <w:left w:w="0" w:type="dxa"/>
        <w:top w:w="0" w:type="dxa"/>
        <w:right w:w="0" w:type="dxa"/>
        <w:bottom w:w="0" w:type="dxa"/>
      </w:tblCellMar>
    </w:tblPr>
  </w:style>
  <w:style w:type="table" w:styleId="1156" w:customStyle="1">
    <w:name w:val="Bordered - Accent 2"/>
    <w:basedOn w:val="833"/>
    <w:uiPriority w:val="99"/>
    <w:qFormat/>
    <w:rPr>
      <w:rFonts w:cs="Arial"/>
    </w:rPr>
    <w:tblPr>
      <w:tblCellMar>
        <w:left w:w="0" w:type="dxa"/>
        <w:top w:w="0" w:type="dxa"/>
        <w:right w:w="0" w:type="dxa"/>
        <w:bottom w:w="0" w:type="dxa"/>
      </w:tblCellMar>
    </w:tblPr>
  </w:style>
  <w:style w:type="table" w:styleId="1157" w:customStyle="1">
    <w:name w:val="Bordered - Accent 3"/>
    <w:basedOn w:val="833"/>
    <w:uiPriority w:val="99"/>
    <w:qFormat/>
    <w:rPr>
      <w:rFonts w:cs="Arial"/>
    </w:rPr>
    <w:tblPr>
      <w:tblCellMar>
        <w:left w:w="0" w:type="dxa"/>
        <w:top w:w="0" w:type="dxa"/>
        <w:right w:w="0" w:type="dxa"/>
        <w:bottom w:w="0" w:type="dxa"/>
      </w:tblCellMar>
    </w:tblPr>
  </w:style>
  <w:style w:type="table" w:styleId="1158" w:customStyle="1">
    <w:name w:val="Bordered - Accent 4"/>
    <w:basedOn w:val="833"/>
    <w:uiPriority w:val="99"/>
    <w:qFormat/>
    <w:rPr>
      <w:rFonts w:cs="Arial"/>
    </w:rPr>
    <w:tblPr>
      <w:tblCellMar>
        <w:left w:w="0" w:type="dxa"/>
        <w:top w:w="0" w:type="dxa"/>
        <w:right w:w="0" w:type="dxa"/>
        <w:bottom w:w="0" w:type="dxa"/>
      </w:tblCellMar>
    </w:tblPr>
  </w:style>
  <w:style w:type="table" w:styleId="1159" w:customStyle="1">
    <w:name w:val="Bordered - Accent 5"/>
    <w:basedOn w:val="833"/>
    <w:uiPriority w:val="99"/>
    <w:qFormat/>
    <w:rPr>
      <w:rFonts w:cs="Arial"/>
    </w:rPr>
    <w:tblPr>
      <w:tblCellMar>
        <w:left w:w="0" w:type="dxa"/>
        <w:top w:w="0" w:type="dxa"/>
        <w:right w:w="0" w:type="dxa"/>
        <w:bottom w:w="0" w:type="dxa"/>
      </w:tblCellMar>
    </w:tblPr>
  </w:style>
  <w:style w:type="table" w:styleId="1160" w:customStyle="1">
    <w:name w:val="Bordered - Accent 6"/>
    <w:basedOn w:val="833"/>
    <w:uiPriority w:val="99"/>
    <w:qFormat/>
    <w:rPr>
      <w:rFonts w:cs="Arial"/>
    </w:rPr>
    <w:tblPr>
      <w:tblCellMar>
        <w:left w:w="0" w:type="dxa"/>
        <w:top w:w="0" w:type="dxa"/>
        <w:right w:w="0" w:type="dxa"/>
        <w:bottom w:w="0" w:type="dxa"/>
      </w:tblCellMar>
    </w:tblPr>
  </w:style>
  <w:style w:type="paragraph" w:styleId="1161" w:customStyle="1">
    <w:name w:val="TOC 标题11"/>
    <w:uiPriority w:val="39"/>
    <w:unhideWhenUsed/>
    <w:qFormat/>
    <w:pPr>
      <w:spacing w:after="200" w:line="276" w:lineRule="auto"/>
    </w:pPr>
    <w:rPr>
      <w:rFonts w:ascii="Calibri" w:hAnsi="Calibri" w:eastAsia="宋体" w:cs="Arial"/>
      <w:sz w:val="22"/>
      <w:szCs w:val="22"/>
      <w:lang w:val="en-US" w:eastAsia="zh-CN" w:bidi="ar-SA"/>
    </w:rPr>
  </w:style>
  <w:style w:type="character" w:styleId="1162" w:customStyle="1">
    <w:name w:val="正文首行缩进 Char2"/>
    <w:uiPriority w:val="99"/>
    <w:semiHidden/>
    <w:qFormat/>
    <w:rPr>
      <w:rFonts w:ascii="方正楷体_GB2312" w:hAnsi="Arial" w:eastAsia="方正楷体_GB2312"/>
      <w:sz w:val="28"/>
      <w:szCs w:val="28"/>
    </w:rPr>
  </w:style>
  <w:style w:type="character" w:styleId="1163" w:customStyle="1">
    <w:name w:val="正文文本 Char1"/>
    <w:uiPriority w:val="99"/>
    <w:qFormat/>
    <w:rPr>
      <w:rFonts w:ascii="方正楷体_GB2312" w:hAnsi="Arial" w:eastAsia="方正楷体_GB2312"/>
      <w:sz w:val="28"/>
      <w:szCs w:val="28"/>
    </w:rPr>
  </w:style>
  <w:style w:type="character" w:styleId="1164" w:customStyle="1">
    <w:name w:val="一级条标题 Char"/>
    <w:uiPriority w:val="0"/>
    <w:qFormat/>
    <w:rPr>
      <w:rFonts w:eastAsia="黑体"/>
      <w:sz w:val="21"/>
      <w:lang w:val="en-US" w:eastAsia="zh-CN" w:bidi="ar-SA"/>
    </w:rPr>
  </w:style>
  <w:style w:type="character" w:styleId="1165" w:customStyle="1">
    <w:name w:val="Char Char"/>
    <w:uiPriority w:val="0"/>
    <w:qFormat/>
    <w:rPr>
      <w:rFonts w:ascii="方正仿宋_GB2312" w:hAnsi="华文楷体" w:eastAsia="方正仿宋_GB2312"/>
      <w:b/>
      <w:sz w:val="28"/>
      <w:lang w:val="en-US" w:eastAsia="zh-CN" w:bidi="ar-SA"/>
    </w:rPr>
  </w:style>
  <w:style w:type="character" w:styleId="1166" w:customStyle="1">
    <w:name w:val="批注主题 Char1"/>
    <w:uiPriority w:val="99"/>
    <w:semiHidden/>
    <w:qFormat/>
    <w:rPr>
      <w:rFonts w:ascii="Times New Roman" w:hAnsi="Times New Roman" w:eastAsia="宋体" w:cs="Times New Roman"/>
      <w:sz w:val="21"/>
      <w:szCs w:val="24"/>
      <w:lang w:eastAsia="zh-CN" w:bidi="ar-SA"/>
    </w:rPr>
  </w:style>
  <w:style w:type="character" w:styleId="1167" w:customStyle="1">
    <w:name w:val="批注文字 Char1"/>
    <w:uiPriority w:val="99"/>
    <w:semiHidden/>
    <w:qFormat/>
    <w:rPr>
      <w:rFonts w:ascii="Times New Roman" w:hAnsi="Times New Roman" w:eastAsia="宋体" w:cs="Times New Roman"/>
      <w:sz w:val="21"/>
      <w:szCs w:val="24"/>
      <w:lang w:eastAsia="zh-CN" w:bidi="ar-SA"/>
    </w:rPr>
  </w:style>
  <w:style w:type="character" w:styleId="1168" w:customStyle="1">
    <w:name w:val="10"/>
    <w:uiPriority w:val="99"/>
    <w:qFormat/>
    <w:rPr>
      <w:rFonts w:ascii="Tahoma" w:hAnsi="Tahoma" w:cs="Tahoma"/>
      <w:sz w:val="24"/>
      <w:szCs w:val="24"/>
    </w:rPr>
  </w:style>
  <w:style w:type="character" w:styleId="1169" w:customStyle="1">
    <w:name w:val="15"/>
    <w:uiPriority w:val="99"/>
    <w:qFormat/>
    <w:rPr>
      <w:rFonts w:ascii="Tahoma" w:hAnsi="Tahoma" w:cs="Tahoma"/>
      <w:sz w:val="24"/>
      <w:szCs w:val="24"/>
    </w:rPr>
  </w:style>
  <w:style w:type="character" w:styleId="1170" w:customStyle="1">
    <w:name w:val="二级条标题 Char"/>
    <w:uiPriority w:val="0"/>
    <w:qFormat/>
    <w:rPr>
      <w:rFonts w:eastAsia="黑体"/>
      <w:sz w:val="21"/>
      <w:lang w:val="en-US" w:eastAsia="zh-CN" w:bidi="ar-SA"/>
    </w:rPr>
  </w:style>
  <w:style w:type="character" w:styleId="1171" w:customStyle="1">
    <w:name w:val="不明显强调1"/>
    <w:uiPriority w:val="19"/>
    <w:qFormat/>
    <w:rPr>
      <w:i/>
      <w:iCs/>
      <w:color w:val="808080"/>
    </w:rPr>
  </w:style>
  <w:style w:type="character" w:styleId="1172" w:customStyle="1">
    <w:name w:val="Char Char2"/>
    <w:uiPriority w:val="0"/>
    <w:qFormat/>
    <w:rPr>
      <w:rFonts w:eastAsia="宋体"/>
      <w:sz w:val="21"/>
      <w:lang w:val="en-US" w:eastAsia="zh-CN" w:bidi="ar-SA"/>
    </w:rPr>
  </w:style>
  <w:style w:type="character" w:styleId="1173" w:customStyle="1">
    <w:name w:val="副标题 Char1"/>
    <w:uiPriority w:val="0"/>
    <w:qFormat/>
    <w:rPr>
      <w:rFonts w:ascii="Cambria" w:hAnsi="Cambria" w:cs="Times New Roman"/>
      <w:b/>
      <w:bCs/>
      <w:sz w:val="32"/>
      <w:szCs w:val="32"/>
    </w:rPr>
  </w:style>
  <w:style w:type="character" w:styleId="1174" w:customStyle="1">
    <w:name w:val="三级条标题 Char"/>
    <w:uiPriority w:val="0"/>
    <w:qFormat/>
    <w:rPr>
      <w:rFonts w:eastAsia="黑体"/>
      <w:sz w:val="21"/>
      <w:lang w:val="en-US" w:eastAsia="zh-CN" w:bidi="ar-SA"/>
    </w:rPr>
  </w:style>
  <w:style w:type="character" w:styleId="1175" w:customStyle="1">
    <w:name w:val="标题 Char1"/>
    <w:uiPriority w:val="0"/>
    <w:qFormat/>
    <w:rPr>
      <w:rFonts w:ascii="Cambria" w:hAnsi="Cambria" w:cs="Times New Roman"/>
      <w:b/>
      <w:bCs/>
      <w:sz w:val="32"/>
      <w:szCs w:val="32"/>
    </w:rPr>
  </w:style>
  <w:style w:type="character" w:styleId="1176" w:customStyle="1">
    <w:name w:val="明显引用 Char1"/>
    <w:uiPriority w:val="30"/>
    <w:qFormat/>
    <w:rPr>
      <w:b/>
      <w:bCs/>
      <w:i/>
      <w:iCs/>
      <w:color w:val="4f81bd"/>
      <w:sz w:val="21"/>
      <w:szCs w:val="21"/>
    </w:rPr>
  </w:style>
  <w:style w:type="character" w:styleId="1177" w:customStyle="1">
    <w:name w:val="引用 Char1"/>
    <w:uiPriority w:val="29"/>
    <w:qFormat/>
    <w:rPr>
      <w:i/>
      <w:iCs/>
      <w:color w:val="000000"/>
      <w:sz w:val="21"/>
      <w:szCs w:val="21"/>
    </w:rPr>
  </w:style>
  <w:style w:type="character" w:styleId="1178" w:customStyle="1">
    <w:name w:val="不明显参考1"/>
    <w:uiPriority w:val="31"/>
    <w:qFormat/>
    <w:rPr>
      <w:smallCaps/>
      <w:color w:val="c0504d"/>
      <w:u w:val="single"/>
    </w:rPr>
  </w:style>
  <w:style w:type="character" w:styleId="1179" w:customStyle="1">
    <w:name w:val="明显参考1"/>
    <w:uiPriority w:val="32"/>
    <w:qFormat/>
    <w:rPr>
      <w:b/>
      <w:bCs/>
      <w:smallCaps/>
      <w:color w:val="c0504d"/>
      <w:spacing w:val="5"/>
      <w:u w:val="single"/>
    </w:rPr>
  </w:style>
  <w:style w:type="character" w:styleId="1180" w:customStyle="1">
    <w:name w:val="Char Char3"/>
    <w:uiPriority w:val="0"/>
    <w:qFormat/>
    <w:rPr>
      <w:rFonts w:ascii="Arial" w:hAnsi="Arial" w:eastAsia="黑体"/>
      <w:b/>
      <w:sz w:val="32"/>
      <w:lang w:val="en-US" w:eastAsia="zh-CN" w:bidi="ar-SA"/>
    </w:rPr>
  </w:style>
  <w:style w:type="character" w:styleId="1181" w:customStyle="1">
    <w:name w:val="书籍标题1"/>
    <w:uiPriority w:val="33"/>
    <w:qFormat/>
    <w:rPr>
      <w:b/>
      <w:bCs/>
      <w:smallCaps/>
      <w:spacing w:val="5"/>
    </w:rPr>
  </w:style>
  <w:style w:type="character" w:styleId="1182" w:customStyle="1">
    <w:name w:val="明显强调1"/>
    <w:uiPriority w:val="21"/>
    <w:qFormat/>
    <w:rPr>
      <w:b/>
      <w:bCs/>
      <w:i/>
      <w:iCs/>
      <w:color w:val="4f81bd"/>
    </w:rPr>
  </w:style>
  <w:style w:type="paragraph" w:styleId="1183" w:customStyle="1">
    <w:name w:val="_Style 86"/>
    <w:basedOn w:val="762"/>
    <w:next w:val="762"/>
    <w:uiPriority w:val="0"/>
    <w:qFormat/>
    <w:pPr>
      <w:ind w:left="630"/>
      <w:jc w:val="left"/>
    </w:pPr>
  </w:style>
  <w:style w:type="character" w:styleId="1184" w:customStyle="1">
    <w:name w:val="正文文本缩进 2 Char1"/>
    <w:uiPriority w:val="99"/>
    <w:semiHidden/>
    <w:qFormat/>
    <w:rPr>
      <w:rFonts w:ascii="Calibri" w:hAnsi="Calibri" w:eastAsia="宋体" w:cs="Times New Roman"/>
      <w:szCs w:val="21"/>
    </w:rPr>
  </w:style>
  <w:style w:type="character" w:styleId="1185" w:customStyle="1">
    <w:name w:val="文档结构图 Char1"/>
    <w:uiPriority w:val="99"/>
    <w:semiHidden/>
    <w:qFormat/>
    <w:rPr>
      <w:rFonts w:ascii="宋体" w:hAnsi="Calibri" w:eastAsia="宋体" w:cs="Times New Roman"/>
      <w:sz w:val="18"/>
      <w:szCs w:val="18"/>
    </w:rPr>
  </w:style>
  <w:style w:type="paragraph" w:styleId="1186" w:customStyle="1">
    <w:name w:val="_Style 51"/>
    <w:next w:val="762"/>
    <w:uiPriority w:val="99"/>
    <w:qFormat/>
    <w:pPr>
      <w:jc w:val="both"/>
      <w:widowControl w:val="off"/>
    </w:pPr>
    <w:rPr>
      <w:rFonts w:ascii="Calibri" w:hAnsi="Calibri" w:eastAsia="宋体" w:cs="Times New Roman"/>
      <w:sz w:val="21"/>
      <w:szCs w:val="21"/>
      <w:lang w:val="en-US" w:eastAsia="zh-CN" w:bidi="ar-SA"/>
    </w:rPr>
  </w:style>
  <w:style w:type="character" w:styleId="1187" w:customStyle="1">
    <w:name w:val="正文文本 3 Char1"/>
    <w:uiPriority w:val="99"/>
    <w:semiHidden/>
    <w:qFormat/>
    <w:rPr>
      <w:rFonts w:ascii="Calibri" w:hAnsi="Calibri" w:eastAsia="宋体" w:cs="Times New Roman"/>
      <w:sz w:val="16"/>
      <w:szCs w:val="16"/>
    </w:rPr>
  </w:style>
  <w:style w:type="paragraph" w:styleId="1188" w:customStyle="1">
    <w:name w:val="一级条标题"/>
    <w:next w:val="1018"/>
    <w:uiPriority w:val="0"/>
    <w:qFormat/>
    <w:pPr>
      <w:ind w:left="480" w:hanging="480"/>
      <w:tabs>
        <w:tab w:val="left" w:pos="360" w:leader="none"/>
        <w:tab w:val="left" w:pos="480" w:leader="none"/>
      </w:tabs>
      <w:outlineLvl w:val="2"/>
    </w:pPr>
    <w:rPr>
      <w:rFonts w:ascii="Times New Roman" w:hAnsi="Times New Roman" w:eastAsia="黑体" w:cs="Times New Roman"/>
      <w:sz w:val="21"/>
      <w:lang w:val="en-US" w:eastAsia="zh-CN" w:bidi="ar-SA"/>
    </w:rPr>
  </w:style>
  <w:style w:type="character" w:styleId="1189" w:customStyle="1">
    <w:name w:val="批注文字 字符1"/>
    <w:uiPriority w:val="0"/>
    <w:qFormat/>
    <w:rPr>
      <w:rFonts w:ascii="Calibri" w:hAnsi="Calibri" w:eastAsia="宋体" w:cs="Times New Roman"/>
      <w:sz w:val="21"/>
      <w:szCs w:val="21"/>
      <w:lang w:eastAsia="zh-CN"/>
    </w:rPr>
  </w:style>
  <w:style w:type="character" w:styleId="1190" w:customStyle="1">
    <w:name w:val="正文文本缩进 Char1"/>
    <w:uiPriority w:val="99"/>
    <w:semiHidden/>
    <w:qFormat/>
    <w:rPr>
      <w:rFonts w:ascii="Calibri" w:hAnsi="Calibri" w:eastAsia="宋体" w:cs="Times New Roman"/>
      <w:szCs w:val="21"/>
    </w:rPr>
  </w:style>
  <w:style w:type="paragraph" w:styleId="1191" w:customStyle="1">
    <w:name w:val="p0"/>
    <w:basedOn w:val="762"/>
    <w:uiPriority w:val="0"/>
    <w:qFormat/>
    <w:pPr>
      <w:widowControl/>
    </w:pPr>
  </w:style>
  <w:style w:type="paragraph" w:styleId="1192"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193" w:customStyle="1">
    <w:name w:val="Char1"/>
    <w:basedOn w:val="762"/>
    <w:uiPriority w:val="0"/>
    <w:qFormat/>
    <w:pPr>
      <w:ind w:firstLine="200"/>
      <w:tabs>
        <w:tab w:val="left" w:pos="360" w:leader="none"/>
      </w:tabs>
    </w:pPr>
    <w:rPr>
      <w:rFonts w:ascii="Calibri" w:hAnsi="Calibri"/>
      <w:sz w:val="28"/>
      <w:szCs w:val="30"/>
    </w:rPr>
  </w:style>
  <w:style w:type="paragraph" w:styleId="1194" w:customStyle="1">
    <w:name w:val="Char Char Char Char Char Char Char Char Char Char11"/>
    <w:basedOn w:val="762"/>
    <w:uiPriority w:val="0"/>
    <w:qFormat/>
    <w:pPr>
      <w:spacing w:line="360" w:lineRule="auto"/>
    </w:pPr>
    <w:rPr>
      <w:sz w:val="24"/>
      <w:szCs w:val="20"/>
    </w:rPr>
  </w:style>
  <w:style w:type="paragraph" w:styleId="1195" w:customStyle="1">
    <w:name w:val="_Style 63"/>
    <w:next w:val="762"/>
    <w:uiPriority w:val="99"/>
    <w:qFormat/>
    <w:pPr>
      <w:jc w:val="both"/>
      <w:widowControl w:val="off"/>
    </w:pPr>
    <w:rPr>
      <w:rFonts w:ascii="Calibri" w:hAnsi="Calibri" w:eastAsia="宋体" w:cs="Times New Roman"/>
      <w:sz w:val="21"/>
      <w:szCs w:val="21"/>
      <w:lang w:val="en-US" w:eastAsia="zh-CN" w:bidi="ar-SA"/>
    </w:rPr>
  </w:style>
  <w:style w:type="paragraph" w:styleId="1196" w:customStyle="1">
    <w:name w:val="p15"/>
    <w:basedOn w:val="762"/>
    <w:uiPriority w:val="99"/>
    <w:qFormat/>
    <w:pPr>
      <w:ind w:left="992" w:hanging="567"/>
      <w:widowControl/>
    </w:pPr>
    <w:rPr>
      <w:rFonts w:ascii="黑体" w:hAnsi="黑体" w:eastAsia="黑体" w:cs="黑体"/>
      <w:b/>
      <w:bCs/>
      <w:sz w:val="28"/>
      <w:szCs w:val="28"/>
    </w:rPr>
  </w:style>
  <w:style w:type="paragraph" w:styleId="1197" w:customStyle="1">
    <w:name w:val="三级条带序号我的标题"/>
    <w:basedOn w:val="762"/>
    <w:uiPriority w:val="0"/>
    <w:qFormat/>
    <w:pPr>
      <w:numPr>
        <w:ilvl w:val="0"/>
        <w:numId w:val="3"/>
      </w:numPr>
      <w:outlineLvl w:val="2"/>
    </w:pPr>
    <w:rPr>
      <w:rFonts w:ascii="黑体" w:hAnsi="黑体" w:eastAsia="黑体"/>
      <w:b/>
      <w:sz w:val="28"/>
      <w:szCs w:val="28"/>
    </w:rPr>
  </w:style>
  <w:style w:type="paragraph" w:styleId="1198" w:customStyle="1">
    <w:name w:val="_Style 25"/>
    <w:next w:val="762"/>
    <w:uiPriority w:val="99"/>
    <w:qFormat/>
    <w:pPr>
      <w:jc w:val="both"/>
      <w:widowControl w:val="off"/>
    </w:pPr>
    <w:rPr>
      <w:rFonts w:ascii="Calibri" w:hAnsi="Calibri" w:eastAsia="宋体" w:cs="Times New Roman"/>
      <w:sz w:val="21"/>
      <w:szCs w:val="21"/>
      <w:lang w:val="en-US" w:eastAsia="zh-CN" w:bidi="ar-SA"/>
    </w:rPr>
  </w:style>
  <w:style w:type="paragraph" w:styleId="1199" w:customStyle="1">
    <w:name w:val="二级带序号我的标题"/>
    <w:basedOn w:val="762"/>
    <w:uiPriority w:val="0"/>
    <w:qFormat/>
    <w:pPr>
      <w:ind w:left="709" w:hanging="709"/>
      <w:jc w:val="left"/>
      <w:tabs>
        <w:tab w:val="left" w:pos="709" w:leader="none"/>
      </w:tabs>
      <w:outlineLvl w:val="1"/>
    </w:pPr>
    <w:rPr>
      <w:b/>
      <w:sz w:val="28"/>
      <w:szCs w:val="28"/>
    </w:rPr>
  </w:style>
  <w:style w:type="paragraph" w:styleId="1200" w:customStyle="1">
    <w:name w:val="封面标准文稿编辑信息"/>
    <w:uiPriority w:val="0"/>
    <w:qFormat/>
    <w:pPr>
      <w:ind w:hanging="480"/>
      <w:jc w:val="center"/>
      <w:spacing w:before="180" w:line="180" w:lineRule="exact"/>
      <w:tabs>
        <w:tab w:val="left" w:pos="480" w:leader="none"/>
      </w:tabs>
    </w:pPr>
    <w:rPr>
      <w:rFonts w:ascii="宋体" w:hAnsi="Times New Roman" w:eastAsia="宋体" w:cs="Times New Roman"/>
      <w:sz w:val="21"/>
      <w:lang w:val="en-US" w:eastAsia="zh-CN" w:bidi="ar-SA"/>
    </w:rPr>
  </w:style>
  <w:style w:type="paragraph" w:styleId="1201" w:customStyle="1">
    <w:name w:val="三级条我的分类标题"/>
    <w:basedOn w:val="762"/>
    <w:uiPriority w:val="0"/>
    <w:qFormat/>
    <w:rPr>
      <w:rFonts w:ascii="黑体" w:hAnsi="黑体" w:eastAsia="黑体"/>
      <w:b/>
      <w:sz w:val="28"/>
      <w:szCs w:val="28"/>
    </w:rPr>
  </w:style>
  <w:style w:type="paragraph" w:styleId="1202" w:customStyle="1">
    <w:name w:val="Char Char Char Char Char Char Char Char1"/>
    <w:basedOn w:val="762"/>
    <w:uiPriority w:val="0"/>
    <w:qFormat/>
    <w:pPr>
      <w:jc w:val="left"/>
      <w:spacing w:after="160" w:line="240" w:lineRule="exact"/>
      <w:widowControl/>
    </w:pPr>
    <w:rPr>
      <w:rFonts w:ascii="Verdana" w:hAnsi="Verdana"/>
      <w:sz w:val="20"/>
      <w:szCs w:val="20"/>
    </w:rPr>
  </w:style>
  <w:style w:type="paragraph" w:styleId="1203" w:customStyle="1">
    <w:name w:val="三级条我的分类标题2"/>
    <w:basedOn w:val="1201"/>
    <w:uiPriority w:val="0"/>
    <w:qFormat/>
  </w:style>
  <w:style w:type="paragraph" w:styleId="1204" w:customStyle="1">
    <w:name w:val="样式"/>
    <w:uiPriority w:val="99"/>
    <w:qFormat/>
    <w:pPr>
      <w:jc w:val="both"/>
      <w:widowControl w:val="off"/>
    </w:pPr>
    <w:rPr>
      <w:rFonts w:ascii="Times New Roman" w:hAnsi="Times New Roman" w:eastAsia="宋体" w:cs="Times New Roman"/>
      <w:sz w:val="21"/>
      <w:szCs w:val="21"/>
      <w:lang w:val="en-US" w:eastAsia="zh-CN" w:bidi="ar-SA"/>
    </w:rPr>
  </w:style>
  <w:style w:type="paragraph" w:styleId="1205" w:customStyle="1">
    <w:name w:val="Char Char Char Char1"/>
    <w:basedOn w:val="846"/>
    <w:uiPriority w:val="0"/>
    <w:qFormat/>
    <w:pPr>
      <w:spacing w:line="360" w:lineRule="auto"/>
    </w:pPr>
    <w:rPr>
      <w:rFonts w:ascii="Tahoma" w:hAnsi="Tahoma" w:cs="Arial"/>
      <w:sz w:val="24"/>
      <w:szCs w:val="24"/>
    </w:rPr>
  </w:style>
  <w:style w:type="character" w:styleId="1206" w:customStyle="1">
    <w:name w:val="正文文本 字符1"/>
    <w:uiPriority w:val="0"/>
    <w:qFormat/>
    <w:rPr>
      <w:rFonts w:ascii="方正楷体_GB2312" w:hAnsi="Arial" w:eastAsia="方正楷体_GB2312"/>
      <w:sz w:val="28"/>
      <w:szCs w:val="28"/>
    </w:rPr>
  </w:style>
  <w:style w:type="table" w:styleId="1207" w:customStyle="1">
    <w:name w:val="无格式表格 12"/>
    <w:basedOn w:val="833"/>
    <w:uiPriority w:val="59"/>
    <w:qFormat/>
    <w:rPr>
      <w:rFonts w:ascii="Times New Roman" w:hAnsi="Times New Roman"/>
    </w:rPr>
    <w:tblPr>
      <w:tblCellMar>
        <w:left w:w="0" w:type="dxa"/>
        <w:top w:w="0" w:type="dxa"/>
        <w:right w:w="0" w:type="dxa"/>
        <w:bottom w:w="0" w:type="dxa"/>
      </w:tblCellMar>
    </w:tblPr>
  </w:style>
  <w:style w:type="table" w:styleId="1208" w:customStyle="1">
    <w:name w:val="无格式表格 22"/>
    <w:basedOn w:val="833"/>
    <w:uiPriority w:val="59"/>
    <w:qFormat/>
    <w:rPr>
      <w:rFonts w:ascii="Times New Roman" w:hAnsi="Times New Roman"/>
    </w:rPr>
    <w:tblPr>
      <w:tblCellMar>
        <w:left w:w="0" w:type="dxa"/>
        <w:top w:w="0" w:type="dxa"/>
        <w:right w:w="0" w:type="dxa"/>
        <w:bottom w:w="0" w:type="dxa"/>
      </w:tblCellMar>
    </w:tblPr>
  </w:style>
  <w:style w:type="table" w:styleId="1209" w:customStyle="1">
    <w:name w:val="无格式表格 32"/>
    <w:basedOn w:val="833"/>
    <w:uiPriority w:val="99"/>
    <w:qFormat/>
    <w:rPr>
      <w:rFonts w:ascii="Times New Roman" w:hAnsi="Times New Roman"/>
    </w:rPr>
    <w:tblPr>
      <w:tblCellMar>
        <w:left w:w="0" w:type="dxa"/>
        <w:top w:w="0" w:type="dxa"/>
        <w:right w:w="0" w:type="dxa"/>
        <w:bottom w:w="0" w:type="dxa"/>
      </w:tblCellMar>
    </w:tblPr>
  </w:style>
  <w:style w:type="table" w:styleId="1210" w:customStyle="1">
    <w:name w:val="无格式表格 42"/>
    <w:basedOn w:val="833"/>
    <w:uiPriority w:val="99"/>
    <w:qFormat/>
    <w:rPr>
      <w:rFonts w:ascii="Times New Roman" w:hAnsi="Times New Roman"/>
    </w:rPr>
    <w:tblPr>
      <w:tblCellMar>
        <w:left w:w="0" w:type="dxa"/>
        <w:top w:w="0" w:type="dxa"/>
        <w:right w:w="0" w:type="dxa"/>
        <w:bottom w:w="0" w:type="dxa"/>
      </w:tblCellMar>
    </w:tblPr>
  </w:style>
  <w:style w:type="table" w:styleId="1211" w:customStyle="1">
    <w:name w:val="无格式表格 52"/>
    <w:basedOn w:val="833"/>
    <w:uiPriority w:val="99"/>
    <w:qFormat/>
    <w:rPr>
      <w:rFonts w:ascii="Times New Roman" w:hAnsi="Times New Roman"/>
    </w:rPr>
    <w:tblPr>
      <w:tblCellMar>
        <w:left w:w="0" w:type="dxa"/>
        <w:top w:w="0" w:type="dxa"/>
        <w:right w:w="0" w:type="dxa"/>
        <w:bottom w:w="0" w:type="dxa"/>
      </w:tblCellMar>
    </w:tblPr>
  </w:style>
  <w:style w:type="table" w:styleId="1212" w:customStyle="1">
    <w:name w:val="网格表 1 浅色2"/>
    <w:basedOn w:val="833"/>
    <w:uiPriority w:val="99"/>
    <w:qFormat/>
    <w:rPr>
      <w:rFonts w:ascii="Times New Roman" w:hAnsi="Times New Roman"/>
    </w:rPr>
    <w:tblPr>
      <w:tblCellMar>
        <w:left w:w="0" w:type="dxa"/>
        <w:top w:w="0" w:type="dxa"/>
        <w:right w:w="0" w:type="dxa"/>
        <w:bottom w:w="0" w:type="dxa"/>
      </w:tblCellMar>
    </w:tblPr>
  </w:style>
  <w:style w:type="table" w:styleId="1213" w:customStyle="1">
    <w:name w:val="网格表 22"/>
    <w:basedOn w:val="833"/>
    <w:uiPriority w:val="99"/>
    <w:qFormat/>
    <w:rPr>
      <w:rFonts w:ascii="Times New Roman" w:hAnsi="Times New Roman"/>
    </w:rPr>
    <w:tblPr>
      <w:tblCellMar>
        <w:left w:w="0" w:type="dxa"/>
        <w:top w:w="0" w:type="dxa"/>
        <w:right w:w="0" w:type="dxa"/>
        <w:bottom w:w="0" w:type="dxa"/>
      </w:tblCellMar>
    </w:tblPr>
  </w:style>
  <w:style w:type="table" w:styleId="1214" w:customStyle="1">
    <w:name w:val="网格表 32"/>
    <w:basedOn w:val="833"/>
    <w:uiPriority w:val="99"/>
    <w:qFormat/>
    <w:rPr>
      <w:rFonts w:ascii="Times New Roman" w:hAnsi="Times New Roman"/>
    </w:rPr>
    <w:tblPr>
      <w:tblCellMar>
        <w:left w:w="0" w:type="dxa"/>
        <w:top w:w="0" w:type="dxa"/>
        <w:right w:w="0" w:type="dxa"/>
        <w:bottom w:w="0" w:type="dxa"/>
      </w:tblCellMar>
    </w:tblPr>
  </w:style>
  <w:style w:type="table" w:styleId="1215" w:customStyle="1">
    <w:name w:val="网格表 42"/>
    <w:basedOn w:val="833"/>
    <w:uiPriority w:val="59"/>
    <w:qFormat/>
    <w:rPr>
      <w:rFonts w:ascii="Times New Roman" w:hAnsi="Times New Roman"/>
    </w:rPr>
    <w:tblPr>
      <w:tblCellMar>
        <w:left w:w="0" w:type="dxa"/>
        <w:top w:w="0" w:type="dxa"/>
        <w:right w:w="0" w:type="dxa"/>
        <w:bottom w:w="0" w:type="dxa"/>
      </w:tblCellMar>
    </w:tblPr>
  </w:style>
  <w:style w:type="table" w:styleId="1216" w:customStyle="1">
    <w:name w:val="网格表 5 深色2"/>
    <w:basedOn w:val="833"/>
    <w:uiPriority w:val="99"/>
    <w:qFormat/>
    <w:rPr>
      <w:rFonts w:ascii="Times New Roman" w:hAnsi="Times New Roman"/>
    </w:rPr>
    <w:tblPr>
      <w:tblCellMar>
        <w:left w:w="0" w:type="dxa"/>
        <w:top w:w="0" w:type="dxa"/>
        <w:right w:w="0" w:type="dxa"/>
        <w:bottom w:w="0" w:type="dxa"/>
      </w:tblCellMar>
    </w:tblPr>
  </w:style>
  <w:style w:type="table" w:styleId="1217" w:customStyle="1">
    <w:name w:val="网格表 6 彩色2"/>
    <w:basedOn w:val="833"/>
    <w:uiPriority w:val="99"/>
    <w:qFormat/>
    <w:rPr>
      <w:rFonts w:ascii="Times New Roman" w:hAnsi="Times New Roman"/>
    </w:rPr>
    <w:tblPr>
      <w:tblCellMar>
        <w:left w:w="0" w:type="dxa"/>
        <w:top w:w="0" w:type="dxa"/>
        <w:right w:w="0" w:type="dxa"/>
        <w:bottom w:w="0" w:type="dxa"/>
      </w:tblCellMar>
    </w:tblPr>
  </w:style>
  <w:style w:type="table" w:styleId="1218" w:customStyle="1">
    <w:name w:val="网格表 7 彩色2"/>
    <w:basedOn w:val="833"/>
    <w:uiPriority w:val="99"/>
    <w:qFormat/>
    <w:rPr>
      <w:rFonts w:ascii="Times New Roman" w:hAnsi="Times New Roman"/>
    </w:rPr>
    <w:tblPr>
      <w:tblCellMar>
        <w:left w:w="0" w:type="dxa"/>
        <w:top w:w="0" w:type="dxa"/>
        <w:right w:w="0" w:type="dxa"/>
        <w:bottom w:w="0" w:type="dxa"/>
      </w:tblCellMar>
    </w:tblPr>
  </w:style>
  <w:style w:type="table" w:styleId="1219" w:customStyle="1">
    <w:name w:val="清单表 1 浅色2"/>
    <w:basedOn w:val="833"/>
    <w:uiPriority w:val="99"/>
    <w:qFormat/>
    <w:rPr>
      <w:rFonts w:ascii="Times New Roman" w:hAnsi="Times New Roman"/>
    </w:rPr>
    <w:tblPr>
      <w:tblCellMar>
        <w:left w:w="0" w:type="dxa"/>
        <w:top w:w="0" w:type="dxa"/>
        <w:right w:w="0" w:type="dxa"/>
        <w:bottom w:w="0" w:type="dxa"/>
      </w:tblCellMar>
    </w:tblPr>
  </w:style>
  <w:style w:type="table" w:styleId="1220" w:customStyle="1">
    <w:name w:val="清单表 22"/>
    <w:basedOn w:val="833"/>
    <w:uiPriority w:val="99"/>
    <w:qFormat/>
    <w:rPr>
      <w:rFonts w:ascii="Times New Roman" w:hAnsi="Times New Roman"/>
    </w:rPr>
    <w:tblPr>
      <w:tblCellMar>
        <w:left w:w="0" w:type="dxa"/>
        <w:top w:w="0" w:type="dxa"/>
        <w:right w:w="0" w:type="dxa"/>
        <w:bottom w:w="0" w:type="dxa"/>
      </w:tblCellMar>
    </w:tblPr>
  </w:style>
  <w:style w:type="table" w:styleId="1221" w:customStyle="1">
    <w:name w:val="清单表 32"/>
    <w:basedOn w:val="833"/>
    <w:uiPriority w:val="99"/>
    <w:qFormat/>
    <w:rPr>
      <w:rFonts w:ascii="Times New Roman" w:hAnsi="Times New Roman"/>
    </w:rPr>
    <w:tblPr>
      <w:tblCellMar>
        <w:left w:w="0" w:type="dxa"/>
        <w:top w:w="0" w:type="dxa"/>
        <w:right w:w="0" w:type="dxa"/>
        <w:bottom w:w="0" w:type="dxa"/>
      </w:tblCellMar>
    </w:tblPr>
  </w:style>
  <w:style w:type="table" w:styleId="1222" w:customStyle="1">
    <w:name w:val="清单表 42"/>
    <w:basedOn w:val="833"/>
    <w:uiPriority w:val="99"/>
    <w:qFormat/>
    <w:rPr>
      <w:rFonts w:ascii="Times New Roman" w:hAnsi="Times New Roman"/>
    </w:rPr>
    <w:tblPr>
      <w:tblCellMar>
        <w:left w:w="0" w:type="dxa"/>
        <w:top w:w="0" w:type="dxa"/>
        <w:right w:w="0" w:type="dxa"/>
        <w:bottom w:w="0" w:type="dxa"/>
      </w:tblCellMar>
    </w:tblPr>
  </w:style>
  <w:style w:type="table" w:styleId="1223" w:customStyle="1">
    <w:name w:val="清单表 5 深色2"/>
    <w:basedOn w:val="833"/>
    <w:uiPriority w:val="99"/>
    <w:qFormat/>
    <w:rPr>
      <w:rFonts w:ascii="Times New Roman" w:hAnsi="Times New Roman"/>
    </w:rPr>
    <w:tblPr>
      <w:tblCellMar>
        <w:left w:w="0" w:type="dxa"/>
        <w:top w:w="0" w:type="dxa"/>
        <w:right w:w="0" w:type="dxa"/>
        <w:bottom w:w="0" w:type="dxa"/>
      </w:tblCellMar>
    </w:tblPr>
  </w:style>
  <w:style w:type="table" w:styleId="1224" w:customStyle="1">
    <w:name w:val="清单表 6 彩色2"/>
    <w:basedOn w:val="833"/>
    <w:uiPriority w:val="99"/>
    <w:qFormat/>
    <w:rPr>
      <w:rFonts w:ascii="Times New Roman" w:hAnsi="Times New Roman"/>
    </w:rPr>
    <w:tblPr>
      <w:tblCellMar>
        <w:left w:w="0" w:type="dxa"/>
        <w:top w:w="0" w:type="dxa"/>
        <w:right w:w="0" w:type="dxa"/>
        <w:bottom w:w="0" w:type="dxa"/>
      </w:tblCellMar>
    </w:tblPr>
  </w:style>
  <w:style w:type="table" w:styleId="1225" w:customStyle="1">
    <w:name w:val="清单表 7 彩色2"/>
    <w:basedOn w:val="833"/>
    <w:uiPriority w:val="99"/>
    <w:qFormat/>
    <w:rPr>
      <w:rFonts w:ascii="Times New Roman" w:hAnsi="Times New Roman"/>
    </w:rPr>
    <w:tblPr>
      <w:tblCellMar>
        <w:left w:w="0" w:type="dxa"/>
        <w:top w:w="0" w:type="dxa"/>
        <w:right w:w="0" w:type="dxa"/>
        <w:bottom w:w="0" w:type="dxa"/>
      </w:tblCellMar>
    </w:tblPr>
  </w:style>
  <w:style w:type="paragraph" w:styleId="1226" w:customStyle="1">
    <w:name w:val="TOC 标题21"/>
    <w:uiPriority w:val="39"/>
    <w:qFormat/>
    <w:rPr>
      <w:rFonts w:ascii="Times New Roman" w:hAnsi="Times New Roman" w:eastAsia="宋体" w:cs="Times New Roman"/>
      <w:lang w:val="en-US" w:eastAsia="zh-CN" w:bidi="ar-SA"/>
    </w:rPr>
  </w:style>
  <w:style w:type="paragraph" w:styleId="1227" w:customStyle="1">
    <w:name w:val="标题 11"/>
    <w:basedOn w:val="762"/>
    <w:next w:val="762"/>
    <w:uiPriority w:val="99"/>
    <w:qFormat/>
    <w:pPr>
      <w:jc w:val="center"/>
      <w:keepNext/>
      <w:outlineLvl w:val="0"/>
    </w:pPr>
    <w:rPr>
      <w:rFonts w:ascii="方正楷体_GB2312" w:eastAsia="方正楷体_GB2312"/>
      <w:sz w:val="28"/>
      <w:szCs w:val="28"/>
    </w:rPr>
  </w:style>
  <w:style w:type="paragraph" w:styleId="1228" w:customStyle="1">
    <w:name w:val="标题 22"/>
    <w:basedOn w:val="762"/>
    <w:next w:val="774"/>
    <w:uiPriority w:val="99"/>
    <w:qFormat/>
    <w:pPr>
      <w:jc w:val="center"/>
      <w:keepLines/>
      <w:keepNext/>
      <w:spacing w:before="260" w:after="260" w:line="416" w:lineRule="auto"/>
      <w:outlineLvl w:val="1"/>
    </w:pPr>
    <w:rPr>
      <w:rFonts w:ascii="Arial" w:hAnsi="Arial" w:eastAsia="幼圆"/>
      <w:b/>
      <w:bCs/>
      <w:sz w:val="44"/>
      <w:szCs w:val="44"/>
    </w:rPr>
  </w:style>
  <w:style w:type="paragraph" w:styleId="1229" w:customStyle="1">
    <w:name w:val="标题 32"/>
    <w:basedOn w:val="762"/>
    <w:next w:val="774"/>
    <w:uiPriority w:val="99"/>
    <w:qFormat/>
    <w:pPr>
      <w:keepLines/>
      <w:keepNext/>
      <w:spacing w:before="260" w:after="260" w:line="416" w:lineRule="auto"/>
      <w:outlineLvl w:val="2"/>
    </w:pPr>
    <w:rPr>
      <w:b/>
      <w:bCs/>
      <w:sz w:val="32"/>
      <w:szCs w:val="32"/>
    </w:rPr>
  </w:style>
  <w:style w:type="paragraph" w:styleId="1230" w:customStyle="1">
    <w:name w:val="标题 41"/>
    <w:basedOn w:val="762"/>
    <w:next w:val="774"/>
    <w:uiPriority w:val="99"/>
    <w:qFormat/>
    <w:pPr>
      <w:keepLines/>
      <w:keepNext/>
      <w:spacing w:before="280" w:after="290" w:line="376" w:lineRule="auto"/>
      <w:outlineLvl w:val="3"/>
    </w:pPr>
    <w:rPr>
      <w:rFonts w:ascii="Arial" w:hAnsi="Arial" w:eastAsia="黑体"/>
      <w:b/>
      <w:bCs/>
      <w:sz w:val="28"/>
      <w:szCs w:val="28"/>
    </w:rPr>
  </w:style>
  <w:style w:type="paragraph" w:styleId="1231" w:customStyle="1">
    <w:name w:val="标题 51"/>
    <w:basedOn w:val="762"/>
    <w:next w:val="774"/>
    <w:uiPriority w:val="0"/>
    <w:qFormat/>
    <w:pPr>
      <w:keepNext/>
      <w:outlineLvl w:val="4"/>
    </w:pPr>
    <w:rPr>
      <w:rFonts w:ascii="宋体"/>
      <w:color w:val="000000"/>
      <w:sz w:val="28"/>
      <w:szCs w:val="28"/>
    </w:rPr>
  </w:style>
  <w:style w:type="paragraph" w:styleId="1232" w:customStyle="1">
    <w:name w:val="标题 61"/>
    <w:basedOn w:val="762"/>
    <w:next w:val="762"/>
    <w:uiPriority w:val="0"/>
    <w:qFormat/>
    <w:pPr>
      <w:numPr>
        <w:ilvl w:val="5"/>
        <w:numId w:val="4"/>
      </w:numPr>
      <w:keepLines/>
      <w:keepNext/>
      <w:spacing w:before="240" w:after="64" w:line="320" w:lineRule="auto"/>
      <w:tabs>
        <w:tab w:val="left" w:pos="210" w:leader="none"/>
      </w:tabs>
      <w:outlineLvl w:val="5"/>
    </w:pPr>
    <w:rPr>
      <w:rFonts w:ascii="Arial" w:hAnsi="Arial" w:eastAsia="黑体"/>
      <w:b/>
      <w:bCs/>
      <w:sz w:val="24"/>
      <w:szCs w:val="24"/>
    </w:rPr>
  </w:style>
  <w:style w:type="paragraph" w:styleId="1233" w:customStyle="1">
    <w:name w:val="标题 71"/>
    <w:basedOn w:val="762"/>
    <w:next w:val="762"/>
    <w:uiPriority w:val="9"/>
    <w:qFormat/>
    <w:pPr>
      <w:numPr>
        <w:ilvl w:val="6"/>
        <w:numId w:val="4"/>
      </w:numPr>
      <w:keepLines/>
      <w:keepNext/>
      <w:spacing w:before="240" w:after="64" w:line="320" w:lineRule="auto"/>
      <w:tabs>
        <w:tab w:val="left" w:pos="210" w:leader="none"/>
      </w:tabs>
      <w:outlineLvl w:val="6"/>
    </w:pPr>
    <w:rPr>
      <w:b/>
      <w:bCs/>
      <w:sz w:val="24"/>
      <w:szCs w:val="24"/>
    </w:rPr>
  </w:style>
  <w:style w:type="paragraph" w:styleId="1234" w:customStyle="1">
    <w:name w:val="标题 81"/>
    <w:basedOn w:val="762"/>
    <w:next w:val="762"/>
    <w:uiPriority w:val="0"/>
    <w:qFormat/>
    <w:pPr>
      <w:numPr>
        <w:ilvl w:val="7"/>
        <w:numId w:val="4"/>
      </w:numPr>
      <w:keepLines/>
      <w:keepNext/>
      <w:spacing w:before="240" w:after="64" w:line="320" w:lineRule="auto"/>
      <w:tabs>
        <w:tab w:val="left" w:pos="210" w:leader="none"/>
      </w:tabs>
      <w:outlineLvl w:val="7"/>
    </w:pPr>
    <w:rPr>
      <w:rFonts w:ascii="Arial" w:hAnsi="Arial" w:eastAsia="黑体"/>
      <w:sz w:val="24"/>
      <w:szCs w:val="24"/>
    </w:rPr>
  </w:style>
  <w:style w:type="paragraph" w:styleId="1235" w:customStyle="1">
    <w:name w:val="标题 91"/>
    <w:basedOn w:val="762"/>
    <w:next w:val="762"/>
    <w:uiPriority w:val="0"/>
    <w:qFormat/>
    <w:pPr>
      <w:numPr>
        <w:ilvl w:val="8"/>
        <w:numId w:val="4"/>
      </w:numPr>
      <w:keepLines/>
      <w:keepNext/>
      <w:spacing w:before="240" w:after="64" w:line="320" w:lineRule="auto"/>
      <w:tabs>
        <w:tab w:val="left" w:pos="210" w:leader="none"/>
      </w:tabs>
      <w:outlineLvl w:val="8"/>
    </w:pPr>
    <w:rPr>
      <w:rFonts w:ascii="Arial" w:hAnsi="Arial" w:eastAsia="黑体"/>
    </w:rPr>
  </w:style>
  <w:style w:type="paragraph" w:styleId="1236" w:customStyle="1">
    <w:name w:val="题注2"/>
    <w:basedOn w:val="762"/>
    <w:next w:val="762"/>
    <w:uiPriority w:val="35"/>
    <w:unhideWhenUsed/>
    <w:qFormat/>
    <w:pPr>
      <w:spacing w:line="276" w:lineRule="auto"/>
    </w:pPr>
    <w:rPr>
      <w:b/>
      <w:bCs/>
      <w:color w:val="4f81bd"/>
      <w:sz w:val="18"/>
      <w:szCs w:val="18"/>
    </w:rPr>
  </w:style>
  <w:style w:type="paragraph" w:styleId="1237" w:customStyle="1">
    <w:name w:val="页脚2"/>
    <w:basedOn w:val="762"/>
    <w:link w:val="1238"/>
    <w:uiPriority w:val="99"/>
    <w:qFormat/>
    <w:pPr>
      <w:jc w:val="left"/>
      <w:tabs>
        <w:tab w:val="center" w:pos="4153" w:leader="none"/>
        <w:tab w:val="right" w:pos="8306" w:leader="none"/>
      </w:tabs>
    </w:pPr>
    <w:rPr>
      <w:sz w:val="18"/>
      <w:szCs w:val="18"/>
    </w:rPr>
  </w:style>
  <w:style w:type="character" w:styleId="1238" w:customStyle="1">
    <w:name w:val="页脚 字符1"/>
    <w:link w:val="1237"/>
    <w:uiPriority w:val="99"/>
    <w:qFormat/>
    <w:rPr>
      <w:rFonts w:ascii="Times New Roman" w:hAnsi="Times New Roman"/>
      <w:sz w:val="18"/>
      <w:szCs w:val="18"/>
    </w:rPr>
  </w:style>
  <w:style w:type="paragraph" w:styleId="1239" w:customStyle="1">
    <w:name w:val="页眉2"/>
    <w:basedOn w:val="762"/>
    <w:uiPriority w:val="99"/>
    <w:qFormat/>
    <w:pPr>
      <w:jc w:val="center"/>
      <w:tabs>
        <w:tab w:val="center" w:pos="4153" w:leader="none"/>
        <w:tab w:val="right" w:pos="8306" w:leader="none"/>
      </w:tabs>
      <w:pBdr>
        <w:bottom w:val="single" w:color="000000" w:sz="6" w:space="1"/>
      </w:pBdr>
    </w:pPr>
    <w:rPr>
      <w:sz w:val="18"/>
      <w:szCs w:val="18"/>
    </w:rPr>
  </w:style>
  <w:style w:type="character" w:styleId="1240" w:customStyle="1">
    <w:name w:val="Title Char"/>
    <w:uiPriority w:val="10"/>
    <w:qFormat/>
    <w:rPr>
      <w:sz w:val="48"/>
      <w:szCs w:val="48"/>
    </w:rPr>
  </w:style>
  <w:style w:type="character" w:styleId="1241" w:customStyle="1">
    <w:name w:val="Subtitle Char"/>
    <w:uiPriority w:val="11"/>
    <w:qFormat/>
    <w:rPr>
      <w:sz w:val="24"/>
      <w:szCs w:val="24"/>
    </w:rPr>
  </w:style>
  <w:style w:type="character" w:styleId="1242" w:customStyle="1">
    <w:name w:val="Quote Char"/>
    <w:uiPriority w:val="29"/>
    <w:qFormat/>
    <w:rPr>
      <w:i/>
    </w:rPr>
  </w:style>
  <w:style w:type="character" w:styleId="1243" w:customStyle="1">
    <w:name w:val="Intense Quote Char"/>
    <w:uiPriority w:val="30"/>
    <w:qFormat/>
    <w:rPr>
      <w:i/>
    </w:rPr>
  </w:style>
  <w:style w:type="character" w:styleId="1244" w:customStyle="1">
    <w:name w:val="Footnote Text Char"/>
    <w:uiPriority w:val="99"/>
    <w:qFormat/>
    <w:rPr>
      <w:sz w:val="18"/>
    </w:rPr>
  </w:style>
  <w:style w:type="character" w:styleId="1245" w:customStyle="1">
    <w:name w:val="Endnote Text Char"/>
    <w:uiPriority w:val="99"/>
    <w:qFormat/>
    <w:rPr>
      <w:sz w:val="20"/>
    </w:rPr>
  </w:style>
  <w:style w:type="character" w:styleId="1246" w:customStyle="1">
    <w:name w:val="Heading 1 Char"/>
    <w:uiPriority w:val="9"/>
    <w:qFormat/>
    <w:rPr>
      <w:rFonts w:ascii="Arial" w:hAnsi="Arial" w:eastAsia="Arial" w:cs="Arial"/>
      <w:sz w:val="40"/>
      <w:szCs w:val="40"/>
    </w:rPr>
  </w:style>
  <w:style w:type="character" w:styleId="1247" w:customStyle="1">
    <w:name w:val="Heading 2 Char"/>
    <w:uiPriority w:val="9"/>
    <w:qFormat/>
    <w:rPr>
      <w:rFonts w:ascii="Arial" w:hAnsi="Arial" w:eastAsia="Arial" w:cs="Arial"/>
      <w:sz w:val="34"/>
    </w:rPr>
  </w:style>
  <w:style w:type="character" w:styleId="1248" w:customStyle="1">
    <w:name w:val="Heading 3 Char"/>
    <w:uiPriority w:val="9"/>
    <w:qFormat/>
    <w:rPr>
      <w:rFonts w:ascii="Arial" w:hAnsi="Arial" w:eastAsia="Arial" w:cs="Arial"/>
      <w:sz w:val="30"/>
      <w:szCs w:val="30"/>
    </w:rPr>
  </w:style>
  <w:style w:type="character" w:styleId="1249" w:customStyle="1">
    <w:name w:val="Heading 4 Char"/>
    <w:uiPriority w:val="9"/>
    <w:qFormat/>
    <w:rPr>
      <w:rFonts w:ascii="Arial" w:hAnsi="Arial" w:eastAsia="Arial" w:cs="Arial"/>
      <w:b/>
      <w:bCs/>
      <w:sz w:val="26"/>
      <w:szCs w:val="26"/>
    </w:rPr>
  </w:style>
  <w:style w:type="character" w:styleId="1250" w:customStyle="1">
    <w:name w:val="Heading 5 Char"/>
    <w:uiPriority w:val="9"/>
    <w:qFormat/>
    <w:rPr>
      <w:rFonts w:ascii="Arial" w:hAnsi="Arial" w:eastAsia="Arial" w:cs="Arial"/>
      <w:b/>
      <w:bCs/>
      <w:sz w:val="24"/>
      <w:szCs w:val="24"/>
    </w:rPr>
  </w:style>
  <w:style w:type="character" w:styleId="1251" w:customStyle="1">
    <w:name w:val="Heading 6 Char"/>
    <w:uiPriority w:val="9"/>
    <w:qFormat/>
    <w:rPr>
      <w:rFonts w:ascii="Arial" w:hAnsi="Arial" w:eastAsia="Arial" w:cs="Arial"/>
      <w:b/>
      <w:bCs/>
      <w:sz w:val="22"/>
      <w:szCs w:val="22"/>
    </w:rPr>
  </w:style>
  <w:style w:type="character" w:styleId="1252" w:customStyle="1">
    <w:name w:val="Heading 7 Char"/>
    <w:uiPriority w:val="9"/>
    <w:qFormat/>
    <w:rPr>
      <w:rFonts w:ascii="Arial" w:hAnsi="Arial" w:eastAsia="Arial" w:cs="Arial"/>
      <w:b/>
      <w:bCs/>
      <w:i/>
      <w:iCs/>
      <w:sz w:val="22"/>
      <w:szCs w:val="22"/>
    </w:rPr>
  </w:style>
  <w:style w:type="character" w:styleId="1253" w:customStyle="1">
    <w:name w:val="Heading 8 Char"/>
    <w:uiPriority w:val="9"/>
    <w:qFormat/>
    <w:rPr>
      <w:rFonts w:ascii="Arial" w:hAnsi="Arial" w:eastAsia="Arial" w:cs="Arial"/>
      <w:i/>
      <w:iCs/>
      <w:sz w:val="22"/>
      <w:szCs w:val="22"/>
    </w:rPr>
  </w:style>
  <w:style w:type="character" w:styleId="1254" w:customStyle="1">
    <w:name w:val="Heading 9 Char"/>
    <w:uiPriority w:val="9"/>
    <w:qFormat/>
    <w:rPr>
      <w:rFonts w:ascii="Arial" w:hAnsi="Arial" w:eastAsia="Arial" w:cs="Arial"/>
      <w:i/>
      <w:iCs/>
      <w:sz w:val="21"/>
      <w:szCs w:val="21"/>
    </w:rPr>
  </w:style>
  <w:style w:type="character" w:styleId="1255" w:customStyle="1">
    <w:name w:val="Header Char"/>
    <w:uiPriority w:val="99"/>
    <w:qFormat/>
  </w:style>
  <w:style w:type="character" w:styleId="1256" w:customStyle="1">
    <w:name w:val="Caption Char"/>
    <w:uiPriority w:val="99"/>
    <w:qFormat/>
  </w:style>
  <w:style w:type="paragraph" w:styleId="1257" w:customStyle="1">
    <w:name w:val="修订11"/>
    <w:uiPriority w:val="99"/>
    <w:semiHidden/>
    <w:qFormat/>
    <w:rPr>
      <w:rFonts w:ascii="Times New Roman" w:hAnsi="Times New Roman" w:eastAsia="宋体" w:cs="Times New Roman"/>
      <w:sz w:val="21"/>
      <w:szCs w:val="21"/>
      <w:lang w:val="en-US" w:eastAsia="zh-CN" w:bidi="ar-SA"/>
    </w:rPr>
  </w:style>
  <w:style w:type="paragraph" w:styleId="1258" w:customStyle="1">
    <w:name w:val="z-窗体顶端1"/>
    <w:basedOn w:val="762"/>
    <w:next w:val="762"/>
    <w:link w:val="1259"/>
    <w:uiPriority w:val="0"/>
    <w:unhideWhenUsed/>
    <w:qFormat/>
    <w:pPr>
      <w:jc w:val="center"/>
      <w:widowControl/>
      <w:pBdr>
        <w:bottom w:val="single" w:color="000000" w:sz="6" w:space="1"/>
      </w:pBdr>
    </w:pPr>
    <w:rPr>
      <w:rFonts w:ascii="Arial" w:hAnsi="Arial"/>
      <w:vanish/>
      <w:sz w:val="16"/>
      <w:szCs w:val="16"/>
    </w:rPr>
  </w:style>
  <w:style w:type="character" w:styleId="1259" w:customStyle="1">
    <w:name w:val="z-窗体顶端 Char"/>
    <w:link w:val="1258"/>
    <w:uiPriority w:val="0"/>
    <w:qFormat/>
    <w:rPr>
      <w:rFonts w:ascii="Arial" w:hAnsi="Arial"/>
      <w:vanish/>
      <w:sz w:val="16"/>
      <w:szCs w:val="16"/>
    </w:rPr>
  </w:style>
  <w:style w:type="paragraph" w:styleId="1260" w:customStyle="1">
    <w:name w:val="z-窗体底端1"/>
    <w:basedOn w:val="762"/>
    <w:next w:val="762"/>
    <w:link w:val="1261"/>
    <w:uiPriority w:val="0"/>
    <w:unhideWhenUsed/>
    <w:qFormat/>
    <w:pPr>
      <w:jc w:val="center"/>
      <w:widowControl/>
      <w:pBdr>
        <w:top w:val="single" w:color="000000" w:sz="6" w:space="1"/>
      </w:pBdr>
    </w:pPr>
    <w:rPr>
      <w:rFonts w:ascii="Arial" w:hAnsi="Arial"/>
      <w:vanish/>
      <w:sz w:val="16"/>
      <w:szCs w:val="16"/>
    </w:rPr>
  </w:style>
  <w:style w:type="character" w:styleId="1261" w:customStyle="1">
    <w:name w:val="z-窗体底端 Char"/>
    <w:link w:val="1260"/>
    <w:uiPriority w:val="0"/>
    <w:qFormat/>
    <w:rPr>
      <w:rFonts w:ascii="Arial" w:hAnsi="Arial"/>
      <w:vanish/>
      <w:sz w:val="16"/>
      <w:szCs w:val="16"/>
    </w:rPr>
  </w:style>
  <w:style w:type="paragraph" w:styleId="1262" w:customStyle="1">
    <w:name w:val="首行缩进"/>
    <w:basedOn w:val="762"/>
    <w:uiPriority w:val="0"/>
    <w:qFormat/>
    <w:pPr>
      <w:ind w:firstLine="480"/>
      <w:jc w:val="left"/>
      <w:spacing w:line="360" w:lineRule="auto"/>
    </w:pPr>
    <w:rPr>
      <w:rFonts w:ascii="宋体" w:hAnsi="宋体"/>
      <w:sz w:val="24"/>
      <w:szCs w:val="22"/>
    </w:rPr>
  </w:style>
  <w:style w:type="character" w:styleId="1263" w:customStyle="1">
    <w:name w:val="正文文本缩进 3 Char1"/>
    <w:uiPriority w:val="99"/>
    <w:semiHidden/>
    <w:qFormat/>
    <w:rPr>
      <w:rFonts w:ascii="Calibri" w:hAnsi="Calibri" w:eastAsia="宋体" w:cs="黑体"/>
      <w:sz w:val="16"/>
      <w:szCs w:val="16"/>
    </w:rPr>
  </w:style>
  <w:style w:type="paragraph" w:styleId="1264" w:customStyle="1">
    <w:name w:val="三级目录"/>
    <w:next w:val="762"/>
    <w:uiPriority w:val="0"/>
    <w:qFormat/>
    <w:pPr>
      <w:ind w:firstLine="420"/>
    </w:pPr>
    <w:rPr>
      <w:rFonts w:ascii="Times New Roman" w:hAnsi="Times New Roman" w:eastAsia="宋体" w:cs="Times New Roman"/>
      <w:b/>
      <w:bCs/>
      <w:sz w:val="24"/>
      <w:szCs w:val="24"/>
      <w:lang w:val="en-US" w:eastAsia="zh-CN" w:bidi="ar-SA"/>
    </w:rPr>
  </w:style>
  <w:style w:type="paragraph" w:styleId="1265" w:customStyle="1">
    <w:name w:val="Char Char Char Char Char Char Char Char Char Char1"/>
    <w:basedOn w:val="762"/>
    <w:uiPriority w:val="0"/>
    <w:qFormat/>
    <w:pPr>
      <w:spacing w:line="360" w:lineRule="auto"/>
    </w:pPr>
    <w:rPr>
      <w:sz w:val="24"/>
      <w:szCs w:val="20"/>
    </w:rPr>
  </w:style>
  <w:style w:type="paragraph" w:styleId="1266" w:customStyle="1">
    <w:name w:val="Char Char Char Char Char Char Char Char Char"/>
    <w:basedOn w:val="762"/>
    <w:uiPriority w:val="0"/>
    <w:qFormat/>
    <w:rPr>
      <w:rFonts w:ascii="Tahoma" w:hAnsi="Tahoma"/>
      <w:sz w:val="24"/>
      <w:szCs w:val="20"/>
    </w:rPr>
  </w:style>
  <w:style w:type="paragraph" w:styleId="1267" w:customStyle="1">
    <w:name w:val="Char3"/>
    <w:basedOn w:val="846"/>
    <w:uiPriority w:val="0"/>
    <w:qFormat/>
    <w:pPr>
      <w:spacing w:line="360" w:lineRule="auto"/>
    </w:pPr>
    <w:rPr>
      <w:rFonts w:ascii="Tahoma" w:hAnsi="Tahoma"/>
      <w:sz w:val="24"/>
      <w:szCs w:val="24"/>
    </w:rPr>
  </w:style>
  <w:style w:type="paragraph" w:styleId="1268" w:customStyle="1">
    <w:name w:val="默认段落字体 Para Char Char Char Char Char Char Char Char Char1 Char Char Char Char Char Char Char"/>
    <w:basedOn w:val="846"/>
    <w:uiPriority w:val="0"/>
    <w:qFormat/>
    <w:rPr>
      <w:rFonts w:ascii="Tahoma" w:hAnsi="Tahoma"/>
      <w:sz w:val="24"/>
      <w:szCs w:val="24"/>
    </w:rPr>
  </w:style>
  <w:style w:type="paragraph" w:styleId="1269" w:customStyle="1">
    <w:name w:val="正文缩进2"/>
    <w:basedOn w:val="762"/>
    <w:uiPriority w:val="0"/>
    <w:qFormat/>
    <w:pPr>
      <w:ind w:left="630"/>
    </w:pPr>
    <w:rPr>
      <w:rFonts w:ascii="Arial" w:hAnsi="Arial" w:cs="Arial"/>
      <w:sz w:val="24"/>
      <w:szCs w:val="24"/>
    </w:rPr>
  </w:style>
  <w:style w:type="paragraph" w:styleId="1270" w:customStyle="1">
    <w:name w:val="符号正文_3"/>
    <w:basedOn w:val="762"/>
    <w:uiPriority w:val="0"/>
    <w:qFormat/>
    <w:pPr>
      <w:ind w:left="-4"/>
    </w:pPr>
    <w:rPr>
      <w:rFonts w:ascii="Arial" w:hAnsi="Arial" w:cs="Arial"/>
    </w:rPr>
  </w:style>
  <w:style w:type="paragraph" w:styleId="1271" w:customStyle="1">
    <w:name w:val="_Style 15"/>
    <w:basedOn w:val="846"/>
    <w:uiPriority w:val="0"/>
    <w:qFormat/>
    <w:pPr>
      <w:shd w:val="clear" w:color="auto" w:fill="auto"/>
    </w:pPr>
    <w:rPr>
      <w:rFonts w:ascii="宋体" w:hAnsi="Calibri"/>
      <w:sz w:val="18"/>
      <w:szCs w:val="18"/>
    </w:rPr>
  </w:style>
  <w:style w:type="paragraph" w:styleId="1272" w:customStyle="1">
    <w:name w:val="Default"/>
    <w:uiPriority w:val="0"/>
    <w:qFormat/>
    <w:pPr>
      <w:spacing w:line="360" w:lineRule="auto"/>
      <w:widowControl w:val="off"/>
    </w:pPr>
    <w:rPr>
      <w:rFonts w:ascii="仿宋" w:hAnsi="Times New Roman" w:eastAsia="仿宋" w:cs="仿宋"/>
      <w:color w:val="000000"/>
      <w:sz w:val="24"/>
      <w:szCs w:val="24"/>
      <w:lang w:val="en-US" w:eastAsia="zh-CN" w:bidi="ar-SA"/>
    </w:rPr>
  </w:style>
  <w:style w:type="character" w:styleId="1273" w:customStyle="1">
    <w:name w:val="font31"/>
    <w:uiPriority w:val="0"/>
    <w:qFormat/>
    <w:rPr>
      <w:rFonts w:hint="eastAsia" w:ascii="宋体" w:hAnsi="宋体" w:eastAsia="宋体" w:cs="宋体"/>
      <w:b/>
      <w:color w:val="000000"/>
      <w:sz w:val="32"/>
      <w:szCs w:val="32"/>
      <w:u w:val="none"/>
    </w:rPr>
  </w:style>
  <w:style w:type="character" w:styleId="1274" w:customStyle="1">
    <w:name w:val="font01"/>
    <w:uiPriority w:val="0"/>
    <w:qFormat/>
    <w:rPr>
      <w:rFonts w:ascii="Arial" w:hAnsi="Arial" w:cs="Arial"/>
      <w:b/>
      <w:color w:val="000000"/>
      <w:sz w:val="32"/>
      <w:szCs w:val="32"/>
      <w:u w:val="none"/>
    </w:rPr>
  </w:style>
  <w:style w:type="character" w:styleId="1275" w:customStyle="1">
    <w:name w:val="font51"/>
    <w:uiPriority w:val="0"/>
    <w:qFormat/>
    <w:rPr>
      <w:rFonts w:ascii="Arial" w:hAnsi="Arial" w:cs="Arial"/>
      <w:b/>
      <w:color w:val="000000"/>
      <w:sz w:val="32"/>
      <w:szCs w:val="32"/>
      <w:u w:val="none"/>
    </w:rPr>
  </w:style>
  <w:style w:type="paragraph" w:styleId="1276" w:customStyle="1">
    <w:name w:val="正文2"/>
    <w:basedOn w:val="762"/>
    <w:uiPriority w:val="0"/>
    <w:qFormat/>
    <w:pPr>
      <w:ind w:firstLine="510"/>
      <w:spacing w:before="156" w:line="360" w:lineRule="auto"/>
    </w:pPr>
    <w:rPr>
      <w:sz w:val="24"/>
      <w:szCs w:val="20"/>
    </w:rPr>
  </w:style>
  <w:style w:type="character" w:styleId="1277" w:customStyle="1">
    <w:name w:val="HTML 预设格式 Char1"/>
    <w:uiPriority w:val="0"/>
    <w:qFormat/>
    <w:rPr>
      <w:rFonts w:ascii="Courier New" w:hAnsi="Courier New" w:cs="Courier New"/>
    </w:rPr>
  </w:style>
  <w:style w:type="paragraph" w:styleId="1278" w:customStyle="1">
    <w:name w:val="样式7"/>
    <w:basedOn w:val="1230"/>
    <w:link w:val="1279"/>
    <w:uiPriority w:val="0"/>
    <w:qFormat/>
    <w:pPr>
      <w:ind w:left="864" w:hanging="864"/>
      <w:jc w:val="left"/>
      <w:keepNext w:val="0"/>
      <w:spacing w:before="0" w:after="0" w:line="360" w:lineRule="auto"/>
      <w:widowControl/>
      <w:tabs>
        <w:tab w:val="left" w:pos="864" w:leader="none"/>
      </w:tabs>
    </w:pPr>
    <w:rPr>
      <w:rFonts w:ascii="Times New Roman" w:hAnsi="Arial Black" w:eastAsia="宋体"/>
      <w:b w:val="0"/>
      <w:spacing w:val="-2"/>
      <w:sz w:val="24"/>
      <w:szCs w:val="20"/>
    </w:rPr>
  </w:style>
  <w:style w:type="character" w:styleId="1279" w:customStyle="1">
    <w:name w:val="样式7 Char"/>
    <w:link w:val="1278"/>
    <w:uiPriority w:val="0"/>
    <w:qFormat/>
    <w:rPr>
      <w:rFonts w:ascii="Times New Roman" w:hAnsi="Arial Black"/>
      <w:bCs/>
      <w:spacing w:val="-2"/>
      <w:sz w:val="24"/>
    </w:rPr>
  </w:style>
  <w:style w:type="paragraph" w:styleId="1280" w:customStyle="1">
    <w:name w:val="样式6"/>
    <w:basedOn w:val="1229"/>
    <w:link w:val="1281"/>
    <w:uiPriority w:val="0"/>
    <w:qFormat/>
    <w:pPr>
      <w:ind w:left="720" w:hanging="720"/>
      <w:jc w:val="left"/>
      <w:keepNext w:val="0"/>
      <w:spacing w:before="163" w:after="163" w:line="360" w:lineRule="auto"/>
      <w:widowControl/>
      <w:tabs>
        <w:tab w:val="left" w:pos="720" w:leader="none"/>
      </w:tabs>
    </w:pPr>
    <w:rPr>
      <w:rFonts w:hAnsi="华文中宋"/>
      <w:b w:val="0"/>
      <w:bCs w:val="0"/>
      <w:spacing w:val="-5"/>
      <w:sz w:val="24"/>
      <w:szCs w:val="20"/>
    </w:rPr>
  </w:style>
  <w:style w:type="character" w:styleId="1281" w:customStyle="1">
    <w:name w:val="样式6 Char"/>
    <w:link w:val="1280"/>
    <w:uiPriority w:val="0"/>
    <w:qFormat/>
    <w:rPr>
      <w:rFonts w:ascii="Times New Roman" w:hAnsi="华文中宋"/>
      <w:spacing w:val="-5"/>
      <w:sz w:val="24"/>
    </w:rPr>
  </w:style>
  <w:style w:type="paragraph" w:styleId="1282" w:customStyle="1">
    <w:name w:val="正文21"/>
    <w:basedOn w:val="762"/>
    <w:uiPriority w:val="0"/>
    <w:qFormat/>
    <w:pPr>
      <w:ind w:firstLine="510"/>
      <w:spacing w:before="156" w:line="360" w:lineRule="auto"/>
    </w:pPr>
    <w:rPr>
      <w:color w:val="000000"/>
      <w:sz w:val="24"/>
      <w:szCs w:val="20"/>
    </w:rPr>
  </w:style>
  <w:style w:type="paragraph" w:styleId="1283" w:customStyle="1">
    <w:name w:val="样式5"/>
    <w:basedOn w:val="1228"/>
    <w:link w:val="1284"/>
    <w:uiPriority w:val="0"/>
    <w:qFormat/>
    <w:pPr>
      <w:ind w:left="786" w:hanging="786"/>
      <w:jc w:val="left"/>
      <w:keepNext w:val="0"/>
      <w:spacing w:before="156" w:after="156" w:line="360" w:lineRule="auto"/>
      <w:widowControl/>
      <w:tabs>
        <w:tab w:val="left" w:pos="786" w:leader="none"/>
      </w:tabs>
    </w:pPr>
    <w:rPr>
      <w:rFonts w:ascii="黑体" w:hAnsi="Arial Black" w:eastAsia="黑体"/>
      <w:b w:val="0"/>
      <w:bCs w:val="0"/>
      <w:spacing w:val="-10"/>
      <w:sz w:val="30"/>
      <w:szCs w:val="30"/>
    </w:rPr>
  </w:style>
  <w:style w:type="character" w:styleId="1284" w:customStyle="1">
    <w:name w:val="样式5 Char"/>
    <w:link w:val="1283"/>
    <w:uiPriority w:val="0"/>
    <w:qFormat/>
    <w:rPr>
      <w:rFonts w:ascii="黑体" w:hAnsi="Arial Black" w:eastAsia="黑体"/>
      <w:spacing w:val="-10"/>
      <w:sz w:val="30"/>
      <w:szCs w:val="30"/>
    </w:rPr>
  </w:style>
  <w:style w:type="table" w:styleId="1285" w:customStyle="1">
    <w:name w:val="网格型1"/>
    <w:basedOn w:val="833"/>
    <w:uiPriority w:val="0"/>
    <w:qFormat/>
    <w:pPr>
      <w:jc w:val="both"/>
      <w:widowControl w:val="off"/>
    </w:pPr>
    <w:rPr>
      <w:rFonts w:ascii="Times New Roman" w:hAnsi="Times New Roman"/>
    </w:rPr>
    <w:tblPr>
      <w:tblCellMar>
        <w:left w:w="0" w:type="dxa"/>
        <w:top w:w="0" w:type="dxa"/>
        <w:right w:w="0" w:type="dxa"/>
        <w:bottom w:w="0" w:type="dxa"/>
      </w:tblCellMar>
    </w:tblPr>
  </w:style>
  <w:style w:type="character" w:styleId="1286" w:customStyle="1">
    <w:name w:val="标题 3 Char1"/>
    <w:uiPriority w:val="99"/>
    <w:qFormat/>
    <w:rPr>
      <w:rFonts w:ascii="Times New Roman" w:hAnsi="Times New Roman" w:eastAsia="宋体" w:cs="Times New Roman"/>
      <w:b/>
      <w:bCs/>
      <w:sz w:val="32"/>
      <w:szCs w:val="32"/>
    </w:rPr>
  </w:style>
  <w:style w:type="character" w:styleId="1287" w:customStyle="1">
    <w:name w:val="标题 4 Char1"/>
    <w:uiPriority w:val="99"/>
    <w:qFormat/>
    <w:rPr>
      <w:rFonts w:ascii="Arial" w:hAnsi="Arial" w:eastAsia="黑体" w:cs="Times New Roman"/>
      <w:b/>
      <w:bCs/>
      <w:sz w:val="28"/>
      <w:szCs w:val="28"/>
    </w:rPr>
  </w:style>
  <w:style w:type="character" w:styleId="1288" w:customStyle="1">
    <w:name w:val="无间隔 Char"/>
    <w:uiPriority w:val="1"/>
    <w:qFormat/>
    <w:rPr>
      <w:rFonts w:ascii="Times New Roman" w:hAnsi="Times New Roman" w:eastAsia="宋体" w:cs="Times New Roman"/>
      <w:szCs w:val="21"/>
    </w:rPr>
  </w:style>
  <w:style w:type="paragraph" w:styleId="1289" w:customStyle="1">
    <w:name w:val="列出段落21"/>
    <w:basedOn w:val="762"/>
    <w:uiPriority w:val="0"/>
    <w:qFormat/>
    <w:pPr>
      <w:ind w:firstLine="420"/>
    </w:pPr>
    <w:rPr>
      <w:rFonts w:ascii="Calibri" w:hAnsi="Calibri"/>
      <w:szCs w:val="22"/>
    </w:rPr>
  </w:style>
  <w:style w:type="character" w:styleId="1290" w:customStyle="1">
    <w:name w:val="apple-converted-space"/>
    <w:uiPriority w:val="0"/>
    <w:qFormat/>
  </w:style>
  <w:style w:type="character" w:styleId="1291" w:customStyle="1">
    <w:name w:val="z-窗体底端 Char1"/>
    <w:uiPriority w:val="99"/>
    <w:semiHidden/>
    <w:qFormat/>
    <w:rPr>
      <w:rFonts w:ascii="Arial" w:hAnsi="Arial" w:cs="Arial"/>
      <w:vanish/>
      <w:sz w:val="16"/>
      <w:szCs w:val="16"/>
    </w:rPr>
  </w:style>
  <w:style w:type="paragraph" w:styleId="1292" w:customStyle="1">
    <w:name w:val="Char2"/>
    <w:basedOn w:val="846"/>
    <w:uiPriority w:val="0"/>
    <w:qFormat/>
    <w:rPr>
      <w:rFonts w:ascii="Tahoma" w:hAnsi="Tahoma"/>
      <w:sz w:val="24"/>
      <w:szCs w:val="24"/>
    </w:rPr>
  </w:style>
  <w:style w:type="paragraph" w:styleId="1293" w:customStyle="1">
    <w:name w:val="_Style 73"/>
    <w:next w:val="762"/>
    <w:uiPriority w:val="0"/>
    <w:qFormat/>
    <w:pPr>
      <w:jc w:val="both"/>
      <w:widowControl w:val="off"/>
    </w:pPr>
    <w:rPr>
      <w:rFonts w:ascii="Times New Roman" w:hAnsi="Times New Roman" w:eastAsia="宋体" w:cs="Times New Roman"/>
      <w:sz w:val="21"/>
      <w:szCs w:val="21"/>
      <w:lang w:val="en-US" w:eastAsia="zh-CN" w:bidi="ar-SA"/>
    </w:rPr>
  </w:style>
  <w:style w:type="paragraph" w:styleId="1294" w:customStyle="1">
    <w:name w:val="Char31"/>
    <w:basedOn w:val="846"/>
    <w:uiPriority w:val="0"/>
    <w:qFormat/>
    <w:pPr>
      <w:spacing w:line="360" w:lineRule="auto"/>
    </w:pPr>
    <w:rPr>
      <w:rFonts w:ascii="Tahoma" w:hAnsi="Tahoma"/>
      <w:sz w:val="24"/>
      <w:szCs w:val="24"/>
    </w:rPr>
  </w:style>
  <w:style w:type="paragraph" w:styleId="1295" w:customStyle="1">
    <w:name w:val="Char Char Char Char2"/>
    <w:basedOn w:val="846"/>
    <w:uiPriority w:val="0"/>
    <w:qFormat/>
    <w:pPr>
      <w:spacing w:line="360" w:lineRule="auto"/>
    </w:pPr>
    <w:rPr>
      <w:rFonts w:ascii="Tahoma" w:hAnsi="Tahoma"/>
      <w:sz w:val="24"/>
      <w:szCs w:val="24"/>
    </w:rPr>
  </w:style>
  <w:style w:type="paragraph" w:styleId="1296" w:customStyle="1">
    <w:name w:val="Char Char Char Char Char Char Char Char Char Char2"/>
    <w:basedOn w:val="762"/>
    <w:uiPriority w:val="0"/>
    <w:qFormat/>
    <w:pPr>
      <w:spacing w:line="360" w:lineRule="auto"/>
    </w:pPr>
    <w:rPr>
      <w:sz w:val="24"/>
      <w:szCs w:val="20"/>
    </w:rPr>
  </w:style>
  <w:style w:type="character" w:styleId="1297" w:customStyle="1">
    <w:name w:val="正文文本缩进 Char2"/>
    <w:uiPriority w:val="99"/>
    <w:semiHidden/>
    <w:qFormat/>
    <w:rPr>
      <w:rFonts w:ascii="Times New Roman" w:hAnsi="Times New Roman" w:eastAsia="宋体" w:cs="Times New Roman"/>
      <w:szCs w:val="21"/>
    </w:rPr>
  </w:style>
  <w:style w:type="paragraph" w:styleId="1298" w:customStyle="1">
    <w:name w:val="Char Char Char Char Char Char Char Char2"/>
    <w:basedOn w:val="762"/>
    <w:uiPriority w:val="0"/>
    <w:qFormat/>
    <w:pPr>
      <w:jc w:val="left"/>
      <w:spacing w:after="160" w:line="240" w:lineRule="exact"/>
      <w:widowControl/>
    </w:pPr>
    <w:rPr>
      <w:rFonts w:ascii="Verdana" w:hAnsi="Verdana"/>
      <w:sz w:val="20"/>
      <w:szCs w:val="20"/>
    </w:rPr>
  </w:style>
  <w:style w:type="paragraph" w:styleId="1299" w:customStyle="1">
    <w:name w:val="List Paragraph1"/>
    <w:basedOn w:val="762"/>
    <w:uiPriority w:val="0"/>
    <w:qFormat/>
    <w:pPr>
      <w:ind w:firstLine="420"/>
      <w:spacing w:line="360" w:lineRule="auto"/>
    </w:pPr>
    <w:rPr>
      <w:sz w:val="24"/>
    </w:rPr>
  </w:style>
  <w:style w:type="character" w:styleId="1300" w:customStyle="1">
    <w:name w:val="rvts9"/>
    <w:uiPriority w:val="0"/>
    <w:qFormat/>
    <w:rPr>
      <w:rFonts w:ascii="DejaVu Math TeX Gyre" w:hAnsi="DejaVu Math TeX Gyre"/>
    </w:rPr>
  </w:style>
  <w:style w:type="table" w:styleId="1301" w:customStyle="1">
    <w:name w:val="网格型11"/>
    <w:basedOn w:val="833"/>
    <w:uiPriority w:val="0"/>
    <w:qFormat/>
    <w:pPr>
      <w:jc w:val="both"/>
      <w:widowControl w:val="off"/>
    </w:pPr>
    <w:rPr>
      <w:rFonts w:ascii="Arial" w:hAnsi="Arial" w:cs="Arial"/>
    </w:rPr>
    <w:tblPr>
      <w:tblCellMar>
        <w:left w:w="0" w:type="dxa"/>
        <w:top w:w="0" w:type="dxa"/>
        <w:right w:w="0" w:type="dxa"/>
        <w:bottom w:w="0" w:type="dxa"/>
      </w:tblCellMar>
    </w:tblPr>
  </w:style>
  <w:style w:type="table" w:styleId="1302" w:customStyle="1">
    <w:name w:val="网格型12"/>
    <w:basedOn w:val="833"/>
    <w:uiPriority w:val="0"/>
    <w:qFormat/>
    <w:pPr>
      <w:jc w:val="both"/>
      <w:widowControl w:val="off"/>
    </w:pPr>
    <w:rPr>
      <w:rFonts w:ascii="Arial" w:hAnsi="Arial" w:cs="Arial"/>
    </w:rPr>
    <w:tblPr>
      <w:tblCellMar>
        <w:left w:w="0" w:type="dxa"/>
        <w:top w:w="0" w:type="dxa"/>
        <w:right w:w="0" w:type="dxa"/>
        <w:bottom w:w="0" w:type="dxa"/>
      </w:tblCellMar>
    </w:tblPr>
  </w:style>
  <w:style w:type="paragraph" w:styleId="1303" w:customStyle="1">
    <w:name w:val="修订2"/>
    <w:uiPriority w:val="99"/>
    <w:semiHidden/>
    <w:qFormat/>
    <w:rPr>
      <w:rFonts w:ascii="Times New Roman" w:hAnsi="Times New Roman" w:eastAsia="宋体" w:cs="Times New Roman"/>
      <w:sz w:val="21"/>
      <w:szCs w:val="21"/>
      <w:lang w:val="en-US" w:eastAsia="zh-CN" w:bidi="ar-SA"/>
    </w:rPr>
  </w:style>
  <w:style w:type="paragraph" w:styleId="1304" w:customStyle="1">
    <w:name w:val="正文文本1"/>
    <w:basedOn w:val="762"/>
    <w:next w:val="762"/>
    <w:uiPriority w:val="0"/>
    <w:qFormat/>
    <w:pPr>
      <w:ind w:firstLine="420"/>
      <w:jc w:val="left"/>
      <w:spacing w:after="120" w:line="360" w:lineRule="auto"/>
    </w:pPr>
    <w:rPr>
      <w:color w:val="000000"/>
      <w:sz w:val="24"/>
    </w:rPr>
  </w:style>
  <w:style w:type="paragraph" w:styleId="1305" w:customStyle="1">
    <w:name w:val="标题 12"/>
    <w:next w:val="762"/>
    <w:uiPriority w:val="9"/>
    <w:qFormat/>
    <w:pPr>
      <w:spacing w:before="240" w:after="120" w:line="360" w:lineRule="auto"/>
      <w:widowControl w:val="off"/>
      <w:outlineLvl w:val="0"/>
    </w:pPr>
    <w:rPr>
      <w:rFonts w:ascii="宋体" w:hAnsi="宋体" w:eastAsia="宋体" w:cs="宋体"/>
      <w:b/>
      <w:bCs/>
      <w:sz w:val="24"/>
      <w:szCs w:val="30"/>
      <w:lang w:val="en-US" w:eastAsia="zh-CN" w:bidi="ar-SA"/>
    </w:rPr>
  </w:style>
  <w:style w:type="paragraph" w:styleId="1306" w:customStyle="1">
    <w:name w:val="标题 23"/>
    <w:next w:val="762"/>
    <w:uiPriority w:val="9"/>
    <w:unhideWhenUsed/>
    <w:qFormat/>
    <w:pPr>
      <w:spacing w:after="120" w:line="360" w:lineRule="auto"/>
      <w:widowControl w:val="off"/>
      <w:outlineLvl w:val="1"/>
    </w:pPr>
    <w:rPr>
      <w:rFonts w:ascii="Times New Roman" w:hAnsi="Times New Roman" w:eastAsia="宋体" w:cs="Times New Roman"/>
      <w:b/>
      <w:sz w:val="24"/>
      <w:lang w:val="en-US" w:eastAsia="zh-CN" w:bidi="ar-SA"/>
    </w:rPr>
  </w:style>
  <w:style w:type="paragraph" w:styleId="1307" w:customStyle="1">
    <w:name w:val="标题 33"/>
    <w:next w:val="762"/>
    <w:uiPriority w:val="9"/>
    <w:unhideWhenUsed/>
    <w:qFormat/>
    <w:pPr>
      <w:spacing w:after="120" w:line="360" w:lineRule="auto"/>
      <w:widowControl w:val="off"/>
      <w:outlineLvl w:val="2"/>
    </w:pPr>
    <w:rPr>
      <w:rFonts w:ascii="Times New Roman" w:hAnsi="Times New Roman" w:eastAsia="宋体" w:cs="Times New Roman"/>
      <w:b/>
      <w:sz w:val="24"/>
      <w:lang w:val="en-US" w:eastAsia="zh-CN" w:bidi="ar-SA"/>
    </w:rPr>
  </w:style>
  <w:style w:type="paragraph" w:styleId="1308" w:customStyle="1">
    <w:name w:val="标题 42"/>
    <w:next w:val="762"/>
    <w:uiPriority w:val="0"/>
    <w:unhideWhenUsed/>
    <w:qFormat/>
    <w:pPr>
      <w:spacing w:after="120" w:line="360" w:lineRule="auto"/>
      <w:widowControl w:val="off"/>
      <w:outlineLvl w:val="3"/>
    </w:pPr>
    <w:rPr>
      <w:rFonts w:ascii="Times New Roman" w:hAnsi="Times New Roman" w:eastAsia="宋体" w:cs="Times New Roman"/>
      <w:sz w:val="24"/>
      <w:lang w:val="en-US" w:eastAsia="zh-CN" w:bidi="ar-SA"/>
    </w:rPr>
  </w:style>
  <w:style w:type="paragraph" w:styleId="1309" w:customStyle="1">
    <w:name w:val="Footer11"/>
    <w:basedOn w:val="762"/>
    <w:uiPriority w:val="0"/>
    <w:qFormat/>
    <w:pPr>
      <w:jc w:val="left"/>
      <w:widowControl/>
      <w:tabs>
        <w:tab w:val="center" w:pos="4153" w:leader="none"/>
        <w:tab w:val="right" w:pos="8306" w:leader="none"/>
      </w:tabs>
    </w:pPr>
    <w:rPr>
      <w:rFonts w:ascii="Arial" w:hAnsi="Arial" w:eastAsia="Arial" w:cs="Arial"/>
      <w:color w:val="000000"/>
      <w:sz w:val="18"/>
    </w:rPr>
  </w:style>
  <w:style w:type="table" w:styleId="1310" w:customStyle="1">
    <w:name w:val="Table Normal_0_0"/>
    <w:uiPriority w:val="0"/>
    <w:unhideWhenUsed/>
    <w:qFormat/>
    <w:rPr>
      <w:rFonts w:ascii="Times New Roman" w:hAnsi="Times New Roman"/>
    </w:rPr>
    <w:tblPr>
      <w:tblCellMar>
        <w:left w:w="0" w:type="dxa"/>
        <w:top w:w="0" w:type="dxa"/>
        <w:right w:w="0" w:type="dxa"/>
        <w:bottom w:w="0" w:type="dxa"/>
      </w:tblCellMar>
    </w:tblPr>
  </w:style>
  <w:style w:type="paragraph" w:styleId="1311" w:customStyle="1">
    <w:name w:val="修订3"/>
    <w:uiPriority w:val="99"/>
    <w:unhideWhenUsed/>
    <w:qFormat/>
    <w:rPr>
      <w:rFonts w:ascii="Arial" w:hAnsi="Arial" w:eastAsia="Arial" w:cs="Arial"/>
      <w:color w:val="000000"/>
      <w:sz w:val="21"/>
      <w:szCs w:val="21"/>
      <w:lang w:val="en-US" w:eastAsia="zh-CN" w:bidi="ar-SA"/>
    </w:rPr>
  </w:style>
  <w:style w:type="paragraph" w:styleId="1312" w:customStyle="1">
    <w:name w:val="招标"/>
    <w:basedOn w:val="762"/>
    <w:uiPriority w:val="0"/>
    <w:qFormat/>
    <w:pPr>
      <w:ind w:firstLine="420"/>
      <w:jc w:val="left"/>
      <w:spacing w:line="400" w:lineRule="exact"/>
    </w:pPr>
    <w:rPr>
      <w:rFonts w:ascii="宋体" w:hAnsi="宋体"/>
      <w:szCs w:val="24"/>
    </w:rPr>
  </w:style>
  <w:style w:type="paragraph" w:styleId="1313" w:customStyle="1">
    <w:name w:val="正文文本缩进11"/>
    <w:basedOn w:val="762"/>
    <w:next w:val="1314"/>
    <w:uiPriority w:val="0"/>
    <w:unhideWhenUsed/>
    <w:qFormat/>
    <w:pPr>
      <w:ind w:left="420"/>
      <w:spacing w:after="120"/>
    </w:pPr>
  </w:style>
  <w:style w:type="paragraph" w:styleId="1314" w:customStyle="1">
    <w:name w:val="正文首行缩进 211"/>
    <w:basedOn w:val="1313"/>
    <w:uiPriority w:val="0"/>
    <w:qFormat/>
    <w:pPr>
      <w:ind w:left="0" w:firstLine="420"/>
      <w:spacing w:after="0" w:line="360" w:lineRule="auto"/>
    </w:pPr>
    <w:rPr>
      <w:rFonts w:ascii="宋体" w:hAnsi="宋体"/>
      <w:szCs w:val="20"/>
    </w:rPr>
  </w:style>
  <w:style w:type="character" w:styleId="1315" w:customStyle="1">
    <w:name w:val="页眉 Char1"/>
    <w:uiPriority w:val="99"/>
    <w:qFormat/>
    <w:rPr>
      <w:rFonts w:ascii="Arial" w:hAnsi="Arial" w:eastAsia="Arial" w:cs="Arial"/>
      <w:color w:val="000000"/>
      <w:sz w:val="18"/>
      <w:szCs w:val="18"/>
    </w:rPr>
  </w:style>
  <w:style w:type="character" w:styleId="1316" w:customStyle="1">
    <w:name w:val="页脚 Char1"/>
    <w:uiPriority w:val="99"/>
    <w:qFormat/>
    <w:rPr>
      <w:rFonts w:ascii="Arial" w:hAnsi="Arial" w:eastAsia="Arial" w:cs="Arial"/>
      <w:color w:val="000000"/>
      <w:sz w:val="18"/>
      <w:szCs w:val="18"/>
    </w:rPr>
  </w:style>
  <w:style w:type="character" w:styleId="1317" w:customStyle="1">
    <w:name w:val="批注框文本 Char2"/>
    <w:basedOn w:val="772"/>
    <w:link w:val="782"/>
    <w:uiPriority w:val="99"/>
    <w:semiHidden/>
    <w:qFormat/>
    <w:rPr>
      <w:rFonts w:ascii="Times New Roman" w:hAnsi="Times New Roman"/>
      <w:sz w:val="18"/>
      <w:szCs w:val="18"/>
    </w:rPr>
  </w:style>
  <w:style w:type="numbering" w:styleId="1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1C38C5-E390-4FF7-A1F6-DED56D1602B3}"/>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17</cp:revision>
  <dcterms:created xsi:type="dcterms:W3CDTF">2026-05-18T02:00:00Z</dcterms:created>
  <dcterms:modified xsi:type="dcterms:W3CDTF">2026-06-05T06:54:58Z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eyJoZGlkIjoiYjUwMGY0M2I4ZDBmZTRjNzExMzdjNDVjMjQzN2UwNmUiLCJ1c2VySWQiOiIxNTU1OTMyNzY0In0=</vt:lpwstr>
  </property>
  <property fmtid="{D5CDD505-2E9C-101B-9397-08002B2CF9AE}" pid="3" name="KSOProductBuildVer">
    <vt:lpwstr>2052-12.1.0.26895</vt:lpwstr>
  </property>
  <property fmtid="{D5CDD505-2E9C-101B-9397-08002B2CF9AE}" pid="4" name="ICV">
    <vt:lpwstr>25D571126AEB45E396E68EE0B3964B1B_12</vt:lpwstr>
  </property>
</Properties>
</file>