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bookmarkStart w:id="11" w:name="_GoBack"/>
      <w:r/>
      <w:bookmarkEnd w:id="11"/>
      <w:r>
        <w:rPr>
          <w:rFonts w:hint="eastAsia" w:ascii="宋体" w:hAnsi="宋体"/>
          <w:b/>
          <w:color w:val="auto"/>
          <w:spacing w:val="40"/>
          <w:sz w:val="96"/>
          <w:szCs w:val="96"/>
          <w:highlight w:val="none"/>
        </w:rPr>
        <w:t xml:space="preserve">谈 判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b/>
          <w:color w:val="auto"/>
          <w:sz w:val="32"/>
          <w:highlight w:val="none"/>
          <w:lang w:eastAsia="zh-CN"/>
        </w:rPr>
        <w:t xml:space="preserve">JSZC-320509-SZWK-T2026-0163</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江苏盛泽医院</w:t>
      </w:r>
      <w:r/>
    </w:p>
    <w:p>
      <w:pPr>
        <w:ind w:left="2883" w:hanging="1606"/>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江苏盛泽医院输注工作站</w:t>
      </w:r>
      <w:r/>
    </w:p>
    <w:p>
      <w:pPr>
        <w:pStyle w:val="842"/>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ascii="宋体" w:hAnsi="宋体" w:cs="宋体"/>
          <w:b/>
          <w:color w:val="auto"/>
          <w:szCs w:val="21"/>
          <w:highlight w:val="none"/>
        </w:rPr>
        <mc:AlternateContent>
          <mc:Choice Requires="wpg">
            <w:drawing>
              <wp:inline xmlns:wp="http://schemas.openxmlformats.org/drawingml/2006/wordprocessingDrawing" distT="0" distB="0" distL="0" distR="0">
                <wp:extent cx="2725420" cy="12763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3"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月</w:t>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ind w:firstLine="1044"/>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竞争性谈判公告</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ind w:firstLine="560"/>
        <w:tabs>
          <w:tab w:val="left" w:pos="315" w:leader="none"/>
          <w:tab w:val="center" w:pos="4153" w:leader="none"/>
        </w:tabs>
        <w:rPr>
          <w:rFonts w:eastAsia="黑体"/>
          <w:color w:val="auto"/>
          <w:sz w:val="28"/>
          <w:szCs w:val="28"/>
          <w:highlight w:val="none"/>
        </w:rPr>
        <w:outlineLvl w:val="0"/>
      </w:pPr>
      <w:r>
        <w:rPr>
          <w:rFonts w:hint="eastAsia" w:ascii="黑体" w:eastAsia="黑体"/>
          <w:color w:val="auto"/>
          <w:sz w:val="28"/>
          <w:szCs w:val="28"/>
          <w:highlight w:val="none"/>
        </w:rPr>
        <w:t xml:space="preserve">合同一般条款</w:t>
      </w:r>
      <w:r/>
    </w:p>
    <w:p>
      <w:pPr>
        <w:ind w:left="1280"/>
        <w:tabs>
          <w:tab w:val="left" w:pos="315" w:leader="none"/>
          <w:tab w:val="center" w:pos="4153" w:leader="none"/>
        </w:tabs>
        <w:rPr>
          <w:rFonts w:eastAsia="黑体"/>
          <w:color w:val="auto"/>
          <w:highlight w:val="none"/>
        </w:rPr>
        <w:outlineLvl w:val="0"/>
      </w:pPr>
      <w:r>
        <w:rPr>
          <w:rFonts w:hint="eastAsia" w:ascii="黑体" w:eastAsia="黑体"/>
          <w:color w:val="auto"/>
          <w:sz w:val="28"/>
          <w:szCs w:val="28"/>
          <w:highlight w:val="none"/>
        </w:rPr>
        <w:t xml:space="preserve">六、                 合同主要条款</w:t>
      </w:r>
      <w:r/>
    </w:p>
    <w:p>
      <w:pPr>
        <w:ind w:left="128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七、                 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jc w:val="center"/>
        <w:rPr>
          <w:rFonts w:ascii="黑体" w:eastAsia="黑体"/>
          <w:b/>
          <w:bCs/>
          <w:color w:val="auto"/>
          <w:sz w:val="32"/>
          <w:szCs w:val="32"/>
          <w:highlight w:val="none"/>
        </w:rPr>
        <w:outlineLvl w:val="0"/>
      </w:pPr>
      <w:r>
        <w:rPr>
          <w:rFonts w:hint="eastAsia" w:ascii="黑体" w:eastAsia="黑体"/>
          <w:b/>
          <w:color w:val="auto"/>
          <w:sz w:val="32"/>
          <w:szCs w:val="32"/>
          <w:highlight w:val="none"/>
        </w:rPr>
        <w:br w:type="page" w:clear="all"/>
      </w:r>
      <w:r>
        <w:rPr>
          <w:rFonts w:hint="eastAsia" w:ascii="黑体" w:eastAsia="黑体"/>
          <w:b/>
          <w:color w:val="auto"/>
          <w:sz w:val="32"/>
          <w:szCs w:val="32"/>
          <w:highlight w:val="none"/>
        </w:rPr>
        <w:t xml:space="preserve">一、竞争性谈判公告</w:t>
      </w:r>
      <w:r/>
    </w:p>
    <w:p>
      <w:pPr>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江苏盛泽医院输注工作站</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26</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rPr>
          <w:rFonts w:ascii="宋体" w:hAnsi="宋体" w:cs="宋体"/>
          <w:color w:val="auto"/>
          <w:sz w:val="24"/>
          <w:highlight w:val="none"/>
          <w:lang w:val="zh-CN"/>
        </w:rPr>
        <w:outlineLvl w:val="1"/>
      </w:pPr>
      <w:r/>
      <w:bookmarkStart w:id="0" w:name="_Toc28359089"/>
      <w:r/>
      <w:bookmarkStart w:id="1" w:name="_Toc35393629"/>
      <w:r/>
      <w:bookmarkStart w:id="2" w:name="_Toc28359012"/>
      <w:r/>
      <w:bookmarkStart w:id="3" w:name="_Toc35393798"/>
      <w:r>
        <w:rPr>
          <w:rFonts w:hint="eastAsia" w:ascii="宋体" w:hAnsi="宋体" w:cs="宋体"/>
          <w:color w:val="auto"/>
          <w:sz w:val="24"/>
          <w:highlight w:val="none"/>
          <w:lang w:val="zh-CN"/>
        </w:rPr>
        <w:t xml:space="preserve">一、项目基本情况</w:t>
      </w:r>
      <w:bookmarkEnd w:id="0"/>
      <w:r/>
      <w:bookmarkEnd w:id="1"/>
      <w:r/>
      <w:bookmarkEnd w:id="2"/>
      <w:r/>
      <w:bookmarkEnd w:id="3"/>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项目编号：</w:t>
      </w:r>
      <w:r>
        <w:rPr>
          <w:rFonts w:hint="eastAsia" w:ascii="宋体" w:hAnsi="宋体" w:cs="宋体"/>
          <w:color w:val="auto"/>
          <w:sz w:val="24"/>
          <w:highlight w:val="none"/>
          <w:lang w:val="zh-CN"/>
        </w:rPr>
        <w:t xml:space="preserve">JSZC-320509-SZWK-T2026-0163</w:t>
      </w:r>
      <w:r/>
    </w:p>
    <w:p>
      <w:pPr>
        <w:ind w:firstLine="48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项目名称：</w:t>
      </w:r>
      <w:r>
        <w:rPr>
          <w:rFonts w:hint="eastAsia" w:ascii="宋体" w:hAnsi="宋体" w:cs="宋体"/>
          <w:color w:val="auto"/>
          <w:sz w:val="24"/>
          <w:highlight w:val="none"/>
          <w:lang w:eastAsia="zh-CN"/>
        </w:rPr>
        <w:t xml:space="preserve">江苏盛泽医院输注工作站</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采购方式：竞争性谈判</w:t>
      </w:r>
      <w:r/>
    </w:p>
    <w:p>
      <w:pPr>
        <w:ind w:firstLine="480"/>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壹佰叁拾万元整（￥：1300000.00）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捌拾叁万元整（￥：830000.00）</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.采购需求：</w:t>
      </w:r>
      <w:r/>
    </w:p>
    <w:tbl>
      <w:tblPr>
        <w:tblStyle w:val="738"/>
        <w:tblW w:w="8566" w:type="dxa"/>
        <w:tblInd w:w="0" w:type="dxa"/>
        <w:tblLayout w:type="fixed"/>
        <w:tblCellMar>
          <w:left w:w="108" w:type="dxa"/>
          <w:top w:w="0" w:type="dxa"/>
          <w:right w:w="108" w:type="dxa"/>
          <w:bottom w:w="0" w:type="dxa"/>
        </w:tblCellMar>
        <w:tblLook w:val="04A0" w:firstRow="1" w:lastRow="0" w:firstColumn="1" w:lastColumn="0" w:noHBand="0" w:noVBand="1"/>
      </w:tblPr>
      <w:tblGrid>
        <w:gridCol w:w="751"/>
        <w:gridCol w:w="2910"/>
        <w:gridCol w:w="1155"/>
        <w:gridCol w:w="1470"/>
        <w:gridCol w:w="1275"/>
        <w:gridCol w:w="1005"/>
      </w:tblGrid>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预算</w:t>
            </w:r>
            <w:r/>
          </w:p>
        </w:tc>
        <w:tc>
          <w:tcPr>
            <w:shd w:val="clear" w:color="auto" w:fill="auto"/>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rPr>
              <w:t xml:space="preserve">最高限价</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输注工作站</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26套</w:t>
            </w:r>
            <w:r/>
          </w:p>
        </w:tc>
        <w:tc>
          <w:tcPr>
            <w:tcBorders>
              <w:left w:val="non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130万元</w:t>
            </w:r>
            <w:r/>
          </w:p>
        </w:tc>
        <w:tc>
          <w:tcPr>
            <w:shd w:val="clear" w:color="auto" w:fill="auto"/>
            <w:tcBorders>
              <w:left w:val="non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83万元</w:t>
            </w:r>
            <w:r/>
          </w:p>
        </w:tc>
        <w:tc>
          <w:tcPr>
            <w:tcBorders>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bl>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.合同履行期限：</w:t>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.1、交货时间：</w:t>
      </w:r>
      <w:r>
        <w:rPr>
          <w:rFonts w:hint="eastAsia" w:ascii="宋体" w:hAnsi="宋体" w:cs="宋体"/>
          <w:color w:val="auto"/>
          <w:sz w:val="24"/>
          <w:szCs w:val="24"/>
          <w:highlight w:val="none"/>
          <w:lang w:val="en-US" w:eastAsia="zh-CN"/>
        </w:rPr>
        <w:t xml:space="preserve">接到甲方通知</w:t>
      </w:r>
      <w:r>
        <w:rPr>
          <w:rFonts w:hint="eastAsia" w:ascii="宋体" w:hAnsi="宋体" w:eastAsia="宋体" w:cs="宋体"/>
          <w:color w:val="auto"/>
          <w:sz w:val="24"/>
          <w:szCs w:val="24"/>
          <w:highlight w:val="none"/>
          <w:lang w:val="en-US" w:eastAsia="zh-CN"/>
        </w:rPr>
        <w:t xml:space="preserve">后，在30天内交货。如无特殊原因必须在</w:t>
      </w:r>
      <w:r>
        <w:rPr>
          <w:rFonts w:hint="eastAsia" w:ascii="宋体" w:hAnsi="宋体" w:cs="宋体"/>
          <w:color w:val="auto"/>
          <w:sz w:val="24"/>
          <w:szCs w:val="24"/>
          <w:highlight w:val="none"/>
          <w:lang w:val="en-US" w:eastAsia="zh-CN"/>
        </w:rPr>
        <w:t xml:space="preserve">安装后</w:t>
      </w:r>
      <w:r>
        <w:rPr>
          <w:rFonts w:hint="eastAsia" w:ascii="宋体" w:hAnsi="宋体" w:eastAsia="宋体" w:cs="宋体"/>
          <w:color w:val="auto"/>
          <w:sz w:val="24"/>
          <w:szCs w:val="24"/>
          <w:highlight w:val="none"/>
          <w:lang w:val="en-US" w:eastAsia="zh-CN"/>
        </w:rPr>
        <w:t xml:space="preserve">6个月内完成验收，具体根据采购单位要求。</w:t>
      </w:r>
      <w:r/>
    </w:p>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.2、质保期：原厂质保≥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年（质保期自设备经验收合格之日起计算）</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8.本项目不接受联合体投标，</w:t>
      </w:r>
      <w:r>
        <w:rPr>
          <w:rFonts w:hint="eastAsia" w:ascii="宋体" w:hAnsi="宋体" w:cs="宋体"/>
          <w:color w:val="auto"/>
          <w:sz w:val="24"/>
          <w:highlight w:val="none"/>
        </w:rPr>
        <w:t xml:space="preserve">不接受转包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bidi="ar"/>
        </w:rPr>
        <w:t xml:space="preserve">不</w:t>
      </w:r>
      <w:r>
        <w:rPr>
          <w:rFonts w:hint="eastAsia" w:ascii="宋体" w:hAnsi="宋体" w:cs="宋体"/>
          <w:color w:val="auto"/>
          <w:sz w:val="24"/>
          <w:highlight w:val="none"/>
          <w:lang w:bidi="ar"/>
        </w:rPr>
        <w:t xml:space="preserve">接受进口产品投标</w:t>
      </w:r>
      <w:r>
        <w:rPr>
          <w:rFonts w:hint="eastAsia" w:ascii="宋体" w:hAnsi="宋体" w:cs="宋体"/>
          <w:color w:val="auto"/>
          <w:sz w:val="24"/>
          <w:highlight w:val="none"/>
          <w:lang w:val="zh-CN"/>
        </w:rPr>
        <w:t xml:space="preserve">。</w:t>
      </w:r>
      <w:r/>
    </w:p>
    <w:p>
      <w:pPr>
        <w:ind w:firstLine="482"/>
        <w:rPr>
          <w:rFonts w:hint="eastAsia" w:ascii="宋体" w:hAnsi="宋体" w:cs="宋体"/>
          <w:color w:val="auto"/>
          <w:sz w:val="24"/>
          <w:szCs w:val="24"/>
          <w:highlight w:val="none"/>
        </w:rPr>
      </w:pPr>
      <w:r/>
      <w:bookmarkStart w:id="4" w:name="_Toc28359018"/>
      <w:r/>
      <w:bookmarkStart w:id="5" w:name="_Toc28359095"/>
      <w:r/>
      <w:bookmarkStart w:id="6" w:name="_Toc35393805"/>
      <w:r/>
      <w:bookmarkStart w:id="7" w:name="_Toc35393636"/>
      <w:r>
        <w:rPr>
          <w:rFonts w:hint="eastAsia" w:ascii="宋体" w:hAnsi="宋体" w:cs="宋体"/>
          <w:b/>
          <w:bCs/>
          <w:color w:val="auto"/>
          <w:sz w:val="24"/>
          <w:szCs w:val="24"/>
          <w:highlight w:val="none"/>
        </w:rPr>
        <w:t xml:space="preserve">二、申请人的资格要求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必须为中小微企业或残疾人福利性单位或监狱企业，并在投标文件中提供相关声明函或监狱企业证明文件，否则为无效投标），本项目所属行业为工业。</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hint="eastAsia" w:ascii="宋体" w:hAnsi="宋体" w:eastAsia="宋体"/>
          <w:b/>
          <w:bCs/>
          <w:color w:val="auto"/>
          <w:sz w:val="24"/>
          <w:szCs w:val="24"/>
          <w:highlight w:val="none"/>
          <w:lang w:eastAsia="zh-CN"/>
        </w:rPr>
      </w:pPr>
      <w:r>
        <w:rPr>
          <w:rFonts w:ascii="宋体" w:hAnsi="宋体"/>
          <w:b/>
          <w:bCs/>
          <w:color w:val="auto"/>
          <w:sz w:val="24"/>
          <w:szCs w:val="24"/>
          <w:highlight w:val="none"/>
        </w:rPr>
        <w:t xml:space="preserve">三、获取</w:t>
      </w:r>
      <w:r>
        <w:rPr>
          <w:rFonts w:hint="eastAsia" w:ascii="宋体" w:hAnsi="宋体"/>
          <w:b/>
          <w:bCs/>
          <w:color w:val="auto"/>
          <w:sz w:val="24"/>
          <w:szCs w:val="24"/>
          <w:highlight w:val="none"/>
          <w:lang w:eastAsia="zh-CN"/>
        </w:rPr>
        <w:t xml:space="preserve">采购文件</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1、获取时间：自采购公告发布之日起</w:t>
      </w:r>
      <w:r>
        <w:rPr>
          <w:rFonts w:hint="eastAsia" w:ascii="宋体" w:hAnsi="宋体" w:cs="宋体"/>
          <w:color w:val="auto"/>
          <w:sz w:val="24"/>
          <w:szCs w:val="24"/>
          <w:highlight w:val="none"/>
          <w:lang w:eastAsia="zh-CN"/>
        </w:rPr>
        <w:t xml:space="preserve">三个工作日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w:t>
      </w:r>
      <w:r>
        <w:rPr>
          <w:rFonts w:hint="eastAsia" w:ascii="宋体" w:hAnsi="宋体" w:cs="宋体"/>
          <w:b/>
          <w:bCs/>
          <w:color w:val="auto"/>
          <w:sz w:val="24"/>
          <w:szCs w:val="24"/>
          <w:highlight w:val="none"/>
          <w:lang w:eastAsia="zh-CN"/>
        </w:rPr>
        <w:t xml:space="preserve">响应文件</w:t>
      </w:r>
      <w:r>
        <w:rPr>
          <w:rFonts w:hint="eastAsia" w:ascii="宋体" w:hAnsi="宋体" w:cs="宋体"/>
          <w:b/>
          <w:bCs/>
          <w:color w:val="auto"/>
          <w:sz w:val="24"/>
          <w:szCs w:val="24"/>
          <w:highlight w:val="none"/>
        </w:rPr>
        <w:t xml:space="preserve">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有关供应商注册、获取采购文件、下载电子</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w:t>
      </w:r>
      <w:r>
        <w:rPr>
          <w:rFonts w:hint="eastAsia" w:ascii="宋体" w:hAnsi="宋体" w:cs="宋体"/>
          <w:color w:val="auto"/>
          <w:sz w:val="24"/>
          <w:szCs w:val="24"/>
          <w:highlight w:val="none"/>
          <w:lang w:eastAsia="zh-CN"/>
        </w:rPr>
        <w:t xml:space="preserve">录</w:t>
      </w:r>
      <w:r>
        <w:rPr>
          <w:rFonts w:hint="eastAsia" w:ascii="宋体" w:hAnsi="宋体" w:cs="宋体"/>
          <w:color w:val="auto"/>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开标时无需到开标现场进行解密，采取网上开标大厅解密电子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使用CA数字证书进行远程解密，解密的CA数字证书与生成加密电子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时的CA数字证书需为同一个CA数字证书，否则无法解密，造成的后果由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。解密时间为30分钟，未在规定时间内完成解密，其</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代表须在网上不见面开标系统中保持在线状态，以应对可能发生的澄清、说明等回复，由于</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代表不在线所造成的一切后果由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1、采购人信息</w:t>
      </w:r>
      <w:r/>
    </w:p>
    <w:p>
      <w:pPr>
        <w:ind w:firstLine="480"/>
        <w:jc w:val="left"/>
        <w:tabs>
          <w:tab w:val="left" w:pos="315" w:leader="none"/>
          <w:tab w:val="center" w:pos="4153"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采购人：</w:t>
      </w:r>
      <w:r>
        <w:rPr>
          <w:rFonts w:hint="eastAsia" w:ascii="宋体" w:hAnsi="宋体" w:cs="宋体"/>
          <w:bCs/>
          <w:color w:val="auto"/>
          <w:sz w:val="24"/>
          <w:highlight w:val="none"/>
          <w:lang w:eastAsia="zh-CN"/>
        </w:rPr>
        <w:t xml:space="preserve">江苏盛泽医院</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联系人：</w:t>
      </w:r>
      <w:r>
        <w:rPr>
          <w:rFonts w:hint="eastAsia" w:ascii="宋体" w:hAnsi="宋体" w:eastAsia="宋体" w:cs="宋体"/>
          <w:bCs/>
          <w:color w:val="auto"/>
          <w:sz w:val="24"/>
          <w:highlight w:val="none"/>
          <w:lang w:val="en-US" w:eastAsia="zh-CN"/>
        </w:rPr>
        <w:t xml:space="preserve">李腾云</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联系电话：0512-</w:t>
      </w:r>
      <w:r>
        <w:rPr>
          <w:rFonts w:hint="eastAsia" w:ascii="宋体" w:hAnsi="宋体" w:eastAsia="宋体" w:cs="宋体"/>
          <w:bCs/>
          <w:color w:val="auto"/>
          <w:sz w:val="24"/>
          <w:highlight w:val="none"/>
          <w:lang w:val="en-US" w:eastAsia="zh-CN"/>
        </w:rPr>
        <w:t xml:space="preserve">63097078</w:t>
      </w:r>
      <w:r>
        <w:rPr>
          <w:rFonts w:hint="eastAsia" w:ascii="宋体" w:hAnsi="宋体" w:eastAsia="宋体" w:cs="宋体"/>
          <w:bCs/>
          <w:color w:val="auto"/>
          <w:sz w:val="24"/>
          <w:highlight w:val="none"/>
        </w:rPr>
        <w:t xml:space="preserve">　</w:t>
      </w:r>
      <w:r/>
    </w:p>
    <w:p>
      <w:pPr>
        <w:ind w:firstLine="480"/>
        <w:jc w:val="left"/>
        <w:tabs>
          <w:tab w:val="left" w:pos="315" w:leader="none"/>
          <w:tab w:val="center" w:pos="4153"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地址：苏州市吴江区盛泽镇市场西路1399号</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名 称：苏州市卫康招投标咨询服务有限公司</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地　址：苏州市干将西路1296号深业姑苏中心17层</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联系方式：0512-69165625</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项目联系人：沈超、吕兆莉</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电　话：0512-69165613</w:t>
      </w:r>
      <w:r/>
    </w:p>
    <w:p>
      <w:pPr>
        <w:ind w:firstLine="480"/>
        <w:jc w:val="right"/>
        <w:rPr>
          <w:rFonts w:ascii="宋体" w:hAnsi="宋体" w:cs="宋体"/>
          <w:color w:val="auto"/>
          <w:sz w:val="24"/>
          <w:highlight w:val="none"/>
        </w:rPr>
      </w:pPr>
      <w:r>
        <w:rPr>
          <w:rFonts w:hint="eastAsia" w:ascii="宋体" w:hAnsi="宋体" w:cs="宋体"/>
          <w:color w:val="auto"/>
          <w:sz w:val="24"/>
          <w:highlight w:val="none"/>
        </w:rPr>
        <w:t xml:space="preserve">苏州市卫康招投标咨询服务有限公司</w:t>
      </w:r>
      <w:bookmarkEnd w:id="4"/>
      <w:r/>
      <w:bookmarkEnd w:id="5"/>
      <w:r/>
      <w:bookmarkEnd w:id="6"/>
      <w:r/>
      <w:bookmarkEnd w:id="7"/>
      <w:r/>
      <w:r/>
    </w:p>
    <w:p>
      <w:pPr>
        <w:ind w:firstLine="64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1.合格谈判供应商的资格条件</w:t>
      </w:r>
      <w:r/>
    </w:p>
    <w:p>
      <w:pPr>
        <w:pStyle w:val="1017"/>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1017"/>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谈判费用</w:t>
      </w:r>
      <w:r/>
    </w:p>
    <w:p>
      <w:pPr>
        <w:pStyle w:val="1017"/>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1017"/>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bidi="ar"/>
        </w:rPr>
        <w:t xml:space="preserve">4.2.无论谈判过程中的做法和结果如何，谈判供应商自行承担所有与参加谈判有关的全部费用。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5.谈判采购文件</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5.1.谈判采购文件的内容如下：</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竞争性谈判公告</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谈判采购文件后，应仔细检查谈判文件的所有内容，如有残缺等问题应向谈判采购单位提出，否则，由此产生的影响由供应商自己承担。供应商同时应认真审阅文件中所有的事项、格式、条款和规范要求等，若供应商的响应文件没有按谈判文件要求提交全部资料，或响应文件没有对谈判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6.谈判文件的澄清和修改</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应当在提交首次响应文件截止时间至少3个工作日前，以书面形式通知所有获取谈判文件的供应商；不足3个工作日的，采购人、采购代理机构应当顺延提交首次响应文件截止时间。</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6.2.谈判文件的澄清、修改等内容与竞争性谈判文件在同一内容的表述上不一致时，以发出日期最接近谈判时间的公告为准。</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6.3.谈判文件的澄清、修改等内容均将在财政部门指定的政府采购信息发布媒体上发布，作为谈判文件的组成部分，对供应商起约束作用。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7.1.响应文件中所使用的计量单位，除竞争性谈判文件中有特殊要求外，均应使用中华人民共和国法定计量单位。</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7.2.响应文件应使用中文编制，响应文件中使用其他文字的，必须附有中文译本，且以中文译本为准。对于未附有中文译本和中文译本不准确的响应文件可能引起的对供应商不利的后果，谈判采购单位概不负责。</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8.谈判响应文件的组成：（部分格式见附件）</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8.1封面</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8.2开标一览表</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8.3资格证明材料（不提供或者提供不符合要求的视为不符合资格条件要求，为无效响应）：</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1</w:t>
      </w:r>
      <w:r>
        <w:rPr>
          <w:rFonts w:hint="eastAsia" w:ascii="宋体" w:hAnsi="宋体" w:eastAsia="宋体" w:cs="Times New Roman"/>
          <w:b/>
          <w:bCs/>
          <w:color w:val="auto"/>
          <w:sz w:val="21"/>
          <w:szCs w:val="21"/>
          <w:highlight w:val="none"/>
          <w:lang w:val="zh-CN"/>
        </w:rPr>
        <w:t xml:space="preserve">）具有独立承担民事责任的能力证明。包括法人或者其他组织的营业执照等证明文件，自然人的身份证明。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lang w:val="zh-CN"/>
        </w:rPr>
        <w:t xml:space="preserve">）具有良好的商业信誉和健全的财务会计制度证明。包括最近一期经审计的财务报告或提供银行出具的资信证明。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zh-CN"/>
        </w:rPr>
        <w:t xml:space="preserve">）承诺具有履行合同所必备的设备和专业技术能力的证明材料。</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4</w:t>
      </w:r>
      <w:r>
        <w:rPr>
          <w:rFonts w:hint="eastAsia" w:ascii="宋体" w:hAnsi="宋体" w:eastAsia="宋体" w:cs="Times New Roman"/>
          <w:b/>
          <w:bCs/>
          <w:color w:val="auto"/>
          <w:sz w:val="21"/>
          <w:szCs w:val="21"/>
          <w:highlight w:val="none"/>
          <w:lang w:val="zh-CN"/>
        </w:rPr>
        <w:t xml:space="preserve">）有依法缴纳税收和社会保障资金的良好记录。</w:t>
      </w:r>
      <w:r>
        <w:rPr>
          <w:rFonts w:hint="eastAsia" w:ascii="宋体" w:hAnsi="宋体" w:eastAsia="宋体" w:cs="Times New Roman"/>
          <w:b/>
          <w:bCs/>
          <w:color w:val="auto"/>
          <w:sz w:val="21"/>
          <w:szCs w:val="21"/>
          <w:highlight w:val="none"/>
          <w:lang w:val="en-US" w:eastAsia="zh-CN"/>
        </w:rPr>
        <w:t xml:space="preserve">包括最近一期</w:t>
      </w:r>
      <w:r>
        <w:rPr>
          <w:rFonts w:hint="eastAsia" w:ascii="宋体" w:hAnsi="宋体" w:eastAsia="宋体" w:cs="Times New Roman"/>
          <w:b/>
          <w:bCs/>
          <w:color w:val="auto"/>
          <w:sz w:val="21"/>
          <w:szCs w:val="21"/>
          <w:highlight w:val="none"/>
          <w:lang w:val="zh-CN"/>
        </w:rPr>
        <w:t xml:space="preserve">依法缴纳税收的凭据，</w:t>
      </w:r>
      <w:r>
        <w:rPr>
          <w:rFonts w:hint="eastAsia" w:ascii="宋体" w:hAnsi="宋体" w:eastAsia="宋体" w:cs="Times New Roman"/>
          <w:b/>
          <w:bCs/>
          <w:color w:val="auto"/>
          <w:sz w:val="21"/>
          <w:szCs w:val="21"/>
          <w:highlight w:val="none"/>
          <w:lang w:val="zh-CN" w:eastAsia="zh-CN"/>
        </w:rPr>
        <w:t xml:space="preserve">最近一期</w:t>
      </w:r>
      <w:r>
        <w:rPr>
          <w:rFonts w:hint="eastAsia" w:ascii="宋体" w:hAnsi="宋体" w:eastAsia="宋体" w:cs="Times New Roman"/>
          <w:b/>
          <w:bCs/>
          <w:color w:val="auto"/>
          <w:sz w:val="21"/>
          <w:szCs w:val="21"/>
          <w:highlight w:val="none"/>
          <w:lang w:val="zh-CN"/>
        </w:rPr>
        <w:t xml:space="preserve">依法缴纳社会保险的凭据（专用收据或社会保险缴纳清单）。</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zh-CN" w:eastAsia="zh-CN"/>
        </w:rPr>
        <w:t xml:space="preserve">5</w:t>
      </w:r>
      <w:r>
        <w:rPr>
          <w:rFonts w:hint="eastAsia" w:ascii="宋体" w:hAnsi="宋体" w:eastAsia="宋体" w:cs="Times New Roman"/>
          <w:b/>
          <w:bCs/>
          <w:color w:val="auto"/>
          <w:sz w:val="21"/>
          <w:szCs w:val="21"/>
          <w:highlight w:val="none"/>
          <w:lang w:val="zh-CN"/>
        </w:rPr>
        <w:t xml:space="preserve">）参加政府采购活动前三年内在经营活动中没有重大违法记录的书面声明函。</w:t>
      </w:r>
      <w:r/>
    </w:p>
    <w:p>
      <w:pPr>
        <w:ind w:firstLine="439"/>
        <w:spacing w:line="400" w:lineRule="exact"/>
        <w:rPr>
          <w:rFonts w:hint="eastAsia" w:ascii="宋体" w:hAnsi="宋体" w:eastAsia="宋体" w:cs="Times New Roman"/>
          <w:b/>
          <w:bCs/>
          <w:color w:val="auto"/>
          <w:szCs w:val="21"/>
          <w:highlight w:val="none"/>
          <w:lang w:val="zh-CN" w:eastAsia="zh-CN"/>
        </w:rPr>
      </w:pPr>
      <w:r>
        <w:rPr>
          <w:rFonts w:hint="eastAsia" w:ascii="宋体" w:hAnsi="宋体" w:cs="Times New Roman"/>
          <w:b/>
          <w:bCs/>
          <w:color w:val="auto"/>
          <w:szCs w:val="21"/>
          <w:highlight w:val="none"/>
          <w:lang w:val="zh-CN" w:eastAsia="zh-CN"/>
        </w:rPr>
        <w:t xml:space="preserve">（6）所投产品的医疗器械经营资格复印件。</w:t>
      </w:r>
      <w:r/>
    </w:p>
    <w:p>
      <w:pPr>
        <w:ind w:firstLine="439"/>
        <w:spacing w:line="400" w:lineRule="exact"/>
        <w:rPr>
          <w:rFonts w:hint="eastAsia" w:ascii="宋体" w:hAnsi="宋体" w:eastAsia="宋体" w:cs="Times New Roman"/>
          <w:b/>
          <w:bCs/>
          <w:color w:val="auto"/>
          <w:szCs w:val="21"/>
          <w:highlight w:val="none"/>
          <w:lang w:val="zh-CN" w:eastAsia="zh-CN"/>
        </w:rPr>
      </w:pPr>
      <w:r>
        <w:rPr>
          <w:rFonts w:hint="eastAsia" w:ascii="宋体" w:hAnsi="宋体" w:cs="Times New Roman"/>
          <w:b/>
          <w:bCs/>
          <w:color w:val="auto"/>
          <w:szCs w:val="21"/>
          <w:highlight w:val="none"/>
          <w:lang w:val="zh-CN" w:eastAsia="zh-CN"/>
        </w:rPr>
        <w:t xml:space="preserve">（7）《中小企业声明函》</w:t>
      </w:r>
      <w:r/>
    </w:p>
    <w:p>
      <w:pPr>
        <w:ind w:firstLine="422"/>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8.4符合性响应证明材料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（1）谈判报价明细分析表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技术参数</w:t>
      </w:r>
      <w:r>
        <w:rPr>
          <w:rFonts w:hint="eastAsia" w:ascii="宋体" w:hAnsi="宋体" w:cs="宋体"/>
          <w:color w:val="auto"/>
          <w:szCs w:val="21"/>
          <w:highlight w:val="none"/>
        </w:rPr>
        <w:t xml:space="preserve">对照表；</w:t>
      </w:r>
      <w:r/>
    </w:p>
    <w:p>
      <w:pPr>
        <w:ind w:firstLine="422"/>
        <w:spacing w:line="420" w:lineRule="exact"/>
        <w:rPr>
          <w:rFonts w:ascii="宋体" w:hAnsi="宋体" w:cs="宋体"/>
          <w:b/>
          <w:bCs/>
          <w:color w:val="auto"/>
          <w:highlight w:val="none"/>
        </w:rPr>
      </w:pPr>
      <w:r>
        <w:rPr>
          <w:rFonts w:hint="eastAsia" w:ascii="宋体" w:hAnsi="宋体" w:cs="宋体"/>
          <w:b/>
          <w:bCs/>
          <w:color w:val="auto"/>
          <w:highlight w:val="none"/>
        </w:rPr>
        <w:t xml:space="preserve">8.5综合评审评分材料：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（1）与本次谈判采购相关的其他资料及评标标准中要求提供的材料；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响应文件由上述8.1-8.5规定的内容共同组成。</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必须提交上述规定的资料，并须按照“谈判响应文件的组成”将相关材料上传至相应模块。否则，响应文件将可能因资格性条件不符或未实质性响应采购文件而被拒绝。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bidi="ar"/>
        </w:rPr>
        <w:t xml:space="preserve">（1）</w:t>
      </w:r>
      <w:r>
        <w:rPr>
          <w:rFonts w:hint="eastAsia" w:ascii="宋体" w:hAnsi="宋体" w:cs="宋体"/>
          <w:color w:val="auto"/>
          <w:szCs w:val="21"/>
          <w:highlight w:val="none"/>
          <w:lang w:bidi="ar"/>
        </w:rPr>
        <w:t xml:space="preserve">系统中下载采购文件后，点击“客户端下载地址”，下载响应文件客户端，查看客户端使用说明。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（2）将下载的采购文件导入响应文件客户端，按照使用说明完成响应文件的编制和加盖电子签章。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（3）导出制作完成的响应文件，上传至苏采云系统。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注：具体响应文件编制教程查看苏采云系统中的客户端使用说明和供应商《操作手册》。</w:t>
      </w:r>
      <w:r/>
    </w:p>
    <w:p>
      <w:pPr>
        <w:pStyle w:val="765"/>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7.3pt;height:40.5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10.1.谈判报价应包括完成该标的物全部内容的一切费用。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10.2.响应人应按《谈判报价分析表》中的全部项目计算单价和总价。《谈判报价分析表》中的每一单项均应计算并填写单价和总价，并由法定代表人或代理人签署。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10.3.响应人应对谈判文件内所要采购的全部内容进行报价，只投其中部分内容者，其响应文件将被拒绝。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11.谈判有效期</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11.1.谈判响应文件的有效期为30日历天，在此期间内，响应文件应保持有效。有效期短于这个规定期限的，将被拒绝。</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11.2.特殊情况下，谈判采购单位可与谈判供应商协商延缓谈判响应谈判文件的有效期，这种要求和答复均以书面形式进行。</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11.3.谈判响应方可拒绝接受延期要求而放弃谈判，同意延长有效期的谈判响应方不能修改谈判响应文件。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12.谈判响应截止时间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12.1.响应文件必须在谈判截止时间前提交。截止时间以后提交的响应文件，采购人或采购代理机构将拒绝接收。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12.2.采购人或者采购代理机构推迟谈判截止时间时，将以更正公告的形式，通知所有响应人。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13.谈判响应文件修改和撤回</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13.1.响应文件的修改应在投标截止时间前进行。</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13.2.投标截止时间前，</w:t>
      </w:r>
      <w:r>
        <w:rPr>
          <w:rFonts w:hint="eastAsia"/>
          <w:color w:val="auto"/>
          <w:sz w:val="21"/>
          <w:szCs w:val="21"/>
          <w:highlight w:val="none"/>
          <w:lang w:eastAsia="zh-CN" w:bidi="ar"/>
        </w:rPr>
        <w:t xml:space="preserve">响应单位</w:t>
      </w:r>
      <w:r>
        <w:rPr>
          <w:rFonts w:hint="eastAsia"/>
          <w:color w:val="auto"/>
          <w:sz w:val="21"/>
          <w:szCs w:val="21"/>
          <w:highlight w:val="none"/>
          <w:lang w:bidi="ar"/>
        </w:rPr>
        <w:t xml:space="preserve">可以撤回投标。</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14.谈判评审程序</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14.1.谈判仪式</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谈判</w:t>
      </w:r>
      <w:r>
        <w:rPr>
          <w:rFonts w:hint="eastAsia"/>
          <w:color w:val="auto"/>
          <w:sz w:val="21"/>
          <w:szCs w:val="21"/>
          <w:highlight w:val="none"/>
          <w:lang w:val="zh-CN"/>
        </w:rPr>
        <w:t xml:space="preserve">开标。响应单位应当按照《操作手册》规定，参加</w:t>
      </w:r>
      <w:r>
        <w:rPr>
          <w:rFonts w:hint="eastAsia"/>
          <w:color w:val="auto"/>
          <w:sz w:val="21"/>
          <w:szCs w:val="21"/>
          <w:highlight w:val="none"/>
        </w:rPr>
        <w:t xml:space="preserve">谈判</w:t>
      </w:r>
      <w:r>
        <w:rPr>
          <w:rFonts w:hint="eastAsia"/>
          <w:color w:val="auto"/>
          <w:sz w:val="21"/>
          <w:szCs w:val="21"/>
          <w:highlight w:val="none"/>
          <w:lang w:val="zh-CN"/>
        </w:rPr>
        <w:t xml:space="preserve">开标活动和在苏采云系统规定的时间内对响应文件进行解密。</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开标仪式由苏采云系统自动对项目进行开标，并宣布各响应单位名称。</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14.2.谈判小组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14.2.1.谈判仪式结束后，采购代理机构将立即组织谈判小组（以下简称评委会）进行谈判。</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14.2.2.谈判小组由谈判采购单位依法组建，由采购人代表和评审专家共3人以上单数组成，其中评审专家人数不得少于谈判小组成员总数的2/3。采购人代表不得以评审专家身份参加本部门或本单位采购项目的评审。</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14.2.3.谈判小组负责具体的谈判事务，并独立履行以下职责：</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（1）确认或者制定谈判文件； </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（2）审查所有供应商的资格条件和符合性响应条款；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（3）审查供应商的响应文件并做出评价；</w:t>
      </w:r>
      <w:r/>
    </w:p>
    <w:p>
      <w:pPr>
        <w:pStyle w:val="1017"/>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（4）要求供应商解释或者澄清其响应文件；</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（6）编写评审报告；</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（7）告知采购人、采购代理机构在评审过程中发现的供应商的违法违规行为。</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14.2.4.谈判小组成员应当履行下列义务：</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（2）按照谈判文件规定的评审办法独立进行评审，对个人的评审意见承担法律责任；</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14.3.谈判工作纪律及保密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14.3.1.谈判开始后，直到宣布授予成交供应商合同为止，凡属于审查、澄清、评价和比较响应文件的所有资料，有关授予合同的信息都不应向供应商或与评审无关的其他人泄露。</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14.3.2.评审专家应当遵守评审工作纪律，不得泄露评审情况和评审中获悉的商业秘密。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14.3.3.在评审期间，谈判采购单位将通过指定联络人与供应商进行联系。</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14.4.响应文件审查</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14.4.1.谈判小组对所有响应文件进行资格条件和符合性进行审查，以确定其是否满足谈判文件的要求。</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14.4.2.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应当按照要求在苏采云系统中提交“澄清响应函”并加盖CA电子公章。澄清、说明和补正的内容作为响应文件的补充部分，具体操作方式见《操作手册》。</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谈判小组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u w:val="single"/>
          <w:lang w:val="zh-CN"/>
        </w:rPr>
        <w:t xml:space="preserve">供应商在开、评标全过程中应保持通讯畅通，及时登录苏采云系统查阅、答复相关信息，并安排专人在线与代理机构及谈判评审小组联系</w:t>
      </w:r>
      <w:r>
        <w:rPr>
          <w:rFonts w:hint="eastAsia"/>
          <w:color w:val="auto"/>
          <w:sz w:val="21"/>
          <w:szCs w:val="21"/>
          <w:highlight w:val="none"/>
          <w:lang w:val="zh-CN"/>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14.6.谈判程序、</w:t>
      </w:r>
      <w:r>
        <w:rPr>
          <w:rFonts w:hint="eastAsia"/>
          <w:color w:val="auto"/>
          <w:sz w:val="21"/>
          <w:szCs w:val="21"/>
          <w:highlight w:val="none"/>
          <w:lang w:val="en-US" w:eastAsia="zh-CN" w:bidi="ar"/>
        </w:rPr>
        <w:t xml:space="preserve">最后报价</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谈判小组所有成员应当集中与单一供应商分别进行谈判，并给予所有参加谈判的供应商平等的谈判机会。</w:t>
      </w:r>
      <w:r/>
    </w:p>
    <w:p>
      <w:pPr>
        <w:pStyle w:val="1017"/>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14.6.1谈判程序（开标结束进入评审程序后）</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首先对所有响应文件的有效性进行审查，包括对响应文件中的资格证明文件、符合性条款等进行审查，以确定供应商是否具备谈判资格。未实质性响应谈判文件的响应文件按无效响应处理，谈判小组将告知提交响应文件的供应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谈判小组将与符合相应资格条件的供应商分别进行谈判，谈判小组与单一供应商进行谈判的次数和时间视谈判时的具体情况而定。建议各供应商法定代表人或授权代理人始终保持通讯顺畅，时刻关注系统。</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14.6.2 谈判内容</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谈判过程中，谈判小组可以根据谈判文件和谈判情况实质性变动采购需求中的技术、服务要求以及合同草案条款，但不得变动谈判文件中的其他内容。对谈判文件作出的实质性变动是谈判文件的有效组成部分，谈判小组应当及时在系统中通知所有参加谈判的供应商。供应商应当按照谈判文件的变动情况和谈判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14.6.3</w:t>
      </w:r>
      <w:r>
        <w:rPr>
          <w:rFonts w:hint="eastAsia"/>
          <w:color w:val="auto"/>
          <w:sz w:val="21"/>
          <w:szCs w:val="21"/>
          <w:highlight w:val="none"/>
          <w:lang w:val="en-US" w:eastAsia="zh-CN" w:bidi="ar"/>
        </w:rPr>
        <w:t xml:space="preserve">最后报价</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（1）谈判文件能够详细列明采购标的的技术、服务要求的，谈判结束后，谈判小组将在系统中发起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流程，要求所有实质性响应的供应商在规定时间内提交最后报价。最后报价是供应商响应文件的有效组成部分。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截止时间之前，各供应商的</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将被隐藏无法显示，在到达</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截止时间后，代理机构工作人员可以查看各供应商</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。如提交</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的供应商不满三家，则本次竞争性谈判失败。</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之前，可以根据谈判情况退出谈判。</w:t>
      </w:r>
      <w:r/>
    </w:p>
    <w:p>
      <w:pPr>
        <w:pStyle w:val="1017"/>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w:t>
      </w:r>
      <w:r>
        <w:rPr>
          <w:rFonts w:hint="eastAsia"/>
          <w:b/>
          <w:bCs/>
          <w:color w:val="auto"/>
          <w:sz w:val="21"/>
          <w:szCs w:val="21"/>
          <w:highlight w:val="none"/>
          <w:lang w:eastAsia="zh-CN" w:bidi="ar"/>
        </w:rPr>
        <w:t xml:space="preserve">最后报价</w:t>
      </w:r>
      <w:r>
        <w:rPr>
          <w:rFonts w:hint="eastAsia"/>
          <w:b/>
          <w:bCs/>
          <w:color w:val="auto"/>
          <w:sz w:val="21"/>
          <w:szCs w:val="21"/>
          <w:highlight w:val="none"/>
          <w:lang w:bidi="ar"/>
        </w:rPr>
        <w:t xml:space="preserve">的具体操作流程，各供应商请详细阅读《操作手册》。</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14.7.响应无效和终止谈判活动条款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14.7.1.响应人存在下列情况之一的，响应无效:</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（1）未按照竞争性谈判文件规定要求签署、盖章的；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（2）供应商不具备竞争性谈判文件中规定资格条件的；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（3）报价超过谈判文件中规定的预算金额或者最高限价的；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（5）因谈判响应单位自身原因导致网上谈判响应文件无法递交的其他情况；</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（6）不符合法律、法规和竞争性谈判文件中规定的其他实质性要求的；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（7）法律、法规及本竞争性谈判文件规定的其他无效的情形。</w:t>
      </w:r>
      <w:r/>
    </w:p>
    <w:p>
      <w:pPr>
        <w:ind w:firstLine="420"/>
        <w:spacing w:line="360" w:lineRule="auto"/>
        <w:rPr>
          <w:rFonts w:ascii="Times New Roman" w:hAnsi="Times New Roman" w:eastAsia="宋体" w:cs="Times New Roman"/>
          <w:color w:val="auto"/>
          <w:sz w:val="21"/>
          <w:szCs w:val="21"/>
          <w:highlight w:val="none"/>
          <w:lang w:val="en-US" w:eastAsia="zh-CN"/>
        </w:rPr>
      </w:pPr>
      <w:r>
        <w:rPr>
          <w:rFonts w:hint="eastAsia"/>
          <w:color w:val="auto"/>
          <w:sz w:val="21"/>
          <w:szCs w:val="21"/>
          <w:highlight w:val="none"/>
          <w:lang w:eastAsia="zh-CN" w:bidi="ar"/>
        </w:rPr>
        <w:t xml:space="preserve">（</w:t>
      </w:r>
      <w:r>
        <w:rPr>
          <w:rFonts w:hint="eastAsia"/>
          <w:color w:val="auto"/>
          <w:sz w:val="21"/>
          <w:szCs w:val="21"/>
          <w:highlight w:val="none"/>
          <w:lang w:val="en-US" w:eastAsia="zh-CN" w:bidi="ar"/>
        </w:rPr>
        <w:t xml:space="preserve">8</w:t>
      </w:r>
      <w:r>
        <w:rPr>
          <w:rFonts w:hint="eastAsia"/>
          <w:color w:val="auto"/>
          <w:sz w:val="21"/>
          <w:szCs w:val="21"/>
          <w:highlight w:val="none"/>
          <w:lang w:eastAsia="zh-CN" w:bidi="ar"/>
        </w:rPr>
        <w:t xml:space="preserve">）</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评审委员会依据专业经验，参考同类项目成交（</w:t>
      </w:r>
      <w:r>
        <w:rPr>
          <w:rFonts w:hint="eastAsia" w:cs="Times New Roman"/>
          <w:color w:val="auto"/>
          <w:sz w:val="21"/>
          <w:szCs w:val="21"/>
          <w:highlight w:val="none"/>
          <w:lang w:val="zh-CN"/>
        </w:rPr>
        <w:t xml:space="preserve">成交</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14.7.2.响应人应当遵循公平竞争的原则，不得恶意串通，不得妨碍其他响应人的竞争行为，不得损害采购人或者其他响应人的合法权益。</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谈判在过程中发现响应人有上述情形的，谈判小组应当认定其响应无效，并书面报告本级财政部门。</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14.7.3.有下列情形之一的，视为响应人恶意串通，其响应无效：</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（2）不同响应人委托同一单位或者个人办理谈判事宜；</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zh-CN"/>
        </w:rPr>
        <w:t xml:space="preserve">不同投标（响应）文件制作机器码一致。</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14.7.4.终止竞争性谈判采购活动的条款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出现下列情形之一的，采购代理机构将终止竞争性谈判采购活动，发布项目终止公告并说明原因，重新开展采购活动：</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（1）因情况变化，不再符合规定的竞争性谈判采购方式适用情形的；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15.1.1.采购人授权谈判小组直接确定成交供应商。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15.1.2.采购代理机构在苏采云系统中告知开标结果，并向成交供应商发放《成交通知书》。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15.2.询问及质疑</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color w:val="auto"/>
          <w:highlight w:val="none"/>
          <w:lang w:eastAsia="zh-CN"/>
        </w:rPr>
        <w:t xml:space="preserve">响应单位</w:t>
      </w:r>
      <w:r>
        <w:rPr>
          <w:rFonts w:ascii="宋体" w:hAnsi="宋体"/>
          <w:color w:val="auto"/>
          <w:highlight w:val="none"/>
        </w:rPr>
        <w:t xml:space="preserve">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lang w:bidi="ar"/>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1017"/>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lang w:bidi="ar"/>
        </w:rPr>
        <w:t xml:space="preserve">联 系 人：</w:t>
      </w:r>
      <w:r>
        <w:rPr>
          <w:rFonts w:hint="eastAsia" w:ascii="宋体" w:hAnsi="宋体" w:cs="宋体"/>
          <w:bCs/>
          <w:color w:val="auto"/>
          <w:szCs w:val="21"/>
          <w:highlight w:val="none"/>
          <w:lang w:val="en-US" w:eastAsia="zh-CN" w:bidi="ar"/>
        </w:rPr>
        <w:t xml:space="preserve">季欣怡</w:t>
      </w:r>
      <w:r/>
    </w:p>
    <w:p>
      <w:pPr>
        <w:pStyle w:val="1017"/>
        <w:ind w:firstLine="420"/>
        <w:spacing w:before="0" w:beforeAutospacing="0" w:after="0" w:afterAutospacing="0" w:line="44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0512-</w:t>
      </w:r>
      <w:r>
        <w:rPr>
          <w:rFonts w:hint="eastAsia"/>
          <w:color w:val="auto"/>
          <w:sz w:val="21"/>
          <w:szCs w:val="21"/>
          <w:highlight w:val="none"/>
          <w:lang w:bidi="ar"/>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16.合同的签订</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16.1.成交供应商应按成交通知书中规定的时间和地点，与采购人签订合同。</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16.2.签订合同及合同条款应以谈判文件和成交供应商的谈判响应文件及其澄清承诺文件为依据。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16.3.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1017"/>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17.谈判保证金：无</w:t>
      </w:r>
      <w:r>
        <w:rPr>
          <w:rFonts w:hint="eastAsia"/>
          <w:bCs/>
          <w:color w:val="auto"/>
          <w:sz w:val="21"/>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18.代理服务费：</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18.1、根据本项目代理协议，代理费由成交人支付。</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18.2、</w:t>
      </w:r>
      <w:r>
        <w:rPr>
          <w:rFonts w:hint="eastAsia" w:ascii="宋体" w:hAnsi="宋体" w:eastAsia="宋体" w:cs="宋体"/>
          <w:bCs/>
          <w:color w:val="auto"/>
          <w:szCs w:val="21"/>
          <w:highlight w:val="none"/>
        </w:rPr>
        <w:t xml:space="preserve">代理费收取方式</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银行转账</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服务费交纳账户：苏州市卫康招投标咨询服务有限公司</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账号：1102020209000295112</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开户银行：中国工商银行股份有限公司苏州道前支行</w:t>
      </w:r>
      <w:r/>
    </w:p>
    <w:p>
      <w:pPr>
        <w:ind w:firstLine="420"/>
        <w:spacing w:line="40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18.3、代理费标准：</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代理费的收取按</w:t>
      </w:r>
      <w:r>
        <w:rPr>
          <w:rFonts w:hint="eastAsia" w:ascii="宋体" w:hAnsi="宋体" w:eastAsia="宋体" w:cs="宋体"/>
          <w:bCs/>
          <w:color w:val="auto"/>
          <w:szCs w:val="21"/>
          <w:highlight w:val="none"/>
          <w:lang w:val="en-US" w:eastAsia="zh-CN"/>
        </w:rPr>
        <w:t xml:space="preserve">以下收费标准</w:t>
      </w:r>
      <w:r>
        <w:rPr>
          <w:rFonts w:hint="eastAsia" w:ascii="宋体" w:hAnsi="宋体" w:eastAsia="宋体" w:cs="宋体"/>
          <w:bCs/>
          <w:color w:val="auto"/>
          <w:szCs w:val="21"/>
          <w:highlight w:val="none"/>
          <w:lang w:val="zh-CN"/>
        </w:rPr>
        <w:t xml:space="preserve">差额定率累进法计算。</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预算金额100万（含）以下部分费率为1.5%；</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预算金额100万以上－500万（含）部分费率为1.1%；</w:t>
      </w:r>
      <w:r/>
    </w:p>
    <w:p>
      <w:pPr>
        <w:ind w:firstLine="420"/>
        <w:spacing w:line="400" w:lineRule="exact"/>
        <w:rPr>
          <w:rFonts w:hint="eastAsia" w:ascii="宋体" w:hAnsi="宋体" w:eastAsia="宋体" w:cs="宋体"/>
          <w:bCs/>
          <w:color w:val="auto"/>
          <w:szCs w:val="21"/>
          <w:highlight w:val="none"/>
          <w:lang w:val="zh-CN" w:eastAsia="zh-CN"/>
        </w:rPr>
      </w:pPr>
      <w:r>
        <w:rPr>
          <w:rFonts w:hint="eastAsia" w:ascii="宋体" w:hAnsi="宋体" w:eastAsia="宋体" w:cs="宋体"/>
          <w:bCs/>
          <w:color w:val="auto"/>
          <w:szCs w:val="21"/>
          <w:highlight w:val="none"/>
          <w:lang w:val="en-US" w:eastAsia="zh-CN"/>
        </w:rPr>
        <w:t xml:space="preserve">18.4</w:t>
      </w:r>
      <w:r>
        <w:rPr>
          <w:rFonts w:hint="eastAsia" w:ascii="宋体" w:hAnsi="宋体" w:eastAsia="宋体" w:cs="宋体"/>
          <w:bCs/>
          <w:color w:val="auto"/>
          <w:szCs w:val="21"/>
          <w:highlight w:val="none"/>
          <w:lang w:val="zh-CN" w:eastAsia="zh-CN"/>
        </w:rPr>
        <w:t xml:space="preserve">确立标准的依据：苏财购告【2016】31号</w:t>
      </w:r>
      <w:r/>
    </w:p>
    <w:p>
      <w:pPr>
        <w:numPr>
          <w:ilvl w:val="0"/>
          <w:numId w:val="0"/>
        </w:num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19.谈判说明：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（2）参加谈判的供应商必须</w:t>
      </w:r>
      <w:r>
        <w:rPr>
          <w:rFonts w:hint="eastAsia" w:ascii="宋体" w:hAnsi="宋体" w:cs="宋体"/>
          <w:color w:val="auto"/>
          <w:szCs w:val="21"/>
          <w:highlight w:val="none"/>
          <w:lang w:bidi="ar"/>
        </w:rPr>
        <w:t xml:space="preserve">法定代表人或授权代理人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（5）不实质性响应谈判文件的不能成交；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（6）实质性响应谈判文件不满三家或进入</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的不满三家或</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在采购预算内不满三家的，谈判采购失败。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20.未尽事宜：按《中华人民共和国政府采购法》及其他有关的法律法规的规定执行。</w:t>
      </w:r>
      <w:r/>
    </w:p>
    <w:p>
      <w:pPr>
        <w:ind w:firstLine="643"/>
        <w:jc w:val="center"/>
        <w:rPr>
          <w:rFonts w:eastAsia="黑体"/>
          <w:b/>
          <w:color w:val="auto"/>
          <w:sz w:val="32"/>
          <w:szCs w:val="32"/>
          <w:highlight w:val="none"/>
        </w:rPr>
      </w:pPr>
      <w:r>
        <w:rPr>
          <w:rFonts w:hint="eastAsia" w:eastAsia="黑体"/>
          <w:b/>
          <w:color w:val="auto"/>
          <w:sz w:val="32"/>
          <w:szCs w:val="32"/>
          <w:highlight w:val="none"/>
        </w:rPr>
        <w:t xml:space="preserve">三、采购要求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江苏盛泽医院</w:t>
      </w:r>
      <w:r>
        <w:rPr>
          <w:rFonts w:hint="eastAsia" w:ascii="宋体" w:hAnsi="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江苏盛泽医院输注工作站</w:t>
      </w:r>
      <w:r>
        <w:rPr>
          <w:rFonts w:hint="eastAsia" w:ascii="宋体" w:hAnsi="宋体" w:cs="宋体"/>
          <w:color w:val="auto"/>
          <w:highlight w:val="none"/>
        </w:rPr>
        <w:t xml:space="preserve">项目在国内组织竞争性谈判采购。欢迎符合资格条件的供应商前来报名参加谈判。</w:t>
      </w:r>
      <w:r/>
    </w:p>
    <w:p>
      <w:pPr>
        <w:ind w:firstLine="422"/>
        <w:spacing w:line="400" w:lineRule="exact"/>
        <w:rPr>
          <w:rFonts w:hint="eastAsia" w:eastAsia="宋体"/>
          <w:b/>
          <w:bCs/>
          <w:color w:val="auto"/>
          <w:highlight w:val="none"/>
          <w:lang w:eastAsia="zh-CN"/>
        </w:rPr>
        <w:outlineLvl w:val="1"/>
      </w:pPr>
      <w:r>
        <w:rPr>
          <w:rFonts w:hint="eastAsia"/>
          <w:b/>
          <w:bCs/>
          <w:color w:val="auto"/>
          <w:highlight w:val="none"/>
        </w:rPr>
        <w:t xml:space="preserve">一、谈判编号：</w:t>
      </w:r>
      <w:r>
        <w:rPr>
          <w:color w:val="auto"/>
          <w:highlight w:val="none"/>
        </w:rPr>
        <w:t xml:space="preserve"> </w:t>
      </w:r>
      <w:r>
        <w:rPr>
          <w:rFonts w:hint="eastAsia"/>
          <w:color w:val="auto"/>
          <w:highlight w:val="none"/>
          <w:lang w:eastAsia="zh-CN"/>
        </w:rPr>
        <w:t xml:space="preserve">JSZC-320509-SZWK-T2026-0163</w:t>
      </w:r>
      <w:r/>
    </w:p>
    <w:p>
      <w:pPr>
        <w:ind w:firstLine="422"/>
        <w:spacing w:line="400" w:lineRule="exact"/>
        <w:rPr>
          <w:b/>
          <w:bCs/>
          <w:color w:val="auto"/>
          <w:highlight w:val="none"/>
        </w:rPr>
        <w:outlineLvl w:val="1"/>
      </w:pPr>
      <w:r>
        <w:rPr>
          <w:rFonts w:hint="eastAsia"/>
          <w:b/>
          <w:bCs/>
          <w:color w:val="auto"/>
          <w:highlight w:val="none"/>
        </w:rPr>
        <w:t xml:space="preserve">二、采购方式：</w:t>
      </w:r>
      <w:r>
        <w:rPr>
          <w:rFonts w:hint="eastAsia"/>
          <w:color w:val="auto"/>
          <w:highlight w:val="none"/>
        </w:rPr>
        <w:t xml:space="preserve">竞争性谈判采购</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三、货物清单：</w:t>
      </w:r>
      <w:r/>
    </w:p>
    <w:tbl>
      <w:tblPr>
        <w:tblStyle w:val="738"/>
        <w:tblW w:w="8566" w:type="dxa"/>
        <w:tblInd w:w="0" w:type="dxa"/>
        <w:tblLayout w:type="fixed"/>
        <w:tblCellMar>
          <w:left w:w="108" w:type="dxa"/>
          <w:top w:w="0" w:type="dxa"/>
          <w:right w:w="108" w:type="dxa"/>
          <w:bottom w:w="0" w:type="dxa"/>
        </w:tblCellMar>
        <w:tblLook w:val="04A0" w:firstRow="1" w:lastRow="0" w:firstColumn="1" w:lastColumn="0" w:noHBand="0" w:noVBand="1"/>
      </w:tblPr>
      <w:tblGrid>
        <w:gridCol w:w="751"/>
        <w:gridCol w:w="2910"/>
        <w:gridCol w:w="1155"/>
        <w:gridCol w:w="1470"/>
        <w:gridCol w:w="1275"/>
        <w:gridCol w:w="1005"/>
      </w:tblGrid>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预算</w:t>
            </w:r>
            <w:r/>
          </w:p>
        </w:tc>
        <w:tc>
          <w:tcPr>
            <w:shd w:val="clear" w:color="auto" w:fill="auto"/>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rPr>
              <w:t xml:space="preserve">最高限价</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输注工作站</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26套</w:t>
            </w:r>
            <w:r/>
          </w:p>
        </w:tc>
        <w:tc>
          <w:tcPr>
            <w:tcBorders>
              <w:left w:val="non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130万元</w:t>
            </w:r>
            <w:r/>
          </w:p>
        </w:tc>
        <w:tc>
          <w:tcPr>
            <w:shd w:val="clear" w:color="auto" w:fill="auto"/>
            <w:tcBorders>
              <w:left w:val="non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83万元</w:t>
            </w:r>
            <w:r/>
          </w:p>
        </w:tc>
        <w:tc>
          <w:tcPr>
            <w:tcBorders>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bl>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四、技术参数要求：</w:t>
      </w:r>
      <w:r/>
    </w:p>
    <w:p>
      <w:pPr>
        <w:numPr>
          <w:ilvl w:val="0"/>
          <w:numId w:val="0"/>
        </w:numPr>
        <w:ind w:right="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1.配置要求：输液泵和注射泵可以自由组合搭配（单套配置：2个输液泵和4个注射泵，槽位≥8）。</w:t>
      </w:r>
      <w:r/>
    </w:p>
    <w:p>
      <w:pPr>
        <w:numPr>
          <w:ilvl w:val="0"/>
          <w:numId w:val="0"/>
        </w:numPr>
        <w:ind w:right="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2.可用于输注镇静、镇痛、化疗药物、胰岛素、输血等注入患者体内的液体。</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3.多通道输注工作站要求：</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3.1可支持多泵的通道组合。</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3.2模块化插件式设计，组合单元、注射泵、输液泵之间可以方便组合。</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3.3每个组合单元设置独立电源。</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3.4具有级联输液功能、支持夜间模式。</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3.5集中报警，同步各泵的报警信息。</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3.6槽位识别功能，可准确定位组合单元中泵的槽位号。</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3.7提供工作站间连接线，可实现两台工作站级联输注、统一记录日志、信息同步和通讯。</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3.8可拓展集成底座，支持加温功能。</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4.注射泵模块要求：</w:t>
      </w:r>
      <w:r/>
    </w:p>
    <w:p>
      <w:pPr>
        <w:ind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4.1自动识别常规注射器规格，注射器通用。</w:t>
      </w:r>
      <w:r/>
    </w:p>
    <w:p>
      <w:pPr>
        <w:ind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4.2速率范围：0.01-2300ml/h，最小步进0.01 ml/h。</w:t>
      </w:r>
      <w:r/>
    </w:p>
    <w:p>
      <w:pPr>
        <w:ind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4.3预置量设定范围：0.10-9999.99mL。</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4.4注射精度：≤±1.7%。</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4.5支持防推注功能。</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4.6具有阻塞压力检测功能。</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4.7具有声光报警功能。</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4.8电容触摸屏操作，全中文颜色彩屏显示。</w:t>
      </w:r>
      <w:r/>
    </w:p>
    <w:p>
      <w:pPr>
        <w:ind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4.9每个泵自带提手，支持两个泵之间叠加，方便转运。</w:t>
      </w:r>
      <w:r/>
    </w:p>
    <w:p>
      <w:pPr>
        <w:ind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4.10锂电池续航时间：≥5h@5ml/h。</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5.输液泵模块参数：</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5.1流速范围：0.10-2300.0mL/h,，最小步进0.01 ml/h。</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5.2预置量设定范围：0.10-9999.99mL。</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5.3输液精度：≤±5%。</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5.4电容触摸屏操作，全中文彩屏显示。</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5.5具备双气泡传感器进行检测。</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5.6有电动止液夹和电动泵门控制。 </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5.7泵门打开时，液体不会任意流出。 </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5.8具有报警功能。</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5.9能够自适应匹配各种输液管路，达到输液准确度。</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5.10锂电池续航时间：≥5小时@ 25mL/h。</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6.中央站模块参数：</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6.1能从输注设备获取数据、集中实时显示输注信息、输注报警，并储存患者输注用药信息。</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6.2支持不少于1000台输注泵的连接。</w:t>
      </w:r>
      <w:r/>
    </w:p>
    <w:p>
      <w:pPr>
        <w:ind w:left="0" w:right="0" w:firstLine="420"/>
        <w:jc w:val="left"/>
        <w:keepLines w:val="0"/>
        <w:keepNext w:val="0"/>
        <w:spacing w:before="0" w:beforeAutospacing="0" w:after="0" w:afterAutospacing="0" w:line="400" w:lineRule="atLeast"/>
        <w:widowControl/>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6.3可接收注射泵、输液泵、输注工作站输注信息。</w:t>
      </w:r>
      <w:r/>
    </w:p>
    <w:p>
      <w:pPr>
        <w:ind w:left="0" w:right="0" w:firstLine="420"/>
        <w:jc w:val="left"/>
        <w:keepLines w:val="0"/>
        <w:keepNext w:val="0"/>
        <w:spacing w:before="0" w:beforeAutospacing="0" w:after="0" w:afterAutospacing="0" w:line="400" w:lineRule="atLeast"/>
        <w:widowControl/>
        <w:rPr>
          <w:rFonts w:hint="default"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7.整套设备端口数据开放，支持HIS病人信息自动同步功能，支持数据自动上传至第三方信息系统。</w:t>
      </w:r>
      <w:r/>
    </w:p>
    <w:p>
      <w:pPr>
        <w:ind w:firstLine="420"/>
        <w:spacing w:line="39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lang w:val="en-US" w:eastAsia="zh-CN"/>
        </w:rPr>
        <w:t xml:space="preserve">设备期限≥10年（提供佐证材料，如设备铭牌、说明书、承诺文件等）。</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五、报价要求：</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须对所有内容进行报价，谈判响应报价中</w:t>
      </w:r>
      <w:r>
        <w:rPr>
          <w:rFonts w:hint="eastAsia" w:ascii="宋体" w:hAnsi="宋体" w:cs="宋体"/>
          <w:color w:val="auto"/>
          <w:szCs w:val="21"/>
          <w:highlight w:val="none"/>
          <w:lang w:bidi="ar"/>
        </w:rPr>
        <w:t xml:space="preserve">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与现有/后期设备对接等（如有）；甲方无须支付其他任何费用。</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2、各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须对所有服务进行报价，否则视为无效投标。</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（1）以人民币报价；按附表格式进行报价；</w:t>
      </w:r>
      <w:r/>
    </w:p>
    <w:p>
      <w:pPr>
        <w:ind w:right="-159" w:firstLine="420"/>
        <w:spacing w:line="400" w:lineRule="exact"/>
        <w:rPr>
          <w:rFonts w:ascii="宋体" w:hAnsi="宋体" w:cs="宋体"/>
          <w:color w:val="auto"/>
          <w:highlight w:val="none"/>
        </w:rPr>
      </w:pPr>
      <w:r>
        <w:rPr>
          <w:rFonts w:hint="eastAsia" w:ascii="宋体" w:hAnsi="宋体" w:cs="宋体"/>
          <w:color w:val="auto"/>
          <w:highlight w:val="none"/>
        </w:rPr>
        <w:t xml:space="preserve">（2）本次谈判的</w:t>
      </w:r>
      <w:r>
        <w:rPr>
          <w:rFonts w:hint="eastAsia" w:ascii="宋体" w:hAnsi="宋体" w:cs="宋体"/>
          <w:color w:val="auto"/>
          <w:highlight w:val="none"/>
          <w:lang w:eastAsia="zh-CN"/>
        </w:rPr>
        <w:t xml:space="preserve">最后报价</w:t>
      </w:r>
      <w:r>
        <w:rPr>
          <w:rFonts w:hint="eastAsia" w:ascii="宋体" w:hAnsi="宋体" w:cs="宋体"/>
          <w:color w:val="auto"/>
          <w:highlight w:val="none"/>
        </w:rPr>
        <w:t xml:space="preserve">为本项目的总报价。</w:t>
      </w:r>
      <w:r/>
    </w:p>
    <w:p>
      <w:pPr>
        <w:ind w:right="-161" w:firstLine="413"/>
        <w:spacing w:line="400" w:lineRule="exact"/>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注：响应单位需配合医院完成本项目的首次计量检定或校准工作，时间根据计量检测机构安排，费用由包含进报价内。</w:t>
      </w:r>
      <w:r/>
    </w:p>
    <w:p>
      <w:pPr>
        <w:ind w:firstLine="420"/>
        <w:spacing w:line="400" w:lineRule="exact"/>
        <w:rPr>
          <w:rFonts w:hAnsi="宋体"/>
          <w:color w:val="auto"/>
          <w:szCs w:val="21"/>
          <w:highlight w:val="none"/>
        </w:rPr>
      </w:pPr>
      <w:r>
        <w:rPr>
          <w:rFonts w:hint="eastAsia" w:hAnsi="宋体"/>
          <w:color w:val="auto"/>
          <w:szCs w:val="21"/>
          <w:highlight w:val="none"/>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1、质保期：设备原厂保修≥5年（包含硬件、软件，质保期自甲方验收合格日起计算；合同期间如发生退回、维修或设备替换等情形，质保期予以相应延长），保修期后提供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5、设备如涉及配件、易损件等，响应单位须在投标时详细提供设备涉及的所有配件、易损件名称、价格。设备使用年限内配件的供给，响应单位承诺给予保障。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成交，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11、响应单位需编制售后服务方案，包括用户培训计划和服务措施、项目维护及应急方案等。</w:t>
      </w:r>
      <w:r/>
    </w:p>
    <w:p>
      <w:pPr>
        <w:pStyle w:val="849"/>
        <w:ind w:firstLine="420"/>
        <w:spacing w:line="400" w:lineRule="exact"/>
        <w:rPr>
          <w:color w:val="auto"/>
          <w:sz w:val="21"/>
          <w:highlight w:val="none"/>
        </w:rPr>
      </w:pPr>
      <w:r>
        <w:rPr>
          <w:rFonts w:hint="eastAsia"/>
          <w:color w:val="auto"/>
          <w:sz w:val="21"/>
          <w:highlight w:val="none"/>
        </w:rPr>
        <w:t xml:space="preserve">七、</w:t>
      </w:r>
      <w:r>
        <w:rPr>
          <w:color w:val="auto"/>
          <w:sz w:val="21"/>
          <w:highlight w:val="none"/>
        </w:rPr>
        <w:t xml:space="preserve">产品质量要求：</w:t>
      </w:r>
      <w:r/>
    </w:p>
    <w:p>
      <w:pPr>
        <w:pStyle w:val="849"/>
        <w:ind w:firstLine="420"/>
        <w:spacing w:line="400" w:lineRule="exact"/>
        <w:rPr>
          <w:color w:val="auto"/>
          <w:sz w:val="21"/>
          <w:highlight w:val="none"/>
        </w:rPr>
      </w:pPr>
      <w:r>
        <w:rPr>
          <w:rFonts w:hint="eastAsia"/>
          <w:color w:val="auto"/>
          <w:sz w:val="21"/>
          <w:highlight w:val="none"/>
        </w:rPr>
        <w:t xml:space="preserve">1、产品质量及安装符合国家质量标准和验收规范，并响应采购文件所规定技术性能要求，以及成交人承诺的其他指标。</w:t>
      </w:r>
      <w:r/>
    </w:p>
    <w:p>
      <w:pPr>
        <w:pStyle w:val="849"/>
        <w:ind w:firstLine="420"/>
        <w:spacing w:line="400" w:lineRule="exact"/>
        <w:rPr>
          <w:color w:val="auto"/>
          <w:sz w:val="21"/>
          <w:highlight w:val="none"/>
        </w:rPr>
      </w:pPr>
      <w:r>
        <w:rPr>
          <w:rFonts w:hint="eastAsia"/>
          <w:color w:val="auto"/>
          <w:sz w:val="21"/>
          <w:highlight w:val="none"/>
        </w:rPr>
        <w:t xml:space="preserve">2、国家具有强制性标准的，所投产品须符合国家强制性标准。</w:t>
      </w:r>
      <w:r>
        <w:rPr>
          <w:color w:val="auto"/>
          <w:sz w:val="21"/>
          <w:highlight w:val="none"/>
        </w:rPr>
        <w:t xml:space="preserve"> </w:t>
      </w:r>
      <w:r/>
    </w:p>
    <w:p>
      <w:pPr>
        <w:pStyle w:val="849"/>
        <w:ind w:firstLine="420"/>
        <w:spacing w:line="400" w:lineRule="exact"/>
        <w:rPr>
          <w:color w:val="auto"/>
          <w:sz w:val="21"/>
          <w:highlight w:val="none"/>
        </w:rPr>
      </w:pPr>
      <w:r>
        <w:rPr>
          <w:rFonts w:hint="eastAsia"/>
          <w:color w:val="auto"/>
          <w:sz w:val="21"/>
          <w:highlight w:val="none"/>
        </w:rPr>
        <w:t xml:space="preserve">3、</w:t>
      </w:r>
      <w:r>
        <w:rPr>
          <w:color w:val="auto"/>
          <w:sz w:val="21"/>
          <w:highlight w:val="none"/>
        </w:rPr>
        <w:t xml:space="preserve">所有设备在到达安装现场时须经</w:t>
      </w:r>
      <w:r>
        <w:rPr>
          <w:rFonts w:hint="eastAsia"/>
          <w:color w:val="auto"/>
          <w:sz w:val="21"/>
          <w:highlight w:val="none"/>
        </w:rPr>
        <w:t xml:space="preserve">采购单位</w:t>
      </w:r>
      <w:r>
        <w:rPr>
          <w:color w:val="auto"/>
          <w:sz w:val="21"/>
          <w:highlight w:val="none"/>
        </w:rPr>
        <w:t xml:space="preserve">技术人员</w:t>
      </w:r>
      <w:r>
        <w:rPr>
          <w:rFonts w:hint="eastAsia"/>
          <w:color w:val="auto"/>
          <w:sz w:val="21"/>
          <w:highlight w:val="none"/>
        </w:rPr>
        <w:t xml:space="preserve">记录</w:t>
      </w:r>
      <w:r>
        <w:rPr>
          <w:color w:val="auto"/>
          <w:sz w:val="21"/>
          <w:highlight w:val="none"/>
        </w:rPr>
        <w:t xml:space="preserve">验收后才可进行设备安装，验货时须提交该产品的原</w:t>
      </w:r>
      <w:r>
        <w:rPr>
          <w:rFonts w:hint="eastAsia"/>
          <w:color w:val="auto"/>
          <w:sz w:val="21"/>
          <w:highlight w:val="none"/>
        </w:rPr>
        <w:t xml:space="preserve">厂</w:t>
      </w:r>
      <w:r>
        <w:rPr>
          <w:color w:val="auto"/>
          <w:sz w:val="21"/>
          <w:highlight w:val="none"/>
        </w:rPr>
        <w:t xml:space="preserve">质量合格证明</w:t>
      </w:r>
      <w:r>
        <w:rPr>
          <w:rFonts w:hint="eastAsia"/>
          <w:color w:val="auto"/>
          <w:sz w:val="21"/>
          <w:highlight w:val="none"/>
        </w:rPr>
        <w:t xml:space="preserve">及服务质保证明文件。</w:t>
      </w:r>
      <w:r/>
    </w:p>
    <w:p>
      <w:pPr>
        <w:pStyle w:val="849"/>
        <w:ind w:firstLine="420"/>
        <w:spacing w:line="400" w:lineRule="exact"/>
        <w:rPr>
          <w:color w:val="auto"/>
          <w:sz w:val="21"/>
          <w:highlight w:val="none"/>
        </w:rPr>
      </w:pPr>
      <w:r>
        <w:rPr>
          <w:rFonts w:hint="eastAsia"/>
          <w:color w:val="auto"/>
          <w:sz w:val="21"/>
          <w:highlight w:val="none"/>
        </w:rPr>
        <w:t xml:space="preserve">4、</w:t>
      </w:r>
      <w:r>
        <w:rPr>
          <w:color w:val="auto"/>
          <w:sz w:val="21"/>
          <w:highlight w:val="none"/>
        </w:rPr>
        <w:t xml:space="preserve">所有设备、附（配）件应具备该类产品的功能要求，无瑕疵和缺陷，质量为合格产品，同时有明确的生产厂商或制造厂商</w:t>
      </w:r>
      <w:r>
        <w:rPr>
          <w:rFonts w:hint="eastAsia"/>
          <w:color w:val="auto"/>
          <w:sz w:val="21"/>
          <w:highlight w:val="none"/>
        </w:rPr>
        <w:t xml:space="preserve">。 </w:t>
      </w:r>
      <w:r/>
    </w:p>
    <w:p>
      <w:pPr>
        <w:pStyle w:val="849"/>
        <w:ind w:firstLine="420"/>
        <w:spacing w:line="400" w:lineRule="exact"/>
        <w:rPr>
          <w:color w:val="auto"/>
          <w:sz w:val="21"/>
          <w:highlight w:val="none"/>
        </w:rPr>
      </w:pPr>
      <w:r>
        <w:rPr>
          <w:rFonts w:hint="eastAsia"/>
          <w:color w:val="auto"/>
          <w:sz w:val="21"/>
          <w:highlight w:val="none"/>
        </w:rPr>
        <w:t xml:space="preserve">5、</w:t>
      </w:r>
      <w:r>
        <w:rPr>
          <w:color w:val="auto"/>
          <w:sz w:val="21"/>
          <w:highlight w:val="none"/>
        </w:rPr>
        <w:t xml:space="preserve">缺陷保修：如果设备交付使用后，缺陷多次反复出现，</w:t>
      </w:r>
      <w:r>
        <w:rPr>
          <w:rFonts w:hint="eastAsia"/>
          <w:color w:val="auto"/>
          <w:sz w:val="21"/>
          <w:highlight w:val="none"/>
        </w:rPr>
        <w:t xml:space="preserve">成交</w:t>
      </w:r>
      <w:r>
        <w:rPr>
          <w:color w:val="auto"/>
          <w:sz w:val="21"/>
          <w:highlight w:val="none"/>
        </w:rPr>
        <w:t xml:space="preserve">方必须提出分析报告和解决方案，</w:t>
      </w:r>
      <w:r>
        <w:rPr>
          <w:rFonts w:hint="eastAsia"/>
          <w:color w:val="auto"/>
          <w:sz w:val="21"/>
          <w:highlight w:val="none"/>
        </w:rPr>
        <w:t xml:space="preserve">更换该产品，</w:t>
      </w:r>
      <w:r>
        <w:rPr>
          <w:color w:val="auto"/>
          <w:sz w:val="21"/>
          <w:highlight w:val="none"/>
        </w:rPr>
        <w:t xml:space="preserve">直到最后纠正缺陷、</w:t>
      </w:r>
      <w:r>
        <w:rPr>
          <w:rFonts w:hint="eastAsia"/>
          <w:color w:val="auto"/>
          <w:sz w:val="21"/>
          <w:highlight w:val="none"/>
          <w:lang w:eastAsia="zh-CN"/>
        </w:rPr>
        <w:t xml:space="preserve">响应单位</w:t>
      </w:r>
      <w:r>
        <w:rPr>
          <w:color w:val="auto"/>
          <w:sz w:val="21"/>
          <w:highlight w:val="none"/>
        </w:rPr>
        <w:t xml:space="preserve">提供质保从纠正之日起重新计算质保期</w:t>
      </w:r>
      <w:r>
        <w:rPr>
          <w:rFonts w:hint="eastAsia"/>
          <w:color w:val="auto"/>
          <w:sz w:val="21"/>
          <w:highlight w:val="none"/>
        </w:rPr>
        <w:t xml:space="preserve">。</w:t>
      </w:r>
      <w:r/>
    </w:p>
    <w:p>
      <w:pPr>
        <w:pStyle w:val="849"/>
        <w:ind w:firstLine="420"/>
        <w:spacing w:line="400" w:lineRule="exact"/>
        <w:rPr>
          <w:color w:val="auto"/>
          <w:sz w:val="21"/>
          <w:highlight w:val="none"/>
        </w:rPr>
      </w:pPr>
      <w:r>
        <w:rPr>
          <w:rFonts w:hint="eastAsia"/>
          <w:color w:val="auto"/>
          <w:sz w:val="21"/>
          <w:highlight w:val="none"/>
        </w:rPr>
        <w:t xml:space="preserve">6、</w:t>
      </w:r>
      <w:r>
        <w:rPr>
          <w:color w:val="auto"/>
          <w:sz w:val="21"/>
          <w:highlight w:val="none"/>
        </w:rPr>
        <w:t xml:space="preserve">如果是超出</w:t>
      </w:r>
      <w:r>
        <w:rPr>
          <w:rFonts w:hint="eastAsia"/>
          <w:color w:val="auto"/>
          <w:sz w:val="21"/>
          <w:highlight w:val="none"/>
          <w:lang w:eastAsia="zh-CN"/>
        </w:rPr>
        <w:t xml:space="preserve">响应单位</w:t>
      </w:r>
      <w:r>
        <w:rPr>
          <w:color w:val="auto"/>
          <w:sz w:val="21"/>
          <w:highlight w:val="none"/>
        </w:rPr>
        <w:t xml:space="preserve">的责任范围的疏忽、误操作等情况而导致的更换修正，应由</w:t>
      </w:r>
      <w:r>
        <w:rPr>
          <w:rFonts w:hint="eastAsia"/>
          <w:color w:val="auto"/>
          <w:sz w:val="21"/>
          <w:highlight w:val="none"/>
          <w:lang w:eastAsia="zh-CN"/>
        </w:rPr>
        <w:t xml:space="preserve">响应单位</w:t>
      </w:r>
      <w:r>
        <w:rPr>
          <w:color w:val="auto"/>
          <w:sz w:val="21"/>
          <w:highlight w:val="none"/>
        </w:rPr>
        <w:t xml:space="preserve">进行修理，其额外费用由双方协商承担。</w:t>
      </w:r>
      <w:r/>
    </w:p>
    <w:p>
      <w:pPr>
        <w:pStyle w:val="849"/>
        <w:ind w:firstLine="420"/>
        <w:spacing w:line="400" w:lineRule="exact"/>
        <w:rPr>
          <w:color w:val="auto"/>
          <w:sz w:val="21"/>
          <w:highlight w:val="none"/>
        </w:rPr>
      </w:pPr>
      <w:r>
        <w:rPr>
          <w:rFonts w:hint="eastAsia"/>
          <w:color w:val="auto"/>
          <w:sz w:val="21"/>
          <w:highlight w:val="none"/>
        </w:rPr>
        <w:t xml:space="preserve">7、</w:t>
      </w:r>
      <w:r>
        <w:rPr>
          <w:rFonts w:hint="eastAsia"/>
          <w:color w:val="auto"/>
          <w:sz w:val="21"/>
          <w:highlight w:val="none"/>
          <w:lang w:eastAsia="zh-CN"/>
        </w:rPr>
        <w:t xml:space="preserve">响应单位</w:t>
      </w:r>
      <w:r>
        <w:rPr>
          <w:rFonts w:hint="eastAsia"/>
          <w:color w:val="auto"/>
          <w:sz w:val="21"/>
          <w:highlight w:val="none"/>
        </w:rPr>
        <w:t xml:space="preserve">所投设备必须包含设备正常运行所需的相关连接配件。成交人所投设备如在实际供货时缺货，必须按原投标报价提供同品牌、相同或更高配置的设备，否则视为违约。</w:t>
      </w:r>
      <w:r/>
    </w:p>
    <w:p>
      <w:pPr>
        <w:pStyle w:val="849"/>
        <w:ind w:firstLine="420"/>
        <w:spacing w:line="400" w:lineRule="exact"/>
        <w:rPr>
          <w:color w:val="auto"/>
          <w:sz w:val="21"/>
          <w:highlight w:val="none"/>
        </w:rPr>
      </w:pPr>
      <w:r>
        <w:rPr>
          <w:rFonts w:hint="eastAsia"/>
          <w:color w:val="auto"/>
          <w:sz w:val="21"/>
          <w:highlight w:val="none"/>
        </w:rPr>
        <w:t xml:space="preserve">八、</w:t>
      </w:r>
      <w:r>
        <w:rPr>
          <w:color w:val="auto"/>
          <w:sz w:val="21"/>
          <w:highlight w:val="none"/>
        </w:rPr>
        <w:t xml:space="preserve">验收</w:t>
      </w:r>
      <w:r>
        <w:rPr>
          <w:rFonts w:hint="eastAsia"/>
          <w:color w:val="auto"/>
          <w:sz w:val="21"/>
          <w:highlight w:val="none"/>
        </w:rPr>
        <w:t xml:space="preserve">要求及标准</w:t>
      </w:r>
      <w:r>
        <w:rPr>
          <w:color w:val="auto"/>
          <w:sz w:val="21"/>
          <w:highlight w:val="none"/>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所定产品，供方应无条件退换</w:t>
      </w:r>
      <w:r>
        <w:rPr>
          <w:rFonts w:hint="eastAsia" w:ascii="宋体" w:hAnsi="宋体" w:cs="宋体"/>
          <w:color w:val="auto"/>
          <w:szCs w:val="21"/>
          <w:highlight w:val="none"/>
        </w:rPr>
        <w:t xml:space="preserve">及承担所有违约责任。</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九、综合说明：</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1、付款方式：详见合同主要条款</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2、交货时间：</w:t>
      </w:r>
      <w:r>
        <w:rPr>
          <w:rFonts w:hint="eastAsia" w:ascii="宋体" w:hAnsi="宋体"/>
          <w:color w:val="auto"/>
          <w:sz w:val="21"/>
          <w:szCs w:val="21"/>
          <w:highlight w:val="none"/>
          <w:lang w:val="en-US" w:eastAsia="zh-CN"/>
        </w:rPr>
        <w:t xml:space="preserve">接到甲方通知</w:t>
      </w:r>
      <w:r>
        <w:rPr>
          <w:rFonts w:hint="eastAsia" w:ascii="宋体" w:hAnsi="宋体" w:eastAsia="宋体" w:cs="宋体"/>
          <w:color w:val="auto"/>
          <w:sz w:val="21"/>
          <w:szCs w:val="21"/>
          <w:highlight w:val="none"/>
          <w:lang w:val="en-US" w:eastAsia="zh-CN"/>
        </w:rPr>
        <w:t xml:space="preserve">后，在30天内交货。如无特殊原因必须在</w:t>
      </w:r>
      <w:r>
        <w:rPr>
          <w:rFonts w:hint="eastAsia" w:ascii="宋体" w:hAnsi="宋体" w:cs="宋体"/>
          <w:color w:val="auto"/>
          <w:sz w:val="21"/>
          <w:szCs w:val="21"/>
          <w:highlight w:val="none"/>
          <w:lang w:val="en-US" w:eastAsia="zh-CN"/>
        </w:rPr>
        <w:t xml:space="preserve">安装后</w:t>
      </w:r>
      <w:r>
        <w:rPr>
          <w:rFonts w:hint="eastAsia" w:ascii="宋体" w:hAnsi="宋体" w:eastAsia="宋体" w:cs="宋体"/>
          <w:color w:val="auto"/>
          <w:sz w:val="21"/>
          <w:szCs w:val="21"/>
          <w:highlight w:val="none"/>
          <w:lang w:val="en-US" w:eastAsia="zh-CN"/>
        </w:rPr>
        <w:t xml:space="preserve">6个月内完成验收，具体根据采购单位要求。</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交货地点：</w:t>
      </w: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rPr>
        <w:t xml:space="preserve">指定地点。</w:t>
      </w:r>
      <w:r/>
    </w:p>
    <w:p>
      <w:pPr>
        <w:ind w:firstLine="420"/>
        <w:spacing w:line="400" w:lineRule="exact"/>
        <w:rPr>
          <w:rFonts w:cs="宋体"/>
          <w:color w:val="auto"/>
          <w:highlight w:val="none"/>
        </w:rPr>
      </w:pPr>
      <w:r>
        <w:rPr>
          <w:rFonts w:hint="eastAsia" w:cs="宋体"/>
          <w:color w:val="auto"/>
          <w:highlight w:val="none"/>
        </w:rPr>
        <w:t xml:space="preserve">4、</w:t>
      </w:r>
      <w:r>
        <w:rPr>
          <w:rFonts w:hint="eastAsia" w:cs="宋体"/>
          <w:color w:val="auto"/>
          <w:highlight w:val="none"/>
          <w:lang w:val="en-US" w:eastAsia="zh-CN"/>
        </w:rPr>
        <w:t xml:space="preserve">响应单位</w:t>
      </w:r>
      <w:r>
        <w:rPr>
          <w:rFonts w:hint="eastAsia" w:cs="宋体"/>
          <w:color w:val="auto"/>
          <w:highlight w:val="none"/>
        </w:rPr>
        <w:t xml:space="preserve">所提供产品需明确生产厂家、品牌、规格、型号、数量及主要技术参数。</w:t>
      </w:r>
      <w:r/>
    </w:p>
    <w:p>
      <w:pPr>
        <w:ind w:firstLine="420"/>
        <w:spacing w:line="400" w:lineRule="exact"/>
        <w:rPr>
          <w:rFonts w:cs="宋体"/>
          <w:color w:val="auto"/>
          <w:highlight w:val="none"/>
        </w:rPr>
      </w:pPr>
      <w:r>
        <w:rPr>
          <w:rFonts w:hint="eastAsia" w:cs="宋体"/>
          <w:color w:val="auto"/>
          <w:highlight w:val="none"/>
        </w:rPr>
        <w:t xml:space="preserve">5、</w:t>
      </w:r>
      <w:r>
        <w:rPr>
          <w:rFonts w:hint="eastAsia" w:cs="宋体"/>
          <w:color w:val="auto"/>
          <w:highlight w:val="none"/>
          <w:lang w:val="en-US" w:eastAsia="zh-CN"/>
        </w:rPr>
        <w:t xml:space="preserve">响应单位</w:t>
      </w:r>
      <w:r>
        <w:rPr>
          <w:rFonts w:hint="eastAsia" w:cs="宋体"/>
          <w:color w:val="auto"/>
          <w:highlight w:val="none"/>
        </w:rPr>
        <w:t xml:space="preserve">必须承诺谈判采购文件提出的全部要求，如果以其中某些条款不响应时，应在文件中列出。</w:t>
      </w:r>
      <w:r/>
    </w:p>
    <w:p>
      <w:pPr>
        <w:ind w:firstLine="420"/>
        <w:spacing w:line="400" w:lineRule="exact"/>
        <w:rPr>
          <w:rFonts w:hAnsi="宋体"/>
          <w:color w:val="auto"/>
          <w:szCs w:val="21"/>
          <w:highlight w:val="none"/>
        </w:rPr>
      </w:pPr>
      <w:r>
        <w:rPr>
          <w:rFonts w:hint="eastAsia" w:hAnsi="宋体"/>
          <w:color w:val="auto"/>
          <w:szCs w:val="21"/>
          <w:highlight w:val="none"/>
          <w:lang w:val="en-US" w:eastAsia="zh-CN"/>
        </w:rPr>
        <w:t xml:space="preserve">6</w:t>
      </w:r>
      <w:r>
        <w:rPr>
          <w:rFonts w:hint="eastAsia" w:hAnsi="宋体"/>
          <w:color w:val="auto"/>
          <w:szCs w:val="21"/>
          <w:highlight w:val="none"/>
        </w:rPr>
        <w:t xml:space="preserve">、知识产权：</w:t>
      </w:r>
      <w:r>
        <w:rPr>
          <w:rFonts w:hint="eastAsia" w:hAnsi="宋体"/>
          <w:color w:val="auto"/>
          <w:szCs w:val="21"/>
          <w:highlight w:val="none"/>
          <w:lang w:eastAsia="zh-CN"/>
        </w:rPr>
        <w:t xml:space="preserve">响应单位</w:t>
      </w:r>
      <w:r>
        <w:rPr>
          <w:rFonts w:hint="eastAsia" w:hAnsi="宋体"/>
          <w:color w:val="auto"/>
          <w:szCs w:val="21"/>
          <w:highlight w:val="none"/>
        </w:rPr>
        <w:t xml:space="preserve">应保证</w:t>
      </w:r>
      <w:r>
        <w:rPr>
          <w:rFonts w:hint="eastAsia" w:hAnsi="宋体"/>
          <w:color w:val="auto"/>
          <w:szCs w:val="21"/>
          <w:highlight w:val="none"/>
          <w:lang w:eastAsia="zh-CN"/>
        </w:rPr>
        <w:t xml:space="preserve">采购人</w:t>
      </w:r>
      <w:r>
        <w:rPr>
          <w:rFonts w:hint="eastAsia" w:hAnsi="宋体"/>
          <w:color w:val="auto"/>
          <w:szCs w:val="21"/>
          <w:highlight w:val="none"/>
        </w:rPr>
        <w:t xml:space="preserve">免除且</w:t>
      </w:r>
      <w:r>
        <w:rPr>
          <w:rFonts w:hint="eastAsia" w:hAnsi="宋体"/>
          <w:color w:val="auto"/>
          <w:szCs w:val="21"/>
          <w:highlight w:val="none"/>
          <w:lang w:eastAsia="zh-CN"/>
        </w:rPr>
        <w:t xml:space="preserve">响应单位</w:t>
      </w:r>
      <w:r>
        <w:rPr>
          <w:rFonts w:hint="eastAsia" w:hAnsi="宋体"/>
          <w:color w:val="auto"/>
          <w:szCs w:val="21"/>
          <w:highlight w:val="none"/>
        </w:rPr>
        <w:t xml:space="preserve">承担由于</w:t>
      </w:r>
      <w:r>
        <w:rPr>
          <w:rFonts w:hint="eastAsia" w:hAnsi="宋体"/>
          <w:color w:val="auto"/>
          <w:szCs w:val="21"/>
          <w:highlight w:val="none"/>
          <w:lang w:eastAsia="zh-CN"/>
        </w:rPr>
        <w:t xml:space="preserve">采购人</w:t>
      </w:r>
      <w:r>
        <w:rPr>
          <w:rFonts w:hint="eastAsia" w:hAnsi="宋体"/>
          <w:color w:val="auto"/>
          <w:szCs w:val="21"/>
          <w:highlight w:val="none"/>
        </w:rPr>
        <w:t xml:space="preserve">在其本国使用该设备或设备任何一部分时而引起第三方提出的侵犯专利权、商标权或工业设计权的起诉、行动、行政程序索赔、请求等以及</w:t>
      </w:r>
      <w:r>
        <w:rPr>
          <w:rFonts w:hint="eastAsia" w:hAnsi="宋体"/>
          <w:color w:val="auto"/>
          <w:szCs w:val="21"/>
          <w:highlight w:val="none"/>
          <w:lang w:eastAsia="zh-CN"/>
        </w:rPr>
        <w:t xml:space="preserve">采购人</w:t>
      </w:r>
      <w:r>
        <w:rPr>
          <w:rFonts w:hint="eastAsia" w:hAnsi="宋体"/>
          <w:color w:val="auto"/>
          <w:szCs w:val="21"/>
          <w:highlight w:val="none"/>
        </w:rPr>
        <w:t xml:space="preserve">为此而产生的损失和损害、费用和支出（包括律师费）。</w:t>
      </w:r>
      <w:r/>
    </w:p>
    <w:p>
      <w:pPr>
        <w:ind w:firstLine="420"/>
        <w:spacing w:line="400" w:lineRule="exact"/>
        <w:rPr>
          <w:rFonts w:hAnsi="宋体"/>
          <w:color w:val="auto"/>
          <w:szCs w:val="21"/>
          <w:highlight w:val="none"/>
        </w:rPr>
      </w:pPr>
      <w:r>
        <w:rPr>
          <w:rFonts w:hAnsi="宋体"/>
          <w:color w:val="auto"/>
          <w:szCs w:val="21"/>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pPr>
      <w:r>
        <w:rPr>
          <w:rFonts w:hint="eastAsia" w:eastAsia="黑体"/>
          <w:b/>
          <w:color w:val="auto"/>
          <w:sz w:val="32"/>
          <w:szCs w:val="32"/>
          <w:highlight w:val="none"/>
        </w:rPr>
        <w:t xml:space="preserve">四、评审方法及评分标准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一、评审办法：</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谈判小组各成员独立对谈判供应商的谈判响应文件按照谈判文件的规定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2、谈判小组为3人。如某一评审条款出现评委意见不一致时，则按少数服从多数的原则，确定该项条款是否合格。</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3、评标结果</w:t>
      </w:r>
      <w:bookmarkStart w:id="8" w:name="_Hlk124435667"/>
      <w:r>
        <w:rPr>
          <w:rFonts w:hint="eastAsia" w:ascii="宋体" w:hAnsi="宋体" w:eastAsia="宋体" w:cs="宋体"/>
          <w:color w:val="auto"/>
          <w:highlight w:val="none"/>
          <w:lang w:val="en-US" w:eastAsia="zh-CN"/>
        </w:rPr>
        <w:t xml:space="preserve">按最后报价由低到高排序并推荐3名成交候选人。最后报价相同的由采购方以抽签方式确定排序</w:t>
      </w:r>
      <w:bookmarkEnd w:id="8"/>
      <w:r>
        <w:rPr>
          <w:rFonts w:hint="eastAsia" w:ascii="宋体" w:hAnsi="宋体" w:eastAsia="宋体" w:cs="宋体"/>
          <w:color w:val="auto"/>
          <w:highlight w:val="none"/>
          <w:lang w:val="en-US" w:eastAsia="zh-CN"/>
        </w:rPr>
        <w:t xml:space="preserve">。</w:t>
      </w:r>
      <w:r/>
    </w:p>
    <w:p>
      <w:pPr>
        <w:ind w:firstLine="420"/>
        <w:spacing w:line="4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sz w:val="21"/>
          <w:szCs w:val="21"/>
          <w:highlight w:val="none"/>
        </w:rPr>
        <w:t xml:space="preserve">提供相同品牌货物且通过资格审查、符合性审查的不同</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参加同一合同项下投标的，按一家</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计算</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sz w:val="21"/>
          <w:szCs w:val="21"/>
          <w:highlight w:val="none"/>
          <w:lang w:val="en-US" w:eastAsia="zh-CN" w:bidi="ar-SA"/>
        </w:rPr>
        <w:t xml:space="preserve">本项目采购人已委托谈判小组直接确定排名第一的成交候选人为成交人。</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二、政府采购政策执行办法：</w:t>
      </w:r>
      <w:r/>
    </w:p>
    <w:p>
      <w:pPr>
        <w:pStyle w:val="1004"/>
        <w:ind w:firstLine="420"/>
        <w:spacing w:line="360" w:lineRule="auto"/>
        <w:rPr>
          <w:rFonts w:hint="eastAsia" w:ascii="宋体" w:hAnsi="宋体" w:eastAsia="宋体" w:cs="宋体"/>
          <w:b/>
          <w:bCs/>
          <w:color w:val="auto"/>
          <w:sz w:val="21"/>
          <w:szCs w:val="21"/>
          <w:highlight w:val="none"/>
        </w:rPr>
      </w:pPr>
      <w:r>
        <w:rPr>
          <w:rFonts w:hint="eastAsia"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、针对</w:t>
      </w:r>
      <w:r>
        <w:rPr>
          <w:rFonts w:hint="eastAsia" w:ascii="宋体" w:hAnsi="宋体" w:eastAsia="宋体" w:cs="宋体"/>
          <w:b/>
          <w:bCs/>
          <w:color w:val="auto"/>
          <w:sz w:val="21"/>
          <w:szCs w:val="21"/>
          <w:highlight w:val="none"/>
        </w:rPr>
        <w:t xml:space="preserve">采购本国产品的支持政策</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供应商需按照</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的要求提供《关于符合本国产品标准的声明函》（以下简称《声明函》），如不提供将不享受本国产品价格评审优惠。</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供应商需在《声明函》中逐一、准确填写产品名称、厂名、生产厂址三项信息（《声明函》中用</w:t>
      </w:r>
      <w:r>
        <w:rPr>
          <w:rFonts w:hint="eastAsia" w:ascii="宋体" w:hAnsi="宋体" w:eastAsia="宋体" w:cs="宋体"/>
          <w:color w:val="auto"/>
          <w:sz w:val="21"/>
          <w:szCs w:val="21"/>
          <w:highlight w:val="none"/>
          <w:lang w:val="en-US" w:eastAsia="zh-CN"/>
        </w:rPr>
        <w:t xml:space="preserve">横线</w:t>
      </w:r>
      <w:r>
        <w:rPr>
          <w:rFonts w:hint="eastAsia" w:ascii="宋体" w:hAnsi="宋体" w:eastAsia="宋体" w:cs="宋体"/>
          <w:color w:val="auto"/>
          <w:sz w:val="21"/>
          <w:szCs w:val="21"/>
          <w:highlight w:val="none"/>
        </w:rPr>
        <w:t xml:space="preserve">划除的地方无需填写），三项信息中任意一项未填写的视为该项产品不符合本国产品标准，不享受本国产品价格评审优惠。</w:t>
      </w:r>
      <w:r/>
    </w:p>
    <w:p>
      <w:pPr>
        <w:pStyle w:val="1004"/>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规定的，供应商提供的相关产品视为不符合本国产品标准。</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提供虚假材料，将按“政府采购法”相关规定处理并由政府监管部门给予严肃处理。</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（一）本次谈判采用最低评标价法，全部满足采购文件实质性要求（即资格性和符合性评审合格）的供应商进入</w:t>
      </w:r>
      <w:r>
        <w:rPr>
          <w:rFonts w:hint="eastAsia" w:ascii="宋体" w:hAnsi="宋体" w:cs="宋体"/>
          <w:color w:val="auto"/>
          <w:highlight w:val="none"/>
          <w:lang w:val="en-US" w:eastAsia="zh-CN"/>
        </w:rPr>
        <w:t xml:space="preserve">最后报价</w:t>
      </w:r>
      <w:r>
        <w:rPr>
          <w:rFonts w:hint="eastAsia" w:ascii="宋体" w:hAnsi="宋体" w:cs="宋体"/>
          <w:color w:val="auto"/>
          <w:highlight w:val="none"/>
        </w:rPr>
        <w:t xml:space="preserve">，</w:t>
      </w:r>
      <w:r>
        <w:rPr>
          <w:rFonts w:hint="eastAsia" w:ascii="宋体" w:hAnsi="宋体" w:eastAsia="宋体" w:cs="宋体"/>
          <w:color w:val="auto"/>
          <w:highlight w:val="none"/>
          <w:lang w:val="en-US" w:eastAsia="zh-CN"/>
        </w:rPr>
        <w:t xml:space="preserve">评标结果按最后报价由低到高排序并推荐3名成交候选人。最后报价相同的由采购方以抽签方式确定排序。</w:t>
      </w:r>
      <w:r>
        <w:rPr>
          <w:rFonts w:hint="eastAsia" w:ascii="宋体" w:hAnsi="宋体" w:eastAsia="宋体" w:cs="宋体"/>
          <w:color w:val="auto"/>
          <w:sz w:val="21"/>
          <w:szCs w:val="21"/>
          <w:highlight w:val="none"/>
          <w:lang w:val="en-US" w:eastAsia="zh-CN" w:bidi="ar-SA"/>
        </w:rPr>
        <w:t xml:space="preserve">本项目采购人已委托谈判小组直接确定排序第一的成交候选人为成交人。</w:t>
      </w:r>
      <w:r/>
    </w:p>
    <w:p>
      <w:pPr>
        <w:ind w:firstLine="420"/>
        <w:spacing w:line="440" w:lineRule="exact"/>
        <w:tabs>
          <w:tab w:val="left" w:pos="2870" w:leader="none"/>
        </w:tabs>
        <w:rPr>
          <w:rFonts w:ascii="宋体" w:hAnsi="宋体" w:cs="宋体"/>
          <w:color w:val="auto"/>
          <w:highlight w:val="none"/>
        </w:rPr>
      </w:pPr>
      <w:r>
        <w:rPr>
          <w:rFonts w:hint="eastAsia" w:ascii="宋体" w:hAnsi="宋体" w:cs="宋体"/>
          <w:color w:val="auto"/>
          <w:highlight w:val="none"/>
        </w:rPr>
        <w:t xml:space="preserve">（二）评审内容：</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W w:w="4311"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评审内容</w:t>
            </w:r>
            <w:r/>
          </w:p>
        </w:tc>
        <w:tc>
          <w:tcPr>
            <w:tcW w:w="1895"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评审是否合格（填“是”或“否”）</w:t>
            </w:r>
            <w:r/>
          </w:p>
        </w:tc>
        <w:tc>
          <w:tcPr>
            <w:tcW w:w="1336"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不合格原因</w:t>
            </w:r>
            <w:r/>
          </w:p>
        </w:tc>
      </w:tr>
      <w:tr>
        <w:trPr>
          <w:jc w:val="center"/>
          <w:trHeight w:val="591"/>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W w:w="4311"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谈判供应商的资格条件</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2</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投标产品的符合性</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3</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交货时间、付款方式、质保期、售后服务</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4</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谈判文件所要求的其它条款</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bl>
    <w:p>
      <w:pPr>
        <w:pStyle w:val="1010"/>
        <w:ind w:firstLine="420"/>
        <w:spacing w:line="480" w:lineRule="auto"/>
        <w:rPr>
          <w:rFonts w:hAnsi="宋体" w:eastAsia="宋体" w:cs="宋体"/>
          <w:color w:val="auto"/>
          <w:sz w:val="21"/>
          <w:szCs w:val="24"/>
          <w:highlight w:val="none"/>
        </w:rPr>
      </w:pPr>
      <w:r>
        <w:rPr>
          <w:rFonts w:hint="eastAsia" w:hAnsi="宋体" w:eastAsia="宋体" w:cs="宋体"/>
          <w:color w:val="auto"/>
          <w:sz w:val="21"/>
          <w:szCs w:val="24"/>
          <w:highlight w:val="none"/>
        </w:rPr>
        <w:t xml:space="preserve">注：1、质保期、付款方式不响应采购文件要求的为无效投标。</w:t>
      </w:r>
      <w:r/>
    </w:p>
    <w:p>
      <w:pPr>
        <w:ind w:firstLine="420"/>
        <w:rPr>
          <w:rFonts w:ascii="宋体" w:hAnsi="宋体" w:cs="宋体"/>
          <w:color w:val="auto"/>
          <w:highlight w:val="none"/>
        </w:rPr>
      </w:pPr>
      <w:r>
        <w:rPr>
          <w:rFonts w:hint="eastAsia" w:ascii="宋体" w:hAnsi="宋体" w:cs="宋体"/>
          <w:color w:val="auto"/>
          <w:highlight w:val="none"/>
        </w:rPr>
        <w:t xml:space="preserve">2、针对评审内容中评分的每一条，</w:t>
      </w:r>
      <w:r>
        <w:rPr>
          <w:rFonts w:hint="eastAsia" w:ascii="宋体" w:hAnsi="宋体" w:cs="宋体"/>
          <w:color w:val="auto"/>
          <w:highlight w:val="none"/>
          <w:lang w:eastAsia="zh-CN"/>
        </w:rPr>
        <w:t xml:space="preserve">响应单位</w:t>
      </w:r>
      <w:r>
        <w:rPr>
          <w:rFonts w:hint="eastAsia" w:ascii="宋体" w:hAnsi="宋体" w:cs="宋体"/>
          <w:color w:val="auto"/>
          <w:highlight w:val="none"/>
        </w:rPr>
        <w:t xml:space="preserve">均应提供相关资料并作出相应说明供评委评判，不提供相关资料的视为不具备该项得分的条件。</w:t>
      </w:r>
      <w:r/>
    </w:p>
    <w:p>
      <w:pPr>
        <w:ind w:firstLine="420"/>
        <w:rPr>
          <w:rFonts w:ascii="宋体" w:hAnsi="宋体" w:cs="宋体"/>
          <w:color w:val="auto"/>
          <w:highlight w:val="none"/>
        </w:rPr>
      </w:pPr>
      <w:r>
        <w:rPr>
          <w:rFonts w:hint="eastAsia" w:ascii="宋体" w:hAnsi="宋体" w:cs="宋体"/>
          <w:color w:val="auto"/>
          <w:highlight w:val="none"/>
        </w:rPr>
        <w:t xml:space="preserve"> </w:t>
      </w:r>
      <w:r/>
    </w:p>
    <w:p>
      <w:pPr>
        <w:ind w:firstLine="420"/>
        <w:spacing w:line="44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 </w:t>
      </w:r>
      <w:r/>
    </w:p>
    <w:p>
      <w:pPr>
        <w:ind w:firstLine="420"/>
        <w:jc w:val="left"/>
        <w:spacing w:line="380" w:lineRule="exact"/>
        <w:widowControl/>
        <w:rPr>
          <w:rFonts w:ascii="宋体" w:hAnsi="宋体"/>
          <w:color w:val="auto"/>
          <w:szCs w:val="21"/>
          <w:highlight w:val="none"/>
        </w:rPr>
      </w:pPr>
      <w:r>
        <w:rPr>
          <w:rFonts w:ascii="宋体" w:hAnsi="宋体"/>
          <w:color w:val="auto"/>
          <w:szCs w:val="21"/>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0"/>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18"/>
        <w:ind w:firstLine="2654"/>
        <w:jc w:val="both"/>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采购文件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w:t>
      </w:r>
      <w:r>
        <w:rPr>
          <w:rFonts w:hint="eastAsia" w:ascii="宋体" w:hAnsi="宋体" w:cs="宋体"/>
          <w:color w:val="auto"/>
          <w:highlight w:val="none"/>
          <w:lang w:val="en-US" w:eastAsia="zh-CN"/>
        </w:rPr>
        <w:t xml:space="preserve">履行合同</w:t>
      </w:r>
      <w:r>
        <w:rPr>
          <w:rFonts w:hint="eastAsia" w:ascii="宋体" w:hAnsi="宋体" w:cs="宋体"/>
          <w:color w:val="auto"/>
          <w:highlight w:val="none"/>
        </w:rPr>
        <w:t xml:space="preserve">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w:t>
      </w:r>
      <w:r>
        <w:rPr>
          <w:rFonts w:hint="eastAsia" w:hAnsi="宋体" w:cs="宋体"/>
          <w:color w:val="auto"/>
          <w:highlight w:val="none"/>
          <w:lang w:eastAsia="zh-CN"/>
        </w:rPr>
        <w:t xml:space="preserve">成交</w:t>
      </w:r>
      <w:r>
        <w:rPr>
          <w:rFonts w:hint="eastAsia" w:hAnsi="宋体" w:cs="宋体"/>
          <w:color w:val="auto"/>
          <w:highlight w:val="none"/>
        </w:rPr>
        <w:t xml:space="preserve">后的项目实施过程中，对标的设备的参数和功能进行随机的检查和测试，若所供设备的参数和功能与招标等文件要求及</w:t>
      </w:r>
      <w:r>
        <w:rPr>
          <w:rFonts w:hint="eastAsia" w:hAnsi="宋体" w:cs="宋体"/>
          <w:color w:val="auto"/>
          <w:highlight w:val="none"/>
          <w:lang w:eastAsia="zh-CN"/>
        </w:rPr>
        <w:t xml:space="preserve">响应文件</w:t>
      </w:r>
      <w:r>
        <w:rPr>
          <w:rFonts w:hint="eastAsia" w:hAnsi="宋体" w:cs="宋体"/>
          <w:color w:val="auto"/>
          <w:highlight w:val="none"/>
        </w:rPr>
        <w:t xml:space="preserve">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采购文件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57"/>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2"/>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38"/>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响应文件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采购合同签订生效后，甲方在10个工作日内向乙方支付合同金额30%的预付款。</w:t>
      </w:r>
      <w:r>
        <w:rPr>
          <w:rFonts w:hint="eastAsia" w:ascii="宋体" w:hAnsi="宋体" w:cs="宋体"/>
          <w:color w:val="auto"/>
          <w:sz w:val="21"/>
          <w:szCs w:val="21"/>
          <w:highlight w:val="none"/>
        </w:rPr>
        <w:t xml:space="preserve">待全部货物到达甲方指定地点并安装结束，经甲方最终验收合格，并由乙方提前向甲方提供下列单据（A、B）后15日内，无任何异议情形下由甲方向乙方一次性</w:t>
      </w:r>
      <w:r>
        <w:rPr>
          <w:rFonts w:hint="eastAsia" w:ascii="宋体" w:hAnsi="宋体" w:cs="宋体"/>
          <w:color w:val="auto"/>
          <w:highlight w:val="none"/>
        </w:rPr>
        <w:t xml:space="preserve">付清</w:t>
      </w:r>
      <w:r>
        <w:rPr>
          <w:rFonts w:hint="eastAsia" w:ascii="宋体" w:hAnsi="宋体" w:cs="宋体"/>
          <w:color w:val="auto"/>
          <w:sz w:val="21"/>
          <w:szCs w:val="21"/>
          <w:highlight w:val="none"/>
          <w:lang w:eastAsia="zh-CN"/>
        </w:rPr>
        <w:t xml:space="preserve">。</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 w:val="21"/>
          <w:szCs w:val="21"/>
          <w:highlight w:val="none"/>
        </w:rPr>
        <w:t xml:space="preserve">采购合同签订生效后，待全部货物到达甲方指定地点，经甲方</w:t>
      </w:r>
      <w:r>
        <w:rPr>
          <w:rFonts w:hint="eastAsia" w:ascii="宋体" w:hAnsi="宋体" w:cs="宋体"/>
          <w:color w:val="auto"/>
          <w:sz w:val="21"/>
          <w:szCs w:val="21"/>
          <w:highlight w:val="none"/>
          <w:lang w:val="en-US" w:eastAsia="zh-CN"/>
        </w:rPr>
        <w:t xml:space="preserve">收货，乙方开具</w:t>
      </w:r>
      <w:r>
        <w:rPr>
          <w:rFonts w:hint="eastAsia" w:ascii="宋体" w:hAnsi="宋体" w:cs="宋体"/>
          <w:color w:val="auto"/>
          <w:sz w:val="21"/>
          <w:szCs w:val="21"/>
          <w:highlight w:val="none"/>
        </w:rPr>
        <w:t xml:space="preserve">满足甲方要求的合格销售发票</w:t>
      </w:r>
      <w:r>
        <w:rPr>
          <w:rFonts w:hint="eastAsia" w:ascii="宋体" w:hAnsi="宋体" w:cs="宋体"/>
          <w:color w:val="auto"/>
          <w:sz w:val="21"/>
          <w:szCs w:val="21"/>
          <w:highlight w:val="none"/>
          <w:lang w:val="en-US" w:eastAsia="zh-CN"/>
        </w:rPr>
        <w:t xml:space="preserve">后一次性付清</w:t>
      </w:r>
      <w:r>
        <w:rPr>
          <w:rFonts w:hint="eastAsia" w:ascii="宋体" w:hAnsi="宋体" w:cs="宋体"/>
          <w:color w:val="auto"/>
          <w:highlight w:val="none"/>
        </w:rPr>
        <w:t xml:space="preserve">。</w:t>
      </w:r>
      <w:r/>
    </w:p>
    <w:p>
      <w:pPr>
        <w:ind w:firstLine="420"/>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3、付款方式：银行汇票或转</w:t>
      </w:r>
      <w:r>
        <w:rPr>
          <w:rFonts w:hint="eastAsia" w:ascii="宋体" w:hAnsi="宋体" w:eastAsia="宋体" w:cs="宋体"/>
          <w:color w:val="auto"/>
          <w:szCs w:val="21"/>
          <w:highlight w:val="none"/>
          <w:lang w:eastAsia="zh-CN" w:bidi="ar"/>
        </w:rPr>
        <w:t xml:space="preserve">账</w:t>
      </w:r>
      <w:r>
        <w:rPr>
          <w:rFonts w:hint="eastAsia" w:ascii="宋体" w:hAnsi="宋体" w:eastAsia="宋体" w:cs="宋体"/>
          <w:color w:val="auto"/>
          <w:szCs w:val="21"/>
          <w:highlight w:val="none"/>
          <w:lang w:bidi="ar"/>
        </w:rPr>
        <w:t xml:space="preserve">支票。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、履约保证金：</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接到甲方通知后</w:t>
      </w:r>
      <w:r>
        <w:rPr>
          <w:rFonts w:hint="eastAsia" w:ascii="宋体" w:hAnsi="宋体" w:eastAsia="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乙方以履约保函形式</w:t>
      </w:r>
      <w:r>
        <w:rPr>
          <w:rFonts w:hint="eastAsia" w:ascii="宋体" w:hAnsi="宋体" w:eastAsia="宋体" w:cs="宋体"/>
          <w:color w:val="auto"/>
          <w:szCs w:val="21"/>
          <w:highlight w:val="none"/>
          <w:lang w:bidi="ar"/>
        </w:rPr>
        <w:t xml:space="preserve">向甲方缴纳</w:t>
      </w:r>
      <w:r>
        <w:rPr>
          <w:rFonts w:hint="eastAsia" w:ascii="宋体" w:hAnsi="宋体" w:eastAsia="宋体" w:cs="宋体"/>
          <w:color w:val="auto"/>
          <w:szCs w:val="21"/>
          <w:highlight w:val="none"/>
          <w:lang w:val="en-US" w:eastAsia="zh-CN" w:bidi="ar"/>
        </w:rPr>
        <w:t xml:space="preserve">合同金额的10%</w:t>
      </w:r>
      <w:r>
        <w:rPr>
          <w:rFonts w:hint="eastAsia" w:ascii="宋体" w:hAnsi="宋体" w:eastAsia="宋体" w:cs="宋体"/>
          <w:color w:val="auto"/>
          <w:szCs w:val="21"/>
          <w:highlight w:val="none"/>
          <w:lang w:bidi="ar"/>
        </w:rPr>
        <w:t xml:space="preserve">作为履约保证金。</w:t>
      </w:r>
      <w:r/>
    </w:p>
    <w:p>
      <w:pPr>
        <w:ind w:firstLine="425"/>
        <w:spacing w:line="380" w:lineRule="exact"/>
        <w:rPr>
          <w:rFonts w:hint="eastAsia" w:ascii="宋体" w:hAnsi="宋体" w:cs="宋体"/>
          <w:color w:val="auto"/>
          <w:szCs w:val="21"/>
          <w:highlight w:val="none"/>
          <w:lang w:bidi="ar"/>
        </w:rPr>
      </w:pPr>
      <w:r>
        <w:rPr>
          <w:rFonts w:hint="eastAsia" w:ascii="宋体" w:hAnsi="宋体" w:eastAsia="宋体" w:cs="宋体"/>
          <w:color w:val="auto"/>
          <w:szCs w:val="21"/>
          <w:highlight w:val="none"/>
          <w:lang w:bidi="ar"/>
        </w:rPr>
        <w:t xml:space="preserve">(2)如果中标人未能履行合同规定的任何义务，招标人有权从履约保证金中取得补偿，履约保证金不足的，中标人需补足。</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    (3)履约保证金（无息）将在</w:t>
      </w:r>
      <w:r>
        <w:rPr>
          <w:rFonts w:hint="eastAsia" w:ascii="宋体" w:hAnsi="宋体" w:eastAsia="宋体" w:cs="宋体"/>
          <w:color w:val="auto"/>
          <w:szCs w:val="21"/>
          <w:highlight w:val="none"/>
          <w:lang w:val="en-US" w:eastAsia="zh-CN" w:bidi="ar"/>
        </w:rPr>
        <w:t xml:space="preserve">验收合格满一年后</w:t>
      </w:r>
      <w:r>
        <w:rPr>
          <w:rFonts w:hint="eastAsia" w:ascii="宋体" w:hAnsi="宋体" w:eastAsia="宋体" w:cs="宋体"/>
          <w:color w:val="auto"/>
          <w:szCs w:val="21"/>
          <w:highlight w:val="none"/>
          <w:lang w:bidi="ar"/>
        </w:rPr>
        <w:t xml:space="preserve">由甲方全额退回。</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 </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w:t>
      </w:r>
      <w:r>
        <w:rPr>
          <w:rFonts w:hint="eastAsia" w:ascii="宋体" w:hAnsi="宋体" w:eastAsia="宋体" w:cs="宋体"/>
          <w:color w:val="auto"/>
          <w:highlight w:val="none"/>
          <w:lang w:bidi="ar"/>
        </w:rPr>
        <w:t xml:space="preserve">如无特殊原因必须在</w:t>
      </w:r>
      <w:r>
        <w:rPr>
          <w:rFonts w:hint="eastAsia" w:ascii="宋体" w:hAnsi="宋体" w:cs="宋体"/>
          <w:color w:val="auto"/>
          <w:highlight w:val="none"/>
          <w:lang w:val="en-US" w:eastAsia="zh-CN" w:bidi="ar"/>
        </w:rPr>
        <w:t xml:space="preserve">安装后</w:t>
      </w:r>
      <w:r>
        <w:rPr>
          <w:rFonts w:hint="eastAsia" w:ascii="宋体" w:hAnsi="宋体" w:eastAsia="宋体" w:cs="宋体"/>
          <w:color w:val="auto"/>
          <w:highlight w:val="none"/>
          <w:lang w:bidi="ar"/>
        </w:rPr>
        <w:t xml:space="preserve">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w:t>
      </w:r>
      <w:r>
        <w:rPr>
          <w:rFonts w:hint="eastAsia" w:ascii="宋体" w:hAnsi="宋体"/>
          <w:color w:val="auto"/>
          <w:szCs w:val="21"/>
          <w:highlight w:val="none"/>
          <w:lang w:val="en-US" w:eastAsia="zh-CN"/>
        </w:rPr>
        <w:t xml:space="preserve">中华人民共和国</w:t>
      </w:r>
      <w:r>
        <w:rPr>
          <w:rFonts w:hint="eastAsia" w:ascii="宋体" w:hAnsi="宋体"/>
          <w:color w:val="auto"/>
          <w:szCs w:val="21"/>
          <w:highlight w:val="none"/>
        </w:rPr>
        <w:t xml:space="preserve">民法典》及廉洁条例约定购销药品、医用设备、医用耗材/试剂及行政办公物资等。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643"/>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六、附件格式</w:t>
      </w:r>
      <w:r/>
    </w:p>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ind w:firstLine="422"/>
        <w:rPr>
          <w:rFonts w:ascii="宋体" w:hAnsi="宋体" w:cs="宋体"/>
          <w:b/>
          <w:bCs/>
          <w:color w:val="auto"/>
          <w:highlight w:val="none"/>
        </w:rPr>
      </w:pP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3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542"/>
        <w:gridCol w:w="995"/>
        <w:gridCol w:w="4806"/>
      </w:tblGrid>
      <w:tr>
        <w:trPr>
          <w:jc w:val="center"/>
          <w:trHeight w:val="841"/>
        </w:trPr>
        <w:tc>
          <w:tcPr>
            <w:tcW w:w="118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W w:w="154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W w:w="99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W w:w="11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5" w:type="dxa"/>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W w:w="8525" w:type="dxa"/>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14"/>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014"/>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：（响应单位）法人委托书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（响应单位名称）的法定代表人，现授权委托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08"/>
        <w:spacing w:line="360" w:lineRule="auto"/>
        <w:rPr>
          <w:rFonts w:ascii="宋体" w:hAnsi="宋体" w:cs="宋体"/>
          <w:color w:val="auto"/>
          <w:sz w:val="21"/>
          <w:highlight w:val="none"/>
        </w:rPr>
      </w:pPr>
      <w:r>
        <w:rPr>
          <w:rFonts w:ascii="宋体" w:hAnsi="宋体" w:cs="宋体"/>
          <w:color w:val="auto"/>
          <w:sz w:val="21"/>
          <w:highlight w:val="none"/>
        </w:rPr>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lang w:eastAsia="zh-CN"/>
        </w:rPr>
        <w:t xml:space="preserve">响应单位</w:t>
      </w:r>
      <w:r>
        <w:rPr>
          <w:rFonts w:hint="eastAsia" w:ascii="宋体" w:hAnsi="宋体" w:cs="宋体"/>
          <w:color w:val="auto"/>
          <w:sz w:val="21"/>
          <w:highlight w:val="none"/>
        </w:rPr>
        <w:t xml:space="preserve">：（公章）</w:t>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rPr>
        <w:t xml:space="preserve">法定代表人：（签字或签章）</w:t>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号采购文件，经仔细阅读和研究，我们决定参加投标，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已详细审查并确认全部采购文件（包括补充文件）以及全部参考资料和有关附件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我们愿意按照采购文件的一切要求，提供包括完成该项目全部内容的人工、设备、保险、劳保、各种税费和政策性文件规定及合同包含的所有风险、责任等服务期间的一切费用。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如果我们的投标书被接受，我们将严格履行采购文件中规定的每一项要求，按期、按质、按量履行合同的义务。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、我们同意按采购文件中的规定，本投标书的有效期限为开标后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、我们愿意提供招标方在采购文件中要求的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采购文件的要求提供网上响应文件一份，并保证全部响应文件内容真实有效，若有虚假，我公司愿意承担与此相关的一切责任；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szCs w:val="22"/>
          <w:highlight w:val="none"/>
        </w:rPr>
      </w:pPr>
      <w:r>
        <w:rPr>
          <w:rFonts w:ascii="宋体" w:hAnsi="宋体" w:cs="宋体"/>
          <w:color w:val="auto"/>
          <w:sz w:val="24"/>
          <w:szCs w:val="22"/>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eastAsia="宋体" w:cs="Times New Roman"/>
          <w:b/>
          <w:bCs/>
          <w:color w:val="auto"/>
          <w:szCs w:val="21"/>
          <w:highlight w:val="none"/>
          <w:lang w:val="zh-CN"/>
        </w:rPr>
        <w:t xml:space="preserve">4</w:t>
      </w:r>
      <w:r>
        <w:rPr>
          <w:rFonts w:ascii="宋体" w:hAnsi="宋体" w:eastAsia="宋体" w:cs="Times New Roman"/>
          <w:b/>
          <w:bCs/>
          <w:color w:val="auto"/>
          <w:szCs w:val="21"/>
          <w:highlight w:val="none"/>
          <w:lang w:val="zh-CN"/>
        </w:rPr>
        <w:t xml:space="preserve">：</w:t>
      </w:r>
      <w:r>
        <w:rPr>
          <w:rFonts w:hint="eastAsia" w:ascii="宋体" w:hAnsi="宋体" w:eastAsia="宋体" w:cs="Times New Roman"/>
          <w:b/>
          <w:bCs/>
          <w:color w:val="auto"/>
          <w:szCs w:val="21"/>
          <w:highlight w:val="none"/>
          <w:lang w:val="zh-CN"/>
        </w:rPr>
        <w:t xml:space="preserve">谈判报价明细分析表</w:t>
      </w:r>
      <w:r/>
    </w:p>
    <w:p>
      <w:pPr>
        <w:ind w:firstLine="3196"/>
        <w:spacing w:line="420" w:lineRule="exact"/>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 xml:space="preserve">谈判报价明细分析表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3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W w:w="1241" w:type="dxa"/>
            <w:vAlign w:val="center"/>
            <w:textDirection w:val="lrTb"/>
            <w:noWrap/>
          </w:tcPr>
          <w:p>
            <w:pPr>
              <w:spacing w:line="500" w:lineRule="exact"/>
              <w:rPr>
                <w:rFonts w:ascii="宋体" w:hAnsi="宋体" w:cs="宋体"/>
                <w:color w:val="auto"/>
                <w:szCs w:val="21"/>
                <w:highlight w:val="none"/>
              </w:rPr>
            </w:pPr>
            <w:r>
              <w:rPr>
                <w:rFonts w:ascii="宋体" w:hAnsi="宋体" w:cs="宋体"/>
                <w:color w:val="auto"/>
                <w:szCs w:val="21"/>
                <w:highlight w:val="none"/>
              </w:rPr>
            </w:r>
            <w:r/>
          </w:p>
        </w:tc>
        <w:tc>
          <w:tcPr>
            <w:gridSpan w:val="4"/>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834"/>
        <w:rPr>
          <w:rFonts w:hAnsi="宋体" w:eastAsia="宋体" w:cs="宋体"/>
          <w:b/>
          <w:bCs/>
          <w:color w:val="auto"/>
          <w:sz w:val="21"/>
          <w:szCs w:val="21"/>
          <w:highlight w:val="none"/>
        </w:rPr>
      </w:pPr>
      <w:r/>
      <w:bookmarkStart w:id="9" w:name="_Toc18106"/>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9"/>
      <w:r>
        <w:rPr>
          <w:rFonts w:hint="eastAsia" w:hAnsi="宋体" w:eastAsia="宋体" w:cs="宋体"/>
          <w:b/>
          <w:bCs/>
          <w:color w:val="auto"/>
          <w:sz w:val="21"/>
          <w:szCs w:val="21"/>
          <w:highlight w:val="none"/>
        </w:rPr>
        <w:t xml:space="preserve">技术参数</w:t>
      </w:r>
      <w:r>
        <w:rPr>
          <w:rFonts w:hint="eastAsia" w:hAnsi="宋体" w:eastAsia="宋体" w:cs="宋体"/>
          <w:b/>
          <w:bCs/>
          <w:color w:val="auto"/>
          <w:sz w:val="21"/>
          <w:szCs w:val="21"/>
          <w:highlight w:val="none"/>
          <w:lang w:val="en-US" w:eastAsia="zh-CN"/>
        </w:rPr>
        <w:t xml:space="preserve">对照</w:t>
      </w:r>
      <w:r>
        <w:rPr>
          <w:rFonts w:hint="eastAsia" w:hAnsi="宋体" w:eastAsia="宋体" w:cs="宋体"/>
          <w:b/>
          <w:bCs/>
          <w:color w:val="auto"/>
          <w:sz w:val="21"/>
          <w:szCs w:val="21"/>
          <w:highlight w:val="none"/>
        </w:rPr>
        <w:t xml:space="preserve">表</w:t>
      </w:r>
      <w:r/>
    </w:p>
    <w:p>
      <w:pPr>
        <w:jc w:val="center"/>
        <w:spacing w:before="120" w:after="360"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w:t>
      </w:r>
      <w:r>
        <w:rPr>
          <w:rFonts w:hint="eastAsia" w:ascii="宋体" w:hAnsi="宋体" w:cs="宋体"/>
          <w:b/>
          <w:bCs/>
          <w:color w:val="auto"/>
          <w:spacing w:val="20"/>
          <w:szCs w:val="21"/>
          <w:highlight w:val="none"/>
          <w:lang w:val="en-US" w:eastAsia="zh-CN"/>
        </w:rPr>
        <w:t xml:space="preserve">对照</w:t>
      </w:r>
      <w:r>
        <w:rPr>
          <w:rFonts w:hint="eastAsia" w:ascii="宋体" w:hAnsi="宋体" w:cs="宋体"/>
          <w:b/>
          <w:bCs/>
          <w:color w:val="auto"/>
          <w:spacing w:val="20"/>
          <w:szCs w:val="21"/>
          <w:highlight w:val="none"/>
        </w:rPr>
        <w:t xml:space="preserve">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38"/>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W w:w="123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W w:w="1125"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W w:w="114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W w:w="120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要求与实际响应内容逐项对应列出，并在“偏离说明”项下填写以下内容：优于的，填写“正偏离”；符合的，填写“无偏离”；低于的，填写“负偏离”。</w:t>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2.若事项较多，响应单位可根据响应内容的实际情况另纸说明。 </w:t>
      </w:r>
      <w:r/>
    </w:p>
    <w:p>
      <w:pPr>
        <w:pStyle w:val="808"/>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zh-CN"/>
        </w:rPr>
        <w:t xml:space="preserve">、商务条款偏离表</w:t>
      </w:r>
      <w:r/>
    </w:p>
    <w:p>
      <w:pPr>
        <w:pStyle w:val="80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0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采购文件的商务条款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w:t>
      </w:r>
      <w:r>
        <w:rPr>
          <w:rFonts w:hint="eastAsia" w:ascii="宋体" w:hAnsi="宋体"/>
          <w:color w:val="auto"/>
          <w:sz w:val="21"/>
          <w:szCs w:val="21"/>
          <w:highlight w:val="none"/>
          <w:lang w:val="en-US" w:eastAsia="zh-CN"/>
        </w:rPr>
        <w:t xml:space="preserve">响应单位</w:t>
      </w:r>
      <w:r>
        <w:rPr>
          <w:rFonts w:ascii="宋体" w:hAnsi="宋体"/>
          <w:color w:val="auto"/>
          <w:sz w:val="21"/>
          <w:szCs w:val="21"/>
          <w:highlight w:val="none"/>
          <w:lang w:val="zh-CN"/>
        </w:rPr>
        <w:t xml:space="preserve">的</w:t>
      </w:r>
      <w:r>
        <w:rPr>
          <w:rFonts w:hint="eastAsia" w:ascii="宋体" w:hAnsi="宋体"/>
          <w:color w:val="auto"/>
          <w:sz w:val="21"/>
          <w:szCs w:val="21"/>
          <w:highlight w:val="none"/>
          <w:lang w:val="en-US" w:eastAsia="zh-CN"/>
        </w:rPr>
        <w:t xml:space="preserve">响应</w:t>
      </w:r>
      <w:r>
        <w:rPr>
          <w:rFonts w:ascii="宋体" w:hAnsi="宋体"/>
          <w:color w:val="auto"/>
          <w:sz w:val="21"/>
          <w:szCs w:val="21"/>
          <w:highlight w:val="none"/>
          <w:lang w:val="zh-CN"/>
        </w:rPr>
        <w:t xml:space="preserve">文件（除技术规格部分）与</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文件规定的有偏离的，应在此表中说明。未在上表中说明的，将被认为完全响应</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文件的规定。</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10" w:name="gpcItem_pack_1_code_7"/>
      <w:r>
        <w:rPr>
          <w:rFonts w:hint="eastAsia" w:ascii="宋体" w:hAnsi="宋体" w:cs="宋体"/>
          <w:b/>
          <w:color w:val="auto"/>
          <w:szCs w:val="21"/>
          <w:highlight w:val="none"/>
        </w:rPr>
        <w:t xml:space="preserve">售后服务方案</w:t>
      </w:r>
      <w:bookmarkEnd w:id="10"/>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应针对本次招标项目特点编写公司</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可根据自身情况编写，本页不够可另加页附后。</w:t>
            </w:r>
            <w:r/>
          </w:p>
        </w:tc>
      </w:tr>
      <w:tr>
        <w:trPr>
          <w:jc w:val="center"/>
          <w:trHeight w:val="7214"/>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08"/>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b/>
          <w:bCs/>
          <w:color w:val="auto"/>
          <w:szCs w:val="21"/>
          <w:highlight w:val="none"/>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bidi="ar"/>
        </w:rPr>
        <w:t xml:space="preserve">设备清单表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设备清单表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38"/>
        <w:tblW w:w="0" w:type="auto"/>
        <w:tblInd w:w="-36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W w:w="7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序号</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名称</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品牌规格</w:t>
            </w:r>
            <w:r/>
          </w:p>
        </w:tc>
        <w:tc>
          <w:tcPr>
            <w:tcW w:w="198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生产厂家</w:t>
            </w:r>
            <w:r/>
          </w:p>
        </w:tc>
        <w:tc>
          <w:tcPr>
            <w:tcW w:w="988"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单位</w:t>
            </w:r>
            <w:r/>
          </w:p>
        </w:tc>
        <w:tc>
          <w:tcPr>
            <w:tcW w:w="90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数量</w:t>
            </w:r>
            <w:r/>
          </w:p>
        </w:tc>
        <w:tc>
          <w:tcPr>
            <w:tcW w:w="1015"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备注</w:t>
            </w:r>
            <w:r/>
          </w:p>
        </w:tc>
      </w:tr>
      <w:tr>
        <w:trPr>
          <w:trHeight w:val="62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响应单位：（公章）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、各响应单位可参照上述格式自制《设备清单表》投标。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、各响应单位必须附详细配置清单。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、资格证明文件</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关于资格文件的声明函</w:t>
      </w:r>
      <w:r/>
    </w:p>
    <w:p>
      <w:pPr>
        <w:ind w:firstLine="425"/>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ind w:firstLine="66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本公司愿就由贵公司组织实施的编号为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响应单位：（公章）</w:t>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08"/>
        <w:ind w:firstLine="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3"/>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p>
    <w:p>
      <w:pPr>
        <w:ind w:left="140"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b/>
          <w:bCs/>
          <w:color w:val="auto"/>
          <w:szCs w:val="21"/>
          <w:highlight w:val="none"/>
        </w:rPr>
      </w:pPr>
      <w:r>
        <w:rPr>
          <w:rFonts w:hint="eastAsia" w:ascii="宋体" w:hAnsi="宋体" w:cs="宋体"/>
          <w:b/>
          <w:bCs/>
          <w:color w:val="auto"/>
          <w:szCs w:val="21"/>
          <w:highlight w:val="none"/>
        </w:rPr>
        <w:t xml:space="preserve">5、供应商应当对</w:t>
      </w:r>
      <w:r>
        <w:rPr>
          <w:rFonts w:hint="eastAsia" w:ascii="宋体" w:hAnsi="宋体" w:cs="宋体"/>
          <w:b/>
          <w:bCs/>
          <w:color w:val="auto"/>
          <w:szCs w:val="21"/>
          <w:highlight w:val="none"/>
          <w:lang w:val="en-US" w:eastAsia="zh-CN"/>
        </w:rPr>
        <w:t xml:space="preserve">所有</w:t>
      </w:r>
      <w:r>
        <w:rPr>
          <w:rFonts w:hint="eastAsia" w:ascii="宋体" w:hAnsi="宋体" w:cs="宋体"/>
          <w:b/>
          <w:bCs/>
          <w:color w:val="auto"/>
          <w:szCs w:val="21"/>
          <w:highlight w:val="none"/>
        </w:rPr>
        <w:t xml:space="preserve">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004"/>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04"/>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004"/>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04"/>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004"/>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4"/>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54"/>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828"/>
        <w:ind w:firstLine="444"/>
        <w:rPr>
          <w:color w:val="auto"/>
          <w:szCs w:val="21"/>
          <w:highlight w:val="none"/>
        </w:rPr>
      </w:pPr>
      <w:r>
        <w:rPr>
          <w:rFonts w:hint="eastAsia" w:ascii="宋体" w:hAnsi="宋体" w:cs="宋体"/>
          <w:color w:val="auto"/>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供应商为残疾人福利性单位的，采购人或者其委托的采购代理机构应当随</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8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854"/>
        <w:numPr>
          <w:ilvl w:val="0"/>
          <w:numId w:val="4"/>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854"/>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8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54"/>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854"/>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57"/>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60"/>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62"/>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62"/>
          <w:rFonts w:hint="eastAsia" w:ascii="宋体" w:hAnsi="宋体" w:eastAsia="宋体" w:cs="宋体"/>
          <w:i w:val="0"/>
          <w:iCs w:val="0"/>
          <w:caps w:val="0"/>
          <w:color w:val="auto"/>
          <w:spacing w:val="0"/>
          <w:sz w:val="21"/>
          <w:szCs w:val="21"/>
          <w:highlight w:val="none"/>
          <w:shd w:val="clear" w:color="auto" w:fill="ffffff"/>
        </w:rPr>
        <w:t xml:space="preserve">（厂名）</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6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62"/>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62"/>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6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5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5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5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5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rPr>
        <w:rStyle w:val="862"/>
      </w:rPr>
      <w:framePr w:wrap="around" w:vAnchor="text" w:hAnchor="margin" w:xAlign="center" w:y="1"/>
    </w:pPr>
    <w:r>
      <w:rPr>
        <w:rStyle w:val="862"/>
      </w:rPr>
      <w:fldChar w:fldCharType="begin"/>
    </w:r>
    <w:r>
      <w:rPr>
        <w:rStyle w:val="862"/>
      </w:rPr>
      <w:instrText xml:space="preserve">PAGE  </w:instrText>
    </w:r>
    <w:r>
      <w:rPr>
        <w:rStyle w:val="862"/>
      </w:rPr>
      <w:fldChar w:fldCharType="end"/>
    </w:r>
    <w:r/>
  </w:p>
  <w:p>
    <w:pPr>
      <w:pStyle w:val="840"/>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021"/>
    <w:uiPriority w:val="0"/>
    <w:qFormat/>
    <w:pPr>
      <w:jc w:val="both"/>
      <w:widowControl w:val="off"/>
    </w:pPr>
    <w:rPr>
      <w:rFonts w:hint="default" w:ascii="Calibri" w:hAnsi="Calibri" w:eastAsia="宋体" w:cs="Times New Roman"/>
      <w:sz w:val="21"/>
      <w:szCs w:val="24"/>
      <w:lang w:val="en-US" w:eastAsia="zh-CN" w:bidi="ar-SA"/>
    </w:rPr>
  </w:style>
  <w:style w:type="paragraph" w:styleId="728">
    <w:name w:val="Heading 1"/>
    <w:basedOn w:val="727"/>
    <w:next w:val="727"/>
    <w:link w:val="766"/>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8"/>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9"/>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0"/>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2"/>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3"/>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7"/>
    <w:uiPriority w:val="99"/>
    <w:semiHidden/>
    <w:unhideWhenUsed/>
    <w:qFormat/>
    <w:pPr>
      <w:jc w:val="left"/>
    </w:pPr>
  </w:style>
  <w:style w:type="paragraph" w:styleId="742">
    <w:name w:val="Body Text Indent"/>
    <w:basedOn w:val="727"/>
    <w:next w:val="727"/>
    <w:uiPriority w:val="0"/>
    <w:unhideWhenUsed/>
    <w:qFormat/>
    <w:pPr>
      <w:ind w:right="-159" w:firstLine="246"/>
      <w:spacing w:line="240" w:lineRule="atLeast"/>
    </w:pPr>
    <w:rPr>
      <w:spacing w:val="20"/>
      <w:szCs w:val="24"/>
    </w:rPr>
  </w:style>
  <w:style w:type="paragraph" w:styleId="743">
    <w:name w:val="toc 5"/>
    <w:basedOn w:val="727"/>
    <w:next w:val="727"/>
    <w:uiPriority w:val="39"/>
    <w:unhideWhenUsed/>
    <w:qFormat/>
    <w:pPr>
      <w:ind w:left="1134" w:right="0" w:firstLine="0"/>
      <w:spacing w:after="57"/>
    </w:pPr>
  </w:style>
  <w:style w:type="paragraph" w:styleId="744">
    <w:name w:val="toc 3"/>
    <w:basedOn w:val="727"/>
    <w:next w:val="727"/>
    <w:uiPriority w:val="39"/>
    <w:unhideWhenUsed/>
    <w:qFormat/>
    <w:pPr>
      <w:ind w:left="567" w:right="0" w:firstLine="0"/>
      <w:spacing w:after="57"/>
    </w:p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802"/>
    <w:uiPriority w:val="99"/>
    <w:semiHidden/>
    <w:unhideWhenUsed/>
    <w:qFormat/>
    <w:pPr>
      <w:spacing w:after="0" w:line="240" w:lineRule="auto"/>
    </w:pPr>
    <w:rPr>
      <w:sz w:val="20"/>
    </w:rPr>
  </w:style>
  <w:style w:type="paragraph" w:styleId="747">
    <w:name w:val="Footer"/>
    <w:basedOn w:val="727"/>
    <w:uiPriority w:val="99"/>
    <w:unhideWhenUsed/>
    <w:qFormat/>
    <w:pPr>
      <w:spacing w:after="0" w:line="240" w:lineRule="auto"/>
      <w:tabs>
        <w:tab w:val="center" w:pos="7143" w:leader="none"/>
        <w:tab w:val="right" w:pos="14287" w:leader="none"/>
      </w:tabs>
    </w:pPr>
  </w:style>
  <w:style w:type="paragraph" w:styleId="748">
    <w:name w:val="Header"/>
    <w:basedOn w:val="727"/>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77"/>
    <w:uiPriority w:val="11"/>
    <w:qFormat/>
    <w:pPr>
      <w:spacing w:before="200" w:after="200"/>
    </w:pPr>
    <w:rPr>
      <w:sz w:val="24"/>
      <w:szCs w:val="24"/>
    </w:rPr>
  </w:style>
  <w:style w:type="paragraph" w:styleId="752">
    <w:name w:val="footnote text"/>
    <w:basedOn w:val="727"/>
    <w:link w:val="801"/>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Normal (Web)"/>
    <w:basedOn w:val="727"/>
    <w:uiPriority w:val="99"/>
    <w:qFormat/>
    <w:pPr>
      <w:spacing w:before="100" w:beforeAutospacing="1" w:after="100" w:afterAutospacing="1"/>
    </w:pPr>
    <w:rPr>
      <w:rFonts w:ascii="宋体" w:hAnsi="宋体" w:cs="宋体"/>
    </w:rPr>
  </w:style>
  <w:style w:type="paragraph" w:styleId="758">
    <w:name w:val="Title"/>
    <w:basedOn w:val="727"/>
    <w:next w:val="727"/>
    <w:link w:val="776"/>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uiPriority w:val="22"/>
    <w:qFormat/>
    <w:rPr>
      <w:b/>
      <w:bCs/>
    </w:rPr>
  </w:style>
  <w:style w:type="character" w:styleId="761">
    <w:name w:val="endnote reference"/>
    <w:uiPriority w:val="99"/>
    <w:semiHidden/>
    <w:unhideWhenUsed/>
    <w:qFormat/>
    <w:rPr>
      <w:vertAlign w:val="superscript"/>
    </w:rPr>
  </w:style>
  <w:style w:type="character" w:styleId="762">
    <w:name w:val="Emphasis"/>
    <w:uiPriority w:val="0"/>
    <w:qFormat/>
    <w:rPr>
      <w:color w:val="cc0000"/>
      <w:szCs w:val="20"/>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段"/>
    <w:next w:val="727"/>
    <w:uiPriority w:val="0"/>
    <w:qFormat/>
    <w:pPr>
      <w:ind w:firstLine="200"/>
      <w:jc w:val="both"/>
    </w:pPr>
    <w:rPr>
      <w:rFonts w:hint="default" w:ascii="宋体" w:hAnsi="Calibri" w:eastAsia="宋体" w:cs="Times New Roman"/>
      <w:sz w:val="21"/>
      <w:lang w:val="en-US" w:eastAsia="zh-CN" w:bidi="ar-SA"/>
    </w:rPr>
  </w:style>
  <w:style w:type="character" w:styleId="766" w:customStyle="1">
    <w:name w:val="Heading 1 Char"/>
    <w:link w:val="728"/>
    <w:uiPriority w:val="9"/>
    <w:qFormat/>
    <w:rPr>
      <w:rFonts w:ascii="Arial" w:hAnsi="Arial" w:eastAsia="Arial" w:cs="Arial"/>
      <w:sz w:val="40"/>
      <w:szCs w:val="40"/>
    </w:rPr>
  </w:style>
  <w:style w:type="character" w:styleId="767" w:customStyle="1">
    <w:name w:val="Heading 2 Char"/>
    <w:link w:val="729"/>
    <w:uiPriority w:val="9"/>
    <w:qFormat/>
    <w:rPr>
      <w:rFonts w:ascii="Arial" w:hAnsi="Arial" w:eastAsia="Arial" w:cs="Arial"/>
      <w:sz w:val="34"/>
    </w:rPr>
  </w:style>
  <w:style w:type="character" w:styleId="768" w:customStyle="1">
    <w:name w:val="Heading 3 Char"/>
    <w:link w:val="730"/>
    <w:uiPriority w:val="9"/>
    <w:qFormat/>
    <w:rPr>
      <w:rFonts w:ascii="Arial" w:hAnsi="Arial" w:eastAsia="Arial" w:cs="Arial"/>
      <w:sz w:val="30"/>
      <w:szCs w:val="30"/>
    </w:rPr>
  </w:style>
  <w:style w:type="character" w:styleId="769" w:customStyle="1">
    <w:name w:val="Heading 5 Char"/>
    <w:link w:val="732"/>
    <w:uiPriority w:val="9"/>
    <w:qFormat/>
    <w:rPr>
      <w:rFonts w:ascii="Arial" w:hAnsi="Arial" w:eastAsia="Arial" w:cs="Arial"/>
      <w:b/>
      <w:bCs/>
      <w:sz w:val="24"/>
      <w:szCs w:val="24"/>
    </w:rPr>
  </w:style>
  <w:style w:type="character" w:styleId="770" w:customStyle="1">
    <w:name w:val="Heading 6 Char"/>
    <w:link w:val="733"/>
    <w:uiPriority w:val="9"/>
    <w:qFormat/>
    <w:rPr>
      <w:rFonts w:ascii="Arial" w:hAnsi="Arial" w:eastAsia="Arial" w:cs="Arial"/>
      <w:b/>
      <w:bCs/>
      <w:sz w:val="22"/>
      <w:szCs w:val="22"/>
    </w:rPr>
  </w:style>
  <w:style w:type="character" w:styleId="771" w:customStyle="1">
    <w:name w:val="Heading 7 Char"/>
    <w:link w:val="734"/>
    <w:uiPriority w:val="9"/>
    <w:qFormat/>
    <w:rPr>
      <w:rFonts w:ascii="Arial" w:hAnsi="Arial" w:eastAsia="Arial" w:cs="Arial"/>
      <w:b/>
      <w:bCs/>
      <w:i/>
      <w:iCs/>
      <w:sz w:val="22"/>
      <w:szCs w:val="22"/>
    </w:rPr>
  </w:style>
  <w:style w:type="character" w:styleId="772" w:customStyle="1">
    <w:name w:val="Heading 8 Char"/>
    <w:link w:val="735"/>
    <w:uiPriority w:val="9"/>
    <w:qFormat/>
    <w:rPr>
      <w:rFonts w:ascii="Arial" w:hAnsi="Arial" w:eastAsia="Arial" w:cs="Arial"/>
      <w:i/>
      <w:iCs/>
      <w:sz w:val="22"/>
      <w:szCs w:val="22"/>
    </w:rPr>
  </w:style>
  <w:style w:type="character" w:styleId="773" w:customStyle="1">
    <w:name w:val="Heading 9 Char"/>
    <w:link w:val="736"/>
    <w:uiPriority w:val="9"/>
    <w:qFormat/>
    <w:rPr>
      <w:rFonts w:ascii="Arial" w:hAnsi="Arial" w:eastAsia="Arial" w:cs="Arial"/>
      <w:i/>
      <w:iCs/>
      <w:sz w:val="21"/>
      <w:szCs w:val="21"/>
    </w:rPr>
  </w:style>
  <w:style w:type="paragraph" w:styleId="774">
    <w:name w:val="List Paragraph"/>
    <w:basedOn w:val="727"/>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58"/>
    <w:uiPriority w:val="10"/>
    <w:qFormat/>
    <w:rPr>
      <w:sz w:val="48"/>
      <w:szCs w:val="48"/>
    </w:rPr>
  </w:style>
  <w:style w:type="character" w:styleId="777" w:customStyle="1">
    <w:name w:val="Subtitle Char"/>
    <w:link w:val="751"/>
    <w:uiPriority w:val="11"/>
    <w:qFormat/>
    <w:rPr>
      <w:sz w:val="24"/>
      <w:szCs w:val="24"/>
    </w:rPr>
  </w:style>
  <w:style w:type="paragraph" w:styleId="778">
    <w:name w:val="Quote"/>
    <w:basedOn w:val="727"/>
    <w:next w:val="727"/>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7"/>
    <w:next w:val="727"/>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link w:val="752"/>
    <w:uiPriority w:val="99"/>
    <w:qFormat/>
    <w:rPr>
      <w:sz w:val="18"/>
    </w:rPr>
  </w:style>
  <w:style w:type="character" w:styleId="802" w:customStyle="1">
    <w:name w:val="Endnote Text Char"/>
    <w:link w:val="746"/>
    <w:uiPriority w:val="99"/>
    <w:qFormat/>
    <w:rPr>
      <w:sz w:val="20"/>
    </w:rPr>
  </w:style>
  <w:style w:type="paragraph" w:styleId="803" w:customStyle="1">
    <w:name w:val="TOC Heading"/>
    <w:uiPriority w:val="39"/>
    <w:unhideWhenUsed/>
    <w:qFormat/>
    <w:rPr>
      <w:rFonts w:hint="default" w:ascii="Times New Roman" w:hAnsi="Times New Roman" w:eastAsia="宋体" w:cs="Times New Roman"/>
    </w:rPr>
  </w:style>
  <w:style w:type="paragraph" w:styleId="804" w:customStyle="1">
    <w:name w:val="标题 11"/>
    <w:basedOn w:val="727"/>
    <w:next w:val="727"/>
    <w:link w:val="816"/>
    <w:uiPriority w:val="9"/>
    <w:qFormat/>
    <w:pPr>
      <w:keepLines/>
      <w:keepNext/>
      <w:spacing w:before="480" w:after="200"/>
      <w:outlineLvl w:val="0"/>
    </w:pPr>
    <w:rPr>
      <w:rFonts w:ascii="Arial" w:hAnsi="Arial" w:eastAsia="Arial" w:cs="Arial"/>
      <w:sz w:val="40"/>
      <w:szCs w:val="40"/>
    </w:rPr>
  </w:style>
  <w:style w:type="paragraph" w:styleId="805" w:customStyle="1">
    <w:name w:val="标题 21"/>
    <w:basedOn w:val="727"/>
    <w:next w:val="727"/>
    <w:link w:val="817"/>
    <w:uiPriority w:val="9"/>
    <w:unhideWhenUsed/>
    <w:qFormat/>
    <w:pPr>
      <w:keepLines/>
      <w:keepNext/>
      <w:spacing w:before="360" w:after="200"/>
      <w:outlineLvl w:val="1"/>
    </w:pPr>
    <w:rPr>
      <w:rFonts w:ascii="Arial" w:hAnsi="Arial" w:eastAsia="Arial" w:cs="Arial"/>
      <w:sz w:val="34"/>
    </w:rPr>
  </w:style>
  <w:style w:type="paragraph" w:styleId="806" w:customStyle="1">
    <w:name w:val="标题 31"/>
    <w:basedOn w:val="727"/>
    <w:next w:val="727"/>
    <w:link w:val="818"/>
    <w:uiPriority w:val="9"/>
    <w:unhideWhenUsed/>
    <w:qFormat/>
    <w:pPr>
      <w:keepLines/>
      <w:keepNext/>
      <w:spacing w:before="320" w:after="200"/>
      <w:outlineLvl w:val="2"/>
    </w:pPr>
    <w:rPr>
      <w:rFonts w:ascii="Arial" w:hAnsi="Arial" w:eastAsia="Arial" w:cs="Arial"/>
      <w:sz w:val="30"/>
      <w:szCs w:val="30"/>
    </w:rPr>
  </w:style>
  <w:style w:type="paragraph" w:styleId="807" w:customStyle="1">
    <w:name w:val="标题 41"/>
    <w:basedOn w:val="727"/>
    <w:next w:val="808"/>
    <w:uiPriority w:val="0"/>
    <w:qFormat/>
    <w:pPr>
      <w:keepNext/>
      <w:spacing w:before="240" w:after="60"/>
      <w:outlineLvl w:val="3"/>
    </w:pPr>
    <w:rPr>
      <w:b/>
      <w:bCs/>
      <w:sz w:val="28"/>
      <w:szCs w:val="28"/>
    </w:rPr>
  </w:style>
  <w:style w:type="paragraph" w:styleId="808" w:customStyle="1">
    <w:name w:val="正文缩进1"/>
    <w:basedOn w:val="727"/>
    <w:next w:val="727"/>
    <w:uiPriority w:val="99"/>
    <w:unhideWhenUsed/>
    <w:qFormat/>
    <w:pPr>
      <w:ind w:firstLine="420"/>
      <w:jc w:val="left"/>
    </w:pPr>
    <w:rPr>
      <w:sz w:val="24"/>
    </w:rPr>
  </w:style>
  <w:style w:type="paragraph" w:styleId="809" w:customStyle="1">
    <w:name w:val="标题 51"/>
    <w:basedOn w:val="727"/>
    <w:next w:val="727"/>
    <w:link w:val="819"/>
    <w:uiPriority w:val="9"/>
    <w:unhideWhenUsed/>
    <w:qFormat/>
    <w:pPr>
      <w:keepLines/>
      <w:keepNext/>
      <w:spacing w:before="320" w:after="200"/>
      <w:outlineLvl w:val="4"/>
    </w:pPr>
    <w:rPr>
      <w:rFonts w:ascii="Arial" w:hAnsi="Arial" w:eastAsia="Arial" w:cs="Arial"/>
      <w:b/>
      <w:bCs/>
      <w:sz w:val="24"/>
    </w:rPr>
  </w:style>
  <w:style w:type="paragraph" w:styleId="810" w:customStyle="1">
    <w:name w:val="标题 61"/>
    <w:basedOn w:val="727"/>
    <w:next w:val="727"/>
    <w:link w:val="820"/>
    <w:uiPriority w:val="9"/>
    <w:unhideWhenUsed/>
    <w:qFormat/>
    <w:pPr>
      <w:keepLines/>
      <w:keepNext/>
      <w:spacing w:before="320" w:after="200"/>
      <w:outlineLvl w:val="5"/>
    </w:pPr>
    <w:rPr>
      <w:rFonts w:ascii="Arial" w:hAnsi="Arial" w:eastAsia="Arial" w:cs="Arial"/>
      <w:b/>
      <w:bCs/>
      <w:sz w:val="22"/>
      <w:szCs w:val="22"/>
    </w:rPr>
  </w:style>
  <w:style w:type="paragraph" w:styleId="811" w:customStyle="1">
    <w:name w:val="标题 71"/>
    <w:basedOn w:val="727"/>
    <w:next w:val="727"/>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812" w:customStyle="1">
    <w:name w:val="标题 81"/>
    <w:basedOn w:val="727"/>
    <w:next w:val="727"/>
    <w:link w:val="822"/>
    <w:uiPriority w:val="9"/>
    <w:unhideWhenUsed/>
    <w:qFormat/>
    <w:pPr>
      <w:keepLines/>
      <w:keepNext/>
      <w:spacing w:before="320" w:after="200"/>
      <w:outlineLvl w:val="7"/>
    </w:pPr>
    <w:rPr>
      <w:rFonts w:ascii="Arial" w:hAnsi="Arial" w:eastAsia="Arial" w:cs="Arial"/>
      <w:i/>
      <w:iCs/>
      <w:sz w:val="22"/>
      <w:szCs w:val="22"/>
    </w:rPr>
  </w:style>
  <w:style w:type="paragraph" w:styleId="813" w:customStyle="1">
    <w:name w:val="标题 91"/>
    <w:basedOn w:val="727"/>
    <w:next w:val="727"/>
    <w:link w:val="823"/>
    <w:uiPriority w:val="9"/>
    <w:unhideWhenUsed/>
    <w:qFormat/>
    <w:pPr>
      <w:keepLines/>
      <w:keepNext/>
      <w:spacing w:before="320" w:after="200"/>
      <w:outlineLvl w:val="8"/>
    </w:pPr>
    <w:rPr>
      <w:rFonts w:ascii="Arial" w:hAnsi="Arial" w:eastAsia="Arial" w:cs="Arial"/>
      <w:i/>
      <w:iCs/>
      <w:szCs w:val="21"/>
    </w:rPr>
  </w:style>
  <w:style w:type="character" w:styleId="814" w:customStyle="1">
    <w:name w:val="默认段落字体1"/>
    <w:link w:val="727"/>
    <w:uiPriority w:val="1"/>
    <w:unhideWhenUsed/>
    <w:qFormat/>
  </w:style>
  <w:style w:type="table" w:styleId="815" w:customStyle="1">
    <w:name w:val="普通表格1"/>
    <w:uiPriority w:val="99"/>
    <w:unhideWhenUsed/>
    <w:qFormat/>
    <w:tblPr/>
  </w:style>
  <w:style w:type="character" w:styleId="816" w:customStyle="1">
    <w:name w:val="标题 1 Char"/>
    <w:basedOn w:val="814"/>
    <w:link w:val="804"/>
    <w:uiPriority w:val="9"/>
    <w:qFormat/>
    <w:rPr>
      <w:rFonts w:ascii="Arial" w:hAnsi="Arial" w:eastAsia="Arial" w:cs="Arial"/>
      <w:sz w:val="40"/>
      <w:szCs w:val="40"/>
    </w:rPr>
  </w:style>
  <w:style w:type="character" w:styleId="817" w:customStyle="1">
    <w:name w:val="标题 2 Char"/>
    <w:basedOn w:val="814"/>
    <w:link w:val="805"/>
    <w:uiPriority w:val="9"/>
    <w:qFormat/>
    <w:rPr>
      <w:rFonts w:ascii="Arial" w:hAnsi="Arial" w:eastAsia="Arial" w:cs="Arial"/>
      <w:sz w:val="34"/>
    </w:rPr>
  </w:style>
  <w:style w:type="character" w:styleId="818" w:customStyle="1">
    <w:name w:val="标题 3 Char"/>
    <w:basedOn w:val="814"/>
    <w:link w:val="806"/>
    <w:uiPriority w:val="9"/>
    <w:qFormat/>
    <w:rPr>
      <w:rFonts w:ascii="Arial" w:hAnsi="Arial" w:eastAsia="Arial" w:cs="Arial"/>
      <w:sz w:val="30"/>
      <w:szCs w:val="30"/>
    </w:rPr>
  </w:style>
  <w:style w:type="character" w:styleId="819" w:customStyle="1">
    <w:name w:val="标题 5 Char"/>
    <w:basedOn w:val="814"/>
    <w:link w:val="809"/>
    <w:uiPriority w:val="9"/>
    <w:qFormat/>
    <w:rPr>
      <w:rFonts w:ascii="Arial" w:hAnsi="Arial" w:eastAsia="Arial" w:cs="Arial"/>
      <w:b/>
      <w:bCs/>
      <w:sz w:val="24"/>
      <w:szCs w:val="24"/>
    </w:rPr>
  </w:style>
  <w:style w:type="character" w:styleId="820" w:customStyle="1">
    <w:name w:val="标题 6 Char"/>
    <w:basedOn w:val="814"/>
    <w:link w:val="810"/>
    <w:uiPriority w:val="9"/>
    <w:qFormat/>
    <w:rPr>
      <w:rFonts w:ascii="Arial" w:hAnsi="Arial" w:eastAsia="Arial" w:cs="Arial"/>
      <w:b/>
      <w:bCs/>
      <w:sz w:val="22"/>
      <w:szCs w:val="22"/>
    </w:rPr>
  </w:style>
  <w:style w:type="character" w:styleId="821" w:customStyle="1">
    <w:name w:val="标题 7 Char"/>
    <w:basedOn w:val="814"/>
    <w:link w:val="811"/>
    <w:uiPriority w:val="9"/>
    <w:qFormat/>
    <w:rPr>
      <w:rFonts w:ascii="Arial" w:hAnsi="Arial" w:eastAsia="Arial" w:cs="Arial"/>
      <w:b/>
      <w:bCs/>
      <w:i/>
      <w:iCs/>
      <w:sz w:val="22"/>
      <w:szCs w:val="22"/>
    </w:rPr>
  </w:style>
  <w:style w:type="character" w:styleId="822" w:customStyle="1">
    <w:name w:val="标题 8 Char"/>
    <w:basedOn w:val="814"/>
    <w:link w:val="812"/>
    <w:uiPriority w:val="9"/>
    <w:qFormat/>
    <w:rPr>
      <w:rFonts w:ascii="Arial" w:hAnsi="Arial" w:eastAsia="Arial" w:cs="Arial"/>
      <w:i/>
      <w:iCs/>
      <w:sz w:val="22"/>
      <w:szCs w:val="22"/>
    </w:rPr>
  </w:style>
  <w:style w:type="character" w:styleId="823" w:customStyle="1">
    <w:name w:val="标题 9 Char"/>
    <w:basedOn w:val="814"/>
    <w:link w:val="813"/>
    <w:uiPriority w:val="9"/>
    <w:qFormat/>
    <w:rPr>
      <w:rFonts w:ascii="Arial" w:hAnsi="Arial" w:eastAsia="Arial" w:cs="Arial"/>
      <w:i/>
      <w:iCs/>
      <w:sz w:val="21"/>
      <w:szCs w:val="21"/>
    </w:rPr>
  </w:style>
  <w:style w:type="paragraph" w:styleId="824" w:customStyle="1">
    <w:name w:val="目录 71"/>
    <w:basedOn w:val="727"/>
    <w:next w:val="727"/>
    <w:uiPriority w:val="39"/>
    <w:unhideWhenUsed/>
    <w:qFormat/>
    <w:pPr>
      <w:ind w:left="1701"/>
      <w:spacing w:after="57"/>
    </w:pPr>
  </w:style>
  <w:style w:type="paragraph" w:styleId="825" w:customStyle="1">
    <w:name w:val="题注1"/>
    <w:basedOn w:val="804"/>
    <w:next w:val="727"/>
    <w:uiPriority w:val="35"/>
    <w:unhideWhenUsed/>
    <w:qFormat/>
    <w:pPr>
      <w:spacing w:line="276" w:lineRule="auto"/>
    </w:pPr>
    <w:rPr>
      <w:b/>
      <w:bCs/>
      <w:color w:val="5b9bd5"/>
      <w:sz w:val="18"/>
      <w:szCs w:val="18"/>
    </w:rPr>
  </w:style>
  <w:style w:type="paragraph" w:styleId="826" w:customStyle="1">
    <w:name w:val="批注文字1"/>
    <w:basedOn w:val="727"/>
    <w:link w:val="827"/>
    <w:uiPriority w:val="0"/>
    <w:qFormat/>
    <w:pPr>
      <w:jc w:val="left"/>
    </w:pPr>
  </w:style>
  <w:style w:type="character" w:styleId="827" w:customStyle="1">
    <w:name w:val="批注文字 Char"/>
    <w:basedOn w:val="814"/>
    <w:link w:val="826"/>
    <w:uiPriority w:val="0"/>
    <w:qFormat/>
    <w:rPr>
      <w:rFonts w:ascii="Calibri" w:hAnsi="Calibri"/>
      <w:sz w:val="21"/>
      <w:szCs w:val="24"/>
    </w:rPr>
  </w:style>
  <w:style w:type="paragraph" w:styleId="828" w:customStyle="1">
    <w:name w:val="正文文本1"/>
    <w:basedOn w:val="727"/>
    <w:next w:val="727"/>
    <w:uiPriority w:val="0"/>
    <w:qFormat/>
  </w:style>
  <w:style w:type="paragraph" w:styleId="829" w:customStyle="1">
    <w:name w:val="正文文本缩进1"/>
    <w:basedOn w:val="727"/>
    <w:next w:val="830"/>
    <w:uiPriority w:val="0"/>
    <w:qFormat/>
    <w:pPr>
      <w:ind w:left="570"/>
      <w:spacing w:line="520" w:lineRule="exact"/>
    </w:pPr>
    <w:rPr>
      <w:rFonts w:ascii="方正仿宋简体" w:hAnsi="创艺简仿宋" w:eastAsia="方正仿宋简体"/>
      <w:sz w:val="24"/>
    </w:rPr>
  </w:style>
  <w:style w:type="paragraph" w:styleId="830" w:customStyle="1">
    <w:name w:val="寄信人地址1"/>
    <w:basedOn w:val="727"/>
    <w:uiPriority w:val="0"/>
    <w:qFormat/>
    <w:rPr>
      <w:rFonts w:ascii="Arial" w:hAnsi="Arial"/>
    </w:rPr>
  </w:style>
  <w:style w:type="paragraph" w:styleId="831" w:customStyle="1">
    <w:name w:val="文本块1"/>
    <w:basedOn w:val="727"/>
    <w:uiPriority w:val="99"/>
    <w:qFormat/>
    <w:pPr>
      <w:ind w:left="630" w:right="-609" w:firstLine="420"/>
      <w:spacing w:line="360" w:lineRule="auto"/>
    </w:pPr>
    <w:rPr>
      <w:rFonts w:ascii="仿宋_GB2312" w:eastAsia="仿宋_GB2312"/>
      <w:szCs w:val="20"/>
    </w:rPr>
  </w:style>
  <w:style w:type="paragraph" w:styleId="832" w:customStyle="1">
    <w:name w:val="目录 51"/>
    <w:basedOn w:val="727"/>
    <w:next w:val="727"/>
    <w:uiPriority w:val="39"/>
    <w:unhideWhenUsed/>
    <w:qFormat/>
    <w:pPr>
      <w:ind w:left="1134"/>
      <w:spacing w:after="57"/>
    </w:pPr>
  </w:style>
  <w:style w:type="paragraph" w:styleId="833" w:customStyle="1">
    <w:name w:val="目录 31"/>
    <w:basedOn w:val="727"/>
    <w:next w:val="727"/>
    <w:uiPriority w:val="39"/>
    <w:unhideWhenUsed/>
    <w:qFormat/>
    <w:pPr>
      <w:ind w:left="567"/>
      <w:spacing w:after="57"/>
    </w:pPr>
  </w:style>
  <w:style w:type="paragraph" w:styleId="834" w:customStyle="1">
    <w:name w:val="纯文本11"/>
    <w:basedOn w:val="727"/>
    <w:uiPriority w:val="99"/>
    <w:qFormat/>
    <w:pPr>
      <w:jc w:val="left"/>
      <w:widowControl/>
    </w:pPr>
    <w:rPr>
      <w:rFonts w:ascii="宋体" w:hAnsi="Courier New" w:eastAsia="楷体_GB2312"/>
      <w:sz w:val="26"/>
    </w:rPr>
  </w:style>
  <w:style w:type="paragraph" w:styleId="835" w:customStyle="1">
    <w:name w:val="目录 81"/>
    <w:basedOn w:val="727"/>
    <w:next w:val="727"/>
    <w:uiPriority w:val="39"/>
    <w:unhideWhenUsed/>
    <w:qFormat/>
    <w:pPr>
      <w:ind w:left="1984"/>
      <w:spacing w:after="57"/>
    </w:pPr>
  </w:style>
  <w:style w:type="paragraph" w:styleId="836" w:customStyle="1">
    <w:name w:val="尾注文本1"/>
    <w:basedOn w:val="727"/>
    <w:link w:val="837"/>
    <w:uiPriority w:val="99"/>
    <w:unhideWhenUsed/>
    <w:qFormat/>
    <w:rPr>
      <w:rFonts w:ascii="Times New Roman" w:hAnsi="Times New Roman"/>
      <w:sz w:val="20"/>
      <w:szCs w:val="20"/>
    </w:rPr>
  </w:style>
  <w:style w:type="character" w:styleId="837" w:customStyle="1">
    <w:name w:val="尾注文本 Char"/>
    <w:link w:val="836"/>
    <w:uiPriority w:val="99"/>
    <w:qFormat/>
    <w:rPr>
      <w:sz w:val="20"/>
    </w:rPr>
  </w:style>
  <w:style w:type="paragraph" w:styleId="838" w:customStyle="1">
    <w:name w:val="批注框文本1"/>
    <w:basedOn w:val="727"/>
    <w:link w:val="839"/>
    <w:uiPriority w:val="99"/>
    <w:unhideWhenUsed/>
    <w:qFormat/>
    <w:rPr>
      <w:sz w:val="18"/>
      <w:szCs w:val="18"/>
    </w:rPr>
  </w:style>
  <w:style w:type="character" w:styleId="839" w:customStyle="1">
    <w:name w:val="批注框文本 Char"/>
    <w:basedOn w:val="814"/>
    <w:link w:val="838"/>
    <w:uiPriority w:val="99"/>
    <w:semiHidden/>
    <w:qFormat/>
    <w:rPr>
      <w:rFonts w:ascii="Calibri" w:hAnsi="Calibri"/>
      <w:sz w:val="18"/>
      <w:szCs w:val="18"/>
    </w:rPr>
  </w:style>
  <w:style w:type="paragraph" w:styleId="840" w:customStyle="1">
    <w:name w:val="页脚1"/>
    <w:basedOn w:val="727"/>
    <w:uiPriority w:val="99"/>
    <w:qFormat/>
    <w:pPr>
      <w:jc w:val="left"/>
      <w:tabs>
        <w:tab w:val="center" w:pos="4153" w:leader="none"/>
        <w:tab w:val="right" w:pos="8306" w:leader="none"/>
      </w:tabs>
    </w:pPr>
    <w:rPr>
      <w:sz w:val="18"/>
      <w:szCs w:val="18"/>
    </w:rPr>
  </w:style>
  <w:style w:type="paragraph" w:styleId="841" w:customStyle="1">
    <w:name w:val="页眉1"/>
    <w:basedOn w:val="727"/>
    <w:uiPriority w:val="99"/>
    <w:qFormat/>
    <w:pPr>
      <w:jc w:val="center"/>
      <w:tabs>
        <w:tab w:val="center" w:pos="4153" w:leader="none"/>
        <w:tab w:val="right" w:pos="8306" w:leader="none"/>
      </w:tabs>
      <w:pBdr>
        <w:bottom w:val="single" w:color="000000" w:sz="6" w:space="1"/>
      </w:pBdr>
    </w:pPr>
    <w:rPr>
      <w:sz w:val="18"/>
      <w:szCs w:val="18"/>
    </w:rPr>
  </w:style>
  <w:style w:type="paragraph" w:styleId="842" w:customStyle="1">
    <w:name w:val="目录 11"/>
    <w:basedOn w:val="727"/>
    <w:next w:val="727"/>
    <w:uiPriority w:val="99"/>
    <w:qFormat/>
    <w:pPr>
      <w:jc w:val="left"/>
    </w:pPr>
    <w:rPr>
      <w:rFonts w:eastAsia="楷体_GB2312"/>
      <w:sz w:val="24"/>
      <w:szCs w:val="20"/>
    </w:rPr>
  </w:style>
  <w:style w:type="paragraph" w:styleId="843" w:customStyle="1">
    <w:name w:val="目录 41"/>
    <w:basedOn w:val="727"/>
    <w:next w:val="727"/>
    <w:uiPriority w:val="39"/>
    <w:unhideWhenUsed/>
    <w:qFormat/>
    <w:pPr>
      <w:ind w:left="850"/>
      <w:spacing w:after="57"/>
    </w:pPr>
  </w:style>
  <w:style w:type="paragraph" w:styleId="844" w:customStyle="1">
    <w:name w:val="副标题1"/>
    <w:basedOn w:val="727"/>
    <w:next w:val="727"/>
    <w:link w:val="845"/>
    <w:uiPriority w:val="11"/>
    <w:qFormat/>
    <w:pPr>
      <w:spacing w:before="200" w:after="200"/>
    </w:pPr>
    <w:rPr>
      <w:sz w:val="24"/>
    </w:rPr>
  </w:style>
  <w:style w:type="character" w:styleId="845" w:customStyle="1">
    <w:name w:val="副标题 Char"/>
    <w:basedOn w:val="814"/>
    <w:link w:val="844"/>
    <w:uiPriority w:val="11"/>
    <w:qFormat/>
    <w:rPr>
      <w:sz w:val="24"/>
      <w:szCs w:val="24"/>
    </w:rPr>
  </w:style>
  <w:style w:type="paragraph" w:styleId="846" w:customStyle="1">
    <w:name w:val="脚注文本1"/>
    <w:basedOn w:val="727"/>
    <w:link w:val="847"/>
    <w:uiPriority w:val="99"/>
    <w:unhideWhenUsed/>
    <w:qFormat/>
    <w:pPr>
      <w:spacing w:after="40"/>
    </w:pPr>
    <w:rPr>
      <w:rFonts w:ascii="Times New Roman" w:hAnsi="Times New Roman"/>
      <w:sz w:val="18"/>
      <w:szCs w:val="20"/>
    </w:rPr>
  </w:style>
  <w:style w:type="character" w:styleId="847" w:customStyle="1">
    <w:name w:val="脚注文本 Char"/>
    <w:link w:val="846"/>
    <w:uiPriority w:val="99"/>
    <w:qFormat/>
    <w:rPr>
      <w:sz w:val="18"/>
    </w:rPr>
  </w:style>
  <w:style w:type="paragraph" w:styleId="848" w:customStyle="1">
    <w:name w:val="目录 61"/>
    <w:basedOn w:val="727"/>
    <w:next w:val="727"/>
    <w:uiPriority w:val="39"/>
    <w:unhideWhenUsed/>
    <w:qFormat/>
    <w:pPr>
      <w:ind w:left="1417"/>
      <w:spacing w:after="57"/>
    </w:pPr>
  </w:style>
  <w:style w:type="paragraph" w:styleId="849" w:customStyle="1">
    <w:name w:val="正文文本缩进 311"/>
    <w:basedOn w:val="727"/>
    <w:uiPriority w:val="0"/>
    <w:qFormat/>
    <w:pPr>
      <w:ind w:firstLine="480"/>
      <w:jc w:val="left"/>
      <w:spacing w:line="440" w:lineRule="atLeast"/>
    </w:pPr>
    <w:rPr>
      <w:sz w:val="24"/>
    </w:rPr>
  </w:style>
  <w:style w:type="paragraph" w:styleId="850" w:customStyle="1">
    <w:name w:val="图表目录1"/>
    <w:basedOn w:val="727"/>
    <w:next w:val="727"/>
    <w:uiPriority w:val="99"/>
    <w:unhideWhenUsed/>
    <w:qFormat/>
  </w:style>
  <w:style w:type="paragraph" w:styleId="851" w:customStyle="1">
    <w:name w:val="目录 21"/>
    <w:basedOn w:val="727"/>
    <w:next w:val="727"/>
    <w:uiPriority w:val="39"/>
    <w:unhideWhenUsed/>
    <w:qFormat/>
    <w:pPr>
      <w:ind w:left="283"/>
      <w:spacing w:after="57"/>
    </w:pPr>
  </w:style>
  <w:style w:type="paragraph" w:styleId="852" w:customStyle="1">
    <w:name w:val="目录 91"/>
    <w:basedOn w:val="727"/>
    <w:next w:val="727"/>
    <w:uiPriority w:val="39"/>
    <w:unhideWhenUsed/>
    <w:qFormat/>
    <w:pPr>
      <w:ind w:left="2268"/>
      <w:spacing w:after="57"/>
    </w:pPr>
  </w:style>
  <w:style w:type="paragraph" w:styleId="853" w:customStyle="1">
    <w:name w:val="HTML 预设格式1"/>
    <w:basedOn w:val="727"/>
    <w:next w:val="8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4" w:customStyle="1">
    <w:name w:val="普通(网站)11"/>
    <w:basedOn w:val="727"/>
    <w:uiPriority w:val="99"/>
    <w:unhideWhenUsed/>
    <w:qFormat/>
    <w:pPr>
      <w:jc w:val="left"/>
      <w:spacing w:beforeAutospacing="1" w:afterAutospacing="1"/>
    </w:pPr>
    <w:rPr>
      <w:sz w:val="24"/>
    </w:rPr>
  </w:style>
  <w:style w:type="paragraph" w:styleId="855" w:customStyle="1">
    <w:name w:val="标题1"/>
    <w:basedOn w:val="727"/>
    <w:next w:val="727"/>
    <w:link w:val="856"/>
    <w:uiPriority w:val="10"/>
    <w:qFormat/>
    <w:pPr>
      <w:contextualSpacing/>
      <w:spacing w:before="300" w:after="200"/>
    </w:pPr>
    <w:rPr>
      <w:sz w:val="48"/>
      <w:szCs w:val="48"/>
    </w:rPr>
  </w:style>
  <w:style w:type="character" w:styleId="856" w:customStyle="1">
    <w:name w:val="标题 Char"/>
    <w:basedOn w:val="814"/>
    <w:link w:val="855"/>
    <w:uiPriority w:val="10"/>
    <w:qFormat/>
    <w:rPr>
      <w:sz w:val="48"/>
      <w:szCs w:val="48"/>
    </w:rPr>
  </w:style>
  <w:style w:type="paragraph" w:styleId="857" w:customStyle="1">
    <w:name w:val="批注主题1"/>
    <w:basedOn w:val="826"/>
    <w:next w:val="826"/>
    <w:link w:val="858"/>
    <w:uiPriority w:val="0"/>
    <w:unhideWhenUsed/>
    <w:qFormat/>
    <w:rPr>
      <w:b/>
      <w:bCs/>
    </w:rPr>
  </w:style>
  <w:style w:type="character" w:styleId="858" w:customStyle="1">
    <w:name w:val="批注主题 Char"/>
    <w:basedOn w:val="827"/>
    <w:link w:val="857"/>
    <w:uiPriority w:val="0"/>
    <w:semiHidden/>
    <w:qFormat/>
    <w:rPr>
      <w:rFonts w:ascii="Calibri" w:hAnsi="Calibri"/>
      <w:b/>
      <w:bCs/>
      <w:sz w:val="21"/>
      <w:szCs w:val="24"/>
    </w:rPr>
  </w:style>
  <w:style w:type="paragraph" w:styleId="859" w:customStyle="1">
    <w:name w:val="正文首行缩进 21"/>
    <w:basedOn w:val="829"/>
    <w:uiPriority w:val="99"/>
    <w:qFormat/>
    <w:pPr>
      <w:ind w:left="420" w:firstLine="210"/>
      <w:spacing w:after="120" w:line="240" w:lineRule="auto"/>
    </w:pPr>
    <w:rPr>
      <w:rFonts w:ascii="Times New Roman" w:hAnsi="Times New Roman" w:eastAsia="仿宋_GB2312"/>
      <w:sz w:val="30"/>
    </w:rPr>
  </w:style>
  <w:style w:type="table" w:styleId="860" w:customStyle="1">
    <w:name w:val="网格型1"/>
    <w:basedOn w:val="815"/>
    <w:uiPriority w:val="0"/>
    <w:qFormat/>
    <w:tblPr/>
  </w:style>
  <w:style w:type="character" w:styleId="861" w:customStyle="1">
    <w:name w:val="尾注引用1"/>
    <w:basedOn w:val="814"/>
    <w:link w:val="727"/>
    <w:uiPriority w:val="99"/>
    <w:unhideWhenUsed/>
    <w:qFormat/>
    <w:rPr>
      <w:vertAlign w:val="superscript"/>
    </w:rPr>
  </w:style>
  <w:style w:type="character" w:styleId="862" w:customStyle="1">
    <w:name w:val="页码1"/>
    <w:basedOn w:val="814"/>
    <w:link w:val="727"/>
    <w:uiPriority w:val="99"/>
    <w:qFormat/>
    <w:rPr>
      <w:rFonts w:cs="Times New Roman"/>
    </w:rPr>
  </w:style>
  <w:style w:type="character" w:styleId="863" w:customStyle="1">
    <w:name w:val="超链接1"/>
    <w:link w:val="727"/>
    <w:uiPriority w:val="99"/>
    <w:unhideWhenUsed/>
    <w:qFormat/>
    <w:rPr>
      <w:color w:val="0563c1"/>
      <w:u w:val="single"/>
    </w:rPr>
  </w:style>
  <w:style w:type="character" w:styleId="864" w:customStyle="1">
    <w:name w:val="批注引用1"/>
    <w:basedOn w:val="814"/>
    <w:link w:val="727"/>
    <w:uiPriority w:val="0"/>
    <w:unhideWhenUsed/>
    <w:qFormat/>
    <w:rPr>
      <w:sz w:val="21"/>
      <w:szCs w:val="21"/>
    </w:rPr>
  </w:style>
  <w:style w:type="character" w:styleId="865" w:customStyle="1">
    <w:name w:val="脚注引用1"/>
    <w:basedOn w:val="814"/>
    <w:link w:val="727"/>
    <w:uiPriority w:val="99"/>
    <w:unhideWhenUsed/>
    <w:qFormat/>
    <w:rPr>
      <w:vertAlign w:val="superscript"/>
    </w:rPr>
  </w:style>
  <w:style w:type="character" w:styleId="866" w:customStyle="1">
    <w:name w:val="Heading 4 Char"/>
    <w:basedOn w:val="814"/>
    <w:link w:val="727"/>
    <w:uiPriority w:val="9"/>
    <w:qFormat/>
    <w:rPr>
      <w:rFonts w:ascii="Arial" w:hAnsi="Arial" w:eastAsia="Arial" w:cs="Arial"/>
      <w:b/>
      <w:bCs/>
      <w:sz w:val="26"/>
      <w:szCs w:val="26"/>
    </w:rPr>
  </w:style>
  <w:style w:type="paragraph" w:styleId="867" w:customStyle="1">
    <w:name w:val="无间隔"/>
    <w:uiPriority w:val="1"/>
    <w:qFormat/>
    <w:rPr>
      <w:rFonts w:hint="default" w:ascii="Times New Roman" w:hAnsi="Times New Roman" w:eastAsia="宋体" w:cs="Times New Roman"/>
      <w:lang w:val="en-US" w:eastAsia="zh-CN" w:bidi="ar-SA"/>
    </w:rPr>
  </w:style>
  <w:style w:type="paragraph" w:styleId="868" w:customStyle="1">
    <w:name w:val="引用"/>
    <w:basedOn w:val="727"/>
    <w:next w:val="727"/>
    <w:link w:val="869"/>
    <w:uiPriority w:val="29"/>
    <w:qFormat/>
    <w:pPr>
      <w:ind w:left="720" w:right="720"/>
    </w:pPr>
    <w:rPr>
      <w:rFonts w:ascii="Times New Roman" w:hAnsi="Times New Roman"/>
      <w:i/>
      <w:sz w:val="20"/>
      <w:szCs w:val="20"/>
    </w:rPr>
  </w:style>
  <w:style w:type="character" w:styleId="869" w:customStyle="1">
    <w:name w:val="引用 Char"/>
    <w:link w:val="868"/>
    <w:uiPriority w:val="29"/>
    <w:qFormat/>
    <w:rPr>
      <w:i/>
    </w:rPr>
  </w:style>
  <w:style w:type="paragraph" w:styleId="870" w:customStyle="1">
    <w:name w:val="明显引用"/>
    <w:basedOn w:val="727"/>
    <w:next w:val="727"/>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71" w:customStyle="1">
    <w:name w:val="明显引用 Char"/>
    <w:link w:val="870"/>
    <w:uiPriority w:val="30"/>
    <w:qFormat/>
    <w:rPr>
      <w:i/>
    </w:rPr>
  </w:style>
  <w:style w:type="character" w:styleId="872" w:customStyle="1">
    <w:name w:val="Header Char"/>
    <w:basedOn w:val="814"/>
    <w:link w:val="727"/>
    <w:uiPriority w:val="99"/>
    <w:qFormat/>
  </w:style>
  <w:style w:type="character" w:styleId="873" w:customStyle="1">
    <w:name w:val="Footer Char"/>
    <w:basedOn w:val="814"/>
    <w:link w:val="727"/>
    <w:uiPriority w:val="99"/>
    <w:qFormat/>
  </w:style>
  <w:style w:type="character" w:styleId="874" w:customStyle="1">
    <w:name w:val="Caption Char"/>
    <w:link w:val="727"/>
    <w:uiPriority w:val="99"/>
    <w:qFormat/>
  </w:style>
  <w:style w:type="table" w:styleId="875" w:customStyle="1">
    <w:name w:val="Table Grid Light"/>
    <w:basedOn w:val="815"/>
    <w:uiPriority w:val="59"/>
    <w:qFormat/>
    <w:tblPr/>
  </w:style>
  <w:style w:type="table" w:styleId="876" w:customStyle="1">
    <w:name w:val="无格式表格 11"/>
    <w:basedOn w:val="815"/>
    <w:uiPriority w:val="59"/>
    <w:qFormat/>
    <w:tblPr/>
  </w:style>
  <w:style w:type="table" w:styleId="877" w:customStyle="1">
    <w:name w:val="无格式表格 21"/>
    <w:basedOn w:val="815"/>
    <w:uiPriority w:val="59"/>
    <w:qFormat/>
    <w:tblPr/>
  </w:style>
  <w:style w:type="table" w:styleId="878" w:customStyle="1">
    <w:name w:val="无格式表格 31"/>
    <w:basedOn w:val="815"/>
    <w:uiPriority w:val="99"/>
    <w:qFormat/>
    <w:tblPr/>
  </w:style>
  <w:style w:type="table" w:styleId="879" w:customStyle="1">
    <w:name w:val="无格式表格 41"/>
    <w:basedOn w:val="815"/>
    <w:uiPriority w:val="99"/>
    <w:qFormat/>
    <w:tblPr/>
  </w:style>
  <w:style w:type="table" w:styleId="880" w:customStyle="1">
    <w:name w:val="无格式表格 51"/>
    <w:basedOn w:val="815"/>
    <w:uiPriority w:val="99"/>
    <w:qFormat/>
    <w:tblPr/>
  </w:style>
  <w:style w:type="table" w:styleId="881" w:customStyle="1">
    <w:name w:val="网格表 1 浅色1"/>
    <w:basedOn w:val="815"/>
    <w:uiPriority w:val="99"/>
    <w:qFormat/>
    <w:tblPr/>
  </w:style>
  <w:style w:type="table" w:styleId="882" w:customStyle="1">
    <w:name w:val="Grid Table 1 Light - Accent 1"/>
    <w:basedOn w:val="815"/>
    <w:uiPriority w:val="99"/>
    <w:qFormat/>
    <w:tblPr/>
  </w:style>
  <w:style w:type="table" w:styleId="883" w:customStyle="1">
    <w:name w:val="Grid Table 1 Light - Accent 2"/>
    <w:basedOn w:val="815"/>
    <w:uiPriority w:val="99"/>
    <w:qFormat/>
    <w:tblPr/>
  </w:style>
  <w:style w:type="table" w:styleId="884" w:customStyle="1">
    <w:name w:val="Grid Table 1 Light - Accent 3"/>
    <w:basedOn w:val="815"/>
    <w:uiPriority w:val="99"/>
    <w:qFormat/>
    <w:tblPr/>
  </w:style>
  <w:style w:type="table" w:styleId="885" w:customStyle="1">
    <w:name w:val="Grid Table 1 Light - Accent 4"/>
    <w:basedOn w:val="815"/>
    <w:uiPriority w:val="99"/>
    <w:qFormat/>
    <w:tblPr/>
  </w:style>
  <w:style w:type="table" w:styleId="886" w:customStyle="1">
    <w:name w:val="Grid Table 1 Light - Accent 5"/>
    <w:basedOn w:val="815"/>
    <w:uiPriority w:val="99"/>
    <w:qFormat/>
    <w:tblPr/>
  </w:style>
  <w:style w:type="table" w:styleId="887" w:customStyle="1">
    <w:name w:val="Grid Table 1 Light - Accent 6"/>
    <w:basedOn w:val="815"/>
    <w:uiPriority w:val="99"/>
    <w:qFormat/>
    <w:tblPr/>
  </w:style>
  <w:style w:type="table" w:styleId="888" w:customStyle="1">
    <w:name w:val="网格表 21"/>
    <w:basedOn w:val="815"/>
    <w:uiPriority w:val="99"/>
    <w:qFormat/>
    <w:tblPr/>
  </w:style>
  <w:style w:type="table" w:styleId="889" w:customStyle="1">
    <w:name w:val="Grid Table 2 - Accent 1"/>
    <w:basedOn w:val="815"/>
    <w:uiPriority w:val="99"/>
    <w:qFormat/>
    <w:tblPr/>
  </w:style>
  <w:style w:type="table" w:styleId="890" w:customStyle="1">
    <w:name w:val="Grid Table 2 - Accent 2"/>
    <w:basedOn w:val="815"/>
    <w:uiPriority w:val="99"/>
    <w:qFormat/>
    <w:tblPr/>
  </w:style>
  <w:style w:type="table" w:styleId="891" w:customStyle="1">
    <w:name w:val="Grid Table 2 - Accent 3"/>
    <w:basedOn w:val="815"/>
    <w:uiPriority w:val="99"/>
    <w:qFormat/>
    <w:tblPr/>
  </w:style>
  <w:style w:type="table" w:styleId="892" w:customStyle="1">
    <w:name w:val="Grid Table 2 - Accent 4"/>
    <w:basedOn w:val="815"/>
    <w:uiPriority w:val="99"/>
    <w:qFormat/>
    <w:tblPr/>
  </w:style>
  <w:style w:type="table" w:styleId="893" w:customStyle="1">
    <w:name w:val="Grid Table 2 - Accent 5"/>
    <w:basedOn w:val="815"/>
    <w:uiPriority w:val="99"/>
    <w:qFormat/>
    <w:tblPr/>
  </w:style>
  <w:style w:type="table" w:styleId="894" w:customStyle="1">
    <w:name w:val="Grid Table 2 - Accent 6"/>
    <w:basedOn w:val="815"/>
    <w:uiPriority w:val="99"/>
    <w:qFormat/>
    <w:tblPr/>
  </w:style>
  <w:style w:type="table" w:styleId="895" w:customStyle="1">
    <w:name w:val="网格表 31"/>
    <w:basedOn w:val="815"/>
    <w:uiPriority w:val="99"/>
    <w:qFormat/>
    <w:tblPr/>
  </w:style>
  <w:style w:type="table" w:styleId="896" w:customStyle="1">
    <w:name w:val="Grid Table 3 - Accent 1"/>
    <w:basedOn w:val="815"/>
    <w:uiPriority w:val="99"/>
    <w:qFormat/>
    <w:tblPr/>
  </w:style>
  <w:style w:type="table" w:styleId="897" w:customStyle="1">
    <w:name w:val="Grid Table 3 - Accent 2"/>
    <w:basedOn w:val="815"/>
    <w:uiPriority w:val="99"/>
    <w:qFormat/>
    <w:tblPr/>
  </w:style>
  <w:style w:type="table" w:styleId="898" w:customStyle="1">
    <w:name w:val="Grid Table 3 - Accent 3"/>
    <w:basedOn w:val="815"/>
    <w:uiPriority w:val="99"/>
    <w:qFormat/>
    <w:tblPr/>
  </w:style>
  <w:style w:type="table" w:styleId="899" w:customStyle="1">
    <w:name w:val="Grid Table 3 - Accent 4"/>
    <w:basedOn w:val="815"/>
    <w:uiPriority w:val="99"/>
    <w:qFormat/>
    <w:tblPr/>
  </w:style>
  <w:style w:type="table" w:styleId="900" w:customStyle="1">
    <w:name w:val="Grid Table 3 - Accent 5"/>
    <w:basedOn w:val="815"/>
    <w:uiPriority w:val="99"/>
    <w:qFormat/>
    <w:tblPr/>
  </w:style>
  <w:style w:type="table" w:styleId="901" w:customStyle="1">
    <w:name w:val="Grid Table 3 - Accent 6"/>
    <w:basedOn w:val="815"/>
    <w:uiPriority w:val="99"/>
    <w:qFormat/>
    <w:tblPr/>
  </w:style>
  <w:style w:type="table" w:styleId="902" w:customStyle="1">
    <w:name w:val="网格表 41"/>
    <w:basedOn w:val="815"/>
    <w:uiPriority w:val="59"/>
    <w:qFormat/>
    <w:tblPr/>
  </w:style>
  <w:style w:type="table" w:styleId="903" w:customStyle="1">
    <w:name w:val="Grid Table 4 - Accent 1"/>
    <w:basedOn w:val="815"/>
    <w:uiPriority w:val="59"/>
    <w:qFormat/>
    <w:tblPr/>
  </w:style>
  <w:style w:type="table" w:styleId="904" w:customStyle="1">
    <w:name w:val="Grid Table 4 - Accent 2"/>
    <w:basedOn w:val="815"/>
    <w:uiPriority w:val="59"/>
    <w:qFormat/>
    <w:tblPr/>
  </w:style>
  <w:style w:type="table" w:styleId="905" w:customStyle="1">
    <w:name w:val="Grid Table 4 - Accent 3"/>
    <w:basedOn w:val="815"/>
    <w:uiPriority w:val="59"/>
    <w:qFormat/>
    <w:tblPr/>
  </w:style>
  <w:style w:type="table" w:styleId="906" w:customStyle="1">
    <w:name w:val="Grid Table 4 - Accent 4"/>
    <w:basedOn w:val="815"/>
    <w:uiPriority w:val="59"/>
    <w:qFormat/>
    <w:tblPr/>
  </w:style>
  <w:style w:type="table" w:styleId="907" w:customStyle="1">
    <w:name w:val="Grid Table 4 - Accent 5"/>
    <w:basedOn w:val="815"/>
    <w:uiPriority w:val="59"/>
    <w:qFormat/>
    <w:tblPr/>
  </w:style>
  <w:style w:type="table" w:styleId="908" w:customStyle="1">
    <w:name w:val="Grid Table 4 - Accent 6"/>
    <w:basedOn w:val="815"/>
    <w:uiPriority w:val="59"/>
    <w:qFormat/>
    <w:tblPr/>
  </w:style>
  <w:style w:type="table" w:styleId="909" w:customStyle="1">
    <w:name w:val="网格表 5 深色1"/>
    <w:basedOn w:val="815"/>
    <w:uiPriority w:val="99"/>
    <w:qFormat/>
    <w:tblPr/>
  </w:style>
  <w:style w:type="table" w:styleId="910" w:customStyle="1">
    <w:name w:val="Grid Table 5 Dark- Accent 1"/>
    <w:basedOn w:val="815"/>
    <w:uiPriority w:val="99"/>
    <w:qFormat/>
    <w:tblPr/>
  </w:style>
  <w:style w:type="table" w:styleId="911" w:customStyle="1">
    <w:name w:val="Grid Table 5 Dark - Accent 2"/>
    <w:basedOn w:val="815"/>
    <w:uiPriority w:val="99"/>
    <w:qFormat/>
    <w:tblPr/>
  </w:style>
  <w:style w:type="table" w:styleId="912" w:customStyle="1">
    <w:name w:val="Grid Table 5 Dark - Accent 3"/>
    <w:basedOn w:val="815"/>
    <w:uiPriority w:val="99"/>
    <w:qFormat/>
    <w:tblPr/>
  </w:style>
  <w:style w:type="table" w:styleId="913" w:customStyle="1">
    <w:name w:val="Grid Table 5 Dark- Accent 4"/>
    <w:basedOn w:val="815"/>
    <w:uiPriority w:val="99"/>
    <w:qFormat/>
    <w:tblPr/>
  </w:style>
  <w:style w:type="table" w:styleId="914" w:customStyle="1">
    <w:name w:val="Grid Table 5 Dark - Accent 5"/>
    <w:basedOn w:val="815"/>
    <w:uiPriority w:val="99"/>
    <w:qFormat/>
    <w:tblPr/>
  </w:style>
  <w:style w:type="table" w:styleId="915" w:customStyle="1">
    <w:name w:val="Grid Table 5 Dark - Accent 6"/>
    <w:basedOn w:val="815"/>
    <w:uiPriority w:val="99"/>
    <w:qFormat/>
    <w:tblPr/>
  </w:style>
  <w:style w:type="table" w:styleId="916" w:customStyle="1">
    <w:name w:val="网格表 6 彩色1"/>
    <w:basedOn w:val="815"/>
    <w:uiPriority w:val="99"/>
    <w:qFormat/>
    <w:tblPr/>
  </w:style>
  <w:style w:type="table" w:styleId="917" w:customStyle="1">
    <w:name w:val="Grid Table 6 Colorful - Accent 1"/>
    <w:basedOn w:val="815"/>
    <w:uiPriority w:val="99"/>
    <w:qFormat/>
    <w:tblPr/>
  </w:style>
  <w:style w:type="table" w:styleId="918" w:customStyle="1">
    <w:name w:val="Grid Table 6 Colorful - Accent 2"/>
    <w:basedOn w:val="815"/>
    <w:uiPriority w:val="99"/>
    <w:qFormat/>
    <w:tblPr/>
  </w:style>
  <w:style w:type="table" w:styleId="919" w:customStyle="1">
    <w:name w:val="Grid Table 6 Colorful - Accent 3"/>
    <w:basedOn w:val="815"/>
    <w:uiPriority w:val="99"/>
    <w:qFormat/>
    <w:tblPr/>
  </w:style>
  <w:style w:type="table" w:styleId="920" w:customStyle="1">
    <w:name w:val="Grid Table 6 Colorful - Accent 4"/>
    <w:basedOn w:val="815"/>
    <w:uiPriority w:val="99"/>
    <w:qFormat/>
    <w:tblPr/>
  </w:style>
  <w:style w:type="table" w:styleId="921" w:customStyle="1">
    <w:name w:val="Grid Table 6 Colorful - Accent 5"/>
    <w:basedOn w:val="815"/>
    <w:uiPriority w:val="99"/>
    <w:qFormat/>
    <w:tblPr/>
  </w:style>
  <w:style w:type="table" w:styleId="922" w:customStyle="1">
    <w:name w:val="Grid Table 6 Colorful - Accent 6"/>
    <w:basedOn w:val="815"/>
    <w:uiPriority w:val="99"/>
    <w:qFormat/>
    <w:tblPr/>
  </w:style>
  <w:style w:type="table" w:styleId="923" w:customStyle="1">
    <w:name w:val="网格表 7 彩色1"/>
    <w:basedOn w:val="815"/>
    <w:uiPriority w:val="99"/>
    <w:qFormat/>
    <w:tblPr/>
  </w:style>
  <w:style w:type="table" w:styleId="924" w:customStyle="1">
    <w:name w:val="Grid Table 7 Colorful - Accent 1"/>
    <w:basedOn w:val="815"/>
    <w:uiPriority w:val="99"/>
    <w:qFormat/>
    <w:tblPr/>
  </w:style>
  <w:style w:type="table" w:styleId="925" w:customStyle="1">
    <w:name w:val="Grid Table 7 Colorful - Accent 2"/>
    <w:basedOn w:val="815"/>
    <w:uiPriority w:val="99"/>
    <w:qFormat/>
    <w:tblPr/>
  </w:style>
  <w:style w:type="table" w:styleId="926" w:customStyle="1">
    <w:name w:val="Grid Table 7 Colorful - Accent 3"/>
    <w:basedOn w:val="815"/>
    <w:uiPriority w:val="99"/>
    <w:qFormat/>
    <w:tblPr/>
  </w:style>
  <w:style w:type="table" w:styleId="927" w:customStyle="1">
    <w:name w:val="Grid Table 7 Colorful - Accent 4"/>
    <w:basedOn w:val="815"/>
    <w:uiPriority w:val="99"/>
    <w:qFormat/>
    <w:tblPr/>
  </w:style>
  <w:style w:type="table" w:styleId="928" w:customStyle="1">
    <w:name w:val="Grid Table 7 Colorful - Accent 5"/>
    <w:basedOn w:val="815"/>
    <w:uiPriority w:val="99"/>
    <w:qFormat/>
    <w:tblPr/>
  </w:style>
  <w:style w:type="table" w:styleId="929" w:customStyle="1">
    <w:name w:val="Grid Table 7 Colorful - Accent 6"/>
    <w:basedOn w:val="815"/>
    <w:uiPriority w:val="99"/>
    <w:qFormat/>
    <w:tblPr/>
  </w:style>
  <w:style w:type="table" w:styleId="930" w:customStyle="1">
    <w:name w:val="清单表 1 浅色1"/>
    <w:basedOn w:val="815"/>
    <w:uiPriority w:val="99"/>
    <w:qFormat/>
    <w:tblPr/>
  </w:style>
  <w:style w:type="table" w:styleId="931" w:customStyle="1">
    <w:name w:val="List Table 1 Light - Accent 1"/>
    <w:basedOn w:val="815"/>
    <w:uiPriority w:val="99"/>
    <w:qFormat/>
    <w:tblPr/>
  </w:style>
  <w:style w:type="table" w:styleId="932" w:customStyle="1">
    <w:name w:val="List Table 1 Light - Accent 2"/>
    <w:basedOn w:val="815"/>
    <w:uiPriority w:val="99"/>
    <w:qFormat/>
    <w:tblPr/>
  </w:style>
  <w:style w:type="table" w:styleId="933" w:customStyle="1">
    <w:name w:val="List Table 1 Light - Accent 3"/>
    <w:basedOn w:val="815"/>
    <w:uiPriority w:val="99"/>
    <w:qFormat/>
    <w:tblPr/>
  </w:style>
  <w:style w:type="table" w:styleId="934" w:customStyle="1">
    <w:name w:val="List Table 1 Light - Accent 4"/>
    <w:basedOn w:val="815"/>
    <w:uiPriority w:val="99"/>
    <w:qFormat/>
    <w:tblPr/>
  </w:style>
  <w:style w:type="table" w:styleId="935" w:customStyle="1">
    <w:name w:val="List Table 1 Light - Accent 5"/>
    <w:basedOn w:val="815"/>
    <w:uiPriority w:val="99"/>
    <w:qFormat/>
    <w:tblPr/>
  </w:style>
  <w:style w:type="table" w:styleId="936" w:customStyle="1">
    <w:name w:val="List Table 1 Light - Accent 6"/>
    <w:basedOn w:val="815"/>
    <w:uiPriority w:val="99"/>
    <w:qFormat/>
    <w:tblPr/>
  </w:style>
  <w:style w:type="table" w:styleId="937" w:customStyle="1">
    <w:name w:val="清单表 21"/>
    <w:basedOn w:val="815"/>
    <w:uiPriority w:val="99"/>
    <w:qFormat/>
    <w:tblPr/>
  </w:style>
  <w:style w:type="table" w:styleId="938" w:customStyle="1">
    <w:name w:val="List Table 2 - Accent 1"/>
    <w:basedOn w:val="815"/>
    <w:uiPriority w:val="99"/>
    <w:qFormat/>
    <w:tblPr/>
  </w:style>
  <w:style w:type="table" w:styleId="939" w:customStyle="1">
    <w:name w:val="List Table 2 - Accent 2"/>
    <w:basedOn w:val="815"/>
    <w:uiPriority w:val="99"/>
    <w:qFormat/>
    <w:tblPr/>
  </w:style>
  <w:style w:type="table" w:styleId="940" w:customStyle="1">
    <w:name w:val="List Table 2 - Accent 3"/>
    <w:basedOn w:val="815"/>
    <w:uiPriority w:val="99"/>
    <w:qFormat/>
    <w:tblPr/>
  </w:style>
  <w:style w:type="table" w:styleId="941" w:customStyle="1">
    <w:name w:val="List Table 2 - Accent 4"/>
    <w:basedOn w:val="815"/>
    <w:uiPriority w:val="99"/>
    <w:qFormat/>
    <w:tblPr/>
  </w:style>
  <w:style w:type="table" w:styleId="942" w:customStyle="1">
    <w:name w:val="List Table 2 - Accent 5"/>
    <w:basedOn w:val="815"/>
    <w:uiPriority w:val="99"/>
    <w:qFormat/>
    <w:tblPr/>
  </w:style>
  <w:style w:type="table" w:styleId="943" w:customStyle="1">
    <w:name w:val="List Table 2 - Accent 6"/>
    <w:basedOn w:val="815"/>
    <w:uiPriority w:val="99"/>
    <w:qFormat/>
    <w:tblPr/>
  </w:style>
  <w:style w:type="table" w:styleId="944" w:customStyle="1">
    <w:name w:val="清单表 31"/>
    <w:basedOn w:val="815"/>
    <w:uiPriority w:val="99"/>
    <w:qFormat/>
    <w:tblPr/>
  </w:style>
  <w:style w:type="table" w:styleId="945" w:customStyle="1">
    <w:name w:val="List Table 3 - Accent 1"/>
    <w:basedOn w:val="815"/>
    <w:uiPriority w:val="99"/>
    <w:qFormat/>
    <w:tblPr/>
  </w:style>
  <w:style w:type="table" w:styleId="946" w:customStyle="1">
    <w:name w:val="List Table 3 - Accent 2"/>
    <w:basedOn w:val="815"/>
    <w:uiPriority w:val="99"/>
    <w:qFormat/>
    <w:tblPr/>
  </w:style>
  <w:style w:type="table" w:styleId="947" w:customStyle="1">
    <w:name w:val="List Table 3 - Accent 3"/>
    <w:basedOn w:val="815"/>
    <w:uiPriority w:val="99"/>
    <w:qFormat/>
    <w:tblPr/>
  </w:style>
  <w:style w:type="table" w:styleId="948" w:customStyle="1">
    <w:name w:val="List Table 3 - Accent 4"/>
    <w:basedOn w:val="815"/>
    <w:uiPriority w:val="99"/>
    <w:qFormat/>
    <w:tblPr/>
  </w:style>
  <w:style w:type="table" w:styleId="949" w:customStyle="1">
    <w:name w:val="List Table 3 - Accent 5"/>
    <w:basedOn w:val="815"/>
    <w:uiPriority w:val="99"/>
    <w:qFormat/>
    <w:tblPr/>
  </w:style>
  <w:style w:type="table" w:styleId="950" w:customStyle="1">
    <w:name w:val="List Table 3 - Accent 6"/>
    <w:basedOn w:val="815"/>
    <w:uiPriority w:val="99"/>
    <w:qFormat/>
    <w:tblPr/>
  </w:style>
  <w:style w:type="table" w:styleId="951" w:customStyle="1">
    <w:name w:val="清单表 41"/>
    <w:basedOn w:val="815"/>
    <w:uiPriority w:val="99"/>
    <w:qFormat/>
    <w:tblPr/>
  </w:style>
  <w:style w:type="table" w:styleId="952" w:customStyle="1">
    <w:name w:val="List Table 4 - Accent 1"/>
    <w:basedOn w:val="815"/>
    <w:uiPriority w:val="99"/>
    <w:qFormat/>
    <w:tblPr/>
  </w:style>
  <w:style w:type="table" w:styleId="953" w:customStyle="1">
    <w:name w:val="List Table 4 - Accent 2"/>
    <w:basedOn w:val="815"/>
    <w:uiPriority w:val="99"/>
    <w:qFormat/>
    <w:tblPr/>
  </w:style>
  <w:style w:type="table" w:styleId="954" w:customStyle="1">
    <w:name w:val="List Table 4 - Accent 3"/>
    <w:basedOn w:val="815"/>
    <w:uiPriority w:val="99"/>
    <w:qFormat/>
    <w:tblPr/>
  </w:style>
  <w:style w:type="table" w:styleId="955" w:customStyle="1">
    <w:name w:val="List Table 4 - Accent 4"/>
    <w:basedOn w:val="815"/>
    <w:uiPriority w:val="99"/>
    <w:qFormat/>
    <w:tblPr/>
  </w:style>
  <w:style w:type="table" w:styleId="956" w:customStyle="1">
    <w:name w:val="List Table 4 - Accent 5"/>
    <w:basedOn w:val="815"/>
    <w:uiPriority w:val="99"/>
    <w:qFormat/>
    <w:tblPr/>
  </w:style>
  <w:style w:type="table" w:styleId="957" w:customStyle="1">
    <w:name w:val="List Table 4 - Accent 6"/>
    <w:basedOn w:val="815"/>
    <w:uiPriority w:val="99"/>
    <w:qFormat/>
    <w:tblPr/>
  </w:style>
  <w:style w:type="table" w:styleId="958" w:customStyle="1">
    <w:name w:val="清单表 5 深色1"/>
    <w:basedOn w:val="815"/>
    <w:uiPriority w:val="99"/>
    <w:qFormat/>
    <w:tblPr/>
  </w:style>
  <w:style w:type="table" w:styleId="959" w:customStyle="1">
    <w:name w:val="List Table 5 Dark - Accent 1"/>
    <w:basedOn w:val="815"/>
    <w:uiPriority w:val="99"/>
    <w:qFormat/>
    <w:tblPr/>
  </w:style>
  <w:style w:type="table" w:styleId="960" w:customStyle="1">
    <w:name w:val="List Table 5 Dark - Accent 2"/>
    <w:basedOn w:val="815"/>
    <w:uiPriority w:val="99"/>
    <w:qFormat/>
    <w:tblPr/>
  </w:style>
  <w:style w:type="table" w:styleId="961" w:customStyle="1">
    <w:name w:val="List Table 5 Dark - Accent 3"/>
    <w:basedOn w:val="815"/>
    <w:uiPriority w:val="99"/>
    <w:qFormat/>
    <w:tblPr/>
  </w:style>
  <w:style w:type="table" w:styleId="962" w:customStyle="1">
    <w:name w:val="List Table 5 Dark - Accent 4"/>
    <w:basedOn w:val="815"/>
    <w:uiPriority w:val="99"/>
    <w:qFormat/>
    <w:tblPr/>
  </w:style>
  <w:style w:type="table" w:styleId="963" w:customStyle="1">
    <w:name w:val="List Table 5 Dark - Accent 5"/>
    <w:basedOn w:val="815"/>
    <w:uiPriority w:val="99"/>
    <w:qFormat/>
    <w:tblPr/>
  </w:style>
  <w:style w:type="table" w:styleId="964" w:customStyle="1">
    <w:name w:val="List Table 5 Dark - Accent 6"/>
    <w:basedOn w:val="815"/>
    <w:uiPriority w:val="99"/>
    <w:qFormat/>
    <w:tblPr/>
  </w:style>
  <w:style w:type="table" w:styleId="965" w:customStyle="1">
    <w:name w:val="清单表 6 彩色1"/>
    <w:basedOn w:val="815"/>
    <w:uiPriority w:val="99"/>
    <w:qFormat/>
    <w:tblPr/>
  </w:style>
  <w:style w:type="table" w:styleId="966" w:customStyle="1">
    <w:name w:val="List Table 6 Colorful - Accent 1"/>
    <w:basedOn w:val="815"/>
    <w:uiPriority w:val="99"/>
    <w:qFormat/>
    <w:tblPr/>
  </w:style>
  <w:style w:type="table" w:styleId="967" w:customStyle="1">
    <w:name w:val="List Table 6 Colorful - Accent 2"/>
    <w:basedOn w:val="815"/>
    <w:uiPriority w:val="99"/>
    <w:qFormat/>
    <w:tblPr/>
  </w:style>
  <w:style w:type="table" w:styleId="968" w:customStyle="1">
    <w:name w:val="List Table 6 Colorful - Accent 3"/>
    <w:basedOn w:val="815"/>
    <w:uiPriority w:val="99"/>
    <w:qFormat/>
    <w:tblPr/>
  </w:style>
  <w:style w:type="table" w:styleId="969" w:customStyle="1">
    <w:name w:val="List Table 6 Colorful - Accent 4"/>
    <w:basedOn w:val="815"/>
    <w:uiPriority w:val="99"/>
    <w:qFormat/>
    <w:tblPr/>
  </w:style>
  <w:style w:type="table" w:styleId="970" w:customStyle="1">
    <w:name w:val="List Table 6 Colorful - Accent 5"/>
    <w:basedOn w:val="815"/>
    <w:uiPriority w:val="99"/>
    <w:qFormat/>
    <w:tblPr/>
  </w:style>
  <w:style w:type="table" w:styleId="971" w:customStyle="1">
    <w:name w:val="List Table 6 Colorful - Accent 6"/>
    <w:basedOn w:val="815"/>
    <w:uiPriority w:val="99"/>
    <w:qFormat/>
    <w:tblPr/>
  </w:style>
  <w:style w:type="table" w:styleId="972" w:customStyle="1">
    <w:name w:val="清单表 7 彩色1"/>
    <w:basedOn w:val="815"/>
    <w:uiPriority w:val="99"/>
    <w:qFormat/>
    <w:tblPr/>
  </w:style>
  <w:style w:type="table" w:styleId="973" w:customStyle="1">
    <w:name w:val="List Table 7 Colorful - Accent 1"/>
    <w:basedOn w:val="815"/>
    <w:uiPriority w:val="99"/>
    <w:qFormat/>
    <w:tblPr/>
  </w:style>
  <w:style w:type="table" w:styleId="974" w:customStyle="1">
    <w:name w:val="List Table 7 Colorful - Accent 2"/>
    <w:basedOn w:val="815"/>
    <w:uiPriority w:val="99"/>
    <w:qFormat/>
    <w:tblPr/>
  </w:style>
  <w:style w:type="table" w:styleId="975" w:customStyle="1">
    <w:name w:val="List Table 7 Colorful - Accent 3"/>
    <w:basedOn w:val="815"/>
    <w:uiPriority w:val="99"/>
    <w:qFormat/>
    <w:tblPr/>
  </w:style>
  <w:style w:type="table" w:styleId="976" w:customStyle="1">
    <w:name w:val="List Table 7 Colorful - Accent 4"/>
    <w:basedOn w:val="815"/>
    <w:uiPriority w:val="99"/>
    <w:qFormat/>
    <w:tblPr/>
  </w:style>
  <w:style w:type="table" w:styleId="977" w:customStyle="1">
    <w:name w:val="List Table 7 Colorful - Accent 5"/>
    <w:basedOn w:val="815"/>
    <w:uiPriority w:val="99"/>
    <w:qFormat/>
    <w:tblPr/>
  </w:style>
  <w:style w:type="table" w:styleId="978" w:customStyle="1">
    <w:name w:val="List Table 7 Colorful - Accent 6"/>
    <w:basedOn w:val="815"/>
    <w:uiPriority w:val="99"/>
    <w:qFormat/>
    <w:tblPr/>
  </w:style>
  <w:style w:type="table" w:styleId="979" w:customStyle="1">
    <w:name w:val="Lined - Accent"/>
    <w:basedOn w:val="815"/>
    <w:uiPriority w:val="99"/>
    <w:qFormat/>
    <w:rPr>
      <w:color w:val="404040"/>
    </w:rPr>
    <w:tblPr/>
  </w:style>
  <w:style w:type="table" w:styleId="980" w:customStyle="1">
    <w:name w:val="Lined - Accent 1"/>
    <w:basedOn w:val="815"/>
    <w:uiPriority w:val="99"/>
    <w:qFormat/>
    <w:rPr>
      <w:color w:val="404040"/>
    </w:rPr>
    <w:tblPr/>
  </w:style>
  <w:style w:type="table" w:styleId="981" w:customStyle="1">
    <w:name w:val="Lined - Accent 2"/>
    <w:basedOn w:val="815"/>
    <w:uiPriority w:val="99"/>
    <w:qFormat/>
    <w:rPr>
      <w:color w:val="404040"/>
    </w:rPr>
    <w:tblPr/>
  </w:style>
  <w:style w:type="table" w:styleId="982" w:customStyle="1">
    <w:name w:val="Lined - Accent 3"/>
    <w:basedOn w:val="815"/>
    <w:uiPriority w:val="99"/>
    <w:qFormat/>
    <w:rPr>
      <w:color w:val="404040"/>
    </w:rPr>
    <w:tblPr/>
  </w:style>
  <w:style w:type="table" w:styleId="983" w:customStyle="1">
    <w:name w:val="Lined - Accent 4"/>
    <w:basedOn w:val="815"/>
    <w:uiPriority w:val="99"/>
    <w:qFormat/>
    <w:rPr>
      <w:color w:val="404040"/>
    </w:rPr>
    <w:tblPr/>
  </w:style>
  <w:style w:type="table" w:styleId="984" w:customStyle="1">
    <w:name w:val="Lined - Accent 5"/>
    <w:basedOn w:val="815"/>
    <w:uiPriority w:val="99"/>
    <w:qFormat/>
    <w:rPr>
      <w:color w:val="404040"/>
    </w:rPr>
    <w:tblPr/>
  </w:style>
  <w:style w:type="table" w:styleId="985" w:customStyle="1">
    <w:name w:val="Lined - Accent 6"/>
    <w:basedOn w:val="815"/>
    <w:uiPriority w:val="99"/>
    <w:qFormat/>
    <w:rPr>
      <w:color w:val="404040"/>
    </w:rPr>
    <w:tblPr/>
  </w:style>
  <w:style w:type="table" w:styleId="986" w:customStyle="1">
    <w:name w:val="Bordered &amp; Lined - Accent"/>
    <w:basedOn w:val="815"/>
    <w:uiPriority w:val="99"/>
    <w:qFormat/>
    <w:rPr>
      <w:color w:val="404040"/>
    </w:rPr>
    <w:tblPr/>
  </w:style>
  <w:style w:type="table" w:styleId="987" w:customStyle="1">
    <w:name w:val="Bordered &amp; Lined - Accent 1"/>
    <w:basedOn w:val="815"/>
    <w:uiPriority w:val="99"/>
    <w:qFormat/>
    <w:rPr>
      <w:color w:val="404040"/>
    </w:rPr>
    <w:tblPr/>
  </w:style>
  <w:style w:type="table" w:styleId="988" w:customStyle="1">
    <w:name w:val="Bordered &amp; Lined - Accent 2"/>
    <w:basedOn w:val="815"/>
    <w:uiPriority w:val="99"/>
    <w:qFormat/>
    <w:rPr>
      <w:color w:val="404040"/>
    </w:rPr>
    <w:tblPr/>
  </w:style>
  <w:style w:type="table" w:styleId="989" w:customStyle="1">
    <w:name w:val="Bordered &amp; Lined - Accent 3"/>
    <w:basedOn w:val="815"/>
    <w:uiPriority w:val="99"/>
    <w:qFormat/>
    <w:rPr>
      <w:color w:val="404040"/>
    </w:rPr>
    <w:tblPr/>
  </w:style>
  <w:style w:type="table" w:styleId="990" w:customStyle="1">
    <w:name w:val="Bordered &amp; Lined - Accent 4"/>
    <w:basedOn w:val="815"/>
    <w:uiPriority w:val="99"/>
    <w:qFormat/>
    <w:rPr>
      <w:color w:val="404040"/>
    </w:rPr>
    <w:tblPr/>
  </w:style>
  <w:style w:type="table" w:styleId="991" w:customStyle="1">
    <w:name w:val="Bordered &amp; Lined - Accent 5"/>
    <w:basedOn w:val="815"/>
    <w:uiPriority w:val="99"/>
    <w:qFormat/>
    <w:rPr>
      <w:color w:val="404040"/>
    </w:rPr>
    <w:tblPr/>
  </w:style>
  <w:style w:type="table" w:styleId="992" w:customStyle="1">
    <w:name w:val="Bordered &amp; Lined - Accent 6"/>
    <w:basedOn w:val="815"/>
    <w:uiPriority w:val="99"/>
    <w:qFormat/>
    <w:rPr>
      <w:color w:val="404040"/>
    </w:rPr>
    <w:tblPr/>
  </w:style>
  <w:style w:type="table" w:styleId="993" w:customStyle="1">
    <w:name w:val="Bordered"/>
    <w:basedOn w:val="815"/>
    <w:uiPriority w:val="99"/>
    <w:qFormat/>
    <w:tblPr/>
  </w:style>
  <w:style w:type="table" w:styleId="994" w:customStyle="1">
    <w:name w:val="Bordered - Accent 1"/>
    <w:basedOn w:val="815"/>
    <w:uiPriority w:val="99"/>
    <w:qFormat/>
    <w:tblPr/>
  </w:style>
  <w:style w:type="table" w:styleId="995" w:customStyle="1">
    <w:name w:val="Bordered - Accent 2"/>
    <w:basedOn w:val="815"/>
    <w:uiPriority w:val="99"/>
    <w:qFormat/>
    <w:tblPr/>
  </w:style>
  <w:style w:type="table" w:styleId="996" w:customStyle="1">
    <w:name w:val="Bordered - Accent 3"/>
    <w:basedOn w:val="815"/>
    <w:uiPriority w:val="99"/>
    <w:qFormat/>
    <w:tblPr/>
  </w:style>
  <w:style w:type="table" w:styleId="997" w:customStyle="1">
    <w:name w:val="Bordered - Accent 4"/>
    <w:basedOn w:val="815"/>
    <w:uiPriority w:val="99"/>
    <w:qFormat/>
    <w:tblPr/>
  </w:style>
  <w:style w:type="table" w:styleId="998" w:customStyle="1">
    <w:name w:val="Bordered - Accent 5"/>
    <w:basedOn w:val="815"/>
    <w:uiPriority w:val="99"/>
    <w:qFormat/>
    <w:tblPr/>
  </w:style>
  <w:style w:type="table" w:styleId="999" w:customStyle="1">
    <w:name w:val="Bordered - Accent 6"/>
    <w:basedOn w:val="815"/>
    <w:uiPriority w:val="99"/>
    <w:qFormat/>
    <w:tblPr/>
  </w:style>
  <w:style w:type="paragraph" w:styleId="1000" w:customStyle="1">
    <w:name w:val="TOC 标题1"/>
    <w:uiPriority w:val="39"/>
    <w:unhideWhenUsed/>
    <w:qFormat/>
    <w:rPr>
      <w:rFonts w:hint="default" w:ascii="Times New Roman" w:hAnsi="Times New Roman" w:eastAsia="宋体" w:cs="Times New Roman"/>
      <w:lang w:val="en-US" w:eastAsia="zh-CN" w:bidi="ar-SA"/>
    </w:rPr>
  </w:style>
  <w:style w:type="paragraph" w:styleId="1001" w:customStyle="1">
    <w:name w:val="正文1"/>
    <w:basedOn w:val="727"/>
    <w:next w:val="727"/>
    <w:uiPriority w:val="0"/>
    <w:qFormat/>
    <w:pPr>
      <w:ind w:left="420" w:firstLine="527"/>
      <w:spacing w:before="120" w:line="360" w:lineRule="auto"/>
    </w:pPr>
    <w:rPr>
      <w:rFonts w:ascii="宋体" w:hAnsi="宋体"/>
    </w:rPr>
  </w:style>
  <w:style w:type="paragraph" w:styleId="1002" w:customStyle="1">
    <w:name w:val="首行缩进"/>
    <w:basedOn w:val="727"/>
    <w:uiPriority w:val="0"/>
    <w:qFormat/>
    <w:pPr>
      <w:ind w:firstLine="480"/>
    </w:pPr>
    <w:rPr>
      <w:lang w:val="zh-CN"/>
    </w:rPr>
  </w:style>
  <w:style w:type="paragraph" w:styleId="1003" w:customStyle="1">
    <w:name w:val="列出段落2"/>
    <w:basedOn w:val="727"/>
    <w:uiPriority w:val="99"/>
    <w:qFormat/>
    <w:pPr>
      <w:ind w:firstLine="420"/>
    </w:pPr>
  </w:style>
  <w:style w:type="paragraph" w:styleId="1004" w:customStyle="1">
    <w:name w:val="纯文本1"/>
    <w:basedOn w:val="727"/>
    <w:uiPriority w:val="99"/>
    <w:qFormat/>
    <w:rPr>
      <w:rFonts w:ascii="宋体" w:hAnsi="Courier New" w:eastAsia="楷体_GB2312"/>
      <w:sz w:val="26"/>
    </w:rPr>
  </w:style>
  <w:style w:type="paragraph" w:styleId="1005" w:customStyle="1">
    <w:name w:val="纯文本21"/>
    <w:basedOn w:val="727"/>
    <w:uiPriority w:val="0"/>
    <w:qFormat/>
    <w:pPr>
      <w:jc w:val="left"/>
      <w:widowControl/>
    </w:pPr>
    <w:rPr>
      <w:rFonts w:ascii="宋体" w:hAnsi="Courier New"/>
      <w:sz w:val="26"/>
    </w:rPr>
  </w:style>
  <w:style w:type="paragraph" w:styleId="1006" w:customStyle="1">
    <w:name w:val="纯文本6"/>
    <w:basedOn w:val="727"/>
    <w:uiPriority w:val="0"/>
    <w:qFormat/>
    <w:rPr>
      <w:rFonts w:ascii="宋体" w:hAnsi="Courier New" w:eastAsia="楷体_GB2312"/>
      <w:sz w:val="26"/>
      <w:szCs w:val="20"/>
    </w:rPr>
  </w:style>
  <w:style w:type="paragraph" w:styleId="1007"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1008" w:customStyle="1">
    <w:name w:val="Body text|1"/>
    <w:basedOn w:val="727"/>
    <w:uiPriority w:val="0"/>
    <w:qFormat/>
    <w:pPr>
      <w:ind w:firstLine="400"/>
      <w:spacing w:after="180" w:line="331" w:lineRule="auto"/>
    </w:pPr>
    <w:rPr>
      <w:rFonts w:ascii="宋体" w:hAnsi="宋体" w:cs="宋体"/>
      <w:sz w:val="20"/>
      <w:szCs w:val="20"/>
      <w:lang w:val="zh-TW" w:eastAsia="zh-TW" w:bidi="zh-TW"/>
    </w:rPr>
  </w:style>
  <w:style w:type="paragraph" w:styleId="1009" w:customStyle="1">
    <w:name w:val="纯文本3"/>
    <w:basedOn w:val="727"/>
    <w:uiPriority w:val="0"/>
    <w:qFormat/>
    <w:pPr>
      <w:jc w:val="left"/>
      <w:widowControl/>
    </w:pPr>
    <w:rPr>
      <w:rFonts w:ascii="宋体" w:hAnsi="Courier New" w:eastAsia="楷体_GB2312" w:cs="Times New Roman"/>
      <w:sz w:val="26"/>
      <w:szCs w:val="20"/>
    </w:rPr>
  </w:style>
  <w:style w:type="paragraph" w:styleId="1010" w:customStyle="1">
    <w:name w:val="纯文本2"/>
    <w:basedOn w:val="727"/>
    <w:uiPriority w:val="0"/>
    <w:qFormat/>
    <w:rPr>
      <w:rFonts w:ascii="宋体" w:hAnsi="Courier New" w:eastAsia="楷体_GB2312"/>
      <w:sz w:val="26"/>
      <w:szCs w:val="20"/>
    </w:rPr>
  </w:style>
  <w:style w:type="paragraph" w:styleId="1011" w:customStyle="1">
    <w:name w:val="Table Paragraph"/>
    <w:basedOn w:val="727"/>
    <w:uiPriority w:val="1"/>
    <w:qFormat/>
  </w:style>
  <w:style w:type="table" w:styleId="1012" w:customStyle="1">
    <w:name w:val="Table Normal"/>
    <w:uiPriority w:val="2"/>
    <w:unhideWhenUsed/>
    <w:qFormat/>
    <w:rPr>
      <w:lang w:val="en-US" w:eastAsia="zh-CN" w:bidi="ar-SA"/>
    </w:rPr>
    <w:tblPr/>
  </w:style>
  <w:style w:type="paragraph" w:styleId="1013" w:customStyle="1">
    <w:name w:val="纯文本4"/>
    <w:basedOn w:val="727"/>
    <w:uiPriority w:val="0"/>
    <w:qFormat/>
    <w:rPr>
      <w:rFonts w:ascii="宋体" w:hAnsi="Courier New" w:eastAsia="楷体_GB2312"/>
      <w:sz w:val="26"/>
      <w:szCs w:val="20"/>
    </w:rPr>
  </w:style>
  <w:style w:type="paragraph" w:styleId="1014"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15" w:customStyle="1">
    <w:name w:val="纯文本41"/>
    <w:basedOn w:val="727"/>
    <w:uiPriority w:val="0"/>
    <w:qFormat/>
    <w:rPr>
      <w:rFonts w:ascii="宋体" w:hAnsi="Courier New" w:eastAsia="楷体_GB2312"/>
      <w:sz w:val="28"/>
      <w:szCs w:val="20"/>
    </w:rPr>
  </w:style>
  <w:style w:type="paragraph" w:styleId="1016" w:customStyle="1">
    <w:name w:val="列出段落"/>
    <w:basedOn w:val="727"/>
    <w:uiPriority w:val="99"/>
    <w:qFormat/>
    <w:pPr>
      <w:ind w:firstLine="420"/>
    </w:pPr>
  </w:style>
  <w:style w:type="paragraph" w:styleId="1017"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1018" w:customStyle="1">
    <w:name w:val="正文文本缩进 31"/>
    <w:basedOn w:val="727"/>
    <w:uiPriority w:val="0"/>
    <w:qFormat/>
    <w:pPr>
      <w:ind w:firstLine="480"/>
      <w:jc w:val="left"/>
      <w:spacing w:line="440" w:lineRule="atLeast"/>
    </w:pPr>
    <w:rPr>
      <w:sz w:val="24"/>
    </w:rPr>
  </w:style>
  <w:style w:type="character" w:styleId="1019" w:customStyle="1">
    <w:name w:val="15"/>
    <w:basedOn w:val="814"/>
    <w:link w:val="727"/>
    <w:uiPriority w:val="0"/>
    <w:qFormat/>
    <w:rPr>
      <w:rFonts w:ascii="Calibri" w:hAnsi="Calibri" w:cs="Calibri"/>
      <w:sz w:val="21"/>
      <w:szCs w:val="21"/>
    </w:rPr>
  </w:style>
  <w:style w:type="character" w:styleId="1020" w:customStyle="1">
    <w:name w:val="font01"/>
    <w:basedOn w:val="814"/>
    <w:link w:val="727"/>
    <w:uiPriority w:val="0"/>
    <w:qFormat/>
    <w:rPr>
      <w:rFonts w:ascii="Arial" w:hAnsi="Arial" w:cs="Arial"/>
      <w:color w:val="000000"/>
      <w:sz w:val="20"/>
      <w:szCs w:val="20"/>
      <w:u w:val="none"/>
    </w:rPr>
  </w:style>
  <w:style w:type="character" w:styleId="1021" w:customStyle="1">
    <w:name w:val="font61"/>
    <w:basedOn w:val="814"/>
    <w:link w:val="727"/>
    <w:uiPriority w:val="0"/>
    <w:qFormat/>
    <w:rPr>
      <w:rFonts w:hint="eastAsia" w:ascii="宋体" w:hAnsi="宋体" w:eastAsia="宋体" w:cs="宋体"/>
      <w:color w:val="000000"/>
      <w:sz w:val="20"/>
      <w:szCs w:val="20"/>
      <w:u w:val="none"/>
    </w:rPr>
  </w:style>
  <w:style w:type="paragraph" w:styleId="1022" w:customStyle="1">
    <w:name w:val="纯文本5"/>
    <w:basedOn w:val="727"/>
    <w:uiPriority w:val="0"/>
    <w:qFormat/>
    <w:rPr>
      <w:rFonts w:ascii="宋体" w:hAnsi="Courier New" w:eastAsia="楷体_GB2312"/>
      <w:sz w:val="26"/>
    </w:rPr>
  </w:style>
  <w:style w:type="paragraph" w:styleId="1023" w:customStyle="1">
    <w:name w:val="纯文本511"/>
    <w:basedOn w:val="727"/>
    <w:uiPriority w:val="0"/>
    <w:unhideWhenUsed/>
    <w:qFormat/>
    <w:rPr>
      <w:rFonts w:hint="eastAsia" w:ascii="宋体" w:hAnsi="Courier New"/>
      <w:sz w:val="28"/>
    </w:rPr>
  </w:style>
  <w:style w:type="paragraph" w:styleId="1024" w:customStyle="1">
    <w:name w:val="正文文本缩进11"/>
    <w:basedOn w:val="727"/>
    <w:next w:val="727"/>
    <w:uiPriority w:val="0"/>
    <w:qFormat/>
    <w:pPr>
      <w:ind w:firstLine="574"/>
      <w:spacing w:line="312" w:lineRule="atLeast"/>
    </w:pPr>
    <w:rPr>
      <w:rFonts w:ascii="宋体" w:hAnsi="Times New Roman" w:eastAsia="宋体" w:cs="Times New Roman"/>
      <w:sz w:val="28"/>
      <w:lang w:val="en-US" w:eastAsia="zh-CN" w:bidi="ar-SA"/>
    </w:rPr>
  </w:style>
  <w:style w:type="paragraph" w:styleId="1025" w:customStyle="1">
    <w:name w:val="列出段落1"/>
    <w:basedOn w:val="727"/>
    <w:uiPriority w:val="0"/>
    <w:qFormat/>
    <w:pPr>
      <w:ind w:firstLine="420"/>
    </w:pPr>
    <w:rPr>
      <w:szCs w:val="22"/>
    </w:rPr>
  </w:style>
  <w:style w:type="paragraph" w:styleId="1026" w:customStyle="1">
    <w:name w:val="日期1"/>
    <w:basedOn w:val="727"/>
    <w:uiPriority w:val="99"/>
    <w:unhideWhenUsed/>
    <w:qFormat/>
    <w:pPr>
      <w:ind w:left="100"/>
    </w:pPr>
    <w:rPr>
      <w:b/>
      <w:bCs/>
      <w:spacing w:val="20"/>
      <w:szCs w:val="24"/>
      <w:lang w:val="en-US" w:eastAsia="en-US"/>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6</cp:revision>
  <dcterms:created xsi:type="dcterms:W3CDTF">2024-08-01T06:53:00Z</dcterms:created>
  <dcterms:modified xsi:type="dcterms:W3CDTF">2026-06-18T08:49:28Z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eyJoZGlkIjoiN2YzNjBkOTgyNWQ1YTMxYzM3MzMwNWFiODNmOWIzYWMiLCJ1c2VySWQiOiIxNDAxODc1MTEzIn0=</vt:lpwstr>
  </property>
  <property fmtid="{D5CDD505-2E9C-101B-9397-08002B2CF9AE}" pid="3" name="KSOProductBuildVer">
    <vt:lpwstr>2052-12.1.0.26895</vt:lpwstr>
  </property>
  <property fmtid="{D5CDD505-2E9C-101B-9397-08002B2CF9AE}" pid="4" name="ICV">
    <vt:lpwstr>0F86321728B2470E8AC2B6C3A89340EB_13</vt:lpwstr>
  </property>
</Properties>
</file>