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jc w:val="center"/>
        <w:spacing w:before="0" w:after="0" w:line="240" w:lineRule="auto"/>
        <w:rPr>
          <w:rFonts w:hint="eastAsia" w:ascii="宋体" w:hAnsi="宋体" w:eastAsia="宋体" w:cs="宋体"/>
          <w:color w:val="000000"/>
          <w:sz w:val="72"/>
          <w:szCs w:val="72"/>
        </w:rPr>
      </w:pPr>
      <w:r/>
      <w:bookmarkStart w:id="0" w:name="OLE_LINK1"/>
      <w:r>
        <w:rPr>
          <w:rFonts w:hint="eastAsia" w:ascii="宋体" w:hAnsi="宋体" w:eastAsia="宋体" w:cs="宋体"/>
          <w:color w:val="000000"/>
          <w:sz w:val="72"/>
          <w:szCs w:val="72"/>
        </w:rPr>
        <w:t xml:space="preserve">江苏开放大学</w:t>
      </w:r>
      <w:r>
        <w:rPr>
          <w:rFonts w:hint="eastAsia" w:ascii="宋体" w:hAnsi="宋体" w:eastAsia="宋体" w:cs="宋体"/>
          <w:color w:val="000000"/>
          <w:sz w:val="72"/>
          <w:szCs w:val="72"/>
        </w:rPr>
      </w:r>
      <w:r/>
    </w:p>
    <w:p>
      <w:pPr>
        <w:pStyle w:val="1038"/>
        <w:rPr>
          <w:rFonts w:hint="eastAsia" w:ascii="宋体" w:hAnsi="宋体" w:eastAsia="宋体" w:cs="宋体"/>
          <w:color w:val="000000"/>
          <w:sz w:val="24"/>
          <w:szCs w:val="24"/>
        </w:rPr>
      </w:pPr>
      <w:r/>
      <w:bookmarkEnd w:id="0"/>
      <w:r>
        <w:rPr>
          <w:rFonts w:hint="eastAsia" w:ascii="宋体" w:hAnsi="宋体" w:eastAsia="宋体" w:cs="宋体"/>
          <w:color w:val="000000"/>
          <w:sz w:val="24"/>
          <w:szCs w:val="24"/>
        </w:rPr>
      </w:r>
      <w:r/>
    </w:p>
    <w:p>
      <w:pPr>
        <w:pStyle w:val="1038"/>
        <w:jc w:val="center"/>
        <w:spacing w:before="0" w:after="0" w:line="240" w:lineRule="auto"/>
        <w:rPr>
          <w:rFonts w:hint="eastAsia" w:ascii="宋体" w:hAnsi="宋体" w:eastAsia="宋体" w:cs="宋体"/>
          <w:color w:val="000000"/>
          <w:sz w:val="72"/>
          <w:szCs w:val="72"/>
        </w:rPr>
      </w:pPr>
      <w:r>
        <w:rPr>
          <w:rFonts w:hint="eastAsia" w:ascii="宋体" w:hAnsi="宋体" w:eastAsia="宋体" w:cs="宋体"/>
          <w:color w:val="000000"/>
          <w:sz w:val="72"/>
          <w:szCs w:val="72"/>
        </w:rPr>
      </w:r>
      <w:r/>
    </w:p>
    <w:p>
      <w:pPr>
        <w:pStyle w:val="1038"/>
        <w:jc w:val="center"/>
        <w:spacing w:before="0" w:after="0" w:line="240" w:lineRule="auto"/>
        <w:rPr>
          <w:rFonts w:hint="eastAsia" w:ascii="宋体" w:hAnsi="宋体" w:eastAsia="宋体" w:cs="宋体"/>
          <w:color w:val="000000"/>
          <w:sz w:val="72"/>
          <w:szCs w:val="72"/>
        </w:rPr>
      </w:pPr>
      <w:r>
        <w:rPr>
          <w:rFonts w:hint="eastAsia" w:ascii="宋体" w:hAnsi="宋体" w:eastAsia="宋体" w:cs="宋体"/>
          <w:color w:val="000000"/>
          <w:sz w:val="72"/>
          <w:szCs w:val="72"/>
        </w:rPr>
        <w:t xml:space="preserve">招标文件</w:t>
      </w:r>
      <w:r>
        <w:rPr>
          <w:rFonts w:hint="eastAsia" w:ascii="宋体" w:hAnsi="宋体" w:eastAsia="宋体" w:cs="宋体"/>
          <w:color w:val="000000"/>
          <w:sz w:val="72"/>
          <w:szCs w:val="72"/>
        </w:rPr>
      </w:r>
      <w:r/>
    </w:p>
    <w:p>
      <w:pPr>
        <w:pStyle w:val="1038"/>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38"/>
        <w:ind w:left="825" w:firstLine="12"/>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eastAsia="宋体" w:cs="宋体"/>
          <w:color w:val="000000"/>
          <w:sz w:val="32"/>
          <w:szCs w:val="32"/>
          <w:lang w:eastAsia="zh-CN"/>
        </w:rPr>
        <w:t xml:space="preserve">JSZC-320000-HWZX-G2026-0280</w:t>
      </w:r>
      <w:r>
        <w:rPr>
          <w:rFonts w:hint="eastAsia" w:ascii="宋体" w:hAnsi="宋体" w:eastAsia="宋体" w:cs="宋体"/>
          <w:color w:val="000000"/>
          <w:sz w:val="32"/>
          <w:szCs w:val="32"/>
          <w:lang w:eastAsia="zh-CN"/>
        </w:rPr>
      </w:r>
      <w:r/>
    </w:p>
    <w:p>
      <w:pPr>
        <w:pStyle w:val="1038"/>
        <w:ind w:left="825" w:firstLine="12"/>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代理机构内部编号：</w:t>
      </w:r>
      <w:r>
        <w:rPr>
          <w:rFonts w:hint="eastAsia" w:ascii="宋体" w:hAnsi="宋体" w:eastAsia="宋体" w:cs="宋体"/>
          <w:color w:val="000000"/>
          <w:sz w:val="32"/>
          <w:szCs w:val="32"/>
          <w:lang w:eastAsia="zh-CN"/>
        </w:rPr>
        <w:t xml:space="preserve">0675-266JOC004354</w:t>
      </w:r>
      <w:r>
        <w:rPr>
          <w:rFonts w:hint="eastAsia" w:ascii="宋体" w:hAnsi="宋体" w:eastAsia="宋体" w:cs="宋体"/>
          <w:color w:val="000000"/>
          <w:sz w:val="32"/>
          <w:szCs w:val="32"/>
          <w:lang w:eastAsia="zh-CN"/>
        </w:rPr>
      </w:r>
      <w:r/>
    </w:p>
    <w:p>
      <w:pPr>
        <w:pStyle w:val="1038"/>
        <w:ind w:left="2318" w:hanging="1478"/>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项目名称：江苏开放大学制造业智改数转技术产业学院实验室建设</w:t>
      </w:r>
      <w:r>
        <w:rPr>
          <w:rFonts w:hint="eastAsia" w:ascii="宋体" w:hAnsi="宋体" w:eastAsia="宋体" w:cs="宋体"/>
          <w:color w:val="000000"/>
          <w:sz w:val="32"/>
          <w:szCs w:val="32"/>
        </w:rPr>
      </w:r>
      <w:r/>
    </w:p>
    <w:p>
      <w:pPr>
        <w:pStyle w:val="1038"/>
        <w:ind w:left="825" w:firstLine="12"/>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 购 人：江苏开放大学</w:t>
      </w:r>
      <w:r>
        <w:rPr>
          <w:rFonts w:hint="eastAsia" w:ascii="宋体" w:hAnsi="宋体" w:eastAsia="宋体" w:cs="宋体"/>
          <w:color w:val="000000"/>
          <w:sz w:val="32"/>
          <w:szCs w:val="32"/>
        </w:rPr>
      </w:r>
      <w:r/>
    </w:p>
    <w:p>
      <w:pPr>
        <w:pStyle w:val="1038"/>
        <w:ind w:left="1797" w:hanging="957"/>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50"/>
        <w:rPr>
          <w:rFonts w:hint="eastAsia"/>
          <w:color w:val="000000"/>
        </w:rPr>
      </w:pPr>
      <w:r>
        <w:rPr>
          <w:rFonts w:hint="eastAsia"/>
          <w:color w:val="000000"/>
        </w:rPr>
      </w:r>
      <w:r/>
    </w:p>
    <w:p>
      <w:pPr>
        <w:pStyle w:val="1038"/>
        <w:rPr>
          <w:rFonts w:hint="eastAsia" w:ascii="宋体" w:hAnsi="宋体" w:eastAsia="宋体" w:cs="宋体"/>
          <w:color w:val="000000"/>
          <w:sz w:val="36"/>
          <w:szCs w:val="36"/>
        </w:rPr>
      </w:pPr>
      <w:r>
        <w:rPr>
          <w:rFonts w:hint="eastAsia" w:ascii="宋体" w:hAnsi="宋体" w:eastAsia="宋体" w:cs="宋体"/>
          <w:color w:val="000000"/>
          <w:sz w:val="36"/>
          <w:szCs w:val="36"/>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rPr>
      </w:r>
      <w:r/>
    </w:p>
    <w:p>
      <w:pPr>
        <w:pStyle w:val="1038"/>
        <w:ind w:left="1797" w:hanging="957"/>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代理机构：江苏海外集团国际工程咨询有限公司</w:t>
      </w:r>
      <w:r>
        <w:rPr>
          <w:rFonts w:hint="eastAsia" w:ascii="宋体" w:hAnsi="宋体" w:eastAsia="宋体" w:cs="宋体"/>
          <w:color w:val="000000"/>
          <w:sz w:val="32"/>
          <w:szCs w:val="32"/>
        </w:rPr>
      </w:r>
      <w:r/>
    </w:p>
    <w:p>
      <w:pPr>
        <w:pStyle w:val="1095"/>
        <w:jc w:val="center"/>
        <w:tabs>
          <w:tab w:val="right" w:pos="8306" w:leader="dot"/>
        </w:tabs>
        <w:rPr>
          <w:rFonts w:hint="eastAsia" w:ascii="宋体" w:hAnsi="宋体" w:cs="宋体"/>
          <w:color w:val="000000"/>
          <w:spacing w:val="30"/>
          <w:sz w:val="32"/>
          <w:szCs w:val="3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rPr>
        <w:t xml:space="preserve">二〇二六年</w:t>
      </w:r>
      <w:r>
        <w:rPr>
          <w:rFonts w:hint="eastAsia" w:ascii="宋体" w:hAnsi="宋体" w:cs="宋体"/>
          <w:color w:val="000000"/>
          <w:spacing w:val="30"/>
          <w:sz w:val="32"/>
          <w:szCs w:val="32"/>
          <w:lang w:val="en-US" w:eastAsia="zh-CN"/>
        </w:rPr>
        <w:t xml:space="preserve">六</w:t>
      </w:r>
      <w:r>
        <w:rPr>
          <w:rFonts w:hint="eastAsia" w:ascii="宋体" w:hAnsi="宋体" w:cs="宋体"/>
          <w:color w:val="000000"/>
          <w:spacing w:val="30"/>
          <w:sz w:val="32"/>
          <w:szCs w:val="32"/>
        </w:rPr>
        <w:t xml:space="preserve">月</w:t>
      </w:r>
      <w:r>
        <w:rPr>
          <w:rFonts w:hint="eastAsia" w:ascii="宋体" w:hAnsi="宋体" w:cs="宋体"/>
          <w:color w:val="000000"/>
          <w:spacing w:val="30"/>
          <w:sz w:val="32"/>
          <w:szCs w:val="32"/>
        </w:rPr>
      </w:r>
      <w:r/>
    </w:p>
    <w:p>
      <w:pPr>
        <w:pStyle w:val="1095"/>
        <w:jc w:val="center"/>
        <w:tabs>
          <w:tab w:val="right" w:pos="8306" w:leader="dot"/>
        </w:tabs>
        <w:rPr>
          <w:rFonts w:hint="eastAsia" w:ascii="宋体" w:hAnsi="宋体" w:cs="宋体"/>
          <w:color w:val="000000"/>
          <w:sz w:val="44"/>
          <w:szCs w:val="44"/>
        </w:rPr>
      </w:pPr>
      <w:r>
        <w:rPr>
          <w:rFonts w:hint="eastAsia" w:ascii="宋体" w:hAnsi="宋体" w:cs="宋体"/>
          <w:color w:val="000000"/>
          <w:sz w:val="44"/>
          <w:szCs w:val="44"/>
        </w:rPr>
        <w:t xml:space="preserve">目 录</w:t>
      </w:r>
      <w:r>
        <w:rPr>
          <w:rFonts w:hint="eastAsia" w:ascii="宋体" w:hAnsi="宋体" w:cs="宋体"/>
          <w:color w:val="000000"/>
          <w:sz w:val="44"/>
          <w:szCs w:val="44"/>
        </w:rPr>
      </w:r>
      <w:r/>
    </w:p>
    <w:p>
      <w:pPr>
        <w:pStyle w:val="1095"/>
        <w:tabs>
          <w:tab w:val="right" w:pos="9746" w:leader="dot"/>
        </w:tabs>
        <w:rPr>
          <w:color w:val="000000"/>
        </w:rPr>
      </w:pPr>
      <w:r/>
      <w:bookmarkStart w:id="1" w:name="_Toc32113"/>
      <w:r/>
      <w:bookmarkStart w:id="2" w:name="_Toc6351"/>
      <w:r>
        <w:rPr>
          <w:rFonts w:hint="eastAsia" w:ascii="宋体" w:hAnsi="宋体" w:cs="宋体"/>
          <w:color w:val="000000"/>
          <w:sz w:val="22"/>
          <w:szCs w:val="22"/>
        </w:rPr>
        <w:fldChar w:fldCharType="begin"/>
      </w:r>
      <w:r>
        <w:rPr>
          <w:rFonts w:hint="eastAsia" w:ascii="宋体" w:hAnsi="宋体" w:cs="宋体"/>
          <w:color w:val="000000"/>
          <w:sz w:val="22"/>
          <w:szCs w:val="22"/>
        </w:rPr>
        <w:instrText xml:space="preserve">TOC \o "1-3" \h \u </w:instrText>
      </w:r>
      <w:r>
        <w:rPr>
          <w:rFonts w:hint="eastAsia" w:ascii="宋体" w:hAnsi="宋体" w:cs="宋体"/>
          <w:color w:val="000000"/>
          <w:sz w:val="22"/>
          <w:szCs w:val="22"/>
        </w:rPr>
        <w:fldChar w:fldCharType="separate"/>
      </w: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_Toc32409 </w:instrText>
      </w:r>
      <w:r>
        <w:rPr>
          <w:rFonts w:hint="eastAsia" w:ascii="宋体" w:hAnsi="宋体" w:eastAsia="宋体" w:cs="宋体"/>
          <w:color w:val="000000"/>
          <w:szCs w:val="22"/>
        </w:rPr>
        <w:fldChar w:fldCharType="separate"/>
      </w:r>
      <w:r>
        <w:rPr>
          <w:rFonts w:hint="eastAsia" w:ascii="宋体" w:hAnsi="宋体" w:eastAsia="宋体" w:cs="宋体"/>
          <w:color w:val="000000"/>
        </w:rPr>
        <w:t xml:space="preserve">第一章 招标公告</w:t>
      </w:r>
      <w:r>
        <w:rPr>
          <w:color w:val="000000"/>
        </w:rPr>
        <w:tab/>
      </w:r>
      <w:r>
        <w:rPr>
          <w:color w:val="000000"/>
        </w:rPr>
        <w:fldChar w:fldCharType="begin"/>
      </w:r>
      <w:r>
        <w:rPr>
          <w:color w:val="000000"/>
        </w:rPr>
        <w:instrText xml:space="preserve"> PAGEREF _Toc32409 \h </w:instrText>
      </w:r>
      <w:r>
        <w:rPr>
          <w:color w:val="000000"/>
        </w:rPr>
        <w:fldChar w:fldCharType="separate"/>
      </w:r>
      <w:r>
        <w:rPr>
          <w:color w:val="000000"/>
        </w:rPr>
        <w:t xml:space="preserve">- 4 -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_Toc5140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4"/>
        </w:rPr>
        <w:t xml:space="preserve">一、项目基本情况</w:t>
      </w:r>
      <w:r>
        <w:rPr>
          <w:color w:val="000000"/>
        </w:rPr>
        <w:tab/>
      </w:r>
      <w:r>
        <w:rPr>
          <w:color w:val="000000"/>
        </w:rPr>
        <w:fldChar w:fldCharType="begin"/>
      </w:r>
      <w:r>
        <w:rPr>
          <w:color w:val="000000"/>
        </w:rPr>
        <w:instrText xml:space="preserve"> PAGEREF _Toc5140 \h </w:instrText>
      </w:r>
      <w:r>
        <w:rPr>
          <w:color w:val="000000"/>
        </w:rPr>
        <w:fldChar w:fldCharType="separate"/>
      </w:r>
      <w:r>
        <w:rPr>
          <w:color w:val="000000"/>
        </w:rPr>
        <w:t xml:space="preserve">- 4 -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_Toc27682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4"/>
        </w:rPr>
        <w:t xml:space="preserve">二、申请人的资质要求</w:t>
      </w:r>
      <w:r>
        <w:rPr>
          <w:color w:val="000000"/>
        </w:rPr>
        <w:tab/>
      </w:r>
      <w:r>
        <w:rPr>
          <w:color w:val="000000"/>
        </w:rPr>
        <w:fldChar w:fldCharType="begin"/>
      </w:r>
      <w:r>
        <w:rPr>
          <w:color w:val="000000"/>
        </w:rPr>
        <w:instrText xml:space="preserve"> PAGEREF _Toc27682 \h </w:instrText>
      </w:r>
      <w:r>
        <w:rPr>
          <w:color w:val="000000"/>
        </w:rPr>
        <w:fldChar w:fldCharType="separate"/>
      </w:r>
      <w:r>
        <w:rPr>
          <w:color w:val="000000"/>
        </w:rPr>
        <w:t xml:space="preserve">- 4 -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_Toc24811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4"/>
        </w:rPr>
        <w:t xml:space="preserve">三、招标文件发售信息</w:t>
      </w:r>
      <w:r>
        <w:rPr>
          <w:color w:val="000000"/>
        </w:rPr>
        <w:tab/>
      </w:r>
      <w:r>
        <w:rPr>
          <w:color w:val="000000"/>
        </w:rPr>
        <w:fldChar w:fldCharType="begin"/>
      </w:r>
      <w:r>
        <w:rPr>
          <w:color w:val="000000"/>
        </w:rPr>
        <w:instrText xml:space="preserve"> PAGEREF _Toc24811 \h </w:instrText>
      </w:r>
      <w:r>
        <w:rPr>
          <w:color w:val="000000"/>
        </w:rPr>
        <w:fldChar w:fldCharType="separate"/>
      </w:r>
      <w:r>
        <w:rPr>
          <w:color w:val="000000"/>
        </w:rPr>
        <w:t xml:space="preserve">- 6 -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_Toc30820 </w:instrText>
      </w:r>
      <w:r>
        <w:rPr>
          <w:rFonts w:hint="eastAsia" w:ascii="宋体" w:hAnsi="宋体" w:eastAsia="宋体" w:cs="宋体"/>
          <w:color w:val="000000"/>
          <w:szCs w:val="22"/>
        </w:rPr>
        <w:fldChar w:fldCharType="separate"/>
      </w:r>
      <w:r>
        <w:rPr>
          <w:rFonts w:hint="eastAsia" w:ascii="宋体" w:hAnsi="宋体" w:eastAsia="宋体" w:cs="宋体"/>
          <w:color w:val="000000"/>
          <w:szCs w:val="24"/>
        </w:rPr>
        <w:t xml:space="preserve">四、</w:t>
      </w:r>
      <w:r>
        <w:rPr>
          <w:rFonts w:hint="eastAsia" w:ascii="宋体" w:hAnsi="宋体" w:eastAsia="宋体" w:cs="宋体"/>
          <w:bCs/>
          <w:color w:val="000000"/>
          <w:szCs w:val="24"/>
        </w:rPr>
        <w:t xml:space="preserve">提交投标文件截止时间、开标时间和地点</w:t>
      </w:r>
      <w:r>
        <w:rPr>
          <w:color w:val="000000"/>
        </w:rPr>
        <w:tab/>
      </w:r>
      <w:r>
        <w:rPr>
          <w:color w:val="000000"/>
        </w:rPr>
        <w:fldChar w:fldCharType="begin"/>
      </w:r>
      <w:r>
        <w:rPr>
          <w:color w:val="000000"/>
        </w:rPr>
        <w:instrText xml:space="preserve"> PAGEREF _Toc30820 \h </w:instrText>
      </w:r>
      <w:r>
        <w:rPr>
          <w:color w:val="000000"/>
        </w:rPr>
        <w:fldChar w:fldCharType="separate"/>
      </w:r>
      <w:r>
        <w:rPr>
          <w:color w:val="000000"/>
        </w:rPr>
        <w:t xml:space="preserve">- 6 -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_Toc19048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4"/>
        </w:rPr>
        <w:t xml:space="preserve">五、公告期限</w:t>
      </w:r>
      <w:r>
        <w:rPr>
          <w:color w:val="000000"/>
        </w:rPr>
        <w:tab/>
      </w:r>
      <w:r>
        <w:rPr>
          <w:color w:val="000000"/>
        </w:rPr>
        <w:fldChar w:fldCharType="begin"/>
      </w:r>
      <w:r>
        <w:rPr>
          <w:color w:val="000000"/>
        </w:rPr>
        <w:instrText xml:space="preserve"> PAGEREF _Toc19048 \h </w:instrText>
      </w:r>
      <w:r>
        <w:rPr>
          <w:color w:val="000000"/>
        </w:rPr>
        <w:fldChar w:fldCharType="separate"/>
      </w:r>
      <w:r>
        <w:rPr>
          <w:color w:val="000000"/>
        </w:rPr>
        <w:t xml:space="preserve">- 6 -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_Toc23871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4"/>
        </w:rPr>
        <w:t xml:space="preserve">六、其他补充事宜</w:t>
      </w:r>
      <w:r>
        <w:rPr>
          <w:color w:val="000000"/>
        </w:rPr>
        <w:tab/>
      </w:r>
      <w:r>
        <w:rPr>
          <w:color w:val="000000"/>
        </w:rPr>
        <w:fldChar w:fldCharType="begin"/>
      </w:r>
      <w:r>
        <w:rPr>
          <w:color w:val="000000"/>
        </w:rPr>
        <w:instrText xml:space="preserve"> PAGEREF _Toc23871 \h </w:instrText>
      </w:r>
      <w:r>
        <w:rPr>
          <w:color w:val="000000"/>
        </w:rPr>
        <w:fldChar w:fldCharType="separate"/>
      </w:r>
      <w:r>
        <w:rPr>
          <w:color w:val="000000"/>
        </w:rPr>
        <w:t xml:space="preserve">- 6 -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_Toc21376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4"/>
        </w:rPr>
        <w:t xml:space="preserve">七、对本次招标提出询问，请按以下方式联系</w:t>
      </w:r>
      <w:r>
        <w:rPr>
          <w:color w:val="000000"/>
        </w:rPr>
        <w:tab/>
      </w:r>
      <w:r>
        <w:rPr>
          <w:color w:val="000000"/>
        </w:rPr>
        <w:fldChar w:fldCharType="begin"/>
      </w:r>
      <w:r>
        <w:rPr>
          <w:color w:val="000000"/>
        </w:rPr>
        <w:instrText xml:space="preserve"> PAGEREF _Toc21376 \h </w:instrText>
      </w:r>
      <w:r>
        <w:rPr>
          <w:color w:val="000000"/>
        </w:rPr>
        <w:fldChar w:fldCharType="separate"/>
      </w:r>
      <w:r>
        <w:rPr>
          <w:color w:val="000000"/>
        </w:rPr>
        <w:t xml:space="preserve">- 7 -</w:t>
      </w:r>
      <w:r>
        <w:rPr>
          <w:color w:val="000000"/>
        </w:rPr>
        <w:fldChar w:fldCharType="end"/>
      </w:r>
      <w:r>
        <w:rPr>
          <w:rFonts w:hint="eastAsia" w:ascii="宋体" w:hAnsi="宋体" w:eastAsia="宋体" w:cs="宋体"/>
          <w:color w:val="000000"/>
          <w:szCs w:val="22"/>
        </w:rPr>
        <w:fldChar w:fldCharType="end"/>
      </w:r>
      <w:r>
        <w:rPr>
          <w:color w:val="000000"/>
        </w:rPr>
      </w:r>
      <w:r/>
    </w:p>
    <w:p>
      <w:pPr>
        <w:pStyle w:val="1095"/>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_Toc18462 </w:instrText>
      </w:r>
      <w:r>
        <w:rPr>
          <w:rFonts w:hint="eastAsia" w:ascii="宋体" w:hAnsi="宋体" w:eastAsia="宋体" w:cs="宋体"/>
          <w:color w:val="000000"/>
          <w:szCs w:val="22"/>
        </w:rPr>
        <w:fldChar w:fldCharType="separate"/>
      </w:r>
      <w:r>
        <w:rPr>
          <w:rFonts w:hint="eastAsia" w:ascii="宋体" w:hAnsi="宋体" w:eastAsia="宋体" w:cs="宋体"/>
          <w:color w:val="000000"/>
        </w:rPr>
        <w:t xml:space="preserve">第二章 投标人须知</w:t>
      </w:r>
      <w:r>
        <w:rPr>
          <w:color w:val="000000"/>
        </w:rPr>
        <w:tab/>
      </w:r>
      <w:r>
        <w:rPr>
          <w:color w:val="000000"/>
        </w:rPr>
        <w:fldChar w:fldCharType="begin"/>
      </w:r>
      <w:r>
        <w:rPr>
          <w:color w:val="000000"/>
        </w:rPr>
        <w:instrText xml:space="preserve"> PAGEREF _Toc18462 \h </w:instrText>
      </w:r>
      <w:r>
        <w:rPr>
          <w:color w:val="000000"/>
        </w:rPr>
        <w:fldChar w:fldCharType="separate"/>
      </w:r>
      <w:r>
        <w:rPr>
          <w:color w:val="000000"/>
        </w:rPr>
        <w:t xml:space="preserve">- 8 -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_Toc30996 </w:instrText>
      </w:r>
      <w:r>
        <w:rPr>
          <w:rFonts w:hint="eastAsia" w:ascii="宋体" w:hAnsi="宋体" w:eastAsia="宋体" w:cs="宋体"/>
          <w:color w:val="000000"/>
          <w:szCs w:val="22"/>
        </w:rPr>
        <w:fldChar w:fldCharType="separate"/>
      </w:r>
      <w:r>
        <w:rPr>
          <w:rFonts w:hint="eastAsia" w:eastAsia="宋体" w:cs="宋体"/>
          <w:color w:val="000000"/>
        </w:rPr>
        <w:t xml:space="preserve">投标人须知前附表：</w:t>
      </w:r>
      <w:r>
        <w:rPr>
          <w:color w:val="000000"/>
        </w:rPr>
        <w:tab/>
      </w:r>
      <w:r>
        <w:rPr>
          <w:color w:val="000000"/>
        </w:rPr>
        <w:fldChar w:fldCharType="begin"/>
      </w:r>
      <w:r>
        <w:rPr>
          <w:color w:val="000000"/>
        </w:rPr>
        <w:instrText xml:space="preserve"> PAGEREF _Toc30996 \h </w:instrText>
      </w:r>
      <w:r>
        <w:rPr>
          <w:color w:val="000000"/>
        </w:rPr>
        <w:fldChar w:fldCharType="separate"/>
      </w:r>
      <w:r>
        <w:rPr>
          <w:color w:val="000000"/>
        </w:rPr>
        <w:t xml:space="preserve">- 8 -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_Toc15093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一、 </w:t>
      </w:r>
      <w:r>
        <w:rPr>
          <w:rFonts w:hint="eastAsia" w:ascii="宋体" w:hAnsi="宋体" w:eastAsia="宋体" w:cs="宋体"/>
          <w:bCs/>
          <w:color w:val="000000"/>
          <w:szCs w:val="21"/>
          <w:lang w:val="zh-CN"/>
        </w:rPr>
        <w:t xml:space="preserve">总则</w:t>
      </w:r>
      <w:r>
        <w:rPr>
          <w:color w:val="000000"/>
        </w:rPr>
        <w:tab/>
      </w:r>
      <w:r>
        <w:rPr>
          <w:color w:val="000000"/>
        </w:rPr>
        <w:fldChar w:fldCharType="begin"/>
      </w:r>
      <w:r>
        <w:rPr>
          <w:color w:val="000000"/>
        </w:rPr>
        <w:instrText xml:space="preserve"> PAGEREF _Toc15093 \h </w:instrText>
      </w:r>
      <w:r>
        <w:rPr>
          <w:color w:val="000000"/>
        </w:rPr>
        <w:fldChar w:fldCharType="separate"/>
      </w:r>
      <w:r>
        <w:rPr>
          <w:color w:val="000000"/>
        </w:rPr>
        <w:t xml:space="preserve">- 10 -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_Toc13172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1、 </w:t>
      </w:r>
      <w:r>
        <w:rPr>
          <w:rFonts w:hint="eastAsia" w:ascii="宋体" w:hAnsi="宋体" w:eastAsia="宋体" w:cs="宋体"/>
          <w:bCs/>
          <w:color w:val="000000"/>
          <w:szCs w:val="21"/>
        </w:rPr>
        <w:t xml:space="preserve">适用法律</w:t>
      </w:r>
      <w:r>
        <w:rPr>
          <w:color w:val="000000"/>
        </w:rPr>
        <w:tab/>
      </w:r>
      <w:r>
        <w:rPr>
          <w:color w:val="000000"/>
        </w:rPr>
        <w:fldChar w:fldCharType="begin"/>
      </w:r>
      <w:r>
        <w:rPr>
          <w:color w:val="000000"/>
        </w:rPr>
        <w:instrText xml:space="preserve"> PAGEREF _Toc13172 \h </w:instrText>
      </w:r>
      <w:r>
        <w:rPr>
          <w:color w:val="000000"/>
        </w:rPr>
        <w:fldChar w:fldCharType="separate"/>
      </w:r>
      <w:r>
        <w:rPr>
          <w:color w:val="000000"/>
        </w:rPr>
        <w:t xml:space="preserve">- 10 -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_Toc6719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2、 </w:t>
      </w:r>
      <w:r>
        <w:rPr>
          <w:rFonts w:hint="eastAsia" w:ascii="宋体" w:hAnsi="宋体" w:eastAsia="宋体" w:cs="宋体"/>
          <w:bCs/>
          <w:color w:val="000000"/>
          <w:szCs w:val="21"/>
        </w:rPr>
        <w:t xml:space="preserve">定义</w:t>
      </w:r>
      <w:r>
        <w:rPr>
          <w:color w:val="000000"/>
        </w:rPr>
        <w:tab/>
      </w:r>
      <w:r>
        <w:rPr>
          <w:color w:val="000000"/>
        </w:rPr>
        <w:fldChar w:fldCharType="begin"/>
      </w:r>
      <w:r>
        <w:rPr>
          <w:color w:val="000000"/>
        </w:rPr>
        <w:instrText xml:space="preserve"> PAGEREF _Toc6719 \h </w:instrText>
      </w:r>
      <w:r>
        <w:rPr>
          <w:color w:val="000000"/>
        </w:rPr>
        <w:fldChar w:fldCharType="separate"/>
      </w:r>
      <w:r>
        <w:rPr>
          <w:color w:val="000000"/>
        </w:rPr>
        <w:t xml:space="preserve">- 10 -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_Toc5367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3、 </w:t>
      </w:r>
      <w:r>
        <w:rPr>
          <w:rFonts w:hint="eastAsia" w:ascii="宋体" w:hAnsi="宋体" w:eastAsia="宋体" w:cs="宋体"/>
          <w:bCs/>
          <w:color w:val="000000"/>
          <w:szCs w:val="21"/>
        </w:rPr>
        <w:t xml:space="preserve">政策功能</w:t>
      </w:r>
      <w:r>
        <w:rPr>
          <w:color w:val="000000"/>
        </w:rPr>
        <w:tab/>
      </w:r>
      <w:r>
        <w:rPr>
          <w:color w:val="000000"/>
        </w:rPr>
        <w:fldChar w:fldCharType="begin"/>
      </w:r>
      <w:r>
        <w:rPr>
          <w:color w:val="000000"/>
        </w:rPr>
        <w:instrText xml:space="preserve"> PAGEREF _Toc5367 \h </w:instrText>
      </w:r>
      <w:r>
        <w:rPr>
          <w:color w:val="000000"/>
        </w:rPr>
        <w:fldChar w:fldCharType="separate"/>
      </w:r>
      <w:r>
        <w:rPr>
          <w:color w:val="000000"/>
        </w:rPr>
        <w:t xml:space="preserve">- 10 -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_Toc30641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二、 </w:t>
      </w:r>
      <w:r>
        <w:rPr>
          <w:rFonts w:hint="eastAsia" w:ascii="宋体" w:hAnsi="宋体" w:eastAsia="宋体" w:cs="宋体"/>
          <w:bCs/>
          <w:color w:val="000000"/>
          <w:szCs w:val="21"/>
        </w:rPr>
        <w:t xml:space="preserve">招标文件构成</w:t>
      </w:r>
      <w:r>
        <w:rPr>
          <w:color w:val="000000"/>
        </w:rPr>
        <w:tab/>
      </w:r>
      <w:r>
        <w:rPr>
          <w:color w:val="000000"/>
        </w:rPr>
        <w:fldChar w:fldCharType="begin"/>
      </w:r>
      <w:r>
        <w:rPr>
          <w:color w:val="000000"/>
        </w:rPr>
        <w:instrText xml:space="preserve"> PAGEREF _Toc30641 \h </w:instrText>
      </w:r>
      <w:r>
        <w:rPr>
          <w:color w:val="000000"/>
        </w:rPr>
        <w:fldChar w:fldCharType="separate"/>
      </w:r>
      <w:r>
        <w:rPr>
          <w:color w:val="000000"/>
        </w:rPr>
        <w:t xml:space="preserve">- 11 -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_Toc30288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4、 </w:t>
      </w:r>
      <w:r>
        <w:rPr>
          <w:rFonts w:hint="eastAsia" w:ascii="宋体" w:hAnsi="宋体" w:eastAsia="宋体" w:cs="宋体"/>
          <w:bCs/>
          <w:color w:val="000000"/>
          <w:szCs w:val="21"/>
        </w:rPr>
        <w:t xml:space="preserve">招标文件组成</w:t>
      </w:r>
      <w:r>
        <w:rPr>
          <w:color w:val="000000"/>
        </w:rPr>
        <w:tab/>
      </w:r>
      <w:r>
        <w:rPr>
          <w:color w:val="000000"/>
        </w:rPr>
        <w:fldChar w:fldCharType="begin"/>
      </w:r>
      <w:r>
        <w:rPr>
          <w:color w:val="000000"/>
        </w:rPr>
        <w:instrText xml:space="preserve"> PAGEREF _Toc30288 \h </w:instrText>
      </w:r>
      <w:r>
        <w:rPr>
          <w:color w:val="000000"/>
        </w:rPr>
        <w:fldChar w:fldCharType="separate"/>
      </w:r>
      <w:r>
        <w:rPr>
          <w:color w:val="000000"/>
        </w:rPr>
        <w:t xml:space="preserve">- 11 -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_Toc26558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5、 </w:t>
      </w:r>
      <w:r>
        <w:rPr>
          <w:rFonts w:hint="eastAsia" w:ascii="宋体" w:hAnsi="宋体" w:eastAsia="宋体" w:cs="宋体"/>
          <w:bCs/>
          <w:color w:val="000000"/>
          <w:szCs w:val="21"/>
        </w:rPr>
        <w:t xml:space="preserve">招标文件的澄清或者修改</w:t>
      </w:r>
      <w:r>
        <w:rPr>
          <w:color w:val="000000"/>
        </w:rPr>
        <w:tab/>
      </w:r>
      <w:r>
        <w:rPr>
          <w:color w:val="000000"/>
        </w:rPr>
        <w:fldChar w:fldCharType="begin"/>
      </w:r>
      <w:r>
        <w:rPr>
          <w:color w:val="000000"/>
        </w:rPr>
        <w:instrText xml:space="preserve"> PAGEREF _Toc26558 \h </w:instrText>
      </w:r>
      <w:r>
        <w:rPr>
          <w:color w:val="000000"/>
        </w:rPr>
        <w:fldChar w:fldCharType="separate"/>
      </w:r>
      <w:r>
        <w:rPr>
          <w:color w:val="000000"/>
        </w:rPr>
        <w:t xml:space="preserve">- 12 -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_Toc26244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三、 </w:t>
      </w:r>
      <w:r>
        <w:rPr>
          <w:rFonts w:hint="eastAsia" w:ascii="宋体" w:hAnsi="宋体" w:eastAsia="宋体" w:cs="宋体"/>
          <w:bCs/>
          <w:color w:val="000000"/>
          <w:szCs w:val="21"/>
        </w:rPr>
        <w:t xml:space="preserve">投标文件的编制</w:t>
      </w:r>
      <w:r>
        <w:rPr>
          <w:color w:val="000000"/>
        </w:rPr>
        <w:tab/>
      </w:r>
      <w:r>
        <w:rPr>
          <w:color w:val="000000"/>
        </w:rPr>
        <w:fldChar w:fldCharType="begin"/>
      </w:r>
      <w:r>
        <w:rPr>
          <w:color w:val="000000"/>
        </w:rPr>
        <w:instrText xml:space="preserve"> PAGEREF _Toc26244 \h </w:instrText>
      </w:r>
      <w:r>
        <w:rPr>
          <w:color w:val="000000"/>
        </w:rPr>
        <w:fldChar w:fldCharType="separate"/>
      </w:r>
      <w:r>
        <w:rPr>
          <w:color w:val="000000"/>
        </w:rPr>
        <w:t xml:space="preserve">- 12 -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_Toc24620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四、 </w:t>
      </w:r>
      <w:r>
        <w:rPr>
          <w:rFonts w:hint="eastAsia" w:ascii="宋体" w:hAnsi="宋体" w:eastAsia="宋体" w:cs="宋体"/>
          <w:bCs/>
          <w:color w:val="000000"/>
          <w:szCs w:val="21"/>
        </w:rPr>
        <w:t xml:space="preserve">投标文件的递交</w:t>
      </w:r>
      <w:r>
        <w:rPr>
          <w:color w:val="000000"/>
        </w:rPr>
        <w:tab/>
      </w:r>
      <w:r>
        <w:rPr>
          <w:color w:val="000000"/>
        </w:rPr>
        <w:fldChar w:fldCharType="begin"/>
      </w:r>
      <w:r>
        <w:rPr>
          <w:color w:val="000000"/>
        </w:rPr>
        <w:instrText xml:space="preserve"> PAGEREF _Toc24620 \h </w:instrText>
      </w:r>
      <w:r>
        <w:rPr>
          <w:color w:val="000000"/>
        </w:rPr>
        <w:fldChar w:fldCharType="separate"/>
      </w:r>
      <w:r>
        <w:rPr>
          <w:color w:val="000000"/>
        </w:rPr>
        <w:t xml:space="preserve">- 16 -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_Toc952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17、 </w:t>
      </w:r>
      <w:r>
        <w:rPr>
          <w:rFonts w:hint="eastAsia" w:ascii="宋体" w:hAnsi="宋体" w:eastAsia="宋体" w:cs="宋体"/>
          <w:bCs/>
          <w:color w:val="000000"/>
          <w:szCs w:val="21"/>
        </w:rPr>
        <w:t xml:space="preserve">投标文件的递交</w:t>
      </w:r>
      <w:r>
        <w:rPr>
          <w:color w:val="000000"/>
        </w:rPr>
        <w:tab/>
      </w:r>
      <w:r>
        <w:rPr>
          <w:color w:val="000000"/>
        </w:rPr>
        <w:fldChar w:fldCharType="begin"/>
      </w:r>
      <w:r>
        <w:rPr>
          <w:color w:val="000000"/>
        </w:rPr>
        <w:instrText xml:space="preserve"> PAGEREF _Toc952 \h </w:instrText>
      </w:r>
      <w:r>
        <w:rPr>
          <w:color w:val="000000"/>
        </w:rPr>
        <w:fldChar w:fldCharType="separate"/>
      </w:r>
      <w:r>
        <w:rPr>
          <w:color w:val="000000"/>
        </w:rPr>
        <w:t xml:space="preserve">- 16 -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_Toc20541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18、 </w:t>
      </w:r>
      <w:r>
        <w:rPr>
          <w:rFonts w:hint="eastAsia" w:ascii="宋体" w:hAnsi="宋体" w:eastAsia="宋体" w:cs="宋体"/>
          <w:bCs/>
          <w:color w:val="000000"/>
          <w:szCs w:val="21"/>
        </w:rPr>
        <w:t xml:space="preserve">投标文件的解密</w:t>
      </w:r>
      <w:r>
        <w:rPr>
          <w:color w:val="000000"/>
        </w:rPr>
        <w:tab/>
      </w:r>
      <w:r>
        <w:rPr>
          <w:color w:val="000000"/>
        </w:rPr>
        <w:fldChar w:fldCharType="begin"/>
      </w:r>
      <w:r>
        <w:rPr>
          <w:color w:val="000000"/>
        </w:rPr>
        <w:instrText xml:space="preserve"> PAGEREF _Toc20541 \h </w:instrText>
      </w:r>
      <w:r>
        <w:rPr>
          <w:color w:val="000000"/>
        </w:rPr>
        <w:fldChar w:fldCharType="separate"/>
      </w:r>
      <w:r>
        <w:rPr>
          <w:color w:val="000000"/>
        </w:rPr>
        <w:t xml:space="preserve">- 16 -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_Toc19235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19、 </w:t>
      </w:r>
      <w:r>
        <w:rPr>
          <w:rFonts w:hint="eastAsia" w:ascii="宋体" w:hAnsi="宋体" w:eastAsia="宋体" w:cs="宋体"/>
          <w:bCs/>
          <w:color w:val="000000"/>
          <w:szCs w:val="21"/>
        </w:rPr>
        <w:t xml:space="preserve">投标文件的修改和撤回</w:t>
      </w:r>
      <w:r>
        <w:rPr>
          <w:color w:val="000000"/>
        </w:rPr>
        <w:tab/>
      </w:r>
      <w:r>
        <w:rPr>
          <w:color w:val="000000"/>
        </w:rPr>
        <w:fldChar w:fldCharType="begin"/>
      </w:r>
      <w:r>
        <w:rPr>
          <w:color w:val="000000"/>
        </w:rPr>
        <w:instrText xml:space="preserve"> PAGEREF _Toc19235 \h </w:instrText>
      </w:r>
      <w:r>
        <w:rPr>
          <w:color w:val="000000"/>
        </w:rPr>
        <w:fldChar w:fldCharType="separate"/>
      </w:r>
      <w:r>
        <w:rPr>
          <w:color w:val="000000"/>
        </w:rPr>
        <w:t xml:space="preserve">- 16 -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_Toc26431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20、 </w:t>
      </w:r>
      <w:r>
        <w:rPr>
          <w:rFonts w:hint="eastAsia" w:ascii="宋体" w:hAnsi="宋体" w:eastAsia="宋体" w:cs="宋体"/>
          <w:bCs/>
          <w:color w:val="000000"/>
          <w:szCs w:val="21"/>
        </w:rPr>
        <w:t xml:space="preserve">诚实信用</w:t>
      </w:r>
      <w:r>
        <w:rPr>
          <w:color w:val="000000"/>
        </w:rPr>
        <w:tab/>
      </w:r>
      <w:r>
        <w:rPr>
          <w:color w:val="000000"/>
        </w:rPr>
        <w:fldChar w:fldCharType="begin"/>
      </w:r>
      <w:r>
        <w:rPr>
          <w:color w:val="000000"/>
        </w:rPr>
        <w:instrText xml:space="preserve"> PAGEREF _Toc26431 \h </w:instrText>
      </w:r>
      <w:r>
        <w:rPr>
          <w:color w:val="000000"/>
        </w:rPr>
        <w:fldChar w:fldCharType="separate"/>
      </w:r>
      <w:r>
        <w:rPr>
          <w:color w:val="000000"/>
        </w:rPr>
        <w:t xml:space="preserve">- 16 -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_Toc8688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五、 </w:t>
      </w:r>
      <w:r>
        <w:rPr>
          <w:rFonts w:hint="eastAsia" w:ascii="宋体" w:hAnsi="宋体" w:eastAsia="宋体" w:cs="宋体"/>
          <w:bCs/>
          <w:color w:val="000000"/>
          <w:szCs w:val="21"/>
        </w:rPr>
        <w:t xml:space="preserve">开标、评标与定标</w:t>
      </w:r>
      <w:r>
        <w:rPr>
          <w:color w:val="000000"/>
        </w:rPr>
        <w:tab/>
      </w:r>
      <w:r>
        <w:rPr>
          <w:color w:val="000000"/>
        </w:rPr>
        <w:fldChar w:fldCharType="begin"/>
      </w:r>
      <w:r>
        <w:rPr>
          <w:color w:val="000000"/>
        </w:rPr>
        <w:instrText xml:space="preserve"> PAGEREF _Toc8688 \h </w:instrText>
      </w:r>
      <w:r>
        <w:rPr>
          <w:color w:val="000000"/>
        </w:rPr>
        <w:fldChar w:fldCharType="separate"/>
      </w:r>
      <w:r>
        <w:rPr>
          <w:color w:val="000000"/>
        </w:rPr>
        <w:t xml:space="preserve">- 16 -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_Toc25729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21、 </w:t>
      </w:r>
      <w:r>
        <w:rPr>
          <w:rFonts w:hint="eastAsia" w:ascii="宋体" w:hAnsi="宋体" w:eastAsia="宋体" w:cs="宋体"/>
          <w:bCs/>
          <w:color w:val="000000"/>
          <w:szCs w:val="21"/>
        </w:rPr>
        <w:t xml:space="preserve">开标</w:t>
      </w:r>
      <w:r>
        <w:rPr>
          <w:color w:val="000000"/>
        </w:rPr>
        <w:tab/>
      </w:r>
      <w:r>
        <w:rPr>
          <w:color w:val="000000"/>
        </w:rPr>
        <w:fldChar w:fldCharType="begin"/>
      </w:r>
      <w:r>
        <w:rPr>
          <w:color w:val="000000"/>
        </w:rPr>
        <w:instrText xml:space="preserve"> PAGEREF _Toc25729 \h </w:instrText>
      </w:r>
      <w:r>
        <w:rPr>
          <w:color w:val="000000"/>
        </w:rPr>
        <w:fldChar w:fldCharType="separate"/>
      </w:r>
      <w:r>
        <w:rPr>
          <w:color w:val="000000"/>
        </w:rPr>
        <w:t xml:space="preserve">- 16 -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_Toc9684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22、 </w:t>
      </w:r>
      <w:r>
        <w:rPr>
          <w:rFonts w:hint="eastAsia" w:ascii="宋体" w:hAnsi="宋体" w:eastAsia="宋体" w:cs="宋体"/>
          <w:bCs/>
          <w:color w:val="000000"/>
          <w:szCs w:val="21"/>
        </w:rPr>
        <w:t xml:space="preserve">评标</w:t>
      </w:r>
      <w:r>
        <w:rPr>
          <w:color w:val="000000"/>
        </w:rPr>
        <w:tab/>
      </w:r>
      <w:r>
        <w:rPr>
          <w:color w:val="000000"/>
        </w:rPr>
        <w:fldChar w:fldCharType="begin"/>
      </w:r>
      <w:r>
        <w:rPr>
          <w:color w:val="000000"/>
        </w:rPr>
        <w:instrText xml:space="preserve"> PAGEREF _Toc9684 \h </w:instrText>
      </w:r>
      <w:r>
        <w:rPr>
          <w:color w:val="000000"/>
        </w:rPr>
        <w:fldChar w:fldCharType="separate"/>
      </w:r>
      <w:r>
        <w:rPr>
          <w:color w:val="000000"/>
        </w:rPr>
        <w:t xml:space="preserve">- 17 -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_Toc25592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23、 </w:t>
      </w:r>
      <w:r>
        <w:rPr>
          <w:rFonts w:hint="eastAsia" w:ascii="宋体" w:hAnsi="宋体" w:eastAsia="宋体" w:cs="宋体"/>
          <w:bCs/>
          <w:color w:val="000000"/>
          <w:szCs w:val="21"/>
        </w:rPr>
        <w:t xml:space="preserve">确定中标人</w:t>
      </w:r>
      <w:r>
        <w:rPr>
          <w:color w:val="000000"/>
        </w:rPr>
        <w:tab/>
      </w:r>
      <w:r>
        <w:rPr>
          <w:color w:val="000000"/>
        </w:rPr>
        <w:fldChar w:fldCharType="begin"/>
      </w:r>
      <w:r>
        <w:rPr>
          <w:color w:val="000000"/>
        </w:rPr>
        <w:instrText xml:space="preserve"> PAGEREF _Toc25592 \h </w:instrText>
      </w:r>
      <w:r>
        <w:rPr>
          <w:color w:val="000000"/>
        </w:rPr>
        <w:fldChar w:fldCharType="separate"/>
      </w:r>
      <w:r>
        <w:rPr>
          <w:color w:val="000000"/>
        </w:rPr>
        <w:t xml:space="preserve">- 20 -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_Toc2975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24、 </w:t>
      </w:r>
      <w:r>
        <w:rPr>
          <w:rFonts w:hint="eastAsia" w:ascii="宋体" w:hAnsi="宋体" w:eastAsia="宋体" w:cs="宋体"/>
          <w:bCs/>
          <w:color w:val="000000"/>
          <w:szCs w:val="21"/>
        </w:rPr>
        <w:t xml:space="preserve">中标通知书</w:t>
      </w:r>
      <w:r>
        <w:rPr>
          <w:color w:val="000000"/>
        </w:rPr>
        <w:tab/>
      </w:r>
      <w:r>
        <w:rPr>
          <w:color w:val="000000"/>
        </w:rPr>
        <w:fldChar w:fldCharType="begin"/>
      </w:r>
      <w:r>
        <w:rPr>
          <w:color w:val="000000"/>
        </w:rPr>
        <w:instrText xml:space="preserve"> PAGEREF _Toc2975 \h </w:instrText>
      </w:r>
      <w:r>
        <w:rPr>
          <w:color w:val="000000"/>
        </w:rPr>
        <w:fldChar w:fldCharType="separate"/>
      </w:r>
      <w:r>
        <w:rPr>
          <w:color w:val="000000"/>
        </w:rPr>
        <w:t xml:space="preserve">- 20 -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_Toc29988 </w:instrText>
      </w:r>
      <w:r>
        <w:rPr>
          <w:rFonts w:hint="eastAsia" w:ascii="宋体" w:hAnsi="宋体" w:eastAsia="宋体" w:cs="宋体"/>
          <w:color w:val="000000"/>
          <w:szCs w:val="22"/>
        </w:rPr>
        <w:fldChar w:fldCharType="separate"/>
      </w:r>
      <w:r>
        <w:rPr>
          <w:rFonts w:ascii="宋体" w:hAnsi="宋体" w:eastAsia="宋体" w:cs="宋体"/>
          <w:bCs/>
          <w:color w:val="000000"/>
          <w:szCs w:val="21"/>
        </w:rPr>
        <w:t xml:space="preserve">25、 </w:t>
      </w:r>
      <w:r>
        <w:rPr>
          <w:rFonts w:hint="eastAsia" w:ascii="宋体" w:hAnsi="宋体" w:eastAsia="宋体" w:cs="宋体"/>
          <w:bCs/>
          <w:color w:val="000000"/>
          <w:szCs w:val="21"/>
        </w:rPr>
        <w:t xml:space="preserve">评标过程的保密性</w:t>
      </w:r>
      <w:r>
        <w:rPr>
          <w:color w:val="000000"/>
        </w:rPr>
        <w:tab/>
      </w:r>
      <w:r>
        <w:rPr>
          <w:color w:val="000000"/>
        </w:rPr>
        <w:fldChar w:fldCharType="begin"/>
      </w:r>
      <w:r>
        <w:rPr>
          <w:color w:val="000000"/>
        </w:rPr>
        <w:instrText xml:space="preserve"> PAGEREF _Toc29988 \h </w:instrText>
      </w:r>
      <w:r>
        <w:rPr>
          <w:color w:val="000000"/>
        </w:rPr>
        <w:fldChar w:fldCharType="separate"/>
      </w:r>
      <w:r>
        <w:rPr>
          <w:color w:val="000000"/>
        </w:rPr>
        <w:t xml:space="preserve">- 20 -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_Toc17174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六、 </w:t>
      </w:r>
      <w:r>
        <w:rPr>
          <w:rFonts w:hint="eastAsia" w:ascii="宋体" w:hAnsi="宋体" w:eastAsia="宋体" w:cs="宋体"/>
          <w:bCs/>
          <w:color w:val="000000"/>
          <w:szCs w:val="21"/>
        </w:rPr>
        <w:t xml:space="preserve">签订合同</w:t>
      </w:r>
      <w:r>
        <w:rPr>
          <w:color w:val="000000"/>
        </w:rPr>
        <w:tab/>
      </w:r>
      <w:r>
        <w:rPr>
          <w:color w:val="000000"/>
        </w:rPr>
        <w:fldChar w:fldCharType="begin"/>
      </w:r>
      <w:r>
        <w:rPr>
          <w:color w:val="000000"/>
        </w:rPr>
        <w:instrText xml:space="preserve"> PAGEREF _Toc17174 \h </w:instrText>
      </w:r>
      <w:r>
        <w:rPr>
          <w:color w:val="000000"/>
        </w:rPr>
        <w:fldChar w:fldCharType="separate"/>
      </w:r>
      <w:r>
        <w:rPr>
          <w:color w:val="000000"/>
        </w:rPr>
        <w:t xml:space="preserve">- 21 -</w:t>
      </w:r>
      <w:r>
        <w:rPr>
          <w:color w:val="000000"/>
        </w:rPr>
        <w:fldChar w:fldCharType="end"/>
      </w:r>
      <w:r>
        <w:rPr>
          <w:rFonts w:hint="eastAsia" w:ascii="宋体" w:hAnsi="宋体" w:eastAsia="宋体" w:cs="宋体"/>
          <w:color w:val="000000"/>
          <w:szCs w:val="22"/>
        </w:rPr>
        <w:fldChar w:fldCharType="end"/>
      </w:r>
      <w:r>
        <w:rPr>
          <w:color w:val="000000"/>
        </w:rPr>
      </w:r>
      <w:r/>
    </w:p>
    <w:p>
      <w:pPr>
        <w:pStyle w:val="1080"/>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_Toc30189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26、签订合同</w:t>
      </w:r>
      <w:r>
        <w:rPr>
          <w:color w:val="000000"/>
        </w:rPr>
        <w:tab/>
      </w:r>
      <w:r>
        <w:rPr>
          <w:color w:val="000000"/>
        </w:rPr>
        <w:fldChar w:fldCharType="begin"/>
      </w:r>
      <w:r>
        <w:rPr>
          <w:color w:val="000000"/>
        </w:rPr>
        <w:instrText xml:space="preserve"> PAGEREF _Toc30189 \h </w:instrText>
      </w:r>
      <w:r>
        <w:rPr>
          <w:color w:val="000000"/>
        </w:rPr>
        <w:fldChar w:fldCharType="separate"/>
      </w:r>
      <w:r>
        <w:rPr>
          <w:color w:val="000000"/>
        </w:rPr>
        <w:t xml:space="preserve">- 21 -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_Toc4819 </w:instrText>
      </w:r>
      <w:r>
        <w:rPr>
          <w:rFonts w:hint="eastAsia" w:ascii="宋体" w:hAnsi="宋体" w:eastAsia="宋体" w:cs="宋体"/>
          <w:color w:val="000000"/>
          <w:szCs w:val="22"/>
        </w:rPr>
        <w:fldChar w:fldCharType="separate"/>
      </w:r>
      <w:r>
        <w:rPr>
          <w:rFonts w:hint="eastAsia" w:ascii="宋体" w:hAnsi="宋体" w:eastAsia="宋体" w:cs="宋体"/>
          <w:bCs/>
          <w:color w:val="000000"/>
          <w:szCs w:val="21"/>
        </w:rPr>
        <w:t xml:space="preserve">七、 </w:t>
      </w:r>
      <w:r>
        <w:rPr>
          <w:rFonts w:hint="eastAsia" w:ascii="宋体" w:hAnsi="宋体" w:eastAsia="宋体" w:cs="宋体"/>
          <w:bCs/>
          <w:color w:val="000000"/>
          <w:szCs w:val="21"/>
        </w:rPr>
        <w:t xml:space="preserve">质疑和投诉</w:t>
      </w:r>
      <w:r>
        <w:rPr>
          <w:color w:val="000000"/>
        </w:rPr>
        <w:tab/>
      </w:r>
      <w:r>
        <w:rPr>
          <w:color w:val="000000"/>
        </w:rPr>
        <w:fldChar w:fldCharType="begin"/>
      </w:r>
      <w:r>
        <w:rPr>
          <w:color w:val="000000"/>
        </w:rPr>
        <w:instrText xml:space="preserve"> PAGEREF _Toc4819 \h </w:instrText>
      </w:r>
      <w:r>
        <w:rPr>
          <w:color w:val="000000"/>
        </w:rPr>
        <w:fldChar w:fldCharType="separate"/>
      </w:r>
      <w:r>
        <w:rPr>
          <w:color w:val="000000"/>
        </w:rPr>
        <w:t xml:space="preserve">- 21 -</w:t>
      </w:r>
      <w:r>
        <w:rPr>
          <w:color w:val="000000"/>
        </w:rPr>
        <w:fldChar w:fldCharType="end"/>
      </w:r>
      <w:r>
        <w:rPr>
          <w:rFonts w:hint="eastAsia" w:ascii="宋体" w:hAnsi="宋体" w:eastAsia="宋体" w:cs="宋体"/>
          <w:color w:val="000000"/>
          <w:szCs w:val="22"/>
        </w:rPr>
        <w:fldChar w:fldCharType="end"/>
      </w:r>
      <w:r>
        <w:rPr>
          <w:color w:val="000000"/>
        </w:rPr>
      </w:r>
      <w:r/>
    </w:p>
    <w:p>
      <w:pPr>
        <w:pStyle w:val="1095"/>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_Toc14734 </w:instrText>
      </w:r>
      <w:r>
        <w:rPr>
          <w:rFonts w:hint="eastAsia" w:ascii="宋体" w:hAnsi="宋体" w:eastAsia="宋体" w:cs="宋体"/>
          <w:color w:val="000000"/>
          <w:szCs w:val="22"/>
        </w:rPr>
        <w:fldChar w:fldCharType="separate"/>
      </w:r>
      <w:r>
        <w:rPr>
          <w:rFonts w:hint="eastAsia" w:ascii="宋体" w:hAnsi="宋体" w:eastAsia="宋体" w:cs="宋体"/>
          <w:color w:val="000000"/>
        </w:rPr>
        <w:t xml:space="preserve">第三章 评分标准</w:t>
      </w:r>
      <w:r>
        <w:rPr>
          <w:color w:val="000000"/>
        </w:rPr>
        <w:tab/>
      </w:r>
      <w:r>
        <w:rPr>
          <w:color w:val="000000"/>
        </w:rPr>
        <w:fldChar w:fldCharType="begin"/>
      </w:r>
      <w:r>
        <w:rPr>
          <w:color w:val="000000"/>
        </w:rPr>
        <w:instrText xml:space="preserve"> PAGEREF _Toc14734 \h </w:instrText>
      </w:r>
      <w:r>
        <w:rPr>
          <w:color w:val="000000"/>
        </w:rPr>
        <w:fldChar w:fldCharType="separate"/>
      </w:r>
      <w:r>
        <w:rPr>
          <w:color w:val="000000"/>
        </w:rPr>
        <w:t xml:space="preserve">- 24 -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_Toc13319 </w:instrText>
      </w:r>
      <w:r>
        <w:rPr>
          <w:rFonts w:hint="eastAsia" w:ascii="宋体" w:hAnsi="宋体" w:eastAsia="宋体" w:cs="宋体"/>
          <w:color w:val="000000"/>
          <w:szCs w:val="22"/>
        </w:rPr>
        <w:fldChar w:fldCharType="separate"/>
      </w:r>
      <w:r>
        <w:rPr>
          <w:rFonts w:hint="eastAsia" w:ascii="宋体" w:hAnsi="宋体" w:eastAsia="宋体" w:cs="宋体"/>
          <w:color w:val="000000"/>
          <w:szCs w:val="22"/>
        </w:rPr>
        <w:t xml:space="preserve">一、资格性审查</w:t>
      </w:r>
      <w:r>
        <w:rPr>
          <w:color w:val="000000"/>
        </w:rPr>
        <w:tab/>
      </w:r>
      <w:r>
        <w:rPr>
          <w:color w:val="000000"/>
        </w:rPr>
        <w:fldChar w:fldCharType="begin"/>
      </w:r>
      <w:r>
        <w:rPr>
          <w:color w:val="000000"/>
        </w:rPr>
        <w:instrText xml:space="preserve"> PAGEREF _Toc13319 \h </w:instrText>
      </w:r>
      <w:r>
        <w:rPr>
          <w:color w:val="000000"/>
        </w:rPr>
        <w:fldChar w:fldCharType="separate"/>
      </w:r>
      <w:r>
        <w:rPr>
          <w:color w:val="000000"/>
        </w:rPr>
        <w:t xml:space="preserve">- 24 -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_Toc976 </w:instrText>
      </w:r>
      <w:r>
        <w:rPr>
          <w:rFonts w:hint="eastAsia" w:ascii="宋体" w:hAnsi="宋体" w:eastAsia="宋体" w:cs="宋体"/>
          <w:color w:val="000000"/>
          <w:szCs w:val="22"/>
        </w:rPr>
        <w:fldChar w:fldCharType="separate"/>
      </w:r>
      <w:r>
        <w:rPr>
          <w:rFonts w:hint="eastAsia" w:ascii="宋体" w:hAnsi="宋体" w:eastAsia="宋体" w:cs="宋体"/>
          <w:color w:val="000000"/>
          <w:szCs w:val="22"/>
        </w:rPr>
        <w:t xml:space="preserve">二、符合性审查</w:t>
      </w:r>
      <w:r>
        <w:rPr>
          <w:color w:val="000000"/>
        </w:rPr>
        <w:tab/>
      </w:r>
      <w:r>
        <w:rPr>
          <w:color w:val="000000"/>
        </w:rPr>
        <w:fldChar w:fldCharType="begin"/>
      </w:r>
      <w:r>
        <w:rPr>
          <w:color w:val="000000"/>
        </w:rPr>
        <w:instrText xml:space="preserve"> PAGEREF _Toc976 \h </w:instrText>
      </w:r>
      <w:r>
        <w:rPr>
          <w:color w:val="000000"/>
        </w:rPr>
        <w:fldChar w:fldCharType="separate"/>
      </w:r>
      <w:r>
        <w:rPr>
          <w:color w:val="000000"/>
        </w:rPr>
        <w:t xml:space="preserve">- 24 -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_Toc30022 </w:instrText>
      </w:r>
      <w:r>
        <w:rPr>
          <w:rFonts w:hint="eastAsia" w:ascii="宋体" w:hAnsi="宋体" w:eastAsia="宋体" w:cs="宋体"/>
          <w:color w:val="000000"/>
          <w:szCs w:val="22"/>
        </w:rPr>
        <w:fldChar w:fldCharType="separate"/>
      </w:r>
      <w:r>
        <w:rPr>
          <w:rFonts w:hint="eastAsia" w:ascii="宋体" w:hAnsi="宋体" w:eastAsia="宋体" w:cs="宋体"/>
          <w:color w:val="000000"/>
          <w:szCs w:val="22"/>
        </w:rPr>
        <w:t xml:space="preserve">三、异常低价投标（响应）审查</w:t>
      </w:r>
      <w:r>
        <w:rPr>
          <w:color w:val="000000"/>
        </w:rPr>
        <w:tab/>
      </w:r>
      <w:r>
        <w:rPr>
          <w:color w:val="000000"/>
        </w:rPr>
        <w:fldChar w:fldCharType="begin"/>
      </w:r>
      <w:r>
        <w:rPr>
          <w:color w:val="000000"/>
        </w:rPr>
        <w:instrText xml:space="preserve"> PAGEREF _Toc30022 \h </w:instrText>
      </w:r>
      <w:r>
        <w:rPr>
          <w:color w:val="000000"/>
        </w:rPr>
        <w:fldChar w:fldCharType="separate"/>
      </w:r>
      <w:r>
        <w:rPr>
          <w:color w:val="000000"/>
        </w:rPr>
        <w:t xml:space="preserve">- 24 -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_Toc25377 </w:instrText>
      </w:r>
      <w:r>
        <w:rPr>
          <w:rFonts w:hint="eastAsia" w:ascii="宋体" w:hAnsi="宋体" w:eastAsia="宋体" w:cs="宋体"/>
          <w:color w:val="000000"/>
          <w:szCs w:val="22"/>
        </w:rPr>
        <w:fldChar w:fldCharType="separate"/>
      </w:r>
      <w:r>
        <w:rPr>
          <w:rFonts w:hint="eastAsia" w:ascii="宋体" w:hAnsi="宋体" w:eastAsia="宋体" w:cs="宋体"/>
          <w:color w:val="000000"/>
          <w:szCs w:val="22"/>
        </w:rPr>
        <w:t xml:space="preserve">四、评分表（综合评分法）</w:t>
      </w:r>
      <w:r>
        <w:rPr>
          <w:color w:val="000000"/>
        </w:rPr>
        <w:tab/>
      </w:r>
      <w:r>
        <w:rPr>
          <w:color w:val="000000"/>
        </w:rPr>
        <w:fldChar w:fldCharType="begin"/>
      </w:r>
      <w:r>
        <w:rPr>
          <w:color w:val="000000"/>
        </w:rPr>
        <w:instrText xml:space="preserve"> PAGEREF _Toc25377 \h </w:instrText>
      </w:r>
      <w:r>
        <w:rPr>
          <w:color w:val="000000"/>
        </w:rPr>
        <w:fldChar w:fldCharType="separate"/>
      </w:r>
      <w:r>
        <w:rPr>
          <w:color w:val="000000"/>
        </w:rPr>
        <w:t xml:space="preserve">- 25 -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_Toc25804 </w:instrText>
      </w:r>
      <w:r>
        <w:rPr>
          <w:rFonts w:hint="eastAsia" w:ascii="宋体" w:hAnsi="宋体" w:eastAsia="宋体" w:cs="宋体"/>
          <w:color w:val="000000"/>
          <w:szCs w:val="22"/>
        </w:rPr>
        <w:fldChar w:fldCharType="separate"/>
      </w:r>
      <w:r>
        <w:rPr>
          <w:rFonts w:hint="eastAsia" w:ascii="宋体" w:hAnsi="宋体" w:eastAsia="宋体" w:cs="宋体"/>
          <w:color w:val="000000"/>
          <w:szCs w:val="22"/>
        </w:rPr>
        <w:t xml:space="preserve">五、评分因素及分值说明</w:t>
      </w:r>
      <w:r>
        <w:rPr>
          <w:color w:val="000000"/>
        </w:rPr>
        <w:tab/>
      </w:r>
      <w:r>
        <w:rPr>
          <w:color w:val="000000"/>
        </w:rPr>
        <w:fldChar w:fldCharType="begin"/>
      </w:r>
      <w:r>
        <w:rPr>
          <w:color w:val="000000"/>
        </w:rPr>
        <w:instrText xml:space="preserve"> PAGEREF _Toc25804 \h </w:instrText>
      </w:r>
      <w:r>
        <w:rPr>
          <w:color w:val="000000"/>
        </w:rPr>
        <w:fldChar w:fldCharType="separate"/>
      </w:r>
      <w:r>
        <w:rPr>
          <w:color w:val="000000"/>
        </w:rPr>
        <w:t xml:space="preserve">- 28 -</w:t>
      </w:r>
      <w:r>
        <w:rPr>
          <w:color w:val="000000"/>
        </w:rPr>
        <w:fldChar w:fldCharType="end"/>
      </w:r>
      <w:r>
        <w:rPr>
          <w:rFonts w:hint="eastAsia" w:ascii="宋体" w:hAnsi="宋体" w:eastAsia="宋体" w:cs="宋体"/>
          <w:color w:val="000000"/>
          <w:szCs w:val="22"/>
        </w:rPr>
        <w:fldChar w:fldCharType="end"/>
      </w:r>
      <w:r>
        <w:rPr>
          <w:color w:val="000000"/>
        </w:rPr>
      </w:r>
      <w:r/>
    </w:p>
    <w:p>
      <w:pPr>
        <w:pStyle w:val="1095"/>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_Toc2116 </w:instrText>
      </w:r>
      <w:r>
        <w:rPr>
          <w:rFonts w:hint="eastAsia" w:ascii="宋体" w:hAnsi="宋体" w:eastAsia="宋体" w:cs="宋体"/>
          <w:color w:val="000000"/>
          <w:szCs w:val="22"/>
        </w:rPr>
        <w:fldChar w:fldCharType="separate"/>
      </w:r>
      <w:r>
        <w:rPr>
          <w:rFonts w:hint="eastAsia" w:ascii="宋体" w:hAnsi="宋体" w:eastAsia="宋体" w:cs="宋体"/>
          <w:color w:val="000000"/>
        </w:rPr>
        <w:t xml:space="preserve">第四章 采购需求</w:t>
      </w:r>
      <w:r>
        <w:rPr>
          <w:color w:val="000000"/>
        </w:rPr>
        <w:tab/>
      </w:r>
      <w:r>
        <w:rPr>
          <w:color w:val="000000"/>
        </w:rPr>
        <w:fldChar w:fldCharType="begin"/>
      </w:r>
      <w:r>
        <w:rPr>
          <w:color w:val="000000"/>
        </w:rPr>
        <w:instrText xml:space="preserve"> PAGEREF _Toc2116 \h </w:instrText>
      </w:r>
      <w:r>
        <w:rPr>
          <w:color w:val="000000"/>
        </w:rPr>
        <w:fldChar w:fldCharType="separate"/>
      </w:r>
      <w:r>
        <w:rPr>
          <w:color w:val="000000"/>
        </w:rPr>
        <w:t xml:space="preserve">- 31 -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_Toc17888 </w:instrText>
      </w:r>
      <w:r>
        <w:rPr>
          <w:rFonts w:hint="eastAsia" w:ascii="宋体" w:hAnsi="宋体" w:eastAsia="宋体" w:cs="宋体"/>
          <w:color w:val="000000"/>
          <w:szCs w:val="22"/>
        </w:rPr>
        <w:fldChar w:fldCharType="separate"/>
      </w:r>
      <w:r>
        <w:rPr>
          <w:rFonts w:hint="eastAsia" w:ascii="宋体" w:hAnsi="宋体" w:eastAsia="宋体" w:cs="宋体"/>
          <w:color w:val="000000"/>
          <w:szCs w:val="28"/>
        </w:rPr>
        <w:t xml:space="preserve">一、 项目概况</w:t>
      </w:r>
      <w:r>
        <w:rPr>
          <w:color w:val="000000"/>
        </w:rPr>
        <w:tab/>
      </w:r>
      <w:r>
        <w:rPr>
          <w:color w:val="000000"/>
        </w:rPr>
        <w:fldChar w:fldCharType="begin"/>
      </w:r>
      <w:r>
        <w:rPr>
          <w:color w:val="000000"/>
        </w:rPr>
        <w:instrText xml:space="preserve"> PAGEREF _Toc17888 \h </w:instrText>
      </w:r>
      <w:r>
        <w:rPr>
          <w:color w:val="000000"/>
        </w:rPr>
        <w:fldChar w:fldCharType="separate"/>
      </w:r>
      <w:r>
        <w:rPr>
          <w:color w:val="000000"/>
        </w:rPr>
        <w:t xml:space="preserve">- 31 -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_Toc28852 </w:instrText>
      </w:r>
      <w:r>
        <w:rPr>
          <w:rFonts w:hint="eastAsia" w:ascii="宋体" w:hAnsi="宋体" w:eastAsia="宋体" w:cs="宋体"/>
          <w:color w:val="000000"/>
          <w:szCs w:val="22"/>
        </w:rPr>
        <w:fldChar w:fldCharType="separate"/>
      </w:r>
      <w:r>
        <w:rPr>
          <w:rFonts w:hint="eastAsia" w:ascii="宋体" w:hAnsi="宋体" w:eastAsia="宋体" w:cs="宋体"/>
          <w:color w:val="000000"/>
          <w:szCs w:val="28"/>
        </w:rPr>
        <w:t xml:space="preserve">二、 建设范围</w:t>
      </w:r>
      <w:r>
        <w:rPr>
          <w:color w:val="000000"/>
        </w:rPr>
        <w:tab/>
      </w:r>
      <w:r>
        <w:rPr>
          <w:color w:val="000000"/>
        </w:rPr>
        <w:fldChar w:fldCharType="begin"/>
      </w:r>
      <w:r>
        <w:rPr>
          <w:color w:val="000000"/>
        </w:rPr>
        <w:instrText xml:space="preserve"> PAGEREF _Toc28852 \h </w:instrText>
      </w:r>
      <w:r>
        <w:rPr>
          <w:color w:val="000000"/>
        </w:rPr>
        <w:fldChar w:fldCharType="separate"/>
      </w:r>
      <w:r>
        <w:rPr>
          <w:color w:val="000000"/>
        </w:rPr>
        <w:t xml:space="preserve">- 31 -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_Toc29235 </w:instrText>
      </w:r>
      <w:r>
        <w:rPr>
          <w:rFonts w:hint="eastAsia" w:ascii="宋体" w:hAnsi="宋体" w:eastAsia="宋体" w:cs="宋体"/>
          <w:color w:val="000000"/>
          <w:szCs w:val="22"/>
        </w:rPr>
        <w:fldChar w:fldCharType="separate"/>
      </w:r>
      <w:r>
        <w:rPr>
          <w:rFonts w:hint="eastAsia" w:ascii="宋体" w:hAnsi="宋体" w:eastAsia="宋体" w:cs="宋体"/>
          <w:color w:val="000000"/>
          <w:szCs w:val="28"/>
        </w:rPr>
        <w:t xml:space="preserve">三、 建设内容（设备清单）</w:t>
      </w:r>
      <w:r>
        <w:rPr>
          <w:color w:val="000000"/>
        </w:rPr>
        <w:tab/>
      </w:r>
      <w:r>
        <w:rPr>
          <w:color w:val="000000"/>
        </w:rPr>
        <w:fldChar w:fldCharType="begin"/>
      </w:r>
      <w:r>
        <w:rPr>
          <w:color w:val="000000"/>
        </w:rPr>
        <w:instrText xml:space="preserve"> PAGEREF _Toc29235 \h </w:instrText>
      </w:r>
      <w:r>
        <w:rPr>
          <w:color w:val="000000"/>
        </w:rPr>
        <w:fldChar w:fldCharType="separate"/>
      </w:r>
      <w:r>
        <w:rPr>
          <w:color w:val="000000"/>
        </w:rPr>
        <w:t xml:space="preserve">- 32 -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_Toc8431 </w:instrText>
      </w:r>
      <w:r>
        <w:rPr>
          <w:rFonts w:hint="eastAsia" w:ascii="宋体" w:hAnsi="宋体" w:eastAsia="宋体" w:cs="宋体"/>
          <w:color w:val="000000"/>
          <w:szCs w:val="22"/>
        </w:rPr>
        <w:fldChar w:fldCharType="separate"/>
      </w:r>
      <w:r>
        <w:rPr>
          <w:rFonts w:hint="eastAsia" w:ascii="宋体" w:hAnsi="宋体" w:eastAsia="宋体" w:cs="宋体"/>
          <w:color w:val="000000"/>
          <w:szCs w:val="28"/>
        </w:rPr>
        <w:t xml:space="preserve">四、 技术要求</w:t>
      </w:r>
      <w:r>
        <w:rPr>
          <w:color w:val="000000"/>
        </w:rPr>
        <w:tab/>
      </w:r>
      <w:r>
        <w:rPr>
          <w:color w:val="000000"/>
        </w:rPr>
        <w:fldChar w:fldCharType="begin"/>
      </w:r>
      <w:r>
        <w:rPr>
          <w:color w:val="000000"/>
        </w:rPr>
        <w:instrText xml:space="preserve"> PAGEREF _Toc8431 \h </w:instrText>
      </w:r>
      <w:r>
        <w:rPr>
          <w:color w:val="000000"/>
        </w:rPr>
        <w:fldChar w:fldCharType="separate"/>
      </w:r>
      <w:r>
        <w:rPr>
          <w:color w:val="000000"/>
        </w:rPr>
        <w:t xml:space="preserve">- 33 -</w:t>
      </w:r>
      <w:r>
        <w:rPr>
          <w:color w:val="000000"/>
        </w:rPr>
        <w:fldChar w:fldCharType="end"/>
      </w:r>
      <w:r>
        <w:rPr>
          <w:rFonts w:hint="eastAsia" w:ascii="宋体" w:hAnsi="宋体" w:eastAsia="宋体" w:cs="宋体"/>
          <w:color w:val="000000"/>
          <w:szCs w:val="22"/>
        </w:rPr>
        <w:fldChar w:fldCharType="end"/>
      </w:r>
      <w:r>
        <w:rPr>
          <w:color w:val="000000"/>
        </w:rPr>
      </w:r>
      <w:r/>
    </w:p>
    <w:p>
      <w:pPr>
        <w:pStyle w:val="1107"/>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_Toc3964 </w:instrText>
      </w:r>
      <w:r>
        <w:rPr>
          <w:rFonts w:hint="eastAsia" w:ascii="宋体" w:hAnsi="宋体" w:eastAsia="宋体" w:cs="宋体"/>
          <w:color w:val="000000"/>
          <w:szCs w:val="22"/>
        </w:rPr>
        <w:fldChar w:fldCharType="separate"/>
      </w:r>
      <w:r>
        <w:rPr>
          <w:rFonts w:hint="eastAsia" w:ascii="宋体" w:hAnsi="宋体" w:eastAsia="宋体" w:cs="宋体"/>
          <w:color w:val="000000"/>
          <w:szCs w:val="28"/>
        </w:rPr>
        <w:t xml:space="preserve">五、 商务要求</w:t>
      </w:r>
      <w:r>
        <w:rPr>
          <w:color w:val="000000"/>
        </w:rPr>
        <w:tab/>
      </w:r>
      <w:r>
        <w:rPr>
          <w:color w:val="000000"/>
        </w:rPr>
        <w:fldChar w:fldCharType="begin"/>
      </w:r>
      <w:r>
        <w:rPr>
          <w:color w:val="000000"/>
        </w:rPr>
        <w:instrText xml:space="preserve"> PAGEREF _Toc3964 \h </w:instrText>
      </w:r>
      <w:r>
        <w:rPr>
          <w:color w:val="000000"/>
        </w:rPr>
        <w:fldChar w:fldCharType="separate"/>
      </w:r>
      <w:r>
        <w:rPr>
          <w:color w:val="000000"/>
        </w:rPr>
        <w:t xml:space="preserve">- 93 -</w:t>
      </w:r>
      <w:r>
        <w:rPr>
          <w:color w:val="000000"/>
        </w:rPr>
        <w:fldChar w:fldCharType="end"/>
      </w:r>
      <w:r>
        <w:rPr>
          <w:rFonts w:hint="eastAsia" w:ascii="宋体" w:hAnsi="宋体" w:eastAsia="宋体" w:cs="宋体"/>
          <w:color w:val="000000"/>
          <w:szCs w:val="22"/>
        </w:rPr>
        <w:fldChar w:fldCharType="end"/>
      </w:r>
      <w:r>
        <w:rPr>
          <w:color w:val="000000"/>
        </w:rPr>
      </w:r>
      <w:r/>
    </w:p>
    <w:p>
      <w:pPr>
        <w:pStyle w:val="1095"/>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_Toc22083 </w:instrText>
      </w:r>
      <w:r>
        <w:rPr>
          <w:rFonts w:hint="eastAsia" w:ascii="宋体" w:hAnsi="宋体" w:eastAsia="宋体" w:cs="宋体"/>
          <w:color w:val="000000"/>
          <w:szCs w:val="22"/>
        </w:rPr>
        <w:fldChar w:fldCharType="separate"/>
      </w:r>
      <w:r>
        <w:rPr>
          <w:rFonts w:hint="eastAsia" w:ascii="宋体" w:hAnsi="宋体" w:eastAsia="宋体" w:cs="宋体"/>
          <w:color w:val="000000"/>
        </w:rPr>
        <w:t xml:space="preserve">第五章 拟签订的合同文本</w:t>
      </w:r>
      <w:r>
        <w:rPr>
          <w:color w:val="000000"/>
        </w:rPr>
        <w:tab/>
      </w:r>
      <w:r>
        <w:rPr>
          <w:color w:val="000000"/>
        </w:rPr>
        <w:fldChar w:fldCharType="begin"/>
      </w:r>
      <w:r>
        <w:rPr>
          <w:color w:val="000000"/>
        </w:rPr>
        <w:instrText xml:space="preserve"> PAGEREF _Toc22083 \h </w:instrText>
      </w:r>
      <w:r>
        <w:rPr>
          <w:color w:val="000000"/>
        </w:rPr>
        <w:fldChar w:fldCharType="separate"/>
      </w:r>
      <w:r>
        <w:rPr>
          <w:color w:val="000000"/>
        </w:rPr>
        <w:t xml:space="preserve">- 97 -</w:t>
      </w:r>
      <w:r>
        <w:rPr>
          <w:color w:val="000000"/>
        </w:rPr>
        <w:fldChar w:fldCharType="end"/>
      </w:r>
      <w:r>
        <w:rPr>
          <w:rFonts w:hint="eastAsia" w:ascii="宋体" w:hAnsi="宋体" w:eastAsia="宋体" w:cs="宋体"/>
          <w:color w:val="000000"/>
          <w:szCs w:val="22"/>
        </w:rPr>
        <w:fldChar w:fldCharType="end"/>
      </w:r>
      <w:r>
        <w:rPr>
          <w:color w:val="000000"/>
        </w:rPr>
      </w:r>
      <w:r/>
    </w:p>
    <w:p>
      <w:pPr>
        <w:pStyle w:val="1095"/>
        <w:tabs>
          <w:tab w:val="right" w:pos="9746" w:leader="dot"/>
        </w:tabs>
        <w:rPr>
          <w:color w:val="000000"/>
        </w:rPr>
      </w:pPr>
      <w:r>
        <w:rPr>
          <w:rFonts w:hint="eastAsia" w:ascii="宋体" w:hAnsi="宋体" w:eastAsia="宋体" w:cs="宋体"/>
          <w:color w:val="000000"/>
          <w:szCs w:val="22"/>
        </w:rPr>
        <w:fldChar w:fldCharType="begin"/>
      </w:r>
      <w:r>
        <w:rPr>
          <w:rFonts w:hint="eastAsia" w:ascii="宋体" w:hAnsi="宋体" w:eastAsia="宋体" w:cs="宋体"/>
          <w:color w:val="000000"/>
          <w:szCs w:val="22"/>
        </w:rPr>
        <w:instrText xml:space="preserve"> HYPERLINK \l _Toc663 </w:instrText>
      </w:r>
      <w:r>
        <w:rPr>
          <w:rFonts w:hint="eastAsia" w:ascii="宋体" w:hAnsi="宋体" w:eastAsia="宋体" w:cs="宋体"/>
          <w:color w:val="000000"/>
          <w:szCs w:val="22"/>
        </w:rPr>
        <w:fldChar w:fldCharType="separate"/>
      </w:r>
      <w:r>
        <w:rPr>
          <w:rFonts w:hint="eastAsia" w:ascii="宋体" w:hAnsi="宋体" w:eastAsia="宋体" w:cs="宋体"/>
          <w:color w:val="000000"/>
        </w:rPr>
        <w:t xml:space="preserve">第六章 投标文件格式及附件</w:t>
      </w:r>
      <w:r>
        <w:rPr>
          <w:color w:val="000000"/>
        </w:rPr>
        <w:tab/>
      </w:r>
      <w:r>
        <w:rPr>
          <w:color w:val="000000"/>
        </w:rPr>
        <w:fldChar w:fldCharType="begin"/>
      </w:r>
      <w:r>
        <w:rPr>
          <w:color w:val="000000"/>
        </w:rPr>
        <w:instrText xml:space="preserve"> PAGEREF _Toc663 \h </w:instrText>
      </w:r>
      <w:r>
        <w:rPr>
          <w:color w:val="000000"/>
        </w:rPr>
        <w:fldChar w:fldCharType="separate"/>
      </w:r>
      <w:r>
        <w:rPr>
          <w:color w:val="000000"/>
        </w:rPr>
        <w:t xml:space="preserve">- 103 -</w:t>
      </w:r>
      <w:r>
        <w:rPr>
          <w:color w:val="000000"/>
        </w:rPr>
        <w:fldChar w:fldCharType="end"/>
      </w:r>
      <w:r>
        <w:rPr>
          <w:rFonts w:hint="eastAsia" w:ascii="宋体" w:hAnsi="宋体" w:eastAsia="宋体" w:cs="宋体"/>
          <w:color w:val="000000"/>
          <w:szCs w:val="22"/>
        </w:rPr>
        <w:fldChar w:fldCharType="end"/>
      </w:r>
      <w:r>
        <w:rPr>
          <w:color w:val="000000"/>
        </w:rPr>
      </w:r>
      <w:r/>
    </w:p>
    <w:p>
      <w:pPr>
        <w:pStyle w:val="1038"/>
        <w:rPr>
          <w:rFonts w:hint="eastAsia" w:ascii="宋体" w:hAnsi="宋体" w:eastAsia="宋体" w:cs="宋体"/>
          <w:color w:val="000000"/>
        </w:rPr>
      </w:pPr>
      <w:r>
        <w:rPr>
          <w:rFonts w:hint="eastAsia" w:ascii="宋体" w:hAnsi="宋体" w:eastAsia="宋体" w:cs="宋体"/>
          <w:color w:val="000000"/>
          <w:szCs w:val="22"/>
        </w:rPr>
        <w:fldChar w:fldCharType="end"/>
      </w:r>
      <w:r>
        <w:rPr>
          <w:rFonts w:hint="eastAsia" w:ascii="宋体" w:hAnsi="宋体" w:eastAsia="宋体" w:cs="宋体"/>
          <w:color w:val="000000"/>
        </w:rPr>
      </w:r>
      <w:r/>
    </w:p>
    <w:p>
      <w:pPr>
        <w:pStyle w:val="1039"/>
        <w:ind w:firstLine="0"/>
        <w:spacing w:before="480"/>
        <w:tabs>
          <w:tab w:val="left" w:pos="1440" w:leader="none"/>
          <w:tab w:val="left" w:pos="5670" w:leader="none"/>
        </w:tabs>
        <w:rPr>
          <w:rFonts w:hint="eastAsia" w:ascii="宋体" w:hAnsi="宋体" w:eastAsia="宋体" w:cs="宋体"/>
          <w:color w:val="000000"/>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rPr>
      </w:r>
      <w:r/>
    </w:p>
    <w:p>
      <w:pPr>
        <w:pStyle w:val="1039"/>
        <w:ind w:firstLine="0"/>
        <w:spacing w:before="480"/>
        <w:tabs>
          <w:tab w:val="left" w:pos="1440" w:leader="none"/>
          <w:tab w:val="left" w:pos="5670" w:leader="none"/>
        </w:tabs>
        <w:rPr>
          <w:rStyle w:val="1133"/>
          <w:rFonts w:hint="eastAsia" w:ascii="宋体" w:hAnsi="宋体" w:cs="宋体"/>
          <w:color w:val="000000"/>
          <w:szCs w:val="20"/>
        </w:rPr>
      </w:pPr>
      <w:r/>
      <w:bookmarkStart w:id="3" w:name="_Toc8889"/>
      <w:r/>
      <w:bookmarkStart w:id="4" w:name="_Toc32409"/>
      <w:r>
        <w:rPr>
          <w:rFonts w:hint="eastAsia" w:ascii="宋体" w:hAnsi="宋体" w:eastAsia="宋体" w:cs="宋体"/>
          <w:color w:val="000000"/>
        </w:rPr>
        <w:t xml:space="preserve">第一章 招标公告</w:t>
      </w:r>
      <w:bookmarkEnd w:id="1"/>
      <w:r/>
      <w:bookmarkEnd w:id="2"/>
      <w:r/>
      <w:bookmarkEnd w:id="3"/>
      <w:r/>
      <w:bookmarkEnd w:id="4"/>
      <w:r>
        <w:rPr>
          <w:rStyle w:val="1133"/>
          <w:rFonts w:hint="eastAsia" w:ascii="宋体" w:hAnsi="宋体" w:cs="宋体"/>
          <w:color w:val="000000"/>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8"/>
              <w:jc w:val="left"/>
              <w:spacing w:after="0"/>
              <w:rPr>
                <w:rFonts w:hint="eastAsia" w:ascii="宋体" w:hAnsi="宋体" w:eastAsia="宋体" w:cs="宋体"/>
                <w:b/>
                <w:bCs/>
                <w:color w:val="000000"/>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rPr>
            </w:r>
            <w:r/>
          </w:p>
          <w:p>
            <w:pPr>
              <w:pStyle w:val="1038"/>
              <w:ind w:firstLine="440"/>
              <w:spacing w:before="0" w:after="0"/>
              <w:rPr>
                <w:rFonts w:hint="eastAsia" w:ascii="宋体" w:hAnsi="宋体" w:eastAsia="宋体" w:cs="宋体"/>
                <w:color w:val="000000"/>
              </w:rPr>
            </w:pPr>
            <w:r>
              <w:rPr>
                <w:rFonts w:hint="eastAsia" w:ascii="宋体" w:hAnsi="宋体" w:eastAsia="宋体" w:cs="宋体"/>
                <w:color w:val="000000"/>
                <w:sz w:val="22"/>
              </w:rPr>
              <w:t xml:space="preserve">江苏开放大学制造业智改数转技术产业学院实验室建设</w:t>
            </w:r>
            <w:r>
              <w:rPr>
                <w:rFonts w:hint="eastAsia" w:ascii="宋体" w:hAnsi="宋体" w:eastAsia="宋体" w:cs="宋体"/>
                <w:color w:val="000000"/>
                <w:sz w:val="22"/>
                <w:u w:val="single"/>
              </w:rPr>
              <w:t xml:space="preserve">（项目编号：</w:t>
            </w:r>
            <w:r>
              <w:rPr>
                <w:rFonts w:hint="eastAsia" w:ascii="宋体" w:hAnsi="宋体" w:eastAsia="宋体" w:cs="宋体"/>
                <w:color w:val="000000"/>
                <w:sz w:val="22"/>
                <w:u w:val="single"/>
                <w:lang w:eastAsia="zh-CN"/>
              </w:rPr>
              <w:t xml:space="preserve">JSZC-320000-HWZX-G2026-0280</w:t>
            </w:r>
            <w:r>
              <w:rPr>
                <w:rFonts w:hint="eastAsia" w:ascii="宋体" w:hAnsi="宋体" w:eastAsia="宋体" w:cs="宋体"/>
                <w:color w:val="000000"/>
                <w:sz w:val="22"/>
                <w:u w:val="single"/>
              </w:rPr>
              <w:t xml:space="preserve">）</w:t>
            </w:r>
            <w:r>
              <w:rPr>
                <w:rFonts w:hint="eastAsia" w:ascii="宋体" w:hAnsi="宋体" w:eastAsia="宋体" w:cs="宋体"/>
                <w:color w:val="000000"/>
                <w:sz w:val="22"/>
              </w:rPr>
              <w:t xml:space="preserve">招标项目的潜在投标人应在</w:t>
            </w:r>
            <w:r>
              <w:rPr>
                <w:rFonts w:hint="eastAsia" w:ascii="宋体" w:hAnsi="宋体" w:eastAsia="宋体" w:cs="宋体"/>
                <w:color w:val="000000"/>
                <w:sz w:val="22"/>
                <w:u w:val="single"/>
              </w:rPr>
              <w:t xml:space="preserve">“江苏政府采购网”自行免费下载</w:t>
            </w:r>
            <w:r>
              <w:rPr>
                <w:rFonts w:hint="eastAsia" w:ascii="宋体" w:hAnsi="宋体" w:eastAsia="宋体" w:cs="宋体"/>
                <w:color w:val="000000"/>
                <w:sz w:val="22"/>
              </w:rPr>
              <w:t xml:space="preserve">获取招标文件，并于</w:t>
            </w:r>
            <w:r>
              <w:rPr>
                <w:rFonts w:hint="eastAsia" w:ascii="宋体" w:hAnsi="宋体" w:eastAsia="宋体" w:cs="宋体"/>
                <w:color w:val="000000"/>
                <w:sz w:val="22"/>
                <w:u w:val="single"/>
                <w:lang w:eastAsia="zh-CN"/>
              </w:rPr>
              <w:t xml:space="preserve">2026年6月26日 9:30</w:t>
            </w:r>
            <w:r>
              <w:rPr>
                <w:rFonts w:hint="eastAsia" w:ascii="宋体" w:hAnsi="宋体" w:eastAsia="宋体" w:cs="宋体"/>
                <w:color w:val="000000"/>
                <w:sz w:val="22"/>
                <w:u w:val="single"/>
              </w:rPr>
              <w:t xml:space="preserve">（北京时间）</w:t>
            </w:r>
            <w:r>
              <w:rPr>
                <w:rFonts w:hint="eastAsia" w:ascii="宋体" w:hAnsi="宋体" w:eastAsia="宋体" w:cs="宋体"/>
                <w:color w:val="000000"/>
                <w:sz w:val="22"/>
              </w:rPr>
              <w:t xml:space="preserve">前递交投标文件。</w:t>
            </w:r>
            <w:r>
              <w:rPr>
                <w:rFonts w:hint="eastAsia" w:ascii="宋体" w:hAnsi="宋体" w:eastAsia="宋体" w:cs="宋体"/>
                <w:color w:val="000000"/>
              </w:rPr>
            </w:r>
            <w:r/>
          </w:p>
        </w:tc>
      </w:tr>
    </w:tbl>
    <w:p>
      <w:pPr>
        <w:pStyle w:val="1038"/>
        <w:spacing w:before="0" w:after="0"/>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r>
      <w:r/>
    </w:p>
    <w:p>
      <w:pPr>
        <w:pStyle w:val="1038"/>
        <w:spacing w:before="0" w:after="0"/>
        <w:rPr>
          <w:rFonts w:hint="eastAsia" w:ascii="宋体" w:hAnsi="宋体" w:eastAsia="宋体" w:cs="宋体"/>
          <w:color w:val="000000"/>
          <w:sz w:val="24"/>
          <w:szCs w:val="24"/>
        </w:rPr>
        <w:outlineLvl w:val="1"/>
      </w:pPr>
      <w:r/>
      <w:bookmarkStart w:id="5" w:name="_Toc8418"/>
      <w:r/>
      <w:bookmarkStart w:id="6" w:name="_Toc5140"/>
      <w:r>
        <w:rPr>
          <w:rFonts w:hint="eastAsia" w:ascii="宋体" w:hAnsi="宋体" w:eastAsia="宋体" w:cs="宋体"/>
          <w:b/>
          <w:bCs/>
          <w:color w:val="000000"/>
          <w:sz w:val="24"/>
          <w:szCs w:val="24"/>
        </w:rPr>
        <w:t xml:space="preserve">一、项目基本情况</w:t>
      </w:r>
      <w:bookmarkEnd w:id="5"/>
      <w:r/>
      <w:bookmarkEnd w:id="6"/>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JSZC-320000-HWZX-G2026-0280</w:t>
      </w:r>
      <w:r>
        <w:rPr>
          <w:rFonts w:hint="eastAsia" w:ascii="宋体" w:hAnsi="宋体" w:eastAsia="宋体" w:cs="宋体"/>
          <w:color w:val="000000"/>
          <w:sz w:val="24"/>
          <w:szCs w:val="24"/>
          <w:lang w:eastAsia="zh-CN"/>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2.项目名称：江苏开放大学制造业智改数转技术产业学院实验室建设</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3.项目预算：人民币1350万元</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4.最高限价：人民币</w:t>
      </w:r>
      <w:r>
        <w:rPr>
          <w:rFonts w:ascii="宋体" w:hAnsi="宋体" w:eastAsia="宋体" w:cs="宋体"/>
          <w:color w:val="000000"/>
          <w:sz w:val="24"/>
          <w:szCs w:val="24"/>
        </w:rPr>
        <w:t xml:space="preserve">1350</w:t>
      </w:r>
      <w:r>
        <w:rPr>
          <w:rFonts w:hint="eastAsia" w:ascii="宋体" w:hAnsi="宋体" w:eastAsia="宋体" w:cs="宋体"/>
          <w:color w:val="000000"/>
          <w:sz w:val="24"/>
          <w:szCs w:val="24"/>
        </w:rPr>
        <w:t xml:space="preserve">万元，具体报价格式参照招标文件附件中“报价一览表格式”。</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5.采购方式：公开招标。</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6.采购需求：本项目1个分包（标段），技术要求详见招标文件“第四章采购需求”。</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7.合同履行期限（交货期）：合同签订后2个月内供齐所有货物，并完成安装、调试、服务及初步验收。</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8.本项目（是/否）接受联合体投标：</w:t>
      </w:r>
      <w:r>
        <w:rPr>
          <w:rFonts w:hint="eastAsia" w:ascii="宋体" w:hAnsi="宋体" w:eastAsia="宋体" w:cs="宋体"/>
          <w:b/>
          <w:bCs/>
          <w:color w:val="000000"/>
          <w:sz w:val="24"/>
          <w:szCs w:val="24"/>
        </w:rPr>
        <w:t xml:space="preserve">不接受联合体。</w:t>
      </w:r>
      <w:r>
        <w:rPr>
          <w:rFonts w:hint="eastAsia" w:ascii="宋体" w:hAnsi="宋体" w:eastAsia="宋体" w:cs="宋体"/>
          <w:color w:val="000000"/>
          <w:sz w:val="24"/>
          <w:szCs w:val="24"/>
        </w:rPr>
      </w:r>
      <w:r/>
    </w:p>
    <w:p>
      <w:pPr>
        <w:pStyle w:val="1038"/>
        <w:spacing w:before="0" w:after="0"/>
        <w:rPr>
          <w:rFonts w:hint="eastAsia" w:ascii="宋体" w:hAnsi="宋体" w:eastAsia="宋体" w:cs="宋体"/>
          <w:b/>
          <w:bCs/>
          <w:color w:val="000000"/>
          <w:sz w:val="24"/>
          <w:szCs w:val="24"/>
        </w:rPr>
        <w:outlineLvl w:val="1"/>
      </w:pPr>
      <w:r/>
      <w:bookmarkStart w:id="7" w:name="_Toc25428"/>
      <w:r/>
      <w:bookmarkStart w:id="8" w:name="_Toc27682"/>
      <w:r>
        <w:rPr>
          <w:rFonts w:hint="eastAsia" w:ascii="宋体" w:hAnsi="宋体" w:eastAsia="宋体" w:cs="宋体"/>
          <w:b/>
          <w:bCs/>
          <w:color w:val="000000"/>
          <w:sz w:val="24"/>
          <w:szCs w:val="24"/>
        </w:rPr>
        <w:t xml:space="preserve">二、申请人的资质要求</w:t>
      </w:r>
      <w:bookmarkEnd w:id="7"/>
      <w:r/>
      <w:bookmarkEnd w:id="8"/>
      <w:r>
        <w:rPr>
          <w:rFonts w:hint="eastAsia" w:ascii="宋体" w:hAnsi="宋体" w:eastAsia="宋体" w:cs="宋体"/>
          <w:b/>
          <w:bCs/>
          <w:color w:val="000000"/>
          <w:sz w:val="24"/>
          <w:szCs w:val="24"/>
        </w:rPr>
      </w:r>
      <w:r/>
    </w:p>
    <w:p>
      <w:pPr>
        <w:pStyle w:val="1038"/>
        <w:ind w:firstLine="442"/>
        <w:jc w:val="left"/>
        <w:spacing w:before="0" w:after="0"/>
        <w:tabs>
          <w:tab w:val="left" w:pos="0" w:leader="none"/>
        </w:tabs>
        <w:rPr>
          <w:rFonts w:hint="eastAsia" w:ascii="宋体" w:hAnsi="宋体" w:eastAsia="宋体" w:cs="宋体"/>
          <w:b/>
          <w:bCs/>
          <w:color w:val="000000"/>
          <w:sz w:val="22"/>
          <w:szCs w:val="22"/>
        </w:rPr>
      </w:pPr>
      <w:r/>
      <w:bookmarkStart w:id="9" w:name="OLE_LINK10"/>
      <w:r>
        <w:rPr>
          <w:rFonts w:hint="eastAsia" w:ascii="宋体" w:hAnsi="宋体" w:eastAsia="宋体" w:cs="宋体"/>
          <w:b/>
          <w:bCs/>
          <w:color w:val="000000"/>
          <w:sz w:val="22"/>
          <w:szCs w:val="22"/>
        </w:rPr>
        <w:t xml:space="preserve">（一）满足《中华人民共和国政府采购法》第二十二条规定：</w:t>
      </w:r>
      <w:r>
        <w:rPr>
          <w:rFonts w:hint="eastAsia" w:ascii="宋体" w:hAnsi="宋体" w:eastAsia="宋体" w:cs="宋体"/>
          <w:b/>
          <w:bCs/>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bookmarkEnd w:id="9"/>
      <w:r>
        <w:rPr>
          <w:rFonts w:hint="eastAsia" w:ascii="宋体" w:hAnsi="宋体" w:eastAsia="宋体" w:cs="宋体"/>
          <w:color w:val="000000"/>
          <w:sz w:val="22"/>
          <w:szCs w:val="22"/>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复印件加盖公章装订在投标文件中，否则视为未提供）；</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3.具有履行合同所必需的设备</w:t>
      </w:r>
      <w:r>
        <w:rPr>
          <w:rFonts w:hint="eastAsia" w:ascii="宋体" w:hAnsi="宋体" w:eastAsia="宋体" w:cs="宋体"/>
          <w:color w:val="000000"/>
          <w:sz w:val="22"/>
          <w:szCs w:val="22"/>
          <w:highlight w:val="none"/>
        </w:rPr>
        <w:t xml:space="preserve">和专业技术能力（供应商根据履行采购项目合同需要，提供履行合同所必需的设备和专业技术能力的证明材料或承诺函）；</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6.法律、行政法规规定的其他条件：无。</w:t>
      </w:r>
      <w:r>
        <w:rPr>
          <w:rFonts w:hint="eastAsia" w:ascii="宋体" w:hAnsi="宋体" w:eastAsia="宋体" w:cs="宋体"/>
          <w:color w:val="000000"/>
          <w:sz w:val="22"/>
          <w:szCs w:val="22"/>
        </w:rPr>
      </w:r>
      <w:r/>
    </w:p>
    <w:p>
      <w:pPr>
        <w:pStyle w:val="1038"/>
        <w:ind w:firstLine="422"/>
        <w:jc w:val="left"/>
        <w:spacing w:before="0" w:after="0"/>
        <w:tabs>
          <w:tab w:val="left" w:pos="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（二）落实政府采购政策满足的资格要求：</w:t>
      </w:r>
      <w:r>
        <w:rPr>
          <w:rFonts w:hint="eastAsia" w:ascii="宋体" w:hAnsi="宋体" w:eastAsia="宋体" w:cs="宋体"/>
          <w:b/>
          <w:bCs/>
          <w:color w:val="000000"/>
          <w:szCs w:val="21"/>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1.中小企业扶持相关要求</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（1）是否专门面向中小微企业：</w:t>
      </w:r>
      <w:r>
        <w:rPr>
          <w:rFonts w:hint="eastAsia" w:ascii="宋体" w:hAnsi="宋体" w:eastAsia="宋体" w:cs="宋体"/>
          <w:color w:val="000000"/>
          <w:sz w:val="22"/>
          <w:szCs w:val="22"/>
          <w:u w:val="single"/>
        </w:rPr>
        <w:t xml:space="preserve">本项目</w:t>
      </w:r>
      <w:r>
        <w:rPr>
          <w:rFonts w:hint="eastAsia" w:ascii="宋体" w:hAnsi="宋体" w:eastAsia="宋体" w:cs="宋体"/>
          <w:b/>
          <w:bCs/>
          <w:color w:val="000000"/>
          <w:sz w:val="22"/>
          <w:szCs w:val="22"/>
          <w:u w:val="single"/>
        </w:rPr>
        <w:t xml:space="preserve">非专门面向中小微企业</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u w:val="single"/>
        </w:rPr>
        <w:t xml:space="preserve">工业</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2.本国产品扶持相关要求</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（1）本项目对采购本国产品给予政策支持，具体内容见招标文件“第三章 评分标准”。</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rPr>
      </w:r>
      <w:r/>
    </w:p>
    <w:p>
      <w:pPr>
        <w:pStyle w:val="1038"/>
        <w:ind w:firstLine="422"/>
        <w:jc w:val="left"/>
        <w:spacing w:before="0" w:after="0"/>
        <w:tabs>
          <w:tab w:val="left" w:pos="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（三）本项目的特定资格要求：</w:t>
      </w:r>
      <w:r>
        <w:rPr>
          <w:rFonts w:hint="eastAsia" w:ascii="宋体" w:hAnsi="宋体" w:eastAsia="宋体" w:cs="宋体"/>
          <w:b/>
          <w:bCs/>
          <w:color w:val="000000"/>
          <w:szCs w:val="21"/>
        </w:rPr>
      </w:r>
      <w:r/>
    </w:p>
    <w:p>
      <w:pPr>
        <w:pStyle w:val="1038"/>
        <w:ind w:firstLine="440"/>
        <w:jc w:val="left"/>
        <w:spacing w:before="0" w:after="0"/>
        <w:tabs>
          <w:tab w:val="left" w:pos="0" w:leader="none"/>
        </w:tabs>
        <w:rPr>
          <w:rFonts w:hint="eastAsia" w:ascii="宋体" w:hAnsi="宋体" w:eastAsia="宋体" w:cs="宋体"/>
          <w:color w:val="000000"/>
          <w:sz w:val="22"/>
          <w:szCs w:val="22"/>
          <w:highlight w:val="yellow"/>
        </w:rPr>
      </w:pPr>
      <w:r>
        <w:rPr>
          <w:rFonts w:hint="eastAsia" w:ascii="宋体" w:hAnsi="宋体" w:eastAsia="宋体" w:cs="宋体"/>
          <w:color w:val="000000"/>
          <w:sz w:val="22"/>
          <w:szCs w:val="22"/>
          <w:highlight w:val="none"/>
        </w:rPr>
        <w:t xml:space="preserve">1.本项目</w:t>
      </w:r>
      <w:r>
        <w:rPr>
          <w:rFonts w:hint="eastAsia" w:ascii="宋体" w:hAnsi="宋体" w:eastAsia="宋体" w:cs="宋体"/>
          <w:b/>
          <w:bCs/>
          <w:color w:val="000000"/>
          <w:sz w:val="22"/>
          <w:szCs w:val="22"/>
          <w:highlight w:val="none"/>
        </w:rPr>
        <w:t xml:space="preserve">不接受</w:t>
      </w:r>
      <w:r>
        <w:rPr>
          <w:rFonts w:hint="eastAsia" w:ascii="宋体" w:hAnsi="宋体" w:eastAsia="宋体" w:cs="宋体"/>
          <w:color w:val="000000"/>
          <w:sz w:val="22"/>
          <w:szCs w:val="22"/>
          <w:highlight w:val="none"/>
        </w:rPr>
        <w:t xml:space="preserve">进口产品投标（注：本文件所称进口产品是指通过中国海关报关验放进入中国境内且产自关境外的产品）。</w:t>
      </w:r>
      <w:r>
        <w:rPr>
          <w:rFonts w:hint="eastAsia" w:ascii="宋体" w:hAnsi="宋体" w:eastAsia="宋体" w:cs="宋体"/>
          <w:color w:val="000000"/>
          <w:sz w:val="22"/>
          <w:szCs w:val="22"/>
          <w:highlight w:val="yellow"/>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t xml:space="preserve">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3.其他要求：</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rPr>
      </w:r>
      <w:r/>
    </w:p>
    <w:p>
      <w:pPr>
        <w:pStyle w:val="1038"/>
        <w:jc w:val="left"/>
        <w:spacing w:before="0" w:after="0"/>
        <w:tabs>
          <w:tab w:val="left" w:pos="0" w:leader="none"/>
        </w:tabs>
        <w:rPr>
          <w:rFonts w:hint="eastAsia" w:ascii="宋体" w:hAnsi="宋体" w:eastAsia="宋体" w:cs="宋体"/>
          <w:color w:val="000000"/>
          <w:sz w:val="24"/>
          <w:szCs w:val="24"/>
        </w:rPr>
        <w:outlineLvl w:val="1"/>
      </w:pPr>
      <w:r/>
      <w:bookmarkStart w:id="10" w:name="_Toc18154"/>
      <w:r/>
      <w:bookmarkStart w:id="11" w:name="_Toc24811"/>
      <w:r>
        <w:rPr>
          <w:rFonts w:hint="eastAsia" w:ascii="宋体" w:hAnsi="宋体" w:eastAsia="宋体" w:cs="宋体"/>
          <w:b/>
          <w:bCs/>
          <w:color w:val="000000"/>
          <w:sz w:val="24"/>
          <w:szCs w:val="24"/>
        </w:rPr>
        <w:t xml:space="preserve">三、招标文件发售信息</w:t>
      </w:r>
      <w:bookmarkEnd w:id="10"/>
      <w:r/>
      <w:bookmarkEnd w:id="11"/>
      <w:r>
        <w:rPr>
          <w:rFonts w:hint="eastAsia" w:ascii="宋体" w:hAnsi="宋体" w:eastAsia="宋体" w:cs="宋体"/>
          <w:color w:val="000000"/>
          <w:sz w:val="24"/>
          <w:szCs w:val="24"/>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1.时间：自招标文件公告发布之日起5个工作日。</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bookmarkStart w:id="12" w:name="OLE_LINK20"/>
      <w:r>
        <w:rPr>
          <w:rFonts w:hint="eastAsia" w:ascii="宋体" w:hAnsi="宋体" w:eastAsia="宋体" w:cs="宋体"/>
          <w:color w:val="000000"/>
          <w:sz w:val="22"/>
          <w:szCs w:val="22"/>
        </w:rPr>
        <w:t xml:space="preserve">2.地址：在“江苏政府采购网”自行免费下载招标文件。</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3.方式：本项目采用网上注册登记方式，供应商在“江苏政府采购网”自行免费下载招标文件。</w:t>
      </w:r>
      <w:r>
        <w:rPr>
          <w:rFonts w:hint="eastAsia" w:ascii="宋体" w:hAnsi="宋体" w:eastAsia="宋体" w:cs="宋体"/>
          <w:color w:val="000000"/>
          <w:sz w:val="22"/>
          <w:szCs w:val="22"/>
        </w:rPr>
      </w:r>
      <w:r/>
    </w:p>
    <w:p>
      <w:pPr>
        <w:pStyle w:val="1038"/>
        <w:ind w:firstLine="440"/>
        <w:jc w:val="left"/>
        <w:spacing w:before="0" w:after="0"/>
        <w:tabs>
          <w:tab w:val="left" w:pos="0" w:leader="none"/>
        </w:tabs>
        <w:rPr>
          <w:rFonts w:hint="eastAsia" w:ascii="宋体" w:hAnsi="宋体" w:eastAsia="宋体" w:cs="宋体"/>
          <w:color w:val="000000"/>
          <w:sz w:val="22"/>
          <w:szCs w:val="22"/>
        </w:rPr>
      </w:pPr>
      <w:r/>
      <w:bookmarkEnd w:id="12"/>
      <w:r>
        <w:rPr>
          <w:rFonts w:hint="eastAsia" w:ascii="宋体" w:hAnsi="宋体" w:eastAsia="宋体" w:cs="宋体"/>
          <w:color w:val="000000"/>
          <w:sz w:val="22"/>
          <w:szCs w:val="22"/>
        </w:rPr>
        <w:t xml:space="preserve">4.售价：0元，售出不退。</w:t>
      </w:r>
      <w:r>
        <w:rPr>
          <w:rFonts w:hint="eastAsia" w:ascii="宋体" w:hAnsi="宋体" w:eastAsia="宋体" w:cs="宋体"/>
          <w:color w:val="000000"/>
          <w:sz w:val="22"/>
          <w:szCs w:val="22"/>
        </w:rPr>
      </w:r>
      <w:r/>
    </w:p>
    <w:p>
      <w:pPr>
        <w:pStyle w:val="1038"/>
        <w:spacing w:before="0" w:after="0"/>
        <w:rPr>
          <w:rFonts w:hint="eastAsia" w:ascii="宋体" w:hAnsi="宋体" w:eastAsia="宋体" w:cs="宋体"/>
          <w:b/>
          <w:bCs/>
          <w:color w:val="000000"/>
          <w:sz w:val="22"/>
          <w:szCs w:val="22"/>
        </w:rPr>
        <w:outlineLvl w:val="1"/>
      </w:pPr>
      <w:r/>
      <w:bookmarkStart w:id="13" w:name="_Toc13914"/>
      <w:r/>
      <w:bookmarkStart w:id="14" w:name="_Toc30820"/>
      <w:r>
        <w:rPr>
          <w:rFonts w:hint="eastAsia" w:ascii="宋体" w:hAnsi="宋体" w:eastAsia="宋体" w:cs="宋体"/>
          <w:b/>
          <w:color w:val="000000"/>
          <w:sz w:val="24"/>
          <w:szCs w:val="24"/>
        </w:rPr>
        <w:t xml:space="preserve">四、</w:t>
      </w:r>
      <w:bookmarkStart w:id="15" w:name="OLE_LINK16"/>
      <w:r>
        <w:rPr>
          <w:rFonts w:hint="eastAsia" w:ascii="宋体" w:hAnsi="宋体" w:eastAsia="宋体" w:cs="宋体"/>
          <w:b/>
          <w:bCs/>
          <w:color w:val="000000"/>
          <w:sz w:val="24"/>
          <w:szCs w:val="24"/>
        </w:rPr>
        <w:t xml:space="preserve">提交投标文件截止时间</w:t>
      </w:r>
      <w:bookmarkEnd w:id="15"/>
      <w:r>
        <w:rPr>
          <w:rFonts w:hint="eastAsia" w:ascii="宋体" w:hAnsi="宋体" w:eastAsia="宋体" w:cs="宋体"/>
          <w:b/>
          <w:bCs/>
          <w:color w:val="000000"/>
          <w:sz w:val="24"/>
          <w:szCs w:val="24"/>
        </w:rPr>
        <w:t xml:space="preserve">、开标时间和地点</w:t>
      </w:r>
      <w:bookmarkEnd w:id="13"/>
      <w:r/>
      <w:bookmarkEnd w:id="14"/>
      <w:r>
        <w:rPr>
          <w:rFonts w:hint="eastAsia" w:ascii="宋体" w:hAnsi="宋体" w:eastAsia="宋体" w:cs="宋体"/>
          <w:b/>
          <w:bCs/>
          <w:color w:val="000000"/>
          <w:sz w:val="22"/>
          <w:szCs w:val="22"/>
        </w:rPr>
      </w:r>
      <w:r/>
    </w:p>
    <w:p>
      <w:pPr>
        <w:pStyle w:val="1038"/>
        <w:ind w:firstLine="440"/>
        <w:spacing w:before="0" w:after="0"/>
        <w:rPr>
          <w:rFonts w:hint="eastAsia" w:ascii="宋体" w:hAnsi="宋体" w:eastAsia="宋体" w:cs="宋体"/>
          <w:color w:val="000000"/>
          <w:sz w:val="22"/>
          <w:szCs w:val="22"/>
        </w:rPr>
      </w:pPr>
      <w:r/>
      <w:bookmarkStart w:id="16" w:name="OLE_LINK17"/>
      <w:r>
        <w:rPr>
          <w:rFonts w:hint="eastAsia" w:ascii="宋体" w:hAnsi="宋体" w:eastAsia="宋体" w:cs="宋体"/>
          <w:color w:val="000000"/>
          <w:sz w:val="22"/>
          <w:szCs w:val="22"/>
        </w:rPr>
        <w:t xml:space="preserve">1.提交投标文件截止时间：</w:t>
      </w:r>
      <w:r>
        <w:rPr>
          <w:rFonts w:hint="eastAsia" w:ascii="宋体" w:hAnsi="宋体" w:eastAsia="宋体" w:cs="宋体"/>
          <w:color w:val="000000"/>
          <w:sz w:val="22"/>
          <w:szCs w:val="22"/>
          <w:lang w:eastAsia="zh-CN"/>
        </w:rPr>
        <w:t xml:space="preserve">2026年6月26日 9:30</w:t>
      </w:r>
      <w:r>
        <w:rPr>
          <w:rFonts w:hint="eastAsia" w:ascii="宋体" w:hAnsi="宋体" w:eastAsia="宋体" w:cs="宋体"/>
          <w:color w:val="000000"/>
          <w:sz w:val="22"/>
          <w:szCs w:val="22"/>
        </w:rPr>
        <w:t xml:space="preserve">（北京时间）</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2.开标时间：</w:t>
      </w:r>
      <w:r>
        <w:rPr>
          <w:rFonts w:hint="eastAsia" w:ascii="宋体" w:hAnsi="宋体" w:eastAsia="宋体" w:cs="宋体"/>
          <w:color w:val="000000"/>
          <w:sz w:val="22"/>
          <w:szCs w:val="22"/>
          <w:lang w:eastAsia="zh-CN"/>
        </w:rPr>
        <w:t xml:space="preserve">2026年6月26日 9:30</w:t>
      </w:r>
      <w:r>
        <w:rPr>
          <w:rFonts w:hint="eastAsia" w:ascii="宋体" w:hAnsi="宋体" w:eastAsia="宋体" w:cs="宋体"/>
          <w:color w:val="000000"/>
          <w:sz w:val="22"/>
          <w:szCs w:val="22"/>
        </w:rPr>
        <w:t xml:space="preserve">（北京时间）</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3.地址：“苏采云”政府采购交易系统网上开标大厅。</w:t>
      </w:r>
      <w:r>
        <w:rPr>
          <w:rFonts w:hint="eastAsia" w:ascii="宋体" w:hAnsi="宋体" w:eastAsia="宋体" w:cs="宋体"/>
          <w:color w:val="000000"/>
          <w:sz w:val="22"/>
          <w:szCs w:val="22"/>
        </w:rPr>
      </w:r>
      <w:r/>
    </w:p>
    <w:p>
      <w:pPr>
        <w:pStyle w:val="1038"/>
        <w:spacing w:before="0" w:after="0"/>
        <w:rPr>
          <w:rFonts w:hint="eastAsia" w:ascii="宋体" w:hAnsi="宋体" w:eastAsia="宋体" w:cs="宋体"/>
          <w:b/>
          <w:bCs/>
          <w:color w:val="000000"/>
          <w:sz w:val="24"/>
          <w:szCs w:val="24"/>
        </w:rPr>
        <w:outlineLvl w:val="1"/>
      </w:pPr>
      <w:r/>
      <w:bookmarkStart w:id="17" w:name="_Toc19048"/>
      <w:r/>
      <w:bookmarkStart w:id="18" w:name="_Toc2211"/>
      <w:r>
        <w:rPr>
          <w:rFonts w:hint="eastAsia" w:ascii="宋体" w:hAnsi="宋体" w:eastAsia="宋体" w:cs="宋体"/>
          <w:b/>
          <w:bCs/>
          <w:color w:val="000000"/>
          <w:sz w:val="24"/>
          <w:szCs w:val="24"/>
        </w:rPr>
        <w:t xml:space="preserve">五、公告期限</w:t>
      </w:r>
      <w:bookmarkEnd w:id="17"/>
      <w:r/>
      <w:bookmarkEnd w:id="18"/>
      <w:r>
        <w:rPr>
          <w:rFonts w:hint="eastAsia" w:ascii="宋体" w:hAnsi="宋体" w:eastAsia="宋体" w:cs="宋体"/>
          <w:b/>
          <w:bCs/>
          <w:color w:val="000000"/>
          <w:sz w:val="24"/>
          <w:szCs w:val="24"/>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招标公告及招标文件公告期限为自本公告发布之日起5个工作日。</w:t>
      </w:r>
      <w:r>
        <w:rPr>
          <w:rFonts w:hint="eastAsia" w:ascii="宋体" w:hAnsi="宋体" w:eastAsia="宋体" w:cs="宋体"/>
          <w:color w:val="000000"/>
          <w:sz w:val="22"/>
          <w:szCs w:val="22"/>
        </w:rPr>
      </w:r>
      <w:r/>
    </w:p>
    <w:p>
      <w:pPr>
        <w:pStyle w:val="1038"/>
        <w:spacing w:before="0" w:after="0"/>
        <w:rPr>
          <w:rFonts w:hint="eastAsia" w:ascii="宋体" w:hAnsi="宋体" w:eastAsia="宋体" w:cs="宋体"/>
          <w:b/>
          <w:bCs/>
          <w:color w:val="000000"/>
          <w:sz w:val="24"/>
          <w:szCs w:val="24"/>
        </w:rPr>
        <w:outlineLvl w:val="1"/>
      </w:pPr>
      <w:r/>
      <w:bookmarkStart w:id="19" w:name="_Toc23871"/>
      <w:r/>
      <w:bookmarkStart w:id="20" w:name="_Toc8810"/>
      <w:r>
        <w:rPr>
          <w:rFonts w:hint="eastAsia" w:ascii="宋体" w:hAnsi="宋体" w:eastAsia="宋体" w:cs="宋体"/>
          <w:b/>
          <w:bCs/>
          <w:color w:val="000000"/>
          <w:sz w:val="24"/>
          <w:szCs w:val="24"/>
        </w:rPr>
        <w:t xml:space="preserve">六、其他补充事宜</w:t>
      </w:r>
      <w:bookmarkEnd w:id="19"/>
      <w:r/>
      <w:bookmarkEnd w:id="20"/>
      <w:r>
        <w:rPr>
          <w:rFonts w:hint="eastAsia" w:ascii="宋体" w:hAnsi="宋体" w:eastAsia="宋体" w:cs="宋体"/>
          <w:b/>
          <w:bCs/>
          <w:color w:val="000000"/>
          <w:sz w:val="24"/>
          <w:szCs w:val="24"/>
        </w:rPr>
      </w:r>
      <w:r/>
    </w:p>
    <w:p>
      <w:pPr>
        <w:pStyle w:val="1038"/>
        <w:ind w:firstLine="440"/>
        <w:jc w:val="left"/>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1.根据省财政厅《关</w:t>
      </w:r>
      <w:r>
        <w:rPr>
          <w:rFonts w:hint="eastAsia" w:ascii="宋体" w:hAnsi="宋体" w:eastAsia="宋体" w:cs="宋体"/>
          <w:color w:val="000000"/>
          <w:sz w:val="22"/>
          <w:szCs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2"/>
          <w:szCs w:val="22"/>
        </w:rPr>
      </w:r>
      <w:r/>
    </w:p>
    <w:p>
      <w:pPr>
        <w:pStyle w:val="1038"/>
        <w:ind w:firstLine="440"/>
        <w:jc w:val="left"/>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rPr>
      </w:r>
      <w:r/>
    </w:p>
    <w:p>
      <w:pPr>
        <w:pStyle w:val="1038"/>
        <w:ind w:firstLine="440"/>
        <w:jc w:val="left"/>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rPr>
      </w:r>
      <w:r/>
    </w:p>
    <w:p>
      <w:pPr>
        <w:pStyle w:val="1038"/>
        <w:ind w:firstLine="440"/>
        <w:jc w:val="left"/>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本次招标请按“包”下载招标文件，编制、密封、提交投标文件，并按“包”开标、评标。</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2"/>
          <w:szCs w:val="22"/>
        </w:rPr>
        <w:t xml:space="preserve">公告媒体：本招</w:t>
      </w:r>
      <w:bookmarkStart w:id="21" w:name="OLE_LINK13"/>
      <w:r>
        <w:rPr>
          <w:rFonts w:hint="eastAsia" w:ascii="宋体" w:hAnsi="宋体" w:eastAsia="宋体" w:cs="宋体"/>
          <w:color w:val="000000"/>
          <w:sz w:val="22"/>
          <w:szCs w:val="22"/>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4.投标保证金数额及缴纳办法：本次招标不收取投标保证金。</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lang w:eastAsia="zh-CN"/>
        </w:rPr>
      </w:pPr>
      <w:r/>
      <w:bookmarkEnd w:id="21"/>
      <w:r/>
      <w:bookmarkStart w:id="22" w:name="OLE_LINK21"/>
      <w:r>
        <w:rPr>
          <w:rFonts w:hint="eastAsia" w:ascii="宋体" w:hAnsi="宋体" w:eastAsia="宋体" w:cs="宋体"/>
          <w:color w:val="000000"/>
          <w:sz w:val="22"/>
          <w:szCs w:val="22"/>
        </w:rPr>
        <w:t xml:space="preserve">5.本项目代理机构内部编号：</w:t>
      </w:r>
      <w:r>
        <w:rPr>
          <w:rFonts w:hint="eastAsia" w:ascii="宋体" w:hAnsi="宋体" w:eastAsia="宋体" w:cs="宋体"/>
          <w:color w:val="000000"/>
          <w:sz w:val="22"/>
          <w:szCs w:val="22"/>
          <w:lang w:eastAsia="zh-CN"/>
        </w:rPr>
        <w:t xml:space="preserve">0675-266JOC004354</w:t>
      </w:r>
      <w:r>
        <w:rPr>
          <w:rFonts w:hint="eastAsia" w:ascii="宋体" w:hAnsi="宋体" w:eastAsia="宋体" w:cs="宋体"/>
          <w:color w:val="000000"/>
          <w:sz w:val="22"/>
          <w:szCs w:val="22"/>
          <w:lang w:eastAsia="zh-CN"/>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bookmarkEnd w:id="16"/>
      <w:r/>
      <w:bookmarkEnd w:id="22"/>
      <w:r>
        <w:rPr>
          <w:rFonts w:hint="eastAsia" w:ascii="宋体" w:hAnsi="宋体" w:eastAsia="宋体" w:cs="宋体"/>
          <w:color w:val="000000"/>
          <w:sz w:val="22"/>
          <w:szCs w:val="22"/>
        </w:rPr>
        <w:t xml:space="preserve">获取招标文件咨询联系方式：</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联系人：吴昊/韩心雨</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电话：025-84795433/5991</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邮箱：wh@jocite.com</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地址：南京市建邺区云龙山路56号大唐科技大厦A座高区15楼</w:t>
      </w:r>
      <w:r>
        <w:rPr>
          <w:rFonts w:hint="eastAsia" w:ascii="宋体" w:hAnsi="宋体" w:eastAsia="宋体" w:cs="宋体"/>
          <w:color w:val="000000"/>
          <w:sz w:val="22"/>
          <w:szCs w:val="22"/>
        </w:rPr>
      </w:r>
      <w:r/>
    </w:p>
    <w:p>
      <w:pPr>
        <w:pStyle w:val="1038"/>
        <w:spacing w:before="0" w:after="0"/>
        <w:rPr>
          <w:rFonts w:hint="eastAsia" w:ascii="宋体" w:hAnsi="宋体" w:eastAsia="宋体" w:cs="宋体"/>
          <w:b/>
          <w:bCs/>
          <w:color w:val="000000"/>
          <w:sz w:val="24"/>
          <w:szCs w:val="24"/>
        </w:rPr>
        <w:outlineLvl w:val="1"/>
      </w:pPr>
      <w:r/>
      <w:bookmarkStart w:id="23" w:name="_Toc21376"/>
      <w:r/>
      <w:bookmarkStart w:id="24" w:name="_Toc3037"/>
      <w:r>
        <w:rPr>
          <w:rFonts w:hint="eastAsia" w:ascii="宋体" w:hAnsi="宋体" w:eastAsia="宋体" w:cs="宋体"/>
          <w:b/>
          <w:bCs/>
          <w:color w:val="000000"/>
          <w:sz w:val="24"/>
          <w:szCs w:val="24"/>
        </w:rPr>
        <w:t xml:space="preserve">七、对本次招标提出询问，请按以下方式联系</w:t>
      </w:r>
      <w:bookmarkEnd w:id="23"/>
      <w:r/>
      <w:bookmarkEnd w:id="24"/>
      <w:r>
        <w:rPr>
          <w:rFonts w:hint="eastAsia" w:ascii="宋体" w:hAnsi="宋体" w:eastAsia="宋体" w:cs="宋体"/>
          <w:b/>
          <w:bCs/>
          <w:color w:val="000000"/>
          <w:sz w:val="24"/>
          <w:szCs w:val="24"/>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1.采购人信息</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名称：江苏开放大学</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地址：南京市江东北路399号</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联系人：吕老师 </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联系电话：</w:t>
      </w:r>
      <w:r>
        <w:rPr>
          <w:rFonts w:ascii="宋体" w:hAnsi="宋体" w:eastAsia="宋体" w:cs="宋体"/>
          <w:color w:val="000000"/>
          <w:sz w:val="22"/>
          <w:szCs w:val="22"/>
        </w:rPr>
        <w:t xml:space="preserve">025-86265605</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2.采购代理机构信息</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名称：江苏海外集团国际工程咨询有限公司</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地址：南京市建邺区云龙山路56号大唐科技大厦A座高区14-15楼</w:t>
      </w:r>
      <w:r>
        <w:rPr>
          <w:rFonts w:hint="eastAsia" w:ascii="宋体" w:hAnsi="宋体" w:eastAsia="宋体" w:cs="宋体"/>
          <w:color w:val="000000"/>
          <w:sz w:val="22"/>
          <w:szCs w:val="22"/>
        </w:rPr>
      </w:r>
      <w:r/>
    </w:p>
    <w:p>
      <w:pPr>
        <w:pStyle w:val="1038"/>
        <w:ind w:firstLine="440"/>
        <w:jc w:val="left"/>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联系人：吴昊、孙夏卉、方东、郭秀华</w:t>
      </w:r>
      <w:r>
        <w:rPr>
          <w:rFonts w:hint="eastAsia" w:ascii="宋体" w:hAnsi="宋体" w:eastAsia="宋体" w:cs="宋体"/>
          <w:color w:val="000000"/>
          <w:sz w:val="22"/>
          <w:szCs w:val="22"/>
        </w:rPr>
      </w:r>
      <w:r/>
    </w:p>
    <w:p>
      <w:pPr>
        <w:pStyle w:val="1038"/>
        <w:ind w:firstLine="440"/>
        <w:jc w:val="left"/>
        <w:spacing w:before="0" w:after="0"/>
        <w:rPr>
          <w:rFonts w:hint="eastAsia" w:ascii="宋体" w:hAnsi="宋体" w:eastAsia="宋体" w:cs="宋体"/>
          <w:color w:val="00000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rPr>
        <w:t xml:space="preserve">联系电话：025-84795433/5991</w:t>
      </w:r>
      <w:bookmarkStart w:id="25" w:name="_Toc17198"/>
      <w:r/>
      <w:bookmarkStart w:id="26" w:name="_Toc24439"/>
      <w:r>
        <w:rPr>
          <w:rFonts w:hint="eastAsia" w:ascii="宋体" w:hAnsi="宋体" w:eastAsia="宋体" w:cs="宋体"/>
          <w:color w:val="000000"/>
        </w:rPr>
      </w:r>
      <w:r/>
    </w:p>
    <w:p>
      <w:pPr>
        <w:pStyle w:val="1038"/>
        <w:ind w:firstLine="643"/>
        <w:jc w:val="center"/>
        <w:spacing w:before="0" w:after="0"/>
        <w:rPr>
          <w:rFonts w:hint="eastAsia" w:ascii="宋体" w:hAnsi="宋体" w:eastAsia="宋体" w:cs="宋体"/>
          <w:color w:val="000000"/>
        </w:rPr>
      </w:pPr>
      <w:r/>
      <w:bookmarkStart w:id="27" w:name="_Toc12570"/>
      <w:r/>
      <w:bookmarkStart w:id="28" w:name="_Toc18462"/>
      <w:r>
        <w:rPr>
          <w:rStyle w:val="1051"/>
          <w:rFonts w:hint="eastAsia" w:ascii="宋体" w:hAnsi="宋体" w:eastAsia="宋体" w:cs="宋体"/>
          <w:color w:val="000000"/>
        </w:rPr>
        <w:t xml:space="preserve">第二章 投标人须知</w:t>
      </w:r>
      <w:bookmarkEnd w:id="25"/>
      <w:r/>
      <w:bookmarkEnd w:id="26"/>
      <w:r/>
      <w:bookmarkEnd w:id="27"/>
      <w:r/>
      <w:bookmarkEnd w:id="28"/>
      <w:r>
        <w:rPr>
          <w:rFonts w:hint="eastAsia" w:ascii="宋体" w:hAnsi="宋体" w:eastAsia="宋体" w:cs="宋体"/>
          <w:color w:val="000000"/>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江苏海外集团国际工程咨询有限公司（以下简称“采购代理机构”）受江苏开放大学（采购单位名称，以下简称“采购人”）委托，就江苏开放大学制造业智改数转技术产业学院实验室建设采用公开招标方式采购，兹邀请符合资格条件的投标人提交投标文件和相关材料。</w:t>
      </w:r>
      <w:r>
        <w:rPr>
          <w:rFonts w:hint="eastAsia" w:ascii="宋体" w:hAnsi="宋体" w:eastAsia="宋体" w:cs="宋体"/>
          <w:color w:val="000000"/>
          <w:sz w:val="22"/>
          <w:szCs w:val="22"/>
        </w:rPr>
      </w:r>
      <w:r/>
    </w:p>
    <w:p>
      <w:pPr>
        <w:pStyle w:val="1040"/>
        <w:jc w:val="center"/>
        <w:rPr>
          <w:rFonts w:hint="eastAsia" w:eastAsia="宋体" w:cs="宋体"/>
          <w:color w:val="000000"/>
          <w:sz w:val="24"/>
        </w:rPr>
      </w:pPr>
      <w:r/>
      <w:bookmarkStart w:id="29" w:name="_Toc30996"/>
      <w:r/>
      <w:bookmarkStart w:id="30" w:name="_Toc19154"/>
      <w:r>
        <w:rPr>
          <w:rFonts w:hint="eastAsia" w:eastAsia="宋体" w:cs="宋体"/>
          <w:color w:val="000000"/>
          <w:sz w:val="24"/>
        </w:rPr>
        <w:t xml:space="preserve">投标人须知前附表：</w:t>
      </w:r>
      <w:bookmarkEnd w:id="29"/>
      <w:r/>
      <w:bookmarkEnd w:id="30"/>
      <w:r>
        <w:rPr>
          <w:rFonts w:hint="eastAsia"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tc>
          <w:tcPr>
            <w:tcW w:w="809"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rPr>
            </w:pPr>
            <w:r>
              <w:rPr>
                <w:rFonts w:hint="eastAsia" w:ascii="宋体" w:hAnsi="宋体" w:eastAsia="宋体" w:cs="宋体"/>
                <w:b/>
                <w:bCs/>
                <w:color w:val="000000"/>
                <w:sz w:val="22"/>
              </w:rPr>
              <w:t xml:space="preserve">序号</w:t>
            </w:r>
            <w:r>
              <w:rPr>
                <w:rFonts w:hint="eastAsia" w:ascii="宋体" w:hAnsi="宋体" w:eastAsia="宋体" w:cs="宋体"/>
                <w:b/>
                <w:bCs/>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rPr>
            </w:pPr>
            <w:r>
              <w:rPr>
                <w:rFonts w:hint="eastAsia" w:ascii="宋体" w:hAnsi="宋体" w:eastAsia="宋体" w:cs="宋体"/>
                <w:b/>
                <w:bCs/>
                <w:color w:val="000000"/>
                <w:sz w:val="22"/>
              </w:rPr>
              <w:t xml:space="preserve">项目</w:t>
            </w:r>
            <w:r>
              <w:rPr>
                <w:rFonts w:hint="eastAsia" w:ascii="宋体" w:hAnsi="宋体" w:eastAsia="宋体" w:cs="宋体"/>
                <w:b/>
                <w:bCs/>
                <w:color w:val="000000"/>
                <w:sz w:val="22"/>
              </w:rPr>
            </w:r>
            <w:r/>
          </w:p>
        </w:tc>
        <w:tc>
          <w:tcPr>
            <w:tcW w:w="6361" w:type="dxa"/>
            <w:vAlign w:val="center"/>
            <w:textDirection w:val="lrTb"/>
            <w:noWrap w:val="false"/>
          </w:tcPr>
          <w:p>
            <w:pPr>
              <w:pStyle w:val="1038"/>
              <w:jc w:val="center"/>
              <w:spacing w:before="0" w:after="0" w:line="300" w:lineRule="auto"/>
              <w:rPr>
                <w:rFonts w:hint="eastAsia" w:ascii="宋体" w:hAnsi="宋体" w:eastAsia="宋体" w:cs="宋体"/>
                <w:b/>
                <w:bCs/>
                <w:color w:val="000000"/>
                <w:sz w:val="22"/>
              </w:rPr>
            </w:pPr>
            <w:r>
              <w:rPr>
                <w:rFonts w:hint="eastAsia" w:ascii="宋体" w:hAnsi="宋体" w:eastAsia="宋体" w:cs="宋体"/>
                <w:b/>
                <w:bCs/>
                <w:color w:val="000000"/>
                <w:sz w:val="22"/>
              </w:rPr>
              <w:t xml:space="preserve">具体内容</w:t>
            </w:r>
            <w:r>
              <w:rPr>
                <w:rFonts w:hint="eastAsia" w:ascii="宋体" w:hAnsi="宋体" w:eastAsia="宋体" w:cs="宋体"/>
                <w:b/>
                <w:bCs/>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项目名称</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江苏开放大学制造业智改数转技术产业学院实验室建设</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2</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采购方式</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公开招标</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3</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项目编号</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lang w:eastAsia="zh-CN"/>
              </w:rPr>
            </w:pPr>
            <w:r>
              <w:rPr>
                <w:rFonts w:hint="eastAsia" w:ascii="宋体" w:hAnsi="宋体" w:eastAsia="宋体" w:cs="宋体"/>
                <w:color w:val="000000"/>
                <w:sz w:val="22"/>
              </w:rPr>
              <w:t xml:space="preserve">项目编号：</w:t>
            </w:r>
            <w:r>
              <w:rPr>
                <w:rFonts w:hint="eastAsia" w:ascii="宋体" w:hAnsi="宋体" w:eastAsia="宋体" w:cs="宋体"/>
                <w:color w:val="000000"/>
                <w:sz w:val="22"/>
                <w:lang w:eastAsia="zh-CN"/>
              </w:rPr>
              <w:t xml:space="preserve">JSZC-320000-HWZX-G2026-0280</w:t>
            </w:r>
            <w:r>
              <w:rPr>
                <w:rFonts w:hint="eastAsia" w:ascii="宋体" w:hAnsi="宋体" w:eastAsia="宋体" w:cs="宋体"/>
                <w:color w:val="000000"/>
                <w:sz w:val="22"/>
                <w:lang w:eastAsia="zh-CN"/>
              </w:rPr>
            </w:r>
            <w:r/>
          </w:p>
          <w:p>
            <w:pPr>
              <w:pStyle w:val="1038"/>
              <w:spacing w:before="0" w:after="0" w:line="300" w:lineRule="auto"/>
              <w:rPr>
                <w:rFonts w:hint="eastAsia" w:ascii="宋体" w:hAnsi="宋体" w:eastAsia="宋体" w:cs="宋体"/>
                <w:color w:val="000000"/>
                <w:sz w:val="22"/>
                <w:lang w:eastAsia="zh-CN"/>
              </w:rPr>
            </w:pPr>
            <w:r>
              <w:rPr>
                <w:rFonts w:hint="eastAsia" w:ascii="宋体" w:hAnsi="宋体" w:eastAsia="宋体" w:cs="宋体"/>
                <w:color w:val="000000"/>
                <w:sz w:val="22"/>
              </w:rPr>
              <w:t xml:space="preserve">代理机构内部编号：</w:t>
            </w:r>
            <w:r>
              <w:rPr>
                <w:rFonts w:hint="eastAsia" w:ascii="宋体" w:hAnsi="宋体" w:eastAsia="宋体" w:cs="宋体"/>
                <w:color w:val="000000"/>
                <w:sz w:val="22"/>
                <w:lang w:eastAsia="zh-CN"/>
              </w:rPr>
              <w:t xml:space="preserve">0675-266JOC004354</w:t>
            </w:r>
            <w:r>
              <w:rPr>
                <w:rFonts w:hint="eastAsia" w:ascii="宋体" w:hAnsi="宋体" w:eastAsia="宋体" w:cs="宋体"/>
                <w:color w:val="000000"/>
                <w:sz w:val="22"/>
                <w:lang w:eastAsia="zh-CN"/>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4</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分包</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ascii="宋体" w:hAnsi="宋体" w:eastAsia="宋体" w:cs="宋体"/>
                <w:color w:val="000000"/>
                <w:sz w:val="22"/>
              </w:rPr>
            </w:pPr>
            <w:r>
              <w:rPr>
                <w:rFonts w:hint="eastAsia" w:ascii="宋体" w:hAnsi="宋体" w:eastAsia="宋体" w:cs="宋体"/>
                <w:color w:val="000000"/>
                <w:sz w:val="22"/>
              </w:rPr>
              <w:t xml:space="preserve">1</w:t>
            </w:r>
            <w:r>
              <w:rPr>
                <w:rFonts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5</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采购代理</w:t>
            </w:r>
            <w:r>
              <w:rPr>
                <w:rFonts w:hint="eastAsia" w:ascii="宋体" w:hAnsi="宋体" w:eastAsia="宋体" w:cs="宋体"/>
                <w:color w:val="000000"/>
                <w:sz w:val="22"/>
              </w:rPr>
            </w:r>
            <w:r/>
          </w:p>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机构</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江苏海外集团国际工程咨询有限公司</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项目负责人：方东</w:t>
            </w:r>
            <w:r>
              <w:rPr>
                <w:rFonts w:hint="eastAsia" w:ascii="宋体" w:hAnsi="宋体" w:eastAsia="宋体" w:cs="宋体"/>
                <w:color w:val="000000"/>
                <w:sz w:val="22"/>
              </w:rPr>
            </w:r>
            <w:r/>
          </w:p>
          <w:p>
            <w:pPr>
              <w:pStyle w:val="1038"/>
              <w:spacing w:before="0" w:after="0" w:line="300" w:lineRule="auto"/>
              <w:rPr>
                <w:rFonts w:ascii="宋体" w:hAnsi="宋体" w:eastAsia="宋体" w:cs="宋体"/>
                <w:color w:val="000000"/>
                <w:sz w:val="22"/>
              </w:rPr>
            </w:pPr>
            <w:r>
              <w:rPr>
                <w:rFonts w:hint="eastAsia" w:ascii="宋体" w:hAnsi="宋体" w:eastAsia="宋体" w:cs="宋体"/>
                <w:color w:val="000000"/>
                <w:sz w:val="22"/>
              </w:rPr>
              <w:t xml:space="preserve">电话：025-84795433/15195998576</w:t>
            </w:r>
            <w:r>
              <w:rPr>
                <w:rFonts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6</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采购人</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江苏开放大学</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联系人：吕老师       </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电话：</w:t>
            </w:r>
            <w:r>
              <w:rPr>
                <w:rFonts w:ascii="宋体" w:hAnsi="宋体" w:eastAsia="宋体" w:cs="宋体"/>
                <w:color w:val="000000"/>
                <w:sz w:val="22"/>
              </w:rPr>
              <w:t xml:space="preserve">025-86265605</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7</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预算金额</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人民币1350万元</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8</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最高限价</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人民币1350万元，超出最高限价的投标文件作无效响应处理。具体报价格式参照招标文件附件中“报价一览表格式”。</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9</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报价方式</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10</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投标保证金</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无</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11</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招标文件获取</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240" w:lineRule="auto"/>
              <w:tabs>
                <w:tab w:val="left" w:pos="5250" w:leader="none"/>
              </w:tabs>
              <w:rPr>
                <w:rFonts w:ascii="宋体" w:hAnsi="宋体" w:eastAsia="宋体" w:cs="宋体"/>
                <w:color w:val="000000"/>
                <w:sz w:val="22"/>
              </w:rPr>
            </w:pPr>
            <w:r>
              <w:rPr>
                <w:rFonts w:hint="eastAsia" w:ascii="宋体" w:hAnsi="宋体" w:eastAsia="宋体" w:cs="宋体"/>
                <w:color w:val="000000"/>
                <w:sz w:val="22"/>
              </w:rPr>
              <w:t xml:space="preserve">“苏采云”政府采购交易系统。</w:t>
            </w:r>
            <w:r>
              <w:rPr>
                <w:rFonts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12</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答疑</w:t>
            </w:r>
            <w:r>
              <w:rPr>
                <w:rFonts w:hint="eastAsia" w:ascii="宋体" w:hAnsi="宋体" w:eastAsia="宋体" w:cs="宋体"/>
                <w:color w:val="000000"/>
                <w:sz w:val="22"/>
              </w:rPr>
            </w:r>
            <w:r/>
          </w:p>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（勘查现场）</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b/>
                <w:bCs/>
                <w:color w:val="000000"/>
                <w:sz w:val="22"/>
              </w:rPr>
            </w:pPr>
            <w:r>
              <w:rPr>
                <w:rFonts w:hint="eastAsia" w:ascii="宋体" w:hAnsi="宋体" w:eastAsia="宋体" w:cs="宋体"/>
                <w:color w:val="000000"/>
                <w:sz w:val="22"/>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13</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投标文件接收截止时间及地点</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截止时间（同开标时间）：详见招标公告</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接收地点：“苏采云”政府采购交易系统网上开标大厅</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14</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投标文件</w:t>
            </w:r>
            <w:r>
              <w:rPr>
                <w:rFonts w:hint="eastAsia" w:ascii="宋体" w:hAnsi="宋体" w:eastAsia="宋体" w:cs="宋体"/>
                <w:color w:val="000000"/>
                <w:sz w:val="22"/>
              </w:rPr>
            </w:r>
            <w:r/>
          </w:p>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形式</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15</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评标时间</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240" w:lineRule="auto"/>
              <w:rPr>
                <w:rFonts w:hint="eastAsia" w:ascii="宋体" w:hAnsi="宋体" w:eastAsia="宋体" w:cs="宋体"/>
                <w:color w:val="000000"/>
                <w:sz w:val="22"/>
              </w:rPr>
            </w:pPr>
            <w:r>
              <w:rPr>
                <w:rFonts w:hint="eastAsia" w:ascii="宋体" w:hAnsi="宋体" w:eastAsia="宋体" w:cs="宋体"/>
                <w:color w:val="000000"/>
                <w:sz w:val="22"/>
                <w:lang w:eastAsia="zh-CN"/>
              </w:rPr>
              <w:t xml:space="preserve">2026年6月26日 9:30</w:t>
            </w:r>
            <w:r>
              <w:rPr>
                <w:rFonts w:hint="eastAsia" w:ascii="宋体" w:hAnsi="宋体" w:eastAsia="宋体" w:cs="宋体"/>
                <w:color w:val="000000"/>
                <w:sz w:val="22"/>
              </w:rPr>
              <w:t xml:space="preserve">后（北京时间）</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16</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投标文件</w:t>
            </w:r>
            <w:r>
              <w:rPr>
                <w:rFonts w:hint="eastAsia" w:ascii="宋体" w:hAnsi="宋体" w:eastAsia="宋体" w:cs="宋体"/>
                <w:color w:val="000000"/>
                <w:sz w:val="22"/>
              </w:rPr>
            </w:r>
            <w:r/>
          </w:p>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完整性</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17</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投标文件有效期</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投标人提交投标文件截止之日起90天</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18</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关于联合体投标</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本项目不接受联合体投标</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19</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中标候选人及中标人数量</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中标候选人：3名/包；中标人：1名/包</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20</w:t>
            </w:r>
            <w:r>
              <w:rPr>
                <w:rFonts w:hint="eastAsia"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采购代理</w:t>
            </w:r>
            <w:r>
              <w:rPr>
                <w:rFonts w:hint="eastAsia" w:ascii="宋体" w:hAnsi="宋体" w:eastAsia="宋体" w:cs="宋体"/>
                <w:color w:val="000000"/>
                <w:sz w:val="22"/>
              </w:rPr>
            </w:r>
            <w:r/>
          </w:p>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服务费</w:t>
            </w:r>
            <w:r>
              <w:rPr>
                <w:rFonts w:hint="eastAsia" w:ascii="宋体" w:hAnsi="宋体" w:eastAsia="宋体" w:cs="宋体"/>
                <w:color w:val="000000"/>
                <w:sz w:val="22"/>
              </w:rPr>
            </w:r>
            <w:r/>
          </w:p>
        </w:tc>
        <w:tc>
          <w:tcPr>
            <w:tcW w:w="6361" w:type="dxa"/>
            <w:vAlign w:val="center"/>
            <w:textDirection w:val="lrTb"/>
            <w:noWrap w:val="false"/>
          </w:tcPr>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一、服务费约定</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本项目招标代理服务费由中标供应商承担，由中标供应商足额支付至本项目招标代理机构。</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二、计费方式及标准</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代理服务费采用差额定率累进计费方式，参照《国家计委关于印发〈招标代理服务收费管理暂行办法〉的通知》（计价格〔2002〕1980号）规定收费标准的45%计取。</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无实际结算数量、按总价包干的采购项目，代理服务费按项目预算金额作为计费基数计算。</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供应商投标总报价须包含本次招标代理服务费，采购人不另行单独支付，供应商须自行测算并计入投标报价综合成本。</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三、缴纳时间与方式</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缴纳时间：中标供应商在领取中标通知书，一次性足额缴纳全部代理服务费。</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缴纳方式：可采用银行电汇、对公转账方式缴纳（以代理机构指定账户/收款要求为准）。</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四、依据及说明</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依据：《政府采购代理机构管理暂行办法》(财库〔2018〕2号) 第十五条规定；</w:t>
            </w:r>
            <w:r>
              <w:rPr>
                <w:rFonts w:hint="eastAsia" w:ascii="宋体" w:hAnsi="宋体" w:eastAsia="宋体" w:cs="宋体"/>
                <w:color w:val="000000"/>
                <w:sz w:val="22"/>
              </w:rPr>
            </w:r>
            <w:r/>
          </w:p>
          <w:p>
            <w:pPr>
              <w:pStyle w:val="1038"/>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原因：提高采购效率、简化资金支付流程、不增加财政预算负担。</w:t>
            </w:r>
            <w:r>
              <w:rPr>
                <w:rFonts w:hint="eastAsia" w:ascii="宋体" w:hAnsi="宋体" w:eastAsia="宋体" w:cs="宋体"/>
                <w:color w:val="000000"/>
                <w:sz w:val="22"/>
              </w:rPr>
            </w:r>
            <w:r/>
          </w:p>
        </w:tc>
      </w:tr>
      <w:tr>
        <w:trPr/>
        <w:tc>
          <w:tcPr>
            <w:tcW w:w="809" w:type="dxa"/>
            <w:vAlign w:val="center"/>
            <w:textDirection w:val="lrTb"/>
            <w:noWrap w:val="false"/>
          </w:tcPr>
          <w:p>
            <w:pPr>
              <w:pStyle w:val="1038"/>
              <w:jc w:val="center"/>
              <w:spacing w:before="0" w:after="0" w:line="300" w:lineRule="auto"/>
              <w:rPr>
                <w:rFonts w:ascii="宋体" w:hAnsi="宋体" w:eastAsia="宋体" w:cs="宋体"/>
                <w:color w:val="000000"/>
                <w:sz w:val="22"/>
              </w:rPr>
            </w:pPr>
            <w:r>
              <w:rPr>
                <w:rFonts w:hint="eastAsia" w:ascii="宋体" w:hAnsi="宋体" w:eastAsia="宋体" w:cs="宋体"/>
                <w:color w:val="000000"/>
                <w:sz w:val="22"/>
              </w:rPr>
              <w:t xml:space="preserve">21</w:t>
            </w:r>
            <w:r>
              <w:rPr>
                <w:rFonts w:ascii="宋体" w:hAnsi="宋体" w:eastAsia="宋体" w:cs="宋体"/>
                <w:color w:val="000000"/>
                <w:sz w:val="22"/>
              </w:rPr>
            </w:r>
            <w:r/>
          </w:p>
        </w:tc>
        <w:tc>
          <w:tcPr>
            <w:tcW w:w="2285" w:type="dxa"/>
            <w:vAlign w:val="center"/>
            <w:textDirection w:val="lrTb"/>
            <w:noWrap w:val="false"/>
          </w:tcPr>
          <w:p>
            <w:pPr>
              <w:pStyle w:val="1038"/>
              <w:jc w:val="center"/>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其他要求</w:t>
            </w:r>
            <w:r>
              <w:rPr>
                <w:rFonts w:hint="eastAsia" w:ascii="宋体" w:hAnsi="宋体" w:eastAsia="宋体" w:cs="宋体"/>
                <w:color w:val="000000"/>
                <w:sz w:val="22"/>
              </w:rPr>
            </w:r>
            <w:r/>
          </w:p>
        </w:tc>
        <w:tc>
          <w:tcPr>
            <w:tcW w:w="6361" w:type="dxa"/>
            <w:vAlign w:val="center"/>
            <w:textDirection w:val="lrTb"/>
            <w:noWrap w:val="false"/>
          </w:tcPr>
          <w:p>
            <w:pPr>
              <w:pStyle w:val="1038"/>
              <w:jc w:val="left"/>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中标供应商须在中标公示期结束后将与“苏采云”政府采购交易系统中一致的纸质版投标文件（文件份数：1份）邮寄至下列地址：南京市建邺区云龙山路56号大唐科技大厦A座高区15楼，方东，15195998576。</w:t>
            </w:r>
            <w:r>
              <w:rPr>
                <w:rFonts w:hint="eastAsia" w:ascii="宋体" w:hAnsi="宋体" w:eastAsia="宋体" w:cs="宋体"/>
                <w:color w:val="000000"/>
                <w:sz w:val="22"/>
              </w:rPr>
            </w:r>
            <w:r/>
          </w:p>
          <w:p>
            <w:pPr>
              <w:pStyle w:val="1038"/>
              <w:jc w:val="left"/>
              <w:spacing w:before="0" w:after="0" w:line="300" w:lineRule="auto"/>
              <w:rPr>
                <w:rFonts w:hint="eastAsia" w:ascii="宋体" w:hAnsi="宋体" w:eastAsia="宋体" w:cs="宋体"/>
                <w:color w:val="000000"/>
                <w:sz w:val="22"/>
              </w:rPr>
            </w:pPr>
            <w:r>
              <w:rPr>
                <w:rFonts w:hint="eastAsia" w:ascii="宋体" w:hAnsi="宋体" w:eastAsia="宋体" w:cs="宋体"/>
                <w:color w:val="000000"/>
                <w:sz w:val="22"/>
              </w:rPr>
              <w:t xml:space="preserve">请投标人务必认真阅读本招标文件，严格遵照上述要求应标。</w:t>
            </w:r>
            <w:r>
              <w:rPr>
                <w:rFonts w:hint="eastAsia" w:ascii="宋体" w:hAnsi="宋体" w:eastAsia="宋体" w:cs="宋体"/>
                <w:color w:val="000000"/>
                <w:sz w:val="22"/>
              </w:rPr>
            </w:r>
            <w:r/>
          </w:p>
        </w:tc>
      </w:tr>
    </w:tbl>
    <w:p>
      <w:pPr>
        <w:pStyle w:val="1038"/>
        <w:numPr>
          <w:ilvl w:val="0"/>
          <w:numId w:val="5"/>
        </w:numPr>
        <w:rPr>
          <w:rFonts w:hint="eastAsia" w:ascii="宋体" w:hAnsi="宋体" w:eastAsia="宋体" w:cs="宋体"/>
          <w:b/>
          <w:bCs/>
          <w:color w:val="000000"/>
          <w:szCs w:val="21"/>
        </w:rPr>
        <w:outlineLvl w:val="1"/>
      </w:pPr>
      <w:r/>
      <w:bookmarkStart w:id="31" w:name="_Toc27197"/>
      <w:r>
        <w:rPr>
          <w:rFonts w:hint="eastAsia" w:ascii="宋体" w:hAnsi="宋体" w:cs="宋体"/>
          <w:color w:val="000000"/>
        </w:rPr>
        <w:br w:type="page" w:clear="all"/>
      </w:r>
      <w:bookmarkEnd w:id="31"/>
      <w:r/>
      <w:bookmarkStart w:id="32" w:name="_Toc5839"/>
      <w:r/>
      <w:bookmarkStart w:id="33" w:name="_Toc28411"/>
      <w:r/>
      <w:bookmarkStart w:id="34" w:name="_Toc20838"/>
      <w:r/>
      <w:bookmarkStart w:id="35" w:name="_Toc15093"/>
      <w:r/>
      <w:bookmarkStart w:id="36" w:name="_Toc17556"/>
      <w:r/>
      <w:bookmarkStart w:id="37" w:name="_Toc209510674"/>
      <w:r/>
      <w:bookmarkStart w:id="38" w:name="_Toc209510615"/>
      <w:r/>
      <w:bookmarkStart w:id="39" w:name="_Toc21658"/>
      <w:r/>
      <w:bookmarkStart w:id="40" w:name="_Toc1344"/>
      <w:r>
        <w:rPr>
          <w:rFonts w:hint="eastAsia" w:ascii="宋体" w:hAnsi="宋体" w:eastAsia="宋体" w:cs="宋体"/>
          <w:b/>
          <w:bCs/>
          <w:color w:val="000000"/>
          <w:szCs w:val="21"/>
          <w:lang w:val="zh-CN"/>
        </w:rPr>
        <w:t xml:space="preserve">总则</w:t>
      </w:r>
      <w:bookmarkEnd w:id="32"/>
      <w:r/>
      <w:bookmarkEnd w:id="33"/>
      <w:r/>
      <w:bookmarkEnd w:id="34"/>
      <w:r/>
      <w:bookmarkEnd w:id="35"/>
      <w:r/>
      <w:bookmarkEnd w:id="36"/>
      <w:r/>
      <w:bookmarkEnd w:id="37"/>
      <w:r/>
      <w:bookmarkEnd w:id="38"/>
      <w:r>
        <w:rPr>
          <w:rFonts w:hint="eastAsia" w:ascii="宋体" w:hAnsi="宋体" w:eastAsia="宋体" w:cs="宋体"/>
          <w:b/>
          <w:bCs/>
          <w:color w:val="000000"/>
          <w:szCs w:val="21"/>
        </w:rPr>
      </w:r>
      <w:r/>
    </w:p>
    <w:p>
      <w:pPr>
        <w:pStyle w:val="1038"/>
        <w:numPr>
          <w:ilvl w:val="0"/>
          <w:numId w:val="6"/>
        </w:numPr>
        <w:ind w:firstLine="422"/>
        <w:rPr>
          <w:rFonts w:hint="eastAsia" w:ascii="宋体" w:hAnsi="宋体" w:eastAsia="宋体" w:cs="宋体"/>
          <w:b/>
          <w:bCs/>
          <w:color w:val="000000"/>
          <w:szCs w:val="21"/>
        </w:rPr>
        <w:outlineLvl w:val="2"/>
      </w:pPr>
      <w:r/>
      <w:bookmarkStart w:id="41" w:name="_Toc209510675"/>
      <w:r/>
      <w:bookmarkStart w:id="42" w:name="_Toc1820"/>
      <w:r/>
      <w:bookmarkStart w:id="43" w:name="_Toc13172"/>
      <w:r>
        <w:rPr>
          <w:rFonts w:hint="eastAsia" w:ascii="宋体" w:hAnsi="宋体" w:eastAsia="宋体" w:cs="宋体"/>
          <w:b/>
          <w:bCs/>
          <w:color w:val="000000"/>
          <w:szCs w:val="21"/>
        </w:rPr>
        <w:t xml:space="preserve">适用法律</w:t>
      </w:r>
      <w:bookmarkEnd w:id="41"/>
      <w:r/>
      <w:bookmarkEnd w:id="42"/>
      <w:r/>
      <w:bookmarkEnd w:id="43"/>
      <w:r>
        <w:rPr>
          <w:rFonts w:hint="eastAsia" w:ascii="宋体" w:hAnsi="宋体" w:eastAsia="宋体" w:cs="宋体"/>
          <w:b/>
          <w:bCs/>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rPr>
      </w:r>
      <w:r/>
    </w:p>
    <w:p>
      <w:pPr>
        <w:pStyle w:val="1038"/>
        <w:numPr>
          <w:ilvl w:val="0"/>
          <w:numId w:val="6"/>
        </w:numPr>
        <w:ind w:firstLine="422"/>
        <w:rPr>
          <w:rFonts w:hint="eastAsia" w:ascii="宋体" w:hAnsi="宋体" w:eastAsia="宋体" w:cs="宋体"/>
          <w:b/>
          <w:bCs/>
          <w:color w:val="000000"/>
          <w:szCs w:val="21"/>
        </w:rPr>
        <w:outlineLvl w:val="2"/>
      </w:pPr>
      <w:r/>
      <w:bookmarkStart w:id="44" w:name="_Toc6747"/>
      <w:r/>
      <w:bookmarkStart w:id="45" w:name="_Toc6719"/>
      <w:r/>
      <w:bookmarkStart w:id="46" w:name="_Toc209510676"/>
      <w:r>
        <w:rPr>
          <w:rFonts w:hint="eastAsia" w:ascii="宋体" w:hAnsi="宋体" w:eastAsia="宋体" w:cs="宋体"/>
          <w:b/>
          <w:bCs/>
          <w:color w:val="000000"/>
          <w:szCs w:val="21"/>
        </w:rPr>
        <w:t xml:space="preserve">定义</w:t>
      </w:r>
      <w:bookmarkEnd w:id="44"/>
      <w:r/>
      <w:bookmarkEnd w:id="45"/>
      <w:r/>
      <w:bookmarkEnd w:id="46"/>
      <w:r>
        <w:rPr>
          <w:rFonts w:hint="eastAsia" w:ascii="宋体" w:hAnsi="宋体" w:eastAsia="宋体" w:cs="宋体"/>
          <w:b/>
          <w:bCs/>
          <w:color w:val="000000"/>
          <w:szCs w:val="21"/>
        </w:rPr>
      </w:r>
      <w:r/>
    </w:p>
    <w:p>
      <w:pPr>
        <w:pStyle w:val="1038"/>
        <w:numPr>
          <w:ilvl w:val="0"/>
          <w:numId w:val="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“采购人”是指依法进行政府采购的国家机关、事业单位、团体组织。</w:t>
      </w:r>
      <w:r>
        <w:rPr>
          <w:rFonts w:hint="eastAsia" w:ascii="宋体" w:hAnsi="宋体" w:eastAsia="宋体" w:cs="宋体"/>
          <w:color w:val="000000"/>
          <w:szCs w:val="21"/>
        </w:rPr>
      </w:r>
      <w:r/>
    </w:p>
    <w:p>
      <w:pPr>
        <w:pStyle w:val="1038"/>
        <w:numPr>
          <w:ilvl w:val="0"/>
          <w:numId w:val="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“投标人（供应商）”是指参加投标竞争，并符合招标文件规定资格条件的法人、其他组织或者自然人。</w:t>
      </w:r>
      <w:r>
        <w:rPr>
          <w:rFonts w:hint="eastAsia" w:ascii="宋体" w:hAnsi="宋体" w:eastAsia="宋体" w:cs="宋体"/>
          <w:color w:val="000000"/>
          <w:szCs w:val="21"/>
        </w:rPr>
      </w:r>
      <w:r/>
    </w:p>
    <w:p>
      <w:pPr>
        <w:pStyle w:val="1038"/>
        <w:numPr>
          <w:ilvl w:val="0"/>
          <w:numId w:val="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rPr>
      </w:r>
      <w:r/>
    </w:p>
    <w:p>
      <w:pPr>
        <w:pStyle w:val="1038"/>
        <w:numPr>
          <w:ilvl w:val="0"/>
          <w:numId w:val="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“货物和服务”指本招标文件中所述产品及相关服务。</w:t>
      </w:r>
      <w:r>
        <w:rPr>
          <w:rFonts w:hint="eastAsia" w:ascii="宋体" w:hAnsi="宋体" w:eastAsia="宋体" w:cs="宋体"/>
          <w:color w:val="000000"/>
          <w:szCs w:val="21"/>
        </w:rPr>
      </w:r>
      <w:r/>
    </w:p>
    <w:p>
      <w:pPr>
        <w:pStyle w:val="1038"/>
        <w:numPr>
          <w:ilvl w:val="0"/>
          <w:numId w:val="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“用户或使用单位”是指使用货物，接受服务的单位。</w:t>
      </w:r>
      <w:r>
        <w:rPr>
          <w:rFonts w:hint="eastAsia" w:ascii="宋体" w:hAnsi="宋体" w:eastAsia="宋体" w:cs="宋体"/>
          <w:color w:val="000000"/>
          <w:szCs w:val="21"/>
        </w:rPr>
      </w:r>
      <w:r/>
    </w:p>
    <w:p>
      <w:pPr>
        <w:pStyle w:val="1038"/>
        <w:numPr>
          <w:ilvl w:val="0"/>
          <w:numId w:val="6"/>
        </w:numPr>
        <w:ind w:firstLine="422"/>
        <w:rPr>
          <w:rFonts w:hint="eastAsia" w:ascii="宋体" w:hAnsi="宋体" w:eastAsia="宋体" w:cs="宋体"/>
          <w:b/>
          <w:bCs/>
          <w:color w:val="000000"/>
          <w:szCs w:val="21"/>
        </w:rPr>
        <w:outlineLvl w:val="2"/>
      </w:pPr>
      <w:r/>
      <w:bookmarkStart w:id="47" w:name="_Toc209510677"/>
      <w:r/>
      <w:bookmarkStart w:id="48" w:name="_Toc20829"/>
      <w:r/>
      <w:bookmarkStart w:id="49" w:name="_Toc5367"/>
      <w:r>
        <w:rPr>
          <w:rFonts w:hint="eastAsia" w:ascii="宋体" w:hAnsi="宋体" w:eastAsia="宋体" w:cs="宋体"/>
          <w:b/>
          <w:bCs/>
          <w:color w:val="000000"/>
          <w:szCs w:val="21"/>
        </w:rPr>
        <w:t xml:space="preserve">政策功能</w:t>
      </w:r>
      <w:bookmarkEnd w:id="47"/>
      <w:r/>
      <w:bookmarkEnd w:id="48"/>
      <w:r/>
      <w:bookmarkEnd w:id="49"/>
      <w:r>
        <w:rPr>
          <w:rFonts w:hint="eastAsia" w:ascii="宋体" w:hAnsi="宋体" w:eastAsia="宋体" w:cs="宋体"/>
          <w:b/>
          <w:bCs/>
          <w:color w:val="000000"/>
          <w:szCs w:val="21"/>
        </w:rPr>
      </w:r>
      <w:r/>
    </w:p>
    <w:p>
      <w:pPr>
        <w:pStyle w:val="1038"/>
        <w:numPr>
          <w:ilvl w:val="0"/>
          <w:numId w:val="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rPr>
      </w:r>
      <w:r/>
    </w:p>
    <w:p>
      <w:pPr>
        <w:pStyle w:val="1038"/>
        <w:numPr>
          <w:ilvl w:val="0"/>
          <w:numId w:val="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rPr>
      </w:r>
      <w:r/>
    </w:p>
    <w:p>
      <w:pPr>
        <w:pStyle w:val="1038"/>
        <w:numPr>
          <w:ilvl w:val="0"/>
          <w:numId w:val="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rPr>
      </w:r>
      <w:r/>
    </w:p>
    <w:p>
      <w:pPr>
        <w:pStyle w:val="1038"/>
        <w:numPr>
          <w:ilvl w:val="0"/>
          <w:numId w:val="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rPr>
      </w:r>
      <w:r/>
    </w:p>
    <w:p>
      <w:pPr>
        <w:pStyle w:val="1038"/>
        <w:numPr>
          <w:ilvl w:val="0"/>
          <w:numId w:val="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rPr>
      </w:r>
      <w:r/>
    </w:p>
    <w:p>
      <w:pPr>
        <w:pStyle w:val="1038"/>
        <w:numPr>
          <w:ilvl w:val="0"/>
          <w:numId w:val="8"/>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进口产品政策</w:t>
      </w:r>
      <w:r>
        <w:rPr>
          <w:rFonts w:hint="eastAsia" w:ascii="宋体" w:hAnsi="宋体" w:eastAsia="宋体" w:cs="宋体"/>
          <w:color w:val="000000"/>
          <w:szCs w:val="21"/>
          <w:lang w:eastAsia="en-US"/>
        </w:rPr>
      </w:r>
      <w:r/>
    </w:p>
    <w:p>
      <w:pPr>
        <w:pStyle w:val="1038"/>
        <w:numPr>
          <w:ilvl w:val="0"/>
          <w:numId w:val="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rPr>
      </w:r>
      <w:r/>
    </w:p>
    <w:p>
      <w:pPr>
        <w:pStyle w:val="1038"/>
        <w:numPr>
          <w:ilvl w:val="0"/>
          <w:numId w:val="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允许进口产品参加的，满足需求的国内产品可以参加。</w:t>
      </w:r>
      <w:r>
        <w:rPr>
          <w:rFonts w:hint="eastAsia" w:ascii="宋体" w:hAnsi="宋体" w:eastAsia="宋体" w:cs="宋体"/>
          <w:color w:val="000000"/>
          <w:szCs w:val="21"/>
        </w:rPr>
      </w:r>
      <w:r/>
    </w:p>
    <w:p>
      <w:pPr>
        <w:pStyle w:val="1038"/>
        <w:numPr>
          <w:ilvl w:val="0"/>
          <w:numId w:val="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rPr>
      </w:r>
      <w:r/>
    </w:p>
    <w:p>
      <w:pPr>
        <w:pStyle w:val="1038"/>
        <w:numPr>
          <w:ilvl w:val="0"/>
          <w:numId w:val="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未按要求提供相关材料的，不享受相关政策。</w:t>
      </w:r>
      <w:r>
        <w:rPr>
          <w:rFonts w:hint="eastAsia" w:ascii="宋体" w:hAnsi="宋体" w:eastAsia="宋体" w:cs="宋体"/>
          <w:color w:val="000000"/>
          <w:szCs w:val="21"/>
        </w:rPr>
      </w:r>
      <w:r/>
    </w:p>
    <w:p>
      <w:pPr>
        <w:pStyle w:val="1038"/>
        <w:numPr>
          <w:ilvl w:val="0"/>
          <w:numId w:val="5"/>
        </w:numPr>
        <w:rPr>
          <w:rFonts w:hint="eastAsia" w:ascii="宋体" w:hAnsi="宋体" w:eastAsia="宋体" w:cs="宋体"/>
          <w:b/>
          <w:bCs/>
          <w:color w:val="000000"/>
          <w:szCs w:val="21"/>
        </w:rPr>
        <w:outlineLvl w:val="1"/>
      </w:pPr>
      <w:r/>
      <w:bookmarkStart w:id="50" w:name="_Toc9697"/>
      <w:r/>
      <w:bookmarkStart w:id="51" w:name="_Toc17507"/>
      <w:r/>
      <w:bookmarkStart w:id="52" w:name="_Toc209510678"/>
      <w:r/>
      <w:bookmarkStart w:id="53" w:name="_Toc17032"/>
      <w:r/>
      <w:bookmarkStart w:id="54" w:name="_Toc20589"/>
      <w:r/>
      <w:bookmarkStart w:id="55" w:name="_Toc7274"/>
      <w:r/>
      <w:bookmarkStart w:id="56" w:name="_Toc18152"/>
      <w:r/>
      <w:bookmarkStart w:id="57" w:name="_Toc209510616"/>
      <w:r/>
      <w:bookmarkStart w:id="58" w:name="_Toc30641"/>
      <w:r>
        <w:rPr>
          <w:rFonts w:hint="eastAsia" w:ascii="宋体" w:hAnsi="宋体" w:eastAsia="宋体" w:cs="宋体"/>
          <w:b/>
          <w:bCs/>
          <w:color w:val="000000"/>
          <w:szCs w:val="21"/>
        </w:rPr>
        <w:t xml:space="preserve">招标文件构成</w:t>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b/>
          <w:bCs/>
          <w:color w:val="000000"/>
          <w:szCs w:val="21"/>
        </w:rPr>
      </w:r>
      <w:r/>
    </w:p>
    <w:p>
      <w:pPr>
        <w:pStyle w:val="1038"/>
        <w:numPr>
          <w:ilvl w:val="0"/>
          <w:numId w:val="6"/>
        </w:numPr>
        <w:ind w:firstLine="422"/>
        <w:rPr>
          <w:rFonts w:hint="eastAsia" w:ascii="宋体" w:hAnsi="宋体" w:eastAsia="宋体" w:cs="宋体"/>
          <w:b/>
          <w:bCs/>
          <w:color w:val="000000"/>
          <w:szCs w:val="21"/>
        </w:rPr>
        <w:outlineLvl w:val="2"/>
      </w:pPr>
      <w:r/>
      <w:bookmarkStart w:id="59" w:name="_Toc209510679"/>
      <w:r/>
      <w:bookmarkStart w:id="60" w:name="_Toc30288"/>
      <w:r/>
      <w:bookmarkStart w:id="61" w:name="_Toc13088"/>
      <w:r>
        <w:rPr>
          <w:rFonts w:hint="eastAsia" w:ascii="宋体" w:hAnsi="宋体" w:eastAsia="宋体" w:cs="宋体"/>
          <w:b/>
          <w:bCs/>
          <w:color w:val="000000"/>
          <w:szCs w:val="21"/>
        </w:rPr>
        <w:t xml:space="preserve">招标文件组成</w:t>
      </w:r>
      <w:bookmarkEnd w:id="59"/>
      <w:r/>
      <w:bookmarkEnd w:id="60"/>
      <w:r/>
      <w:bookmarkEnd w:id="61"/>
      <w:r>
        <w:rPr>
          <w:rFonts w:hint="eastAsia" w:ascii="宋体" w:hAnsi="宋体" w:eastAsia="宋体" w:cs="宋体"/>
          <w:b/>
          <w:bCs/>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招标文件包括以下主要内容：</w:t>
      </w:r>
      <w:r>
        <w:rPr>
          <w:rFonts w:hint="eastAsia" w:ascii="宋体" w:hAnsi="宋体" w:eastAsia="宋体" w:cs="宋体"/>
          <w:color w:val="000000"/>
          <w:szCs w:val="21"/>
        </w:rPr>
      </w:r>
      <w:r/>
    </w:p>
    <w:p>
      <w:pPr>
        <w:pStyle w:val="1038"/>
        <w:numPr>
          <w:ilvl w:val="0"/>
          <w:numId w:val="10"/>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招标公告；</w:t>
      </w:r>
      <w:r>
        <w:rPr>
          <w:rFonts w:hint="eastAsia" w:ascii="宋体" w:hAnsi="宋体" w:eastAsia="宋体" w:cs="宋体"/>
          <w:color w:val="000000"/>
          <w:szCs w:val="21"/>
          <w:lang w:eastAsia="en-US"/>
        </w:rPr>
      </w:r>
      <w:r/>
    </w:p>
    <w:p>
      <w:pPr>
        <w:pStyle w:val="1038"/>
        <w:numPr>
          <w:ilvl w:val="0"/>
          <w:numId w:val="10"/>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投标人须知；</w:t>
      </w:r>
      <w:r>
        <w:rPr>
          <w:rFonts w:hint="eastAsia" w:ascii="宋体" w:hAnsi="宋体" w:eastAsia="宋体" w:cs="宋体"/>
          <w:color w:val="000000"/>
          <w:szCs w:val="21"/>
          <w:lang w:eastAsia="en-US"/>
        </w:rPr>
      </w:r>
      <w:r/>
    </w:p>
    <w:p>
      <w:pPr>
        <w:pStyle w:val="1038"/>
        <w:numPr>
          <w:ilvl w:val="0"/>
          <w:numId w:val="1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评标标准（评分标准）；</w:t>
      </w:r>
      <w:r>
        <w:rPr>
          <w:rFonts w:hint="eastAsia" w:ascii="宋体" w:hAnsi="宋体" w:eastAsia="宋体" w:cs="宋体"/>
          <w:color w:val="000000"/>
          <w:szCs w:val="21"/>
        </w:rPr>
      </w:r>
      <w:r/>
    </w:p>
    <w:p>
      <w:pPr>
        <w:pStyle w:val="1038"/>
        <w:numPr>
          <w:ilvl w:val="0"/>
          <w:numId w:val="10"/>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采购需求；</w:t>
      </w:r>
      <w:r>
        <w:rPr>
          <w:rFonts w:hint="eastAsia" w:ascii="宋体" w:hAnsi="宋体" w:eastAsia="宋体" w:cs="宋体"/>
          <w:color w:val="000000"/>
          <w:szCs w:val="21"/>
          <w:lang w:eastAsia="en-US"/>
        </w:rPr>
      </w:r>
      <w:r/>
    </w:p>
    <w:p>
      <w:pPr>
        <w:pStyle w:val="1038"/>
        <w:numPr>
          <w:ilvl w:val="0"/>
          <w:numId w:val="10"/>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合同主要条款及格式；</w:t>
      </w:r>
      <w:r>
        <w:rPr>
          <w:rFonts w:hint="eastAsia" w:ascii="宋体" w:hAnsi="宋体" w:eastAsia="宋体" w:cs="宋体"/>
          <w:color w:val="000000"/>
          <w:szCs w:val="21"/>
          <w:lang w:eastAsia="en-US"/>
        </w:rPr>
      </w:r>
      <w:r/>
    </w:p>
    <w:p>
      <w:pPr>
        <w:pStyle w:val="1038"/>
        <w:numPr>
          <w:ilvl w:val="0"/>
          <w:numId w:val="10"/>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投标文件格式及附件。</w:t>
      </w:r>
      <w:r>
        <w:rPr>
          <w:rFonts w:hint="eastAsia" w:ascii="宋体" w:hAnsi="宋体" w:eastAsia="宋体" w:cs="宋体"/>
          <w:color w:val="000000"/>
          <w:szCs w:val="21"/>
          <w:lang w:eastAsia="en-US"/>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rPr>
      </w:r>
      <w:r/>
    </w:p>
    <w:p>
      <w:pPr>
        <w:pStyle w:val="1038"/>
        <w:numPr>
          <w:ilvl w:val="0"/>
          <w:numId w:val="11"/>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rPr>
      </w:r>
      <w:r/>
    </w:p>
    <w:p>
      <w:pPr>
        <w:pStyle w:val="1038"/>
        <w:numPr>
          <w:ilvl w:val="0"/>
          <w:numId w:val="11"/>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rPr>
      </w:r>
      <w:r/>
    </w:p>
    <w:p>
      <w:pPr>
        <w:pStyle w:val="1038"/>
        <w:numPr>
          <w:ilvl w:val="0"/>
          <w:numId w:val="11"/>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rPr>
      </w:r>
      <w:r/>
    </w:p>
    <w:p>
      <w:pPr>
        <w:pStyle w:val="1038"/>
        <w:numPr>
          <w:ilvl w:val="0"/>
          <w:numId w:val="6"/>
        </w:numPr>
        <w:ind w:firstLine="422"/>
        <w:rPr>
          <w:rFonts w:hint="eastAsia" w:ascii="宋体" w:hAnsi="宋体" w:eastAsia="宋体" w:cs="宋体"/>
          <w:b/>
          <w:bCs/>
          <w:color w:val="000000"/>
          <w:szCs w:val="21"/>
        </w:rPr>
        <w:outlineLvl w:val="2"/>
      </w:pPr>
      <w:r/>
      <w:bookmarkStart w:id="62" w:name="_Toc209510680"/>
      <w:r/>
      <w:bookmarkStart w:id="63" w:name="_Toc26558"/>
      <w:r/>
      <w:bookmarkStart w:id="64" w:name="_Toc16634"/>
      <w:r>
        <w:rPr>
          <w:rFonts w:hint="eastAsia" w:ascii="宋体" w:hAnsi="宋体" w:eastAsia="宋体" w:cs="宋体"/>
          <w:b/>
          <w:bCs/>
          <w:color w:val="000000"/>
          <w:szCs w:val="21"/>
        </w:rPr>
        <w:t xml:space="preserve">招标文件的澄清或者修改</w:t>
      </w:r>
      <w:bookmarkEnd w:id="62"/>
      <w:r/>
      <w:bookmarkEnd w:id="63"/>
      <w:r/>
      <w:bookmarkEnd w:id="64"/>
      <w:r>
        <w:rPr>
          <w:rFonts w:hint="eastAsia" w:ascii="宋体" w:hAnsi="宋体" w:eastAsia="宋体" w:cs="宋体"/>
          <w:b/>
          <w:bCs/>
          <w:color w:val="000000"/>
          <w:szCs w:val="21"/>
        </w:rPr>
      </w:r>
      <w:r/>
    </w:p>
    <w:p>
      <w:pPr>
        <w:pStyle w:val="1038"/>
        <w:numPr>
          <w:ilvl w:val="0"/>
          <w:numId w:val="12"/>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lang w:eastAsia="en-US"/>
        </w:rPr>
        <w:t xml:space="preserve">澄清或者修改的内容为招标文件的组成部分。</w:t>
      </w:r>
      <w:r>
        <w:rPr>
          <w:rFonts w:hint="eastAsia" w:ascii="宋体" w:hAnsi="宋体" w:eastAsia="宋体" w:cs="宋体"/>
          <w:color w:val="000000"/>
          <w:szCs w:val="21"/>
          <w:lang w:eastAsia="en-US"/>
        </w:rPr>
      </w:r>
      <w:r/>
    </w:p>
    <w:p>
      <w:pPr>
        <w:pStyle w:val="1038"/>
        <w:numPr>
          <w:ilvl w:val="0"/>
          <w:numId w:val="12"/>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rPr>
      </w:r>
      <w:r/>
    </w:p>
    <w:p>
      <w:pPr>
        <w:pStyle w:val="1038"/>
        <w:numPr>
          <w:ilvl w:val="0"/>
          <w:numId w:val="12"/>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rPr>
      </w:r>
      <w:r/>
    </w:p>
    <w:p>
      <w:pPr>
        <w:pStyle w:val="1038"/>
        <w:numPr>
          <w:ilvl w:val="0"/>
          <w:numId w:val="5"/>
        </w:numPr>
        <w:rPr>
          <w:rFonts w:hint="eastAsia" w:ascii="宋体" w:hAnsi="宋体" w:eastAsia="宋体" w:cs="宋体"/>
          <w:b/>
          <w:bCs/>
          <w:color w:val="000000"/>
          <w:szCs w:val="21"/>
        </w:rPr>
        <w:outlineLvl w:val="1"/>
      </w:pPr>
      <w:r/>
      <w:bookmarkStart w:id="65" w:name="_Toc3559"/>
      <w:r/>
      <w:bookmarkStart w:id="66" w:name="_Toc209510681"/>
      <w:r/>
      <w:bookmarkStart w:id="67" w:name="_Toc22828"/>
      <w:r/>
      <w:bookmarkStart w:id="68" w:name="_Toc209510617"/>
      <w:r/>
      <w:bookmarkStart w:id="69" w:name="_Toc13498"/>
      <w:r/>
      <w:bookmarkStart w:id="70" w:name="_Toc6845"/>
      <w:r/>
      <w:bookmarkStart w:id="71" w:name="_Toc7702"/>
      <w:r/>
      <w:bookmarkStart w:id="72" w:name="_Toc19603"/>
      <w:r/>
      <w:bookmarkStart w:id="73" w:name="_Toc26244"/>
      <w:r>
        <w:rPr>
          <w:rFonts w:hint="eastAsia" w:ascii="宋体" w:hAnsi="宋体" w:eastAsia="宋体" w:cs="宋体"/>
          <w:b/>
          <w:bCs/>
          <w:color w:val="000000"/>
          <w:szCs w:val="21"/>
        </w:rPr>
        <w:t xml:space="preserve">投标文件的编制</w:t>
      </w:r>
      <w:bookmarkEnd w:id="65"/>
      <w:r/>
      <w:bookmarkEnd w:id="66"/>
      <w:r/>
      <w:bookmarkEnd w:id="67"/>
      <w:r/>
      <w:bookmarkEnd w:id="68"/>
      <w:r/>
      <w:bookmarkEnd w:id="69"/>
      <w:r/>
      <w:bookmarkEnd w:id="70"/>
      <w:r/>
      <w:bookmarkEnd w:id="71"/>
      <w:r/>
      <w:bookmarkEnd w:id="72"/>
      <w:r/>
      <w:bookmarkEnd w:id="73"/>
      <w:r>
        <w:rPr>
          <w:rFonts w:hint="eastAsia" w:ascii="宋体" w:hAnsi="宋体" w:eastAsia="宋体" w:cs="宋体"/>
          <w:b/>
          <w:bCs/>
          <w:color w:val="000000"/>
          <w:szCs w:val="21"/>
        </w:rPr>
      </w:r>
      <w:r/>
    </w:p>
    <w:p>
      <w:pPr>
        <w:pStyle w:val="1038"/>
        <w:numPr>
          <w:ilvl w:val="0"/>
          <w:numId w:val="13"/>
        </w:numPr>
        <w:ind w:left="0" w:firstLine="422"/>
        <w:rPr>
          <w:rFonts w:hint="eastAsia" w:ascii="宋体" w:hAnsi="宋体" w:eastAsia="宋体" w:cs="宋体"/>
          <w:b/>
          <w:bCs/>
          <w:color w:val="000000"/>
          <w:szCs w:val="21"/>
        </w:rPr>
      </w:pPr>
      <w:r/>
      <w:bookmarkStart w:id="74" w:name="_Toc209510682"/>
      <w:r>
        <w:rPr>
          <w:rFonts w:hint="eastAsia" w:ascii="宋体" w:hAnsi="宋体" w:eastAsia="宋体" w:cs="宋体"/>
          <w:b/>
          <w:bCs/>
          <w:color w:val="000000"/>
          <w:szCs w:val="21"/>
        </w:rPr>
        <w:t xml:space="preserve">投标文件的语言、计量单位、货币和编制</w:t>
      </w:r>
      <w:bookmarkEnd w:id="74"/>
      <w:r>
        <w:rPr>
          <w:rFonts w:hint="eastAsia" w:ascii="宋体" w:hAnsi="宋体" w:eastAsia="宋体" w:cs="宋体"/>
          <w:b/>
          <w:bCs/>
          <w:color w:val="000000"/>
          <w:szCs w:val="21"/>
        </w:rPr>
      </w:r>
      <w:r/>
    </w:p>
    <w:p>
      <w:pPr>
        <w:pStyle w:val="1038"/>
        <w:numPr>
          <w:ilvl w:val="0"/>
          <w:numId w:val="1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rPr>
      </w:r>
      <w:r/>
    </w:p>
    <w:p>
      <w:pPr>
        <w:pStyle w:val="1038"/>
        <w:numPr>
          <w:ilvl w:val="0"/>
          <w:numId w:val="1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投标人所使用的计量单位应为国家法定计量单位。</w:t>
      </w:r>
      <w:r>
        <w:rPr>
          <w:rFonts w:hint="eastAsia" w:ascii="宋体" w:hAnsi="宋体" w:eastAsia="宋体" w:cs="宋体"/>
          <w:color w:val="000000"/>
          <w:szCs w:val="21"/>
        </w:rPr>
      </w:r>
      <w:r/>
    </w:p>
    <w:p>
      <w:pPr>
        <w:pStyle w:val="1038"/>
        <w:numPr>
          <w:ilvl w:val="0"/>
          <w:numId w:val="1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投标人应用人民币报价。投标产品如果是进口产品的，应提供人民币与</w:t>
      </w:r>
      <w:r>
        <w:rPr>
          <w:rFonts w:hint="eastAsia" w:ascii="宋体" w:hAnsi="宋体" w:eastAsia="宋体" w:cs="宋体"/>
          <w:b/>
          <w:color w:val="000000"/>
          <w:szCs w:val="21"/>
        </w:rPr>
        <w:t xml:space="preserve">外币之间的汇率。</w:t>
      </w:r>
      <w:r>
        <w:rPr>
          <w:rFonts w:hint="eastAsia" w:ascii="宋体" w:hAnsi="宋体" w:eastAsia="宋体" w:cs="宋体"/>
          <w:color w:val="000000"/>
          <w:szCs w:val="21"/>
        </w:rPr>
      </w:r>
      <w:r/>
    </w:p>
    <w:p>
      <w:pPr>
        <w:pStyle w:val="1038"/>
        <w:numPr>
          <w:ilvl w:val="0"/>
          <w:numId w:val="1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投标文件应按照招标文件的规定编写并制作目录。</w:t>
      </w:r>
      <w:r>
        <w:rPr>
          <w:rFonts w:hint="eastAsia" w:ascii="宋体" w:hAnsi="宋体" w:eastAsia="宋体" w:cs="宋体"/>
          <w:color w:val="000000"/>
          <w:szCs w:val="21"/>
        </w:rPr>
      </w:r>
      <w:r/>
    </w:p>
    <w:p>
      <w:pPr>
        <w:pStyle w:val="1038"/>
        <w:numPr>
          <w:ilvl w:val="0"/>
          <w:numId w:val="1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投标人应在投标文件中写清相应的项目编号、项目名称、投标人全称、地址、电话、传真等。</w:t>
      </w:r>
      <w:r>
        <w:rPr>
          <w:rFonts w:hint="eastAsia" w:ascii="宋体" w:hAnsi="宋体" w:eastAsia="宋体" w:cs="宋体"/>
          <w:color w:val="000000"/>
          <w:szCs w:val="21"/>
        </w:rPr>
      </w:r>
      <w:r/>
    </w:p>
    <w:p>
      <w:pPr>
        <w:pStyle w:val="1038"/>
        <w:numPr>
          <w:ilvl w:val="0"/>
          <w:numId w:val="1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rPr>
      </w:r>
      <w:r/>
    </w:p>
    <w:p>
      <w:pPr>
        <w:pStyle w:val="1038"/>
        <w:numPr>
          <w:ilvl w:val="0"/>
          <w:numId w:val="13"/>
        </w:numPr>
        <w:ind w:left="0" w:firstLine="422"/>
        <w:rPr>
          <w:rFonts w:hint="eastAsia" w:ascii="宋体" w:hAnsi="宋体" w:eastAsia="宋体" w:cs="宋体"/>
          <w:b/>
          <w:color w:val="000000"/>
          <w:szCs w:val="21"/>
        </w:rPr>
      </w:pPr>
      <w:r>
        <w:rPr>
          <w:rFonts w:hint="eastAsia" w:ascii="宋体" w:hAnsi="宋体" w:eastAsia="宋体" w:cs="宋体"/>
          <w:b/>
          <w:color w:val="000000"/>
          <w:szCs w:val="21"/>
        </w:rPr>
        <w:t xml:space="preserve">联合体投标（本项目不适用）</w:t>
      </w:r>
      <w:r>
        <w:rPr>
          <w:rFonts w:hint="eastAsia" w:ascii="宋体" w:hAnsi="宋体" w:eastAsia="宋体" w:cs="宋体"/>
          <w:b/>
          <w:color w:val="000000"/>
          <w:szCs w:val="21"/>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投标文件的组成</w:t>
      </w:r>
      <w:r>
        <w:rPr>
          <w:rFonts w:hint="eastAsia" w:ascii="宋体" w:hAnsi="宋体" w:eastAsia="宋体" w:cs="宋体"/>
          <w:b/>
          <w:color w:val="000000"/>
          <w:szCs w:val="21"/>
          <w:lang w:eastAsia="en-US"/>
        </w:rPr>
      </w:r>
      <w:r/>
    </w:p>
    <w:p>
      <w:pPr>
        <w:pStyle w:val="1038"/>
        <w:numPr>
          <w:ilvl w:val="0"/>
          <w:numId w:val="1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rPr>
        <w:t xml:space="preserve">。</w:t>
      </w:r>
      <w:r>
        <w:rPr>
          <w:rFonts w:hint="eastAsia" w:ascii="宋体" w:hAnsi="宋体" w:eastAsia="宋体" w:cs="宋体"/>
          <w:color w:val="000000"/>
          <w:szCs w:val="21"/>
        </w:rPr>
      </w:r>
      <w:r/>
    </w:p>
    <w:p>
      <w:pPr>
        <w:pStyle w:val="1038"/>
        <w:numPr>
          <w:ilvl w:val="0"/>
          <w:numId w:val="1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如标书制作工具中格式和内容与“江苏政府采购</w:t>
      </w:r>
      <w:r>
        <w:rPr>
          <w:rFonts w:hint="eastAsia" w:ascii="宋体" w:hAnsi="宋体" w:eastAsia="宋体" w:cs="宋体"/>
          <w:color w:val="000000"/>
          <w:szCs w:val="21"/>
        </w:rPr>
      </w:r>
      <w:r/>
    </w:p>
    <w:p>
      <w:pPr>
        <w:pStyle w:val="1038"/>
        <w:numPr>
          <w:ilvl w:val="0"/>
          <w:numId w:val="15"/>
        </w:numPr>
        <w:ind w:firstLine="420"/>
        <w:rPr>
          <w:rFonts w:hint="eastAsia" w:ascii="宋体" w:hAnsi="宋体" w:eastAsia="宋体" w:cs="宋体"/>
          <w:color w:val="000000"/>
          <w:szCs w:val="21"/>
        </w:rPr>
      </w:pPr>
      <w:r>
        <w:rPr>
          <w:rFonts w:hint="eastAsia" w:ascii="宋体" w:hAnsi="宋体" w:eastAsia="宋体" w:cs="宋体"/>
          <w:color w:val="000000"/>
          <w:szCs w:val="21"/>
        </w:rPr>
      </w:r>
      <w:r/>
    </w:p>
    <w:p>
      <w:pPr>
        <w:pStyle w:val="1038"/>
        <w:numPr>
          <w:ilvl w:val="0"/>
          <w:numId w:val="15"/>
        </w:numPr>
        <w:ind w:firstLine="420"/>
        <w:rPr>
          <w:rFonts w:hint="eastAsia" w:ascii="宋体" w:hAnsi="宋体" w:eastAsia="宋体" w:cs="宋体"/>
          <w:color w:val="000000"/>
          <w:szCs w:val="21"/>
        </w:rPr>
      </w:pPr>
      <w:r>
        <w:rPr>
          <w:rFonts w:hint="eastAsia" w:ascii="宋体" w:hAnsi="宋体" w:eastAsia="宋体" w:cs="宋体"/>
          <w:color w:val="000000"/>
          <w:szCs w:val="21"/>
        </w:rPr>
      </w:r>
      <w:r/>
    </w:p>
    <w:p>
      <w:pPr>
        <w:pStyle w:val="1038"/>
        <w:numPr>
          <w:ilvl w:val="0"/>
          <w:numId w:val="1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网”发布的招标文件不一致，以“江苏政府采购网”发布的招标文件为准。</w:t>
      </w:r>
      <w:r>
        <w:rPr>
          <w:rFonts w:hint="eastAsia" w:ascii="宋体" w:hAnsi="宋体" w:eastAsia="宋体" w:cs="宋体"/>
          <w:color w:val="000000"/>
          <w:szCs w:val="21"/>
        </w:rPr>
      </w:r>
      <w:r/>
    </w:p>
    <w:p>
      <w:pPr>
        <w:pStyle w:val="1038"/>
        <w:numPr>
          <w:ilvl w:val="0"/>
          <w:numId w:val="1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供应商应当根据招标文件要求编制投标文件，投标文件应对招标文件提出的要求和条件作出实质性响</w:t>
      </w:r>
      <w:r>
        <w:rPr>
          <w:rFonts w:hint="eastAsia" w:ascii="宋体" w:hAnsi="宋体" w:eastAsia="宋体" w:cs="宋体"/>
          <w:color w:val="000000"/>
          <w:szCs w:val="21"/>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投标文件的商务内容</w:t>
      </w:r>
      <w:r>
        <w:rPr>
          <w:rFonts w:hint="eastAsia" w:ascii="宋体" w:hAnsi="宋体" w:eastAsia="宋体" w:cs="宋体"/>
          <w:b/>
          <w:color w:val="000000"/>
          <w:szCs w:val="21"/>
          <w:lang w:eastAsia="en-US"/>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rPr>
        <w:t xml:space="preserve">“</w:t>
      </w:r>
      <w:r>
        <w:rPr>
          <w:rFonts w:hint="eastAsia" w:ascii="宋体" w:hAnsi="宋体" w:eastAsia="宋体" w:cs="宋体"/>
          <w:color w:val="000000"/>
          <w:sz w:val="22"/>
          <w:szCs w:val="22"/>
        </w:rPr>
        <w:t xml:space="preserve">※</w:t>
      </w:r>
      <w:r>
        <w:rPr>
          <w:rFonts w:hint="eastAsia" w:ascii="宋体" w:hAnsi="宋体" w:eastAsia="宋体" w:cs="宋体"/>
          <w:b/>
          <w:color w:val="000000"/>
          <w:szCs w:val="21"/>
        </w:rPr>
        <w:t xml:space="preserve">”所述材料不得有缺失或提供不全或不满足招标文件的实质性要求</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38"/>
        <w:numPr>
          <w:ilvl w:val="0"/>
          <w:numId w:val="16"/>
        </w:numPr>
        <w:ind w:firstLine="440"/>
        <w:rPr>
          <w:rFonts w:hint="eastAsia" w:ascii="宋体" w:hAnsi="宋体" w:eastAsia="宋体" w:cs="宋体"/>
          <w:color w:val="000000"/>
          <w:szCs w:val="21"/>
        </w:rPr>
      </w:pPr>
      <w:r>
        <w:rPr>
          <w:rFonts w:hint="eastAsia" w:ascii="宋体" w:hAnsi="宋体" w:eastAsia="宋体" w:cs="宋体"/>
          <w:color w:val="000000"/>
          <w:sz w:val="22"/>
          <w:szCs w:val="22"/>
        </w:rPr>
        <w:t xml:space="preserve">※</w:t>
      </w:r>
      <w:r>
        <w:rPr>
          <w:rFonts w:hint="eastAsia" w:ascii="宋体" w:hAnsi="宋体" w:eastAsia="宋体" w:cs="宋体"/>
          <w:color w:val="000000"/>
          <w:szCs w:val="21"/>
        </w:rPr>
        <w:t xml:space="preserve">投标函（投标申请及声明） ；</w:t>
      </w:r>
      <w:r>
        <w:rPr>
          <w:rFonts w:hint="eastAsia" w:ascii="宋体" w:hAnsi="宋体" w:eastAsia="宋体" w:cs="宋体"/>
          <w:color w:val="000000"/>
          <w:szCs w:val="21"/>
        </w:rPr>
      </w:r>
      <w:r/>
    </w:p>
    <w:p>
      <w:pPr>
        <w:pStyle w:val="1038"/>
        <w:numPr>
          <w:ilvl w:val="0"/>
          <w:numId w:val="16"/>
        </w:numPr>
        <w:ind w:firstLine="440"/>
        <w:rPr>
          <w:rFonts w:hint="eastAsia" w:ascii="宋体" w:hAnsi="宋体" w:eastAsia="宋体" w:cs="宋体"/>
          <w:color w:val="000000"/>
          <w:szCs w:val="21"/>
        </w:rPr>
      </w:pPr>
      <w:r>
        <w:rPr>
          <w:rFonts w:hint="eastAsia" w:ascii="宋体" w:hAnsi="宋体" w:eastAsia="宋体" w:cs="宋体"/>
          <w:color w:val="000000"/>
          <w:sz w:val="22"/>
          <w:szCs w:val="22"/>
        </w:rPr>
        <w:t xml:space="preserve">※</w:t>
      </w:r>
      <w:r>
        <w:rPr>
          <w:rFonts w:hint="eastAsia" w:ascii="宋体" w:hAnsi="宋体" w:eastAsia="宋体" w:cs="宋体"/>
          <w:color w:val="000000"/>
          <w:szCs w:val="21"/>
        </w:rPr>
        <w:t xml:space="preserve">法人授权书(法人代表授权书（原件）及法定代表人、授权代表身份证复印件)</w:t>
      </w:r>
      <w:r>
        <w:rPr>
          <w:rFonts w:hint="eastAsia" w:ascii="宋体" w:hAnsi="宋体" w:eastAsia="宋体" w:cs="宋体"/>
          <w:color w:val="000000"/>
          <w:szCs w:val="21"/>
        </w:rPr>
      </w:r>
      <w:r/>
    </w:p>
    <w:p>
      <w:pPr>
        <w:pStyle w:val="1038"/>
        <w:numPr>
          <w:ilvl w:val="0"/>
          <w:numId w:val="16"/>
        </w:numPr>
        <w:ind w:firstLine="440"/>
        <w:rPr>
          <w:rFonts w:hint="eastAsia" w:ascii="宋体" w:hAnsi="宋体" w:eastAsia="宋体" w:cs="宋体"/>
          <w:color w:val="000000"/>
          <w:szCs w:val="21"/>
        </w:rPr>
      </w:pPr>
      <w:r>
        <w:rPr>
          <w:rFonts w:hint="eastAsia" w:ascii="宋体" w:hAnsi="宋体" w:eastAsia="宋体" w:cs="宋体"/>
          <w:color w:val="000000"/>
          <w:sz w:val="22"/>
          <w:szCs w:val="22"/>
        </w:rPr>
        <w:t xml:space="preserve">※</w:t>
      </w:r>
      <w:r>
        <w:rPr>
          <w:rFonts w:hint="eastAsia" w:ascii="宋体" w:hAnsi="宋体" w:eastAsia="宋体" w:cs="宋体"/>
          <w:color w:val="000000"/>
          <w:szCs w:val="21"/>
        </w:rPr>
        <w:t xml:space="preserve">投标人资格资信证明文件：</w:t>
      </w:r>
      <w:r>
        <w:rPr>
          <w:rFonts w:hint="eastAsia" w:ascii="宋体" w:hAnsi="宋体" w:eastAsia="宋体" w:cs="宋体"/>
          <w:color w:val="000000"/>
          <w:szCs w:val="21"/>
        </w:rPr>
      </w:r>
      <w:r/>
    </w:p>
    <w:p>
      <w:pPr>
        <w:pStyle w:val="1038"/>
        <w:numPr>
          <w:ilvl w:val="0"/>
          <w:numId w:val="16"/>
        </w:numPr>
        <w:ind w:firstLine="440"/>
        <w:rPr>
          <w:rFonts w:hint="eastAsia" w:ascii="宋体" w:hAnsi="宋体" w:eastAsia="宋体" w:cs="宋体"/>
          <w:color w:val="000000"/>
          <w:szCs w:val="21"/>
        </w:rPr>
      </w:pPr>
      <w:r>
        <w:rPr>
          <w:rFonts w:hint="eastAsia" w:ascii="宋体" w:hAnsi="宋体" w:eastAsia="宋体" w:cs="宋体"/>
          <w:color w:val="000000"/>
          <w:sz w:val="22"/>
          <w:szCs w:val="22"/>
        </w:rPr>
        <w:t xml:space="preserve">※</w:t>
      </w:r>
      <w:r>
        <w:rPr>
          <w:rFonts w:hint="eastAsia" w:ascii="宋体" w:hAnsi="宋体" w:eastAsia="宋体" w:cs="宋体"/>
          <w:color w:val="000000"/>
          <w:szCs w:val="21"/>
        </w:rPr>
        <w:t xml:space="preserve">开标一览表（格式见附件） ；</w:t>
      </w:r>
      <w:r>
        <w:rPr>
          <w:rFonts w:hint="eastAsia" w:ascii="宋体" w:hAnsi="宋体" w:eastAsia="宋体" w:cs="宋体"/>
          <w:color w:val="000000"/>
          <w:szCs w:val="21"/>
        </w:rPr>
      </w:r>
      <w:r/>
    </w:p>
    <w:p>
      <w:pPr>
        <w:pStyle w:val="1038"/>
        <w:numPr>
          <w:ilvl w:val="0"/>
          <w:numId w:val="16"/>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《商务条款偏离表》；</w:t>
      </w:r>
      <w:r>
        <w:rPr>
          <w:rFonts w:hint="eastAsia" w:ascii="宋体" w:hAnsi="宋体" w:eastAsia="宋体" w:cs="宋体"/>
          <w:color w:val="000000"/>
          <w:szCs w:val="21"/>
          <w:lang w:eastAsia="en-US"/>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（6）分项报价表（格式见附件）；</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（7）第三章评标标准中对应的其他所需证明材料（如有自行添加）；</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（8）要求采购人提供的配合（如有自拟并自行添加）；</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（9）供应商认为需要提供的其他资格证明文件和商务资料。</w:t>
      </w:r>
      <w:r>
        <w:rPr>
          <w:rFonts w:hint="eastAsia" w:ascii="宋体" w:hAnsi="宋体" w:eastAsia="宋体" w:cs="宋体"/>
          <w:color w:val="000000"/>
          <w:sz w:val="22"/>
          <w:szCs w:val="22"/>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投标文件的技术内容</w:t>
      </w:r>
      <w:r>
        <w:rPr>
          <w:rFonts w:hint="eastAsia" w:ascii="宋体" w:hAnsi="宋体" w:eastAsia="宋体" w:cs="宋体"/>
          <w:b/>
          <w:color w:val="000000"/>
          <w:szCs w:val="21"/>
          <w:lang w:eastAsia="en-US"/>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（1）货物、服务内容的详细说明；</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（2）※《技术条款偏离表》；</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（3）投标产品配置清单及技术说明；</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（4）货物安装、验收标准、货物技术资料；</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（5）项目集成（实施）方案；</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（6）服务承诺；</w:t>
      </w:r>
      <w:r>
        <w:rPr>
          <w:rFonts w:hint="eastAsia" w:ascii="宋体" w:hAnsi="宋体" w:eastAsia="宋体" w:cs="宋体"/>
          <w:color w:val="000000"/>
          <w:sz w:val="22"/>
          <w:szCs w:val="22"/>
        </w:rPr>
      </w:r>
      <w:r/>
    </w:p>
    <w:p>
      <w:pPr>
        <w:pStyle w:val="1038"/>
        <w:ind w:firstLine="418"/>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（7）供应商认为需要提供的其他技术资料。</w:t>
      </w:r>
      <w:r>
        <w:rPr>
          <w:rFonts w:hint="eastAsia" w:ascii="宋体" w:hAnsi="宋体" w:eastAsia="宋体" w:cs="宋体"/>
          <w:color w:val="000000"/>
          <w:sz w:val="22"/>
          <w:szCs w:val="22"/>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投标文件的价格内容</w:t>
      </w:r>
      <w:r>
        <w:rPr>
          <w:rFonts w:hint="eastAsia" w:ascii="宋体" w:hAnsi="宋体" w:eastAsia="宋体" w:cs="宋体"/>
          <w:b/>
          <w:color w:val="000000"/>
          <w:szCs w:val="21"/>
          <w:lang w:eastAsia="en-US"/>
        </w:rPr>
      </w:r>
      <w:r/>
    </w:p>
    <w:p>
      <w:pPr>
        <w:pStyle w:val="1038"/>
        <w:numPr>
          <w:ilvl w:val="0"/>
          <w:numId w:val="1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价格部分内容是对采购标的价格构成的说明，招标文件如无特别说明，每一项货物及服务仅接受一个价格。</w:t>
      </w:r>
      <w:r>
        <w:rPr>
          <w:rFonts w:hint="eastAsia" w:ascii="宋体" w:hAnsi="宋体" w:eastAsia="宋体" w:cs="宋体"/>
          <w:color w:val="000000"/>
          <w:szCs w:val="21"/>
        </w:rPr>
      </w:r>
      <w:r/>
    </w:p>
    <w:p>
      <w:pPr>
        <w:pStyle w:val="1038"/>
        <w:numPr>
          <w:ilvl w:val="0"/>
          <w:numId w:val="1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rPr>
        <w:t xml:space="preserve">。</w:t>
      </w:r>
      <w:r>
        <w:rPr>
          <w:rFonts w:hint="eastAsia" w:ascii="宋体" w:hAnsi="宋体" w:eastAsia="宋体" w:cs="宋体"/>
          <w:color w:val="000000"/>
          <w:szCs w:val="21"/>
        </w:rPr>
      </w:r>
      <w:r/>
    </w:p>
    <w:p>
      <w:pPr>
        <w:pStyle w:val="1038"/>
        <w:numPr>
          <w:ilvl w:val="0"/>
          <w:numId w:val="17"/>
        </w:numPr>
        <w:ind w:firstLine="440"/>
        <w:rPr>
          <w:rFonts w:hint="eastAsia" w:ascii="宋体" w:hAnsi="宋体" w:eastAsia="宋体" w:cs="宋体"/>
          <w:color w:val="000000"/>
          <w:szCs w:val="21"/>
        </w:rPr>
      </w:pPr>
      <w:r>
        <w:rPr>
          <w:rFonts w:hint="eastAsia" w:ascii="宋体" w:hAnsi="宋体" w:eastAsia="宋体" w:cs="宋体"/>
          <w:color w:val="000000"/>
          <w:sz w:val="22"/>
          <w:szCs w:val="22"/>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投标文件的其他部分</w:t>
      </w:r>
      <w:r>
        <w:rPr>
          <w:rFonts w:hint="eastAsia" w:ascii="宋体" w:hAnsi="宋体" w:eastAsia="宋体" w:cs="宋体"/>
          <w:b/>
          <w:color w:val="000000"/>
          <w:szCs w:val="21"/>
          <w:lang w:eastAsia="en-US"/>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12.1 其他部分由投标人根据编制投标文件需要提供的其他相关文件组成。</w:t>
      </w:r>
      <w:r>
        <w:rPr>
          <w:rFonts w:hint="eastAsia" w:ascii="宋体" w:hAnsi="宋体" w:eastAsia="宋体" w:cs="宋体"/>
          <w:color w:val="000000"/>
          <w:szCs w:val="21"/>
        </w:rPr>
      </w:r>
      <w:r/>
    </w:p>
    <w:p>
      <w:pPr>
        <w:pStyle w:val="1038"/>
        <w:numPr>
          <w:ilvl w:val="0"/>
          <w:numId w:val="13"/>
        </w:numPr>
        <w:ind w:left="0"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投标保证金（本项目无需缴纳投标保证金）</w:t>
      </w:r>
      <w:r>
        <w:rPr>
          <w:rFonts w:hint="eastAsia" w:ascii="宋体" w:hAnsi="宋体" w:eastAsia="宋体" w:cs="宋体"/>
          <w:b/>
          <w:color w:val="000000"/>
          <w:szCs w:val="21"/>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投标有效期</w:t>
      </w:r>
      <w:r>
        <w:rPr>
          <w:rFonts w:hint="eastAsia" w:ascii="宋体" w:hAnsi="宋体" w:eastAsia="宋体" w:cs="宋体"/>
          <w:b/>
          <w:color w:val="000000"/>
          <w:szCs w:val="21"/>
          <w:lang w:eastAsia="en-US"/>
        </w:rPr>
      </w:r>
      <w:r/>
    </w:p>
    <w:p>
      <w:pPr>
        <w:pStyle w:val="1038"/>
        <w:numPr>
          <w:ilvl w:val="0"/>
          <w:numId w:val="1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自开标之日起</w:t>
      </w:r>
      <w:r>
        <w:rPr>
          <w:rFonts w:hint="eastAsia" w:ascii="宋体" w:hAnsi="宋体" w:eastAsia="宋体" w:cs="宋体"/>
          <w:b/>
          <w:color w:val="000000"/>
          <w:szCs w:val="21"/>
        </w:rPr>
        <w:t xml:space="preserve">90</w:t>
      </w:r>
      <w:r>
        <w:rPr>
          <w:rFonts w:hint="eastAsia" w:ascii="宋体" w:hAnsi="宋体" w:eastAsia="宋体" w:cs="宋体"/>
          <w:color w:val="000000"/>
          <w:szCs w:val="21"/>
        </w:rPr>
        <w:t xml:space="preserve">天内投标有效</w:t>
      </w:r>
      <w:r>
        <w:rPr>
          <w:rFonts w:hint="eastAsia" w:ascii="宋体" w:hAnsi="宋体" w:eastAsia="宋体" w:cs="宋体"/>
          <w:b/>
          <w:color w:val="000000"/>
          <w:szCs w:val="21"/>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rPr>
      </w:r>
      <w:r/>
    </w:p>
    <w:p>
      <w:pPr>
        <w:pStyle w:val="1038"/>
        <w:numPr>
          <w:ilvl w:val="0"/>
          <w:numId w:val="1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投标文件签署</w:t>
      </w:r>
      <w:r>
        <w:rPr>
          <w:rFonts w:hint="eastAsia" w:ascii="宋体" w:hAnsi="宋体" w:eastAsia="宋体" w:cs="宋体"/>
          <w:b/>
          <w:color w:val="000000"/>
          <w:szCs w:val="21"/>
          <w:lang w:eastAsia="en-US"/>
        </w:rPr>
      </w:r>
      <w:r/>
    </w:p>
    <w:p>
      <w:pPr>
        <w:pStyle w:val="1038"/>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15.1 投标文件应按照招标文件要求加盖电子公章，否则视为无效投标。</w:t>
      </w:r>
      <w:r>
        <w:rPr>
          <w:rFonts w:hint="eastAsia" w:ascii="宋体" w:hAnsi="宋体" w:eastAsia="宋体" w:cs="宋体"/>
          <w:color w:val="000000"/>
          <w:szCs w:val="21"/>
        </w:rPr>
      </w:r>
      <w:r/>
    </w:p>
    <w:p>
      <w:pPr>
        <w:pStyle w:val="1038"/>
        <w:numPr>
          <w:ilvl w:val="0"/>
          <w:numId w:val="13"/>
        </w:numPr>
        <w:ind w:left="0" w:firstLine="422"/>
        <w:rPr>
          <w:rFonts w:hint="eastAsia" w:ascii="宋体" w:hAnsi="宋体" w:eastAsia="宋体" w:cs="宋体"/>
          <w:b/>
          <w:color w:val="000000"/>
          <w:szCs w:val="21"/>
          <w:lang w:eastAsia="en-US"/>
        </w:rPr>
      </w:pPr>
      <w:r>
        <w:rPr>
          <w:rFonts w:hint="eastAsia" w:ascii="宋体" w:hAnsi="宋体" w:eastAsia="宋体" w:cs="宋体"/>
          <w:b/>
          <w:color w:val="000000"/>
          <w:szCs w:val="21"/>
          <w:lang w:eastAsia="en-US"/>
        </w:rPr>
        <w:t xml:space="preserve">投标费用</w:t>
      </w:r>
      <w:r>
        <w:rPr>
          <w:rFonts w:hint="eastAsia" w:ascii="宋体" w:hAnsi="宋体" w:eastAsia="宋体" w:cs="宋体"/>
          <w:b/>
          <w:color w:val="000000"/>
          <w:szCs w:val="21"/>
          <w:lang w:eastAsia="en-US"/>
        </w:rPr>
      </w:r>
      <w:r/>
    </w:p>
    <w:p>
      <w:pPr>
        <w:pStyle w:val="1038"/>
        <w:numPr>
          <w:ilvl w:val="0"/>
          <w:numId w:val="1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rPr>
      </w:r>
      <w:r/>
    </w:p>
    <w:p>
      <w:pPr>
        <w:pStyle w:val="1038"/>
        <w:numPr>
          <w:ilvl w:val="0"/>
          <w:numId w:val="19"/>
        </w:numPr>
        <w:ind w:firstLine="420"/>
        <w:rPr>
          <w:rFonts w:hint="eastAsia" w:ascii="宋体" w:hAnsi="宋体" w:eastAsia="宋体" w:cs="宋体"/>
          <w:color w:val="000000"/>
          <w:szCs w:val="21"/>
        </w:rPr>
      </w:pPr>
      <w:r/>
      <w:bookmarkStart w:id="75" w:name="_Toc209510683"/>
      <w:r/>
      <w:bookmarkStart w:id="76" w:name="_Toc3953"/>
      <w:r/>
      <w:bookmarkStart w:id="77" w:name="_Toc19595"/>
      <w:r/>
      <w:bookmarkStart w:id="78" w:name="_Toc209510618"/>
      <w:r/>
      <w:bookmarkStart w:id="79" w:name="_Toc17969"/>
      <w:r/>
      <w:bookmarkStart w:id="80" w:name="_Toc1619"/>
      <w:r/>
      <w:bookmarkStart w:id="81" w:name="_Toc30521"/>
      <w:r>
        <w:rPr>
          <w:rFonts w:hint="eastAsia" w:ascii="宋体" w:hAnsi="宋体" w:eastAsia="宋体" w:cs="宋体"/>
          <w:color w:val="000000"/>
          <w:szCs w:val="21"/>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rPr>
      </w:r>
      <w:r/>
    </w:p>
    <w:p>
      <w:pPr>
        <w:pStyle w:val="1038"/>
        <w:ind w:firstLine="420"/>
        <w:shd w:val="clear" w:color="auto" w:fill="ffffff"/>
        <w:widowControl/>
        <w:rPr>
          <w:rFonts w:hint="eastAsia" w:ascii="宋体" w:hAnsi="宋体" w:eastAsia="宋体" w:cs="宋体"/>
          <w:b/>
          <w:color w:val="000000"/>
          <w:szCs w:val="21"/>
        </w:rPr>
      </w:pPr>
      <w:r>
        <w:rPr>
          <w:rFonts w:hint="eastAsia" w:ascii="宋体" w:hAnsi="宋体" w:eastAsia="宋体" w:cs="宋体"/>
          <w:b/>
          <w:color w:val="000000"/>
          <w:szCs w:val="21"/>
        </w:rPr>
        <w:t xml:space="preserve">本次招标，中标人参照下表（“国家计委关于印发《招标代理服务收费管理暂行办法》的通知（计价格〔2002〕1980号））收费标准的45%，向代理机构支付采购代理服务费：</w:t>
      </w:r>
      <w:r>
        <w:rPr>
          <w:rFonts w:hint="eastAsia" w:ascii="宋体" w:hAnsi="宋体" w:eastAsia="宋体" w:cs="宋体"/>
          <w:b/>
          <w:color w:val="000000"/>
          <w:szCs w:val="21"/>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8"/>
              <w:ind w:right="241"/>
              <w:jc w:val="right"/>
              <w:spacing w:line="24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分类</w:t>
            </w:r>
            <w:r>
              <w:rPr>
                <w:rFonts w:hint="eastAsia" w:ascii="宋体" w:hAnsi="宋体" w:eastAsia="宋体" w:cs="宋体"/>
                <w:bCs/>
                <w:color w:val="000000"/>
                <w:szCs w:val="21"/>
              </w:rPr>
            </w:r>
            <w:r/>
          </w:p>
          <w:p>
            <w:pPr>
              <w:pStyle w:val="1038"/>
              <w:ind w:firstLine="210"/>
              <w:jc w:val="left"/>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费率</w:t>
            </w:r>
            <w:r>
              <w:rPr>
                <w:rFonts w:hint="eastAsia" w:ascii="宋体" w:hAnsi="宋体" w:eastAsia="宋体" w:cs="宋体"/>
                <w:color w:val="000000"/>
                <w:szCs w:val="21"/>
              </w:rPr>
            </w:r>
            <w:r/>
          </w:p>
        </w:tc>
        <w:tc>
          <w:tcPr>
            <w:tcW w:w="2332"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货物项目</w:t>
            </w:r>
            <w:r>
              <w:rPr>
                <w:rFonts w:hint="eastAsia" w:ascii="宋体" w:hAnsi="宋体" w:eastAsia="宋体" w:cs="宋体"/>
                <w:color w:val="000000"/>
                <w:szCs w:val="21"/>
              </w:rPr>
            </w:r>
            <w:r/>
          </w:p>
        </w:tc>
        <w:tc>
          <w:tcPr>
            <w:tcW w:w="2259"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服务项目</w:t>
            </w:r>
            <w:r>
              <w:rPr>
                <w:rFonts w:hint="eastAsia" w:ascii="宋体" w:hAnsi="宋体" w:eastAsia="宋体" w:cs="宋体"/>
                <w:color w:val="000000"/>
                <w:szCs w:val="21"/>
              </w:rPr>
            </w:r>
            <w:r/>
          </w:p>
        </w:tc>
        <w:tc>
          <w:tcPr>
            <w:tcW w:w="2277" w:type="dxa"/>
            <w:vAlign w:val="center"/>
            <w:vMerge w:val="restart"/>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工程项目</w:t>
            </w:r>
            <w:r>
              <w:rPr>
                <w:rFonts w:hint="eastAsia" w:ascii="宋体" w:hAnsi="宋体" w:eastAsia="宋体" w:cs="宋体"/>
                <w:color w:val="000000"/>
                <w:szCs w:val="21"/>
              </w:rPr>
            </w:r>
            <w:r/>
          </w:p>
        </w:tc>
      </w:tr>
      <w:tr>
        <w:trPr>
          <w:trHeight w:val="449"/>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中标金额（万元）</w:t>
            </w:r>
            <w:r>
              <w:rPr>
                <w:rFonts w:hint="eastAsia" w:ascii="宋体" w:hAnsi="宋体" w:eastAsia="宋体" w:cs="宋体"/>
                <w:color w:val="000000"/>
                <w:szCs w:val="21"/>
              </w:rPr>
            </w:r>
            <w:r/>
          </w:p>
        </w:tc>
        <w:tc>
          <w:tcPr>
            <w:tcW w:w="2332"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259"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277" w:type="dxa"/>
            <w:vAlign w:val="center"/>
            <w:vMerge w:val="continue"/>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100以下</w:t>
            </w:r>
            <w:r>
              <w:rPr>
                <w:rFonts w:hint="eastAsia" w:ascii="宋体" w:hAnsi="宋体" w:eastAsia="宋体" w:cs="宋体"/>
                <w:color w:val="000000"/>
                <w:szCs w:val="21"/>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100-500</w:t>
            </w:r>
            <w:r>
              <w:rPr>
                <w:rFonts w:hint="eastAsia" w:ascii="宋体" w:hAnsi="宋体" w:eastAsia="宋体" w:cs="宋体"/>
                <w:color w:val="000000"/>
                <w:szCs w:val="21"/>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0.8%</w:t>
            </w:r>
            <w:r>
              <w:rPr>
                <w:rFonts w:hint="eastAsia" w:ascii="宋体" w:hAnsi="宋体" w:eastAsia="宋体" w:cs="宋体"/>
                <w:color w:val="000000"/>
                <w:szCs w:val="21"/>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0.7%</w:t>
            </w:r>
            <w:r>
              <w:rPr>
                <w:rFonts w:hint="eastAsia" w:ascii="宋体" w:hAnsi="宋体" w:eastAsia="宋体" w:cs="宋体"/>
                <w:color w:val="000000"/>
                <w:szCs w:val="21"/>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500-1000</w:t>
            </w:r>
            <w:r>
              <w:rPr>
                <w:rFonts w:hint="eastAsia" w:ascii="宋体" w:hAnsi="宋体" w:eastAsia="宋体" w:cs="宋体"/>
                <w:color w:val="000000"/>
                <w:szCs w:val="21"/>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0.8%</w:t>
            </w:r>
            <w:r>
              <w:rPr>
                <w:rFonts w:hint="eastAsia" w:ascii="宋体" w:hAnsi="宋体" w:eastAsia="宋体" w:cs="宋体"/>
                <w:color w:val="000000"/>
                <w:szCs w:val="21"/>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0.45%</w:t>
            </w:r>
            <w:r>
              <w:rPr>
                <w:rFonts w:hint="eastAsia" w:ascii="宋体" w:hAnsi="宋体" w:eastAsia="宋体" w:cs="宋体"/>
                <w:color w:val="000000"/>
                <w:szCs w:val="21"/>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0.55%</w:t>
            </w:r>
            <w:r>
              <w:rPr>
                <w:rFonts w:hint="eastAsia" w:ascii="宋体" w:hAnsi="宋体" w:eastAsia="宋体" w:cs="宋体"/>
                <w:color w:val="000000"/>
                <w:szCs w:val="21"/>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1000-5000</w:t>
            </w:r>
            <w:r>
              <w:rPr>
                <w:rFonts w:hint="eastAsia" w:ascii="宋体" w:hAnsi="宋体" w:eastAsia="宋体" w:cs="宋体"/>
                <w:color w:val="000000"/>
                <w:szCs w:val="21"/>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0.5%</w:t>
            </w:r>
            <w:r>
              <w:rPr>
                <w:rFonts w:hint="eastAsia" w:ascii="宋体" w:hAnsi="宋体" w:eastAsia="宋体" w:cs="宋体"/>
                <w:color w:val="000000"/>
                <w:szCs w:val="21"/>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0.25%</w:t>
            </w:r>
            <w:r>
              <w:rPr>
                <w:rFonts w:hint="eastAsia" w:ascii="宋体" w:hAnsi="宋体" w:eastAsia="宋体" w:cs="宋体"/>
                <w:color w:val="000000"/>
                <w:szCs w:val="21"/>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0.35%</w:t>
            </w:r>
            <w:r>
              <w:rPr>
                <w:rFonts w:hint="eastAsia" w:ascii="宋体" w:hAnsi="宋体" w:eastAsia="宋体" w:cs="宋体"/>
                <w:color w:val="000000"/>
                <w:szCs w:val="21"/>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5000-10000</w:t>
            </w:r>
            <w:r>
              <w:rPr>
                <w:rFonts w:hint="eastAsia" w:ascii="宋体" w:hAnsi="宋体" w:eastAsia="宋体" w:cs="宋体"/>
                <w:color w:val="000000"/>
                <w:szCs w:val="21"/>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0.25%</w:t>
            </w:r>
            <w:r>
              <w:rPr>
                <w:rFonts w:hint="eastAsia" w:ascii="宋体" w:hAnsi="宋体" w:eastAsia="宋体" w:cs="宋体"/>
                <w:color w:val="000000"/>
                <w:szCs w:val="21"/>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0.1%</w:t>
            </w:r>
            <w:r>
              <w:rPr>
                <w:rFonts w:hint="eastAsia" w:ascii="宋体" w:hAnsi="宋体" w:eastAsia="宋体" w:cs="宋体"/>
                <w:color w:val="000000"/>
                <w:szCs w:val="21"/>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0.2%</w:t>
            </w:r>
            <w:r>
              <w:rPr>
                <w:rFonts w:hint="eastAsia" w:ascii="宋体" w:hAnsi="宋体" w:eastAsia="宋体" w:cs="宋体"/>
                <w:color w:val="000000"/>
                <w:szCs w:val="21"/>
              </w:rPr>
            </w:r>
            <w:r/>
          </w:p>
        </w:tc>
      </w:tr>
      <w:tr>
        <w:trPr>
          <w:trHeight w:val="516"/>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10000-100000</w:t>
            </w:r>
            <w:r>
              <w:rPr>
                <w:rFonts w:hint="eastAsia" w:ascii="宋体" w:hAnsi="宋体" w:eastAsia="宋体" w:cs="宋体"/>
                <w:color w:val="000000"/>
                <w:szCs w:val="21"/>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0.05%</w:t>
            </w:r>
            <w:r>
              <w:rPr>
                <w:rFonts w:hint="eastAsia" w:ascii="宋体" w:hAnsi="宋体" w:eastAsia="宋体" w:cs="宋体"/>
                <w:color w:val="000000"/>
                <w:szCs w:val="21"/>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0.05%</w:t>
            </w:r>
            <w:r>
              <w:rPr>
                <w:rFonts w:hint="eastAsia" w:ascii="宋体" w:hAnsi="宋体" w:eastAsia="宋体" w:cs="宋体"/>
                <w:color w:val="000000"/>
                <w:szCs w:val="21"/>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0.05%</w:t>
            </w:r>
            <w:r>
              <w:rPr>
                <w:rFonts w:hint="eastAsia" w:ascii="宋体" w:hAnsi="宋体" w:eastAsia="宋体" w:cs="宋体"/>
                <w:color w:val="000000"/>
                <w:szCs w:val="21"/>
              </w:rPr>
            </w:r>
            <w:r/>
          </w:p>
        </w:tc>
      </w:tr>
      <w:tr>
        <w:trPr>
          <w:trHeight w:val="507"/>
        </w:trPr>
        <w:tc>
          <w:tcPr>
            <w:tcW w:w="241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1000000以上</w:t>
            </w:r>
            <w:r>
              <w:rPr>
                <w:rFonts w:hint="eastAsia" w:ascii="宋体" w:hAnsi="宋体" w:eastAsia="宋体" w:cs="宋体"/>
                <w:color w:val="000000"/>
                <w:szCs w:val="21"/>
              </w:rPr>
            </w:r>
            <w:r/>
          </w:p>
        </w:tc>
        <w:tc>
          <w:tcPr>
            <w:tcW w:w="2332"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0.01%</w:t>
            </w:r>
            <w:r>
              <w:rPr>
                <w:rFonts w:hint="eastAsia" w:ascii="宋体" w:hAnsi="宋体" w:eastAsia="宋体" w:cs="宋体"/>
                <w:color w:val="000000"/>
                <w:szCs w:val="21"/>
              </w:rPr>
            </w:r>
            <w:r/>
          </w:p>
        </w:tc>
        <w:tc>
          <w:tcPr>
            <w:tcW w:w="2259"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0.01%</w:t>
            </w:r>
            <w:r>
              <w:rPr>
                <w:rFonts w:hint="eastAsia" w:ascii="宋体" w:hAnsi="宋体" w:eastAsia="宋体" w:cs="宋体"/>
                <w:color w:val="000000"/>
                <w:szCs w:val="21"/>
              </w:rPr>
            </w:r>
            <w:r/>
          </w:p>
        </w:tc>
        <w:tc>
          <w:tcPr>
            <w:tcW w:w="2277"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0.01%</w:t>
            </w:r>
            <w:r>
              <w:rPr>
                <w:rFonts w:hint="eastAsia" w:ascii="宋体" w:hAnsi="宋体" w:eastAsia="宋体" w:cs="宋体"/>
                <w:color w:val="000000"/>
                <w:szCs w:val="21"/>
              </w:rPr>
            </w:r>
            <w:r/>
          </w:p>
        </w:tc>
      </w:tr>
    </w:tbl>
    <w:p>
      <w:pPr>
        <w:pStyle w:val="1038"/>
        <w:ind w:firstLine="638"/>
        <w:spacing w:before="24" w:line="560" w:lineRule="exact"/>
        <w:rPr>
          <w:rFonts w:hint="eastAsia" w:ascii="宋体" w:hAnsi="宋体" w:eastAsia="宋体" w:cs="宋体"/>
          <w:b/>
          <w:color w:val="000000"/>
          <w:szCs w:val="21"/>
        </w:rPr>
      </w:pPr>
      <w:r>
        <w:rPr>
          <w:rFonts w:hint="eastAsia" w:ascii="宋体" w:hAnsi="宋体" w:eastAsia="宋体" w:cs="宋体"/>
          <w:color w:val="000000"/>
          <w:szCs w:val="21"/>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rPr>
      </w:r>
      <w:r/>
    </w:p>
    <w:p>
      <w:pPr>
        <w:pStyle w:val="1038"/>
        <w:ind w:firstLine="420"/>
        <w:shd w:val="clear" w:color="auto" w:fill="ffffff"/>
        <w:widowControl/>
        <w:rPr>
          <w:rFonts w:hint="eastAsia" w:ascii="宋体" w:hAnsi="宋体" w:eastAsia="宋体" w:cs="宋体"/>
          <w:b/>
          <w:color w:val="000000"/>
          <w:szCs w:val="21"/>
        </w:rPr>
      </w:pPr>
      <w:r>
        <w:rPr>
          <w:rFonts w:hint="eastAsia" w:ascii="宋体" w:hAnsi="宋体" w:eastAsia="宋体" w:cs="宋体"/>
          <w:b/>
          <w:color w:val="000000"/>
          <w:szCs w:val="21"/>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rPr>
      </w:r>
      <w:r/>
    </w:p>
    <w:p>
      <w:pPr>
        <w:pStyle w:val="1038"/>
        <w:ind w:firstLine="420"/>
        <w:jc w:val="center"/>
        <w:spacing w:line="24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附：江苏省公证服务收费项目和试行标准表</w:t>
      </w:r>
      <w:r>
        <w:rPr>
          <w:rFonts w:hint="eastAsia" w:ascii="宋体" w:hAnsi="宋体" w:eastAsia="宋体" w:cs="宋体"/>
          <w:bCs/>
          <w:color w:val="000000"/>
          <w:szCs w:val="21"/>
        </w:rPr>
      </w:r>
      <w:r/>
    </w:p>
    <w:p>
      <w:pPr>
        <w:pStyle w:val="1038"/>
        <w:ind w:firstLine="420"/>
        <w:jc w:val="center"/>
        <w:spacing w:line="24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                                                                        单位：元</w:t>
      </w:r>
      <w:r>
        <w:rPr>
          <w:rFonts w:hint="eastAsia" w:ascii="宋体" w:hAnsi="宋体" w:eastAsia="宋体" w:cs="宋体"/>
          <w:bCs/>
          <w:color w:val="000000"/>
          <w:szCs w:val="21"/>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38"/>
              <w:jc w:val="center"/>
              <w:spacing w:line="24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类别</w:t>
            </w:r>
            <w:r>
              <w:rPr>
                <w:rFonts w:hint="eastAsia" w:ascii="宋体" w:hAnsi="宋体" w:eastAsia="宋体" w:cs="宋体"/>
                <w:bCs/>
                <w:color w:val="000000"/>
                <w:szCs w:val="21"/>
              </w:rPr>
            </w:r>
            <w:r/>
          </w:p>
        </w:tc>
        <w:tc>
          <w:tcPr>
            <w:tcW w:w="1480" w:type="dxa"/>
            <w:vAlign w:val="center"/>
            <w:textDirection w:val="lrTb"/>
            <w:noWrap w:val="false"/>
          </w:tcPr>
          <w:p>
            <w:pPr>
              <w:pStyle w:val="1038"/>
              <w:jc w:val="center"/>
              <w:spacing w:line="24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收费项目</w:t>
            </w:r>
            <w:r>
              <w:rPr>
                <w:rFonts w:hint="eastAsia" w:ascii="宋体" w:hAnsi="宋体" w:eastAsia="宋体" w:cs="宋体"/>
                <w:bCs/>
                <w:color w:val="000000"/>
                <w:szCs w:val="21"/>
              </w:rPr>
            </w:r>
            <w:r/>
          </w:p>
        </w:tc>
        <w:tc>
          <w:tcPr>
            <w:tcW w:w="5270" w:type="dxa"/>
            <w:vAlign w:val="center"/>
            <w:textDirection w:val="lrTb"/>
            <w:noWrap w:val="false"/>
          </w:tcPr>
          <w:p>
            <w:pPr>
              <w:pStyle w:val="1038"/>
              <w:jc w:val="center"/>
              <w:spacing w:line="24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收费标准</w:t>
            </w:r>
            <w:r>
              <w:rPr>
                <w:rFonts w:hint="eastAsia" w:ascii="宋体" w:hAnsi="宋体" w:eastAsia="宋体" w:cs="宋体"/>
                <w:bCs/>
                <w:color w:val="000000"/>
                <w:szCs w:val="21"/>
              </w:rPr>
            </w:r>
            <w:r/>
          </w:p>
        </w:tc>
        <w:tc>
          <w:tcPr>
            <w:tcW w:w="693" w:type="dxa"/>
            <w:vAlign w:val="center"/>
            <w:textDirection w:val="lrTb"/>
            <w:noWrap w:val="false"/>
          </w:tcPr>
          <w:p>
            <w:pPr>
              <w:pStyle w:val="1038"/>
              <w:jc w:val="center"/>
              <w:spacing w:line="240" w:lineRule="auto"/>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备注</w:t>
            </w:r>
            <w:r>
              <w:rPr>
                <w:rFonts w:hint="eastAsia" w:ascii="宋体" w:hAnsi="宋体" w:eastAsia="宋体" w:cs="宋体"/>
                <w:bCs/>
                <w:color w:val="000000"/>
                <w:szCs w:val="21"/>
              </w:rPr>
            </w:r>
            <w:r/>
          </w:p>
        </w:tc>
      </w:tr>
      <w:tr>
        <w:trPr>
          <w:trHeight w:val="369"/>
        </w:trPr>
        <w:tc>
          <w:tcPr>
            <w:tcW w:w="2024" w:type="dxa"/>
            <w:vAlign w:val="top"/>
            <w:textDirection w:val="lrTb"/>
            <w:noWrap w:val="false"/>
          </w:tcPr>
          <w:p>
            <w:pPr>
              <w:pStyle w:val="1038"/>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一、证明法律行为</w:t>
            </w:r>
            <w:r>
              <w:rPr>
                <w:rFonts w:hint="eastAsia" w:ascii="宋体" w:hAnsi="宋体" w:eastAsia="宋体" w:cs="宋体"/>
                <w:color w:val="000000"/>
                <w:szCs w:val="21"/>
              </w:rPr>
            </w:r>
            <w:r/>
          </w:p>
        </w:tc>
        <w:tc>
          <w:tcPr>
            <w:tcW w:w="148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5270"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693" w:type="dxa"/>
            <w:vAlign w:val="center"/>
            <w:textDirection w:val="lrTb"/>
            <w:noWrap w:val="false"/>
          </w:tcPr>
          <w:p>
            <w:pPr>
              <w:pStyle w:val="1038"/>
              <w:jc w:val="center"/>
              <w:spacing w:line="240" w:lineRule="auto"/>
              <w:widowControl/>
              <w:rPr>
                <w:rFonts w:hint="eastAsia" w:ascii="宋体" w:hAnsi="宋体" w:eastAsia="宋体" w:cs="宋体"/>
                <w:bCs/>
                <w:color w:val="000000"/>
                <w:szCs w:val="21"/>
              </w:rPr>
            </w:pPr>
            <w:r>
              <w:rPr>
                <w:rFonts w:hint="eastAsia" w:ascii="宋体" w:hAnsi="宋体" w:eastAsia="宋体" w:cs="宋体"/>
                <w:bCs/>
                <w:color w:val="000000"/>
                <w:szCs w:val="21"/>
              </w:rPr>
            </w:r>
            <w:r/>
          </w:p>
        </w:tc>
      </w:tr>
      <w:tr>
        <w:trPr>
          <w:trHeight w:val="510"/>
        </w:trPr>
        <w:tc>
          <w:tcPr>
            <w:tcW w:w="2024" w:type="dxa"/>
            <w:vAlign w:val="center"/>
            <w:textDirection w:val="lrTb"/>
            <w:noWrap w:val="false"/>
          </w:tcPr>
          <w:p>
            <w:pPr>
              <w:pStyle w:val="1038"/>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现场监督公证</w:t>
            </w:r>
            <w:r>
              <w:rPr>
                <w:rFonts w:hint="eastAsia" w:ascii="宋体" w:hAnsi="宋体" w:eastAsia="宋体" w:cs="宋体"/>
                <w:color w:val="000000"/>
                <w:szCs w:val="21"/>
              </w:rPr>
            </w:r>
            <w:r/>
          </w:p>
        </w:tc>
        <w:tc>
          <w:tcPr>
            <w:tcW w:w="1480" w:type="dxa"/>
            <w:vAlign w:val="center"/>
            <w:textDirection w:val="lrTb"/>
            <w:noWrap w:val="false"/>
          </w:tcPr>
          <w:p>
            <w:pPr>
              <w:pStyle w:val="1038"/>
              <w:jc w:val="center"/>
              <w:spacing w:line="24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证明招标投标、拍卖、挂牌等竞争性交易行为公证</w:t>
            </w:r>
            <w:r>
              <w:rPr>
                <w:rFonts w:hint="eastAsia" w:ascii="宋体" w:hAnsi="宋体" w:eastAsia="宋体" w:cs="宋体"/>
                <w:color w:val="000000"/>
                <w:szCs w:val="21"/>
              </w:rPr>
            </w:r>
            <w:r/>
          </w:p>
        </w:tc>
        <w:tc>
          <w:tcPr>
            <w:tcW w:w="5270" w:type="dxa"/>
            <w:vAlign w:val="center"/>
            <w:textDirection w:val="lrTb"/>
            <w:noWrap w:val="false"/>
          </w:tcPr>
          <w:p>
            <w:pPr>
              <w:pStyle w:val="1038"/>
              <w:ind w:right="-118"/>
              <w:jc w:val="left"/>
              <w:spacing w:before="0" w:after="0" w:line="24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rPr>
            </w:r>
            <w:r/>
          </w:p>
        </w:tc>
        <w:tc>
          <w:tcPr>
            <w:tcW w:w="693" w:type="dxa"/>
            <w:vAlign w:val="center"/>
            <w:textDirection w:val="lrTb"/>
            <w:noWrap w:val="false"/>
          </w:tcPr>
          <w:p>
            <w:pPr>
              <w:pStyle w:val="1038"/>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038"/>
        <w:ind w:firstLine="442"/>
        <w:tabs>
          <w:tab w:val="left" w:pos="480" w:leader="none"/>
        </w:tabs>
        <w:rPr>
          <w:rFonts w:hint="eastAsia" w:ascii="宋体" w:hAnsi="宋体" w:eastAsia="宋体" w:cs="宋体"/>
          <w:b/>
          <w:color w:val="000000"/>
          <w:sz w:val="22"/>
          <w:szCs w:val="22"/>
        </w:rPr>
      </w:pPr>
      <w:r/>
      <w:bookmarkStart w:id="82" w:name="_Toc3333"/>
      <w:r>
        <w:rPr>
          <w:rFonts w:hint="eastAsia" w:ascii="宋体" w:hAnsi="宋体" w:eastAsia="宋体" w:cs="宋体"/>
          <w:b/>
          <w:color w:val="000000"/>
          <w:sz w:val="22"/>
          <w:szCs w:val="22"/>
        </w:rPr>
        <w:t xml:space="preserve">16.3评审费用支付</w:t>
      </w:r>
      <w:r>
        <w:rPr>
          <w:rFonts w:hint="eastAsia" w:ascii="宋体" w:hAnsi="宋体" w:eastAsia="宋体" w:cs="宋体"/>
          <w:b/>
          <w:color w:val="000000"/>
          <w:sz w:val="22"/>
          <w:szCs w:val="22"/>
        </w:rPr>
      </w:r>
      <w:r/>
    </w:p>
    <w:p>
      <w:pPr>
        <w:pStyle w:val="1038"/>
        <w:ind w:firstLine="418"/>
        <w:rPr>
          <w:rFonts w:hint="eastAsia" w:ascii="宋体" w:hAnsi="宋体" w:eastAsia="宋体" w:cs="宋体"/>
          <w:b/>
          <w:bCs/>
          <w:color w:val="000000"/>
          <w:szCs w:val="21"/>
        </w:rPr>
      </w:pPr>
      <w:r>
        <w:rPr>
          <w:rFonts w:hint="eastAsia" w:ascii="宋体" w:hAnsi="宋体" w:eastAsia="宋体" w:cs="宋体"/>
          <w:bCs/>
          <w:color w:val="000000"/>
          <w:sz w:val="22"/>
          <w:szCs w:val="22"/>
        </w:rPr>
        <w:t xml:space="preserve">对于非集中采购机构实施的政府采购项目，专家评审费用由学校直接支付。评审费标准按照省财政厅相关规定执行，费用在项目评审完成后的30个工作日内完成支付。各代理机构配合学校收集评审专家支付信息，并将材料及时反馈至招标办。对于不属于苏财规〔2026〕1号文件要求的采购项目仍按双方签订的委托协议执行。</w:t>
      </w:r>
      <w:r>
        <w:rPr>
          <w:rFonts w:hint="eastAsia" w:ascii="宋体" w:hAnsi="宋体" w:eastAsia="宋体" w:cs="宋体"/>
          <w:b/>
          <w:bCs/>
          <w:color w:val="000000"/>
          <w:szCs w:val="21"/>
        </w:rPr>
      </w:r>
      <w:r/>
    </w:p>
    <w:p>
      <w:pPr>
        <w:pStyle w:val="1038"/>
        <w:numPr>
          <w:ilvl w:val="0"/>
          <w:numId w:val="5"/>
        </w:numPr>
        <w:ind w:firstLine="422"/>
        <w:rPr>
          <w:rFonts w:hint="eastAsia" w:ascii="宋体" w:hAnsi="宋体" w:eastAsia="宋体" w:cs="宋体"/>
          <w:b/>
          <w:bCs/>
          <w:color w:val="000000"/>
          <w:szCs w:val="21"/>
        </w:rPr>
        <w:outlineLvl w:val="1"/>
      </w:pPr>
      <w:r/>
      <w:bookmarkStart w:id="83" w:name="_Toc24620"/>
      <w:r>
        <w:rPr>
          <w:rFonts w:hint="eastAsia" w:ascii="宋体" w:hAnsi="宋体" w:eastAsia="宋体" w:cs="宋体"/>
          <w:b/>
          <w:bCs/>
          <w:color w:val="000000"/>
          <w:szCs w:val="21"/>
        </w:rPr>
        <w:t xml:space="preserve">投标文件的递交</w:t>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b/>
          <w:bCs/>
          <w:color w:val="000000"/>
          <w:szCs w:val="21"/>
        </w:rPr>
      </w:r>
      <w:r/>
    </w:p>
    <w:p>
      <w:pPr>
        <w:pStyle w:val="1038"/>
        <w:numPr>
          <w:ilvl w:val="0"/>
          <w:numId w:val="20"/>
        </w:numPr>
        <w:ind w:firstLine="422"/>
        <w:rPr>
          <w:rFonts w:hint="eastAsia" w:ascii="宋体" w:hAnsi="宋体" w:eastAsia="宋体" w:cs="宋体"/>
          <w:b/>
          <w:bCs/>
          <w:color w:val="000000"/>
          <w:szCs w:val="21"/>
        </w:rPr>
        <w:outlineLvl w:val="2"/>
      </w:pPr>
      <w:r/>
      <w:bookmarkStart w:id="84" w:name="_Toc952"/>
      <w:r/>
      <w:bookmarkStart w:id="85" w:name="_Toc209510684"/>
      <w:r/>
      <w:bookmarkStart w:id="86" w:name="_Toc1841"/>
      <w:r>
        <w:rPr>
          <w:rFonts w:hint="eastAsia" w:ascii="宋体" w:hAnsi="宋体" w:eastAsia="宋体" w:cs="宋体"/>
          <w:b/>
          <w:bCs/>
          <w:color w:val="000000"/>
          <w:szCs w:val="21"/>
        </w:rPr>
        <w:t xml:space="preserve">投标文件的递交</w:t>
      </w:r>
      <w:bookmarkEnd w:id="84"/>
      <w:r/>
      <w:bookmarkEnd w:id="85"/>
      <w:r/>
      <w:bookmarkEnd w:id="86"/>
      <w:r>
        <w:rPr>
          <w:rFonts w:hint="eastAsia" w:ascii="宋体" w:hAnsi="宋体" w:eastAsia="宋体" w:cs="宋体"/>
          <w:b/>
          <w:bCs/>
          <w:color w:val="000000"/>
          <w:szCs w:val="21"/>
        </w:rPr>
      </w:r>
      <w:r/>
    </w:p>
    <w:p>
      <w:pPr>
        <w:pStyle w:val="1038"/>
        <w:ind w:firstLine="422"/>
        <w:jc w:val="left"/>
        <w:rPr>
          <w:rFonts w:hint="eastAsia" w:ascii="宋体" w:hAnsi="宋体" w:eastAsia="宋体" w:cs="宋体"/>
          <w:b/>
          <w:color w:val="000000"/>
          <w:szCs w:val="21"/>
        </w:rPr>
      </w:pPr>
      <w:r>
        <w:rPr>
          <w:rFonts w:hint="eastAsia" w:ascii="宋体" w:hAnsi="宋体" w:eastAsia="宋体" w:cs="宋体"/>
          <w:b/>
          <w:color w:val="000000"/>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rPr>
      </w:r>
      <w:r/>
    </w:p>
    <w:p>
      <w:pPr>
        <w:pStyle w:val="1038"/>
        <w:numPr>
          <w:ilvl w:val="0"/>
          <w:numId w:val="20"/>
        </w:numPr>
        <w:ind w:firstLine="422"/>
        <w:rPr>
          <w:rFonts w:hint="eastAsia" w:ascii="宋体" w:hAnsi="宋体" w:eastAsia="宋体" w:cs="宋体"/>
          <w:b/>
          <w:bCs/>
          <w:color w:val="000000"/>
          <w:szCs w:val="21"/>
        </w:rPr>
        <w:outlineLvl w:val="2"/>
      </w:pPr>
      <w:r/>
      <w:bookmarkStart w:id="87" w:name="_Toc30326"/>
      <w:r/>
      <w:bookmarkStart w:id="88" w:name="_Toc209510685"/>
      <w:r/>
      <w:bookmarkStart w:id="89" w:name="_Toc20541"/>
      <w:r>
        <w:rPr>
          <w:rFonts w:hint="eastAsia" w:ascii="宋体" w:hAnsi="宋体" w:eastAsia="宋体" w:cs="宋体"/>
          <w:b/>
          <w:bCs/>
          <w:color w:val="000000"/>
          <w:szCs w:val="21"/>
        </w:rPr>
        <w:t xml:space="preserve">投标文件的解密</w:t>
      </w:r>
      <w:bookmarkEnd w:id="87"/>
      <w:r/>
      <w:bookmarkEnd w:id="88"/>
      <w:r/>
      <w:bookmarkEnd w:id="89"/>
      <w:r>
        <w:rPr>
          <w:rFonts w:hint="eastAsia" w:ascii="宋体" w:hAnsi="宋体" w:eastAsia="宋体" w:cs="宋体"/>
          <w:b/>
          <w:bCs/>
          <w:color w:val="000000"/>
          <w:szCs w:val="21"/>
        </w:rPr>
      </w:r>
      <w:r/>
    </w:p>
    <w:p>
      <w:pPr>
        <w:pStyle w:val="1038"/>
        <w:numPr>
          <w:ilvl w:val="0"/>
          <w:numId w:val="21"/>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cs="宋体"/>
          <w:b/>
          <w:color w:val="000000"/>
          <w:szCs w:val="21"/>
        </w:rPr>
      </w:r>
      <w:r/>
    </w:p>
    <w:p>
      <w:pPr>
        <w:pStyle w:val="1038"/>
        <w:numPr>
          <w:ilvl w:val="0"/>
          <w:numId w:val="21"/>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rPr>
      </w:r>
      <w:r/>
    </w:p>
    <w:p>
      <w:pPr>
        <w:pStyle w:val="1038"/>
        <w:numPr>
          <w:ilvl w:val="0"/>
          <w:numId w:val="20"/>
        </w:numPr>
        <w:ind w:firstLine="422"/>
        <w:rPr>
          <w:rFonts w:hint="eastAsia" w:ascii="宋体" w:hAnsi="宋体" w:eastAsia="宋体" w:cs="宋体"/>
          <w:b/>
          <w:bCs/>
          <w:color w:val="000000"/>
          <w:szCs w:val="21"/>
        </w:rPr>
        <w:outlineLvl w:val="2"/>
      </w:pPr>
      <w:r/>
      <w:bookmarkStart w:id="90" w:name="_Toc209510686"/>
      <w:r/>
      <w:bookmarkStart w:id="91" w:name="_Toc19235"/>
      <w:r/>
      <w:bookmarkStart w:id="92" w:name="_Toc6779"/>
      <w:r>
        <w:rPr>
          <w:rFonts w:hint="eastAsia" w:ascii="宋体" w:hAnsi="宋体" w:eastAsia="宋体" w:cs="宋体"/>
          <w:b/>
          <w:bCs/>
          <w:color w:val="000000"/>
          <w:szCs w:val="21"/>
        </w:rPr>
        <w:t xml:space="preserve">投标文件的修改和撤回</w:t>
      </w:r>
      <w:bookmarkEnd w:id="90"/>
      <w:r/>
      <w:bookmarkEnd w:id="91"/>
      <w:r/>
      <w:bookmarkEnd w:id="92"/>
      <w:r>
        <w:rPr>
          <w:rFonts w:hint="eastAsia" w:ascii="宋体" w:hAnsi="宋体" w:eastAsia="宋体" w:cs="宋体"/>
          <w:b/>
          <w:bCs/>
          <w:color w:val="000000"/>
          <w:szCs w:val="21"/>
        </w:rPr>
      </w:r>
      <w:r/>
    </w:p>
    <w:p>
      <w:pPr>
        <w:pStyle w:val="1038"/>
        <w:numPr>
          <w:ilvl w:val="0"/>
          <w:numId w:val="22"/>
        </w:numPr>
        <w:ind w:firstLine="420"/>
        <w:rPr>
          <w:rFonts w:hint="eastAsia" w:ascii="宋体" w:hAnsi="宋体" w:eastAsia="宋体" w:cs="宋体"/>
          <w:b/>
          <w:color w:val="000000"/>
          <w:szCs w:val="21"/>
        </w:rPr>
        <w:outlineLvl w:val="3"/>
      </w:pPr>
      <w:r>
        <w:rPr>
          <w:rFonts w:hint="eastAsia" w:ascii="宋体" w:hAnsi="宋体" w:eastAsia="宋体" w:cs="宋体"/>
          <w:color w:val="000000"/>
          <w:szCs w:val="21"/>
        </w:rPr>
        <w:t xml:space="preserve">投标文件的撤回</w:t>
      </w:r>
      <w:r>
        <w:rPr>
          <w:rFonts w:hint="eastAsia" w:ascii="宋体" w:hAnsi="宋体" w:eastAsia="宋体" w:cs="宋体"/>
          <w:b/>
          <w:color w:val="000000"/>
          <w:szCs w:val="21"/>
        </w:rPr>
      </w:r>
      <w:r/>
    </w:p>
    <w:p>
      <w:pPr>
        <w:pStyle w:val="1038"/>
        <w:numPr>
          <w:ilvl w:val="0"/>
          <w:numId w:val="23"/>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投标人可在投标截止时间前撤回其电子投标文件，具体操作方法见《操作手册》。</w:t>
      </w:r>
      <w:r>
        <w:rPr>
          <w:rFonts w:hint="eastAsia" w:ascii="宋体" w:hAnsi="宋体" w:eastAsia="宋体" w:cs="宋体"/>
          <w:color w:val="000000"/>
          <w:szCs w:val="21"/>
        </w:rPr>
      </w:r>
      <w:r/>
    </w:p>
    <w:p>
      <w:pPr>
        <w:pStyle w:val="1038"/>
        <w:numPr>
          <w:ilvl w:val="0"/>
          <w:numId w:val="23"/>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投标人撤回电子投标文件，则认为其不再参与本项目投标活动。</w:t>
      </w:r>
      <w:r>
        <w:rPr>
          <w:rFonts w:hint="eastAsia" w:ascii="宋体" w:hAnsi="宋体" w:eastAsia="宋体" w:cs="宋体"/>
          <w:color w:val="000000"/>
          <w:szCs w:val="21"/>
        </w:rPr>
      </w:r>
      <w:r/>
    </w:p>
    <w:p>
      <w:pPr>
        <w:pStyle w:val="1038"/>
        <w:numPr>
          <w:ilvl w:val="0"/>
          <w:numId w:val="22"/>
        </w:numPr>
        <w:ind w:firstLine="422"/>
        <w:rPr>
          <w:rFonts w:hint="eastAsia" w:ascii="宋体" w:hAnsi="宋体" w:eastAsia="宋体" w:cs="宋体"/>
          <w:b/>
          <w:bCs/>
          <w:color w:val="000000"/>
          <w:szCs w:val="21"/>
        </w:rPr>
        <w:outlineLvl w:val="3"/>
      </w:pPr>
      <w:r>
        <w:rPr>
          <w:rFonts w:hint="eastAsia" w:ascii="宋体" w:hAnsi="宋体" w:eastAsia="宋体" w:cs="宋体"/>
          <w:b/>
          <w:bCs/>
          <w:color w:val="000000"/>
          <w:szCs w:val="21"/>
        </w:rPr>
        <w:t xml:space="preserve">投标文件的修改</w:t>
      </w:r>
      <w:r>
        <w:rPr>
          <w:rFonts w:hint="eastAsia" w:ascii="宋体" w:hAnsi="宋体" w:eastAsia="宋体" w:cs="宋体"/>
          <w:b/>
          <w:bCs/>
          <w:color w:val="000000"/>
          <w:szCs w:val="21"/>
        </w:rPr>
      </w:r>
      <w:r/>
    </w:p>
    <w:p>
      <w:pPr>
        <w:pStyle w:val="1038"/>
        <w:numPr>
          <w:ilvl w:val="0"/>
          <w:numId w:val="2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投标人可在投标截止时间前对其电子投标文件进行修改，具体操作方法见《操作手册》。</w:t>
      </w:r>
      <w:r>
        <w:rPr>
          <w:rFonts w:hint="eastAsia" w:ascii="宋体" w:hAnsi="宋体" w:eastAsia="宋体" w:cs="宋体"/>
          <w:color w:val="000000"/>
          <w:szCs w:val="21"/>
        </w:rPr>
      </w:r>
      <w:r/>
    </w:p>
    <w:p>
      <w:pPr>
        <w:pStyle w:val="1038"/>
        <w:numPr>
          <w:ilvl w:val="0"/>
          <w:numId w:val="2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投标截止时间之后，投标人不得对其电子投标文件作任何修改。</w:t>
      </w:r>
      <w:r>
        <w:rPr>
          <w:rFonts w:hint="eastAsia" w:ascii="宋体" w:hAnsi="宋体" w:eastAsia="宋体" w:cs="宋体"/>
          <w:color w:val="000000"/>
          <w:szCs w:val="21"/>
        </w:rPr>
      </w:r>
      <w:r/>
    </w:p>
    <w:p>
      <w:pPr>
        <w:pStyle w:val="1038"/>
        <w:numPr>
          <w:ilvl w:val="0"/>
          <w:numId w:val="2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在投标截止时间至招标文件中规定的投标有效期满之间的这段时间内，投标人不得撤回其投标。</w:t>
      </w:r>
      <w:r>
        <w:rPr>
          <w:rFonts w:hint="eastAsia" w:ascii="宋体" w:hAnsi="宋体" w:eastAsia="宋体" w:cs="宋体"/>
          <w:color w:val="000000"/>
          <w:szCs w:val="21"/>
        </w:rPr>
      </w:r>
      <w:r/>
    </w:p>
    <w:p>
      <w:pPr>
        <w:pStyle w:val="1038"/>
        <w:numPr>
          <w:ilvl w:val="0"/>
          <w:numId w:val="20"/>
        </w:numPr>
        <w:ind w:firstLine="422"/>
        <w:rPr>
          <w:rFonts w:hint="eastAsia" w:ascii="宋体" w:hAnsi="宋体" w:eastAsia="宋体" w:cs="宋体"/>
          <w:b/>
          <w:bCs/>
          <w:color w:val="000000"/>
          <w:szCs w:val="21"/>
        </w:rPr>
        <w:outlineLvl w:val="2"/>
      </w:pPr>
      <w:r/>
      <w:bookmarkStart w:id="93" w:name="_Toc209510687"/>
      <w:r/>
      <w:bookmarkStart w:id="94" w:name="_Toc30558"/>
      <w:r/>
      <w:bookmarkStart w:id="95" w:name="_Toc26431"/>
      <w:r>
        <w:rPr>
          <w:rFonts w:hint="eastAsia" w:ascii="宋体" w:hAnsi="宋体" w:eastAsia="宋体" w:cs="宋体"/>
          <w:b/>
          <w:bCs/>
          <w:color w:val="000000"/>
          <w:szCs w:val="21"/>
        </w:rPr>
        <w:t xml:space="preserve">诚实信用</w:t>
      </w:r>
      <w:bookmarkEnd w:id="93"/>
      <w:r/>
      <w:bookmarkEnd w:id="94"/>
      <w:r/>
      <w:bookmarkEnd w:id="95"/>
      <w:r>
        <w:rPr>
          <w:rFonts w:hint="eastAsia" w:ascii="宋体" w:hAnsi="宋体" w:eastAsia="宋体" w:cs="宋体"/>
          <w:b/>
          <w:bCs/>
          <w:color w:val="000000"/>
          <w:szCs w:val="21"/>
        </w:rPr>
      </w:r>
      <w:r/>
    </w:p>
    <w:p>
      <w:pPr>
        <w:pStyle w:val="1038"/>
        <w:numPr>
          <w:ilvl w:val="0"/>
          <w:numId w:val="2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rPr>
      </w:r>
      <w:r/>
    </w:p>
    <w:p>
      <w:pPr>
        <w:pStyle w:val="1038"/>
        <w:numPr>
          <w:ilvl w:val="0"/>
          <w:numId w:val="2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在评标过程中发现投标人有上述情形的，评标委员会应当认定其投标无效，并书面报告本级财政部门。</w:t>
      </w:r>
      <w:r>
        <w:rPr>
          <w:rFonts w:hint="eastAsia" w:ascii="宋体" w:hAnsi="宋体" w:eastAsia="宋体" w:cs="宋体"/>
          <w:color w:val="000000"/>
          <w:szCs w:val="21"/>
        </w:rPr>
      </w:r>
      <w:r/>
    </w:p>
    <w:p>
      <w:pPr>
        <w:pStyle w:val="1038"/>
        <w:numPr>
          <w:ilvl w:val="0"/>
          <w:numId w:val="5"/>
        </w:numPr>
        <w:ind w:firstLine="422"/>
        <w:rPr>
          <w:rFonts w:hint="eastAsia" w:ascii="宋体" w:hAnsi="宋体" w:eastAsia="宋体" w:cs="宋体"/>
          <w:b/>
          <w:bCs/>
          <w:color w:val="000000"/>
          <w:szCs w:val="21"/>
        </w:rPr>
        <w:outlineLvl w:val="1"/>
      </w:pPr>
      <w:r/>
      <w:bookmarkStart w:id="96" w:name="_Toc209510688"/>
      <w:r/>
      <w:bookmarkStart w:id="97" w:name="_Toc27281"/>
      <w:r/>
      <w:bookmarkStart w:id="98" w:name="_Toc18325"/>
      <w:r/>
      <w:bookmarkStart w:id="99" w:name="_Toc24742"/>
      <w:r/>
      <w:bookmarkStart w:id="100" w:name="_Toc9280"/>
      <w:r/>
      <w:bookmarkStart w:id="101" w:name="_Toc209510619"/>
      <w:r/>
      <w:bookmarkStart w:id="102" w:name="_Toc8688"/>
      <w:r/>
      <w:bookmarkStart w:id="103" w:name="_Toc29919"/>
      <w:r/>
      <w:bookmarkStart w:id="104" w:name="_Toc1446"/>
      <w:r>
        <w:rPr>
          <w:rFonts w:hint="eastAsia" w:ascii="宋体" w:hAnsi="宋体" w:eastAsia="宋体" w:cs="宋体"/>
          <w:b/>
          <w:bCs/>
          <w:color w:val="000000"/>
          <w:szCs w:val="21"/>
        </w:rPr>
        <w:t xml:space="preserve">开标、评标与定标</w:t>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b/>
          <w:bCs/>
          <w:color w:val="000000"/>
          <w:szCs w:val="21"/>
        </w:rPr>
      </w:r>
      <w:r/>
    </w:p>
    <w:p>
      <w:pPr>
        <w:pStyle w:val="1038"/>
        <w:numPr>
          <w:ilvl w:val="0"/>
          <w:numId w:val="26"/>
        </w:numPr>
        <w:ind w:firstLine="422"/>
        <w:rPr>
          <w:rFonts w:hint="eastAsia" w:ascii="宋体" w:hAnsi="宋体" w:eastAsia="宋体" w:cs="宋体"/>
          <w:b/>
          <w:bCs/>
          <w:color w:val="000000"/>
          <w:szCs w:val="21"/>
        </w:rPr>
        <w:outlineLvl w:val="2"/>
      </w:pPr>
      <w:r/>
      <w:bookmarkStart w:id="105" w:name="_Toc25729"/>
      <w:r/>
      <w:bookmarkStart w:id="106" w:name="_Toc1365"/>
      <w:r/>
      <w:bookmarkStart w:id="107" w:name="_Toc209510689"/>
      <w:r>
        <w:rPr>
          <w:rFonts w:hint="eastAsia" w:ascii="宋体" w:hAnsi="宋体" w:eastAsia="宋体" w:cs="宋体"/>
          <w:b/>
          <w:bCs/>
          <w:color w:val="000000"/>
          <w:szCs w:val="21"/>
        </w:rPr>
        <w:t xml:space="preserve">开标</w:t>
      </w:r>
      <w:bookmarkEnd w:id="105"/>
      <w:r/>
      <w:bookmarkEnd w:id="106"/>
      <w:r/>
      <w:bookmarkEnd w:id="107"/>
      <w:r>
        <w:rPr>
          <w:rFonts w:hint="eastAsia" w:ascii="宋体" w:hAnsi="宋体" w:eastAsia="宋体" w:cs="宋体"/>
          <w:b/>
          <w:bCs/>
          <w:color w:val="000000"/>
          <w:szCs w:val="21"/>
        </w:rPr>
      </w:r>
      <w:r/>
    </w:p>
    <w:p>
      <w:pPr>
        <w:pStyle w:val="1038"/>
        <w:numPr>
          <w:ilvl w:val="0"/>
          <w:numId w:val="27"/>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lang w:eastAsia="en-US"/>
        </w:rPr>
        <w:t xml:space="preserve">苏采云系统公布各投标人名称和投标价格。</w:t>
      </w:r>
      <w:r>
        <w:rPr>
          <w:rFonts w:hint="eastAsia" w:ascii="宋体" w:hAnsi="宋体" w:eastAsia="宋体" w:cs="宋体"/>
          <w:color w:val="000000"/>
          <w:szCs w:val="21"/>
          <w:lang w:eastAsia="en-US"/>
        </w:rPr>
      </w:r>
      <w:r/>
    </w:p>
    <w:p>
      <w:pPr>
        <w:pStyle w:val="1038"/>
        <w:numPr>
          <w:ilvl w:val="0"/>
          <w:numId w:val="2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投标人在开标过程中涉及到的投标文件解密、开标结果确认等工作，应按照《操作手册》规定执行。</w:t>
      </w:r>
      <w:r>
        <w:rPr>
          <w:rFonts w:hint="eastAsia" w:ascii="宋体" w:hAnsi="宋体" w:eastAsia="宋体" w:cs="宋体"/>
          <w:color w:val="000000"/>
          <w:szCs w:val="21"/>
        </w:rPr>
      </w:r>
      <w:r/>
    </w:p>
    <w:p>
      <w:pPr>
        <w:pStyle w:val="1038"/>
        <w:numPr>
          <w:ilvl w:val="0"/>
          <w:numId w:val="2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投标人不足3家的，不得开标。</w:t>
      </w:r>
      <w:r>
        <w:rPr>
          <w:rFonts w:hint="eastAsia" w:ascii="宋体" w:hAnsi="宋体" w:eastAsia="宋体" w:cs="宋体"/>
          <w:color w:val="000000"/>
          <w:szCs w:val="21"/>
        </w:rPr>
      </w:r>
      <w:r/>
    </w:p>
    <w:p>
      <w:pPr>
        <w:pStyle w:val="1038"/>
        <w:numPr>
          <w:ilvl w:val="0"/>
          <w:numId w:val="2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rPr>
      </w:r>
      <w:r/>
    </w:p>
    <w:p>
      <w:pPr>
        <w:pStyle w:val="1038"/>
        <w:numPr>
          <w:ilvl w:val="0"/>
          <w:numId w:val="26"/>
        </w:numPr>
        <w:ind w:firstLine="422"/>
        <w:rPr>
          <w:rFonts w:hint="eastAsia" w:ascii="宋体" w:hAnsi="宋体" w:eastAsia="宋体" w:cs="宋体"/>
          <w:b/>
          <w:bCs/>
          <w:color w:val="000000"/>
          <w:szCs w:val="21"/>
        </w:rPr>
        <w:outlineLvl w:val="2"/>
      </w:pPr>
      <w:r/>
      <w:bookmarkStart w:id="108" w:name="_Toc209510690"/>
      <w:r/>
      <w:bookmarkStart w:id="109" w:name="_Toc9684"/>
      <w:r/>
      <w:bookmarkStart w:id="110" w:name="_Toc25123"/>
      <w:r>
        <w:rPr>
          <w:rFonts w:hint="eastAsia" w:ascii="宋体" w:hAnsi="宋体" w:eastAsia="宋体" w:cs="宋体"/>
          <w:b/>
          <w:bCs/>
          <w:color w:val="000000"/>
          <w:szCs w:val="21"/>
        </w:rPr>
        <w:t xml:space="preserve">评标</w:t>
      </w:r>
      <w:bookmarkEnd w:id="108"/>
      <w:r/>
      <w:bookmarkEnd w:id="109"/>
      <w:r/>
      <w:bookmarkEnd w:id="110"/>
      <w:r>
        <w:rPr>
          <w:rFonts w:hint="eastAsia" w:ascii="宋体" w:hAnsi="宋体" w:eastAsia="宋体" w:cs="宋体"/>
          <w:b/>
          <w:bCs/>
          <w:color w:val="000000"/>
          <w:szCs w:val="21"/>
        </w:rPr>
      </w:r>
      <w:r/>
    </w:p>
    <w:p>
      <w:pPr>
        <w:pStyle w:val="1038"/>
        <w:numPr>
          <w:ilvl w:val="0"/>
          <w:numId w:val="28"/>
        </w:numPr>
        <w:ind w:firstLine="422"/>
        <w:rPr>
          <w:rFonts w:hint="eastAsia" w:ascii="宋体" w:hAnsi="宋体" w:eastAsia="宋体" w:cs="宋体"/>
          <w:b/>
          <w:bCs/>
          <w:color w:val="000000"/>
          <w:szCs w:val="21"/>
        </w:rPr>
        <w:outlineLvl w:val="3"/>
      </w:pPr>
      <w:r>
        <w:rPr>
          <w:rFonts w:hint="eastAsia" w:ascii="宋体" w:hAnsi="宋体" w:eastAsia="宋体" w:cs="宋体"/>
          <w:b/>
          <w:bCs/>
          <w:color w:val="000000"/>
          <w:szCs w:val="21"/>
        </w:rPr>
        <w:t xml:space="preserve">评标委员会</w:t>
      </w:r>
      <w:r>
        <w:rPr>
          <w:rFonts w:hint="eastAsia" w:ascii="宋体" w:hAnsi="宋体" w:eastAsia="宋体" w:cs="宋体"/>
          <w:b/>
          <w:bCs/>
          <w:color w:val="000000"/>
          <w:szCs w:val="21"/>
        </w:rPr>
      </w:r>
      <w:r/>
    </w:p>
    <w:p>
      <w:pPr>
        <w:pStyle w:val="1038"/>
        <w:numPr>
          <w:ilvl w:val="0"/>
          <w:numId w:val="29"/>
        </w:numPr>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评标由组织评标委员会（以下简称“评委会”）进行。</w:t>
      </w:r>
      <w:r>
        <w:rPr>
          <w:rFonts w:hint="eastAsia" w:ascii="宋体" w:hAnsi="宋体" w:eastAsia="宋体" w:cs="宋体"/>
          <w:bCs/>
          <w:color w:val="000000"/>
          <w:szCs w:val="21"/>
        </w:rPr>
      </w:r>
      <w:r/>
    </w:p>
    <w:p>
      <w:pPr>
        <w:pStyle w:val="1038"/>
        <w:numPr>
          <w:ilvl w:val="0"/>
          <w:numId w:val="29"/>
        </w:numPr>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评委会由采购人代表和有关技术、经济等方面的专家组成，且人员构成符合政府采购有关规定。</w:t>
      </w:r>
      <w:r>
        <w:rPr>
          <w:rFonts w:hint="eastAsia" w:ascii="宋体" w:hAnsi="宋体" w:eastAsia="宋体" w:cs="宋体"/>
          <w:bCs/>
          <w:color w:val="000000"/>
          <w:szCs w:val="21"/>
        </w:rPr>
      </w:r>
      <w:r/>
    </w:p>
    <w:p>
      <w:pPr>
        <w:pStyle w:val="1038"/>
        <w:numPr>
          <w:ilvl w:val="0"/>
          <w:numId w:val="29"/>
        </w:numPr>
        <w:ind w:firstLine="420"/>
        <w:rPr>
          <w:rFonts w:hint="eastAsia" w:ascii="宋体" w:hAnsi="宋体" w:eastAsia="宋体" w:cs="宋体"/>
          <w:bCs/>
          <w:color w:val="000000"/>
          <w:szCs w:val="21"/>
        </w:rPr>
      </w:pPr>
      <w:r>
        <w:rPr>
          <w:rFonts w:hint="eastAsia" w:ascii="宋体" w:hAnsi="宋体" w:eastAsia="宋体" w:cs="宋体"/>
          <w:bCs/>
          <w:color w:val="000000"/>
          <w:szCs w:val="21"/>
        </w:rPr>
        <w:t xml:space="preserve">评委会独立工作，负责评审所有投标文件并推荐中标候选人，或根据采购人授权直接确定中标人。</w:t>
      </w:r>
      <w:r>
        <w:rPr>
          <w:rFonts w:hint="eastAsia" w:ascii="宋体" w:hAnsi="宋体" w:eastAsia="宋体" w:cs="宋体"/>
          <w:bCs/>
          <w:color w:val="000000"/>
          <w:szCs w:val="21"/>
        </w:rPr>
      </w:r>
      <w:r/>
    </w:p>
    <w:p>
      <w:pPr>
        <w:pStyle w:val="1038"/>
        <w:ind w:firstLine="420"/>
        <w:rPr>
          <w:rFonts w:hint="eastAsia" w:ascii="宋体" w:hAnsi="宋体" w:eastAsia="宋体" w:cs="宋体"/>
          <w:b/>
          <w:color w:val="000000"/>
          <w:szCs w:val="21"/>
        </w:rPr>
        <w:outlineLvl w:val="4"/>
      </w:pPr>
      <w:r>
        <w:rPr>
          <w:rFonts w:hint="eastAsia" w:ascii="宋体" w:hAnsi="宋体" w:eastAsia="宋体" w:cs="宋体"/>
          <w:color w:val="000000"/>
          <w:szCs w:val="21"/>
        </w:rPr>
        <w:t xml:space="preserve">22.1.1评标委员会负责具体评标事务，并独立履行下列职责：</w:t>
      </w:r>
      <w:r>
        <w:rPr>
          <w:rFonts w:hint="eastAsia" w:ascii="宋体" w:hAnsi="宋体" w:eastAsia="宋体" w:cs="宋体"/>
          <w:b/>
          <w:color w:val="000000"/>
          <w:szCs w:val="21"/>
        </w:rPr>
      </w:r>
      <w:r/>
    </w:p>
    <w:p>
      <w:pPr>
        <w:pStyle w:val="1038"/>
        <w:numPr>
          <w:ilvl w:val="0"/>
          <w:numId w:val="3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审查、评价投标文件是否符合招标文件的商务、技术等实质性要求；</w:t>
      </w:r>
      <w:r>
        <w:rPr>
          <w:rFonts w:hint="eastAsia" w:ascii="宋体" w:hAnsi="宋体" w:eastAsia="宋体" w:cs="宋体"/>
          <w:color w:val="000000"/>
          <w:szCs w:val="21"/>
        </w:rPr>
      </w:r>
      <w:r/>
    </w:p>
    <w:p>
      <w:pPr>
        <w:pStyle w:val="1038"/>
        <w:numPr>
          <w:ilvl w:val="0"/>
          <w:numId w:val="3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要求投标人对投标文件有关事项作出澄清或者说明；</w:t>
      </w:r>
      <w:r>
        <w:rPr>
          <w:rFonts w:hint="eastAsia" w:ascii="宋体" w:hAnsi="宋体" w:eastAsia="宋体" w:cs="宋体"/>
          <w:color w:val="000000"/>
          <w:szCs w:val="21"/>
        </w:rPr>
      </w:r>
      <w:r/>
    </w:p>
    <w:p>
      <w:pPr>
        <w:pStyle w:val="1038"/>
        <w:numPr>
          <w:ilvl w:val="0"/>
          <w:numId w:val="3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对投标文件进行比较和评价；</w:t>
      </w:r>
      <w:r>
        <w:rPr>
          <w:rFonts w:hint="eastAsia" w:ascii="宋体" w:hAnsi="宋体" w:eastAsia="宋体" w:cs="宋体"/>
          <w:color w:val="000000"/>
          <w:szCs w:val="21"/>
        </w:rPr>
      </w:r>
      <w:r/>
    </w:p>
    <w:p>
      <w:pPr>
        <w:pStyle w:val="1038"/>
        <w:numPr>
          <w:ilvl w:val="0"/>
          <w:numId w:val="3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确定中标候选人名单，以及根据采购人委托直接确定中标人；</w:t>
      </w:r>
      <w:r>
        <w:rPr>
          <w:rFonts w:hint="eastAsia" w:ascii="宋体" w:hAnsi="宋体" w:eastAsia="宋体" w:cs="宋体"/>
          <w:color w:val="000000"/>
          <w:szCs w:val="21"/>
        </w:rPr>
      </w:r>
      <w:r/>
    </w:p>
    <w:p>
      <w:pPr>
        <w:pStyle w:val="1038"/>
        <w:numPr>
          <w:ilvl w:val="0"/>
          <w:numId w:val="3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向采购人、采购代理机构或者有关部门报告评标中发现的违法行为。</w:t>
      </w:r>
      <w:r>
        <w:rPr>
          <w:rFonts w:hint="eastAsia" w:ascii="宋体" w:hAnsi="宋体" w:eastAsia="宋体" w:cs="宋体"/>
          <w:color w:val="000000"/>
          <w:szCs w:val="21"/>
        </w:rPr>
      </w:r>
      <w:r/>
    </w:p>
    <w:p>
      <w:pPr>
        <w:pStyle w:val="1038"/>
        <w:numPr>
          <w:ilvl w:val="0"/>
          <w:numId w:val="28"/>
        </w:numPr>
        <w:ind w:firstLine="422"/>
        <w:rPr>
          <w:rFonts w:hint="eastAsia" w:ascii="宋体" w:hAnsi="宋体" w:eastAsia="宋体" w:cs="宋体"/>
          <w:b/>
          <w:bCs/>
          <w:color w:val="000000"/>
          <w:szCs w:val="21"/>
        </w:rPr>
        <w:outlineLvl w:val="3"/>
      </w:pPr>
      <w:r>
        <w:rPr>
          <w:rFonts w:hint="eastAsia" w:ascii="宋体" w:hAnsi="宋体" w:eastAsia="宋体" w:cs="宋体"/>
          <w:b/>
          <w:bCs/>
          <w:color w:val="000000"/>
          <w:szCs w:val="21"/>
        </w:rPr>
        <w:t xml:space="preserve">评标程序</w:t>
      </w:r>
      <w:r>
        <w:rPr>
          <w:rFonts w:hint="eastAsia" w:ascii="宋体" w:hAnsi="宋体" w:eastAsia="宋体" w:cs="宋体"/>
          <w:b/>
          <w:bCs/>
          <w:color w:val="000000"/>
          <w:szCs w:val="21"/>
        </w:rPr>
      </w:r>
      <w:r/>
    </w:p>
    <w:p>
      <w:pPr>
        <w:pStyle w:val="1038"/>
        <w:numPr>
          <w:ilvl w:val="0"/>
          <w:numId w:val="31"/>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投标文件的资格性检查。</w:t>
      </w:r>
      <w:r>
        <w:rPr>
          <w:rFonts w:hint="eastAsia" w:ascii="宋体" w:hAnsi="宋体" w:eastAsia="宋体" w:cs="宋体"/>
          <w:color w:val="000000"/>
          <w:szCs w:val="21"/>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rPr>
      </w:r>
      <w:r/>
    </w:p>
    <w:p>
      <w:pPr>
        <w:pStyle w:val="1038"/>
        <w:numPr>
          <w:ilvl w:val="0"/>
          <w:numId w:val="31"/>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投标人在“苏采云”系统规定的时间内未成功解密电子投标文件的；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投标人未按照招标文件要求上传电子投标文件的；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同一投标人提交两个（含两个）以上不同的投标报价的；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投标文件未按照招标文件要求加盖电子公章的；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不具备招标文件中规定的资格要求的；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报价超过招标文件中规定的预算金额或者最高限价的；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投标文件含有采购人不能接受的附加条件的；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投标文件内容不全或不符合招标文件中规定的其他实质性要求的；</w:t>
      </w:r>
      <w:r>
        <w:rPr>
          <w:rFonts w:hint="eastAsia" w:ascii="宋体" w:hAnsi="宋体" w:eastAsia="宋体" w:cs="宋体"/>
          <w:b/>
          <w:color w:val="000000"/>
          <w:szCs w:val="21"/>
        </w:rPr>
      </w:r>
      <w:r/>
    </w:p>
    <w:p>
      <w:pPr>
        <w:pStyle w:val="1038"/>
        <w:numPr>
          <w:ilvl w:val="0"/>
          <w:numId w:val="32"/>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现行法律、法规、规章和招标文件规定的其他无效情形。</w:t>
      </w:r>
      <w:r>
        <w:rPr>
          <w:rFonts w:hint="eastAsia" w:ascii="宋体" w:hAnsi="宋体" w:eastAsia="宋体" w:cs="宋体"/>
          <w:b/>
          <w:color w:val="000000"/>
          <w:szCs w:val="21"/>
        </w:rPr>
      </w:r>
      <w:r/>
    </w:p>
    <w:p>
      <w:pPr>
        <w:pStyle w:val="1038"/>
        <w:numPr>
          <w:ilvl w:val="0"/>
          <w:numId w:val="33"/>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实质性要求是指本招标文件中用带星号（“★”）等或者其他明确要求的废标的商务和技术要求。</w:t>
      </w:r>
      <w:r>
        <w:rPr>
          <w:rFonts w:hint="eastAsia" w:ascii="宋体" w:hAnsi="宋体" w:eastAsia="宋体" w:cs="宋体"/>
          <w:b/>
          <w:color w:val="000000"/>
          <w:szCs w:val="21"/>
        </w:rPr>
      </w:r>
      <w:r/>
    </w:p>
    <w:p>
      <w:pPr>
        <w:pStyle w:val="1038"/>
        <w:numPr>
          <w:ilvl w:val="0"/>
          <w:numId w:val="33"/>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rPr>
      </w:r>
      <w:r/>
    </w:p>
    <w:p>
      <w:pPr>
        <w:pStyle w:val="1038"/>
        <w:numPr>
          <w:ilvl w:val="0"/>
          <w:numId w:val="33"/>
        </w:numPr>
        <w:ind w:firstLine="422"/>
        <w:rPr>
          <w:rFonts w:hint="eastAsia" w:ascii="宋体" w:hAnsi="宋体" w:eastAsia="宋体" w:cs="宋体"/>
          <w:b/>
          <w:color w:val="000000"/>
          <w:szCs w:val="21"/>
        </w:rPr>
      </w:pPr>
      <w:r>
        <w:rPr>
          <w:rFonts w:hint="eastAsia" w:ascii="宋体" w:hAnsi="宋体" w:eastAsia="宋体" w:cs="宋体"/>
          <w:b/>
          <w:color w:val="000000"/>
          <w:szCs w:val="21"/>
        </w:rPr>
        <w:t xml:space="preserve">有下列情形之一的予以废标：</w:t>
      </w:r>
      <w:r>
        <w:rPr>
          <w:rFonts w:hint="eastAsia" w:ascii="宋体" w:hAnsi="宋体" w:eastAsia="宋体" w:cs="宋体"/>
          <w:b/>
          <w:color w:val="000000"/>
          <w:szCs w:val="21"/>
        </w:rPr>
      </w:r>
      <w:r/>
    </w:p>
    <w:p>
      <w:pPr>
        <w:pStyle w:val="1038"/>
        <w:numPr>
          <w:ilvl w:val="0"/>
          <w:numId w:val="3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符合专业条件的投标人或者对招标文件作实质性响应的投标人不足三家的；</w:t>
      </w:r>
      <w:r>
        <w:rPr>
          <w:rFonts w:hint="eastAsia" w:ascii="宋体" w:hAnsi="宋体" w:eastAsia="宋体" w:cs="宋体"/>
          <w:color w:val="000000"/>
          <w:szCs w:val="21"/>
        </w:rPr>
      </w:r>
      <w:r/>
    </w:p>
    <w:p>
      <w:pPr>
        <w:pStyle w:val="1038"/>
        <w:numPr>
          <w:ilvl w:val="0"/>
          <w:numId w:val="3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出现影响采购公正的违法、违规行为的；</w:t>
      </w:r>
      <w:r>
        <w:rPr>
          <w:rFonts w:hint="eastAsia" w:ascii="宋体" w:hAnsi="宋体" w:eastAsia="宋体" w:cs="宋体"/>
          <w:color w:val="000000"/>
          <w:szCs w:val="21"/>
        </w:rPr>
      </w:r>
      <w:r/>
    </w:p>
    <w:p>
      <w:pPr>
        <w:pStyle w:val="1038"/>
        <w:numPr>
          <w:ilvl w:val="0"/>
          <w:numId w:val="3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投标人的报价均超过了采购预算，采购人不能支付的；</w:t>
      </w:r>
      <w:r>
        <w:rPr>
          <w:rFonts w:hint="eastAsia" w:ascii="宋体" w:hAnsi="宋体" w:eastAsia="宋体" w:cs="宋体"/>
          <w:color w:val="000000"/>
          <w:szCs w:val="21"/>
        </w:rPr>
      </w:r>
      <w:r/>
    </w:p>
    <w:p>
      <w:pPr>
        <w:pStyle w:val="1038"/>
        <w:numPr>
          <w:ilvl w:val="0"/>
          <w:numId w:val="3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因苏采云系统故障造成开标不成功的；</w:t>
      </w:r>
      <w:r>
        <w:rPr>
          <w:rFonts w:hint="eastAsia" w:ascii="宋体" w:hAnsi="宋体" w:eastAsia="宋体" w:cs="宋体"/>
          <w:color w:val="000000"/>
          <w:szCs w:val="21"/>
        </w:rPr>
      </w:r>
      <w:r/>
    </w:p>
    <w:p>
      <w:pPr>
        <w:pStyle w:val="1038"/>
        <w:numPr>
          <w:ilvl w:val="0"/>
          <w:numId w:val="3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因重大变故，采购任务取消的。</w:t>
      </w:r>
      <w:r>
        <w:rPr>
          <w:rFonts w:hint="eastAsia" w:ascii="宋体" w:hAnsi="宋体" w:eastAsia="宋体" w:cs="宋体"/>
          <w:color w:val="000000"/>
          <w:szCs w:val="21"/>
        </w:rPr>
      </w:r>
      <w:r/>
    </w:p>
    <w:p>
      <w:pPr>
        <w:pStyle w:val="1038"/>
        <w:numPr>
          <w:ilvl w:val="0"/>
          <w:numId w:val="34"/>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rPr>
      </w:r>
      <w:r/>
    </w:p>
    <w:p>
      <w:pPr>
        <w:pStyle w:val="1038"/>
        <w:numPr>
          <w:ilvl w:val="0"/>
          <w:numId w:val="31"/>
        </w:numPr>
        <w:ind w:firstLine="422"/>
        <w:rPr>
          <w:rFonts w:hint="eastAsia" w:ascii="宋体" w:hAnsi="宋体" w:eastAsia="宋体" w:cs="宋体"/>
          <w:color w:val="000000"/>
          <w:szCs w:val="21"/>
          <w:lang w:eastAsia="en-US"/>
        </w:rPr>
      </w:pPr>
      <w:r>
        <w:rPr>
          <w:rFonts w:hint="eastAsia" w:ascii="宋体" w:hAnsi="宋体" w:eastAsia="宋体" w:cs="宋体"/>
          <w:b/>
          <w:color w:val="000000"/>
          <w:szCs w:val="21"/>
          <w:lang w:eastAsia="en-US"/>
        </w:rPr>
        <w:t xml:space="preserve">澄清有关问题</w:t>
      </w:r>
      <w:r>
        <w:rPr>
          <w:rFonts w:hint="eastAsia" w:ascii="宋体" w:hAnsi="宋体" w:eastAsia="宋体" w:cs="宋体"/>
          <w:color w:val="000000"/>
          <w:szCs w:val="21"/>
          <w:lang w:eastAsia="en-US"/>
        </w:rPr>
        <w:t xml:space="preserve">。</w:t>
      </w:r>
      <w:r>
        <w:rPr>
          <w:rFonts w:hint="eastAsia" w:ascii="宋体" w:hAnsi="宋体" w:eastAsia="宋体" w:cs="宋体"/>
          <w:color w:val="000000"/>
          <w:szCs w:val="21"/>
          <w:lang w:eastAsia="en-US"/>
        </w:rPr>
      </w:r>
      <w:r/>
    </w:p>
    <w:p>
      <w:pPr>
        <w:pStyle w:val="1038"/>
        <w:numPr>
          <w:ilvl w:val="0"/>
          <w:numId w:val="3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投标人的澄清、说明或者补正不得超出投标文件的范围或者改变投标文件的实质性内容。</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评委会并非对每个投标人都做澄清要求。</w:t>
      </w:r>
      <w:r>
        <w:rPr>
          <w:rFonts w:hint="eastAsia" w:ascii="宋体" w:hAnsi="宋体" w:eastAsia="宋体" w:cs="宋体"/>
          <w:color w:val="000000"/>
          <w:szCs w:val="21"/>
        </w:rPr>
      </w:r>
      <w:r/>
    </w:p>
    <w:p>
      <w:pPr>
        <w:pStyle w:val="1038"/>
        <w:numPr>
          <w:ilvl w:val="0"/>
          <w:numId w:val="3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rPr>
      </w:r>
      <w:r/>
    </w:p>
    <w:p>
      <w:pPr>
        <w:pStyle w:val="1038"/>
        <w:numPr>
          <w:ilvl w:val="0"/>
          <w:numId w:val="3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接到评委会澄清、说明和补正要求的，投标人如未按规定作出澄清、说明和补正，其风险由投标人自行承担。</w:t>
      </w:r>
      <w:r>
        <w:rPr>
          <w:rFonts w:hint="eastAsia" w:ascii="宋体" w:hAnsi="宋体" w:eastAsia="宋体" w:cs="宋体"/>
          <w:color w:val="000000"/>
          <w:szCs w:val="21"/>
        </w:rPr>
      </w:r>
      <w:r/>
    </w:p>
    <w:p>
      <w:pPr>
        <w:pStyle w:val="1038"/>
        <w:numPr>
          <w:ilvl w:val="0"/>
          <w:numId w:val="35"/>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投标人在开、评标全过程中应保持通讯畅通，及时登录苏采云系统查阅、答复相关信息，并安排专人与代理机构及评委会联系。</w:t>
      </w:r>
      <w:r>
        <w:rPr>
          <w:rFonts w:hint="eastAsia" w:ascii="宋体" w:hAnsi="宋体" w:eastAsia="宋体" w:cs="宋体"/>
          <w:color w:val="000000"/>
          <w:szCs w:val="21"/>
        </w:rPr>
      </w:r>
      <w:r/>
    </w:p>
    <w:p>
      <w:pPr>
        <w:pStyle w:val="1038"/>
        <w:numPr>
          <w:ilvl w:val="0"/>
          <w:numId w:val="31"/>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rPr>
      </w:r>
      <w:r/>
    </w:p>
    <w:p>
      <w:pPr>
        <w:pStyle w:val="1038"/>
        <w:numPr>
          <w:ilvl w:val="0"/>
          <w:numId w:val="31"/>
        </w:numPr>
        <w:ind w:firstLine="420"/>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相同品牌产品的投标</w:t>
      </w:r>
      <w:r>
        <w:rPr>
          <w:rFonts w:hint="eastAsia" w:ascii="宋体" w:hAnsi="宋体" w:eastAsia="宋体" w:cs="宋体"/>
          <w:color w:val="000000"/>
          <w:szCs w:val="21"/>
          <w:lang w:eastAsia="en-US"/>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rPr>
      </w:r>
      <w:r/>
    </w:p>
    <w:p>
      <w:pPr>
        <w:pStyle w:val="1038"/>
        <w:ind w:left="118" w:firstLine="422"/>
        <w:jc w:val="left"/>
        <w:rPr>
          <w:rFonts w:hint="eastAsia" w:ascii="宋体" w:hAnsi="宋体" w:eastAsia="宋体" w:cs="宋体"/>
          <w:color w:val="000000"/>
          <w:szCs w:val="21"/>
        </w:rPr>
      </w:pPr>
      <w:r>
        <w:rPr>
          <w:rFonts w:hint="eastAsia" w:ascii="宋体" w:hAnsi="宋体" w:eastAsia="宋体" w:cs="宋体"/>
          <w:b/>
          <w:bCs/>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rPr>
      </w:r>
      <w:r/>
    </w:p>
    <w:p>
      <w:pPr>
        <w:pStyle w:val="1038"/>
        <w:ind w:left="118" w:firstLine="422"/>
        <w:jc w:val="left"/>
        <w:rPr>
          <w:rFonts w:hint="eastAsia" w:ascii="宋体" w:hAnsi="宋体" w:eastAsia="宋体" w:cs="宋体"/>
          <w:b/>
          <w:bCs/>
          <w:color w:val="000000"/>
          <w:szCs w:val="21"/>
        </w:rPr>
      </w:pPr>
      <w:r>
        <w:rPr>
          <w:rFonts w:hint="eastAsia" w:ascii="宋体" w:hAnsi="宋体" w:eastAsia="宋体" w:cs="宋体"/>
          <w:b/>
          <w:bCs/>
          <w:color w:val="000000"/>
          <w:szCs w:val="21"/>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rPr>
      </w:r>
      <w:r/>
    </w:p>
    <w:p>
      <w:pPr>
        <w:pStyle w:val="1038"/>
        <w:numPr>
          <w:ilvl w:val="0"/>
          <w:numId w:val="28"/>
        </w:numPr>
        <w:ind w:firstLine="422"/>
        <w:rPr>
          <w:rFonts w:hint="eastAsia" w:ascii="宋体" w:hAnsi="宋体" w:eastAsia="宋体" w:cs="宋体"/>
          <w:b/>
          <w:bCs/>
          <w:color w:val="000000"/>
          <w:szCs w:val="21"/>
        </w:rPr>
        <w:outlineLvl w:val="3"/>
      </w:pPr>
      <w:r>
        <w:rPr>
          <w:rFonts w:hint="eastAsia" w:ascii="宋体" w:hAnsi="宋体" w:eastAsia="宋体" w:cs="宋体"/>
          <w:b/>
          <w:bCs/>
          <w:color w:val="000000"/>
          <w:szCs w:val="21"/>
        </w:rPr>
        <w:t xml:space="preserve">评标方法和标准</w:t>
      </w:r>
      <w:r>
        <w:rPr>
          <w:rFonts w:hint="eastAsia" w:ascii="宋体" w:hAnsi="宋体" w:eastAsia="宋体" w:cs="宋体"/>
          <w:b/>
          <w:bCs/>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22.3.1 采用综合评分法的，评标结果按评审后最终得分由高到低进行排名，得分相同的，按投标报价由低到高顺序排列。得分且投标报价相同的，按技术部分方案优劣顺序排列。</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22.3.2评审过程中出现下列情形之一的，评审委员会应当启动异常低价投标(响应)审查程序:</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（1）投标（响应）报价低于全部通过符合性审查供应商投标（响应）报价平均值</w:t>
      </w:r>
      <w:r>
        <w:rPr>
          <w:rFonts w:hint="eastAsia" w:ascii="宋体" w:hAnsi="宋体" w:eastAsia="宋体" w:cs="宋体"/>
          <w:color w:val="000000"/>
          <w:szCs w:val="21"/>
          <w:lang w:val="en-US" w:eastAsia="zh-CN"/>
        </w:rPr>
        <w:t xml:space="preserve">65</w:t>
      </w:r>
      <w:r>
        <w:rPr>
          <w:rFonts w:hint="eastAsia" w:ascii="宋体" w:hAnsi="宋体" w:eastAsia="宋体" w:cs="宋体"/>
          <w:color w:val="000000"/>
          <w:szCs w:val="21"/>
        </w:rPr>
        <w:t xml:space="preserve">%的，即投标（响应）报价&lt;全部通过符合性审查供应商投标（响应）报价平均值×</w:t>
      </w:r>
      <w:r>
        <w:rPr>
          <w:rFonts w:hint="eastAsia" w:ascii="宋体" w:hAnsi="宋体" w:eastAsia="宋体" w:cs="宋体"/>
          <w:color w:val="000000"/>
          <w:szCs w:val="21"/>
          <w:lang w:val="en-US" w:eastAsia="zh-CN"/>
        </w:rPr>
        <w:t xml:space="preserve">65</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（2）投标（响应）报价低于通过符合性审查的次低报价供应商投标（响应）报价</w:t>
      </w:r>
      <w:r>
        <w:rPr>
          <w:rFonts w:hint="eastAsia" w:ascii="宋体" w:hAnsi="宋体" w:eastAsia="宋体" w:cs="宋体"/>
          <w:color w:val="000000"/>
          <w:szCs w:val="21"/>
          <w:lang w:val="en-US" w:eastAsia="zh-CN"/>
        </w:rPr>
        <w:t xml:space="preserve">65</w:t>
      </w:r>
      <w:r>
        <w:rPr>
          <w:rFonts w:hint="eastAsia" w:ascii="宋体" w:hAnsi="宋体" w:eastAsia="宋体" w:cs="宋体"/>
          <w:color w:val="000000"/>
          <w:szCs w:val="21"/>
        </w:rPr>
        <w:t xml:space="preserve">%的，即投标（响应）报价&lt;通过符合性审查的次低报价供应商投标（响应）报价×</w:t>
      </w:r>
      <w:r>
        <w:rPr>
          <w:rFonts w:hint="eastAsia" w:ascii="宋体" w:hAnsi="宋体" w:eastAsia="宋体" w:cs="宋体"/>
          <w:color w:val="000000"/>
          <w:szCs w:val="21"/>
          <w:lang w:val="en-US" w:eastAsia="zh-CN"/>
        </w:rPr>
        <w:t xml:space="preserve">65</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（3）投标（响应）报价低于采购项目最高限价</w:t>
      </w:r>
      <w:r>
        <w:rPr>
          <w:rFonts w:hint="eastAsia" w:ascii="宋体" w:hAnsi="宋体" w:eastAsia="宋体" w:cs="宋体"/>
          <w:color w:val="000000"/>
          <w:szCs w:val="21"/>
          <w:lang w:val="en-US" w:eastAsia="zh-CN"/>
        </w:rPr>
        <w:t xml:space="preserve">65</w:t>
      </w:r>
      <w:r>
        <w:rPr>
          <w:rFonts w:hint="eastAsia" w:ascii="宋体" w:hAnsi="宋体" w:eastAsia="宋体" w:cs="宋体"/>
          <w:color w:val="000000"/>
          <w:szCs w:val="21"/>
        </w:rPr>
        <w:t xml:space="preserve">%的，即投标（响应）报价&lt;采购项目最高限价×</w:t>
      </w:r>
      <w:r>
        <w:rPr>
          <w:rFonts w:hint="eastAsia" w:ascii="宋体" w:hAnsi="宋体" w:eastAsia="宋体" w:cs="宋体"/>
          <w:color w:val="000000"/>
          <w:szCs w:val="21"/>
          <w:lang w:val="en-US" w:eastAsia="zh-CN"/>
        </w:rPr>
        <w:t xml:space="preserve">65</w:t>
      </w:r>
      <w:r>
        <w:rPr>
          <w:rFonts w:hint="eastAsia" w:ascii="宋体" w:hAnsi="宋体" w:eastAsia="宋体" w:cs="宋体"/>
          <w:color w:val="000000"/>
          <w:szCs w:val="21"/>
        </w:rPr>
        <w:t xml:space="preserve">%； </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（4）评审委员会基于专业判断，认为供应商报价过低，有可能影响产品质量或者不能诚信履约的其他情形。 </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rPr>
      </w:r>
      <w:r/>
    </w:p>
    <w:p>
      <w:pPr>
        <w:pStyle w:val="1038"/>
        <w:numPr>
          <w:ilvl w:val="0"/>
          <w:numId w:val="26"/>
        </w:numPr>
        <w:ind w:firstLine="422"/>
        <w:rPr>
          <w:rFonts w:hint="eastAsia" w:ascii="宋体" w:hAnsi="宋体" w:eastAsia="宋体" w:cs="宋体"/>
          <w:b/>
          <w:bCs/>
          <w:color w:val="000000"/>
          <w:szCs w:val="21"/>
        </w:rPr>
        <w:outlineLvl w:val="2"/>
      </w:pPr>
      <w:r/>
      <w:bookmarkStart w:id="111" w:name="_Toc25592"/>
      <w:r/>
      <w:bookmarkStart w:id="112" w:name="_Toc26076"/>
      <w:r/>
      <w:bookmarkStart w:id="113" w:name="_Toc209510691"/>
      <w:r>
        <w:rPr>
          <w:rFonts w:hint="eastAsia" w:ascii="宋体" w:hAnsi="宋体" w:eastAsia="宋体" w:cs="宋体"/>
          <w:b/>
          <w:bCs/>
          <w:color w:val="000000"/>
          <w:szCs w:val="21"/>
        </w:rPr>
        <w:t xml:space="preserve">确定中标人</w:t>
      </w:r>
      <w:bookmarkEnd w:id="111"/>
      <w:r/>
      <w:bookmarkEnd w:id="112"/>
      <w:r/>
      <w:bookmarkEnd w:id="113"/>
      <w:r>
        <w:rPr>
          <w:rFonts w:hint="eastAsia" w:ascii="宋体" w:hAnsi="宋体" w:eastAsia="宋体" w:cs="宋体"/>
          <w:b/>
          <w:bCs/>
          <w:color w:val="000000"/>
          <w:szCs w:val="21"/>
        </w:rPr>
      </w:r>
      <w:r/>
    </w:p>
    <w:p>
      <w:pPr>
        <w:pStyle w:val="1038"/>
        <w:numPr>
          <w:ilvl w:val="0"/>
          <w:numId w:val="36"/>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rPr>
      </w:r>
      <w:r/>
    </w:p>
    <w:p>
      <w:pPr>
        <w:pStyle w:val="1038"/>
        <w:numPr>
          <w:ilvl w:val="0"/>
          <w:numId w:val="36"/>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按以下第（2）种方式确定中标人：</w:t>
      </w:r>
      <w:r>
        <w:rPr>
          <w:rFonts w:hint="eastAsia" w:ascii="宋体" w:hAnsi="宋体" w:eastAsia="宋体" w:cs="宋体"/>
          <w:color w:val="000000"/>
          <w:szCs w:val="21"/>
        </w:rPr>
      </w:r>
      <w:r/>
    </w:p>
    <w:p>
      <w:pPr>
        <w:pStyle w:val="1038"/>
        <w:numPr>
          <w:ilvl w:val="0"/>
          <w:numId w:val="3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评委会直接确定排名第一的中标候选人为中标人；</w:t>
      </w:r>
      <w:r>
        <w:rPr>
          <w:rFonts w:hint="eastAsia" w:ascii="宋体" w:hAnsi="宋体" w:eastAsia="宋体" w:cs="宋体"/>
          <w:color w:val="000000"/>
          <w:szCs w:val="21"/>
        </w:rPr>
      </w:r>
      <w:r/>
    </w:p>
    <w:p>
      <w:pPr>
        <w:pStyle w:val="1038"/>
        <w:numPr>
          <w:ilvl w:val="0"/>
          <w:numId w:val="37"/>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采购人在评委会推荐的中标候选人中按顺序确定中标人。</w:t>
      </w:r>
      <w:r>
        <w:rPr>
          <w:rFonts w:hint="eastAsia" w:ascii="宋体" w:hAnsi="宋体" w:eastAsia="宋体" w:cs="宋体"/>
          <w:color w:val="000000"/>
          <w:szCs w:val="21"/>
        </w:rPr>
      </w:r>
      <w:r/>
    </w:p>
    <w:p>
      <w:pPr>
        <w:pStyle w:val="1038"/>
        <w:ind w:left="118"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rPr>
      </w:r>
      <w:r/>
    </w:p>
    <w:p>
      <w:pPr>
        <w:pStyle w:val="1038"/>
        <w:numPr>
          <w:ilvl w:val="0"/>
          <w:numId w:val="36"/>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中标人确定后，将在“江苏政府采购网”发布中标公告，公告期限为1个工作日。</w:t>
      </w:r>
      <w:r>
        <w:rPr>
          <w:rFonts w:hint="eastAsia" w:ascii="宋体" w:hAnsi="宋体" w:eastAsia="宋体" w:cs="宋体"/>
          <w:color w:val="000000"/>
          <w:szCs w:val="21"/>
        </w:rPr>
      </w:r>
      <w:r/>
    </w:p>
    <w:p>
      <w:pPr>
        <w:pStyle w:val="1038"/>
        <w:numPr>
          <w:ilvl w:val="0"/>
          <w:numId w:val="26"/>
        </w:numPr>
        <w:ind w:firstLine="422"/>
        <w:rPr>
          <w:rFonts w:hint="eastAsia" w:ascii="宋体" w:hAnsi="宋体" w:eastAsia="宋体" w:cs="宋体"/>
          <w:b/>
          <w:bCs/>
          <w:color w:val="000000"/>
          <w:szCs w:val="21"/>
        </w:rPr>
        <w:outlineLvl w:val="2"/>
      </w:pPr>
      <w:r/>
      <w:bookmarkStart w:id="114" w:name="_Toc2975"/>
      <w:r/>
      <w:bookmarkStart w:id="115" w:name="_Toc209510692"/>
      <w:r/>
      <w:bookmarkStart w:id="116" w:name="_Toc26615"/>
      <w:r>
        <w:rPr>
          <w:rFonts w:hint="eastAsia" w:ascii="宋体" w:hAnsi="宋体" w:eastAsia="宋体" w:cs="宋体"/>
          <w:b/>
          <w:bCs/>
          <w:color w:val="000000"/>
          <w:szCs w:val="21"/>
        </w:rPr>
        <w:t xml:space="preserve">中标通知书</w:t>
      </w:r>
      <w:bookmarkEnd w:id="114"/>
      <w:r/>
      <w:bookmarkEnd w:id="115"/>
      <w:r/>
      <w:bookmarkEnd w:id="116"/>
      <w:r>
        <w:rPr>
          <w:rFonts w:hint="eastAsia" w:ascii="宋体" w:hAnsi="宋体" w:eastAsia="宋体" w:cs="宋体"/>
          <w:b/>
          <w:bCs/>
          <w:color w:val="000000"/>
          <w:szCs w:val="21"/>
        </w:rPr>
      </w:r>
      <w:r/>
    </w:p>
    <w:p>
      <w:pPr>
        <w:pStyle w:val="1038"/>
        <w:numPr>
          <w:ilvl w:val="0"/>
          <w:numId w:val="3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rPr>
      </w:r>
      <w:r/>
    </w:p>
    <w:p>
      <w:pPr>
        <w:pStyle w:val="1038"/>
        <w:numPr>
          <w:ilvl w:val="0"/>
          <w:numId w:val="38"/>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rPr>
      </w:r>
      <w:r/>
    </w:p>
    <w:p>
      <w:pPr>
        <w:pStyle w:val="1038"/>
        <w:numPr>
          <w:ilvl w:val="0"/>
          <w:numId w:val="26"/>
        </w:numPr>
        <w:ind w:firstLine="422"/>
        <w:rPr>
          <w:rFonts w:hint="eastAsia" w:ascii="宋体" w:hAnsi="宋体" w:eastAsia="宋体" w:cs="宋体"/>
          <w:b/>
          <w:bCs/>
          <w:color w:val="000000"/>
          <w:szCs w:val="21"/>
        </w:rPr>
        <w:outlineLvl w:val="2"/>
      </w:pPr>
      <w:r/>
      <w:bookmarkStart w:id="117" w:name="_Toc29988"/>
      <w:r/>
      <w:bookmarkStart w:id="118" w:name="_Toc26307"/>
      <w:r/>
      <w:bookmarkStart w:id="119" w:name="_Toc209510693"/>
      <w:r>
        <w:rPr>
          <w:rFonts w:hint="eastAsia" w:ascii="宋体" w:hAnsi="宋体" w:eastAsia="宋体" w:cs="宋体"/>
          <w:b/>
          <w:bCs/>
          <w:color w:val="000000"/>
          <w:szCs w:val="21"/>
        </w:rPr>
        <w:t xml:space="preserve">评标过程的保密性</w:t>
      </w:r>
      <w:bookmarkEnd w:id="117"/>
      <w:r/>
      <w:bookmarkEnd w:id="118"/>
      <w:r/>
      <w:bookmarkEnd w:id="119"/>
      <w:r>
        <w:rPr>
          <w:rFonts w:hint="eastAsia" w:ascii="宋体" w:hAnsi="宋体" w:eastAsia="宋体" w:cs="宋体"/>
          <w:b/>
          <w:bCs/>
          <w:color w:val="000000"/>
          <w:szCs w:val="21"/>
        </w:rPr>
      </w:r>
      <w:r/>
    </w:p>
    <w:p>
      <w:pPr>
        <w:pStyle w:val="1038"/>
        <w:numPr>
          <w:ilvl w:val="0"/>
          <w:numId w:val="3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rPr>
      </w:r>
      <w:r/>
    </w:p>
    <w:p>
      <w:pPr>
        <w:pStyle w:val="1038"/>
        <w:numPr>
          <w:ilvl w:val="0"/>
          <w:numId w:val="3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投标人不得以任何方式影响评标，否则其投标文件将被作为无效投标文件。</w:t>
      </w:r>
      <w:r>
        <w:rPr>
          <w:rFonts w:hint="eastAsia" w:ascii="宋体" w:hAnsi="宋体" w:eastAsia="宋体" w:cs="宋体"/>
          <w:color w:val="000000"/>
          <w:szCs w:val="21"/>
        </w:rPr>
      </w:r>
      <w:r/>
    </w:p>
    <w:p>
      <w:pPr>
        <w:pStyle w:val="1038"/>
        <w:numPr>
          <w:ilvl w:val="0"/>
          <w:numId w:val="3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采购人和评委会不向未中标的投标人解释未中标原因，也不公布评标过程中的相关细节。</w:t>
      </w:r>
      <w:r>
        <w:rPr>
          <w:rFonts w:hint="eastAsia" w:ascii="宋体" w:hAnsi="宋体" w:eastAsia="宋体" w:cs="宋体"/>
          <w:color w:val="000000"/>
          <w:szCs w:val="21"/>
        </w:rPr>
      </w:r>
      <w:r/>
    </w:p>
    <w:p>
      <w:pPr>
        <w:pStyle w:val="1038"/>
        <w:numPr>
          <w:ilvl w:val="0"/>
          <w:numId w:val="39"/>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rPr>
      </w:r>
      <w:r/>
    </w:p>
    <w:p>
      <w:pPr>
        <w:pStyle w:val="1038"/>
        <w:numPr>
          <w:ilvl w:val="0"/>
          <w:numId w:val="5"/>
        </w:numPr>
        <w:ind w:firstLine="422"/>
        <w:rPr>
          <w:rFonts w:hint="eastAsia" w:ascii="宋体" w:hAnsi="宋体" w:eastAsia="宋体" w:cs="宋体"/>
          <w:b/>
          <w:bCs/>
          <w:color w:val="000000"/>
          <w:szCs w:val="21"/>
        </w:rPr>
        <w:outlineLvl w:val="1"/>
      </w:pPr>
      <w:r/>
      <w:bookmarkStart w:id="120" w:name="_Toc22453"/>
      <w:r/>
      <w:bookmarkStart w:id="121" w:name="_Toc17865"/>
      <w:r/>
      <w:bookmarkStart w:id="122" w:name="_Toc464"/>
      <w:r/>
      <w:bookmarkStart w:id="123" w:name="_Toc15223"/>
      <w:r/>
      <w:bookmarkStart w:id="124" w:name="_Toc209510620"/>
      <w:r/>
      <w:bookmarkStart w:id="125" w:name="_Toc5176"/>
      <w:r/>
      <w:bookmarkStart w:id="126" w:name="_Toc7293"/>
      <w:r/>
      <w:bookmarkStart w:id="127" w:name="_Toc17174"/>
      <w:r/>
      <w:bookmarkStart w:id="128" w:name="_Toc209510694"/>
      <w:r>
        <w:rPr>
          <w:rFonts w:hint="eastAsia" w:ascii="宋体" w:hAnsi="宋体" w:eastAsia="宋体" w:cs="宋体"/>
          <w:b/>
          <w:bCs/>
          <w:color w:val="000000"/>
          <w:szCs w:val="21"/>
        </w:rPr>
        <w:t xml:space="preserve">签订合同</w:t>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
          <w:bCs/>
          <w:color w:val="000000"/>
          <w:szCs w:val="21"/>
        </w:rPr>
      </w:r>
      <w:r/>
    </w:p>
    <w:p>
      <w:pPr>
        <w:pStyle w:val="1038"/>
        <w:ind w:firstLine="422"/>
        <w:rPr>
          <w:rFonts w:hint="eastAsia" w:ascii="宋体" w:hAnsi="宋体" w:eastAsia="宋体" w:cs="宋体"/>
          <w:b/>
          <w:bCs/>
          <w:color w:val="000000"/>
          <w:szCs w:val="21"/>
        </w:rPr>
        <w:outlineLvl w:val="2"/>
      </w:pPr>
      <w:r/>
      <w:bookmarkStart w:id="129" w:name="_Toc8891"/>
      <w:r/>
      <w:bookmarkStart w:id="130" w:name="_Toc209510695"/>
      <w:r/>
      <w:bookmarkStart w:id="131" w:name="_Toc30189"/>
      <w:r>
        <w:rPr>
          <w:rFonts w:hint="eastAsia" w:ascii="宋体" w:hAnsi="宋体" w:eastAsia="宋体" w:cs="宋体"/>
          <w:b/>
          <w:bCs/>
          <w:color w:val="000000"/>
          <w:szCs w:val="21"/>
        </w:rPr>
        <w:t xml:space="preserve">26、签订合同</w:t>
      </w:r>
      <w:bookmarkEnd w:id="129"/>
      <w:r/>
      <w:bookmarkEnd w:id="130"/>
      <w:r/>
      <w:bookmarkEnd w:id="131"/>
      <w:r>
        <w:rPr>
          <w:rFonts w:hint="eastAsia" w:ascii="宋体" w:hAnsi="宋体" w:eastAsia="宋体" w:cs="宋体"/>
          <w:b/>
          <w:bCs/>
          <w:color w:val="000000"/>
          <w:szCs w:val="21"/>
        </w:rPr>
      </w:r>
      <w:r/>
    </w:p>
    <w:p>
      <w:pPr>
        <w:pStyle w:val="1038"/>
        <w:numPr>
          <w:ilvl w:val="0"/>
          <w:numId w:val="4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中标人应当在《中标通知书》发出之日起三十日内，按照招标文件确定的事项与采购人签订政府采购合同。</w:t>
      </w:r>
      <w:r>
        <w:rPr>
          <w:rFonts w:hint="eastAsia" w:ascii="宋体" w:hAnsi="宋体" w:eastAsia="宋体" w:cs="宋体"/>
          <w:color w:val="000000"/>
          <w:szCs w:val="21"/>
        </w:rPr>
      </w:r>
      <w:r/>
    </w:p>
    <w:p>
      <w:pPr>
        <w:pStyle w:val="1038"/>
        <w:numPr>
          <w:ilvl w:val="0"/>
          <w:numId w:val="40"/>
        </w:numPr>
        <w:ind w:firstLine="420"/>
        <w:rPr>
          <w:rFonts w:hint="eastAsia" w:ascii="宋体" w:hAnsi="宋体" w:eastAsia="宋体" w:cs="宋体"/>
          <w:b/>
          <w:color w:val="000000"/>
          <w:szCs w:val="21"/>
        </w:rPr>
      </w:pPr>
      <w:r>
        <w:rPr>
          <w:rFonts w:hint="eastAsia" w:ascii="宋体" w:hAnsi="宋体" w:eastAsia="宋体" w:cs="宋体"/>
          <w:color w:val="000000"/>
          <w:szCs w:val="21"/>
        </w:rPr>
        <w:t xml:space="preserve">招标文件、中标人的投标文件及招标过程中有关澄清、承诺文件均作为合同附件</w:t>
      </w:r>
      <w:r>
        <w:rPr>
          <w:rFonts w:hint="eastAsia" w:ascii="宋体" w:hAnsi="宋体" w:eastAsia="宋体" w:cs="宋体"/>
          <w:b/>
          <w:color w:val="000000"/>
          <w:szCs w:val="21"/>
        </w:rPr>
        <w:t xml:space="preserve">。</w:t>
      </w:r>
      <w:r>
        <w:rPr>
          <w:rFonts w:hint="eastAsia" w:ascii="宋体" w:hAnsi="宋体" w:eastAsia="宋体" w:cs="宋体"/>
          <w:b/>
          <w:color w:val="000000"/>
          <w:szCs w:val="21"/>
        </w:rPr>
      </w:r>
      <w:r/>
    </w:p>
    <w:p>
      <w:pPr>
        <w:pStyle w:val="1038"/>
        <w:numPr>
          <w:ilvl w:val="0"/>
          <w:numId w:val="4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rPr>
      </w:r>
      <w:r/>
    </w:p>
    <w:p>
      <w:pPr>
        <w:pStyle w:val="1038"/>
        <w:numPr>
          <w:ilvl w:val="0"/>
          <w:numId w:val="4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中标人因自身原因拒绝与采购人签订合同的，不得参加采购人重新组织的采购活动，且将可能被拒绝参加该采购人一年内的其他政府采购活动。</w:t>
      </w:r>
      <w:r>
        <w:rPr>
          <w:rFonts w:hint="eastAsia" w:ascii="宋体" w:hAnsi="宋体" w:eastAsia="宋体" w:cs="宋体"/>
          <w:color w:val="000000"/>
          <w:szCs w:val="21"/>
        </w:rPr>
      </w:r>
      <w:r/>
    </w:p>
    <w:p>
      <w:pPr>
        <w:pStyle w:val="1038"/>
        <w:numPr>
          <w:ilvl w:val="0"/>
          <w:numId w:val="4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rPr>
      </w:r>
      <w:r/>
    </w:p>
    <w:p>
      <w:pPr>
        <w:pStyle w:val="1038"/>
        <w:numPr>
          <w:ilvl w:val="0"/>
          <w:numId w:val="40"/>
        </w:numPr>
        <w:ind w:firstLine="420"/>
        <w:rPr>
          <w:rFonts w:hint="eastAsia" w:ascii="宋体" w:hAnsi="宋体" w:eastAsia="宋体" w:cs="宋体"/>
          <w:color w:val="000000"/>
          <w:szCs w:val="21"/>
        </w:rPr>
      </w:pPr>
      <w:r>
        <w:rPr>
          <w:rFonts w:hint="eastAsia" w:ascii="宋体" w:hAnsi="宋体" w:eastAsia="宋体" w:cs="宋体"/>
          <w:color w:val="000000"/>
          <w:szCs w:val="21"/>
        </w:rPr>
        <w:t xml:space="preserve">采购人与中标人应当根据合同的约定依法履行合同义务。</w:t>
      </w:r>
      <w:r>
        <w:rPr>
          <w:rFonts w:hint="eastAsia" w:ascii="宋体" w:hAnsi="宋体" w:eastAsia="宋体" w:cs="宋体"/>
          <w:color w:val="000000"/>
          <w:szCs w:val="21"/>
        </w:rPr>
      </w:r>
      <w:r/>
    </w:p>
    <w:p>
      <w:pPr>
        <w:pStyle w:val="1038"/>
        <w:numPr>
          <w:ilvl w:val="0"/>
          <w:numId w:val="5"/>
        </w:numPr>
        <w:ind w:firstLine="422"/>
        <w:rPr>
          <w:rFonts w:hint="eastAsia" w:ascii="宋体" w:hAnsi="宋体" w:eastAsia="宋体" w:cs="宋体"/>
          <w:b/>
          <w:bCs/>
          <w:color w:val="000000"/>
          <w:szCs w:val="21"/>
        </w:rPr>
        <w:outlineLvl w:val="1"/>
      </w:pPr>
      <w:r/>
      <w:bookmarkStart w:id="132" w:name="_Toc24959"/>
      <w:r/>
      <w:bookmarkStart w:id="133" w:name="_Toc10685"/>
      <w:r/>
      <w:bookmarkStart w:id="134" w:name="_Toc13630"/>
      <w:r/>
      <w:bookmarkStart w:id="135" w:name="_Toc8885"/>
      <w:r/>
      <w:bookmarkStart w:id="136" w:name="_Toc209510621"/>
      <w:r/>
      <w:bookmarkStart w:id="137" w:name="_Toc22926"/>
      <w:r/>
      <w:bookmarkStart w:id="138" w:name="_Toc4819"/>
      <w:r/>
      <w:bookmarkStart w:id="139" w:name="_Toc28967"/>
      <w:r/>
      <w:bookmarkStart w:id="140" w:name="_Toc209510696"/>
      <w:r>
        <w:rPr>
          <w:rFonts w:hint="eastAsia" w:ascii="宋体" w:hAnsi="宋体" w:eastAsia="宋体" w:cs="宋体"/>
          <w:b/>
          <w:bCs/>
          <w:color w:val="000000"/>
          <w:szCs w:val="21"/>
        </w:rPr>
        <w:t xml:space="preserve">质疑和投诉</w:t>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b/>
          <w:bCs/>
          <w:color w:val="000000"/>
          <w:szCs w:val="21"/>
        </w:rPr>
      </w:r>
      <w:r/>
    </w:p>
    <w:p>
      <w:pPr>
        <w:pStyle w:val="1038"/>
        <w:ind w:firstLine="422"/>
        <w:rPr>
          <w:rFonts w:hint="eastAsia" w:ascii="宋体" w:hAnsi="宋体" w:eastAsia="宋体" w:cs="宋体"/>
          <w:b/>
          <w:bCs/>
          <w:color w:val="000000"/>
          <w:szCs w:val="21"/>
        </w:rPr>
      </w:pPr>
      <w:r/>
      <w:bookmarkStart w:id="141" w:name="_Toc209510622"/>
      <w:r/>
      <w:bookmarkStart w:id="142" w:name="_Toc209510697"/>
      <w:r/>
      <w:bookmarkStart w:id="143" w:name="_Toc29346"/>
      <w:r/>
      <w:bookmarkStart w:id="144" w:name="_Toc7947"/>
      <w:r>
        <w:rPr>
          <w:rFonts w:hint="eastAsia" w:ascii="宋体" w:hAnsi="宋体" w:eastAsia="宋体" w:cs="宋体"/>
          <w:b/>
          <w:bCs/>
          <w:color w:val="000000"/>
          <w:szCs w:val="21"/>
        </w:rPr>
        <w:t xml:space="preserve">27.询问</w:t>
      </w:r>
      <w:bookmarkEnd w:id="141"/>
      <w:r/>
      <w:bookmarkEnd w:id="142"/>
      <w:r/>
      <w:bookmarkEnd w:id="143"/>
      <w:r/>
      <w:bookmarkEnd w:id="144"/>
      <w:r>
        <w:rPr>
          <w:rFonts w:hint="eastAsia" w:ascii="宋体" w:hAnsi="宋体" w:eastAsia="宋体" w:cs="宋体"/>
          <w:b/>
          <w:bCs/>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rPr>
      </w:r>
      <w:r/>
    </w:p>
    <w:p>
      <w:pPr>
        <w:pStyle w:val="1038"/>
        <w:ind w:firstLine="422"/>
        <w:rPr>
          <w:rFonts w:hint="eastAsia" w:ascii="宋体" w:hAnsi="宋体" w:eastAsia="宋体" w:cs="宋体"/>
          <w:b/>
          <w:bCs/>
          <w:color w:val="000000"/>
          <w:szCs w:val="21"/>
        </w:rPr>
      </w:pPr>
      <w:r>
        <w:rPr>
          <w:rFonts w:hint="eastAsia" w:ascii="宋体" w:hAnsi="宋体" w:eastAsia="宋体" w:cs="宋体"/>
          <w:b/>
          <w:bCs/>
          <w:color w:val="000000"/>
          <w:szCs w:val="21"/>
        </w:rPr>
        <w:t xml:space="preserve">28.质疑</w:t>
      </w:r>
      <w:r>
        <w:rPr>
          <w:rFonts w:hint="eastAsia" w:ascii="宋体" w:hAnsi="宋体" w:eastAsia="宋体" w:cs="宋体"/>
          <w:b/>
          <w:bCs/>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28.3上述应知其权益受到损害之日是指：</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（1）对招标文件提出质疑的，为招标文件公告期限届满之日起计算；</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（2）对采购过程提出质疑的，自采购程序环节结束之日起计算；</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（3）对中标/成交结果提出质疑的，自中标/成交结果公告期限届满之日起计算。  </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28.4 质疑文件应包括以下主要内容，并按照“谁主张、谁举证”的原则，附上相关证明材料。否则，代理人不予受理：</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（1）质疑项目名称、项目编号、采购公告发布时间、开标时间；</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（2）提起质疑的日期、具体的质疑事项及事实根据（具体条款）；</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（3）认为自己合法权益受到损害或可能受到损害的相关证据材料。</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（4）质疑供应商名称、地址、邮编、联系人、联系电话（包括座机、手机、传真号码等）；</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（6）供应商委托代理质疑的，应当提交授权委托书，并载明委托代理的具体权限和事项。</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 28.5质疑材料接收信息：</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 （1）接收单位：江苏海外集团国际工程咨询有限公司</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 （2）联 系 人：方东</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 （3）联系电话：025-84795433/5991</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 （4）联系邮箱：fangdong@jocite.com</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 （5）接收地址：南京市建邺区云龙山路56号大唐科技大厦A座高区15楼</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 28.6 以下情形的质疑不予受理</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（1）内容不符合《政府采购质疑和投诉办法》第十二条规定的质疑。</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（2）超出政府采购法定期限的质疑。</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（3）以传真、电子邮件等方式递交的非原件形式的质疑。</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（4）未参加采购活动的供应商或在采购活动中自身权益未受到损害的供应商所提出的质疑。</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（5）供应商组成联合体参加投标，联合体中任何一方或多方未按要求签字、盖章、加盖公章的质疑。</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rPr>
      </w:r>
      <w:r/>
    </w:p>
    <w:p>
      <w:pPr>
        <w:pStyle w:val="1038"/>
        <w:ind w:firstLine="422"/>
        <w:rPr>
          <w:rFonts w:hint="eastAsia" w:ascii="宋体" w:hAnsi="宋体" w:eastAsia="宋体" w:cs="宋体"/>
          <w:b/>
          <w:bCs/>
          <w:color w:val="000000"/>
          <w:szCs w:val="21"/>
        </w:rPr>
      </w:pPr>
      <w:r>
        <w:rPr>
          <w:rFonts w:hint="eastAsia" w:ascii="宋体" w:hAnsi="宋体" w:eastAsia="宋体" w:cs="宋体"/>
          <w:b/>
          <w:bCs/>
          <w:color w:val="000000"/>
          <w:szCs w:val="21"/>
        </w:rPr>
        <w:t xml:space="preserve">29.投诉</w:t>
      </w:r>
      <w:r>
        <w:rPr>
          <w:rFonts w:hint="eastAsia" w:ascii="宋体" w:hAnsi="宋体" w:eastAsia="宋体" w:cs="宋体"/>
          <w:b/>
          <w:bCs/>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rPr>
      </w:r>
      <w:r/>
    </w:p>
    <w:p>
      <w:pPr>
        <w:pStyle w:val="1038"/>
        <w:ind w:firstLine="420"/>
        <w:rPr>
          <w:rFonts w:hint="eastAsia" w:ascii="宋体" w:hAnsi="宋体" w:eastAsia="宋体" w:cs="宋体"/>
          <w:color w:val="000000"/>
          <w:szCs w:val="21"/>
        </w:rPr>
      </w:pPr>
      <w:r>
        <w:rPr>
          <w:rFonts w:hint="eastAsia" w:ascii="宋体" w:hAnsi="宋体" w:eastAsia="宋体" w:cs="宋体"/>
          <w:color w:val="000000"/>
          <w:szCs w:val="21"/>
        </w:rPr>
        <w:t xml:space="preserve">29.2质疑供应商的投诉应当有明确的请求和必要的证明材料，其投诉的事项不得超出已质疑事项的范围。</w:t>
      </w:r>
      <w:r>
        <w:rPr>
          <w:rFonts w:hint="eastAsia" w:ascii="宋体" w:hAnsi="宋体" w:eastAsia="宋体" w:cs="宋体"/>
          <w:color w:val="000000"/>
          <w:szCs w:val="21"/>
        </w:rPr>
      </w:r>
      <w:r/>
    </w:p>
    <w:p>
      <w:pPr>
        <w:pStyle w:val="1038"/>
        <w:rPr>
          <w:rFonts w:hint="eastAsia" w:ascii="宋体" w:hAnsi="宋体" w:eastAsia="宋体" w:cs="宋体"/>
          <w:bCs/>
          <w:color w:val="000000"/>
          <w:sz w:val="22"/>
          <w:szCs w:val="2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rPr>
      </w:r>
      <w:r/>
    </w:p>
    <w:p>
      <w:pPr>
        <w:pStyle w:val="1039"/>
        <w:ind w:firstLine="0"/>
        <w:spacing w:before="480"/>
        <w:tabs>
          <w:tab w:val="left" w:pos="1440" w:leader="none"/>
          <w:tab w:val="left" w:pos="5670" w:leader="none"/>
        </w:tabs>
        <w:rPr>
          <w:rFonts w:hint="eastAsia" w:ascii="宋体" w:hAnsi="宋体" w:eastAsia="宋体" w:cs="宋体"/>
          <w:color w:val="000000"/>
        </w:rPr>
      </w:pPr>
      <w:r/>
      <w:bookmarkStart w:id="145" w:name="_Toc31613"/>
      <w:r/>
      <w:bookmarkStart w:id="146" w:name="_Toc14734"/>
      <w:r>
        <w:rPr>
          <w:rFonts w:hint="eastAsia" w:ascii="宋体" w:hAnsi="宋体" w:eastAsia="宋体" w:cs="宋体"/>
          <w:color w:val="000000"/>
        </w:rPr>
        <w:t xml:space="preserve">第三章 评分标准</w:t>
      </w:r>
      <w:bookmarkEnd w:id="39"/>
      <w:r/>
      <w:bookmarkEnd w:id="40"/>
      <w:r/>
      <w:bookmarkEnd w:id="145"/>
      <w:r/>
      <w:bookmarkEnd w:id="146"/>
      <w:r>
        <w:rPr>
          <w:rFonts w:hint="eastAsia" w:ascii="宋体" w:hAnsi="宋体" w:eastAsia="宋体" w:cs="宋体"/>
          <w:color w:val="000000"/>
        </w:rPr>
      </w:r>
      <w:r/>
    </w:p>
    <w:p>
      <w:pPr>
        <w:pStyle w:val="1038"/>
        <w:ind w:firstLine="440"/>
        <w:rPr>
          <w:rFonts w:hint="eastAsia" w:ascii="宋体" w:hAnsi="宋体" w:eastAsia="宋体" w:cs="宋体"/>
          <w:color w:val="000000"/>
          <w:sz w:val="22"/>
          <w:szCs w:val="22"/>
        </w:rPr>
      </w:pPr>
      <w:r/>
      <w:bookmarkStart w:id="147" w:name="OLE_LINK14"/>
      <w:r>
        <w:rPr>
          <w:rFonts w:hint="eastAsia" w:ascii="宋体" w:hAnsi="宋体" w:eastAsia="宋体" w:cs="宋体"/>
          <w:color w:val="000000"/>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rPr>
      </w:r>
      <w:r/>
    </w:p>
    <w:p>
      <w:pPr>
        <w:pStyle w:val="1038"/>
        <w:ind w:firstLine="442"/>
        <w:rPr>
          <w:rFonts w:hint="eastAsia" w:ascii="宋体" w:hAnsi="宋体" w:eastAsia="宋体" w:cs="宋体"/>
          <w:color w:val="000000"/>
          <w:sz w:val="22"/>
          <w:szCs w:val="22"/>
        </w:rPr>
      </w:pPr>
      <w:r/>
      <w:bookmarkEnd w:id="147"/>
      <w:r>
        <w:rPr>
          <w:rFonts w:hint="eastAsia" w:ascii="宋体" w:hAnsi="宋体" w:eastAsia="宋体" w:cs="宋体"/>
          <w:b/>
          <w:bCs/>
          <w:color w:val="000000"/>
          <w:sz w:val="22"/>
          <w:szCs w:val="22"/>
          <w:lang w:val="zh-CN"/>
        </w:rPr>
        <w:t xml:space="preserve">评标细则</w:t>
      </w:r>
      <w:r>
        <w:rPr>
          <w:rFonts w:hint="eastAsia" w:ascii="宋体" w:hAnsi="宋体" w:eastAsia="宋体" w:cs="宋体"/>
          <w:color w:val="000000"/>
          <w:sz w:val="22"/>
          <w:szCs w:val="22"/>
        </w:rPr>
      </w:r>
      <w:r/>
    </w:p>
    <w:p>
      <w:pPr>
        <w:pStyle w:val="1038"/>
        <w:ind w:firstLine="442"/>
        <w:rPr>
          <w:rFonts w:hint="eastAsia" w:ascii="宋体" w:hAnsi="宋体" w:eastAsia="宋体" w:cs="宋体"/>
          <w:b/>
          <w:color w:val="000000"/>
          <w:sz w:val="22"/>
          <w:szCs w:val="22"/>
        </w:rPr>
        <w:outlineLvl w:val="1"/>
      </w:pPr>
      <w:r/>
      <w:bookmarkStart w:id="148" w:name="_Toc18329"/>
      <w:r/>
      <w:bookmarkStart w:id="149" w:name="_Toc13319"/>
      <w:r>
        <w:rPr>
          <w:rFonts w:hint="eastAsia" w:ascii="宋体" w:hAnsi="宋体" w:eastAsia="宋体" w:cs="宋体"/>
          <w:b/>
          <w:color w:val="000000"/>
          <w:sz w:val="22"/>
          <w:szCs w:val="22"/>
        </w:rPr>
        <w:t xml:space="preserve">一、资格性审查</w:t>
      </w:r>
      <w:bookmarkEnd w:id="148"/>
      <w:r/>
      <w:bookmarkEnd w:id="149"/>
      <w:r>
        <w:rPr>
          <w:rFonts w:hint="eastAsia" w:ascii="宋体" w:hAnsi="宋体" w:eastAsia="宋体" w:cs="宋体"/>
          <w:b/>
          <w:color w:val="000000"/>
          <w:sz w:val="22"/>
          <w:szCs w:val="22"/>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序号</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评定标准</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通过√</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未通过×</w:t>
            </w:r>
            <w:r>
              <w:rPr>
                <w:rFonts w:hint="eastAsia" w:ascii="宋体" w:hAnsi="宋体" w:eastAsia="宋体" w:cs="宋体"/>
                <w:color w:val="000000"/>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1</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rPr>
            </w:pPr>
            <w:r>
              <w:rPr>
                <w:rFonts w:hint="eastAsia" w:ascii="宋体" w:hAnsi="宋体" w:eastAsia="宋体" w:cs="宋体"/>
                <w:color w:val="000000"/>
                <w:sz w:val="22"/>
              </w:rPr>
              <w:t xml:space="preserve">投标人资质要求</w:t>
            </w:r>
            <w:r>
              <w:rPr>
                <w:rFonts w:hint="eastAsia" w:ascii="宋体" w:hAnsi="宋体" w:eastAsia="宋体" w:cs="宋体"/>
                <w:color w:val="000000"/>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r>
    </w:tbl>
    <w:p>
      <w:pPr>
        <w:pStyle w:val="1038"/>
        <w:ind w:firstLine="442"/>
        <w:rPr>
          <w:rFonts w:hint="eastAsia" w:ascii="宋体" w:hAnsi="宋体" w:eastAsia="宋体" w:cs="宋体"/>
          <w:b/>
          <w:color w:val="000000"/>
          <w:sz w:val="22"/>
          <w:szCs w:val="22"/>
        </w:rPr>
        <w:outlineLvl w:val="1"/>
      </w:pPr>
      <w:r/>
      <w:bookmarkStart w:id="150" w:name="_Toc32302"/>
      <w:r/>
      <w:bookmarkStart w:id="151" w:name="_Toc976"/>
      <w:r>
        <w:rPr>
          <w:rFonts w:hint="eastAsia" w:ascii="宋体" w:hAnsi="宋体" w:eastAsia="宋体" w:cs="宋体"/>
          <w:b/>
          <w:color w:val="000000"/>
          <w:sz w:val="22"/>
          <w:szCs w:val="22"/>
        </w:rPr>
        <w:t xml:space="preserve">二、符合性审查</w:t>
      </w:r>
      <w:bookmarkEnd w:id="150"/>
      <w:r/>
      <w:bookmarkEnd w:id="151"/>
      <w:r>
        <w:rPr>
          <w:rFonts w:hint="eastAsia" w:ascii="宋体" w:hAnsi="宋体" w:eastAsia="宋体" w:cs="宋体"/>
          <w:b/>
          <w:color w:val="000000"/>
          <w:sz w:val="22"/>
          <w:szCs w:val="22"/>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序号</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评定标准</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通过√</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未通过×</w:t>
            </w:r>
            <w:r>
              <w:rPr>
                <w:rFonts w:hint="eastAsia" w:ascii="宋体" w:hAnsi="宋体" w:eastAsia="宋体" w:cs="宋体"/>
                <w:color w:val="000000"/>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1</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rPr>
              <w:t xml:space="preserve">投标报价是否超过采购预算或限价</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2</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rPr>
            </w:pPr>
            <w:r>
              <w:rPr>
                <w:rFonts w:hint="eastAsia" w:ascii="宋体" w:hAnsi="宋体" w:eastAsia="宋体" w:cs="宋体"/>
                <w:color w:val="000000"/>
                <w:sz w:val="22"/>
                <w:lang w:val="zh-CN"/>
              </w:rPr>
              <w:t xml:space="preserve">投标文件的有效性（</w:t>
            </w:r>
            <w:r>
              <w:rPr>
                <w:rFonts w:hint="eastAsia" w:ascii="宋体" w:hAnsi="宋体" w:eastAsia="宋体" w:cs="宋体"/>
                <w:color w:val="000000"/>
                <w:sz w:val="22"/>
              </w:rPr>
              <w:t xml:space="preserve">是否签字盖章）</w:t>
            </w:r>
            <w:r>
              <w:rPr>
                <w:rFonts w:hint="eastAsia" w:ascii="宋体" w:hAnsi="宋体" w:eastAsia="宋体" w:cs="宋体"/>
                <w:color w:val="000000"/>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rPr>
              <w:t xml:space="preserve">3</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rPr>
            </w:pPr>
            <w:r>
              <w:rPr>
                <w:rFonts w:hint="eastAsia" w:ascii="宋体" w:hAnsi="宋体" w:eastAsia="宋体" w:cs="宋体"/>
                <w:color w:val="000000"/>
                <w:sz w:val="22"/>
                <w:lang w:val="zh-CN"/>
              </w:rPr>
              <w:t xml:space="preserve">投标文件的完整性</w:t>
            </w:r>
            <w:r>
              <w:rPr>
                <w:rFonts w:hint="eastAsia" w:ascii="宋体" w:hAnsi="宋体" w:eastAsia="宋体" w:cs="宋体"/>
                <w:color w:val="000000"/>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rPr>
              <w:t xml:space="preserve">4</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符合</w:t>
            </w:r>
            <w:r>
              <w:rPr>
                <w:rFonts w:hint="eastAsia" w:ascii="宋体" w:hAnsi="宋体" w:eastAsia="宋体" w:cs="宋体"/>
                <w:color w:val="000000"/>
                <w:sz w:val="22"/>
              </w:rPr>
              <w:t xml:space="preserve">招标</w:t>
            </w:r>
            <w:r>
              <w:rPr>
                <w:rFonts w:hint="eastAsia" w:ascii="宋体" w:hAnsi="宋体" w:eastAsia="宋体" w:cs="宋体"/>
                <w:color w:val="000000"/>
                <w:sz w:val="22"/>
                <w:lang w:val="zh-CN"/>
              </w:rPr>
              <w:t xml:space="preserve">文件第六章格式中（1-</w:t>
            </w:r>
            <w:r>
              <w:rPr>
                <w:rFonts w:hint="eastAsia" w:ascii="宋体" w:hAnsi="宋体" w:eastAsia="宋体" w:cs="宋体"/>
                <w:color w:val="000000"/>
                <w:sz w:val="22"/>
              </w:rPr>
              <w:t xml:space="preserve">6</w:t>
            </w:r>
            <w:r>
              <w:rPr>
                <w:rFonts w:hint="eastAsia" w:ascii="宋体" w:hAnsi="宋体" w:eastAsia="宋体" w:cs="宋体"/>
                <w:color w:val="000000"/>
                <w:sz w:val="22"/>
                <w:lang w:val="zh-CN"/>
              </w:rPr>
              <w:t xml:space="preserve">）</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rPr>
              <w:t xml:space="preserve">5</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t xml:space="preserve">不存在重大负偏离</w:t>
            </w: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8"/>
              <w:ind w:right="-130"/>
              <w:jc w:val="center"/>
              <w:spacing w:line="300" w:lineRule="auto"/>
              <w:tabs>
                <w:tab w:val="left" w:pos="709" w:leader="none"/>
              </w:tabs>
              <w:rPr>
                <w:rFonts w:hint="eastAsia" w:ascii="宋体" w:hAnsi="宋体" w:eastAsia="宋体" w:cs="宋体"/>
                <w:color w:val="000000"/>
                <w:sz w:val="22"/>
                <w:lang w:val="zh-CN"/>
              </w:rPr>
            </w:pPr>
            <w:r>
              <w:rPr>
                <w:rFonts w:hint="eastAsia" w:ascii="宋体" w:hAnsi="宋体" w:eastAsia="宋体" w:cs="宋体"/>
                <w:color w:val="000000"/>
                <w:sz w:val="22"/>
                <w:lang w:val="zh-CN"/>
              </w:rPr>
            </w:r>
            <w:r/>
          </w:p>
        </w:tc>
      </w:tr>
    </w:tbl>
    <w:p>
      <w:pPr>
        <w:pStyle w:val="1038"/>
        <w:ind w:firstLine="442"/>
        <w:rPr>
          <w:rFonts w:hint="eastAsia" w:ascii="宋体" w:hAnsi="宋体" w:eastAsia="宋体" w:cs="宋体"/>
          <w:b/>
          <w:color w:val="000000"/>
          <w:sz w:val="22"/>
          <w:szCs w:val="22"/>
        </w:rPr>
        <w:outlineLvl w:val="1"/>
      </w:pPr>
      <w:r/>
      <w:bookmarkStart w:id="152" w:name="_Toc30022"/>
      <w:r/>
      <w:bookmarkStart w:id="153" w:name="_Toc7288"/>
      <w:r/>
      <w:bookmarkStart w:id="154" w:name="_Toc25439"/>
      <w:r>
        <w:rPr>
          <w:rFonts w:hint="eastAsia" w:ascii="宋体" w:hAnsi="宋体" w:eastAsia="宋体" w:cs="宋体"/>
          <w:b/>
          <w:color w:val="000000"/>
          <w:sz w:val="22"/>
          <w:szCs w:val="22"/>
        </w:rPr>
        <w:t xml:space="preserve">三、异常低价投标（响应）审查</w:t>
      </w:r>
      <w:bookmarkEnd w:id="152"/>
      <w:r/>
      <w:bookmarkEnd w:id="153"/>
      <w:r/>
      <w:bookmarkEnd w:id="154"/>
      <w:r>
        <w:rPr>
          <w:rFonts w:hint="eastAsia" w:ascii="宋体" w:hAnsi="宋体" w:eastAsia="宋体" w:cs="宋体"/>
          <w:b/>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（1）投标（响应）报价低于全部通过符合性审查供应商投标（响应）报价平均值</w:t>
      </w:r>
      <w:r>
        <w:rPr>
          <w:rFonts w:hint="eastAsia" w:ascii="宋体" w:hAnsi="宋体" w:eastAsia="宋体" w:cs="宋体"/>
          <w:color w:val="000000"/>
          <w:sz w:val="22"/>
          <w:szCs w:val="22"/>
          <w:lang w:val="en-US" w:eastAsia="zh-CN"/>
        </w:rPr>
        <w:t xml:space="preserve">65</w:t>
      </w:r>
      <w:r>
        <w:rPr>
          <w:rFonts w:hint="eastAsia" w:ascii="宋体" w:hAnsi="宋体" w:eastAsia="宋体" w:cs="宋体"/>
          <w:color w:val="000000"/>
          <w:sz w:val="22"/>
          <w:szCs w:val="22"/>
        </w:rPr>
        <w:t xml:space="preserve">%的，即投标（响应）报价&lt;全部通过符合性审查供应商投标（响应）报价平均值×</w:t>
      </w:r>
      <w:r>
        <w:rPr>
          <w:rFonts w:hint="eastAsia" w:ascii="宋体" w:hAnsi="宋体" w:eastAsia="宋体" w:cs="宋体"/>
          <w:color w:val="000000"/>
          <w:sz w:val="22"/>
          <w:szCs w:val="22"/>
          <w:lang w:val="en-US" w:eastAsia="zh-CN"/>
        </w:rPr>
        <w:t xml:space="preserve">65</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（2）投标（响应）报价低于通过符合性审查的次低报价供应商投标（响应）报价</w:t>
      </w:r>
      <w:r>
        <w:rPr>
          <w:rFonts w:hint="eastAsia" w:ascii="宋体" w:hAnsi="宋体" w:eastAsia="宋体" w:cs="宋体"/>
          <w:color w:val="000000"/>
          <w:sz w:val="22"/>
          <w:szCs w:val="22"/>
          <w:lang w:val="en-US" w:eastAsia="zh-CN"/>
        </w:rPr>
        <w:t xml:space="preserve">65</w:t>
      </w:r>
      <w:r>
        <w:rPr>
          <w:rFonts w:hint="eastAsia" w:ascii="宋体" w:hAnsi="宋体" w:eastAsia="宋体" w:cs="宋体"/>
          <w:color w:val="000000"/>
          <w:sz w:val="22"/>
          <w:szCs w:val="22"/>
        </w:rPr>
        <w:t xml:space="preserve">%的，即投标（响应）报价&lt;通过符合性审查的次低报价供应商投标（响应）报价×</w:t>
      </w:r>
      <w:r>
        <w:rPr>
          <w:rFonts w:hint="eastAsia" w:ascii="宋体" w:hAnsi="宋体" w:eastAsia="宋体" w:cs="宋体"/>
          <w:color w:val="000000"/>
          <w:sz w:val="22"/>
          <w:szCs w:val="22"/>
          <w:lang w:val="en-US" w:eastAsia="zh-CN"/>
        </w:rPr>
        <w:t xml:space="preserve">65</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（3）投标（响应）报价低于采购项目最高限价</w:t>
      </w:r>
      <w:r>
        <w:rPr>
          <w:rFonts w:hint="eastAsia" w:ascii="宋体" w:hAnsi="宋体" w:eastAsia="宋体" w:cs="宋体"/>
          <w:color w:val="000000"/>
          <w:sz w:val="22"/>
          <w:szCs w:val="22"/>
          <w:lang w:val="en-US" w:eastAsia="zh-CN"/>
        </w:rPr>
        <w:t xml:space="preserve">65</w:t>
      </w:r>
      <w:r>
        <w:rPr>
          <w:rFonts w:hint="eastAsia" w:ascii="宋体" w:hAnsi="宋体" w:eastAsia="宋体" w:cs="宋体"/>
          <w:color w:val="000000"/>
          <w:sz w:val="22"/>
          <w:szCs w:val="22"/>
        </w:rPr>
        <w:t xml:space="preserve">%的，即投标（响应）报价&lt;采购项目最高限价×</w:t>
      </w:r>
      <w:r>
        <w:rPr>
          <w:rFonts w:hint="eastAsia" w:ascii="宋体" w:hAnsi="宋体" w:eastAsia="宋体" w:cs="宋体"/>
          <w:color w:val="000000"/>
          <w:sz w:val="22"/>
          <w:szCs w:val="22"/>
          <w:lang w:val="en-US" w:eastAsia="zh-CN"/>
        </w:rPr>
        <w:t xml:space="preserve">65</w:t>
      </w:r>
      <w:r>
        <w:rPr>
          <w:rFonts w:hint="eastAsia" w:ascii="宋体" w:hAnsi="宋体" w:eastAsia="宋体" w:cs="宋体"/>
          <w:color w:val="000000"/>
          <w:sz w:val="22"/>
          <w:szCs w:val="22"/>
        </w:rPr>
        <w:t xml:space="preserve">%；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相关法律法规对供应商报价有规定的，从其规定。</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2"/>
          <w:szCs w:val="22"/>
        </w:rPr>
      </w:r>
      <w:r/>
    </w:p>
    <w:p>
      <w:pPr>
        <w:pStyle w:val="1038"/>
        <w:rPr>
          <w:rFonts w:hint="eastAsia" w:ascii="宋体" w:hAnsi="宋体" w:eastAsia="宋体" w:cs="宋体"/>
          <w:b/>
          <w:color w:val="000000"/>
          <w:sz w:val="22"/>
          <w:szCs w:val="22"/>
        </w:rPr>
        <w:outlineLvl w:val="9"/>
      </w:pPr>
      <w:r>
        <w:rPr>
          <w:rFonts w:hint="eastAsia" w:ascii="宋体" w:hAnsi="宋体" w:eastAsia="宋体" w:cs="宋体"/>
          <w:b/>
          <w:color w:val="000000"/>
          <w:sz w:val="22"/>
          <w:szCs w:val="22"/>
        </w:rPr>
      </w:r>
      <w:r/>
    </w:p>
    <w:p>
      <w:pPr>
        <w:pStyle w:val="1038"/>
        <w:ind w:firstLine="442"/>
        <w:rPr>
          <w:rFonts w:hint="eastAsia" w:ascii="宋体" w:hAnsi="宋体" w:eastAsia="宋体" w:cs="宋体"/>
          <w:b/>
          <w:color w:val="000000"/>
          <w:sz w:val="22"/>
          <w:szCs w:val="22"/>
        </w:rPr>
        <w:outlineLvl w:val="1"/>
      </w:pPr>
      <w:r/>
      <w:bookmarkStart w:id="155" w:name="_Toc19437"/>
      <w:r/>
      <w:bookmarkStart w:id="156" w:name="_Toc25377"/>
      <w:r>
        <w:rPr>
          <w:rFonts w:hint="eastAsia" w:ascii="宋体" w:hAnsi="宋体" w:eastAsia="宋体" w:cs="宋体"/>
          <w:b/>
          <w:color w:val="000000"/>
          <w:sz w:val="22"/>
          <w:szCs w:val="22"/>
        </w:rPr>
        <w:t xml:space="preserve">四、评分表（综合评分法）</w:t>
      </w:r>
      <w:bookmarkEnd w:id="155"/>
      <w:r/>
      <w:bookmarkEnd w:id="156"/>
      <w:r>
        <w:rPr>
          <w:rFonts w:hint="eastAsia" w:ascii="宋体" w:hAnsi="宋体" w:eastAsia="宋体" w:cs="宋体"/>
          <w:b/>
          <w:color w:val="000000"/>
          <w:sz w:val="22"/>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38"/>
              <w:jc w:val="center"/>
              <w:rPr>
                <w:rFonts w:hint="eastAsia" w:ascii="仿宋" w:hAnsi="仿宋" w:eastAsia="仿宋" w:cs="仿宋"/>
                <w:b/>
                <w:bCs/>
                <w:color w:val="000000"/>
                <w:szCs w:val="21"/>
              </w:rPr>
            </w:pPr>
            <w:r>
              <w:rPr>
                <w:rFonts w:hint="eastAsia" w:ascii="仿宋" w:hAnsi="仿宋" w:eastAsia="仿宋" w:cs="仿宋"/>
                <w:b/>
                <w:color w:val="000000"/>
                <w:szCs w:val="21"/>
              </w:rPr>
              <w:br w:type="page" w:clear="all"/>
            </w:r>
            <w:r>
              <w:rPr>
                <w:rFonts w:hint="eastAsia" w:ascii="仿宋" w:hAnsi="仿宋" w:eastAsia="仿宋" w:cs="仿宋"/>
                <w:b/>
                <w:bCs/>
                <w:color w:val="000000"/>
                <w:szCs w:val="21"/>
              </w:rPr>
              <w:t xml:space="preserve">序号</w:t>
            </w:r>
            <w:r>
              <w:rPr>
                <w:rFonts w:hint="eastAsia" w:ascii="仿宋" w:hAnsi="仿宋" w:eastAsia="仿宋" w:cs="仿宋"/>
                <w:b/>
                <w:bCs/>
                <w:color w:val="000000"/>
                <w:szCs w:val="21"/>
              </w:rPr>
            </w:r>
            <w:r/>
          </w:p>
        </w:tc>
        <w:tc>
          <w:tcPr>
            <w:tcW w:w="1406" w:type="dxa"/>
            <w:vAlign w:val="center"/>
            <w:textDirection w:val="lrTb"/>
            <w:noWrap/>
          </w:tcPr>
          <w:p>
            <w:pPr>
              <w:pStyle w:val="1038"/>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评分因素</w:t>
            </w:r>
            <w:r>
              <w:rPr>
                <w:rFonts w:hint="eastAsia" w:ascii="仿宋" w:hAnsi="仿宋" w:eastAsia="仿宋" w:cs="仿宋"/>
                <w:b/>
                <w:bCs/>
                <w:color w:val="000000"/>
                <w:szCs w:val="21"/>
              </w:rPr>
            </w:r>
            <w:r/>
          </w:p>
        </w:tc>
        <w:tc>
          <w:tcPr>
            <w:tcW w:w="6968" w:type="dxa"/>
            <w:vAlign w:val="center"/>
            <w:textDirection w:val="lrTb"/>
            <w:noWrap/>
          </w:tcPr>
          <w:p>
            <w:pPr>
              <w:pStyle w:val="1038"/>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评审细则</w:t>
            </w:r>
            <w:r>
              <w:rPr>
                <w:rFonts w:hint="eastAsia" w:ascii="仿宋" w:hAnsi="仿宋" w:eastAsia="仿宋" w:cs="仿宋"/>
                <w:b/>
                <w:bCs/>
                <w:color w:val="000000"/>
                <w:szCs w:val="21"/>
              </w:rPr>
            </w:r>
            <w:r/>
          </w:p>
        </w:tc>
        <w:tc>
          <w:tcPr>
            <w:tcW w:w="757" w:type="dxa"/>
            <w:vAlign w:val="center"/>
            <w:textDirection w:val="lrTb"/>
            <w:noWrap/>
          </w:tcPr>
          <w:p>
            <w:pPr>
              <w:pStyle w:val="1038"/>
              <w:jc w:val="center"/>
              <w:rPr>
                <w:rFonts w:hint="eastAsia" w:ascii="仿宋" w:hAnsi="仿宋" w:eastAsia="仿宋" w:cs="仿宋"/>
                <w:b/>
                <w:bCs/>
                <w:color w:val="000000"/>
                <w:szCs w:val="21"/>
              </w:rPr>
            </w:pPr>
            <w:r>
              <w:rPr>
                <w:rFonts w:hint="eastAsia" w:ascii="仿宋" w:hAnsi="仿宋" w:eastAsia="仿宋" w:cs="仿宋"/>
                <w:b/>
                <w:bCs/>
                <w:color w:val="000000"/>
                <w:szCs w:val="21"/>
              </w:rPr>
              <w:t xml:space="preserve">分值</w:t>
            </w:r>
            <w:r>
              <w:rPr>
                <w:rFonts w:hint="eastAsia" w:ascii="仿宋" w:hAnsi="仿宋" w:eastAsia="仿宋" w:cs="仿宋"/>
                <w:b/>
                <w:bCs/>
                <w:color w:val="000000"/>
                <w:szCs w:val="21"/>
              </w:rPr>
            </w:r>
            <w:r/>
          </w:p>
        </w:tc>
      </w:tr>
      <w:tr>
        <w:trPr/>
        <w:tc>
          <w:tcPr>
            <w:tcW w:w="831"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W w:w="1406"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投标报价</w:t>
            </w: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仿宋" w:hAnsi="仿宋" w:eastAsia="仿宋" w:cs="仿宋"/>
                <w:color w:val="000000"/>
                <w:szCs w:val="21"/>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30</w:t>
            </w:r>
            <w:r>
              <w:rPr>
                <w:rFonts w:hint="eastAsia" w:ascii="仿宋" w:hAnsi="仿宋" w:eastAsia="仿宋" w:cs="仿宋"/>
                <w:color w:val="000000"/>
                <w:szCs w:val="21"/>
              </w:rPr>
            </w:r>
            <w:r/>
          </w:p>
        </w:tc>
      </w:tr>
      <w:tr>
        <w:trPr/>
        <w:tc>
          <w:tcPr>
            <w:tcW w:w="831"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W w:w="1406"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技术响应</w:t>
            </w: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b w:val="0"/>
                <w:bCs/>
                <w:color w:val="000000"/>
                <w:szCs w:val="21"/>
                <w:highlight w:val="none"/>
              </w:rPr>
            </w:pPr>
            <w:r>
              <w:rPr>
                <w:rFonts w:hint="eastAsia" w:ascii="仿宋" w:hAnsi="仿宋" w:eastAsia="仿宋" w:cs="仿宋"/>
                <w:b w:val="0"/>
                <w:bCs/>
                <w:color w:val="000000"/>
                <w:szCs w:val="21"/>
                <w:highlight w:val="none"/>
              </w:rPr>
              <w:t xml:space="preserve">设备技术参数及商务要求全部满足招标要求的得满分</w:t>
            </w:r>
            <w:r>
              <w:rPr>
                <w:rFonts w:hint="eastAsia" w:ascii="仿宋" w:hAnsi="仿宋" w:eastAsia="仿宋" w:cs="仿宋"/>
                <w:b w:val="0"/>
                <w:bCs/>
                <w:color w:val="000000"/>
                <w:szCs w:val="21"/>
                <w:highlight w:val="none"/>
                <w:lang w:val="en-US" w:eastAsia="zh-CN"/>
              </w:rPr>
              <w:t xml:space="preserve">27</w:t>
            </w:r>
            <w:r>
              <w:rPr>
                <w:rFonts w:hint="eastAsia" w:ascii="仿宋" w:hAnsi="仿宋" w:eastAsia="仿宋" w:cs="仿宋"/>
                <w:b w:val="0"/>
                <w:bCs/>
                <w:color w:val="000000"/>
                <w:szCs w:val="21"/>
                <w:highlight w:val="none"/>
              </w:rPr>
              <w:t xml:space="preserve">分；</w:t>
            </w:r>
            <w:r>
              <w:rPr>
                <w:rFonts w:hint="eastAsia" w:ascii="仿宋" w:hAnsi="仿宋" w:eastAsia="仿宋" w:cs="仿宋"/>
                <w:b w:val="0"/>
                <w:bCs/>
                <w:color w:val="000000"/>
                <w:szCs w:val="21"/>
                <w:highlight w:val="none"/>
              </w:rPr>
            </w:r>
            <w:r/>
          </w:p>
          <w:p>
            <w:pPr>
              <w:pStyle w:val="1038"/>
              <w:spacing w:before="0" w:after="0" w:line="240" w:lineRule="auto"/>
              <w:rPr>
                <w:rFonts w:hint="eastAsia" w:ascii="仿宋" w:hAnsi="仿宋" w:eastAsia="仿宋" w:cs="仿宋"/>
                <w:b w:val="0"/>
                <w:bCs/>
                <w:color w:val="000000"/>
                <w:szCs w:val="21"/>
                <w:highlight w:val="none"/>
              </w:rPr>
            </w:pPr>
            <w:r>
              <w:rPr>
                <w:rFonts w:hint="eastAsia" w:ascii="仿宋" w:hAnsi="仿宋" w:eastAsia="仿宋" w:cs="仿宋"/>
                <w:b w:val="0"/>
                <w:bCs/>
                <w:color w:val="000000"/>
                <w:szCs w:val="21"/>
                <w:highlight w:val="none"/>
              </w:rPr>
              <w:t xml:space="preserve">在此基础上，招标文件中标注“★”的条款为实质性要求，有一项负偏离，作无效投标处理。“▲”的条款号主要技术参数要求，每有一项负偏离扣</w:t>
            </w:r>
            <w:r>
              <w:rPr>
                <w:rFonts w:hint="eastAsia" w:ascii="仿宋" w:hAnsi="仿宋" w:eastAsia="仿宋" w:cs="仿宋"/>
                <w:b w:val="0"/>
                <w:bCs/>
                <w:color w:val="000000"/>
                <w:szCs w:val="21"/>
                <w:highlight w:val="none"/>
                <w:lang w:val="en-US" w:eastAsia="zh-CN"/>
              </w:rPr>
              <w:t xml:space="preserve">1.5</w:t>
            </w:r>
            <w:r>
              <w:rPr>
                <w:rFonts w:hint="eastAsia" w:ascii="仿宋" w:hAnsi="仿宋" w:eastAsia="仿宋" w:cs="仿宋"/>
                <w:b w:val="0"/>
                <w:bCs/>
                <w:color w:val="000000"/>
                <w:szCs w:val="21"/>
                <w:highlight w:val="none"/>
              </w:rPr>
              <w:t xml:space="preserve">分。其他非重要技术条款每有一项负偏离扣</w:t>
            </w:r>
            <w:r>
              <w:rPr>
                <w:rFonts w:hint="eastAsia" w:ascii="仿宋" w:hAnsi="仿宋" w:eastAsia="仿宋" w:cs="仿宋"/>
                <w:b w:val="0"/>
                <w:bCs/>
                <w:color w:val="000000"/>
                <w:szCs w:val="21"/>
                <w:highlight w:val="none"/>
                <w:lang w:val="en-US" w:eastAsia="zh-CN"/>
              </w:rPr>
              <w:t xml:space="preserve">1</w:t>
            </w:r>
            <w:r>
              <w:rPr>
                <w:rFonts w:hint="eastAsia" w:ascii="仿宋" w:hAnsi="仿宋" w:eastAsia="仿宋" w:cs="仿宋"/>
                <w:b w:val="0"/>
                <w:bCs/>
                <w:color w:val="000000"/>
                <w:szCs w:val="21"/>
                <w:highlight w:val="none"/>
              </w:rPr>
              <w:t xml:space="preserve">分，扣完为止。</w:t>
            </w:r>
            <w:r>
              <w:rPr>
                <w:rFonts w:hint="eastAsia" w:ascii="仿宋" w:hAnsi="仿宋" w:eastAsia="仿宋" w:cs="仿宋"/>
                <w:b w:val="0"/>
                <w:bCs/>
                <w:color w:val="000000"/>
                <w:szCs w:val="21"/>
                <w:highlight w:val="none"/>
              </w:rPr>
            </w:r>
            <w:r/>
          </w:p>
          <w:p>
            <w:pPr>
              <w:pStyle w:val="1038"/>
              <w:spacing w:before="0" w:after="0" w:line="240" w:lineRule="auto"/>
              <w:rPr>
                <w:rFonts w:hint="eastAsia" w:ascii="仿宋" w:hAnsi="仿宋" w:eastAsia="仿宋" w:cs="仿宋"/>
                <w:b w:val="0"/>
                <w:bCs/>
                <w:color w:val="000000"/>
                <w:sz w:val="21"/>
                <w:szCs w:val="21"/>
                <w:highlight w:val="none"/>
              </w:rPr>
            </w:pPr>
            <w:r>
              <w:rPr>
                <w:rFonts w:hint="eastAsia" w:ascii="仿宋" w:hAnsi="仿宋" w:eastAsia="仿宋" w:cs="仿宋"/>
                <w:b w:val="0"/>
                <w:bCs/>
                <w:color w:val="000000"/>
                <w:sz w:val="21"/>
                <w:szCs w:val="21"/>
                <w:highlight w:val="none"/>
              </w:rPr>
              <w:t xml:space="preserve">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仿宋" w:hAnsi="仿宋" w:eastAsia="仿宋" w:cs="仿宋"/>
                <w:b w:val="0"/>
                <w:bCs/>
                <w:color w:val="000000"/>
                <w:sz w:val="21"/>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b w:val="0"/>
                <w:bCs/>
                <w:color w:val="000000"/>
                <w:szCs w:val="21"/>
                <w:highlight w:val="none"/>
              </w:rPr>
              <w:t xml:space="preserve">注：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仿宋" w:hAnsi="仿宋" w:eastAsia="仿宋" w:cs="仿宋"/>
                <w:color w:val="000000"/>
                <w:szCs w:val="21"/>
                <w:highlight w:val="none"/>
              </w:rPr>
            </w:r>
            <w:r/>
          </w:p>
        </w:tc>
        <w:tc>
          <w:tcPr>
            <w:tcW w:w="757" w:type="dxa"/>
            <w:vAlign w:val="center"/>
            <w:textDirection w:val="lrTb"/>
            <w:noWrap/>
          </w:tcPr>
          <w:p>
            <w:pPr>
              <w:pStyle w:val="1038"/>
              <w:jc w:val="center"/>
              <w:spacing w:line="480" w:lineRule="exact"/>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27</w:t>
            </w:r>
            <w:r>
              <w:rPr>
                <w:rFonts w:ascii="仿宋" w:hAnsi="仿宋" w:eastAsia="仿宋" w:cs="仿宋"/>
                <w:color w:val="000000"/>
                <w:szCs w:val="21"/>
                <w:highlight w:val="none"/>
                <w:lang w:val="en-US" w:eastAsia="zh-CN"/>
              </w:rPr>
            </w:r>
            <w:r/>
          </w:p>
        </w:tc>
      </w:tr>
      <w:tr>
        <w:trPr/>
        <w:tc>
          <w:tcPr>
            <w:tcW w:w="831" w:type="dxa"/>
            <w:vAlign w:val="center"/>
            <w:vMerge w:val="restart"/>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rPr>
            </w:r>
            <w:r/>
          </w:p>
        </w:tc>
        <w:tc>
          <w:tcPr>
            <w:tcW w:w="1406" w:type="dxa"/>
            <w:vAlign w:val="center"/>
            <w:vMerge w:val="restart"/>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实施方案</w:t>
            </w: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评委根据投标文件中实施方案的内容（</w:t>
            </w:r>
            <w:r>
              <w:rPr>
                <w:rFonts w:hint="eastAsia" w:ascii="仿宋" w:hAnsi="仿宋" w:eastAsia="仿宋" w:cs="仿宋"/>
                <w:color w:val="000000"/>
                <w:szCs w:val="21"/>
                <w:highlight w:val="none"/>
              </w:rPr>
              <w:t xml:space="preserve">包括但不限于项目需求理解、技术方案、改造方案、</w:t>
            </w:r>
            <w:r>
              <w:rPr>
                <w:rFonts w:hint="eastAsia" w:ascii="仿宋" w:hAnsi="仿宋" w:eastAsia="仿宋" w:cs="仿宋"/>
                <w:color w:val="000000"/>
                <w:szCs w:val="21"/>
                <w:highlight w:val="none"/>
                <w:lang w:bidi="ar"/>
              </w:rPr>
              <w:t xml:space="preserve">效果设计图）进行打分：</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实施方案全面具体、内容详实，优于采购人要求的得6分；</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实施方案较全面、内容完整，能够满足采购人要求的得3分；</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实施方案不全面、内容空泛，不能完全满足采购人的要求的得1分；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未在投标文件中提供实施方案或者提供的实施方案不可行的得0分。</w:t>
            </w:r>
            <w:r>
              <w:rPr>
                <w:rFonts w:hint="eastAsia" w:ascii="仿宋" w:hAnsi="仿宋" w:eastAsia="仿宋" w:cs="仿宋"/>
                <w:color w:val="000000"/>
                <w:szCs w:val="21"/>
                <w:highlight w:val="none"/>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r>
      <w:tr>
        <w:trPr/>
        <w:tc>
          <w:tcPr>
            <w:tcW w:w="831" w:type="dxa"/>
            <w:vAlign w:val="center"/>
            <w:vMerge w:val="continue"/>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W w:w="1406" w:type="dxa"/>
            <w:vAlign w:val="center"/>
            <w:vMerge w:val="continue"/>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评委根据投标文件中项目技术支撑和实施计划（包括但不限于供货计划、质量保障措施、风险控制管理措施、人员配置、设备安装调试验收进度、安全保障措施等方面）进行打分：</w:t>
            </w:r>
            <w:r>
              <w:rPr>
                <w:rFonts w:hint="eastAsia" w:ascii="仿宋" w:hAnsi="仿宋" w:eastAsia="仿宋" w:cs="仿宋"/>
                <w:color w:val="000000"/>
                <w:szCs w:val="21"/>
                <w:highlight w:val="none"/>
              </w:rPr>
            </w:r>
            <w:r/>
          </w:p>
          <w:p>
            <w:pPr>
              <w:pStyle w:val="1038"/>
              <w:jc w:val="left"/>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实施方案技术支撑配置优于采购人的要求，具有针对性，项目进度分析清晰具体的得6分；</w:t>
            </w:r>
            <w:r>
              <w:rPr>
                <w:rFonts w:hint="eastAsia" w:ascii="仿宋" w:hAnsi="仿宋" w:eastAsia="仿宋" w:cs="仿宋"/>
                <w:color w:val="000000"/>
                <w:szCs w:val="21"/>
                <w:highlight w:val="none"/>
              </w:rPr>
            </w:r>
            <w:r/>
          </w:p>
          <w:p>
            <w:pPr>
              <w:pStyle w:val="1038"/>
              <w:jc w:val="left"/>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实施方案技术支撑配置满足采购人的要求，项目进度分析清晰的得3分；实施方案技术支撑配置不能完全满足采购人的要求，项目进度不清晰的得1分；</w:t>
            </w:r>
            <w:r>
              <w:rPr>
                <w:rFonts w:hint="eastAsia" w:ascii="仿宋" w:hAnsi="仿宋" w:eastAsia="仿宋" w:cs="仿宋"/>
                <w:color w:val="000000"/>
                <w:szCs w:val="21"/>
                <w:highlight w:val="none"/>
              </w:rPr>
            </w:r>
            <w:r/>
          </w:p>
          <w:p>
            <w:pPr>
              <w:pStyle w:val="1038"/>
              <w:jc w:val="left"/>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未针对本项进行阐述、未提供相应方案的，得0分。</w:t>
            </w:r>
            <w:r>
              <w:rPr>
                <w:rFonts w:hint="eastAsia" w:ascii="仿宋" w:hAnsi="仿宋" w:eastAsia="仿宋" w:cs="仿宋"/>
                <w:color w:val="000000"/>
                <w:szCs w:val="21"/>
                <w:highlight w:val="none"/>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r>
      <w:tr>
        <w:trPr/>
        <w:tc>
          <w:tcPr>
            <w:tcW w:w="831" w:type="dxa"/>
            <w:vAlign w:val="center"/>
            <w:vMerge w:val="restart"/>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rPr>
            </w:r>
            <w:r/>
          </w:p>
        </w:tc>
        <w:tc>
          <w:tcPr>
            <w:tcW w:w="1406" w:type="dxa"/>
            <w:vAlign w:val="center"/>
            <w:vMerge w:val="restart"/>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售后服务方案</w:t>
            </w: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仿宋" w:hAnsi="仿宋" w:eastAsia="仿宋" w:cs="仿宋"/>
                <w:color w:val="000000"/>
                <w:szCs w:val="21"/>
                <w:lang w:bidi="ar"/>
              </w:rPr>
              <w:t xml:space="preserve">优于采购人要求的，</w:t>
            </w:r>
            <w:r>
              <w:rPr>
                <w:rFonts w:hint="eastAsia" w:ascii="仿宋" w:hAnsi="仿宋" w:eastAsia="仿宋" w:cs="仿宋"/>
                <w:bCs/>
                <w:color w:val="000000"/>
                <w:szCs w:val="21"/>
              </w:rPr>
              <w:t xml:space="preserve">得6</w:t>
            </w:r>
            <w:r>
              <w:rPr>
                <w:rFonts w:hint="eastAsia" w:ascii="仿宋" w:hAnsi="仿宋" w:eastAsia="仿宋" w:cs="仿宋"/>
                <w:color w:val="000000"/>
                <w:szCs w:val="21"/>
              </w:rPr>
              <w:t xml:space="preserve">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售后服务方案完整，有明确的售后服务机构及人员、售后服务承诺、售后服务应答及处理时间，质保期内的售后服务范围、质保期满后的售后服务范围和收费情况满足</w:t>
            </w:r>
            <w:r>
              <w:rPr>
                <w:rFonts w:hint="eastAsia" w:ascii="仿宋" w:hAnsi="仿宋" w:eastAsia="仿宋" w:cs="仿宋"/>
                <w:color w:val="000000"/>
                <w:szCs w:val="21"/>
                <w:lang w:bidi="ar"/>
              </w:rPr>
              <w:t xml:space="preserve">采购人要求的，</w:t>
            </w:r>
            <w:r>
              <w:rPr>
                <w:rFonts w:hint="eastAsia" w:ascii="仿宋" w:hAnsi="仿宋" w:eastAsia="仿宋" w:cs="仿宋"/>
                <w:bCs/>
                <w:color w:val="000000"/>
                <w:szCs w:val="21"/>
              </w:rPr>
              <w:t xml:space="preserve">得3</w:t>
            </w:r>
            <w:r>
              <w:rPr>
                <w:rFonts w:hint="eastAsia" w:ascii="仿宋" w:hAnsi="仿宋" w:eastAsia="仿宋" w:cs="仿宋"/>
                <w:color w:val="000000"/>
                <w:szCs w:val="21"/>
              </w:rPr>
              <w:t xml:space="preserve">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售后服务体系</w:t>
            </w:r>
            <w:r>
              <w:rPr>
                <w:rFonts w:hint="eastAsia" w:ascii="仿宋" w:hAnsi="仿宋" w:eastAsia="仿宋" w:cs="仿宋"/>
                <w:color w:val="000000"/>
                <w:szCs w:val="21"/>
              </w:rPr>
              <w:t xml:space="preserve">薄弱</w:t>
            </w:r>
            <w:r>
              <w:rPr>
                <w:rFonts w:hint="eastAsia" w:ascii="仿宋" w:hAnsi="仿宋" w:eastAsia="仿宋" w:cs="仿宋"/>
                <w:color w:val="000000"/>
                <w:szCs w:val="21"/>
              </w:rPr>
              <w:t xml:space="preserve">，售后服务方案各方面内容</w:t>
            </w:r>
            <w:r>
              <w:rPr>
                <w:rFonts w:hint="eastAsia" w:ascii="仿宋" w:hAnsi="仿宋" w:eastAsia="仿宋" w:cs="仿宋"/>
                <w:color w:val="000000"/>
                <w:szCs w:val="21"/>
              </w:rPr>
              <w:t xml:space="preserve">介绍不明晰，</w:t>
            </w:r>
            <w:r>
              <w:rPr>
                <w:rFonts w:hint="eastAsia" w:ascii="仿宋" w:hAnsi="仿宋" w:eastAsia="仿宋" w:cs="仿宋"/>
                <w:bCs/>
                <w:color w:val="000000"/>
                <w:szCs w:val="21"/>
              </w:rPr>
              <w:t xml:space="preserve">得1</w:t>
            </w:r>
            <w:r>
              <w:rPr>
                <w:rFonts w:hint="eastAsia" w:ascii="仿宋" w:hAnsi="仿宋" w:eastAsia="仿宋" w:cs="仿宋"/>
                <w:color w:val="000000"/>
                <w:szCs w:val="21"/>
              </w:rPr>
              <w:t xml:space="preserve">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未针对本项进行阐述、未提供相应方案的，得0分。</w:t>
            </w:r>
            <w:r>
              <w:rPr>
                <w:rFonts w:hint="eastAsia" w:ascii="仿宋" w:hAnsi="仿宋" w:eastAsia="仿宋" w:cs="仿宋"/>
                <w:color w:val="000000"/>
                <w:szCs w:val="21"/>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rPr>
            </w:r>
            <w:r/>
          </w:p>
        </w:tc>
      </w:tr>
      <w:tr>
        <w:trPr/>
        <w:tc>
          <w:tcPr>
            <w:tcW w:w="831" w:type="dxa"/>
            <w:vAlign w:val="center"/>
            <w:vMerge w:val="continue"/>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W w:w="1406" w:type="dxa"/>
            <w:vAlign w:val="center"/>
            <w:vMerge w:val="continue"/>
            <w:textDirection w:val="lrTb"/>
            <w:noWrap/>
          </w:tcPr>
          <w:p>
            <w:pPr>
              <w:pStyle w:val="1038"/>
              <w:spacing w:line="48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评委根据投标文件中培训方案（包括但不限于培训目标、培训方法、培训内容、培训师资力量、培训时间、拟提供的培训资料等方面）进行打分：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培训内容详实丰富、科学贴合项目需求，培训形式多元灵活，方案落地性、可操作性强，培训计划详细，安排合理，优于采购人要求的，得6分；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培训内容较为丰富、设置合理合规，培训形式多样，方案可操作性强，培训计划明确，满足采购人要求的，得3分；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培训内容简略单薄、合理性一般，培训形式单一固化，培训计划简单，形式单一，得1分；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未针对本项进行阐述、未提供相应方案的，得0分。</w:t>
            </w:r>
            <w:r>
              <w:rPr>
                <w:rFonts w:hint="eastAsia" w:ascii="仿宋" w:hAnsi="仿宋" w:eastAsia="仿宋" w:cs="仿宋"/>
                <w:color w:val="000000"/>
                <w:szCs w:val="21"/>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rPr>
            </w:r>
            <w:r/>
          </w:p>
        </w:tc>
      </w:tr>
      <w:tr>
        <w:trPr/>
        <w:tc>
          <w:tcPr>
            <w:tcW w:w="831" w:type="dxa"/>
            <w:vAlign w:val="center"/>
            <w:vMerge w:val="restart"/>
            <w:textDirection w:val="lrTb"/>
            <w:noWrap/>
          </w:tcPr>
          <w:p>
            <w:pPr>
              <w:pStyle w:val="1038"/>
              <w:jc w:val="center"/>
              <w:spacing w:line="48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eastAsia="zh-CN"/>
              </w:rPr>
            </w:r>
            <w:r/>
          </w:p>
        </w:tc>
        <w:tc>
          <w:tcPr>
            <w:tcW w:w="1406" w:type="dxa"/>
            <w:vAlign w:val="center"/>
            <w:vMerge w:val="restart"/>
            <w:textDirection w:val="lrTb"/>
            <w:noWrap/>
          </w:tcPr>
          <w:p>
            <w:pPr>
              <w:pStyle w:val="1038"/>
              <w:ind w:right="-263"/>
              <w:jc w:val="center"/>
              <w:spacing w:line="48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履约能力</w:t>
            </w:r>
            <w:r>
              <w:rPr>
                <w:rFonts w:ascii="仿宋" w:hAnsi="仿宋" w:eastAsia="仿宋" w:cs="仿宋"/>
                <w:color w:val="000000"/>
                <w:szCs w:val="21"/>
                <w:highlight w:val="none"/>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 w:val="21"/>
                <w:szCs w:val="21"/>
                <w:lang w:val="en-US"/>
              </w:rPr>
            </w:pPr>
            <w:r>
              <w:rPr>
                <w:rFonts w:hint="eastAsia" w:ascii="仿宋" w:hAnsi="仿宋" w:eastAsia="仿宋" w:cs="仿宋"/>
                <w:color w:val="000000"/>
                <w:sz w:val="21"/>
                <w:szCs w:val="21"/>
                <w:lang w:val="en-US"/>
              </w:rPr>
              <w:t xml:space="preserve">投标人具有</w:t>
            </w:r>
            <w:r>
              <w:rPr>
                <w:rFonts w:hint="eastAsia" w:ascii="仿宋" w:hAnsi="仿宋" w:eastAsia="仿宋" w:cs="仿宋"/>
                <w:color w:val="000000"/>
                <w:sz w:val="21"/>
                <w:szCs w:val="21"/>
                <w:lang w:val="en-US" w:eastAsia="zh-CN"/>
              </w:rPr>
              <w:t xml:space="preserve">“智能制造系统”</w:t>
            </w:r>
            <w:r>
              <w:rPr>
                <w:rFonts w:hint="eastAsia" w:ascii="仿宋" w:hAnsi="仿宋" w:eastAsia="仿宋" w:cs="仿宋"/>
                <w:color w:val="000000"/>
                <w:sz w:val="21"/>
                <w:szCs w:val="21"/>
                <w:lang w:val="en-US"/>
              </w:rPr>
              <w:t xml:space="preserve">“工业数字孪生”、“工业互联网MES”、“工业设备数据采集”、“信创</w:t>
            </w:r>
            <w:r>
              <w:rPr>
                <w:rFonts w:hint="eastAsia" w:ascii="仿宋" w:hAnsi="仿宋" w:eastAsia="仿宋" w:cs="仿宋"/>
                <w:color w:val="000000"/>
                <w:sz w:val="21"/>
                <w:szCs w:val="21"/>
                <w:lang w:val="en-US" w:eastAsia="zh-CN"/>
              </w:rPr>
              <w:t xml:space="preserve">能力开放</w:t>
            </w:r>
            <w:r>
              <w:rPr>
                <w:rFonts w:hint="eastAsia" w:ascii="仿宋" w:hAnsi="仿宋" w:eastAsia="仿宋" w:cs="仿宋"/>
                <w:color w:val="000000"/>
                <w:sz w:val="21"/>
                <w:szCs w:val="21"/>
                <w:lang w:val="en-US"/>
              </w:rPr>
              <w:t xml:space="preserve">”等字样的软件著作权，每提供一个得</w:t>
            </w:r>
            <w:r>
              <w:rPr>
                <w:rFonts w:hint="eastAsia" w:ascii="仿宋" w:hAnsi="仿宋" w:eastAsia="仿宋" w:cs="仿宋"/>
                <w:color w:val="000000"/>
                <w:sz w:val="21"/>
                <w:szCs w:val="21"/>
                <w:lang w:val="en-US" w:eastAsia="zh-CN"/>
              </w:rPr>
              <w:t xml:space="preserve">0.5</w:t>
            </w:r>
            <w:r>
              <w:rPr>
                <w:rFonts w:hint="eastAsia" w:ascii="仿宋" w:hAnsi="仿宋" w:eastAsia="仿宋" w:cs="仿宋"/>
                <w:color w:val="000000"/>
                <w:sz w:val="21"/>
                <w:szCs w:val="21"/>
                <w:lang w:val="en-US"/>
              </w:rPr>
              <w:t xml:space="preserve">分，本项最高得</w:t>
            </w:r>
            <w:r>
              <w:rPr>
                <w:rFonts w:hint="eastAsia" w:ascii="仿宋" w:hAnsi="仿宋" w:eastAsia="仿宋" w:cs="仿宋"/>
                <w:color w:val="000000"/>
                <w:sz w:val="21"/>
                <w:szCs w:val="21"/>
                <w:lang w:val="en-US" w:eastAsia="zh-CN"/>
              </w:rPr>
              <w:t xml:space="preserve">2</w:t>
            </w:r>
            <w:r>
              <w:rPr>
                <w:rFonts w:hint="eastAsia" w:ascii="仿宋" w:hAnsi="仿宋" w:eastAsia="仿宋" w:cs="仿宋"/>
                <w:color w:val="000000"/>
                <w:sz w:val="21"/>
                <w:szCs w:val="21"/>
                <w:lang w:val="en-US"/>
              </w:rPr>
              <w:t xml:space="preserve">分。</w:t>
            </w:r>
            <w:r>
              <w:rPr>
                <w:rFonts w:hint="eastAsia" w:ascii="仿宋" w:hAnsi="仿宋" w:eastAsia="仿宋" w:cs="仿宋"/>
                <w:color w:val="000000"/>
                <w:sz w:val="21"/>
                <w:szCs w:val="21"/>
                <w:lang w:val="en-US"/>
              </w:rPr>
            </w:r>
            <w:r/>
          </w:p>
          <w:p>
            <w:pPr>
              <w:pStyle w:val="1038"/>
              <w:spacing w:before="0" w:after="0" w:line="240" w:lineRule="auto"/>
              <w:rPr>
                <w:rFonts w:hint="eastAsia" w:ascii="仿宋" w:hAnsi="仿宋" w:eastAsia="仿宋" w:cs="仿宋"/>
                <w:color w:val="000000"/>
                <w:szCs w:val="21"/>
                <w:highlight w:val="none"/>
                <w:lang w:eastAsia="zh-CN"/>
              </w:rPr>
            </w:pPr>
            <w:r>
              <w:rPr>
                <w:rFonts w:hint="eastAsia" w:ascii="仿宋" w:hAnsi="仿宋" w:eastAsia="仿宋" w:cs="仿宋"/>
                <w:bCs w:val="0"/>
                <w:color w:val="000000"/>
                <w:sz w:val="21"/>
                <w:szCs w:val="21"/>
                <w:highlight w:val="none"/>
              </w:rPr>
              <w:t xml:space="preserve">注：</w:t>
            </w:r>
            <w:r>
              <w:rPr>
                <w:rFonts w:hint="eastAsia" w:ascii="仿宋" w:hAnsi="仿宋" w:eastAsia="仿宋" w:cs="仿宋"/>
                <w:bCs w:val="0"/>
                <w:color w:val="000000"/>
                <w:sz w:val="21"/>
                <w:szCs w:val="21"/>
                <w:highlight w:val="none"/>
                <w:lang w:eastAsia="zh-CN"/>
              </w:rPr>
              <w:t xml:space="preserve">（</w:t>
            </w:r>
            <w:r>
              <w:rPr>
                <w:rFonts w:hint="eastAsia" w:ascii="仿宋" w:hAnsi="仿宋" w:eastAsia="仿宋" w:cs="仿宋"/>
                <w:bCs w:val="0"/>
                <w:color w:val="000000"/>
                <w:sz w:val="21"/>
                <w:szCs w:val="21"/>
                <w:highlight w:val="none"/>
                <w:lang w:val="en-US" w:eastAsia="zh-CN"/>
              </w:rPr>
              <w:t xml:space="preserve">1）</w:t>
            </w:r>
            <w:r>
              <w:rPr>
                <w:rFonts w:hint="eastAsia" w:ascii="仿宋" w:hAnsi="仿宋" w:eastAsia="仿宋" w:cs="仿宋"/>
                <w:bCs w:val="0"/>
                <w:color w:val="000000"/>
                <w:sz w:val="21"/>
                <w:szCs w:val="21"/>
                <w:highlight w:val="none"/>
              </w:rPr>
              <w:t xml:space="preserve">提供著作权证书复印件并加盖公章；</w:t>
            </w:r>
            <w:r>
              <w:rPr>
                <w:rFonts w:hint="eastAsia" w:ascii="仿宋" w:hAnsi="仿宋" w:eastAsia="仿宋" w:cs="仿宋"/>
                <w:bCs w:val="0"/>
                <w:color w:val="000000"/>
                <w:sz w:val="21"/>
                <w:szCs w:val="21"/>
                <w:highlight w:val="none"/>
                <w:lang w:eastAsia="zh-CN"/>
              </w:rPr>
              <w:t xml:space="preserve">（</w:t>
            </w:r>
            <w:r>
              <w:rPr>
                <w:rFonts w:hint="eastAsia" w:ascii="仿宋" w:hAnsi="仿宋" w:eastAsia="仿宋" w:cs="仿宋"/>
                <w:bCs w:val="0"/>
                <w:color w:val="000000"/>
                <w:sz w:val="21"/>
                <w:szCs w:val="21"/>
                <w:highlight w:val="none"/>
                <w:lang w:val="en-US" w:eastAsia="zh-CN"/>
              </w:rPr>
              <w:t xml:space="preserve">2）</w:t>
            </w:r>
            <w:r>
              <w:rPr>
                <w:rFonts w:hint="eastAsia" w:ascii="仿宋" w:hAnsi="仿宋" w:eastAsia="仿宋" w:cs="仿宋"/>
                <w:bCs w:val="0"/>
                <w:color w:val="000000"/>
                <w:sz w:val="21"/>
                <w:szCs w:val="21"/>
                <w:highlight w:val="none"/>
              </w:rPr>
              <w:t xml:space="preserve">著作权名称与关键字样不一致的，提供功能说明书（加盖公章）证明其功能与招标文件要求相同/相似，经评标委员会核实认可的，视同符合要求；无功能佐证材料的，不得分。</w:t>
            </w:r>
            <w:r>
              <w:rPr>
                <w:rFonts w:hint="eastAsia" w:ascii="仿宋" w:hAnsi="仿宋" w:eastAsia="仿宋" w:cs="仿宋"/>
                <w:bCs w:val="0"/>
                <w:color w:val="000000"/>
                <w:sz w:val="21"/>
                <w:szCs w:val="21"/>
                <w:highlight w:val="none"/>
                <w:lang w:eastAsia="zh-CN"/>
              </w:rPr>
              <w:t xml:space="preserve">（</w:t>
            </w:r>
            <w:r>
              <w:rPr>
                <w:rFonts w:hint="eastAsia" w:ascii="仿宋" w:hAnsi="仿宋" w:eastAsia="仿宋" w:cs="仿宋"/>
                <w:bCs w:val="0"/>
                <w:color w:val="000000"/>
                <w:sz w:val="21"/>
                <w:szCs w:val="21"/>
                <w:highlight w:val="none"/>
                <w:lang w:val="en-US" w:eastAsia="zh-CN"/>
              </w:rPr>
              <w:t xml:space="preserve">3</w:t>
            </w:r>
            <w:r>
              <w:rPr>
                <w:rFonts w:hint="eastAsia" w:ascii="仿宋" w:hAnsi="仿宋" w:eastAsia="仿宋" w:cs="仿宋"/>
                <w:bCs w:val="0"/>
                <w:color w:val="000000"/>
                <w:sz w:val="21"/>
                <w:szCs w:val="21"/>
                <w:highlight w:val="none"/>
                <w:lang w:eastAsia="zh-CN"/>
              </w:rPr>
              <w:t xml:space="preserve">）</w:t>
            </w:r>
            <w:r>
              <w:rPr>
                <w:rFonts w:hint="eastAsia" w:ascii="仿宋" w:hAnsi="仿宋" w:eastAsia="仿宋" w:cs="仿宋"/>
                <w:color w:val="000000"/>
                <w:sz w:val="21"/>
                <w:szCs w:val="21"/>
                <w:lang w:val="en-US"/>
              </w:rPr>
              <w:t xml:space="preserve">同一证书只能有效评分一次</w:t>
            </w:r>
            <w:r>
              <w:rPr>
                <w:rFonts w:hint="eastAsia" w:ascii="仿宋" w:hAnsi="仿宋" w:eastAsia="仿宋" w:cs="仿宋"/>
                <w:color w:val="000000"/>
                <w:szCs w:val="21"/>
                <w:highlight w:val="none"/>
                <w:lang w:eastAsia="zh-CN"/>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lang w:eastAsia="zh-CN"/>
              </w:rPr>
            </w:r>
            <w:r/>
          </w:p>
        </w:tc>
      </w:tr>
      <w:tr>
        <w:trPr/>
        <w:tc>
          <w:tcPr>
            <w:tcW w:w="831" w:type="dxa"/>
            <w:vAlign w:val="center"/>
            <w:vMerge w:val="continue"/>
            <w:textDirection w:val="lrTb"/>
            <w:noWrap/>
          </w:tcPr>
          <w:p>
            <w:pPr>
              <w:pStyle w:val="1038"/>
              <w:jc w:val="center"/>
              <w:spacing w:line="48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r>
            <w:r/>
          </w:p>
        </w:tc>
        <w:tc>
          <w:tcPr>
            <w:tcW w:w="1406" w:type="dxa"/>
            <w:vAlign w:val="center"/>
            <w:vMerge w:val="continue"/>
            <w:textDirection w:val="lrTb"/>
            <w:noWrap/>
          </w:tcPr>
          <w:p>
            <w:pPr>
              <w:pStyle w:val="1038"/>
              <w:ind w:right="-263"/>
              <w:jc w:val="center"/>
              <w:spacing w:line="48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968" w:type="dxa"/>
            <w:vAlign w:val="center"/>
            <w:textDirection w:val="lrTb"/>
            <w:noWrap/>
          </w:tcPr>
          <w:p>
            <w:pPr>
              <w:pStyle w:val="1038"/>
              <w:rPr>
                <w:rFonts w:hint="eastAsia" w:ascii="仿宋" w:hAnsi="仿宋" w:eastAsia="仿宋" w:cs="仿宋"/>
                <w:bCs w:val="0"/>
                <w:color w:val="000000"/>
                <w:sz w:val="21"/>
                <w:szCs w:val="21"/>
                <w:highlight w:val="none"/>
                <w:lang w:val="en-US" w:eastAsia="zh-CN"/>
              </w:rPr>
            </w:pPr>
            <w:r>
              <w:rPr>
                <w:rFonts w:hint="eastAsia" w:ascii="仿宋" w:hAnsi="仿宋" w:eastAsia="仿宋" w:cs="仿宋"/>
                <w:bCs w:val="0"/>
                <w:color w:val="000000"/>
                <w:sz w:val="21"/>
                <w:szCs w:val="21"/>
                <w:highlight w:val="none"/>
                <w:lang w:val="en-US" w:eastAsia="zh-CN"/>
              </w:rPr>
              <w:t xml:space="preserve">投标人为本项目配备项目经理（1人），具备高级工程师（智能制造相关类别）、系统架构设计师、系统规划与管理师、系统分析师等证书。每提供1份有效证书，得0.5分，本项最多得1.5分。</w:t>
            </w:r>
            <w:r>
              <w:rPr>
                <w:rFonts w:hint="eastAsia" w:ascii="仿宋" w:hAnsi="仿宋" w:eastAsia="仿宋" w:cs="仿宋"/>
                <w:bCs w:val="0"/>
                <w:color w:val="000000"/>
                <w:sz w:val="21"/>
                <w:szCs w:val="21"/>
                <w:highlight w:val="none"/>
                <w:lang w:val="en-US" w:eastAsia="zh-CN"/>
              </w:rPr>
            </w:r>
            <w:r/>
          </w:p>
          <w:p>
            <w:pPr>
              <w:pStyle w:val="1038"/>
              <w:rPr>
                <w:rFonts w:hint="eastAsia" w:ascii="仿宋" w:hAnsi="仿宋" w:eastAsia="仿宋" w:cs="仿宋"/>
                <w:bCs w:val="0"/>
                <w:color w:val="000000"/>
                <w:sz w:val="21"/>
                <w:szCs w:val="21"/>
                <w:highlight w:val="none"/>
                <w:lang w:val="en-US" w:eastAsia="zh-CN"/>
              </w:rPr>
            </w:pPr>
            <w:r>
              <w:rPr>
                <w:rFonts w:hint="eastAsia" w:ascii="仿宋" w:hAnsi="仿宋" w:eastAsia="仿宋" w:cs="仿宋"/>
                <w:bCs w:val="0"/>
                <w:color w:val="000000"/>
                <w:sz w:val="21"/>
                <w:szCs w:val="21"/>
                <w:highlight w:val="none"/>
                <w:lang w:val="en-US" w:eastAsia="zh-CN"/>
              </w:rPr>
              <w:t xml:space="preserve">投标人为本项目配备技术负责人（1人，不与项目经理兼任），具备系统规划与管理师、系统架构设计师、信息安全工程师、网络规划与设计师等资格等证书。每提供1份有效证书，得0.5分，本项最多得1.5分。</w:t>
            </w:r>
            <w:r>
              <w:rPr>
                <w:rFonts w:hint="eastAsia" w:ascii="仿宋" w:hAnsi="仿宋" w:eastAsia="仿宋" w:cs="仿宋"/>
                <w:bCs w:val="0"/>
                <w:color w:val="000000"/>
                <w:sz w:val="21"/>
                <w:szCs w:val="21"/>
                <w:highlight w:val="none"/>
                <w:lang w:val="en-US" w:eastAsia="zh-CN"/>
              </w:rPr>
            </w:r>
            <w:r/>
          </w:p>
          <w:p>
            <w:pPr>
              <w:pStyle w:val="1038"/>
              <w:rPr>
                <w:rFonts w:ascii="仿宋" w:hAnsi="仿宋" w:eastAsia="仿宋" w:cs="仿宋"/>
                <w:bCs w:val="0"/>
                <w:color w:val="000000"/>
                <w:sz w:val="21"/>
                <w:szCs w:val="21"/>
                <w:highlight w:val="none"/>
                <w:lang w:val="en-US" w:eastAsia="zh-CN"/>
              </w:rPr>
            </w:pPr>
            <w:r>
              <w:rPr>
                <w:rFonts w:hint="eastAsia" w:ascii="仿宋" w:hAnsi="仿宋" w:eastAsia="仿宋" w:cs="仿宋"/>
                <w:bCs w:val="0"/>
                <w:color w:val="000000"/>
                <w:sz w:val="21"/>
                <w:szCs w:val="21"/>
                <w:highlight w:val="none"/>
                <w:lang w:val="en-US" w:eastAsia="zh-CN"/>
              </w:rPr>
              <w:t xml:space="preserve">需提供至投标截止日近六个月内任意一个月的本单位缴纳社保证明。</w:t>
            </w:r>
            <w:r>
              <w:rPr>
                <w:rFonts w:ascii="仿宋" w:hAnsi="仿宋" w:eastAsia="仿宋" w:cs="仿宋"/>
                <w:bCs w:val="0"/>
                <w:color w:val="000000"/>
                <w:sz w:val="21"/>
                <w:szCs w:val="21"/>
                <w:highlight w:val="none"/>
                <w:lang w:val="en-US" w:eastAsia="zh-CN"/>
              </w:rPr>
            </w:r>
            <w:r/>
          </w:p>
        </w:tc>
        <w:tc>
          <w:tcPr>
            <w:tcW w:w="757" w:type="dxa"/>
            <w:vAlign w:val="center"/>
            <w:textDirection w:val="lrTb"/>
            <w:noWrap/>
          </w:tcPr>
          <w:p>
            <w:pPr>
              <w:pStyle w:val="1038"/>
              <w:jc w:val="center"/>
              <w:spacing w:line="480" w:lineRule="exact"/>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w:t>
            </w:r>
            <w:r>
              <w:rPr>
                <w:rFonts w:ascii="仿宋" w:hAnsi="仿宋" w:eastAsia="仿宋" w:cs="仿宋"/>
                <w:color w:val="000000"/>
                <w:szCs w:val="21"/>
                <w:highlight w:val="none"/>
                <w:lang w:val="en-US" w:eastAsia="zh-CN"/>
              </w:rPr>
            </w:r>
            <w:r/>
          </w:p>
        </w:tc>
      </w:tr>
      <w:tr>
        <w:trPr/>
        <w:tc>
          <w:tcPr>
            <w:tcW w:w="831" w:type="dxa"/>
            <w:vAlign w:val="center"/>
            <w:textDirection w:val="lrTb"/>
            <w:noWrap/>
          </w:tcPr>
          <w:p>
            <w:pPr>
              <w:pStyle w:val="1038"/>
              <w:jc w:val="center"/>
              <w:spacing w:line="480" w:lineRule="exact"/>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lang w:eastAsia="zh-CN"/>
              </w:rPr>
            </w:r>
            <w:r/>
          </w:p>
        </w:tc>
        <w:tc>
          <w:tcPr>
            <w:tcW w:w="1406" w:type="dxa"/>
            <w:vAlign w:val="center"/>
            <w:textDirection w:val="lrTb"/>
            <w:noWrap/>
          </w:tcPr>
          <w:p>
            <w:pPr>
              <w:pStyle w:val="1038"/>
              <w:ind w:right="-263"/>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业绩</w:t>
            </w: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人需提供2023年1月1日（含，以合同签订的时间为准）至今类似项目业绩（实训室/实训基地建设项目），需提供合同关键页复印件，复印件中需体现合同的签约主体、项目名称、明细清单、项目签订盖章页等内容，否则将不予认可。提供有1项有效业绩得</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分，最高得</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rPr>
              <w:t xml:space="preserve">分。</w:t>
            </w:r>
            <w:r>
              <w:rPr>
                <w:rFonts w:hint="eastAsia" w:ascii="仿宋" w:hAnsi="仿宋" w:eastAsia="仿宋" w:cs="仿宋"/>
                <w:color w:val="000000"/>
                <w:szCs w:val="21"/>
                <w:highlight w:val="none"/>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eastAsia="zh-CN"/>
              </w:rPr>
            </w:r>
            <w:r/>
          </w:p>
        </w:tc>
      </w:tr>
      <w:tr>
        <w:trPr/>
        <w:tc>
          <w:tcPr>
            <w:tcW w:w="831" w:type="dxa"/>
            <w:vAlign w:val="center"/>
            <w:textDirection w:val="lrTb"/>
            <w:noWrap/>
          </w:tcPr>
          <w:p>
            <w:pPr>
              <w:pStyle w:val="1038"/>
              <w:jc w:val="center"/>
              <w:spacing w:line="480" w:lineRule="exact"/>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7</w:t>
            </w:r>
            <w:r>
              <w:rPr>
                <w:rFonts w:hint="eastAsia" w:ascii="仿宋" w:hAnsi="仿宋" w:eastAsia="仿宋" w:cs="仿宋"/>
                <w:color w:val="000000"/>
                <w:szCs w:val="21"/>
                <w:lang w:eastAsia="zh-CN"/>
              </w:rPr>
            </w:r>
            <w:r/>
          </w:p>
        </w:tc>
        <w:tc>
          <w:tcPr>
            <w:tcW w:w="1406"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系统演示</w:t>
            </w: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1.演示方式：</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投标人需在线上评标会中，通过预录制的视频文件（如MP4格式）进行演示。投标演示产品必须与中标后供货的产品一致。不允许使用非真实软件（如ppt形式、demo、原型设计、图片等形式）进行演示，如发现将取消该项演示的得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2.演示时间：</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每个投标人的演示时间不超过1</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分钟。</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3.演示内容如下：</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（1）生产制造执行开发平台工厂建模图形化编程能力演示：支持可自定义对象属性及模型属性；根据需求，图形化编程配置工厂管理的业务实体模型，平台自动进行后台编译，并创建数据库。</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（2）生产制造执行开发平台流程设计图形化编程能力演示：支持二次开发，通过可视化图形流程设计实现流程的自动化执行和管理。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工程实训室物联网平台远程升级能力演示：演示上传升级资源包及下载功能。演示用户管理升级任务，配置升级策略、选择升级包、升级范围等；演示直连设备远程升级，终端设备的自定义模块升级；演示升级策略的配置，包括升级时间(立即升级或某时间点升级)、升级失败重试间隔、升级超时时间、升级到的版本。</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（4）工程实训室物联网平台设备活跃状态管理</w:t>
            </w:r>
            <w:r>
              <w:rPr>
                <w:rFonts w:hint="eastAsia" w:ascii="仿宋" w:hAnsi="仿宋" w:eastAsia="仿宋" w:cs="仿宋"/>
                <w:color w:val="000000"/>
                <w:szCs w:val="21"/>
                <w:lang w:val="en-US" w:eastAsia="zh-CN"/>
              </w:rPr>
              <w:t xml:space="preserve">和</w:t>
            </w:r>
            <w:r>
              <w:rPr>
                <w:rFonts w:hint="eastAsia" w:ascii="仿宋" w:hAnsi="仿宋" w:eastAsia="仿宋" w:cs="仿宋"/>
                <w:color w:val="000000"/>
                <w:szCs w:val="21"/>
              </w:rPr>
              <w:t xml:space="preserve">设备异常检测能力演示：演示用户根据活跃状态监控设备运行状态。演示产品维度设置活跃周期，并可选择监控项；设置场景联动规则，将不活跃的设备自动改为离线状态。演示设备异常检测，异常检测至少提供4种，包括但不限于：重复检测、身份验证失败、多次上报数据失败、设备属性上报频率异常；同时，演示自定义告警静默规则。</w:t>
            </w:r>
            <w:r>
              <w:rPr>
                <w:rFonts w:hint="eastAsia" w:ascii="仿宋" w:hAnsi="仿宋" w:eastAsia="仿宋" w:cs="仿宋"/>
                <w:color w:val="000000"/>
                <w:szCs w:val="21"/>
              </w:rPr>
            </w:r>
            <w:r/>
          </w:p>
          <w:p>
            <w:pPr>
              <w:pStyle w:val="1038"/>
              <w:spacing w:before="0" w:after="0" w:line="240" w:lineRule="auto"/>
              <w:rPr>
                <w:rFonts w:hint="eastAsia"/>
                <w:color w:val="000000"/>
              </w:rPr>
            </w:pP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信创工业互联网开发实训平台和信创工业终端开发平台演示：实物演示磁吸连接核心板和传感器执行器模块的能力；实物演示核心板短接后自动断电防短路的能力；实物演示通过香蕉头连接开展实验的视频演示。实物演示支持基于开源信创操作系统的双屏异显，主副屏可以显示不同的内容的能力；实物演示平台支持开源信创原生AI能力，演示人脸识别、目标检测等功能。</w:t>
            </w:r>
            <w:r>
              <w:rPr>
                <w:rFonts w:hint="eastAsia"/>
                <w:color w:val="000000"/>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4.评分标准：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每项演示功能完全满足的得2分，</w:t>
            </w:r>
            <w:r>
              <w:rPr>
                <w:rFonts w:hint="eastAsia" w:ascii="仿宋" w:hAnsi="仿宋" w:eastAsia="仿宋" w:cs="仿宋"/>
                <w:color w:val="000000"/>
                <w:szCs w:val="21"/>
                <w:lang w:eastAsia="zh-CN"/>
              </w:rPr>
              <w:t xml:space="preserve">未演示或演示功能不能</w:t>
            </w:r>
            <w:r>
              <w:rPr>
                <w:rFonts w:hint="eastAsia" w:ascii="仿宋" w:hAnsi="仿宋" w:eastAsia="仿宋" w:cs="仿宋"/>
                <w:color w:val="000000"/>
                <w:szCs w:val="21"/>
              </w:rPr>
              <w:t xml:space="preserve">完全满足</w:t>
            </w:r>
            <w:r>
              <w:rPr>
                <w:rFonts w:hint="eastAsia" w:ascii="仿宋" w:hAnsi="仿宋" w:eastAsia="仿宋" w:cs="仿宋"/>
                <w:color w:val="000000"/>
                <w:szCs w:val="21"/>
                <w:lang w:eastAsia="zh-CN"/>
              </w:rPr>
              <w:t xml:space="preserve">的</w:t>
            </w:r>
            <w:r>
              <w:rPr>
                <w:rFonts w:hint="eastAsia" w:ascii="仿宋" w:hAnsi="仿宋" w:eastAsia="仿宋" w:cs="仿宋"/>
                <w:color w:val="000000"/>
                <w:szCs w:val="21"/>
              </w:rPr>
              <w:t xml:space="preserve">不得分，5项共10分。</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5.说明：</w:t>
            </w:r>
            <w:r>
              <w:rPr>
                <w:rFonts w:hint="eastAsia" w:ascii="仿宋" w:hAnsi="仿宋" w:eastAsia="仿宋" w:cs="仿宋"/>
                <w:color w:val="000000"/>
                <w:szCs w:val="21"/>
              </w:rPr>
            </w:r>
            <w:r/>
          </w:p>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演示视频随投标文件一起上传到苏采云系统，格式：推荐Mp4，大小：300M以下。</w:t>
            </w:r>
            <w:r>
              <w:rPr>
                <w:rFonts w:hint="eastAsia" w:ascii="仿宋" w:hAnsi="仿宋" w:eastAsia="仿宋" w:cs="仿宋"/>
                <w:color w:val="000000"/>
                <w:szCs w:val="21"/>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10</w:t>
            </w:r>
            <w:r>
              <w:rPr>
                <w:rFonts w:hint="eastAsia" w:ascii="仿宋" w:hAnsi="仿宋" w:eastAsia="仿宋" w:cs="仿宋"/>
                <w:color w:val="000000"/>
                <w:szCs w:val="21"/>
              </w:rPr>
            </w:r>
            <w:r/>
          </w:p>
        </w:tc>
      </w:tr>
      <w:tr>
        <w:trPr/>
        <w:tc>
          <w:tcPr>
            <w:tcW w:w="831" w:type="dxa"/>
            <w:vAlign w:val="center"/>
            <w:vMerge w:val="restart"/>
            <w:textDirection w:val="lrTb"/>
            <w:noWrap/>
          </w:tcPr>
          <w:p>
            <w:pPr>
              <w:pStyle w:val="1038"/>
              <w:jc w:val="center"/>
              <w:spacing w:line="480" w:lineRule="exact"/>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lang w:eastAsia="zh-CN"/>
              </w:rPr>
            </w:r>
            <w:r/>
          </w:p>
        </w:tc>
        <w:tc>
          <w:tcPr>
            <w:tcW w:w="1406" w:type="dxa"/>
            <w:vAlign w:val="center"/>
            <w:vMerge w:val="restart"/>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国家政策导向</w:t>
            </w: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rPr>
            </w:pPr>
            <w:r>
              <w:rPr>
                <w:rFonts w:hint="eastAsia" w:ascii="仿宋" w:hAnsi="仿宋" w:eastAsia="仿宋" w:cs="仿宋"/>
                <w:bCs/>
                <w:color w:val="000000"/>
                <w:szCs w:val="21"/>
              </w:rPr>
              <w:t xml:space="preserve">环境标志产品：</w:t>
            </w:r>
            <w:r>
              <w:rPr>
                <w:rFonts w:hint="eastAsia" w:ascii="仿宋" w:hAnsi="仿宋" w:eastAsia="仿宋" w:cs="仿宋"/>
                <w:color w:val="000000"/>
                <w:szCs w:val="21"/>
              </w:rPr>
              <w:t xml:space="preserve">投标产品有《环境标志产品政府采购品目清单》内产品，并提供参与实施政府采购环境标志产品认证机构出具的认证证书得0.5分。</w:t>
            </w:r>
            <w:r>
              <w:rPr>
                <w:rFonts w:hint="eastAsia" w:ascii="仿宋" w:hAnsi="仿宋" w:eastAsia="仿宋" w:cs="仿宋"/>
                <w:color w:val="000000"/>
                <w:szCs w:val="21"/>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0.5</w:t>
            </w:r>
            <w:r>
              <w:rPr>
                <w:rFonts w:hint="eastAsia" w:ascii="仿宋" w:hAnsi="仿宋" w:eastAsia="仿宋" w:cs="仿宋"/>
                <w:color w:val="000000"/>
                <w:szCs w:val="21"/>
              </w:rPr>
            </w:r>
            <w:r/>
          </w:p>
        </w:tc>
      </w:tr>
      <w:tr>
        <w:trPr/>
        <w:tc>
          <w:tcPr>
            <w:tcW w:w="831" w:type="dxa"/>
            <w:vAlign w:val="center"/>
            <w:vMerge w:val="continue"/>
            <w:textDirection w:val="lrTb"/>
            <w:noWrap/>
          </w:tcPr>
          <w:p>
            <w:pPr>
              <w:pStyle w:val="1038"/>
              <w:spacing w:line="48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W w:w="1406" w:type="dxa"/>
            <w:vAlign w:val="center"/>
            <w:vMerge w:val="continue"/>
            <w:textDirection w:val="lrTb"/>
            <w:noWrap/>
          </w:tcPr>
          <w:p>
            <w:pPr>
              <w:pStyle w:val="1038"/>
              <w:spacing w:line="48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W w:w="6968" w:type="dxa"/>
            <w:vAlign w:val="center"/>
            <w:textDirection w:val="lrTb"/>
            <w:noWrap/>
          </w:tcPr>
          <w:p>
            <w:pPr>
              <w:pStyle w:val="1038"/>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节能产品：投标产品有《节能产品政府采购品目清单》内产品，并提供参与实施政府采购节能产品认证机构出具的认证证书得</w:t>
            </w:r>
            <w:r>
              <w:rPr>
                <w:rFonts w:hint="eastAsia" w:ascii="仿宋" w:hAnsi="仿宋" w:eastAsia="仿宋" w:cs="仿宋"/>
                <w:color w:val="000000"/>
                <w:szCs w:val="21"/>
              </w:rPr>
              <w:t xml:space="preserve">0.5</w:t>
            </w:r>
            <w:r>
              <w:rPr>
                <w:rFonts w:hint="eastAsia" w:ascii="仿宋" w:hAnsi="仿宋" w:eastAsia="仿宋" w:cs="仿宋"/>
                <w:color w:val="000000"/>
                <w:szCs w:val="21"/>
              </w:rPr>
              <w:t xml:space="preserve">分。</w:t>
            </w:r>
            <w:r>
              <w:rPr>
                <w:rFonts w:hint="eastAsia" w:ascii="仿宋" w:hAnsi="仿宋" w:eastAsia="仿宋" w:cs="仿宋"/>
                <w:color w:val="000000"/>
                <w:szCs w:val="21"/>
              </w:rPr>
            </w:r>
            <w:r/>
          </w:p>
        </w:tc>
        <w:tc>
          <w:tcPr>
            <w:tcW w:w="757" w:type="dxa"/>
            <w:vAlign w:val="center"/>
            <w:textDirection w:val="lrTb"/>
            <w:noWrap/>
          </w:tcPr>
          <w:p>
            <w:pPr>
              <w:pStyle w:val="1038"/>
              <w:jc w:val="center"/>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0.5</w:t>
            </w:r>
            <w:r>
              <w:rPr>
                <w:rFonts w:hint="eastAsia" w:ascii="仿宋" w:hAnsi="仿宋" w:eastAsia="仿宋" w:cs="仿宋"/>
                <w:color w:val="000000"/>
                <w:szCs w:val="21"/>
              </w:rPr>
            </w:r>
            <w:r/>
          </w:p>
        </w:tc>
      </w:tr>
    </w:tbl>
    <w:p>
      <w:pPr>
        <w:pStyle w:val="1038"/>
        <w:numPr>
          <w:ilvl w:val="0"/>
          <w:numId w:val="41"/>
        </w:numPr>
        <w:ind w:firstLine="442"/>
        <w:spacing w:before="0" w:after="0"/>
        <w:rPr>
          <w:rFonts w:hint="eastAsia" w:ascii="宋体" w:hAnsi="宋体" w:eastAsia="宋体" w:cs="宋体"/>
          <w:b/>
          <w:bCs/>
          <w:color w:val="000000"/>
          <w:sz w:val="22"/>
          <w:szCs w:val="22"/>
          <w:u w:val="single"/>
        </w:rPr>
      </w:pPr>
      <w:r>
        <w:rPr>
          <w:rFonts w:hint="eastAsia" w:ascii="宋体" w:hAnsi="宋体" w:eastAsia="宋体" w:cs="宋体"/>
          <w:b/>
          <w:bCs/>
          <w:color w:val="000000"/>
          <w:sz w:val="22"/>
          <w:szCs w:val="22"/>
          <w:u w:val="single"/>
        </w:rPr>
        <w:t xml:space="preserve">▲号参数指标（如有）为主要技术参数要求。</w:t>
      </w:r>
      <w:r>
        <w:rPr>
          <w:rFonts w:hint="eastAsia" w:ascii="宋体" w:hAnsi="宋体" w:eastAsia="宋体" w:cs="宋体"/>
          <w:b/>
          <w:bCs/>
          <w:color w:val="000000"/>
          <w:sz w:val="22"/>
          <w:szCs w:val="22"/>
          <w:u w:val="single"/>
        </w:rPr>
      </w:r>
      <w:r/>
    </w:p>
    <w:p>
      <w:pPr>
        <w:pStyle w:val="1038"/>
        <w:numPr>
          <w:ilvl w:val="0"/>
          <w:numId w:val="41"/>
        </w:numPr>
        <w:ind w:firstLine="442"/>
        <w:spacing w:before="0" w:after="0"/>
        <w:rPr>
          <w:rFonts w:hint="eastAsia" w:ascii="宋体" w:hAnsi="宋体" w:eastAsia="宋体" w:cs="宋体"/>
          <w:b/>
          <w:bCs/>
          <w:color w:val="000000"/>
          <w:sz w:val="22"/>
          <w:szCs w:val="22"/>
          <w:u w:val="single"/>
        </w:rPr>
      </w:pPr>
      <w:r>
        <w:rPr>
          <w:rFonts w:hint="eastAsia" w:ascii="宋体" w:hAnsi="宋体" w:eastAsia="宋体" w:cs="宋体"/>
          <w:b/>
          <w:bCs/>
          <w:color w:val="000000"/>
          <w:sz w:val="22"/>
          <w:szCs w:val="22"/>
          <w:u w:val="single"/>
        </w:rPr>
        <w:t xml:space="preserve">★号指标</w:t>
      </w:r>
      <w:bookmarkStart w:id="157" w:name="OLE_LINK9"/>
      <w:r>
        <w:rPr>
          <w:rFonts w:hint="eastAsia" w:ascii="宋体" w:hAnsi="宋体" w:eastAsia="宋体" w:cs="宋体"/>
          <w:b/>
          <w:bCs/>
          <w:color w:val="000000"/>
          <w:sz w:val="22"/>
          <w:szCs w:val="22"/>
          <w:u w:val="single"/>
        </w:rPr>
        <w:t xml:space="preserve">（如有）</w:t>
      </w:r>
      <w:bookmarkEnd w:id="157"/>
      <w:r>
        <w:rPr>
          <w:rFonts w:hint="eastAsia" w:ascii="宋体" w:hAnsi="宋体" w:eastAsia="宋体" w:cs="宋体"/>
          <w:b/>
          <w:bCs/>
          <w:color w:val="000000"/>
          <w:sz w:val="22"/>
          <w:szCs w:val="22"/>
          <w:u w:val="single"/>
        </w:rPr>
        <w:t xml:space="preserve">为必须满足指标，否则将视为非实质性响应招标文件要求，作为无效投标处理。</w:t>
      </w:r>
      <w:r>
        <w:rPr>
          <w:rFonts w:hint="eastAsia" w:ascii="宋体" w:hAnsi="宋体" w:eastAsia="宋体" w:cs="宋体"/>
          <w:b/>
          <w:bCs/>
          <w:color w:val="000000"/>
          <w:sz w:val="22"/>
          <w:szCs w:val="22"/>
          <w:u w:val="single"/>
        </w:rPr>
      </w:r>
      <w:r/>
    </w:p>
    <w:p>
      <w:pPr>
        <w:pStyle w:val="1038"/>
        <w:numPr>
          <w:ilvl w:val="0"/>
          <w:numId w:val="41"/>
        </w:numPr>
        <w:ind w:firstLine="442"/>
        <w:spacing w:before="0" w:after="0"/>
        <w:rPr>
          <w:rFonts w:hint="eastAsia" w:ascii="宋体" w:hAnsi="宋体" w:eastAsia="宋体" w:cs="宋体"/>
          <w:b/>
          <w:bCs/>
          <w:color w:val="000000"/>
          <w:sz w:val="22"/>
          <w:szCs w:val="22"/>
          <w:u w:val="single"/>
        </w:rPr>
      </w:pPr>
      <w:r>
        <w:rPr>
          <w:rFonts w:hint="eastAsia" w:ascii="宋体" w:hAnsi="宋体" w:eastAsia="宋体" w:cs="宋体"/>
          <w:b/>
          <w:bCs/>
          <w:color w:val="000000"/>
          <w:sz w:val="22"/>
          <w:szCs w:val="22"/>
          <w:u w:val="single"/>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bCs/>
          <w:color w:val="000000"/>
          <w:sz w:val="22"/>
          <w:szCs w:val="22"/>
          <w:u w:val="single"/>
        </w:rPr>
      </w:r>
      <w:r/>
    </w:p>
    <w:p>
      <w:pPr>
        <w:pStyle w:val="1038"/>
        <w:ind w:firstLine="442"/>
        <w:rPr>
          <w:rFonts w:hint="eastAsia" w:ascii="宋体" w:hAnsi="宋体" w:eastAsia="宋体" w:cs="宋体"/>
          <w:b/>
          <w:color w:val="000000"/>
          <w:sz w:val="22"/>
          <w:szCs w:val="22"/>
        </w:rPr>
        <w:outlineLvl w:val="1"/>
      </w:pPr>
      <w:r/>
      <w:bookmarkStart w:id="158" w:name="_Toc25804"/>
      <w:r/>
      <w:bookmarkStart w:id="159" w:name="_Toc28946"/>
      <w:r>
        <w:rPr>
          <w:rFonts w:hint="eastAsia" w:ascii="宋体" w:hAnsi="宋体" w:eastAsia="宋体" w:cs="宋体"/>
          <w:b/>
          <w:color w:val="000000"/>
          <w:sz w:val="22"/>
          <w:szCs w:val="22"/>
        </w:rPr>
        <w:t xml:space="preserve">五、评分因素及分值说明</w:t>
      </w:r>
      <w:bookmarkEnd w:id="158"/>
      <w:r/>
      <w:bookmarkEnd w:id="159"/>
      <w:r>
        <w:rPr>
          <w:rFonts w:hint="eastAsia" w:ascii="宋体" w:hAnsi="宋体" w:eastAsia="宋体" w:cs="宋体"/>
          <w:b/>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1.评审委员会成员按招标文件和本办法上述有关规定给各投标文件评分。</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2.各供应商的得分为各评委所评定分数的算术平均值。</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3.各项统计、评分结果均按四舍五入方法精确到小数点后两位。</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bookmarkStart w:id="160" w:name="_Toc462837790"/>
      <w:r>
        <w:rPr>
          <w:rFonts w:hint="eastAsia" w:ascii="宋体" w:hAnsi="宋体" w:eastAsia="宋体" w:cs="宋体"/>
          <w:color w:val="000000"/>
          <w:sz w:val="22"/>
          <w:szCs w:val="22"/>
        </w:rPr>
        <w:t xml:space="preserve">5.</w:t>
      </w:r>
      <w:bookmarkEnd w:id="160"/>
      <w:r>
        <w:rPr>
          <w:rFonts w:hint="eastAsia" w:ascii="宋体" w:hAnsi="宋体" w:eastAsia="宋体" w:cs="宋体"/>
          <w:color w:val="000000"/>
          <w:sz w:val="22"/>
          <w:szCs w:val="22"/>
        </w:rPr>
        <w:t xml:space="preserve">政府采购政策功能落实</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5.1小微型企业价格扣除</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（1）对小型和微型企业产品给予10%的扣除价格，用扣除后的价格参与评审。</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（2）供应商需按照招标文件的要求提供相应的《企业声明函》。</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5.2残疾人福利单位价格扣除</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（1）对残疾人福利性单位视同小型、微型企业，给予10%的价格扣除，用扣除后的价格参与评审。</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（2）残疾人福利单位需按照招标文件的要求提供《残疾人福利性单位声明函》。</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（3）残疾人福利单位标准请参照《关于促进残疾人就业政府采购政策的通知》（财库〔2017〕141号）。</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5.3监狱和戒毒企业价格扣除</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（1）对监狱和戒毒企业（简称监狱企业）视同小型、微型企业，给予10%的价格扣除，用扣除后的价格参与评审。</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（3）监狱企业标准请参照《关于政府采购支持监狱企业发展有关问题的通知》（财库〔2014〕68号）。</w:t>
      </w:r>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5.4残疾人福利单位、监狱企业属于小型、微型企业的，不重复享受政策。</w:t>
      </w:r>
      <w:bookmarkStart w:id="161" w:name="_Toc150538845"/>
      <w:r>
        <w:rPr>
          <w:rFonts w:hint="eastAsia" w:ascii="宋体" w:hAnsi="宋体" w:eastAsia="宋体" w:cs="宋体"/>
          <w:color w:val="000000"/>
          <w:sz w:val="22"/>
          <w:szCs w:val="22"/>
        </w:rPr>
      </w:r>
      <w:r/>
    </w:p>
    <w:p>
      <w:pPr>
        <w:pStyle w:val="1038"/>
        <w:ind w:firstLine="440"/>
        <w:rPr>
          <w:rFonts w:hint="eastAsia" w:ascii="宋体" w:hAnsi="宋体" w:eastAsia="宋体" w:cs="宋体"/>
          <w:color w:val="000000"/>
        </w:rPr>
      </w:pPr>
      <w:r>
        <w:rPr>
          <w:rFonts w:hint="eastAsia" w:ascii="宋体" w:hAnsi="宋体" w:eastAsia="宋体" w:cs="宋体"/>
          <w:color w:val="000000"/>
          <w:sz w:val="22"/>
          <w:szCs w:val="22"/>
        </w:rPr>
        <w:t xml:space="preserve">5.5属于专门面向中小微企业的项目不适用以上“政府采购政策功能落实”价格扣除条款。</w:t>
      </w:r>
      <w:bookmarkStart w:id="162" w:name="_Toc649"/>
      <w:r>
        <w:rPr>
          <w:rFonts w:hint="eastAsia" w:ascii="宋体" w:hAnsi="宋体" w:eastAsia="宋体" w:cs="宋体"/>
          <w:color w:val="000000"/>
        </w:rPr>
      </w:r>
      <w:r/>
    </w:p>
    <w:p>
      <w:pPr>
        <w:pStyle w:val="1038"/>
        <w:ind w:firstLine="440"/>
        <w:spacing w:before="0" w:after="0"/>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6.对本国产品的支持政策</w:t>
      </w:r>
      <w:r>
        <w:rPr>
          <w:rFonts w:hint="eastAsia" w:ascii="宋体" w:hAnsi="宋体" w:eastAsia="宋体" w:cs="宋体"/>
          <w:color w:val="000000"/>
          <w:sz w:val="22"/>
          <w:szCs w:val="22"/>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（3）产品总成本和组件成本以相关会计核算数据、采购合同、进货记录等为基础进行计算。</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（4）需要对成本核算规则予以进一步明确的其他有关事项，由财政部会同有关部门另行规定。</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7.同品牌投标人的认定：</w:t>
      </w:r>
      <w:r>
        <w:rPr>
          <w:rFonts w:hint="eastAsia" w:ascii="宋体" w:hAnsi="宋体" w:eastAsia="宋体" w:cs="宋体"/>
          <w:color w:val="000000"/>
        </w:rPr>
      </w:r>
      <w:r/>
    </w:p>
    <w:p>
      <w:pPr>
        <w:pStyle w:val="1038"/>
        <w:ind w:firstLine="420"/>
        <w:jc w:val="left"/>
        <w:rPr>
          <w:rFonts w:hint="eastAsia"/>
          <w:color w:val="000000"/>
        </w:rPr>
      </w:pPr>
      <w:r>
        <w:rPr>
          <w:rFonts w:hint="eastAsia" w:ascii="宋体" w:hAnsi="宋体" w:eastAsia="宋体" w:cs="宋体"/>
          <w:color w:val="000000"/>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rPr>
      </w:r>
      <w:r/>
    </w:p>
    <w:p>
      <w:pPr>
        <w:pStyle w:val="1038"/>
        <w:ind w:firstLine="420"/>
        <w:jc w:val="left"/>
        <w:rPr>
          <w:rFonts w:hint="eastAsia" w:ascii="宋体" w:hAnsi="宋体" w:eastAsia="宋体" w:cs="宋体"/>
          <w:color w:val="000000"/>
        </w:rPr>
      </w:pPr>
      <w:r>
        <w:rPr>
          <w:rFonts w:hint="eastAsia" w:ascii="宋体" w:hAnsi="宋体" w:eastAsia="宋体" w:cs="宋体"/>
          <w:color w:val="000000"/>
        </w:rPr>
        <w:t xml:space="preserve">8.本项目核心产品为：</w:t>
      </w:r>
      <w:r>
        <w:rPr>
          <w:rFonts w:hint="eastAsia" w:ascii="宋体" w:hAnsi="宋体" w:eastAsia="宋体" w:cs="宋体"/>
          <w:color w:val="000000"/>
          <w:u w:val="single"/>
        </w:rPr>
        <w:t xml:space="preserve">智能制造工程人才实训考核平台</w:t>
      </w:r>
      <w:r>
        <w:rPr>
          <w:rFonts w:hint="eastAsia" w:ascii="宋体" w:hAnsi="宋体" w:eastAsia="宋体" w:cs="宋体"/>
          <w:color w:val="000000"/>
        </w:rPr>
        <w:t xml:space="preserve">。</w:t>
      </w:r>
      <w:r>
        <w:rPr>
          <w:rFonts w:hint="eastAsia" w:ascii="宋体" w:hAnsi="宋体" w:eastAsia="宋体" w:cs="宋体"/>
          <w:color w:val="000000"/>
        </w:rPr>
      </w:r>
      <w:r/>
    </w:p>
    <w:p>
      <w:pPr>
        <w:pStyle w:val="1038"/>
        <w:ind w:firstLine="420"/>
        <w:jc w:val="left"/>
        <w:rPr>
          <w:rFonts w:hint="eastAsia" w:ascii="宋体" w:hAnsi="宋体" w:eastAsia="宋体" w:cs="宋体"/>
          <w:color w:val="00000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rPr>
      </w:r>
      <w:r/>
    </w:p>
    <w:p>
      <w:pPr>
        <w:pStyle w:val="1039"/>
        <w:ind w:firstLine="0"/>
        <w:spacing w:before="480"/>
        <w:tabs>
          <w:tab w:val="left" w:pos="1440" w:leader="none"/>
          <w:tab w:val="left" w:pos="5670" w:leader="none"/>
        </w:tabs>
        <w:rPr>
          <w:rFonts w:hint="eastAsia"/>
          <w:color w:val="000000"/>
        </w:rPr>
      </w:pPr>
      <w:r/>
      <w:bookmarkStart w:id="163" w:name="_Toc12196"/>
      <w:r/>
      <w:bookmarkStart w:id="164" w:name="_Toc2116"/>
      <w:r>
        <w:rPr>
          <w:rFonts w:hint="eastAsia" w:ascii="宋体" w:hAnsi="宋体" w:eastAsia="宋体" w:cs="宋体"/>
          <w:color w:val="000000"/>
        </w:rPr>
        <w:t xml:space="preserve">第四章 </w:t>
      </w:r>
      <w:bookmarkEnd w:id="161"/>
      <w:r/>
      <w:bookmarkEnd w:id="162"/>
      <w:r>
        <w:rPr>
          <w:rFonts w:hint="eastAsia" w:ascii="宋体" w:hAnsi="宋体" w:eastAsia="宋体" w:cs="宋体"/>
          <w:color w:val="000000"/>
        </w:rPr>
        <w:t xml:space="preserve">采购需求</w:t>
      </w:r>
      <w:bookmarkEnd w:id="163"/>
      <w:r/>
      <w:bookmarkEnd w:id="164"/>
      <w:r>
        <w:rPr>
          <w:rFonts w:hint="eastAsia"/>
          <w:color w:val="000000"/>
        </w:rPr>
      </w:r>
      <w:r/>
    </w:p>
    <w:p>
      <w:pPr>
        <w:pStyle w:val="1038"/>
        <w:numPr>
          <w:ilvl w:val="0"/>
          <w:numId w:val="42"/>
        </w:numPr>
        <w:spacing w:after="5"/>
        <w:rPr>
          <w:rFonts w:hint="eastAsia" w:ascii="宋体" w:hAnsi="宋体" w:eastAsia="宋体" w:cs="宋体"/>
          <w:b/>
          <w:color w:val="000000"/>
          <w:sz w:val="28"/>
          <w:szCs w:val="28"/>
        </w:rPr>
        <w:outlineLvl w:val="1"/>
      </w:pPr>
      <w:r/>
      <w:bookmarkStart w:id="165" w:name="_Toc19101"/>
      <w:r/>
      <w:bookmarkStart w:id="166" w:name="_Toc15398"/>
      <w:r/>
      <w:bookmarkStart w:id="167" w:name="_Toc17888"/>
      <w:r/>
      <w:bookmarkStart w:id="168" w:name="_Toc3459"/>
      <w:r/>
      <w:bookmarkStart w:id="169" w:name="_Toc22261"/>
      <w:r>
        <w:rPr>
          <w:rFonts w:hint="eastAsia" w:ascii="宋体" w:hAnsi="宋体" w:eastAsia="宋体" w:cs="宋体"/>
          <w:b/>
          <w:color w:val="000000"/>
          <w:sz w:val="28"/>
          <w:szCs w:val="28"/>
        </w:rPr>
        <w:t xml:space="preserve">项目概况</w:t>
      </w:r>
      <w:bookmarkEnd w:id="165"/>
      <w:r/>
      <w:bookmarkEnd w:id="166"/>
      <w:r/>
      <w:bookmarkEnd w:id="167"/>
      <w:r>
        <w:rPr>
          <w:rFonts w:hint="eastAsia" w:ascii="宋体" w:hAnsi="宋体" w:eastAsia="宋体" w:cs="宋体"/>
          <w:b/>
          <w:color w:val="000000"/>
          <w:sz w:val="28"/>
          <w:szCs w:val="28"/>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本项目为</w:t>
      </w:r>
      <w:r>
        <w:rPr>
          <w:rFonts w:hint="eastAsia" w:ascii="宋体" w:hAnsi="宋体" w:eastAsia="宋体" w:cs="宋体"/>
          <w:color w:val="000000"/>
          <w:sz w:val="24"/>
          <w:szCs w:val="24"/>
        </w:rPr>
        <w:t xml:space="preserve">江苏开放大学制造业智改数转技术产业学院实验室建设，为高质量推进“制造业智改数转技术产业学院”的建设工作，深化产教融合与服务区域产业发展，亟需构建匹配“智改数转”技术要求的高水平实训教学环境。</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旨在针对产业学院专业教学与实训需求，一次性高标准配置先进的智能制造实训设备、工业数字化软件及数字化教学平台，打造集实践教学、真实生产、技术服务于一体的高水平实训基地，确保自投入使用之日起即可高效支撑产业学院各项教学科研任务，全面提升技术技能人才培养质量，为服务制造业数字化转型发展奠定坚实基础。</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本次招标采购项目的实施，是深入落实国家和地方产业发展政策、推动制造业智改数转战略落地的重要举措，是深化职业教育改革、推进产教深度融合的具体实践，更是提升学校服务产业发展能力、打造特</w:t>
      </w:r>
      <w:r>
        <w:rPr>
          <w:rFonts w:hint="eastAsia" w:ascii="宋体" w:hAnsi="宋体" w:eastAsia="宋体" w:cs="宋体"/>
          <w:color w:val="000000"/>
          <w:sz w:val="24"/>
          <w:szCs w:val="24"/>
        </w:rPr>
        <w:t xml:space="preserve">色办学品牌、助力制造强省建设的关键支撑。通过本次招标采购，将进一步完善产业学院教学、科研、实训等核心硬件设施，构建与产业需求高度契合的实践教学体系、技术创新平台和服务支撑体系，推动教育链、人才链与产业链、创新链深度融合，助力产业学院打造成为区域先进制造产业急需的应用型人才培养基地、技术创新示范平台、社会服务重要载体和产教融合标杆样板，为“强富美高”新江苏现代化建设提供强有力的人才支持和技能支撑，为长三角地区制造业智改数转和高质量发展贡献重要力量，助力国家制造强国战略全面推进。相关要求详见技术要求及商务要求。</w:t>
      </w:r>
      <w:r>
        <w:rPr>
          <w:rFonts w:hint="eastAsia" w:ascii="宋体" w:hAnsi="宋体" w:eastAsia="宋体" w:cs="宋体"/>
          <w:color w:val="000000"/>
          <w:sz w:val="24"/>
          <w:szCs w:val="24"/>
        </w:rPr>
      </w:r>
      <w:r/>
    </w:p>
    <w:p>
      <w:pPr>
        <w:pStyle w:val="1038"/>
        <w:numPr>
          <w:ilvl w:val="0"/>
          <w:numId w:val="42"/>
        </w:numPr>
        <w:spacing w:after="5"/>
        <w:rPr>
          <w:rFonts w:hint="eastAsia" w:ascii="宋体" w:hAnsi="宋体" w:eastAsia="宋体" w:cs="宋体"/>
          <w:b/>
          <w:color w:val="000000"/>
          <w:sz w:val="28"/>
          <w:szCs w:val="28"/>
        </w:rPr>
        <w:outlineLvl w:val="1"/>
      </w:pPr>
      <w:r/>
      <w:bookmarkStart w:id="170" w:name="_Toc28852"/>
      <w:r/>
      <w:bookmarkStart w:id="171" w:name="_Toc5014"/>
      <w:r>
        <w:rPr>
          <w:rFonts w:hint="eastAsia" w:ascii="宋体" w:hAnsi="宋体" w:eastAsia="宋体" w:cs="宋体"/>
          <w:b/>
          <w:color w:val="000000"/>
          <w:sz w:val="28"/>
          <w:szCs w:val="28"/>
        </w:rPr>
        <w:t xml:space="preserve">建设范围</w:t>
      </w:r>
      <w:bookmarkEnd w:id="170"/>
      <w:r/>
      <w:bookmarkEnd w:id="171"/>
      <w:r>
        <w:rPr>
          <w:rFonts w:hint="eastAsia" w:ascii="宋体" w:hAnsi="宋体" w:eastAsia="宋体" w:cs="宋体"/>
          <w:b/>
          <w:color w:val="000000"/>
          <w:sz w:val="28"/>
          <w:szCs w:val="28"/>
        </w:rPr>
      </w:r>
      <w:r/>
    </w:p>
    <w:p>
      <w:pPr>
        <w:pStyle w:val="1050"/>
        <w:ind w:left="0" w:firstLine="420"/>
        <w:rPr>
          <w:rFonts w:hint="eastAsia"/>
          <w:bCs/>
          <w:color w:val="000000"/>
        </w:rPr>
      </w:pPr>
      <w:r>
        <w:rPr>
          <w:rFonts w:hint="eastAsia"/>
          <w:bCs/>
          <w:color w:val="000000"/>
        </w:rPr>
        <w:t xml:space="preserve">教学设备采购范围涉及一期C2、C3实训楼，包括7间实验实训室、1间技能大师工作室及相关门厅、过道公共区域，主要类别及分布情况如下：</w:t>
      </w:r>
      <w:r>
        <w:rPr>
          <w:rFonts w:hint="eastAsia"/>
          <w:bCs/>
          <w:color w:val="000000"/>
        </w:rPr>
      </w:r>
      <w:r/>
    </w:p>
    <w:tbl>
      <w:tblPr>
        <w:tblW w:w="45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3487"/>
        <w:gridCol w:w="3172"/>
        <w:gridCol w:w="1385"/>
      </w:tblGrid>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br w:type="page" w:clear="all"/>
            </w:r>
            <w:r>
              <w:rPr>
                <w:rFonts w:hint="eastAsia" w:ascii="仿宋" w:hAnsi="仿宋" w:eastAsia="仿宋" w:cs="仿宋"/>
                <w:color w:val="000000"/>
                <w:szCs w:val="21"/>
              </w:rPr>
              <w:t xml:space="preserve">序号</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名称</w:t>
            </w:r>
            <w:r>
              <w:rPr>
                <w:rFonts w:hint="eastAsia" w:ascii="仿宋" w:hAnsi="仿宋" w:eastAsia="仿宋" w:cs="仿宋"/>
                <w:color w:val="000000"/>
                <w:szCs w:val="21"/>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位置（桥林校区）</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面积（㎡）</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lang w:eastAsia="zh"/>
              </w:rPr>
            </w:pPr>
            <w:r>
              <w:rPr>
                <w:rFonts w:hint="eastAsia" w:ascii="仿宋" w:hAnsi="仿宋" w:eastAsia="仿宋" w:cs="仿宋"/>
                <w:color w:val="000000"/>
                <w:szCs w:val="21"/>
                <w:lang w:eastAsia="zh"/>
              </w:rPr>
              <w:t xml:space="preserve">智能制造工程训练与创新中心</w:t>
            </w:r>
            <w:r>
              <w:rPr>
                <w:rFonts w:hint="eastAsia" w:ascii="仿宋" w:hAnsi="仿宋" w:eastAsia="仿宋" w:cs="仿宋"/>
                <w:color w:val="000000"/>
                <w:szCs w:val="21"/>
                <w:lang w:eastAsia="zh"/>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w:t>
            </w:r>
            <w:r>
              <w:rPr>
                <w:rFonts w:hint="eastAsia" w:ascii="仿宋" w:hAnsi="仿宋" w:eastAsia="仿宋" w:cs="仿宋"/>
                <w:color w:val="000000"/>
                <w:szCs w:val="21"/>
                <w:lang w:eastAsia="zh"/>
              </w:rPr>
              <w:t xml:space="preserve">2南楼</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671.8</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lang w:eastAsia="zh"/>
              </w:rPr>
            </w:pPr>
            <w:r>
              <w:rPr>
                <w:rFonts w:hint="eastAsia" w:ascii="仿宋" w:hAnsi="仿宋" w:eastAsia="仿宋" w:cs="仿宋"/>
                <w:color w:val="000000"/>
                <w:szCs w:val="21"/>
                <w:lang w:eastAsia="zh"/>
              </w:rPr>
              <w:t xml:space="preserve">机器人开发与应用实训室</w:t>
            </w:r>
            <w:r>
              <w:rPr>
                <w:rFonts w:hint="eastAsia" w:ascii="仿宋" w:hAnsi="仿宋" w:eastAsia="仿宋" w:cs="仿宋"/>
                <w:color w:val="000000"/>
                <w:szCs w:val="21"/>
                <w:lang w:eastAsia="zh"/>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实训楼C3</w:t>
            </w:r>
            <w:r>
              <w:rPr>
                <w:rFonts w:hint="eastAsia" w:ascii="仿宋" w:hAnsi="仿宋" w:eastAsia="仿宋" w:cs="仿宋"/>
                <w:color w:val="000000"/>
                <w:szCs w:val="21"/>
                <w:lang w:eastAsia="zh"/>
              </w:rPr>
              <w:t xml:space="preserve">南</w:t>
            </w:r>
            <w:r>
              <w:rPr>
                <w:rFonts w:hint="eastAsia" w:ascii="仿宋" w:hAnsi="仿宋" w:eastAsia="仿宋" w:cs="仿宋"/>
                <w:color w:val="000000"/>
                <w:szCs w:val="21"/>
              </w:rPr>
              <w:t xml:space="preserve">楼 </w:t>
            </w:r>
            <w:r>
              <w:rPr>
                <w:rFonts w:hint="eastAsia" w:ascii="仿宋" w:hAnsi="仿宋" w:eastAsia="仿宋" w:cs="仿宋"/>
                <w:color w:val="000000"/>
                <w:szCs w:val="21"/>
                <w:lang w:eastAsia="zh"/>
              </w:rPr>
              <w:t xml:space="preserve">101</w:t>
            </w:r>
            <w:r>
              <w:rPr>
                <w:rFonts w:hint="eastAsia" w:ascii="仿宋" w:hAnsi="仿宋" w:eastAsia="仿宋" w:cs="仿宋"/>
                <w:color w:val="000000"/>
                <w:szCs w:val="21"/>
              </w:rPr>
              <w:t xml:space="preserve">-</w:t>
            </w:r>
            <w:r>
              <w:rPr>
                <w:rFonts w:hint="eastAsia" w:ascii="仿宋" w:hAnsi="仿宋" w:eastAsia="仿宋" w:cs="仿宋"/>
                <w:color w:val="000000"/>
                <w:szCs w:val="21"/>
                <w:lang w:eastAsia="zh"/>
              </w:rPr>
              <w:t xml:space="preserve">102</w:t>
            </w:r>
            <w:r>
              <w:rPr>
                <w:rFonts w:hint="eastAsia" w:ascii="仿宋" w:hAnsi="仿宋" w:eastAsia="仿宋" w:cs="仿宋"/>
                <w:color w:val="000000"/>
                <w:szCs w:val="21"/>
              </w:rPr>
              <w:t xml:space="preserve">室</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187.04</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lang w:eastAsia="zh"/>
              </w:rPr>
            </w:pPr>
            <w:r>
              <w:rPr>
                <w:rFonts w:hint="eastAsia" w:ascii="仿宋" w:hAnsi="仿宋" w:eastAsia="仿宋" w:cs="仿宋"/>
                <w:color w:val="000000"/>
                <w:szCs w:val="21"/>
                <w:lang w:eastAsia="zh"/>
              </w:rPr>
              <w:t xml:space="preserve">工业控制与系统集成实训室</w:t>
            </w:r>
            <w:r>
              <w:rPr>
                <w:rFonts w:hint="eastAsia" w:ascii="仿宋" w:hAnsi="仿宋" w:eastAsia="仿宋" w:cs="仿宋"/>
                <w:color w:val="000000"/>
                <w:szCs w:val="21"/>
                <w:lang w:eastAsia="zh"/>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实训楼C3</w:t>
            </w:r>
            <w:r>
              <w:rPr>
                <w:rFonts w:hint="eastAsia" w:ascii="仿宋" w:hAnsi="仿宋" w:eastAsia="仿宋" w:cs="仿宋"/>
                <w:color w:val="000000"/>
                <w:szCs w:val="21"/>
                <w:lang w:eastAsia="zh"/>
              </w:rPr>
              <w:t xml:space="preserve">南</w:t>
            </w:r>
            <w:r>
              <w:rPr>
                <w:rFonts w:hint="eastAsia" w:ascii="仿宋" w:hAnsi="仿宋" w:eastAsia="仿宋" w:cs="仿宋"/>
                <w:color w:val="000000"/>
                <w:szCs w:val="21"/>
              </w:rPr>
              <w:t xml:space="preserve">楼 </w:t>
            </w:r>
            <w:r>
              <w:rPr>
                <w:rFonts w:hint="eastAsia" w:ascii="仿宋" w:hAnsi="仿宋" w:eastAsia="仿宋" w:cs="仿宋"/>
                <w:color w:val="000000"/>
                <w:szCs w:val="21"/>
                <w:lang w:eastAsia="zh"/>
              </w:rPr>
              <w:t xml:space="preserve">109</w:t>
            </w:r>
            <w:r>
              <w:rPr>
                <w:rFonts w:hint="eastAsia" w:ascii="仿宋" w:hAnsi="仿宋" w:eastAsia="仿宋" w:cs="仿宋"/>
                <w:color w:val="000000"/>
                <w:szCs w:val="21"/>
              </w:rPr>
              <w:t xml:space="preserve">-</w:t>
            </w:r>
            <w:r>
              <w:rPr>
                <w:rFonts w:hint="eastAsia" w:ascii="仿宋" w:hAnsi="仿宋" w:eastAsia="仿宋" w:cs="仿宋"/>
                <w:color w:val="000000"/>
                <w:szCs w:val="21"/>
                <w:lang w:eastAsia="zh"/>
              </w:rPr>
              <w:t xml:space="preserve">110</w:t>
            </w:r>
            <w:r>
              <w:rPr>
                <w:rFonts w:hint="eastAsia" w:ascii="仿宋" w:hAnsi="仿宋" w:eastAsia="仿宋" w:cs="仿宋"/>
                <w:color w:val="000000"/>
                <w:szCs w:val="21"/>
              </w:rPr>
              <w:t xml:space="preserve">室</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120.33</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lang w:eastAsia="zh"/>
              </w:rPr>
            </w:pPr>
            <w:r>
              <w:rPr>
                <w:rFonts w:hint="eastAsia" w:ascii="仿宋" w:hAnsi="仿宋" w:eastAsia="仿宋" w:cs="仿宋"/>
                <w:color w:val="000000"/>
                <w:szCs w:val="21"/>
                <w:lang w:eastAsia="zh"/>
              </w:rPr>
              <w:t xml:space="preserve">电气控制与PLC技术实训室</w:t>
            </w:r>
            <w:r>
              <w:rPr>
                <w:rFonts w:hint="eastAsia" w:ascii="仿宋" w:hAnsi="仿宋" w:eastAsia="仿宋" w:cs="仿宋"/>
                <w:color w:val="000000"/>
                <w:szCs w:val="21"/>
                <w:lang w:eastAsia="zh"/>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实训楼C3</w:t>
            </w:r>
            <w:r>
              <w:rPr>
                <w:rFonts w:hint="eastAsia" w:ascii="仿宋" w:hAnsi="仿宋" w:eastAsia="仿宋" w:cs="仿宋"/>
                <w:color w:val="000000"/>
                <w:szCs w:val="21"/>
                <w:lang w:eastAsia="zh"/>
              </w:rPr>
              <w:t xml:space="preserve">南</w:t>
            </w:r>
            <w:r>
              <w:rPr>
                <w:rFonts w:hint="eastAsia" w:ascii="仿宋" w:hAnsi="仿宋" w:eastAsia="仿宋" w:cs="仿宋"/>
                <w:color w:val="000000"/>
                <w:szCs w:val="21"/>
              </w:rPr>
              <w:t xml:space="preserve">楼 </w:t>
            </w:r>
            <w:r>
              <w:rPr>
                <w:rFonts w:hint="eastAsia" w:ascii="仿宋" w:hAnsi="仿宋" w:eastAsia="仿宋" w:cs="仿宋"/>
                <w:color w:val="000000"/>
                <w:szCs w:val="21"/>
                <w:lang w:eastAsia="zh"/>
              </w:rPr>
              <w:t xml:space="preserve">107</w:t>
            </w:r>
            <w:r>
              <w:rPr>
                <w:rFonts w:hint="eastAsia" w:ascii="仿宋" w:hAnsi="仿宋" w:eastAsia="仿宋" w:cs="仿宋"/>
                <w:color w:val="000000"/>
                <w:szCs w:val="21"/>
              </w:rPr>
              <w:t xml:space="preserve">-</w:t>
            </w:r>
            <w:r>
              <w:rPr>
                <w:rFonts w:hint="eastAsia" w:ascii="仿宋" w:hAnsi="仿宋" w:eastAsia="仿宋" w:cs="仿宋"/>
                <w:color w:val="000000"/>
                <w:szCs w:val="21"/>
                <w:lang w:eastAsia="zh"/>
              </w:rPr>
              <w:t xml:space="preserve">108</w:t>
            </w:r>
            <w:r>
              <w:rPr>
                <w:rFonts w:hint="eastAsia" w:ascii="仿宋" w:hAnsi="仿宋" w:eastAsia="仿宋" w:cs="仿宋"/>
                <w:color w:val="000000"/>
                <w:szCs w:val="21"/>
              </w:rPr>
              <w:t xml:space="preserve">室</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121.36</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lang w:eastAsia="zh"/>
              </w:rPr>
            </w:pPr>
            <w:r>
              <w:rPr>
                <w:rFonts w:hint="eastAsia" w:ascii="仿宋" w:hAnsi="仿宋" w:eastAsia="仿宋" w:cs="仿宋"/>
                <w:color w:val="000000"/>
                <w:szCs w:val="21"/>
                <w:lang w:eastAsia="zh"/>
              </w:rPr>
              <w:t xml:space="preserve">数字化设计与仿真实训室</w:t>
            </w:r>
            <w:r>
              <w:rPr>
                <w:rFonts w:hint="eastAsia" w:ascii="仿宋" w:hAnsi="仿宋" w:eastAsia="仿宋" w:cs="仿宋"/>
                <w:color w:val="000000"/>
                <w:szCs w:val="21"/>
                <w:lang w:eastAsia="zh"/>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实训楼C3</w:t>
            </w:r>
            <w:r>
              <w:rPr>
                <w:rFonts w:hint="eastAsia" w:ascii="仿宋" w:hAnsi="仿宋" w:eastAsia="仿宋" w:cs="仿宋"/>
                <w:color w:val="000000"/>
                <w:szCs w:val="21"/>
                <w:lang w:eastAsia="zh"/>
              </w:rPr>
              <w:t xml:space="preserve">北</w:t>
            </w:r>
            <w:r>
              <w:rPr>
                <w:rFonts w:hint="eastAsia" w:ascii="仿宋" w:hAnsi="仿宋" w:eastAsia="仿宋" w:cs="仿宋"/>
                <w:color w:val="000000"/>
                <w:szCs w:val="21"/>
              </w:rPr>
              <w:t xml:space="preserve">楼 </w:t>
            </w:r>
            <w:r>
              <w:rPr>
                <w:rFonts w:hint="eastAsia" w:ascii="仿宋" w:hAnsi="仿宋" w:eastAsia="仿宋" w:cs="仿宋"/>
                <w:color w:val="000000"/>
                <w:szCs w:val="21"/>
                <w:lang w:eastAsia="zh"/>
              </w:rPr>
              <w:t xml:space="preserve">111</w:t>
            </w:r>
            <w:r>
              <w:rPr>
                <w:rFonts w:hint="eastAsia" w:ascii="仿宋" w:hAnsi="仿宋" w:eastAsia="仿宋" w:cs="仿宋"/>
                <w:color w:val="000000"/>
                <w:szCs w:val="21"/>
              </w:rPr>
              <w:t xml:space="preserve">-</w:t>
            </w:r>
            <w:r>
              <w:rPr>
                <w:rFonts w:hint="eastAsia" w:ascii="仿宋" w:hAnsi="仿宋" w:eastAsia="仿宋" w:cs="仿宋"/>
                <w:color w:val="000000"/>
                <w:szCs w:val="21"/>
                <w:lang w:eastAsia="zh"/>
              </w:rPr>
              <w:t xml:space="preserve">112</w:t>
            </w:r>
            <w:r>
              <w:rPr>
                <w:rFonts w:hint="eastAsia" w:ascii="仿宋" w:hAnsi="仿宋" w:eastAsia="仿宋" w:cs="仿宋"/>
                <w:color w:val="000000"/>
                <w:szCs w:val="21"/>
              </w:rPr>
              <w:t xml:space="preserve">室</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119.53</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lang w:eastAsia="zh"/>
              </w:rPr>
            </w:pPr>
            <w:r>
              <w:rPr>
                <w:rFonts w:hint="eastAsia" w:ascii="仿宋" w:hAnsi="仿宋" w:eastAsia="仿宋" w:cs="仿宋"/>
                <w:color w:val="000000"/>
                <w:szCs w:val="21"/>
                <w:lang w:eastAsia="zh"/>
              </w:rPr>
              <w:t xml:space="preserve">智能装备与物联网实训室</w:t>
            </w:r>
            <w:r>
              <w:rPr>
                <w:rFonts w:hint="eastAsia" w:ascii="仿宋" w:hAnsi="仿宋" w:eastAsia="仿宋" w:cs="仿宋"/>
                <w:color w:val="000000"/>
                <w:szCs w:val="21"/>
                <w:lang w:eastAsia="zh"/>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实训楼C3</w:t>
            </w:r>
            <w:r>
              <w:rPr>
                <w:rFonts w:hint="eastAsia" w:ascii="仿宋" w:hAnsi="仿宋" w:eastAsia="仿宋" w:cs="仿宋"/>
                <w:color w:val="000000"/>
                <w:szCs w:val="21"/>
                <w:lang w:eastAsia="zh"/>
              </w:rPr>
              <w:t xml:space="preserve">南</w:t>
            </w:r>
            <w:r>
              <w:rPr>
                <w:rFonts w:hint="eastAsia" w:ascii="仿宋" w:hAnsi="仿宋" w:eastAsia="仿宋" w:cs="仿宋"/>
                <w:color w:val="000000"/>
                <w:szCs w:val="21"/>
              </w:rPr>
              <w:t xml:space="preserve">楼 1</w:t>
            </w:r>
            <w:r>
              <w:rPr>
                <w:rFonts w:hint="eastAsia" w:ascii="仿宋" w:hAnsi="仿宋" w:eastAsia="仿宋" w:cs="仿宋"/>
                <w:color w:val="000000"/>
                <w:szCs w:val="21"/>
                <w:lang w:eastAsia="zh"/>
              </w:rPr>
              <w:t xml:space="preserve">03</w:t>
            </w:r>
            <w:r>
              <w:rPr>
                <w:rFonts w:hint="eastAsia" w:ascii="仿宋" w:hAnsi="仿宋" w:eastAsia="仿宋" w:cs="仿宋"/>
                <w:color w:val="000000"/>
                <w:szCs w:val="21"/>
              </w:rPr>
              <w:t xml:space="preserve">室</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91.84</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7</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lang w:eastAsia="zh"/>
              </w:rPr>
            </w:pPr>
            <w:r>
              <w:rPr>
                <w:rFonts w:hint="eastAsia" w:ascii="仿宋" w:hAnsi="仿宋" w:eastAsia="仿宋" w:cs="仿宋"/>
                <w:color w:val="000000"/>
                <w:szCs w:val="21"/>
                <w:lang w:eastAsia="zh"/>
              </w:rPr>
              <w:t xml:space="preserve">工业互联与信创实训室</w:t>
            </w:r>
            <w:r>
              <w:rPr>
                <w:rFonts w:hint="eastAsia" w:ascii="仿宋" w:hAnsi="仿宋" w:eastAsia="仿宋" w:cs="仿宋"/>
                <w:color w:val="000000"/>
                <w:szCs w:val="21"/>
                <w:lang w:eastAsia="zh"/>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实训楼C3</w:t>
            </w:r>
            <w:r>
              <w:rPr>
                <w:rFonts w:hint="eastAsia" w:ascii="仿宋" w:hAnsi="仿宋" w:eastAsia="仿宋" w:cs="仿宋"/>
                <w:color w:val="000000"/>
                <w:szCs w:val="21"/>
                <w:lang w:eastAsia="zh"/>
              </w:rPr>
              <w:t xml:space="preserve">北</w:t>
            </w:r>
            <w:r>
              <w:rPr>
                <w:rFonts w:hint="eastAsia" w:ascii="仿宋" w:hAnsi="仿宋" w:eastAsia="仿宋" w:cs="仿宋"/>
                <w:color w:val="000000"/>
                <w:szCs w:val="21"/>
              </w:rPr>
              <w:t xml:space="preserve">楼 </w:t>
            </w:r>
            <w:r>
              <w:rPr>
                <w:rFonts w:hint="eastAsia" w:ascii="仿宋" w:hAnsi="仿宋" w:eastAsia="仿宋" w:cs="仿宋"/>
                <w:color w:val="000000"/>
                <w:szCs w:val="21"/>
                <w:lang w:eastAsia="zh"/>
              </w:rPr>
              <w:t xml:space="preserve">113</w:t>
            </w:r>
            <w:r>
              <w:rPr>
                <w:rFonts w:hint="eastAsia" w:ascii="仿宋" w:hAnsi="仿宋" w:eastAsia="仿宋" w:cs="仿宋"/>
                <w:color w:val="000000"/>
                <w:szCs w:val="21"/>
              </w:rPr>
              <w:t xml:space="preserve">-</w:t>
            </w:r>
            <w:r>
              <w:rPr>
                <w:rFonts w:hint="eastAsia" w:ascii="仿宋" w:hAnsi="仿宋" w:eastAsia="仿宋" w:cs="仿宋"/>
                <w:color w:val="000000"/>
                <w:szCs w:val="21"/>
                <w:lang w:eastAsia="zh"/>
              </w:rPr>
              <w:t xml:space="preserve">114</w:t>
            </w:r>
            <w:r>
              <w:rPr>
                <w:rFonts w:hint="eastAsia" w:ascii="仿宋" w:hAnsi="仿宋" w:eastAsia="仿宋" w:cs="仿宋"/>
                <w:color w:val="000000"/>
                <w:szCs w:val="21"/>
              </w:rPr>
              <w:t xml:space="preserve">室</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119.76</w:t>
            </w:r>
            <w:r>
              <w:rPr>
                <w:rFonts w:hint="eastAsia" w:ascii="仿宋" w:hAnsi="仿宋" w:eastAsia="仿宋" w:cs="仿宋"/>
                <w:color w:val="000000"/>
                <w:szCs w:val="21"/>
              </w:rPr>
            </w:r>
            <w:r/>
          </w:p>
        </w:tc>
      </w:tr>
      <w:tr>
        <w:trPr>
          <w:trHeight w:val="90"/>
        </w:trPr>
        <w:tc>
          <w:tcPr>
            <w:tcW w:w="578"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8</w:t>
            </w:r>
            <w:r>
              <w:rPr>
                <w:rFonts w:hint="eastAsia" w:ascii="仿宋" w:hAnsi="仿宋" w:eastAsia="仿宋" w:cs="仿宋"/>
                <w:color w:val="000000"/>
                <w:szCs w:val="21"/>
              </w:rPr>
            </w:r>
            <w:r/>
          </w:p>
        </w:tc>
        <w:tc>
          <w:tcPr>
            <w:tcW w:w="1916"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技能大师工作室</w:t>
            </w:r>
            <w:r>
              <w:rPr>
                <w:rFonts w:hint="eastAsia" w:ascii="仿宋" w:hAnsi="仿宋" w:eastAsia="仿宋" w:cs="仿宋"/>
                <w:color w:val="000000"/>
                <w:szCs w:val="21"/>
              </w:rPr>
            </w:r>
            <w:r/>
          </w:p>
        </w:tc>
        <w:tc>
          <w:tcPr>
            <w:tcW w:w="1743"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实训楼C3</w:t>
            </w:r>
            <w:r>
              <w:rPr>
                <w:rFonts w:hint="eastAsia" w:ascii="仿宋" w:hAnsi="仿宋" w:eastAsia="仿宋" w:cs="仿宋"/>
                <w:color w:val="000000"/>
                <w:szCs w:val="21"/>
                <w:lang w:eastAsia="zh"/>
              </w:rPr>
              <w:t xml:space="preserve">南</w:t>
            </w:r>
            <w:r>
              <w:rPr>
                <w:rFonts w:hint="eastAsia" w:ascii="仿宋" w:hAnsi="仿宋" w:eastAsia="仿宋" w:cs="仿宋"/>
                <w:color w:val="000000"/>
                <w:szCs w:val="21"/>
              </w:rPr>
              <w:t xml:space="preserve">楼 1</w:t>
            </w:r>
            <w:r>
              <w:rPr>
                <w:rFonts w:hint="eastAsia" w:ascii="仿宋" w:hAnsi="仿宋" w:eastAsia="仿宋" w:cs="仿宋"/>
                <w:color w:val="000000"/>
                <w:szCs w:val="21"/>
                <w:lang w:eastAsia="zh"/>
              </w:rPr>
              <w:t xml:space="preserve">06</w:t>
            </w:r>
            <w:r>
              <w:rPr>
                <w:rFonts w:hint="eastAsia" w:ascii="仿宋" w:hAnsi="仿宋" w:eastAsia="仿宋" w:cs="仿宋"/>
                <w:color w:val="000000"/>
                <w:szCs w:val="21"/>
              </w:rPr>
              <w:t xml:space="preserve">室</w:t>
            </w:r>
            <w:r>
              <w:rPr>
                <w:rFonts w:hint="eastAsia" w:ascii="仿宋" w:hAnsi="仿宋" w:eastAsia="仿宋" w:cs="仿宋"/>
                <w:color w:val="000000"/>
                <w:szCs w:val="21"/>
              </w:rPr>
            </w:r>
            <w:r/>
          </w:p>
        </w:tc>
        <w:tc>
          <w:tcPr>
            <w:tcW w:w="761" w:type="dxa"/>
            <w:vAlign w:val="center"/>
            <w:textDirection w:val="lrTb"/>
            <w:noWrap w:val="false"/>
          </w:tcPr>
          <w:p>
            <w:pPr>
              <w:pStyle w:val="1038"/>
              <w:jc w:val="center"/>
              <w:spacing w:before="0" w:after="0"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64.8</w:t>
            </w:r>
            <w:r>
              <w:rPr>
                <w:rFonts w:hint="eastAsia" w:ascii="仿宋" w:hAnsi="仿宋" w:eastAsia="仿宋" w:cs="仿宋"/>
                <w:color w:val="000000"/>
                <w:szCs w:val="21"/>
              </w:rPr>
            </w:r>
            <w:r/>
          </w:p>
        </w:tc>
      </w:tr>
    </w:tbl>
    <w:p>
      <w:pPr>
        <w:pStyle w:val="1050"/>
        <w:ind w:left="0" w:firstLine="420"/>
        <w:rPr>
          <w:rFonts w:hint="eastAsia"/>
          <w:color w:val="000000"/>
        </w:rPr>
      </w:pPr>
      <w:r>
        <w:rPr>
          <w:rFonts w:hint="eastAsia"/>
          <w:color w:val="000000"/>
        </w:rPr>
      </w:r>
      <w:r/>
    </w:p>
    <w:p>
      <w:pPr>
        <w:pStyle w:val="1038"/>
        <w:numPr>
          <w:ilvl w:val="0"/>
          <w:numId w:val="42"/>
        </w:numPr>
        <w:spacing w:after="5"/>
        <w:rPr>
          <w:rFonts w:hint="eastAsia" w:ascii="宋体" w:hAnsi="宋体" w:eastAsia="宋体" w:cs="宋体"/>
          <w:b/>
          <w:color w:val="000000"/>
          <w:sz w:val="28"/>
          <w:szCs w:val="28"/>
        </w:rPr>
        <w:outlineLvl w:val="1"/>
      </w:pPr>
      <w:r/>
      <w:bookmarkStart w:id="172" w:name="_Toc29235"/>
      <w:r/>
      <w:bookmarkStart w:id="173" w:name="_Toc20782"/>
      <w:r>
        <w:rPr>
          <w:rFonts w:hint="eastAsia" w:ascii="宋体" w:hAnsi="宋体" w:eastAsia="宋体" w:cs="宋体"/>
          <w:b/>
          <w:color w:val="000000"/>
          <w:sz w:val="28"/>
          <w:szCs w:val="28"/>
        </w:rPr>
        <w:t xml:space="preserve">建设内容（设备清单）</w:t>
      </w:r>
      <w:bookmarkEnd w:id="172"/>
      <w:r/>
      <w:bookmarkEnd w:id="173"/>
      <w:r>
        <w:rPr>
          <w:rFonts w:hint="eastAsia" w:ascii="宋体" w:hAnsi="宋体" w:eastAsia="宋体" w:cs="宋体"/>
          <w:b/>
          <w:color w:val="000000"/>
          <w:sz w:val="28"/>
          <w:szCs w:val="28"/>
        </w:rPr>
      </w:r>
      <w:r/>
    </w:p>
    <w:tbl>
      <w:tblPr>
        <w:tblpPr w:horzAnchor="text" w:tblpX="725" w:vertAnchor="text" w:tblpY="100" w:leftFromText="180" w:topFromText="0" w:rightFromText="180" w:bottomFromText="0"/>
        <w:tblW w:w="9206" w:type="dxa"/>
        <w:tblInd w:w="-108" w:type="dxa"/>
        <w:tblLayout w:type="fixed"/>
        <w:tblCellMar>
          <w:left w:w="108" w:type="dxa"/>
          <w:top w:w="0" w:type="dxa"/>
          <w:right w:w="108" w:type="dxa"/>
          <w:bottom w:w="0" w:type="dxa"/>
        </w:tblCellMar>
        <w:tblLook w:val="04A0" w:firstRow="1" w:lastRow="0" w:firstColumn="1" w:lastColumn="0" w:noHBand="0" w:noVBand="1"/>
      </w:tblPr>
      <w:tblGrid>
        <w:gridCol w:w="750"/>
        <w:gridCol w:w="3694"/>
        <w:gridCol w:w="746"/>
        <w:gridCol w:w="800"/>
        <w:gridCol w:w="3216"/>
      </w:tblGrid>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序号</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名称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数量</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单位</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备注</w:t>
            </w: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模块化工业机器人综合实验平台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none" w:color="000000" w:sz="0" w:space="0"/>
              <w:right w:val="single" w:color="000000" w:sz="4" w:space="0"/>
            </w:tcBorders>
            <w:tcW w:w="3216" w:type="dxa"/>
            <w:vAlign w:val="center"/>
            <w:vMerge w:val="restart"/>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智能制造工程训练与创新中心</w:t>
            </w: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协作机器人柔性实验平台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工业视觉综合实验平台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3D打印单元</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立体库单元</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平带输送带</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7</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7</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滚筒输送带</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15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工业协作机器人（含工业视觉）</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15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9</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工业级AGV移动底盘</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AGV</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产线载体</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桌面协作机器人平台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20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eastAsia="zh"/>
              </w:rPr>
              <w:t xml:space="preserve">机器人开发与应用实训室</w:t>
            </w:r>
            <w:r>
              <w:rPr>
                <w:rFonts w:hint="eastAsia" w:ascii="仿宋" w:hAnsi="仿宋" w:eastAsia="仿宋" w:cs="仿宋"/>
                <w:color w:val="000000"/>
                <w:szCs w:val="21"/>
                <w:lang w:eastAsia="zh"/>
              </w:rPr>
            </w:r>
            <w:r/>
          </w:p>
        </w:tc>
      </w:tr>
      <w:tr>
        <w:trPr>
          <w:trHeight w:val="31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智能制造工程人才实训考核平台</w:t>
            </w:r>
            <w:r>
              <w:rPr>
                <w:rFonts w:hint="eastAsia" w:ascii="仿宋" w:hAnsi="仿宋" w:eastAsia="仿宋" w:cs="仿宋"/>
                <w:color w:val="000000"/>
                <w:szCs w:val="21"/>
                <w:lang w:bidi="ar"/>
              </w:rPr>
            </w:r>
            <w:r/>
          </w:p>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b/>
                <w:bCs/>
                <w:color w:val="000000"/>
                <w:szCs w:val="21"/>
                <w:lang w:bidi="ar"/>
              </w:rPr>
              <w:t xml:space="preserve">（核心产品）</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工业控制与系统集成实训室</w:t>
            </w:r>
            <w:r>
              <w:rPr>
                <w:rFonts w:hint="eastAsia" w:ascii="仿宋" w:hAnsi="仿宋" w:eastAsia="仿宋" w:cs="仿宋"/>
                <w:color w:val="000000"/>
                <w:szCs w:val="21"/>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电气控制与PLC技术实验平台</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电气控制与PLC技术实验室</w:t>
            </w:r>
            <w:r>
              <w:rPr>
                <w:rFonts w:hint="eastAsia" w:ascii="仿宋" w:hAnsi="仿宋" w:eastAsia="仿宋" w:cs="仿宋"/>
                <w:color w:val="000000"/>
                <w:szCs w:val="21"/>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智能制造协同设计与仿真软件</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100</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vMerge w:val="restart"/>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rPr>
              <w:t xml:space="preserve">数字化设计与仿真实训室</w:t>
            </w:r>
            <w:r>
              <w:rPr>
                <w:rFonts w:hint="eastAsia" w:ascii="仿宋" w:hAnsi="仿宋" w:eastAsia="仿宋" w:cs="仿宋"/>
                <w:color w:val="000000"/>
                <w:szCs w:val="21"/>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bidi="ar"/>
              </w:rPr>
              <w:t xml:space="preserve">1</w:t>
            </w:r>
            <w:r>
              <w:rPr>
                <w:rFonts w:hint="eastAsia" w:ascii="仿宋" w:hAnsi="仿宋" w:eastAsia="仿宋" w:cs="仿宋"/>
                <w:color w:val="000000"/>
                <w:szCs w:val="21"/>
                <w:lang w:bidi="ar"/>
              </w:rPr>
              <w:t xml:space="preserve">6</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数字孪生系统开发平台</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31</w:t>
            </w:r>
            <w:r>
              <w:rPr>
                <w:rFonts w:hint="eastAsia" w:ascii="仿宋" w:hAnsi="仿宋" w:eastAsia="仿宋" w:cs="仿宋"/>
                <w:color w:val="000000"/>
                <w:szCs w:val="21"/>
                <w:lang w:eastAsia="zh"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套</w:t>
            </w:r>
            <w:r>
              <w:rPr>
                <w:rFonts w:hint="eastAsia" w:ascii="仿宋" w:hAnsi="仿宋" w:eastAsia="仿宋" w:cs="仿宋"/>
                <w:color w:val="000000"/>
                <w:szCs w:val="21"/>
                <w:lang w:eastAsia="zh"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bidi="ar"/>
              </w:rPr>
              <w:t xml:space="preserve">1</w:t>
            </w:r>
            <w:r>
              <w:rPr>
                <w:rFonts w:hint="eastAsia" w:ascii="仿宋" w:hAnsi="仿宋" w:eastAsia="仿宋" w:cs="仿宋"/>
                <w:color w:val="000000"/>
                <w:szCs w:val="21"/>
                <w:lang w:bidi="ar"/>
              </w:rPr>
              <w:t xml:space="preserve">7</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生产制造执行开发平台</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31</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套</w:t>
            </w:r>
            <w:r>
              <w:rPr>
                <w:rFonts w:hint="eastAsia" w:ascii="仿宋" w:hAnsi="仿宋" w:eastAsia="仿宋" w:cs="仿宋"/>
                <w:color w:val="000000"/>
                <w:szCs w:val="21"/>
                <w:lang w:eastAsia="zh"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bidi="ar"/>
              </w:rPr>
              <w:t xml:space="preserve">1</w:t>
            </w: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模块化自动生产线教学系统</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bidi="ar"/>
              </w:rPr>
              <w:t xml:space="preserve">19</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现有硬件设备改造服务</w:t>
            </w:r>
            <w:r>
              <w:rPr>
                <w:rFonts w:hint="eastAsia" w:ascii="仿宋" w:hAnsi="仿宋" w:eastAsia="仿宋" w:cs="仿宋"/>
                <w:color w:val="000000"/>
                <w:szCs w:val="21"/>
                <w:lang w:eastAsia="zh"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bidi="ar"/>
              </w:rPr>
              <w:t xml:space="preserve">1</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bidi="ar"/>
              </w:rPr>
              <w:t xml:space="preserve">项</w:t>
            </w:r>
            <w:r>
              <w:rPr>
                <w:rFonts w:hint="eastAsia" w:ascii="仿宋" w:hAnsi="仿宋" w:eastAsia="仿宋" w:cs="仿宋"/>
                <w:color w:val="000000"/>
                <w:szCs w:val="21"/>
                <w:lang w:bidi="ar"/>
              </w:rPr>
            </w:r>
            <w:r/>
          </w:p>
        </w:tc>
        <w:tc>
          <w:tcPr>
            <w:tcBorders>
              <w:top w:val="single" w:color="000000" w:sz="4" w:space="0"/>
              <w:left w:val="single" w:color="000000" w:sz="4" w:space="0"/>
              <w:bottom w:val="none" w:color="000000" w:sz="0" w:space="0"/>
              <w:right w:val="single" w:color="000000" w:sz="4" w:space="0"/>
            </w:tcBorders>
            <w:tcW w:w="3216" w:type="dxa"/>
            <w:vAlign w:val="center"/>
            <w:vMerge w:val="restart"/>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智能装备与物联网实训室</w:t>
            </w:r>
            <w:r>
              <w:rPr>
                <w:rFonts w:hint="eastAsia" w:ascii="仿宋" w:hAnsi="仿宋" w:eastAsia="仿宋" w:cs="仿宋"/>
                <w:color w:val="000000"/>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20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日光蓄热温室智慧农业工业互联网实验平台</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bidi="ar"/>
              </w:rPr>
              <w:t xml:space="preserve">2</w:t>
            </w: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工业智能控制与物联网集成实训展示装置</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bidi="ar"/>
              </w:rPr>
              <w:t xml:space="preserve">2</w:t>
            </w:r>
            <w:r>
              <w:rPr>
                <w:rFonts w:hint="eastAsia" w:ascii="仿宋" w:hAnsi="仿宋" w:eastAsia="仿宋" w:cs="仿宋"/>
                <w:color w:val="000000"/>
                <w:szCs w:val="21"/>
                <w:lang w:bidi="ar"/>
              </w:rPr>
              <w:t xml:space="preserve">2</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数智实训设备协同管控平台</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40</w:t>
            </w:r>
            <w:r>
              <w:rPr>
                <w:rFonts w:hint="eastAsia" w:ascii="仿宋" w:hAnsi="仿宋" w:eastAsia="仿宋" w:cs="仿宋"/>
                <w:color w:val="000000"/>
                <w:szCs w:val="21"/>
                <w:lang w:eastAsia="zh"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套</w:t>
            </w:r>
            <w:r>
              <w:rPr>
                <w:rFonts w:hint="eastAsia" w:ascii="仿宋" w:hAnsi="仿宋" w:eastAsia="仿宋" w:cs="仿宋"/>
                <w:color w:val="000000"/>
                <w:szCs w:val="21"/>
                <w:lang w:eastAsia="zh"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bidi="ar"/>
              </w:rPr>
              <w:t xml:space="preserve">2</w:t>
            </w:r>
            <w:r>
              <w:rPr>
                <w:rFonts w:hint="eastAsia" w:ascii="仿宋" w:hAnsi="仿宋" w:eastAsia="仿宋" w:cs="仿宋"/>
                <w:color w:val="000000"/>
                <w:szCs w:val="21"/>
                <w:lang w:bidi="ar"/>
              </w:rPr>
              <w:t xml:space="preserve">3</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机器人自动实时轨迹编程软件</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40</w:t>
            </w:r>
            <w:r>
              <w:rPr>
                <w:rFonts w:hint="eastAsia" w:ascii="仿宋" w:hAnsi="仿宋" w:eastAsia="仿宋" w:cs="仿宋"/>
                <w:color w:val="000000"/>
                <w:szCs w:val="21"/>
                <w:lang w:eastAsia="zh"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套</w:t>
            </w:r>
            <w:r>
              <w:rPr>
                <w:rFonts w:hint="eastAsia" w:ascii="仿宋" w:hAnsi="仿宋" w:eastAsia="仿宋" w:cs="仿宋"/>
                <w:color w:val="000000"/>
                <w:szCs w:val="21"/>
                <w:lang w:eastAsia="zh"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bidi="ar"/>
              </w:rPr>
              <w:t xml:space="preserve">2</w:t>
            </w:r>
            <w:r>
              <w:rPr>
                <w:rFonts w:hint="eastAsia" w:ascii="仿宋" w:hAnsi="仿宋" w:eastAsia="仿宋" w:cs="仿宋"/>
                <w:color w:val="000000"/>
                <w:szCs w:val="21"/>
                <w:lang w:bidi="ar"/>
              </w:rPr>
              <w:t xml:space="preserve">4</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rPr>
              <w:t xml:space="preserve">全生命周期智能管理平台</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40</w:t>
            </w:r>
            <w:r>
              <w:rPr>
                <w:rFonts w:hint="eastAsia" w:ascii="仿宋" w:hAnsi="仿宋" w:eastAsia="仿宋" w:cs="仿宋"/>
                <w:color w:val="000000"/>
                <w:szCs w:val="21"/>
                <w:lang w:eastAsia="zh"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套</w:t>
            </w:r>
            <w:r>
              <w:rPr>
                <w:rFonts w:hint="eastAsia" w:ascii="仿宋" w:hAnsi="仿宋" w:eastAsia="仿宋" w:cs="仿宋"/>
                <w:color w:val="000000"/>
                <w:szCs w:val="21"/>
                <w:lang w:eastAsia="zh" w:bidi="ar"/>
              </w:rPr>
            </w:r>
            <w:r/>
          </w:p>
        </w:tc>
        <w:tc>
          <w:tcPr>
            <w:tcBorders>
              <w:top w:val="none" w:color="000000" w:sz="0"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bidi="ar"/>
              </w:rPr>
              <w:t xml:space="preserve">2</w:t>
            </w:r>
            <w:r>
              <w:rPr>
                <w:rFonts w:hint="eastAsia" w:ascii="仿宋" w:hAnsi="仿宋" w:eastAsia="仿宋" w:cs="仿宋"/>
                <w:color w:val="000000"/>
                <w:szCs w:val="21"/>
                <w:lang w:bidi="ar"/>
              </w:rPr>
              <w:t xml:space="preserve">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信创工业互联网开发实训平台</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10</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single" w:color="000000" w:sz="4" w:space="0"/>
              <w:left w:val="single" w:color="000000" w:sz="4" w:space="0"/>
              <w:bottom w:val="none" w:color="000000" w:sz="0" w:space="0"/>
              <w:right w:val="single" w:color="000000" w:sz="4" w:space="0"/>
            </w:tcBorders>
            <w:tcW w:w="3216" w:type="dxa"/>
            <w:vAlign w:val="center"/>
            <w:vMerge w:val="restart"/>
            <w:textDirection w:val="lrTb"/>
            <w:noWrap/>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eastAsia="zh"/>
              </w:rPr>
              <w:t xml:space="preserve">工业互联与信创实训室</w:t>
            </w:r>
            <w:r>
              <w:rPr>
                <w:rFonts w:hint="eastAsia" w:ascii="仿宋" w:hAnsi="仿宋" w:eastAsia="仿宋" w:cs="仿宋"/>
                <w:color w:val="000000"/>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2</w:t>
            </w:r>
            <w:r>
              <w:rPr>
                <w:rFonts w:hint="eastAsia" w:ascii="仿宋" w:hAnsi="仿宋" w:eastAsia="仿宋" w:cs="仿宋"/>
                <w:color w:val="000000"/>
                <w:szCs w:val="21"/>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信创应用开发实训套件</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41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2</w:t>
            </w:r>
            <w:r>
              <w:rPr>
                <w:rFonts w:hint="eastAsia" w:ascii="仿宋" w:hAnsi="仿宋" w:eastAsia="仿宋" w:cs="仿宋"/>
                <w:color w:val="000000"/>
                <w:szCs w:val="21"/>
              </w:rPr>
              <w:t xml:space="preserve">7</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基于开源信创的智能物联开发套件</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41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bidi="ar"/>
              </w:rPr>
              <w:t xml:space="preserve">2</w:t>
            </w: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基于开源信创的智能小车开发套件</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41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11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eastAsia="zh" w:bidi="ar"/>
              </w:rPr>
              <w:t xml:space="preserve">2</w:t>
            </w:r>
            <w:r>
              <w:rPr>
                <w:rFonts w:hint="eastAsia" w:ascii="仿宋" w:hAnsi="仿宋" w:eastAsia="仿宋" w:cs="仿宋"/>
                <w:color w:val="000000"/>
                <w:szCs w:val="21"/>
                <w:lang w:bidi="ar"/>
              </w:rPr>
              <w:t xml:space="preserve">9</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信创工业终端开发平台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30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智慧工业展训一体平台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single" w:color="000000" w:sz="4"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3</w:t>
            </w: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工程实训室物联网平台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none" w:color="000000" w:sz="0" w:space="0"/>
              <w:right w:val="single" w:color="000000" w:sz="4" w:space="0"/>
            </w:tcBorders>
            <w:tcW w:w="3216" w:type="dxa"/>
            <w:vAlign w:val="center"/>
            <w:vMerge w:val="restart"/>
            <w:textDirection w:val="lrTb"/>
            <w:noWrap/>
          </w:tcPr>
          <w:p>
            <w:pPr>
              <w:pStyle w:val="1038"/>
              <w:jc w:val="center"/>
              <w:spacing w:before="0" w:after="0" w:line="240" w:lineRule="auto"/>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bidi="ar"/>
              </w:rPr>
              <w:t xml:space="preserve">工程实训室物联网平台</w:t>
            </w:r>
            <w:r>
              <w:rPr>
                <w:rFonts w:hint="eastAsia" w:ascii="仿宋" w:hAnsi="仿宋" w:eastAsia="仿宋" w:cs="仿宋"/>
                <w:color w:val="000000"/>
                <w:szCs w:val="21"/>
                <w:lang w:eastAsia="zh" w:bidi="ar"/>
              </w:rPr>
              <w:t xml:space="preserve">及设备数据采集</w:t>
            </w:r>
            <w:r>
              <w:rPr>
                <w:rFonts w:hint="eastAsia" w:ascii="仿宋" w:hAnsi="仿宋" w:eastAsia="仿宋" w:cs="仿宋"/>
                <w:color w:val="000000"/>
                <w:szCs w:val="21"/>
                <w:lang w:eastAsia="zh"/>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3</w:t>
            </w: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设备数据采集</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single" w:color="000000" w:sz="4"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bidi="ar"/>
              </w:rPr>
              <w:t xml:space="preserve">3</w:t>
            </w:r>
            <w:r>
              <w:rPr>
                <w:rFonts w:hint="eastAsia" w:ascii="仿宋" w:hAnsi="仿宋" w:eastAsia="仿宋" w:cs="仿宋"/>
                <w:color w:val="000000"/>
                <w:szCs w:val="21"/>
                <w:lang w:bidi="ar"/>
              </w:rPr>
              <w:t xml:space="preserve">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工作台1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张</w:t>
            </w:r>
            <w:r>
              <w:rPr>
                <w:rFonts w:hint="eastAsia" w:ascii="仿宋" w:hAnsi="仿宋" w:eastAsia="仿宋" w:cs="仿宋"/>
                <w:color w:val="000000"/>
                <w:szCs w:val="21"/>
              </w:rPr>
            </w:r>
            <w:r/>
          </w:p>
        </w:tc>
        <w:tc>
          <w:tcPr>
            <w:tcBorders>
              <w:top w:val="single" w:color="000000" w:sz="4" w:space="0"/>
              <w:left w:val="single" w:color="000000" w:sz="4" w:space="0"/>
              <w:bottom w:val="none" w:color="000000" w:sz="0" w:space="0"/>
              <w:right w:val="single" w:color="000000" w:sz="4" w:space="0"/>
            </w:tcBorders>
            <w:tcW w:w="3216" w:type="dxa"/>
            <w:vAlign w:val="center"/>
            <w:vMerge w:val="restart"/>
            <w:textDirection w:val="lrTb"/>
            <w:noWrap/>
          </w:tcPr>
          <w:p>
            <w:pPr>
              <w:pStyle w:val="1038"/>
              <w:jc w:val="center"/>
              <w:spacing w:before="0" w:after="0" w:line="240" w:lineRule="auto"/>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eastAsia="zh" w:bidi="ar"/>
              </w:rPr>
              <w:t xml:space="preserve">配套设施</w:t>
            </w:r>
            <w:r>
              <w:rPr>
                <w:rFonts w:hint="eastAsia" w:ascii="仿宋" w:hAnsi="仿宋" w:eastAsia="仿宋" w:cs="仿宋"/>
                <w:color w:val="000000"/>
                <w:szCs w:val="21"/>
                <w:lang w:eastAsia="zh"/>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bidi="ar"/>
              </w:rPr>
              <w:t xml:space="preserve">3</w:t>
            </w:r>
            <w:r>
              <w:rPr>
                <w:rFonts w:hint="eastAsia" w:ascii="仿宋" w:hAnsi="仿宋" w:eastAsia="仿宋" w:cs="仿宋"/>
                <w:color w:val="000000"/>
                <w:szCs w:val="21"/>
                <w:lang w:bidi="ar"/>
              </w:rPr>
              <w:t xml:space="preserve">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工作台2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35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工作台3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eastAsia="zh"/>
              </w:rPr>
              <w:t xml:space="preserve">17</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36</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工作台</w:t>
            </w:r>
            <w:r>
              <w:rPr>
                <w:rFonts w:hint="eastAsia" w:ascii="仿宋" w:hAnsi="仿宋" w:eastAsia="仿宋" w:cs="仿宋"/>
                <w:color w:val="000000"/>
                <w:szCs w:val="21"/>
                <w:lang w:eastAsia="zh" w:bidi="ar"/>
              </w:rPr>
              <w:t xml:space="preserve">4</w:t>
            </w:r>
            <w:r>
              <w:rPr>
                <w:rFonts w:hint="eastAsia" w:ascii="仿宋" w:hAnsi="仿宋" w:eastAsia="仿宋" w:cs="仿宋"/>
                <w:color w:val="000000"/>
                <w:szCs w:val="21"/>
                <w:lang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eastAsia="zh"/>
              </w:rPr>
              <w:t xml:space="preserve">6</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lang w:eastAsia="zh" w:bidi="ar"/>
              </w:rPr>
              <w:framePr w:vAnchor="margin" w:hAnchor="page" w:x="725" w:y="100"/>
            </w:pPr>
            <w:r>
              <w:rPr>
                <w:rFonts w:hint="eastAsia" w:ascii="仿宋" w:hAnsi="仿宋" w:eastAsia="仿宋" w:cs="仿宋"/>
                <w:color w:val="000000"/>
                <w:szCs w:val="21"/>
                <w:lang w:eastAsia="zh" w:bidi="ar"/>
              </w:rPr>
              <w:t xml:space="preserve">套</w:t>
            </w:r>
            <w:r>
              <w:rPr>
                <w:rFonts w:hint="eastAsia" w:ascii="仿宋" w:hAnsi="仿宋" w:eastAsia="仿宋" w:cs="仿宋"/>
                <w:color w:val="000000"/>
                <w:szCs w:val="21"/>
                <w:lang w:eastAsia="zh"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bidi="ar"/>
              </w:rPr>
              <w:t xml:space="preserve">3</w:t>
            </w:r>
            <w:r>
              <w:rPr>
                <w:rFonts w:hint="eastAsia" w:ascii="仿宋" w:hAnsi="仿宋" w:eastAsia="仿宋" w:cs="仿宋"/>
                <w:color w:val="000000"/>
                <w:szCs w:val="21"/>
                <w:lang w:bidi="ar"/>
              </w:rPr>
              <w:t xml:space="preserve">7</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bidi="ar"/>
              </w:rPr>
              <w:t xml:space="preserve">工作台</w:t>
            </w:r>
            <w:r>
              <w:rPr>
                <w:rFonts w:hint="eastAsia" w:ascii="仿宋" w:hAnsi="仿宋" w:eastAsia="仿宋" w:cs="仿宋"/>
                <w:color w:val="000000"/>
                <w:szCs w:val="21"/>
                <w:lang w:eastAsia="zh" w:bidi="ar"/>
              </w:rPr>
              <w:t xml:space="preserve">5</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20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38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bidi="ar"/>
              </w:rPr>
              <w:t xml:space="preserve">工作台</w:t>
            </w:r>
            <w:r>
              <w:rPr>
                <w:rFonts w:hint="eastAsia" w:ascii="仿宋" w:hAnsi="仿宋" w:eastAsia="仿宋" w:cs="仿宋"/>
                <w:color w:val="000000"/>
                <w:szCs w:val="21"/>
                <w:lang w:eastAsia="zh" w:bidi="ar"/>
              </w:rPr>
              <w:t xml:space="preserve">6</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eastAsia="zh"/>
              </w:rPr>
              <w:t xml:space="preserve">16</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bidi="ar"/>
              </w:rPr>
              <w:t xml:space="preserve">39</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bidi="ar"/>
              </w:rPr>
              <w:t xml:space="preserve">工作台</w:t>
            </w:r>
            <w:r>
              <w:rPr>
                <w:rFonts w:hint="eastAsia" w:ascii="仿宋" w:hAnsi="仿宋" w:eastAsia="仿宋" w:cs="仿宋"/>
                <w:color w:val="000000"/>
                <w:szCs w:val="21"/>
                <w:lang w:eastAsia="zh" w:bidi="ar"/>
              </w:rPr>
              <w:t xml:space="preserve">7</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40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凳子</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lang w:eastAsia="zh"/>
              </w:rPr>
              <w:framePr w:vAnchor="margin" w:hAnchor="page" w:x="725" w:y="100"/>
            </w:pPr>
            <w:r>
              <w:rPr>
                <w:rFonts w:hint="eastAsia" w:ascii="仿宋" w:hAnsi="仿宋" w:eastAsia="仿宋" w:cs="仿宋"/>
                <w:color w:val="000000"/>
                <w:szCs w:val="21"/>
                <w:lang w:eastAsia="zh"/>
              </w:rPr>
              <w:t xml:space="preserve">244</w:t>
            </w:r>
            <w:r>
              <w:rPr>
                <w:rFonts w:hint="eastAsia" w:ascii="仿宋" w:hAnsi="仿宋" w:eastAsia="仿宋" w:cs="仿宋"/>
                <w:color w:val="000000"/>
                <w:szCs w:val="21"/>
                <w:lang w:eastAsia="zh"/>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椅子</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10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framePr w:vAnchor="margin" w:hAnchor="page" w:x="725" w:y="100"/>
            </w:pPr>
            <w:r>
              <w:rPr>
                <w:rFonts w:hint="eastAsia" w:ascii="仿宋" w:hAnsi="仿宋" w:eastAsia="仿宋" w:cs="仿宋"/>
                <w:color w:val="000000"/>
                <w:szCs w:val="21"/>
                <w:highlight w:val="none"/>
                <w:lang w:bidi="ar"/>
              </w:rPr>
              <w:t xml:space="preserve">实训系统移动教学终端1</w:t>
            </w:r>
            <w:r>
              <w:rPr>
                <w:rFonts w:hint="eastAsia" w:ascii="仿宋" w:hAnsi="仿宋" w:eastAsia="仿宋" w:cs="仿宋"/>
                <w:color w:val="000000"/>
                <w:szCs w:val="21"/>
                <w:highlight w:val="none"/>
                <w:lang w:eastAsia="zh"/>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framePr w:vAnchor="margin" w:hAnchor="page" w:x="725" w:y="100"/>
            </w:pPr>
            <w:r>
              <w:rPr>
                <w:rFonts w:hint="eastAsia" w:ascii="仿宋" w:hAnsi="仿宋" w:eastAsia="仿宋" w:cs="仿宋"/>
                <w:color w:val="000000"/>
                <w:szCs w:val="21"/>
                <w:highlight w:val="none"/>
                <w:lang w:bidi="ar"/>
              </w:rPr>
              <w:t xml:space="preserve">实训系统移动教学终端2</w:t>
            </w:r>
            <w:r>
              <w:rPr>
                <w:rFonts w:hint="eastAsia" w:ascii="仿宋" w:hAnsi="仿宋" w:eastAsia="仿宋" w:cs="仿宋"/>
                <w:color w:val="000000"/>
                <w:szCs w:val="21"/>
                <w:highlight w:val="none"/>
                <w:lang w:eastAsia="zh"/>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bidi="ar"/>
              </w:rPr>
              <w:framePr w:vAnchor="margin" w:hAnchor="page" w:x="725" w:y="100"/>
            </w:pPr>
            <w:r>
              <w:rPr>
                <w:rFonts w:hint="eastAsia" w:ascii="仿宋" w:hAnsi="仿宋" w:eastAsia="仿宋" w:cs="仿宋"/>
                <w:color w:val="000000"/>
                <w:szCs w:val="21"/>
                <w:highlight w:val="none"/>
                <w:lang w:bidi="ar"/>
              </w:rPr>
              <w:t xml:space="preserve">实训系统移动教学终端</w:t>
            </w:r>
            <w:r>
              <w:rPr>
                <w:rFonts w:hint="eastAsia" w:ascii="仿宋" w:hAnsi="仿宋" w:eastAsia="仿宋" w:cs="仿宋"/>
                <w:color w:val="000000"/>
                <w:szCs w:val="21"/>
                <w:highlight w:val="none"/>
                <w:lang w:eastAsia="zh" w:bidi="ar"/>
              </w:rPr>
              <w:t xml:space="preserve">3</w:t>
            </w:r>
            <w:r>
              <w:rPr>
                <w:rFonts w:hint="eastAsia" w:ascii="仿宋" w:hAnsi="仿宋" w:eastAsia="仿宋" w:cs="仿宋"/>
                <w:color w:val="000000"/>
                <w:szCs w:val="21"/>
                <w:highlight w:val="none"/>
                <w:lang w:eastAsia="zh" w:bidi="ar"/>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bidi="ar"/>
              </w:rPr>
              <w:framePr w:vAnchor="margin" w:hAnchor="page" w:x="725" w:y="100"/>
            </w:pPr>
            <w:r>
              <w:rPr>
                <w:rFonts w:hint="eastAsia" w:ascii="仿宋" w:hAnsi="仿宋" w:eastAsia="仿宋" w:cs="仿宋"/>
                <w:color w:val="000000"/>
                <w:szCs w:val="21"/>
                <w:highlight w:val="none"/>
                <w:lang w:bidi="ar"/>
              </w:rPr>
              <w:t xml:space="preserve">15</w:t>
            </w:r>
            <w:r>
              <w:rPr>
                <w:rFonts w:hint="eastAsia" w:ascii="仿宋" w:hAnsi="仿宋" w:eastAsia="仿宋" w:cs="仿宋"/>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lang w:bidi="ar"/>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lang w:bidi="ar"/>
              </w:rPr>
            </w:r>
            <w:r/>
          </w:p>
        </w:tc>
        <w:tc>
          <w:tcPr>
            <w:tcBorders>
              <w:top w:val="none" w:color="000000" w:sz="0" w:space="0"/>
              <w:left w:val="single" w:color="000000" w:sz="4" w:space="0"/>
              <w:bottom w:val="none" w:color="000000" w:sz="0" w:space="0"/>
              <w:right w:val="single" w:color="000000" w:sz="4" w:space="0"/>
            </w:tcBorders>
            <w:tcW w:w="3216" w:type="dxa"/>
            <w:vAlign w:val="center"/>
            <w:vMerge w:val="continue"/>
            <w:textDirection w:val="lrTb"/>
            <w:noWrap/>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智改数转实验室教学显示终端1</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8</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restart"/>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智慧教学环境设备须接入</w:t>
            </w:r>
            <w:r>
              <w:rPr>
                <w:rFonts w:hint="eastAsia" w:ascii="仿宋" w:hAnsi="仿宋" w:eastAsia="仿宋" w:cs="仿宋"/>
                <w:b/>
                <w:bCs/>
                <w:color w:val="000000"/>
                <w:szCs w:val="21"/>
                <w:lang w:bidi="ar"/>
              </w:rPr>
              <w:t xml:space="preserve">桥林校区设备集中管理系统、智能巡课系统、AI智能分析系统、AI能力中台、资源管理系统、智慧班牌系统、扩声管理系统、时钟管理系统</w:t>
            </w:r>
            <w:r>
              <w:rPr>
                <w:rFonts w:hint="eastAsia" w:ascii="仿宋" w:hAnsi="仿宋" w:eastAsia="仿宋" w:cs="仿宋"/>
                <w:color w:val="000000"/>
                <w:szCs w:val="21"/>
                <w:lang w:bidi="ar"/>
              </w:rPr>
              <w:t xml:space="preserve">。</w:t>
            </w: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书写绿板</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7</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电子班牌</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电子时钟</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4</w:t>
            </w:r>
            <w:r>
              <w:rPr>
                <w:rFonts w:hint="eastAsia" w:ascii="仿宋" w:hAnsi="仿宋" w:eastAsia="仿宋" w:cs="仿宋"/>
                <w:color w:val="000000"/>
                <w:szCs w:val="21"/>
              </w:rPr>
              <w:t xml:space="preserve">9</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音频处理器</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t xml:space="preserve">50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全向拾音器</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一拖一无线麦克风</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7</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音箱</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全景摄像机</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多媒体讲台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智改数转实验室教学显示终端2（含立式支架）</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1</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电子班牌（含立式支架）</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7</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全景摄像机（枪机）</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9</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8</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硬盘录像机</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5</w:t>
            </w:r>
            <w:r>
              <w:rPr>
                <w:rFonts w:hint="eastAsia" w:ascii="仿宋" w:hAnsi="仿宋" w:eastAsia="仿宋" w:cs="仿宋"/>
                <w:color w:val="000000"/>
                <w:szCs w:val="21"/>
              </w:rPr>
              <w:t xml:space="preserve">9</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可移动多媒体讲台</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t xml:space="preserve">60</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rPr>
              <w:t xml:space="preserve">智慧教学系统显示终端</w:t>
            </w:r>
            <w:r>
              <w:rPr>
                <w:rFonts w:hint="eastAsia" w:ascii="仿宋" w:hAnsi="仿宋" w:eastAsia="仿宋" w:cs="仿宋"/>
                <w:color w:val="000000"/>
                <w:szCs w:val="21"/>
                <w:highlight w:val="none"/>
                <w:lang w:bidi="ar"/>
              </w:rPr>
              <w:t xml:space="preserve">1</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2</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6</w:t>
            </w:r>
            <w:r>
              <w:rPr>
                <w:rFonts w:hint="eastAsia" w:ascii="仿宋" w:hAnsi="仿宋" w:eastAsia="仿宋" w:cs="仿宋"/>
                <w:color w:val="000000"/>
                <w:szCs w:val="21"/>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rPr>
              <w:t xml:space="preserve">智慧教学系统显示终端</w:t>
            </w:r>
            <w:r>
              <w:rPr>
                <w:rFonts w:hint="eastAsia" w:ascii="仿宋" w:hAnsi="仿宋" w:eastAsia="仿宋" w:cs="仿宋"/>
                <w:color w:val="000000"/>
                <w:szCs w:val="21"/>
                <w:highlight w:val="none"/>
                <w:lang w:bidi="ar"/>
              </w:rPr>
              <w:t xml:space="preserve">2</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1</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6</w:t>
            </w:r>
            <w:r>
              <w:rPr>
                <w:rFonts w:hint="eastAsia" w:ascii="仿宋" w:hAnsi="仿宋" w:eastAsia="仿宋" w:cs="仿宋"/>
                <w:color w:val="000000"/>
                <w:szCs w:val="21"/>
              </w:rPr>
              <w:t xml:space="preserve">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支架</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1</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6</w:t>
            </w:r>
            <w:r>
              <w:rPr>
                <w:rFonts w:hint="eastAsia" w:ascii="仿宋" w:hAnsi="仿宋" w:eastAsia="仿宋" w:cs="仿宋"/>
                <w:color w:val="000000"/>
                <w:szCs w:val="21"/>
              </w:rPr>
              <w:t xml:space="preserve">3</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播放控制盒</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2</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6</w:t>
            </w:r>
            <w:r>
              <w:rPr>
                <w:rFonts w:hint="eastAsia" w:ascii="仿宋" w:hAnsi="仿宋" w:eastAsia="仿宋" w:cs="仿宋"/>
                <w:color w:val="000000"/>
                <w:szCs w:val="21"/>
              </w:rPr>
              <w:t xml:space="preserve">4</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rPr>
              <w:t xml:space="preserve">信息发布终端</w:t>
            </w:r>
            <w:r>
              <w:rPr>
                <w:rFonts w:hint="eastAsia" w:ascii="仿宋" w:hAnsi="仿宋" w:eastAsia="仿宋" w:cs="仿宋"/>
                <w:color w:val="000000"/>
                <w:szCs w:val="21"/>
                <w:highlight w:val="none"/>
                <w:lang w:bidi="ar"/>
              </w:rPr>
              <w:t xml:space="preserve">（立式）</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1</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r>
        <w:trPr>
          <w:trHeight w:val="28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eastAsia="zh"/>
              </w:rPr>
              <w:t xml:space="preserve">6</w:t>
            </w:r>
            <w:r>
              <w:rPr>
                <w:rFonts w:hint="eastAsia" w:ascii="仿宋" w:hAnsi="仿宋" w:eastAsia="仿宋" w:cs="仿宋"/>
                <w:color w:val="000000"/>
                <w:szCs w:val="21"/>
              </w:rPr>
              <w:t xml:space="preserve">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694"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rPr>
              <w:t xml:space="preserve">信息发布终端</w:t>
            </w:r>
            <w:r>
              <w:rPr>
                <w:rFonts w:hint="eastAsia" w:ascii="仿宋" w:hAnsi="仿宋" w:eastAsia="仿宋" w:cs="仿宋"/>
                <w:color w:val="000000"/>
                <w:szCs w:val="21"/>
                <w:highlight w:val="none"/>
                <w:lang w:bidi="ar"/>
              </w:rPr>
              <w:t xml:space="preserve">（壁挂）</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framePr w:vAnchor="margin" w:hAnchor="page" w:x="725" w:y="100"/>
            </w:pPr>
            <w:r>
              <w:rPr>
                <w:rFonts w:hint="eastAsia" w:ascii="仿宋" w:hAnsi="仿宋" w:eastAsia="仿宋" w:cs="仿宋"/>
                <w:color w:val="000000"/>
                <w:szCs w:val="21"/>
                <w:highlight w:val="none"/>
                <w:lang w:bidi="ar"/>
              </w:rPr>
              <w:t xml:space="preserve">2</w:t>
            </w:r>
            <w:r>
              <w:rPr>
                <w:rFonts w:hint="eastAsia"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1038"/>
              <w:jc w:val="center"/>
              <w:spacing w:before="0" w:after="0" w:line="240" w:lineRule="auto"/>
              <w:widowControl/>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lang w:bidi="ar"/>
              </w:rPr>
              <w:t xml:space="preserve">套</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pStyle w:val="1038"/>
              <w:jc w:val="center"/>
              <w:spacing w:before="0" w:after="0" w:line="240" w:lineRule="auto"/>
              <w:rPr>
                <w:rFonts w:hint="eastAsia" w:ascii="仿宋" w:hAnsi="仿宋" w:eastAsia="仿宋" w:cs="仿宋"/>
                <w:color w:val="000000"/>
                <w:szCs w:val="21"/>
              </w:rPr>
              <w:framePr w:vAnchor="margin" w:hAnchor="page" w:x="725" w:y="100"/>
            </w:pPr>
            <w:r>
              <w:rPr>
                <w:rFonts w:hint="eastAsia" w:ascii="仿宋" w:hAnsi="仿宋" w:eastAsia="仿宋" w:cs="仿宋"/>
                <w:color w:val="000000"/>
                <w:szCs w:val="21"/>
              </w:rPr>
            </w:r>
            <w:r/>
          </w:p>
        </w:tc>
      </w:tr>
    </w:tbl>
    <w:p>
      <w:pPr>
        <w:pStyle w:val="1050"/>
        <w:ind w:left="17" w:hanging="16"/>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50"/>
        <w:rPr>
          <w:rFonts w:hint="eastAsia"/>
          <w:color w:val="000000"/>
        </w:rPr>
      </w:pPr>
      <w:r>
        <w:rPr>
          <w:rFonts w:hint="eastAsia"/>
          <w:color w:val="000000"/>
        </w:rPr>
      </w:r>
      <w:r/>
    </w:p>
    <w:p>
      <w:pPr>
        <w:pStyle w:val="1038"/>
        <w:rPr>
          <w:rFonts w:hint="eastAsia"/>
          <w:color w:val="000000"/>
        </w:rPr>
      </w:pPr>
      <w:r>
        <w:rPr>
          <w:rFonts w:hint="eastAsia"/>
          <w:color w:val="000000"/>
        </w:rPr>
      </w:r>
      <w:r/>
    </w:p>
    <w:p>
      <w:pPr>
        <w:pStyle w:val="1038"/>
        <w:numPr>
          <w:ilvl w:val="0"/>
          <w:numId w:val="42"/>
        </w:numPr>
        <w:spacing w:after="5"/>
        <w:rPr>
          <w:rFonts w:hint="eastAsia" w:ascii="宋体" w:hAnsi="宋体" w:eastAsia="宋体" w:cs="宋体"/>
          <w:b/>
          <w:color w:val="000000"/>
          <w:sz w:val="28"/>
          <w:szCs w:val="28"/>
        </w:rPr>
        <w:outlineLvl w:val="1"/>
      </w:pPr>
      <w:r/>
      <w:bookmarkStart w:id="174" w:name="_Toc21425"/>
      <w:r/>
      <w:bookmarkStart w:id="175" w:name="_Toc8431"/>
      <w:r/>
      <w:bookmarkStart w:id="176" w:name="_Toc23626"/>
      <w:r>
        <w:rPr>
          <w:rFonts w:hint="eastAsia" w:ascii="宋体" w:hAnsi="宋体" w:eastAsia="宋体" w:cs="宋体"/>
          <w:b/>
          <w:color w:val="000000"/>
          <w:sz w:val="28"/>
          <w:szCs w:val="28"/>
        </w:rPr>
        <w:t xml:space="preserve">技术要求</w:t>
      </w:r>
      <w:bookmarkEnd w:id="174"/>
      <w:r/>
      <w:bookmarkEnd w:id="175"/>
      <w:r/>
      <w:bookmarkEnd w:id="176"/>
      <w:r>
        <w:rPr>
          <w:rFonts w:hint="eastAsia" w:ascii="宋体" w:hAnsi="宋体" w:eastAsia="宋体" w:cs="宋体"/>
          <w:b/>
          <w:color w:val="000000"/>
          <w:sz w:val="28"/>
          <w:szCs w:val="28"/>
        </w:rPr>
      </w:r>
      <w:r/>
    </w:p>
    <w:p>
      <w:pPr>
        <w:pStyle w:val="1050"/>
        <w:ind w:left="0" w:firstLine="420"/>
        <w:rPr>
          <w:rFonts w:hint="eastAsia"/>
          <w:bCs/>
          <w:color w:val="000000"/>
        </w:rPr>
      </w:pPr>
      <w:r/>
      <w:bookmarkStart w:id="177" w:name="_Toc113485530"/>
      <w:r>
        <w:rPr>
          <w:rFonts w:hint="eastAsia"/>
          <w:bCs/>
          <w:color w:val="000000"/>
        </w:rPr>
        <w:t xml:space="preserve">参数要求中标注★号的为实质性参数，不接受负偏离，标注▲号的为关键参数。投标人需如实响应参数要求，用户保留对所提供设备进行测试和最终检测权利。</w:t>
      </w:r>
      <w:r>
        <w:rPr>
          <w:rFonts w:hint="eastAsia"/>
          <w:bCs/>
          <w:color w:val="000000"/>
        </w:rPr>
      </w:r>
      <w:r/>
    </w:p>
    <w:p>
      <w:pPr>
        <w:pStyle w:val="1050"/>
        <w:ind w:left="0" w:firstLine="420"/>
        <w:rPr>
          <w:rFonts w:hint="eastAsia"/>
          <w:bCs/>
          <w:color w:val="000000"/>
        </w:rPr>
      </w:pPr>
      <w:r>
        <w:rPr>
          <w:rFonts w:hint="eastAsia"/>
          <w:bCs/>
          <w:color w:val="000000"/>
        </w:rPr>
        <w:t xml:space="preserve">投标人应根据采购方提供的招标文件要求，结合现场勘测后充分理解并完全确认招标文件的全部内容，计算编制报价，本次项目投标价应为为满足项目所有功能要求的设备报价（不得少于下列清单要求的数量），因缺漏项引起的风险和费用由投标人自行承担，采购方不予弥补或追加，投标人不得以缺漏项费用为理由而不承担违约责任。</w:t>
      </w:r>
      <w:r>
        <w:rPr>
          <w:rFonts w:hint="eastAsia"/>
          <w:bCs/>
          <w:color w:val="000000"/>
        </w:rPr>
      </w:r>
      <w:r/>
    </w:p>
    <w:p>
      <w:pPr>
        <w:pStyle w:val="1050"/>
        <w:ind w:left="0" w:firstLine="420"/>
        <w:rPr>
          <w:rFonts w:hint="eastAsia"/>
          <w:bCs/>
          <w:color w:val="000000"/>
        </w:rPr>
      </w:pPr>
      <w:r>
        <w:rPr>
          <w:rFonts w:hint="eastAsia"/>
          <w:bCs/>
          <w:color w:val="000000"/>
        </w:rPr>
        <w:t xml:space="preserve">设备明细及参数：</w:t>
      </w:r>
      <w:r>
        <w:rPr>
          <w:rFonts w:hint="eastAsia"/>
          <w:bCs/>
          <w:color w:val="000000"/>
        </w:rPr>
      </w:r>
      <w:r/>
    </w:p>
    <w:tbl>
      <w:tblPr>
        <w:tblW w:w="106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8"/>
        <w:gridCol w:w="805"/>
        <w:gridCol w:w="777"/>
        <w:gridCol w:w="7635"/>
        <w:gridCol w:w="469"/>
        <w:gridCol w:w="471"/>
      </w:tblGrid>
      <w:tr>
        <w:trPr/>
        <w:tc>
          <w:tcPr>
            <w:tcW w:w="478" w:type="dxa"/>
            <w:vAlign w:val="center"/>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805" w:type="dxa"/>
            <w:vAlign w:val="center"/>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实验室名称</w:t>
            </w:r>
            <w:r>
              <w:rPr>
                <w:rFonts w:hint="eastAsia" w:ascii="仿宋" w:hAnsi="仿宋" w:eastAsia="仿宋" w:cs="仿宋"/>
                <w:color w:val="000000"/>
                <w:szCs w:val="21"/>
                <w:highlight w:val="none"/>
              </w:rPr>
            </w:r>
            <w:r/>
          </w:p>
        </w:tc>
        <w:tc>
          <w:tcPr>
            <w:tcW w:w="777" w:type="dxa"/>
            <w:vAlign w:val="center"/>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设备名称</w:t>
            </w:r>
            <w:r>
              <w:rPr>
                <w:rFonts w:hint="eastAsia" w:ascii="仿宋" w:hAnsi="仿宋" w:eastAsia="仿宋" w:cs="仿宋"/>
                <w:color w:val="000000"/>
                <w:szCs w:val="21"/>
                <w:highlight w:val="none"/>
              </w:rPr>
            </w:r>
            <w:r/>
          </w:p>
        </w:tc>
        <w:tc>
          <w:tcPr>
            <w:tcW w:w="7635" w:type="dxa"/>
            <w:vAlign w:val="center"/>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主要规格型号及参数</w:t>
            </w:r>
            <w:r>
              <w:rPr>
                <w:rFonts w:hint="eastAsia" w:ascii="仿宋" w:hAnsi="仿宋" w:eastAsia="仿宋" w:cs="仿宋"/>
                <w:color w:val="000000"/>
                <w:szCs w:val="21"/>
                <w:highlight w:val="none"/>
              </w:rPr>
            </w:r>
            <w:r/>
          </w:p>
        </w:tc>
        <w:tc>
          <w:tcPr>
            <w:tcW w:w="469" w:type="dxa"/>
            <w:vAlign w:val="center"/>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数量</w:t>
            </w:r>
            <w:r>
              <w:rPr>
                <w:rFonts w:hint="eastAsia" w:ascii="仿宋" w:hAnsi="仿宋" w:eastAsia="仿宋" w:cs="仿宋"/>
                <w:color w:val="000000"/>
                <w:szCs w:val="21"/>
                <w:highlight w:val="none"/>
              </w:rPr>
            </w:r>
            <w:r/>
          </w:p>
        </w:tc>
        <w:tc>
          <w:tcPr>
            <w:tcW w:w="471" w:type="dxa"/>
            <w:vAlign w:val="center"/>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w:t>
            </w: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lang w:eastAsia="zh"/>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智能制造工程训练与创新中心</w:t>
            </w: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模块化工业机器人综合实验平台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实验平台需要以工业级六轴机器人为核心，并且集成多种典型工业应用模块。该平台需要采用高度模块化的设计理念，每个应用单元既可独立运行，也可通过标准化接口快速组合，无缝对接智能产线，可以为院校及企业提供一套从基础操作到高级集成应用的全方位、高柔性机器人教学解决方案。</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1.输入电源：AC220V±10%（单相），50Hz；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2.整机功率：≥2kW；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3.外形尺寸：≥长800mm×宽700mm×高1900mm；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5.重量：≥100kg。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1.台架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体需采用不小于4040方管与不小于1.5厚冷轧钢板焊接而成，焊接后经时效处理消除内应力，确保整体刚性满足要求。同时控制自重，兼顾搬运灵活性与承重稳定性；下部分门板采用不小于1.5厚冷轧钢板材焊接而成，上部分门板采用可视化透明有机玻璃门板；台面选用不小于10mm厚的铝板。台架底部配备4个可调节地脚，单轮承载不小于500kg；整体表面喷塑处理；外形尺寸：不小于长800mm×宽700mm×高1900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2.轨迹模块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轨迹模拟模块需由支撑柱、底板、拱形板等组成。用于机器人轨迹规划，轨迹形式和内容丰富。底板由铝板材精密加工喷砂氧化制成，中间开方槽，底板上有4个安装孔，方便与台面上的安装孔对接完成快速定位安装，厚度不小于10mm，拱形板由钣金折弯制成，厚度不小于1.5mm，分左右两个区域，一边为凸出圆柱面，一边为平面，凸出圆柱面上可以进行三维曲面上的直线、曲线轨迹模拟，平面上坐标系创建和直线、曲线轨迹模拟等功能。整体外形尺寸：不小于长400mm×宽240mm×高160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3.拆垛工件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码垛工件为尼龙材质黑色方形，尺寸60*40*8mm，数量为不少于10个。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4.吸盘工装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吸盘工装需由吸盘、支架、手动快换夹具组成。用于搬运码垛模块的工件搬运。吸盘具有自动缓冲功能。吸盘直径不小于20mm，吸盘吸嘴平形丁腈橡胶材质，带缓冲不可回转有效行程不小于10mm，M5*0.8mm内螺纹连接，M10*1.0mm外螺纹安装，吸盘为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5.夹爪工装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夹爪工装需由转接板、气动手指、夹爪工装、手动快换夹具等组成。用于装配模块工件搬运抓取，抓取稳定。转接板、夹爪工装由铝板材精密加工喷砂氧化而成。气动手指采用知名品牌，带磁环，带气源流量调节，带1路磁性开关，开闭行程不小于14mm。夹爪工装为Z字型，确保抓取时的稳定性，夹爪工装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6.画笔工装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画笔工装需由画笔夹紧座、按压式中性笔、手动快换夹具等组成。用于绘制图形和机器人轨迹模拟。画笔夹紧座具有自动缓冲功能。画笔夹紧座带缓冲能力，手动锁紧画笔，有效缓冲行程不小于20mm，可以有效防止画笔破坏纸张和字迹不清。夹紧座由铝板材精密加工喷砂氧化制成，画笔工装顶部安装有手动快换夹具。快换子夹具最大可搬重量不小于4kg，铝制材料，自重不小于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7.电控系统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7.1.PLC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1个PROFINET端口；机载I/O：≥14个24V DC数字输入；≥10个24V DC数字输出；≥2 AI 0-10V DC，电源：DC 20.4～28.8V DC，工作存储器容量≥150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7.2.数字量输入输出模块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≥D1 8x24 VDC，≥DQ 8x24 VDC；额定值（DC）24 V；允许范围，下限（DC）20.4 V；允许范围，上限（DC）28.8 V；输入电流来自背板总线DC 5V，最大值185mA；输入信号电压：DC24V；输出信号电压额定值（DC）：24 V；数字输入端数量8；数字输出端数量：8。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7''TFT显示屏，≥800 x 480像素，≥64K色；按键和触摸操作，≥8个功能键；1 x PROFINET，1 x USB。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7.4.交换机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入光口：≥8个；电口速率：10/100/1000Mbps；供电方式：支持双电源，外置适配器：12-36VDC；工作温度：-30℃～+75℃；功耗：空载功耗：满载功耗：≤4W；安装方式：导轨式安装；流控：支持半双工背压流控支持全双工PAUSE流控；重量：≤0.65kg；产品尺寸：≤45mm×85mm×100mm（长×宽×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7.5.工业机器人</w:t>
            </w:r>
            <w:r>
              <w:rPr>
                <w:rFonts w:hint="eastAsia" w:ascii="仿宋" w:hAnsi="仿宋" w:eastAsia="仿宋" w:cs="仿宋"/>
                <w:color w:val="000000"/>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额定负载：≥7kg；臂展：≥917mm；重复定</w:t>
            </w:r>
            <w:r>
              <w:rPr>
                <w:rFonts w:hint="eastAsia" w:ascii="仿宋" w:hAnsi="仿宋" w:eastAsia="仿宋" w:cs="仿宋"/>
                <w:color w:val="000000"/>
                <w:sz w:val="21"/>
                <w:szCs w:val="21"/>
                <w:highlight w:val="none"/>
              </w:rPr>
              <w:t xml:space="preserve">位精度：≤±0.03mm；轴数：6；重量：约48kg；工作温度：0℃–45℃；IP等级：IP67。安装方式：顶面/地面；J1运动范围：≥-170°~+170°，最大速度：≥420°/s；J2运动范围：≥-80°~+135°，最大速度：≥380°/s；J3运动范围：≥-190°~+65°，最大速度：≥450°/s；J4运动范围：≥-190°~+190°，最大速度：≥550°/s；J5运动范围：≥-120°~+120°，最大速度：≥500°/s；J6运动范围：≥-360°~+360°，最大速度：≥850°/s；</w:t>
            </w:r>
            <w:r>
              <w:rPr>
                <w:rFonts w:hint="eastAsia" w:ascii="仿宋" w:hAnsi="仿宋" w:eastAsia="仿宋" w:cs="仿宋"/>
                <w:color w:val="000000"/>
                <w:sz w:val="21"/>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7.6.工业机器人控制柜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伺服轴最大数量：6轴；尺寸：≥宽度330mm，高度102mm，长440mm；重量：≤10 kg；防护等级：IP20；工作环境温度：0℃~45℃；通讯方式：标配：EtherCAT，Modbus TCP，TCP/IP选配（需另购模块）：Profinet，Profibus，CCLINK，EtherNet IP；电柜主电源：单相AC 220V~240V，50/60Hz；额定功率：≤1.2KW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7.7.开关电源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483"/>
              <w:spacing w:before="0" w:after="0" w:line="240" w:lineRule="auto"/>
              <w:widowControl/>
              <w:rPr>
                <w:rFonts w:ascii="仿宋" w:hAnsi="仿宋" w:eastAsia="仿宋" w:cs="仿宋"/>
                <w:color w:val="000000"/>
                <w:highlight w:val="none"/>
                <w:lang w:bidi="zh-CN"/>
              </w:rPr>
            </w:pPr>
            <w:r>
              <w:rPr>
                <w:rFonts w:ascii="仿宋" w:hAnsi="仿宋" w:eastAsia="仿宋" w:cs="仿宋"/>
                <w:color w:val="000000"/>
                <w:highlight w:val="none"/>
                <w:lang w:eastAsia="zh" w:bidi="zh-CN"/>
              </w:rPr>
              <w:t xml:space="preserve">8.</w:t>
            </w:r>
            <w:r>
              <w:rPr>
                <w:rFonts w:ascii="仿宋" w:hAnsi="仿宋" w:eastAsia="仿宋" w:cs="仿宋"/>
                <w:color w:val="000000"/>
                <w:highlight w:val="none"/>
                <w:lang w:bidi="zh-CN"/>
              </w:rPr>
              <w:t xml:space="preserve">气源系统</w:t>
            </w:r>
            <w:r>
              <w:rPr>
                <w:rFonts w:ascii="仿宋" w:hAnsi="仿宋" w:eastAsia="仿宋" w:cs="仿宋"/>
                <w:color w:val="000000"/>
                <w:highlight w:val="none"/>
                <w:lang w:bidi="zh-CN"/>
              </w:rPr>
            </w:r>
            <w:r/>
          </w:p>
          <w:p>
            <w:pPr>
              <w:pStyle w:val="1483"/>
              <w:spacing w:before="0" w:after="0" w:line="240" w:lineRule="auto"/>
              <w:widowControl/>
              <w:rPr>
                <w:rFonts w:ascii="仿宋" w:hAnsi="仿宋" w:eastAsia="仿宋" w:cs="仿宋"/>
                <w:color w:val="000000"/>
                <w:highlight w:val="none"/>
                <w:lang w:bidi="zh-CN"/>
              </w:rPr>
            </w:pPr>
            <w:r>
              <w:rPr>
                <w:rFonts w:ascii="仿宋" w:hAnsi="仿宋" w:eastAsia="仿宋" w:cs="仿宋"/>
                <w:color w:val="000000"/>
                <w:highlight w:val="none"/>
              </w:rPr>
              <w:t xml:space="preserve">1）</w:t>
            </w:r>
            <w:r>
              <w:rPr>
                <w:rFonts w:ascii="仿宋" w:hAnsi="仿宋" w:eastAsia="仿宋" w:cs="仿宋"/>
                <w:color w:val="000000"/>
                <w:highlight w:val="none"/>
                <w:lang w:bidi="zh-CN"/>
              </w:rPr>
              <w:t xml:space="preserve">功率：</w:t>
            </w:r>
            <w:r>
              <w:rPr>
                <w:rFonts w:ascii="仿宋" w:hAnsi="仿宋" w:eastAsia="仿宋" w:cs="仿宋"/>
                <w:color w:val="000000"/>
                <w:highlight w:val="none"/>
              </w:rPr>
              <w:t xml:space="preserve">≥</w:t>
            </w:r>
            <w:r>
              <w:rPr>
                <w:rFonts w:ascii="仿宋" w:hAnsi="仿宋" w:eastAsia="仿宋" w:cs="仿宋"/>
                <w:color w:val="000000"/>
                <w:highlight w:val="none"/>
                <w:lang w:bidi="zh-CN"/>
              </w:rPr>
              <w:t xml:space="preserve">600W</w:t>
            </w:r>
            <w:r>
              <w:rPr>
                <w:rFonts w:ascii="仿宋" w:hAnsi="仿宋" w:eastAsia="仿宋" w:cs="仿宋"/>
                <w:color w:val="000000"/>
                <w:highlight w:val="none"/>
                <w:lang w:bidi="zh-CN"/>
              </w:rPr>
            </w:r>
            <w:r/>
          </w:p>
          <w:p>
            <w:pPr>
              <w:pStyle w:val="1483"/>
              <w:spacing w:before="0" w:after="0" w:line="240" w:lineRule="auto"/>
              <w:widowControl/>
              <w:rPr>
                <w:rFonts w:ascii="仿宋" w:hAnsi="仿宋" w:eastAsia="仿宋" w:cs="仿宋"/>
                <w:color w:val="000000"/>
                <w:highlight w:val="none"/>
                <w:lang w:bidi="zh-CN"/>
              </w:rPr>
            </w:pPr>
            <w:r>
              <w:rPr>
                <w:rFonts w:ascii="仿宋" w:hAnsi="仿宋" w:eastAsia="仿宋" w:cs="仿宋"/>
                <w:color w:val="000000"/>
                <w:highlight w:val="none"/>
              </w:rPr>
              <w:t xml:space="preserve">2）</w:t>
            </w:r>
            <w:r>
              <w:rPr>
                <w:rFonts w:ascii="仿宋" w:hAnsi="仿宋" w:eastAsia="仿宋" w:cs="仿宋"/>
                <w:color w:val="000000"/>
                <w:highlight w:val="none"/>
                <w:lang w:bidi="zh-CN"/>
              </w:rPr>
              <w:t xml:space="preserve">容积：</w:t>
            </w:r>
            <w:r>
              <w:rPr>
                <w:rFonts w:ascii="仿宋" w:hAnsi="仿宋" w:eastAsia="仿宋" w:cs="仿宋"/>
                <w:color w:val="000000"/>
                <w:highlight w:val="none"/>
              </w:rPr>
              <w:t xml:space="preserve">≥</w:t>
            </w:r>
            <w:r>
              <w:rPr>
                <w:rFonts w:ascii="仿宋" w:hAnsi="仿宋" w:eastAsia="仿宋" w:cs="仿宋"/>
                <w:color w:val="000000"/>
                <w:highlight w:val="none"/>
                <w:lang w:bidi="zh-CN"/>
              </w:rPr>
              <w:t xml:space="preserve">30L 储气罐</w:t>
            </w:r>
            <w:r>
              <w:rPr>
                <w:rFonts w:ascii="仿宋" w:hAnsi="仿宋" w:eastAsia="仿宋" w:cs="仿宋"/>
                <w:color w:val="000000"/>
                <w:highlight w:val="none"/>
                <w:lang w:bidi="zh-CN"/>
              </w:rPr>
            </w:r>
            <w:r/>
          </w:p>
          <w:p>
            <w:pPr>
              <w:pStyle w:val="1483"/>
              <w:spacing w:before="0" w:after="0" w:line="240" w:lineRule="auto"/>
              <w:widowControl/>
              <w:rPr>
                <w:rFonts w:ascii="仿宋" w:hAnsi="仿宋" w:eastAsia="仿宋" w:cs="仿宋"/>
                <w:color w:val="000000"/>
                <w:highlight w:val="none"/>
                <w:lang w:bidi="zh-CN"/>
              </w:rPr>
            </w:pPr>
            <w:r>
              <w:rPr>
                <w:rFonts w:ascii="仿宋" w:hAnsi="仿宋" w:eastAsia="仿宋" w:cs="仿宋"/>
                <w:color w:val="000000"/>
                <w:highlight w:val="none"/>
              </w:rPr>
              <w:t xml:space="preserve">3）</w:t>
            </w:r>
            <w:r>
              <w:rPr>
                <w:rFonts w:ascii="仿宋" w:hAnsi="仿宋" w:eastAsia="仿宋" w:cs="仿宋"/>
                <w:color w:val="000000"/>
                <w:highlight w:val="none"/>
                <w:lang w:bidi="zh-CN"/>
              </w:rPr>
              <w:t xml:space="preserve">排气量：约 10L/min（0.6m³/min）左右 </w:t>
            </w:r>
            <w:r>
              <w:rPr>
                <w:rFonts w:ascii="仿宋" w:hAnsi="仿宋" w:eastAsia="仿宋" w:cs="仿宋"/>
                <w:color w:val="000000"/>
                <w:highlight w:val="none"/>
                <w:lang w:bidi="zh-CN"/>
              </w:rPr>
            </w:r>
            <w:r/>
          </w:p>
          <w:p>
            <w:pPr>
              <w:pStyle w:val="1483"/>
              <w:spacing w:before="0" w:after="0" w:line="240" w:lineRule="auto"/>
              <w:widowControl/>
              <w:rPr>
                <w:rFonts w:ascii="仿宋" w:hAnsi="仿宋" w:eastAsia="仿宋" w:cs="仿宋"/>
                <w:color w:val="000000"/>
                <w:highlight w:val="none"/>
                <w:lang w:bidi="zh-CN"/>
              </w:rPr>
            </w:pPr>
            <w:r>
              <w:rPr>
                <w:rFonts w:ascii="仿宋" w:hAnsi="仿宋" w:eastAsia="仿宋" w:cs="仿宋"/>
                <w:color w:val="000000"/>
                <w:highlight w:val="none"/>
              </w:rPr>
              <w:t xml:space="preserve">4）</w:t>
            </w:r>
            <w:r>
              <w:rPr>
                <w:rFonts w:ascii="仿宋" w:hAnsi="仿宋" w:eastAsia="仿宋" w:cs="仿宋"/>
                <w:color w:val="000000"/>
                <w:highlight w:val="none"/>
                <w:lang w:bidi="zh-CN"/>
              </w:rPr>
              <w:t xml:space="preserve">电压：220V 单相</w:t>
            </w:r>
            <w:r>
              <w:rPr>
                <w:rFonts w:ascii="仿宋" w:hAnsi="仿宋" w:eastAsia="仿宋" w:cs="仿宋"/>
                <w:color w:val="000000"/>
                <w:highlight w:val="none"/>
                <w:lang w:bidi="zh-CN"/>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lang w:bidi="ar"/>
              </w:rPr>
            </w:pPr>
            <w:r>
              <w:rPr>
                <w:rFonts w:hint="eastAsia" w:ascii="仿宋" w:hAnsi="仿宋" w:eastAsia="仿宋" w:cs="仿宋"/>
                <w:color w:val="000000"/>
                <w:sz w:val="21"/>
                <w:szCs w:val="21"/>
                <w:highlight w:val="none"/>
              </w:rPr>
              <w:t xml:space="preserve">▲7.8</w:t>
            </w:r>
            <w:r>
              <w:rPr>
                <w:rFonts w:hint="eastAsia" w:ascii="仿宋" w:hAnsi="仿宋" w:eastAsia="仿宋" w:cs="仿宋"/>
                <w:color w:val="000000"/>
                <w:sz w:val="21"/>
                <w:szCs w:val="21"/>
                <w:highlight w:val="none"/>
                <w:lang w:bidi="ar"/>
              </w:rPr>
              <w:t xml:space="preserve">为保障产品性能稳定、品质可靠，投标文件中提供</w:t>
            </w:r>
            <w:r>
              <w:rPr>
                <w:rFonts w:hint="eastAsia" w:ascii="仿宋" w:hAnsi="仿宋" w:eastAsia="仿宋" w:cs="仿宋"/>
                <w:color w:val="000000"/>
                <w:sz w:val="21"/>
                <w:szCs w:val="21"/>
                <w:highlight w:val="yellow"/>
                <w:lang w:bidi="ar"/>
              </w:rPr>
              <w:t xml:space="preserve">第三方检测机构出具的带有CMA标识</w:t>
            </w:r>
            <w:r>
              <w:rPr>
                <w:rFonts w:hint="eastAsia" w:ascii="仿宋" w:hAnsi="仿宋" w:eastAsia="仿宋" w:cs="仿宋"/>
                <w:color w:val="000000"/>
                <w:sz w:val="21"/>
                <w:szCs w:val="21"/>
                <w:highlight w:val="yellow"/>
                <w:lang w:val="en-US" w:eastAsia="zh-CN" w:bidi="ar"/>
              </w:rPr>
              <w:t xml:space="preserve">的</w:t>
            </w:r>
            <w:r>
              <w:rPr>
                <w:rFonts w:hint="eastAsia" w:ascii="仿宋" w:hAnsi="仿宋" w:eastAsia="仿宋" w:cs="仿宋"/>
                <w:color w:val="000000"/>
                <w:sz w:val="21"/>
                <w:szCs w:val="21"/>
                <w:highlight w:val="none"/>
                <w:lang w:bidi="ar"/>
              </w:rPr>
              <w:t xml:space="preserve">工业机器人系统相关检验检测报告，检测内容覆盖设备外观质量、机械装配结构、</w:t>
            </w:r>
            <w:r>
              <w:rPr>
                <w:rFonts w:hint="eastAsia" w:ascii="仿宋" w:hAnsi="仿宋" w:eastAsia="仿宋" w:cs="仿宋"/>
                <w:color w:val="000000"/>
                <w:sz w:val="21"/>
                <w:szCs w:val="21"/>
                <w:highlight w:val="none"/>
                <w:lang w:val="en-US" w:eastAsia="zh-CN" w:bidi="ar"/>
              </w:rPr>
              <w:t xml:space="preserve">安全防护、空置系统、使用性能</w:t>
            </w:r>
            <w:r>
              <w:rPr>
                <w:rFonts w:hint="eastAsia" w:ascii="仿宋" w:hAnsi="仿宋" w:eastAsia="仿宋" w:cs="仿宋"/>
                <w:color w:val="000000"/>
                <w:sz w:val="21"/>
                <w:szCs w:val="21"/>
                <w:highlight w:val="none"/>
                <w:lang w:bidi="ar"/>
              </w:rPr>
              <w:t xml:space="preserve">等核心常规检测项目，报告真实有效</w:t>
            </w:r>
            <w:r>
              <w:rPr>
                <w:rFonts w:hint="eastAsia" w:ascii="仿宋" w:hAnsi="仿宋" w:eastAsia="仿宋" w:cs="仿宋"/>
                <w:color w:val="000000"/>
                <w:sz w:val="21"/>
                <w:szCs w:val="21"/>
                <w:highlight w:val="none"/>
                <w:lang w:eastAsia="zh-CN" w:bidi="ar"/>
              </w:rPr>
              <w:t xml:space="preserve">，</w:t>
            </w:r>
            <w:r>
              <w:rPr>
                <w:rFonts w:hint="eastAsia" w:ascii="仿宋" w:hAnsi="仿宋" w:eastAsia="仿宋" w:cs="仿宋"/>
                <w:color w:val="000000"/>
                <w:sz w:val="21"/>
                <w:szCs w:val="21"/>
                <w:highlight w:val="none"/>
                <w:lang w:val="en-US" w:eastAsia="zh-CN" w:bidi="ar"/>
              </w:rPr>
              <w:t xml:space="preserve">不得缺页，</w:t>
            </w:r>
            <w:r>
              <w:rPr>
                <w:rFonts w:hint="eastAsia" w:ascii="仿宋" w:hAnsi="仿宋" w:eastAsia="仿宋" w:cs="仿宋"/>
                <w:color w:val="000000"/>
                <w:sz w:val="21"/>
                <w:szCs w:val="21"/>
                <w:highlight w:val="none"/>
                <w:lang w:bidi="ar"/>
              </w:rPr>
              <w:t xml:space="preserve">并加盖</w:t>
            </w:r>
            <w:r>
              <w:rPr>
                <w:rFonts w:hint="eastAsia" w:ascii="仿宋" w:hAnsi="仿宋" w:eastAsia="仿宋" w:cs="仿宋"/>
                <w:color w:val="000000"/>
                <w:sz w:val="21"/>
                <w:szCs w:val="21"/>
                <w:highlight w:val="none"/>
                <w:lang w:val="en-US" w:eastAsia="zh-CN" w:bidi="ar"/>
              </w:rPr>
              <w:t xml:space="preserve">投标人和</w:t>
            </w:r>
            <w:r>
              <w:rPr>
                <w:rFonts w:hint="eastAsia" w:ascii="仿宋" w:hAnsi="仿宋" w:eastAsia="仿宋" w:cs="仿宋"/>
                <w:color w:val="000000"/>
                <w:sz w:val="21"/>
                <w:szCs w:val="21"/>
                <w:highlight w:val="none"/>
                <w:lang w:bidi="ar"/>
              </w:rPr>
              <w:t xml:space="preserve">制造商公章。</w:t>
            </w:r>
            <w:r>
              <w:rPr>
                <w:rFonts w:hint="eastAsia" w:ascii="仿宋" w:hAnsi="仿宋" w:eastAsia="仿宋" w:cs="仿宋"/>
                <w:color w:val="000000"/>
                <w:sz w:val="21"/>
                <w:szCs w:val="21"/>
                <w:highlight w:val="none"/>
                <w:lang w:bidi="ar"/>
              </w:rPr>
            </w:r>
            <w:r/>
          </w:p>
          <w:p>
            <w:pPr>
              <w:pStyle w:val="1483"/>
              <w:spacing w:before="0" w:after="0" w:line="240" w:lineRule="auto"/>
              <w:widowControl/>
              <w:rPr>
                <w:rFonts w:ascii="仿宋" w:hAnsi="仿宋" w:eastAsia="仿宋" w:cs="仿宋"/>
                <w:color w:val="000000"/>
                <w:highlight w:val="none"/>
                <w:lang w:bidi="zh-CN"/>
              </w:rPr>
            </w:pPr>
            <w:r>
              <w:rPr>
                <w:rFonts w:ascii="仿宋" w:hAnsi="仿宋" w:eastAsia="仿宋" w:cs="仿宋"/>
                <w:color w:val="000000"/>
                <w:highlight w:val="none"/>
                <w:lang w:bidi="zh-CN"/>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协作机器人柔性实验平台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实验平台需要以先进协作机器人为核心，集成人机协作等前沿应用模块。该平台需要摒弃传统机器人的围栏隔离，倡导人机协同、安全共享工作空间的理念，完美契合现代智能工厂对柔性生产的需求。该平台需要采用模块化、插件式的设计，既能用于基础教学，也能作为独立工作站无缝集成至智能产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1.输入电源：AC220V±10%（单相），50Hz；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2.整机功率：≥2kW；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3.外形尺寸：≥长800mm×宽700mm×高1900mm；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5.重量：≥100kg。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1.台架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体需采用不小于4040方管与不小于1.5mm厚冷轧钢板焊接而成，焊接后经时效处理消除内应力，确保整体刚性满足要求。同时控制自重，兼顾搬运灵活性与承重稳定性；下部分门板采用不小于1.5mm厚冷轧钢板材焊接而成，上部分门板采用可视化透明有机玻璃门板；台面选用不小于10mm厚的铝板。台架底部配备4个可调节地脚，单轮承载不小于500kg；整体表面喷塑处理；外形尺寸：不小于长800mm×宽700mm×高1900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2.轨迹模块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轨迹模拟模块需由支撑柱、底板、拱形板等组成。用于机器人轨迹规划，轨迹形式和内容丰富。底板由铝板材精密加工喷砂氧化制成，中间开方槽，底板上有4个安装孔，方便与台面上的安装孔对接完成快速定位安装，厚度不小于10mm，拱形板由钣金折弯制成，厚度不小于1.5mm，分左右两个区域，一边为凸出圆柱面，一边为平面，凸出圆柱面上可以进行三维曲面上的直线、曲线轨迹模拟，平面上坐标系创建和直线、曲线轨迹模拟等功能。整体外形尺寸：不小于长400mm×宽240mm×高160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3.拆垛工件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码垛工件为尼龙材质黑色方形，尺寸不小于60*40*8mm，数量为不少于10个。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4.吸盘工装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吸盘工装需由吸盘、支架、手动快换夹具组成。用于搬运码垛模块的工件搬运。吸盘具有自动缓冲功能。吸盘直径不小于20mm，吸盘吸嘴平形丁腈橡胶材质，带缓冲不可回转有效行程不小于10mm，M5*0.8mm内螺纹连接，M10*1.0mm外螺纹安装，吸盘为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5.夹爪工装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夹爪工装需由转接板、气动手指、夹爪工装、手动快换夹具等组成。用于装配模块工件搬运抓取，抓取稳定。转接板、夹爪工装由铝板材精密加工喷砂氧化而成。气动手指采用知名品牌，带磁环，带气源流量调节，带1路磁性开关，开闭行程不小于14mm。夹爪工装为Z字型，确保抓取时的稳定性，夹爪工装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6.画笔工装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画笔工装需由画笔夹紧座、按压式中性笔、手动快换夹具等组成。用于绘制图形和机器人轨迹模拟。画笔夹紧座具有自动缓冲功能。画笔夹紧座带缓冲能力，手动锁紧画笔，有效缓冲行程不小于20mm，可以有效防止画笔破坏纸张和字迹不清。夹紧座由铝板材精密加工喷砂氧化制成，画笔工装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7.电控系统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7.1.PLC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1个PROFINET端口；机载I/O：≥14个24V DC数字输入；≥10个24V DC数字输出；≥2 AI 0-10V DC，电源：DC 20.4～28.8V DC，工作存储器容量≥150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7.2.数字量输入输出模块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≥D1 8x24 VDC，≥DQ 8x24 VDC；额定值（DC）24 V；允许范围，下限（DC）20.4 V；允许范围，上限（DC）28.8 V；输入电流来自背板总线DC 5V，最大值185mA；输入信号电压：DC24V；输出信号电压额定值（DC）：24 V；数字输入端数量8；数字输出端数量：8。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7.3.触摸屏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7''TFT显示屏，≥800 x 480像素，≥64K色；按键和触摸操作，≥8个功能键；1 x PROFINET，1 x USB。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7.4.交换机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入光口：≥8个；电口速率：10/100/1000Mbps；供电方式：支持双电源，外置适配器：12-36VDC；工作温度：-30℃～+75℃；功耗：空载功耗：满载功耗：≤4W；安装方式：导轨式安装；流控：支持半双工背压流控支持全双工PAUSE流控；重量：≤0.65kg；产品尺寸：≤45mm×85mm×100mm（长×宽×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7.5.协作机器人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负载：≥5kg；重量（含电缆）：23kg；臂展：≥954mm；重复定位精度：±0.02mm；自由度：6；编程：图形化编程、拖拽编程；示教器类型：移动终端（电脑/平板/手机）；平均典型功耗：≤350W；IP等级：IP54；底座直径：158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7.6.机械臂动作范围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关节1：±360°，速度：≥210°/s；关节2：±360°，速度：≥210°/s；关节3：±360°，速度：≥210°/s；关节4：±360°，速度：≥180°/s；关节5：±360°，速度：≥265°/s；关节6：±360°，速度：≥265°/s。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7.7.协作机器人控制柜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IP等级：IP44；控制柜IO端口：≥16个数字输入，16个数字输出，2个模拟输入或输出；通信标配：TCP/IP，Modbus TCP，Modbus RTU，Profinet，Ethernet/IP；电源：100-240VAC，50～60Hz；电控柜尺寸：≤410×307×235（mm）（W×H×D）；重量：≤15.4kg。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7.8.开关电源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工业视觉综合实验平台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实验平台需要具备工业相机、光学镜头、机器视觉光源、检测物料及视觉处理软件。该平台需要紧扣工业现场核心应用，旨在让学员系统掌握图像采集、处理、分析及控制的全流程技能。该平台需要模块化、开放式的设计，既可独立完成丰富的视觉基础与算法实验，也可作为视觉检测单元无缝集成至智能产线中，执行定位、测量、识别和检测任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实验平台需要具有开放式架构，既可独立算法实验，也可作为感知单元无缝嵌入产线，并且能够完成定位、测量、识别、缺陷检测四大任务。该平台需要满足《工业机器视觉》《人工智能机器视觉开发》《智能制造系统集成》等核心课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1.输入电源：AC220V±10%（单相），50Hz；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2.整机功率：≥2kW；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3.外形尺寸：≥长800mm×宽870mm×高1900mm；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5.重量：≥100kg。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1.台架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体需采用不小于4040方管与不小于1.5mm厚冷轧钢板焊接而成，焊接后经时效处理消除内应力，确保整体刚性满足要求。同时控制自重，兼顾搬运灵活性与承重稳定性；下部分门板采用不小于1.5mm厚冷轧钢板材焊接而成，上部分门板采用可视化透明有机玻璃门板；台面选用不小于10mm厚的铝板。台架底部配备4个可调节地脚，单轮承载不小于500kg；整体表面喷塑处理；外形尺寸：不小于长800mm×宽870mm×高1900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2.检测模块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2.1.外观检测应用模块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需采用工业相机模块、检测工件等模块。手动将检测工件放置于工业相机模块下方，通过工业相机拍照识别出检测工件表面、形状、轮廓缺陷等；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检测工件：检测工件选用常规齿轮、锯片、接线端子等。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2.2.尺寸测量模块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需采用工业相机模块、测量工件等模块。手动将检测工件放置于工业相机模块下方，通过工业相机拍照识别出检测工件的尺寸、角度、间距等值；</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检测工件：包括接线端子、瓶盖、电路板、角尺等。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2.3.字符与条码识别模块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需采用工件相机模块、识别工件等组成。识别工件上有一维码、二维码、VeriCode、OCR等内容。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3.电控系统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3.1.交换机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入光口：≥8个；电口速率：10/100/1000Mbps；供电方式：支持双电源，外置适配器：12-36VDC；工作温度：-30℃～+75℃；功耗：空载功耗：满载功耗：≤4W；安装方式：导轨式安装；流控：支持半双工背压流控支持全双工PAUSE流控；重量：≤0.65kg；产品尺寸：≤45mm×85mm×100mm（长×宽×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3.2.工业相机1</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≥600万像素网口面阵相机，二代基础版，彩色。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功能特性：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全新硬件平台，优化逻辑资源，大幅降低功耗；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支持自动或手动调节增益、曝光时间、白平衡、LUT、Gamma校正等；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相机植入CCM功能，图像质量优异；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千兆网接口，无中继情况下，最大传输距离可达100m；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新一代外观结构设计，支持四面安装；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兼容GigE Vision V2.0协议及GenlCam标准，无缝接入第三方软件。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技术参数：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传感器类型：CMOS，卷帘快门；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传感器型号：IMX178；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像元尺寸：≥2.4µm×2.4µm；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靶面尺寸：1/1.8”；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分辨率：≥3072×2048；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最大帧率：19.1 fps@3072×2048 Bayer RG 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动态范围：71.3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信噪比：41.3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增益：0 dB~24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曝光时间：25μs~2.5 sec；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快门模式：支持自动曝光、手动曝光、一键曝光模式，支持Global Reset和Trigger Rolling功能；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数据接口：GigE；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数字I/O：6-pin P7接头提供供电和I/O：1路光耦隔离输入（Line0），1路光耦隔离输出（Line1），</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t xml:space="preserve">1路双向可配置非隔离I/O（Line2）；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供电：9~24 VDC，支持PoE供电；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环形光源：DC24V供电，可调亮度，LED白色光源，≥Ø150mm环形布置，90度垂直照射，可选配漫射板以适应不同的需要、LED密度高，排布均匀，亮度高。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3.3.工业相机2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≥160万像素网口面阵相机，IMX296，二代，彩色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传感器类型：CMOS,全局快门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传感器型号：Sony IMX296</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像元尺寸：≥3.45 μm × 3.45 μm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靶面尺寸：1/2.9”</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分辨率：≥1440 × 1080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最大帧率：65.2 fps@1440 × 1080 Bayer RG 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增益：0 dB ~ 24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3.4.工业相机3</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500万像素网口面阵相机，IMX264，二代基础版，彩色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传感器类型：CMOS,全局快门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传感器型号：Sony IMX264</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像元尺寸：≥3.45 μm × 3.45 μm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靶面尺寸：2/3”</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分辨率：≥2448 × 2048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最大帧率：24.2 fps @2448 × 2048 Bayer RG 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增益：0 dB ~ 24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3.5.工业镜头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C型接口，16mm。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3.6.工业镜头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C型接口，25mm。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3.7.工业镜头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C型接口，8mm。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lang w:val="en-US" w:eastAsia="zh-CN"/>
              </w:rPr>
              <w:t xml:space="preserve">8</w:t>
            </w:r>
            <w:r>
              <w:rPr>
                <w:rFonts w:hint="eastAsia" w:ascii="仿宋" w:hAnsi="仿宋" w:eastAsia="仿宋" w:cs="仿宋"/>
                <w:color w:val="000000"/>
                <w:szCs w:val="21"/>
                <w:highlight w:val="none"/>
              </w:rPr>
              <w:t xml:space="preserve">.视觉软件</w:t>
            </w:r>
            <w:r>
              <w:rPr>
                <w:rFonts w:hint="eastAsia" w:ascii="仿宋" w:hAnsi="仿宋" w:eastAsia="仿宋" w:cs="仿宋"/>
                <w:color w:val="000000"/>
                <w:szCs w:val="21"/>
                <w:highlight w:val="none"/>
              </w:rPr>
            </w:r>
            <w:r/>
          </w:p>
          <w:p>
            <w:pPr>
              <w:pStyle w:val="1038"/>
              <w:spacing w:before="0" w:after="0" w:line="240" w:lineRule="auto"/>
              <w:rPr>
                <w:rFonts w:hint="eastAsia"/>
                <w:color w:val="000000"/>
                <w:highlight w:val="none"/>
              </w:rPr>
            </w:pPr>
            <w:r>
              <w:rPr>
                <w:rFonts w:hint="eastAsia" w:ascii="仿宋" w:hAnsi="仿宋" w:eastAsia="仿宋" w:cs="仿宋"/>
                <w:color w:val="000000"/>
                <w:szCs w:val="21"/>
                <w:highlight w:val="none"/>
              </w:rPr>
              <w:t xml:space="preserve">▲提供产品制造商拥有的工业视觉软件相关计算机软件著作权登记有效证书，投标时提供复印件</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并加盖</w:t>
            </w:r>
            <w:r>
              <w:rPr>
                <w:rFonts w:hint="eastAsia" w:ascii="仿宋" w:hAnsi="仿宋" w:eastAsia="仿宋" w:cs="仿宋"/>
                <w:color w:val="000000"/>
                <w:szCs w:val="21"/>
                <w:highlight w:val="none"/>
                <w:lang w:val="en-US" w:eastAsia="zh-CN"/>
              </w:rPr>
              <w:t xml:space="preserve">投标人和</w:t>
            </w:r>
            <w:r>
              <w:rPr>
                <w:rFonts w:hint="eastAsia" w:ascii="仿宋" w:hAnsi="仿宋" w:eastAsia="仿宋" w:cs="仿宋"/>
                <w:color w:val="000000"/>
                <w:szCs w:val="21"/>
                <w:highlight w:val="none"/>
              </w:rPr>
              <w:t xml:space="preserve">制造商公章。</w:t>
            </w:r>
            <w:r>
              <w:rPr>
                <w:rFonts w:hint="eastAsia"/>
                <w:color w:val="000000"/>
                <w:highlight w:val="none"/>
              </w:rPr>
            </w:r>
            <w:r/>
          </w:p>
          <w:p>
            <w:pPr>
              <w:pStyle w:val="1038"/>
              <w:spacing w:before="0" w:after="0" w:line="240" w:lineRule="auto"/>
              <w:rPr>
                <w:rFonts w:hint="eastAsia"/>
                <w:color w:val="000000"/>
                <w:highlight w:val="none"/>
              </w:rPr>
            </w:pPr>
            <w:r>
              <w:rPr>
                <w:rFonts w:hint="eastAsia" w:ascii="仿宋" w:hAnsi="仿宋" w:eastAsia="仿宋" w:cs="仿宋"/>
                <w:color w:val="000000"/>
                <w:szCs w:val="21"/>
                <w:highlight w:val="none"/>
              </w:rPr>
              <w:t xml:space="preserve">算法开发平台是自主开发的机器视觉软件，致力于为学生提供快速搭建视觉应用、解决视觉检测难题的算法工具，能满足视觉定位、尺寸测量、缺陷检测以及信息识别等机器视觉应用。</w:t>
            </w:r>
            <w:r>
              <w:rPr>
                <w:rFonts w:hint="eastAsia"/>
                <w:color w:val="000000"/>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功能要求如下</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高效定位工具匹配工具，能够克服样品平移、旋转、缩放和光照不同所带来的差异，快速准确查找圆、直线、斑点、边</w:t>
            </w:r>
            <w:r>
              <w:rPr>
                <w:rFonts w:hint="eastAsia" w:ascii="仿宋" w:hAnsi="仿宋" w:eastAsia="仿宋" w:cs="仿宋"/>
                <w:color w:val="000000"/>
                <w:szCs w:val="21"/>
                <w:highlight w:val="none"/>
              </w:rPr>
              <w:t xml:space="preserve">缘、顶点等几何体的位置。提供位置信息和有无信息，可以应用于机器人引导和其他视觉工具中。提供部件追踪所需的持续准确高速读取ID信息：基于深度学习的OCR算法能适应复杂背景、低对比度、变形等字符的识别；一维码、二维码识别算法能够识别多种制式、不同位置、角度、光照的信息码，有效克服图像畸变带来的影响。准确识别工件表面、形状、轮廓的缺陷：基于深度学习技术能检测细小的表面划痕、斑点，可克服工件表面纹理、颜色、噪点干扰；精确检测工件形态和轮廓缺陷，可克服毛刺、颜色、噪点的干扰。可靠的标准件比对工具，定位出工件微小差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lang w:val="en-US" w:eastAsia="zh-CN"/>
              </w:rPr>
              <w:t xml:space="preserve">9</w:t>
            </w:r>
            <w:r>
              <w:rPr>
                <w:rFonts w:hint="eastAsia" w:ascii="仿宋" w:hAnsi="仿宋" w:eastAsia="仿宋" w:cs="仿宋"/>
                <w:color w:val="000000"/>
                <w:szCs w:val="21"/>
                <w:highlight w:val="none"/>
              </w:rPr>
              <w:t xml:space="preserve">.开关电源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lang w:val="en-US" w:eastAsia="zh-CN"/>
              </w:rPr>
              <w:t xml:space="preserve">10</w:t>
            </w:r>
            <w:r>
              <w:rPr>
                <w:rFonts w:hint="eastAsia" w:ascii="仿宋" w:hAnsi="仿宋" w:eastAsia="仿宋" w:cs="仿宋"/>
                <w:color w:val="000000"/>
                <w:sz w:val="21"/>
                <w:szCs w:val="21"/>
                <w:highlight w:val="none"/>
                <w:lang w:bidi="ar"/>
              </w:rPr>
              <w:t xml:space="preserve">为保障产品性能稳定、品质可靠，投标文件中提供</w:t>
            </w:r>
            <w:r>
              <w:rPr>
                <w:rFonts w:hint="eastAsia" w:ascii="仿宋" w:hAnsi="仿宋" w:eastAsia="仿宋" w:cs="仿宋"/>
                <w:color w:val="000000"/>
                <w:sz w:val="21"/>
                <w:szCs w:val="21"/>
                <w:highlight w:val="none"/>
                <w:lang w:val="en-US" w:eastAsia="zh-CN" w:bidi="ar"/>
              </w:rPr>
              <w:t xml:space="preserve">第三方检测机构</w:t>
            </w:r>
            <w:r>
              <w:rPr>
                <w:rFonts w:hint="eastAsia" w:ascii="仿宋" w:hAnsi="仿宋" w:eastAsia="仿宋" w:cs="仿宋"/>
                <w:color w:val="000000"/>
                <w:sz w:val="21"/>
                <w:szCs w:val="21"/>
                <w:highlight w:val="none"/>
                <w:lang w:bidi="ar"/>
              </w:rPr>
              <w:t xml:space="preserve">出具的</w:t>
            </w:r>
            <w:r>
              <w:rPr>
                <w:rFonts w:hint="eastAsia" w:ascii="仿宋" w:hAnsi="仿宋" w:eastAsia="仿宋" w:cs="仿宋"/>
                <w:color w:val="000000"/>
                <w:sz w:val="21"/>
                <w:szCs w:val="21"/>
                <w:highlight w:val="none"/>
                <w:lang w:val="en-US" w:eastAsia="zh-CN" w:bidi="ar"/>
              </w:rPr>
              <w:t xml:space="preserve">带有CMA标识的机器视觉产品检测报告，</w:t>
            </w:r>
            <w:r>
              <w:rPr>
                <w:rFonts w:hint="eastAsia" w:ascii="仿宋" w:hAnsi="仿宋" w:eastAsia="仿宋" w:cs="仿宋"/>
                <w:color w:val="000000"/>
                <w:sz w:val="21"/>
                <w:szCs w:val="21"/>
                <w:highlight w:val="none"/>
                <w:lang w:bidi="ar"/>
              </w:rPr>
              <w:t xml:space="preserve">检测内容覆盖</w:t>
            </w:r>
            <w:r>
              <w:rPr>
                <w:rFonts w:hint="eastAsia" w:ascii="仿宋" w:hAnsi="仿宋" w:eastAsia="仿宋" w:cs="仿宋"/>
                <w:color w:val="000000"/>
                <w:sz w:val="21"/>
                <w:szCs w:val="21"/>
                <w:highlight w:val="none"/>
                <w:lang w:val="en-US" w:eastAsia="zh-CN" w:bidi="ar"/>
              </w:rPr>
              <w:t xml:space="preserve">标志、电源接口、机械强度、接地和连接保护措施、低温试验、耐压试验、绝缘电阻试验、高温试验</w:t>
            </w:r>
            <w:r>
              <w:rPr>
                <w:rFonts w:hint="eastAsia" w:ascii="仿宋" w:hAnsi="仿宋" w:eastAsia="仿宋" w:cs="仿宋"/>
                <w:color w:val="000000"/>
                <w:sz w:val="21"/>
                <w:szCs w:val="21"/>
                <w:highlight w:val="none"/>
                <w:lang w:bidi="ar"/>
              </w:rPr>
              <w:t xml:space="preserve">等核心常规检测项目，报告真实有效</w:t>
            </w:r>
            <w:r>
              <w:rPr>
                <w:rFonts w:hint="eastAsia" w:ascii="仿宋" w:hAnsi="仿宋" w:eastAsia="仿宋" w:cs="仿宋"/>
                <w:color w:val="000000"/>
                <w:sz w:val="21"/>
                <w:szCs w:val="21"/>
                <w:highlight w:val="none"/>
                <w:lang w:eastAsia="zh-CN" w:bidi="ar"/>
              </w:rPr>
              <w:t xml:space="preserve">，</w:t>
            </w:r>
            <w:r>
              <w:rPr>
                <w:rFonts w:hint="eastAsia" w:ascii="仿宋" w:hAnsi="仿宋" w:eastAsia="仿宋" w:cs="仿宋"/>
                <w:color w:val="000000"/>
                <w:sz w:val="21"/>
                <w:szCs w:val="21"/>
                <w:highlight w:val="none"/>
                <w:lang w:val="en-US" w:eastAsia="zh-CN" w:bidi="ar"/>
              </w:rPr>
              <w:t xml:space="preserve">不得缺页，</w:t>
            </w:r>
            <w:r>
              <w:rPr>
                <w:rFonts w:hint="eastAsia" w:ascii="仿宋" w:hAnsi="仿宋" w:eastAsia="仿宋" w:cs="仿宋"/>
                <w:color w:val="000000"/>
                <w:szCs w:val="21"/>
                <w:highlight w:val="none"/>
              </w:rPr>
              <w:t xml:space="preserve">加盖</w:t>
            </w:r>
            <w:r>
              <w:rPr>
                <w:rFonts w:hint="eastAsia" w:ascii="仿宋" w:hAnsi="仿宋" w:eastAsia="仿宋" w:cs="仿宋"/>
                <w:color w:val="000000"/>
                <w:sz w:val="21"/>
                <w:szCs w:val="21"/>
                <w:highlight w:val="none"/>
                <w:lang w:val="en-US" w:eastAsia="zh-CN" w:bidi="ar"/>
              </w:rPr>
              <w:t xml:space="preserve">投标人和</w:t>
            </w:r>
            <w:r>
              <w:rPr>
                <w:rFonts w:hint="eastAsia" w:ascii="仿宋" w:hAnsi="仿宋" w:eastAsia="仿宋" w:cs="仿宋"/>
                <w:color w:val="000000"/>
                <w:sz w:val="21"/>
                <w:szCs w:val="21"/>
                <w:highlight w:val="none"/>
                <w:lang w:bidi="ar"/>
              </w:rPr>
              <w:t xml:space="preserve">制造商</w:t>
            </w:r>
            <w:r>
              <w:rPr>
                <w:rFonts w:hint="eastAsia" w:ascii="仿宋" w:hAnsi="仿宋" w:eastAsia="仿宋" w:cs="仿宋"/>
                <w:color w:val="000000"/>
                <w:szCs w:val="21"/>
                <w:highlight w:val="none"/>
              </w:rPr>
              <w:t xml:space="preserve">公章。</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3D打印单元</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3D打印单元需要以熔融沉积成型（FDM）技术为核心，创新集成激光加工、数控刀切与绘图功能，通过材料逐层叠加与多工艺协同实现实体模型与结构件的精准成型。该设备需要打破传统单一制造设备的功能局限与效率瓶颈，秉持“多能集成、精度驱动、创意无界”的核心理念，并且能够完美契合创客、设计师及工程师对个性化定制、多工艺创作及精密结构加工的复合需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该款3D打印机需要集成视觉编码系统、四摄像头感知阵列、36个传感器网</w:t>
            </w:r>
            <w:r>
              <w:rPr>
                <w:rFonts w:hint="eastAsia" w:ascii="仿宋" w:hAnsi="仿宋" w:eastAsia="仿宋" w:cs="仿宋"/>
                <w:color w:val="000000"/>
                <w:szCs w:val="21"/>
                <w:highlight w:val="none"/>
              </w:rPr>
              <w:t xml:space="preserve">络及灵玑挤出机系统等核心组件，可灵活适配多元制造场景：在FDM 3D打印模式下，凭借350℃高温热端与65℃主动恒温腔，能驾驭PLA、ABS、PC乃至碳纤维增强材料等多类耗材，配合双喷嘴系统实现多材料混打与600mm/s高速打印，轻松完成机械零件、骑行装备等功能件制作；切换至激光加工模式时，可选10W/40W高功率激光，结合0.3mm视觉对齐精度，可在椴木、板材等材料上实现雕刻与15mm厚度切割，适配文创产品与结构部件加工；启用数控刀切功能则能对多种材料进行精准裁切，搭配绘图模块更可实现平面创作与精准标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1.输入电源：AC220V±10%（单相），50Hz；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2.整机功率：≥2.2kW；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3.外形尺寸：≥长492mm×宽514mm×高626mm；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5.重量：≥31kg。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3D打印机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1）外形尺寸：≥492*514*626 mm³（长*宽*高）；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2）打印尺寸：≥325*320*325 mm³（长*宽*高）；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3）净重：≥31kg；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4）喷嘴最高温度：≤350℃；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5）支持喷嘴直径：0.2mm，0.4mm，0.6mm，0.8mm；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6）耗采直径：≥1.75mm；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7）支持打印版类型：纹理PEI打印板、光面PEI打印板；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8）工具头最大移动速度：1000mm/s；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9）热端最大流速：≥40mm³；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10）实况摄像头：内置；分辨率1920*1080；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11）喷嘴摄像头：内置；分辨率1920*1080；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12）俯视摄像头：内置；分辨率3264*2448（仅在激光版标配）；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13）工具头摄像头：内置；分辨率1920*1080；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14）电源电压：200-240 VAC，50/60 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15）最大功率：≥2200 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16）激光类型：半导体激光器；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17）雕刻激光波长：455nm±5nm（蓝光）；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18）测高激光波长：850nm±5nm（红外光）。</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立体库单元</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一</w:t>
            </w:r>
            <w:r>
              <w:rPr>
                <w:rFonts w:hint="eastAsia" w:ascii="仿宋" w:hAnsi="仿宋" w:eastAsia="仿宋" w:cs="仿宋"/>
                <w:color w:val="000000"/>
                <w:szCs w:val="21"/>
                <w:highlight w:val="none"/>
              </w:rPr>
              <w:t xml:space="preserve">.产品要求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立体库单元需要以立体库、堆垛机为核心，搭配伺服驱动器、伺服电机、传送带及仓储管理系统。在人才培养方面，该设备能强化学生的精密驱动控制实操能力，提升多设备协同集成能力，塑造仓储流程优化思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二</w:t>
            </w:r>
            <w:r>
              <w:rPr>
                <w:rFonts w:hint="eastAsia" w:ascii="仿宋" w:hAnsi="仿宋" w:eastAsia="仿宋" w:cs="仿宋"/>
                <w:color w:val="000000"/>
                <w:szCs w:val="21"/>
                <w:highlight w:val="none"/>
              </w:rPr>
              <w:t xml:space="preserve">.技术参数要求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.整机功率：≤5kW；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rPr>
              <w:t xml:space="preserve">.外形尺寸：≥长2000mm×宽900mm×高1800mm；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4</w:t>
            </w:r>
            <w:r>
              <w:rPr>
                <w:rFonts w:hint="eastAsia" w:ascii="仿宋" w:hAnsi="仿宋" w:eastAsia="仿宋" w:cs="仿宋"/>
                <w:color w:val="000000"/>
                <w:szCs w:val="21"/>
                <w:highlight w:val="none"/>
              </w:rPr>
              <w:t xml:space="preserve">.重量：≥300kg。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三</w:t>
            </w:r>
            <w:r>
              <w:rPr>
                <w:rFonts w:hint="eastAsia" w:ascii="仿宋" w:hAnsi="仿宋" w:eastAsia="仿宋" w:cs="仿宋"/>
                <w:color w:val="000000"/>
                <w:szCs w:val="21"/>
                <w:highlight w:val="none"/>
              </w:rPr>
              <w:t xml:space="preserve">.产品部件要求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.立体库</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.1.货架容量：不小于3层4列；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.2.货架材料：型材与冷轧钢板；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.3.货位尺寸：不小于200mm×200mm×200mm。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rPr>
              <w:t xml:space="preserve">.堆垛机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rPr>
              <w:t xml:space="preserve">.1.有效行程（X轴/Y轴/Z轴）：不小于1200mm/400mm/900mm；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rPr>
              <w:t xml:space="preserve">.2.速度（X轴/Y轴/Z轴）：不小于100mm/s，100mm/s，100mm/s；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rPr>
              <w:t xml:space="preserve">.3.电机驱动方式（X轴/Y轴/Z轴）：伺服驱动/伺服驱动/伺服驱动；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rPr>
              <w:t xml:space="preserve">.4.终端负载范围：不大于5kg；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rPr>
              <w:t xml:space="preserve">.5.重复定位精度：不小于0.5mm。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.电控系统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.1.PLC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1个PROFINET端口；机载I/O：≥14个24V DC数字输入；≥10个24V DC数字输出；≥2 AI 0-10V DC，电源：DC 20.4～28.8V DC，工作存储器容量≥150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.2.数字量输入输出模块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D1 16x24 VDC，DQ 16x24 VDC；额定值（DC）24 V；允许范围，下限（DC）20.4 V；允许范围，上限（DC）28.8 V；输入电流来自背板总线DC 5V，最大值185mA；输入信号电压：DC24V；输出信号电压额定值（DC）：24 V；数字输入端数量16；数字输出端数量：16。</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.3.伺服驱动器（数量：2）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最大电机功率（kW）：≥0.75kW；额定输入电流（A）：≥4.7A；电源电压：1/3AC 200 V-240 V（–15%/+10%）；电源频率：50 Hz/60 Hz，（–10%/+10%）；冷却：自冷却；几何尺寸WxHxD（mm）：80x170x195；重量：1.94kg；防护等级：IP20；制动电阻：集成。USB：mini USB；通讯：PROFINET RT/IRT接口，带2个端口（RJ45插口）；数字量输入/输出：4个输入，NPN/PNP；2个输出，NPN/PNP。</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.4.伺服电机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功率：≥0.75kW；额定扭矩：3.58Nm；额定速度：2000rpm；额定电流：2.5A；最大电流：7.5A；防护等级：IP65；编码器类型：绝对值编码器20位+12位多圈；重量（kg），（带抱闸）：5.6（8.6）；运行温度：0~40°C（无任何限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.5.伺服电机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功率：≥0.75kW；额定扭矩：3.58Nm；额定速度：2000rpm；额定电流：2.5A；最大电流：7.5A；防护等级：IP65；编码器类型：绝对值编码器20位+12位多圈；重量（kg），（不带抱闸）：5.6（8.6）；运行温度：0~40°C（无任何限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.6.伺服驱动器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带PROFINET；输入电压：200-240 V，1相/三相交流-15%/+10%，2.5 A/1.5 A 45-66；输出电压：0–输出1.2 A 0-330 Hz；电机：0.1 kW；防护方式：IP20尺寸A，45x170x170（宽x高x深）</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.7.伺服电机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工作电压：230 V三相交流：PN=0.1 kW；NN=3000 U/min M0=0.32 Nm；MN=0.32 Nm；轴高度20 mm；增量编码器：TTL 2500增量/转带滑键；公差：N；无驻车制动器；防护等级：IP65；带密封圈</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.8.触摸屏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7''TFT显示屏，≥800 x 480像素，≥64K色；按键和触摸操作，8个功能键；1 x PROFINET，1 x USB。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.9.开关电源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4.气源系统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功率：600W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容积：不小于30L 储气罐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排气量：约 10L/min（0.6m³/min）左右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电压：220V 单相</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bookmarkStart w:id="178" w:name="_Hlk209558555"/>
            <w:r>
              <w:rPr>
                <w:rFonts w:hint="eastAsia" w:ascii="仿宋" w:hAnsi="仿宋" w:eastAsia="仿宋" w:cs="仿宋"/>
                <w:color w:val="000000"/>
                <w:szCs w:val="21"/>
                <w:highlight w:val="none"/>
              </w:rPr>
              <w:t xml:space="preserve">平带</w:t>
            </w:r>
            <w:bookmarkStart w:id="179" w:name="_Hlk209558514"/>
            <w:r>
              <w:rPr>
                <w:rFonts w:hint="eastAsia" w:ascii="仿宋" w:hAnsi="仿宋" w:eastAsia="仿宋" w:cs="仿宋"/>
                <w:color w:val="000000"/>
                <w:szCs w:val="21"/>
                <w:highlight w:val="none"/>
              </w:rPr>
              <w:t xml:space="preserve">输送带</w:t>
            </w:r>
            <w:bookmarkEnd w:id="178"/>
            <w:r/>
            <w:bookmarkEnd w:id="179"/>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w:t>
            </w:r>
            <w:bookmarkStart w:id="180" w:name="_Hlk209559017"/>
            <w:r>
              <w:rPr>
                <w:rFonts w:hint="eastAsia" w:ascii="仿宋" w:hAnsi="仿宋" w:eastAsia="仿宋" w:cs="仿宋"/>
                <w:color w:val="000000"/>
                <w:szCs w:val="21"/>
                <w:highlight w:val="none"/>
              </w:rPr>
              <w:t xml:space="preserve">传输线模块需要由平皮带、减速电机、支架、底板、横梁、主动轴、被动轴等组成。该模块可以实现工件的传输及视觉检测平台。</w:t>
            </w:r>
            <w:bookmarkEnd w:id="180"/>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1" w:name="_Hlk209559121"/>
            <w:r>
              <w:rPr>
                <w:rFonts w:hint="eastAsia" w:ascii="仿宋" w:hAnsi="仿宋" w:eastAsia="仿宋" w:cs="仿宋"/>
                <w:color w:val="000000"/>
                <w:szCs w:val="21"/>
                <w:highlight w:val="none"/>
              </w:rPr>
              <w:t xml:space="preserve">1.整机功率：≤0.1kW；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2" w:name="_Hlk209560137"/>
            <w:r>
              <w:rPr>
                <w:rFonts w:hint="eastAsia" w:ascii="仿宋" w:hAnsi="仿宋" w:eastAsia="仿宋" w:cs="仿宋"/>
                <w:color w:val="000000"/>
                <w:szCs w:val="21"/>
                <w:highlight w:val="none"/>
              </w:rPr>
              <w:t xml:space="preserve">2.外形尺寸：≥长1200mm×宽450mm×高800mm；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End w:id="182"/>
            <w:r>
              <w:rPr>
                <w:rFonts w:hint="eastAsia" w:ascii="仿宋" w:hAnsi="仿宋" w:eastAsia="仿宋" w:cs="仿宋"/>
                <w:color w:val="000000"/>
                <w:szCs w:val="21"/>
                <w:highlight w:val="none"/>
              </w:rPr>
              <w:t xml:space="preserve">3.安全保护措施：具有过载、短路、漏电保护等功能；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4.重量：≥30kg。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End w:id="181"/>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3" w:name="_Hlk209559261"/>
            <w:r>
              <w:rPr>
                <w:rFonts w:hint="eastAsia" w:ascii="仿宋" w:hAnsi="仿宋" w:eastAsia="仿宋" w:cs="仿宋"/>
                <w:color w:val="000000"/>
                <w:szCs w:val="21"/>
                <w:highlight w:val="none"/>
              </w:rPr>
              <w:t xml:space="preserve">1.减速电机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1）电压：三相220V；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2）功率：不小于60W；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3）减速箱：尺寸60mm，减速比1：10；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4）转速：不小于0-2r/s。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2.平皮带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1）宽度：不小于400mm；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2）厚度：不小于2mm；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3）表面材质：PVC；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4）颜色：黑色。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3.底板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1）材质：Q235；</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2）厚度：不小于1.5mm；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3）表面处理：喷塑。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4.型材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1）材质：6063-T5；</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2）规格：不小于2040；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3）壁厚：不小于1.8mm。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5.变频器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标称功率≥0.37kW有60秒150%过载未过滤I/O：4 DI，2 DO，2 AI，1个模拟输出现场总线：USS/MODBUS RTU安装有基本操作面板保护：IP20/UL开放尺寸：≥AA 68×142×108（宽×高×深）</w:t>
            </w:r>
            <w:bookmarkEnd w:id="183"/>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滚筒输送带</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w:t>
            </w:r>
            <w:bookmarkStart w:id="184" w:name="_Hlk209559068"/>
            <w:r>
              <w:rPr>
                <w:rFonts w:hint="eastAsia" w:ascii="仿宋" w:hAnsi="仿宋" w:eastAsia="仿宋" w:cs="仿宋"/>
                <w:color w:val="000000"/>
                <w:szCs w:val="21"/>
                <w:highlight w:val="none"/>
              </w:rPr>
              <w:t xml:space="preserve">传输线模块需要由滚筒、减速电机、支架、横梁等组成。该模块可以实现工件的传输及视觉检测平台。</w:t>
            </w:r>
            <w:bookmarkEnd w:id="184"/>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1.整机功率：≤0.1kW；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5" w:name="_Hlk209560222"/>
            <w:r>
              <w:rPr>
                <w:rFonts w:hint="eastAsia" w:ascii="仿宋" w:hAnsi="仿宋" w:eastAsia="仿宋" w:cs="仿宋"/>
                <w:color w:val="000000"/>
                <w:szCs w:val="21"/>
                <w:highlight w:val="none"/>
              </w:rPr>
              <w:t xml:space="preserve">2.外形尺寸：≥长1200mm×宽450mm×高800mm</w:t>
            </w:r>
            <w:bookmarkEnd w:id="185"/>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4.重量：≥30kg。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6" w:name="_Hlk209559604"/>
            <w:r>
              <w:rPr>
                <w:rFonts w:hint="eastAsia" w:ascii="仿宋" w:hAnsi="仿宋" w:eastAsia="仿宋" w:cs="仿宋"/>
                <w:color w:val="000000"/>
                <w:szCs w:val="21"/>
                <w:highlight w:val="none"/>
              </w:rPr>
              <w:t xml:space="preserve">1.减速电机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1）电压：三相220V；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2）功率：不小于60W；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3）减速箱：尺寸60mm，减速比1：10；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4）转速：不小于0-2r/s。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2.滚筒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1）宽度：不小于400mm；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2）表面材质：钢材。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3.支架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1）材质：Q235；</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2）厚度：不小于1.5mm；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3）表面处理：喷塑。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4.横梁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1）材质：Q235；</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2）厚度：不小于1.5mm；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3）表面处理：喷塑。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5.变频器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标称功率≥0.37kW有60秒150%过载未过滤I/O：4 DI，2 DO，2 AI，1个模拟输出现场总线：USS/MODBUS RTU安装有基本操作面板保护：IP20/UL开放尺寸：≥AA 68×142×108（宽×高×深）</w:t>
            </w:r>
            <w:bookmarkEnd w:id="186"/>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工业协作机器人（含工业视觉）</w:t>
            </w:r>
            <w:r>
              <w:rPr>
                <w:rFonts w:hint="eastAsia" w:ascii="仿宋" w:hAnsi="仿宋" w:eastAsia="仿宋" w:cs="仿宋"/>
                <w:color w:val="000000"/>
                <w:szCs w:val="21"/>
                <w:highlight w:val="none"/>
              </w:rPr>
            </w:r>
            <w:r/>
          </w:p>
        </w:tc>
        <w:tc>
          <w:tcPr>
            <w:tcW w:w="7635" w:type="dxa"/>
            <w:vAlign w:val="top"/>
            <w:textDirection w:val="lrTb"/>
            <w:noWrap w:val="false"/>
          </w:tcPr>
          <w:p>
            <w:pPr>
              <w:pStyle w:val="1279"/>
              <w:numPr>
                <w:ilvl w:val="0"/>
                <w:numId w:val="0"/>
              </w:numPr>
              <w:jc w:val="left"/>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ind w:firstLine="420"/>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六轴协作机器人，具备安全人机交互能力。负载不低于12kg，工作半径（臂展）不小于1400mm，可适配抓取、搬运、装配等多种作业任务。靠末端关节的防护等级不低于IP67，能够应对更复杂的应用场景。集成工业级视觉模块，支持目标识别、定位与检测，实现精准抓取与放置。操作精度高，动作柔顺协同，满足“操作精准、协同高效”的核心理念。适用于智能工厂、仓储物流中的柔性作业，与工业AGV底盘无缝集成，完成从搬运到精准操作的全流程自动化。</w:t>
            </w:r>
            <w:r>
              <w:rPr>
                <w:rFonts w:hint="eastAsia" w:ascii="仿宋" w:hAnsi="仿宋" w:eastAsia="仿宋" w:cs="仿宋"/>
                <w:color w:val="000000"/>
                <w:szCs w:val="21"/>
                <w:highlight w:val="none"/>
              </w:rPr>
            </w:r>
            <w:r/>
          </w:p>
          <w:p>
            <w:pPr>
              <w:pStyle w:val="1279"/>
              <w:numPr>
                <w:ilvl w:val="0"/>
                <w:numId w:val="0"/>
              </w:numPr>
              <w:jc w:val="left"/>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 协作机器人本体：</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1）有效负载≥12kg</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2）自身重量（含电缆）≤45kg</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3）工作半径（臂展）≥1400mm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4）重复定位精度不低于±0.03mm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5）自由度≥6轴</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方正仿宋_GBK"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lang w:eastAsia="zh-CN"/>
              </w:rPr>
              <w:t xml:space="preserve">编程方式：支持图形化编程、拖拽编程功能。提供产品具备该功能的证明材料复印件（如原厂彩页、产品手册、检测报告或</w:t>
            </w:r>
            <w:r>
              <w:rPr>
                <w:rFonts w:hint="eastAsia" w:ascii="仿宋" w:hAnsi="仿宋" w:eastAsia="仿宋" w:cs="仿宋"/>
                <w:color w:val="000000"/>
                <w:szCs w:val="21"/>
                <w:highlight w:val="none"/>
                <w:lang w:val="en-US" w:eastAsia="zh-CN"/>
              </w:rPr>
              <w:t xml:space="preserve">其他可以证明的材料</w:t>
            </w:r>
            <w:r>
              <w:rPr>
                <w:rFonts w:hint="eastAsia" w:ascii="仿宋" w:hAnsi="仿宋" w:eastAsia="仿宋" w:cs="仿宋"/>
                <w:color w:val="000000"/>
                <w:szCs w:val="21"/>
                <w:highlight w:val="none"/>
                <w:lang w:eastAsia="zh-CN"/>
              </w:rPr>
              <w:t xml:space="preserve">）加盖</w:t>
            </w:r>
            <w:r>
              <w:rPr>
                <w:rFonts w:hint="eastAsia" w:ascii="仿宋" w:hAnsi="仿宋" w:eastAsia="仿宋" w:cs="仿宋"/>
                <w:color w:val="000000"/>
                <w:sz w:val="21"/>
                <w:szCs w:val="21"/>
                <w:highlight w:val="none"/>
                <w:lang w:val="en-US" w:eastAsia="zh-CN" w:bidi="ar"/>
              </w:rPr>
              <w:t xml:space="preserve">投标人和</w:t>
            </w:r>
            <w:r>
              <w:rPr>
                <w:rFonts w:hint="eastAsia" w:ascii="仿宋" w:hAnsi="仿宋" w:eastAsia="仿宋" w:cs="仿宋"/>
                <w:color w:val="000000"/>
                <w:sz w:val="21"/>
                <w:szCs w:val="21"/>
                <w:highlight w:val="none"/>
                <w:lang w:bidi="ar"/>
              </w:rPr>
              <w:t xml:space="preserve">制造商</w:t>
            </w:r>
            <w:r>
              <w:rPr>
                <w:rFonts w:hint="eastAsia" w:ascii="仿宋" w:hAnsi="仿宋" w:eastAsia="仿宋" w:cs="仿宋"/>
                <w:color w:val="000000"/>
                <w:szCs w:val="21"/>
                <w:highlight w:val="none"/>
                <w:lang w:eastAsia="zh-CN"/>
              </w:rPr>
              <w:t xml:space="preserve">公章。</w:t>
            </w:r>
            <w:r>
              <w:rPr>
                <w:rFonts w:hint="eastAsia" w:ascii="仿宋" w:hAnsi="仿宋" w:eastAsia="方正仿宋_GBK"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7）示教器类型：PC、移动终端（PAD/手机），提供无线示教器APP安装包，支持机器人手动操纵、程序编写、参数配置以及信息监控等功能。</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8）各关节动作范围及速度：</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（1）关节1，±360°，最大速度≥150°/s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（2）关节2，±360°，最大速度≥150°/s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（3）关节3，±360°，最大速度≥210°/s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（4）关节4，±360°，最大速度≥210°/s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（5）关节5，±360°，最大速度≥265°/s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（6）关节6，±360°，最大速度≥265°/s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9）工具端最大速度≥3.5m/s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10）额定平均功率≤350W</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11）额定峰值功率≤2000W</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12）能够在0-50℃的温度环境下正常工作</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13）工作湿度可达到90%RH无凝露</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14）▲IP等级： 第1、2、3关节不低于IP54标准，靠近工具端第4、5、6关节要求不低于IP67标准。</w:t>
            </w:r>
            <w:r>
              <w:rPr>
                <w:rFonts w:hint="eastAsia" w:ascii="仿宋" w:hAnsi="仿宋" w:eastAsia="仿宋" w:cs="仿宋"/>
                <w:color w:val="000000"/>
                <w:szCs w:val="21"/>
                <w:highlight w:val="none"/>
              </w:rPr>
              <w:t xml:space="preserve">提供制造商原厂彩页并加盖</w:t>
            </w:r>
            <w:r>
              <w:rPr>
                <w:rFonts w:hint="eastAsia" w:ascii="仿宋" w:hAnsi="仿宋" w:eastAsia="仿宋" w:cs="仿宋"/>
                <w:color w:val="000000"/>
                <w:szCs w:val="21"/>
                <w:highlight w:val="none"/>
                <w:lang w:val="en-US" w:eastAsia="zh-CN"/>
              </w:rPr>
              <w:t xml:space="preserve">投标人和</w:t>
            </w:r>
            <w:r>
              <w:rPr>
                <w:rFonts w:hint="eastAsia" w:ascii="仿宋" w:hAnsi="仿宋" w:eastAsia="仿宋" w:cs="仿宋"/>
                <w:color w:val="000000"/>
                <w:szCs w:val="21"/>
                <w:highlight w:val="none"/>
              </w:rPr>
              <w:t xml:space="preserve">制造商公章。</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15）机器人安装：可支持任意角度安装</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16）工具I/O端口不少于以下要求：</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（1）数字输入： 2个</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（2）数字输出： 2个</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（3）模拟输入： 1个</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17）材质：铝合金+工程塑料</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18）机器人本体底座直径≤160mm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19）机器人电缆线长度≥6m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20）▲符合</w:t>
            </w:r>
            <w:r>
              <w:rPr>
                <w:rFonts w:hint="eastAsia" w:ascii="仿宋" w:hAnsi="仿宋" w:eastAsia="仿宋" w:cs="仿宋"/>
                <w:b/>
                <w:bCs/>
                <w:color w:val="000000"/>
                <w:szCs w:val="21"/>
                <w:highlight w:val="none"/>
              </w:rPr>
              <w:t xml:space="preserve">CR-1-05:2022</w:t>
            </w:r>
            <w:r>
              <w:rPr>
                <w:rFonts w:hint="eastAsia" w:ascii="仿宋" w:hAnsi="仿宋" w:eastAsia="仿宋" w:cs="仿宋"/>
                <w:b/>
                <w:bCs/>
                <w:color w:val="000000"/>
                <w:szCs w:val="21"/>
                <w:highlight w:val="none"/>
              </w:rPr>
              <w:t xml:space="preserve">《协作机器人CR 认证实施规则》的要求</w:t>
            </w:r>
            <w:r>
              <w:rPr>
                <w:rFonts w:hint="eastAsia" w:ascii="仿宋" w:hAnsi="仿宋" w:eastAsia="仿宋" w:cs="仿宋"/>
                <w:color w:val="000000"/>
                <w:szCs w:val="21"/>
                <w:highlight w:val="none"/>
              </w:rPr>
              <w:t xml:space="preserve">，</w:t>
            </w:r>
            <w:r>
              <w:rPr>
                <w:rFonts w:hint="eastAsia" w:ascii="仿宋" w:hAnsi="仿宋" w:eastAsia="仿宋" w:cs="仿宋"/>
                <w:b/>
                <w:bCs/>
                <w:color w:val="000000"/>
                <w:szCs w:val="21"/>
                <w:highlight w:val="none"/>
              </w:rPr>
              <w:t xml:space="preserve">提供相关认证复印件。</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 机器人控制柜：</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1）IP等级高于IP44</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2）控制柜I/O端口不得少于一下要求：</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（1）数字输入： 16个</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（2）数字输出： 16个</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（3）模拟输入： 2个</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（4）模拟输出： 2个</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3）通信方式</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（1）支持Profinet通信协议。</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（2）支持Ethernet/IP通信协议。</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（3）支持TCP/IP，Modbus TCP和Modbus RTU</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（4）通信形式：Wi-Fi，有线</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（5）通信接口：20PIN的集成 I/O，USB，HDMI，LAN</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4）电源：100-240VAC, 50-60Hz</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5）控制柜尺寸长宽高分别不能大于410×310×240 (mm) (W×H×D)</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6）控制器净自重≤15.4Kg</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7）材质要求为碳钢板</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8）▲为确保安全，适合人、机协同的作业环境，符合功能安全认证标准：ISO 13849-1:2023，提供功能安全认证证书复印件</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 工业视觉</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1）基本参数</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（1）输入电压：24VDC</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（2）额定功率：不高于1.8W</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（3）重量：不高于170g</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2.）视觉参数</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（1）分辨率：不低于2592*1944（像素）</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（2）最大帧率：不低于24fps</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（3）数据接口：Gige</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（4）色彩模式：黑色/彩色</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（5）镜头焦距：不大于8mm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（6）物距：不低于100mm～1000mm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（7）视野：不低于70*50mm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（8）像素精度：不低于0.08mm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（9）系统精度：不低于±0.2mm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（10）图像处理：软触发方式取像，单帧处理时间1s以内</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3）视觉软件要求</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视觉软件：支持用户自主编程和自定义函数功能等操作，支持节点管理和debug；图形化编程模块至少包含图像、定位、识别、标定等指令模块；支持调整曝光度、增益、拍摄次数等相机基础参数；开放与外部通讯接口，支持修改相机IP</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（2）视觉算法：</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视觉标定：</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①支持自定义标定名称</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②可选标定类型，包括但不限于手眼标定、面积标定等</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③支持选择不同的标定板类型和尺寸</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④支持手动标定和自动N点标定</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⑤支持用户进行标定管理和查看标定结果</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模板匹配：</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①支持用户管理模板</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②支持多种模板匹配算法的选择，包括但不限于基于形状和基于组件</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③支持用户修改匹配分数、查找数量、区域角度值、区域尺度值等基本参数</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④支持目标框选和噪点擦除</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⑤支持获取模板匹配结果</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测量和识别：</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①支持包括但不限于找边、找圆、线线相交、距离计算、颜色识别、文字识别等功能，并可以对其基本参数进行配置</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②支持获取测量和识别结果</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2.5D定位：</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①支持配置2.5D定位参数</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②支持精定位功能</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 机器人软件功能要求：</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1）机器人上电后，软件主界面支持末端指示灯变色显示，和机器人本体末端指示灯保持一致；</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2）支持关节限位设置，用户可以设置每个关节的软限位角度、关节速度限制、误差报警阈值；</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3）支持拓展外部视觉防护系统。搭配外部视觉可以实现安全防护状态，用户可以根据实际工况定义减速区域和协作区域， 当人员或外部物体进入对应区域内，机器人会识别到并进行对应的减速或停止状态，防止因为误入导致的安全事故；</w:t>
            </w:r>
            <w:r>
              <w:rPr>
                <w:rFonts w:hint="eastAsia" w:ascii="仿宋" w:hAnsi="仿宋" w:eastAsia="仿宋" w:cs="仿宋"/>
                <w:color w:val="000000"/>
                <w:szCs w:val="21"/>
                <w:highlight w:val="none"/>
              </w:rPr>
            </w:r>
            <w:r/>
          </w:p>
          <w:p>
            <w:pPr>
              <w:pStyle w:val="1038"/>
              <w:jc w:val="left"/>
              <w:spacing w:before="0" w:after="0" w:line="312"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4）▲支持碰撞等级设置，用户既可以通过快捷设置，快速的设置机器人的碰撞防护灵敏度；也可以选择自定义，根据自己的实际需求，设置碰撞防护灵敏度。</w:t>
            </w:r>
            <w:r>
              <w:rPr>
                <w:rFonts w:hint="eastAsia" w:ascii="仿宋" w:hAnsi="仿宋" w:eastAsia="仿宋" w:cs="仿宋"/>
                <w:b/>
                <w:bCs/>
                <w:color w:val="000000"/>
                <w:szCs w:val="21"/>
                <w:highlight w:val="none"/>
              </w:rPr>
              <w:t xml:space="preserve">提供产品彩页</w:t>
            </w:r>
            <w:r>
              <w:rPr>
                <w:rFonts w:hint="eastAsia" w:ascii="仿宋" w:hAnsi="仿宋" w:eastAsia="仿宋" w:cs="仿宋"/>
                <w:b/>
                <w:bCs/>
                <w:color w:val="000000"/>
                <w:szCs w:val="21"/>
                <w:highlight w:val="none"/>
                <w:lang w:eastAsia="zh-CN"/>
              </w:rPr>
              <w:t xml:space="preserve">或</w:t>
            </w:r>
            <w:r>
              <w:rPr>
                <w:rFonts w:hint="eastAsia" w:ascii="仿宋" w:hAnsi="仿宋" w:eastAsia="仿宋" w:cs="仿宋"/>
                <w:b/>
                <w:bCs/>
                <w:color w:val="000000"/>
                <w:szCs w:val="21"/>
                <w:highlight w:val="none"/>
              </w:rPr>
              <w:t xml:space="preserve">用户手册截图等证明材料，加盖</w:t>
            </w:r>
            <w:r>
              <w:rPr>
                <w:rFonts w:hint="eastAsia" w:ascii="仿宋" w:hAnsi="仿宋" w:eastAsia="仿宋" w:cs="仿宋"/>
                <w:b/>
                <w:bCs/>
                <w:color w:val="000000"/>
                <w:szCs w:val="21"/>
                <w:highlight w:val="none"/>
                <w:lang w:val="en-US" w:eastAsia="zh-CN"/>
              </w:rPr>
              <w:t xml:space="preserve">投标人和</w:t>
            </w:r>
            <w:r>
              <w:rPr>
                <w:rFonts w:hint="eastAsia" w:ascii="仿宋" w:hAnsi="仿宋" w:eastAsia="仿宋" w:cs="仿宋"/>
                <w:b/>
                <w:bCs/>
                <w:color w:val="000000"/>
                <w:szCs w:val="21"/>
                <w:highlight w:val="none"/>
              </w:rPr>
              <w:t xml:space="preserve">制造商公章</w:t>
            </w:r>
            <w:r>
              <w:rPr>
                <w:rFonts w:hint="eastAsia" w:ascii="仿宋" w:hAnsi="仿宋" w:eastAsia="仿宋" w:cs="仿宋"/>
                <w:b/>
                <w:bCs/>
                <w:color w:val="000000"/>
                <w:szCs w:val="21"/>
                <w:highlight w:val="none"/>
                <w:lang w:eastAsia="zh-CN"/>
              </w:rPr>
              <w:t xml:space="preserve">。</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5）支持用户设置安全区域，避免机器人在运行过程中和其他物体发生碰撞，使机器人末端在到达设定好的安全区域处停止。</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工业级AGV移动底盘</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ind w:firstLine="420"/>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级AGV，采用激光SLAM导航技术，无需额外铺设轨道或磁条，支持动态环境下的自主建图与定位。融合二维码辅助定位，精准对接精度达±5mm，确保与机械臂协同作业时的位置准确性。具备移动灵活、转向敏捷的特性，能够适应复杂车间与仓储通道，实现“移动灵活”的核心理念。可搭载工业协作机器人，实现底盘与机器人在同一软件窗口中的一体化控制，完成“物料搬运-抓取作业-精准放置”的全流程自动化。作为智能产线与自动化物流体系的核心移动枢纽，打破传统AGV单一搬运局限，支撑柔性无人化生产。</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 基本性能：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1）移动方式为双轮差速移动（支持前后移动/原地旋转）</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2）底盘最大移动速度≥1.5m·s</w:t>
            </w: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，最大加速度≥0.3m·s</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3）底盘最大越障高度≥10mm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4）底盘最大过缝宽度≥29mm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5）AGV车体回转直径≤1080mm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6）最小行走通道宽度≤835mm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7）最小回转通道宽度≤1280mm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8）爬坡性能≥3°或 5%</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9）地面平整度要求不大于3mm/m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10）站点定位精度不低于±10mm，站点角度精度不低于±1°</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11）精准对接精度不低于±5mm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12）导航方式采用双激光SLAM（对角布局）</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 安全防护：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1）具备前/后侧雷达，对角布局 / 270° </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2）支持选装视觉避障，0.2-1.0m/H79° V55° D88.5°±3°，用以前方、低矮、悬空物体检测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3）具备周边360°安全触边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4）具备不少于4个急停按钮（上装不少于2个、底盘不少于2个）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 电池性能：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1）电池容量：电池电芯采用磷酸铁锂，单电池不低于50V 50Ah，并支持选装双磷酸铁锂电池</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2）支持选装自动换电，上翻门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3）电池寿命： DOD≥80%，1500次 / 0.5C充 1C放（常温）</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4）续航能力≥8h</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5）具备自动寻桩充电，0%至95%充电时间不慢于90分钟 </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6）充电方式支持不断电换电 、 手动充电和自动充电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 接口: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1）通信协议支持TCP/IP、RS485、Modbus TCP；</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2）IO接口依据客户需求，可以按需扩展；</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3）支持选装8*Φ6气管接口，5L/48V/360W气泵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 交互设计: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1）在车身四角具备指示灯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2）具备语音播放器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3）配备触摸屏，屏幕不小于7寸</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4）具备不少于如下物理按键：启动按钮/复位按钮/暂停按钮/解抱闸按钮/备用按钮*2/备用指示灯*2 </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 视觉性能：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1）分辨率≥2592 X 1944</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2）焦距：8mm，且支持选装16mm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3）视野范围＞68x48mm @8mm焦距 ，＞33x24mm @16mm焦距）</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4）物距：110mm~980mm</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AGV</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AGV需要融合AGV（自动导引车）移动底盘，基于自主导航与精准操作技术，实现物料搬运的全流程自动化。它需要打破传统AGV单一搬运局限，秉持“移动灵活、操作精准、协同高效”的核心理念，能够完美契合现代智能工厂、仓储物流等场景对柔性作业与无人化生产的需求，是构建智能产线与自动化物流体系的核心枢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该款高性能AGV需要采用激光SLAM导航，配合二维码综合定位精度达±5mm，搬运作业。</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1.外形尺寸：≥长950mm×宽620mm×高975mm；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2.额定负载：小于100kg；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3.驱动方式：双轮差速移动；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4.导航方式：激光SLAM。</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产线载体</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1.载体种类不低于2种；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2.各载体数量不低于20件；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3.托盘不低于2种，总数量不低于12个；外形尺寸：不小于长200mm×宽200mm×高10mm。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1.装配单元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1）吸盘工装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吸盘工装需由吸盘、支架、手动快换夹具组成。吸盘具有自动缓冲功能。吸盘直径不小于20mm，吸盘吸嘴平形丁腈橡胶材质，带缓冲不可回转有效行程不小于10mm，M5*0.8mm内螺纹连接，M10*1.0mm外螺纹安装，吸盘为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2）夹爪工装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夹爪工装需由转接板、气动手指、夹爪工装、手动快换夹具等组成。用于装配载体搬运抓取，抓取稳定。转接板、夹爪工装由铝板材精密加工喷砂氧化而成。气动手指采用知名品牌，带磁环，带气源流量调节，带1路磁性开关，开闭行程不小于14mm。夹爪工装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3）螺丝机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电批组件：需由电动驱动，扭力调节范围0.03-0.3N.m，配备扭力传感器实时反馈锁付状态，避免过锁或欠锁。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螺丝机供料系统：需由储料模块、筛选排序模块、分料机构、振动器、吹钉管、轨道末端光电传感器、到位检测传感器组成。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4）传输线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该传输线模块需要由同步带、减速电机、支架、底板、横梁、主动轴、被动轴等组成。该模块可以实现托盘的传输和定位。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2.供料单元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需由底板、支撑杆、顶部组成；配有一个物料有无检测传感器，可放物料不小于6个。</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2</w:t>
            </w:r>
            <w:r>
              <w:rPr>
                <w:rFonts w:hint="eastAsia" w:ascii="仿宋" w:hAnsi="仿宋" w:eastAsia="仿宋" w:cs="仿宋"/>
                <w:color w:val="000000"/>
                <w:szCs w:val="21"/>
                <w:highlight w:val="none"/>
                <w:lang w:eastAsia="zh"/>
              </w:rPr>
            </w:r>
            <w:r/>
          </w:p>
        </w:tc>
        <w:tc>
          <w:tcPr>
            <w:tcW w:w="805"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机器人开发与应用实训室</w:t>
            </w:r>
            <w:r>
              <w:rPr>
                <w:rFonts w:hint="eastAsia" w:ascii="仿宋" w:hAnsi="仿宋" w:eastAsia="仿宋" w:cs="仿宋"/>
                <w:color w:val="000000"/>
                <w:szCs w:val="21"/>
                <w:highlight w:val="none"/>
                <w:lang w:eastAsia="zh"/>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桌面协作机器人平台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平台需要以协作机器人为核心，将先进的协作机器人技术浓缩于桌面之上，方便更多学生参与进来，旨在零距离、低成本、高效率地让学生掌握机器人编程、操作及典型应用技能，该平台可轻松在教室、实验室之间移动，是开展机器人通识教育、人工智能启蒙、创新实践的理想选择。</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1.输入电源：AC220V±10%（单相），50Hz；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2.整机功率：≤300W；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3.重复定位精度：±0.1mm；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4.重量：≥20kg。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1.轨迹模块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轨迹模拟模块由支撑柱、底板、拱形板等组成。用于机器人轨迹规划，轨迹形式和内容丰富。底板由铝板材精密加工喷砂氧化制成，中间开方槽，底板上有4个安装孔，方便与台面上的安装孔对接完成快速定位安装，厚度10mm，拱形板由钣金折弯制成，厚度1.5mm，分左右两个区域，一边为凸出圆柱面，一边为平面，凸出圆柱面上可以进行三维曲面上的直线、曲线轨迹模拟，平面上坐标系创建和直线、曲线轨迹模拟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2.拆垛工件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码垛工件为黑色方形，尺寸不小于60*40*8mm，数量为不少于10个。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3.画笔工装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画笔工装需由画笔夹紧座、按压式中性笔、手动快换夹具等组成。用于绘制图形和机器人轨迹模拟。画笔夹紧座具有自动缓冲功能。画笔加紧座带缓冲能力，手动锁紧画笔，有效缓冲行程不小于20mm,可以有效防止画笔破坏纸张和字迹不清。夹紧座由铝板材精密加工喷砂氧化制成，画笔工装顶部安装有手动快换夹具。快换子夹具最大可搬重量不小于4kg,铝制材料，自重115g，锁紧力不小于123N,张开力不小于63N,作用是与机器人末端快换夹具实现人工快速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4.协作机器人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负载：≥2kg；重量（含电缆）：9.4kg；工作半径：≥580mm；重复定位精度：±0.1mm；自由度：6；编程：图形化编程、拖拽编程；示教器类型：移动终端（PAD/手机）APP；工具端最大速度：1m/s；安装方式：任意角度安装；额定功率：180W；温度范围：0-50℃；机器人安装：任意角度安装；IP等级：IP40；材质：铝合金、PC；机器人电缆长度：≥6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5.协作机器人控制柜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源：48VDC；额定功率：≤180W；控制柜尺寸：≤180x128x47（mm）（LxWxH）；IP等级：IP20；控制柜I/O端口：7路输入输出复用；控制柜I/O电源：24VDC；安装方式：面板/导轨；通信标配：TCP/IP,ModbusTcp，ModbusRtu；重量：约1.1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7.工业相机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600万像素网口面阵相机，二代基础版，彩色。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功能特性：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全新硬件平台，优化逻辑资源，大幅降低功耗；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支持自动或手动调节增益、曝光时间、白平衡、LUT、Gamma校正等；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相机植入CCM功能，图像质量优异；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千兆网接口，无中继情况下，最大传输距离可达100m；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新一代外观结构设计，支持四面安装；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兼容GigE Vision V2.0协议及GenlCam标准，无缝接入第三方软件。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技术参数：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传感器类型：CMOS，卷帘快门；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传感器型号：IMX178；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像元尺寸：≥2.4 µm×2.4 µm；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靶面尺寸：1/1.8”；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分辨率：≥3072×2048；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最大帧率：19.5 fps @3072×2048 Bayer RG 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动态范围：71.3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信噪比：41.3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增益：0 dB~24 dB；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曝光时间：25 μs~2.5 sec；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快门模式：支持自动曝光、手动曝光、一键曝光模式，支持Global Reset和Trigger Rolling功能；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数据接口：GigE；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数字I/O：6-pin P7接头提供供电和I/O：1路光耦隔离输入（Line0），1路光耦隔离输出（Line1），</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t xml:space="preserve">1路双向可配置非隔离I/O（Line2）；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供电：9~24 VDC，支持PoE供电；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环形光源：DC24V供电，可调亮度，LED白色光源，≥Ø70mm环形布置，90度垂直照射，可选配漫射板以适应不同的需要、LED密度高，排布均匀，亮度高。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8.工业镜头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C型接口。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9.视觉软件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算法开发平台是自主开发的机器视觉软件，致力于为学生提供快速搭建视觉应用、解决视觉检测难题的算法工具，能满足视觉定位、尺寸测量、缺陷检测以及信息识别等机器视觉应用。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10.功能要求如下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高效定位工具匹配工具，能够克服样品平移、旋转、缩放和光照不同所带来的差异，快速准确查找圆、直线、斑点、边</w:t>
            </w:r>
            <w:r>
              <w:rPr>
                <w:rFonts w:hint="eastAsia" w:ascii="仿宋" w:hAnsi="仿宋" w:eastAsia="仿宋" w:cs="仿宋"/>
                <w:color w:val="000000"/>
                <w:szCs w:val="21"/>
                <w:highlight w:val="none"/>
              </w:rPr>
              <w:t xml:space="preserve">缘、顶点等几何体的位置。提供位置信息和有无信息，可以应用于机器人引导和其他视觉工具中。提供部件追踪所需的持续准确高速读取ID信息：基于深度学习的OCR算法能适应复杂背景、低对比度、变形等字符的识别；一维码、二维码识别算法能够识别多种制式、不同位置、角度、光照的信息码，有效克服图像畸变带来的影响。准确识别工件表面、形状、轮廓的缺陷：基于深度学习技术能检测细小的表面划痕、斑点，可克服工件表面纹理、颜色、噪点干扰；精确检测工件形态和轮廓缺陷，可克服毛刺、颜色、噪点的干扰。可靠的标准件比对工具，定位出工件微小差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11.深度相机 </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基线：≥18mm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深度工作范围：7 - 50cm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推荐工作范围：4 - 100cm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空间相对精度：≤1%（1280×800 @ 50cm &amp; 90%×90% ROI）</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深度图像分辨率@帧率：Up to 1280×800 @ 30fps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深度视场角（FOV）：H 88° × V 65° ±3°（1280×800 @ 20cm）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彩色图像分辨率@帧率：Up to 1280×800 @ 60fps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彩色视场角（FOV）：H 94° × V 68° ±3°</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lang w:eastAsia="zh"/>
              </w:rPr>
            </w:r>
            <w:r/>
          </w:p>
        </w:tc>
        <w:tc>
          <w:tcPr>
            <w:tcW w:w="805"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工业控制与系统集成实训室</w:t>
            </w:r>
            <w:r>
              <w:rPr>
                <w:rFonts w:hint="eastAsia" w:ascii="仿宋" w:hAnsi="仿宋" w:eastAsia="仿宋" w:cs="仿宋"/>
                <w:color w:val="000000"/>
                <w:szCs w:val="21"/>
                <w:highlight w:val="none"/>
                <w:lang w:eastAsia="zh"/>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bidi="ar"/>
              </w:rPr>
              <w:t xml:space="preserve">智能制造工程人才</w:t>
            </w:r>
            <w:r>
              <w:rPr>
                <w:rFonts w:hint="eastAsia" w:ascii="仿宋" w:hAnsi="仿宋" w:eastAsia="仿宋" w:cs="仿宋"/>
                <w:color w:val="000000"/>
                <w:szCs w:val="21"/>
                <w:highlight w:val="none"/>
                <w:lang w:bidi="ar"/>
              </w:rPr>
              <w:t xml:space="preserve">实训考核平台</w:t>
            </w:r>
            <w:r>
              <w:rPr>
                <w:rFonts w:hint="eastAsia" w:ascii="仿宋" w:hAnsi="仿宋" w:eastAsia="仿宋" w:cs="仿宋"/>
                <w:b/>
                <w:bCs/>
                <w:color w:val="000000"/>
                <w:szCs w:val="21"/>
                <w:highlight w:val="none"/>
                <w:lang w:bidi="ar"/>
              </w:rPr>
              <w:t xml:space="preserve">（核心产品）</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一、整体要求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本产品需要是一款开放式自动生产实训平台，采用模块化设计，每个模块具有独立的实验功能，可独立实验也</w:t>
            </w:r>
            <w:r>
              <w:rPr>
                <w:rFonts w:hint="eastAsia" w:ascii="仿宋" w:hAnsi="仿宋" w:eastAsia="仿宋" w:cs="仿宋"/>
                <w:color w:val="000000"/>
                <w:szCs w:val="21"/>
                <w:highlight w:val="none"/>
              </w:rPr>
              <w:t xml:space="preserve">可组合实验，根据生产加工工艺路径选择模块，满足不同的实训要求；以食品饮料灌装行业为背景，采用牛奶灌装生产线真实生产工艺，从供瓶（大瓶、小瓶）、供料（加热巴氏杀菌）、灌装（称重）、装配（供盖、旋盖）、分拣入库等单元组成，通过电气自动化认证培训，使培训学员能够掌握主流中大型及小型控制器、人机界面、变频器、工业总线、电气控制、自动化生产线的相关技术和实践技能，以及具备对工业控制系统的设计、安装、操作、编程与调试、运维的综合应用能力，为学生提供了综合训练的实验环境，培养可持续发展的满足企业需求的自动化类高技能人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二、平台具备功能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1.满足电气自动化、机电一体化、智能控制技术等相关专业教学实训任务；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2.按工业标准进行设计，控制系统安装于标准控制柜中，所有元件器选用工业主流器件；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3.根据真实牛奶灌装生产线，选取典型生产工艺流程，融入到实训设备当中，接近真实工业现场；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4.满足工程人才L0-L1级认证，同时支持电工国家职业技能标准中级、高级、技师考核培训；</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5.融入多种先进技术，包括PLC、变频器、工业网络技术、HMI、传感器等；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6.适用于学校、企业员工、公共实训基地、培训机构等进行专业技术培训。</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三、技术参数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1.输入电源：AC380V±10%（三相），50Hz；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2.整体功率：&lt;3kVA；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3.气源压力：≥0.4～0.6MPa；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4.产品尺寸：≥2000mm×870mm×2160mm；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5.安全保护：具有漏电保护，安全符合国家标准。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四、产品组成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1.实训平台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训平台的架体整体采用工业铝型材6060搭建而成，台板型材采用30150型材搭建，台面板上带有T型槽，方便实训模块的安装。台架前面安装工具柜，工具柜左侧单开门，右侧为多层抽屉。台架两侧和底部采用钣金拼接，后面双开门。台架底部装有4个脚轮，便于装置移动位置。实训台架整体尺寸≥1000mmx870mmx764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2.搬运单元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搬运单元主</w:t>
            </w:r>
            <w:r>
              <w:rPr>
                <w:rFonts w:hint="eastAsia" w:ascii="仿宋" w:hAnsi="仿宋" w:eastAsia="仿宋" w:cs="仿宋"/>
                <w:color w:val="000000"/>
                <w:szCs w:val="21"/>
                <w:highlight w:val="none"/>
              </w:rPr>
              <w:t xml:space="preserve">要由直线运动模组、升降气缸、伸缩气缸、夹爪、交流电机、减速机、传感器、编码器等组成。直线运动模组总长980mm，有效行程700mm，导程95mm，重复定位精度0.05mm。升降气缸缸径32mm，行程20mm。伸缩气缸缸径16mm，行程70mm。夹爪缸径20mm。交流电机三相380V。传感器：U型光电传感器3只，该单元主要完成向各个模块之间传输工作，通过气缸控制实现机械手上升/下降、伸出/缩回、夹紧/松开等功能，直线运动采用变频器控制，通过编码器实现定位功能。整体外形尺寸≥995mm×305mm×223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▲提供本单元三维效果图片</w:t>
            </w:r>
            <w:r>
              <w:rPr>
                <w:rFonts w:hint="eastAsia" w:ascii="仿宋" w:hAnsi="仿宋" w:eastAsia="仿宋" w:cs="仿宋"/>
                <w:color w:val="000000"/>
                <w:szCs w:val="21"/>
                <w:highlight w:val="none"/>
                <w:lang w:eastAsia="zh"/>
              </w:rPr>
              <w:t xml:space="preserve">及与其一致的实物照片</w:t>
            </w:r>
            <w:r>
              <w:rPr>
                <w:rFonts w:hint="eastAsia" w:ascii="仿宋" w:hAnsi="仿宋" w:eastAsia="仿宋" w:cs="仿宋"/>
                <w:color w:val="000000"/>
                <w:szCs w:val="21"/>
                <w:highlight w:val="none"/>
              </w:rPr>
              <w:t xml:space="preserve">，需要包含模组的直线运动、机械手的上升/下降、伸出/缩回、夹紧/松开等机构。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3.供</w:t>
            </w:r>
            <w:r>
              <w:rPr>
                <w:rFonts w:hint="eastAsia" w:ascii="仿宋" w:hAnsi="仿宋" w:eastAsia="仿宋" w:cs="仿宋"/>
                <w:color w:val="000000"/>
                <w:szCs w:val="21"/>
                <w:highlight w:val="none"/>
                <w:lang w:eastAsia="zh"/>
              </w:rPr>
              <w:t xml:space="preserve">料</w:t>
            </w:r>
            <w:r>
              <w:rPr>
                <w:rFonts w:hint="eastAsia" w:ascii="仿宋" w:hAnsi="仿宋" w:eastAsia="仿宋" w:cs="仿宋"/>
                <w:color w:val="000000"/>
                <w:szCs w:val="21"/>
                <w:highlight w:val="none"/>
              </w:rPr>
              <w:t xml:space="preserve">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供料单元主要包括传输线、阻挡气缸、传感</w:t>
            </w:r>
            <w:r>
              <w:rPr>
                <w:rFonts w:hint="eastAsia" w:ascii="仿宋" w:hAnsi="仿宋" w:eastAsia="仿宋" w:cs="仿宋"/>
                <w:color w:val="000000"/>
                <w:szCs w:val="21"/>
                <w:highlight w:val="none"/>
              </w:rPr>
              <w:t xml:space="preserve">器等组成，传输线主要由底板、支撑板、侧板、挡边、主动端机构、被动端机构、皮带、电机等组成。减速电机24V，额定功率≥10W，减速比1:75。阻挡气缸分为左、右前挡料气缸，左、右后挡料气缸，左、右前挡料气缸缸径≥6mm，行程≥15mm，左、右后挡料气缸缸径≥6mm，行程≥10mm。传感器：光纤传感器2只，采用直流电机控制，传输线两边安装挡边，防止瓶子倾倒，通过气缸控制瓶子的阻挡与供料，末端安装传感器用于检测到位信号；瓶子到位后由搬运单元机械手运送至下一工作站。整体外形尺寸≥250mm×483mm×215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4.灌装单元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灌装单元主要由供料水箱、直线运动模组、清洗模块、灌装模块、称重模块等组成。机械手将空瓶放入直线运动模组上，运动模组先运行至工位1进行模拟清洗，清洗完成运动模组再运行至工位2进行灌装、灌装完成后进行称重，称重完成后直线运动模组将瓶子返回至初始位，由搬运单元机械手运送至下一工作站。整体外形尺寸≥220mm×520mm×490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▲提供本单元三维效果图片</w:t>
            </w:r>
            <w:r>
              <w:rPr>
                <w:rFonts w:hint="eastAsia" w:ascii="仿宋" w:hAnsi="仿宋" w:eastAsia="仿宋" w:cs="仿宋"/>
                <w:color w:val="000000"/>
                <w:szCs w:val="21"/>
                <w:highlight w:val="none"/>
                <w:lang w:eastAsia="zh"/>
              </w:rPr>
              <w:t xml:space="preserve">及与其一致的实物照片</w:t>
            </w:r>
            <w:r>
              <w:rPr>
                <w:rFonts w:hint="eastAsia" w:ascii="仿宋" w:hAnsi="仿宋" w:eastAsia="仿宋" w:cs="仿宋"/>
                <w:color w:val="000000"/>
                <w:szCs w:val="21"/>
                <w:highlight w:val="none"/>
              </w:rPr>
              <w:t xml:space="preserve">，需包含称重，清洗、灌装、运动模组等运行机构。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（1）供料模块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料模块主要由水箱组成，水箱分为两部分，右边为加热部分，包括加热模块、冷却风扇、热电阻、显示仪表等组成，用于控制水箱内的温度保持恒定。左边为储水部分，用于提供灌装的原料。外形尺寸≥180mm×112mm×194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（2）清洗模块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清洗模块主要由安装板、升降气缸、直流电机、毛刷等组成。升降气缸缸径≥10mm，行程≥50mm。安装于模组上方第1工位处，当直线模组运动到位后，气缸向下推出，毛刷伸进瓶中转动进行清洗。清洗完成后直线模组运动至下一工位。外形尺寸≥85mm×50mm×228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（3）灌装模块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灌装模块主要由安装板、升降气缸、灌装头等组成。升降气缸缸径≥10mm，行程30mm。安装于模组上方第2工位处，当直线模组运动到位后，气缸向下推出，流量泵根据设定流量进行工作，灌装头伸进瓶中注水。灌装完成后直线模组运动返回至初始工位。外形尺寸≥91mm×55mm×160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（4）直线运动模块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直线运动模块主要由滑台模组、称重传感器、称重变送器、步进电机及驱动、传感器、安装底座等组成。滑台模组宽75mm，行程≥200mm，滚珠丝杆直径≥16mm，导程10mm。实现滑台模组的多工位控制，速度位置可调，称重传感器检测瓶子的重量及灌装液体的重量。外形尺寸≥130mm×504mm×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5.装配单元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装配模块主要由四工位旋转工作台、供盖机构、旋盖机构、检测机构等构成。搬运机械手将瓶子放入转盘工位1，检测到有瓶，转盘机构旋转90度运行至工位2，供盖机构将瓶盖自动落入瓶口，完成后转盘机构再旋转90度运行至工位3；旋盖机构将瓶盖旋紧，转盘机构再旋转90度运行至工位4，检测机构检测瓶盖是否盖好，转盘机构再旋转90度运行至工位1，机械手将瓶子运送至下一工作站。整体外形尺寸≥260mm×332mm×560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（1）四工位旋转工作台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工位旋转工作台主要由型材架体搭建而成，台面铝板用于安装中空旋转平台机构，主要由中空旋转平台、转盘、步进电机、传感器等组成，转盘分为4个工位，速度位置可调，上方铝板用于安装实训工装。中空旋转平台匹配马达为42步进，减速比1:10，额定转速≥2000r/min，安装零点U型光电传感器。外形尺寸≥260mm×240mm×344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（2）供盖机构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盖机构主要由安装板、供料座、料筒、供盖上、下顶料气缸、供盖挡料气缸、升降气缸、传感器等组成。供盖上、下顶料气缸缸径≥6mm，行程5mm，供盖挡料气缸缸径10mm，行程≥60mm，升降气缸缸径10mm，行程≥25mm。料仓传感器采用2只光纤传感器，安装于旋转工作台上方，当转盘运动到位后，气缸缩回，瓶盖下落至瓶口处，供盖完成后转盘运动至下一工位。外形尺寸≥320mm×128mm×161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（3）旋盖机构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旋盖机构主要由安装板、夹紧固定座、升降气缸、电动拧盖机等组成。升降气缸缸径10mm，行程30mm。电批电压220V，适用批头5mm，转速110r/min。安装于旋转工作台上方，当转盘运动到位后，伸缩气缸伸出顶瓶，气缸向下推出，电动拧盖机随滑块下移，向下按压瓶盖后旋盖头旋转完成拧盖。旋盖完成后转盘运动至接料位。外形尺寸≥110mm×70mm×280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（4）检测机构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检测机构主要由升降气缸及安装组成。升降气缸缸径8mm，行程40mm。当瓶子到达检测工位时，升降气缸伸出，通过磁性传感器信号来检测当前瓶口上是否有瓶盖，如果有传感器有信号，如果传感器检测没有信号则说明没有瓶盖，检测完成后，转盘运动至下一工位，等待搬运单元运送至下一工作站。外形尺寸≥40mm×45mm×170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6.分拣单元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分拣单元主要由滑道和支架组成，当搬运单元将成品瓶子搬运至分拣单元时，夹爪松开，瓶子能够自动滑入槽中，共三组滑道，至少不低于存放8个瓶子。外形尺寸≥178mm×217mm×161mm。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7.控制柜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控制柜尺寸≥宽800*高1800*深600mm（不含脚轮、吊耳、三色灯），材质冷轧钢板，九折型材框架，前后开门，正面安装镀锌安装板1块，安装纵梁2根，门横条2根，A4文件袋1个，门上方管加强筋，柜体颜色RAL7035，门厚度≥2.0mm，前门内嵌有机玻璃，箱体厚度≥1.5mm，镀锌安装板2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8.气动系统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气动系统主要由气源处理原件、电磁阀、汇流板、气缸、接头、气管等组成。通过各种元件组成不同的回路来实现各个机构的运转。</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9.基础能源管理模块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要包括三相电源监测模块等组成，电源监测模块可以实现设备上用电监测并实时传输至PLC系统、触摸屏上可实时显示当前电流显示、电压显示、有功显示、无功功率、正反有功功率因素、无功电表频率等参数；统计设备累计使用电能情况，出现异常时发生报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电源监测模块的技术参数：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测量精度：±0.2%高精度；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安全防护：具备隔离、防雷、防浪涌保护功能；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测量参数：支持电压、电流、有功功率、视在功率、功率因数等多种电参数测量；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通信协议：采用标准Modbus RTU协议；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通信接口：RS485、网口。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10.可视化数据看板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内置Web服务器功能无需额外部署第三方服务器或组态软件，仅依托CPU固件即可实现基于浏览器的远程数据可视化监控，系统将PLC过程数据（数字量、模拟量、工艺参数、设备状态等）以数值、仪表盘、指示灯、棒图、量表、网络控件、列表等形式直观呈现，支持1-10秒可调刷新频率，该功能具备轻量化部署、跨平台兼容、HTTPS加密，适配中小规模自动化系统可视化监控需求，亦可扩展对接MES系统满足复杂数据应用场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11.故障考核单元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故障考核单元主要包括控制盒、拨码开关、控制电路板等组成，实现车床电路的控制与排故，控制盒采用标准控制箱，可开门带锁，方便设置故障后锁住；拨码开关采用20路摇臂开关用于手动设置故障与故障恢复；控制电路板接收故障信号控制电路的断开与短路，实现车床电气控制线路的故障设置与排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12.电工实训单元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控制柜背面分别安装电工排故模块及电工接线模块，电工排故模块安装于控制柜背面上方，设有故障设置与恢复功能，电工接线模块的网孔板可以取出放置工作台上进行电气元器件安装、接线等实训。</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（1）电工排故模块：主要包括电气安装板、常用低压电气元件等组成。可以完成电工考核及故障排故。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（2）电工接线模块：采用镀锌板折弯，厚度2mm，用于安装电气元件。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（3）低压电气元件如下：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继电器：6套,普通按钮：4只,二档旋钮：2只,指示灯：2只,按钮盒：1只,漏电保护断路器：1只,断路器：3只,熔断器底座：2只,熔断器熔芯：6只,交流接触器：4只,辅助触头：4只,热继电器：4只，热继电器底座：4只,限位开关：2只,时间继电器：2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（4）电机系统：主要包括三相异步电机、双速电机、电机转盘及防护罩组成。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三相异步电机（3台）：≥180W，≥电流0.4A，≥1400转，380V（可星三角降压启动，380V）配接插盒。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双速电机：≥180W 电流0.7A 1400/760转 380V 配接插盒。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13.先进可编程控制系统套件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先进可编程控制系统套件，包含：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（1）1个先进可编程控制系统，工作存储≥ 250 KB / 1 MB；本体至少带32路数字量输入，32路数字量输出，5路模拟量输入，2路模拟量输出。其中带6路计数器，最大输入频率100KHz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（2）1个MMC存储卡，≥ 24 MB；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（3）1根以太网电缆，长≥ 6米；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（4）1根导轨，长≥ 482mm；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（5）1个配套电源模块，24V/8A；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（6）1套 正版专业版PLC编程培训软件。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14.工业级触摸屏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工业级触摸屏：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 个不小于 7 "精智面板，带PROFINET 和 MPI/PROFIBUS DP 接口 （面板集成有带 2 个 RJ 45 端口的交换机）；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为保持系统兼容性，需与控制器为同一品牌。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15.标准变频驱动控制系统套件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标准变频驱动控制系统套件（三相，带通讯接口），包含：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以太网变频器教育培训包，包含：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（1）控制单元，内置ProfiNET通讯口，支持矢量控制，可通过 EPos 功能执行定位任务，4个可组态的IO点，6 DI（可作3 F-DI）,5 DI, 3 DO（可作1 F -DO）, 2 AI, 2 AO 安全集成 STO, SBC、 SS1 安全功能可通过安全授权扩展，编码器 : D - CLIQ + HTL/TTL/SSI, 旋转变压器/HTL 通过端子接入保护等级 IP20,提供USB 及SD/MMC 接口；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（2）SD卡≥512 MB ；</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（3）安装小配件；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（4）变频器智能操作面板；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（5）≥0.75KW 功率单元 PM240-2 带制动斩波器, 3AC 380-480V +10%/-10% 47-63 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（6）3米USB- 电缆；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（7）变频器扩展安全授权；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（8）变频器EPos 功能执行定位任务扩展授权。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16.紧凑型小型自动化可编程控制器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紧凑型小型自动化可编程控制器：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1个小型自动化PLC控制器，支持工业以太网通讯，配置≥14通道直流数字量输入信号，≥10 通道直流数字量输出信号， ≥2通道模拟量输入信号，≥2 通道模拟量输出信号。PLC 供电电源：直流 DC24 V ，工作内存：≥100KB。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lang w:eastAsia="zh"/>
              </w:rPr>
              <w:t xml:space="preserve">7</w:t>
            </w:r>
            <w:r>
              <w:rPr>
                <w:rFonts w:hint="eastAsia" w:ascii="仿宋" w:hAnsi="仿宋" w:eastAsia="仿宋" w:cs="仿宋"/>
                <w:color w:val="000000"/>
                <w:szCs w:val="21"/>
                <w:highlight w:val="none"/>
              </w:rPr>
              <w:t xml:space="preserve">.教学资源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需提供相应的课程建设资源及素材（电子版），至少需要包括以下几方面：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（1）需提供在线学习平台及账户，满足学生日常自学要求及学习管理；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（2）提供智能制造工程人才认证电气自动化方向技术员高级教师讲义PPT（1套）；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（3）提供智能制造工程人才认证电气自动化方向技术员高级学生用书WORD（1套）；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（4）提供智能制造工程人才认证电气自动化方向技术员高级认证题库（1套）。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w:t>
            </w:r>
            <w:r>
              <w:rPr>
                <w:rFonts w:hint="eastAsia" w:ascii="仿宋" w:hAnsi="仿宋" w:eastAsia="仿宋" w:cs="仿宋"/>
                <w:color w:val="000000"/>
                <w:szCs w:val="21"/>
                <w:highlight w:val="yellow"/>
                <w:lang w:eastAsia="zh"/>
              </w:rPr>
              <w:t xml:space="preserve">投标人书面承诺：中标后可联动所投主要元器件原厂资源，在项目服务周期内为本项目落地智能制造工程人才认证相关合作服务，中标后提供原厂的针对本项目的承诺函。</w:t>
            </w:r>
            <w:r>
              <w:rPr>
                <w:rFonts w:hint="eastAsia" w:ascii="仿宋" w:hAnsi="仿宋" w:eastAsia="仿宋" w:cs="仿宋"/>
                <w:color w:val="000000"/>
                <w:szCs w:val="21"/>
                <w:highlight w:val="none"/>
                <w:lang w:eastAsia="zh"/>
              </w:rPr>
            </w:r>
            <w:r/>
          </w:p>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rPr>
              <w:t xml:space="preserve">▲18.</w:t>
            </w:r>
            <w:r>
              <w:rPr>
                <w:rFonts w:hint="eastAsia" w:ascii="仿宋" w:hAnsi="仿宋" w:eastAsia="仿宋" w:cs="仿宋"/>
                <w:color w:val="000000"/>
                <w:szCs w:val="21"/>
                <w:highlight w:val="none"/>
                <w:lang w:eastAsia="zh"/>
              </w:rPr>
              <w:t xml:space="preserve">为保证系统的兼容性及稳定性</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并方便实训教学实施</w:t>
            </w:r>
            <w:r>
              <w:rPr>
                <w:rFonts w:hint="eastAsia" w:ascii="仿宋" w:hAnsi="仿宋" w:eastAsia="仿宋" w:cs="仿宋"/>
                <w:color w:val="000000"/>
                <w:szCs w:val="21"/>
                <w:highlight w:val="none"/>
                <w:lang w:eastAsia="zh"/>
              </w:rPr>
              <w:t xml:space="preserve">，投标人提供的主要元器件：PLC、触摸屏、变频器需为同一品牌。</w:t>
            </w:r>
            <w:r>
              <w:rPr>
                <w:rFonts w:ascii="Times New Roman" w:hAnsi="Times New Roman" w:eastAsia="方正仿宋_GBK"/>
                <w:color w:val="000000"/>
                <w:szCs w:val="21"/>
                <w:highlight w:val="none"/>
                <w:lang w:eastAsia="zh"/>
              </w:rPr>
              <w:t xml:space="preserve">提供主要器件制造商针对本项目出具的参数确认函，并加盖</w:t>
            </w:r>
            <w:r>
              <w:rPr>
                <w:rFonts w:hint="eastAsia" w:ascii="Times New Roman" w:hAnsi="Times New Roman" w:eastAsia="方正仿宋_GBK"/>
                <w:color w:val="000000"/>
                <w:szCs w:val="21"/>
                <w:highlight w:val="none"/>
                <w:lang w:val="en-US" w:eastAsia="zh-CN"/>
              </w:rPr>
              <w:t xml:space="preserve">投标人和</w:t>
            </w:r>
            <w:r>
              <w:rPr>
                <w:rFonts w:ascii="Times New Roman" w:hAnsi="Times New Roman" w:eastAsia="方正仿宋_GBK"/>
                <w:color w:val="000000"/>
                <w:szCs w:val="21"/>
                <w:highlight w:val="none"/>
                <w:lang w:eastAsia="zh"/>
              </w:rPr>
              <w:t xml:space="preserve">主要器件制造商公章。</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4</w:t>
            </w:r>
            <w:r>
              <w:rPr>
                <w:rFonts w:hint="eastAsia" w:ascii="仿宋" w:hAnsi="仿宋" w:eastAsia="仿宋" w:cs="仿宋"/>
                <w:color w:val="000000"/>
                <w:szCs w:val="21"/>
                <w:highlight w:val="none"/>
                <w:lang w:eastAsia="zh"/>
              </w:rPr>
            </w:r>
            <w:r/>
          </w:p>
        </w:tc>
        <w:tc>
          <w:tcPr>
            <w:tcW w:w="805"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电气控制与PLC技术实验室</w:t>
            </w: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电气控制与PLC技术实验平台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该设备需要具备以下参数：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1.实训平台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主要由钢板折弯焊接而成，架体牢固，底部安装万向脚轮，方便移动。内嵌竖式网板，表面喷塑，并且布满等距方形孔，上方孔尺寸5×5mm，孔左右间距为12mm，上下间距为12mm，方便安装。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▲为充分证明产品成熟稳定，质量可靠，需提供由</w:t>
            </w:r>
            <w:r>
              <w:rPr>
                <w:rFonts w:hint="eastAsia" w:ascii="仿宋" w:hAnsi="仿宋" w:eastAsia="仿宋" w:cs="仿宋"/>
                <w:color w:val="000000"/>
                <w:szCs w:val="21"/>
                <w:highlight w:val="yellow"/>
                <w:lang w:val="en-US" w:eastAsia="zh-CN"/>
              </w:rPr>
              <w:t xml:space="preserve">第三方检测机构出具的带有CMA标识</w:t>
            </w:r>
            <w:r>
              <w:rPr>
                <w:rFonts w:hint="eastAsia" w:ascii="仿宋" w:hAnsi="仿宋" w:eastAsia="仿宋" w:cs="仿宋"/>
                <w:color w:val="000000"/>
                <w:szCs w:val="21"/>
                <w:highlight w:val="yellow"/>
              </w:rPr>
              <w:t xml:space="preserve">的</w:t>
            </w:r>
            <w:r>
              <w:rPr>
                <w:rFonts w:hint="eastAsia" w:ascii="仿宋" w:hAnsi="仿宋" w:eastAsia="仿宋" w:cs="仿宋"/>
                <w:color w:val="000000"/>
                <w:szCs w:val="21"/>
                <w:highlight w:val="none"/>
              </w:rPr>
              <w:t xml:space="preserve">工业自动化PLC控制教学系统相关的检验检测报告，</w:t>
            </w:r>
            <w:r>
              <w:rPr>
                <w:rFonts w:hint="eastAsia" w:ascii="仿宋" w:hAnsi="仿宋" w:eastAsia="仿宋" w:cs="仿宋"/>
                <w:color w:val="000000"/>
                <w:szCs w:val="21"/>
                <w:highlight w:val="none"/>
                <w:lang w:bidi="ar"/>
              </w:rPr>
              <w:t xml:space="preserve">检测内容覆盖设备外观质量、机械装配结构、安全防护、控制系统、使用性能等核心常规检测项目，报告真实有效，</w:t>
            </w:r>
            <w:r>
              <w:rPr>
                <w:rFonts w:hint="eastAsia" w:ascii="仿宋" w:hAnsi="仿宋" w:eastAsia="仿宋" w:cs="仿宋"/>
                <w:color w:val="000000"/>
                <w:szCs w:val="21"/>
                <w:highlight w:val="none"/>
              </w:rPr>
              <w:t xml:space="preserve">不得缺页</w:t>
            </w:r>
            <w:r>
              <w:rPr>
                <w:rFonts w:hint="eastAsia" w:ascii="仿宋" w:hAnsi="仿宋" w:eastAsia="仿宋" w:cs="仿宋"/>
                <w:color w:val="000000"/>
                <w:szCs w:val="21"/>
                <w:highlight w:val="none"/>
                <w:lang w:val="en-US" w:eastAsia="zh-CN"/>
              </w:rPr>
              <w:t xml:space="preserve">，</w:t>
            </w:r>
            <w:r>
              <w:rPr>
                <w:rFonts w:hint="eastAsia" w:ascii="仿宋" w:hAnsi="仿宋" w:eastAsia="仿宋" w:cs="仿宋"/>
                <w:color w:val="000000"/>
                <w:szCs w:val="21"/>
                <w:highlight w:val="none"/>
              </w:rPr>
              <w:t xml:space="preserve">并加盖</w:t>
            </w:r>
            <w:r>
              <w:rPr>
                <w:rFonts w:hint="eastAsia" w:ascii="仿宋" w:hAnsi="仿宋" w:eastAsia="仿宋" w:cs="仿宋"/>
                <w:color w:val="000000"/>
                <w:szCs w:val="21"/>
                <w:highlight w:val="none"/>
                <w:lang w:val="en-US" w:eastAsia="zh-CN"/>
              </w:rPr>
              <w:t xml:space="preserve">投标人和</w:t>
            </w:r>
            <w:r>
              <w:rPr>
                <w:rFonts w:hint="eastAsia" w:ascii="仿宋" w:hAnsi="仿宋" w:eastAsia="仿宋" w:cs="仿宋"/>
                <w:color w:val="000000"/>
                <w:szCs w:val="21"/>
                <w:highlight w:val="none"/>
              </w:rPr>
              <w:t xml:space="preserve">制造商公章</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2.电动机模块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主要包含3类电动机类型，即三相鼠笼异步电动机、三相异步电动机（带离心开关）、三相绕线式异步电动机，通过按钮、接触器、继电器、PLC等可实现不同的控制方式接线控制。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1）三相鼠笼异步电动机</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交流电机组件采用三相鼠笼异步电动机，支持星三角启动。电机前端装有转盘，表面有贴纸， 方便观察电机转速变化：含圆盘、转盘、保护罩、支架等，具体参数如下：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电流：≥0.4A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频率：50Hz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功率：≥180W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接法：Y/△</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转速：≥1400r/min</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绝缘：B级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2）三相鼠笼异步电动机（带离心开关）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交流电机组件采用三相鼠笼异步（带离心开关）电动机，支持星三角启动。电机前端装有转盘，表面有贴纸， 方便观察电机转速变化：含圆盘、转盘、保护罩、支架等，参数如下：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电压：380V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电流：≥0.4A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频率：50Hz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功率：≥180W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接法：Y/△</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转速：≥1400r/min</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绝缘：B级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3）三相绕线式异步电动机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交流电机组件采用三相绕线式异步电动机，支持星三角启动。电机前端装有彩色转盘，方便观察电机转速变化：含圆盘、转盘、保护罩、支架等，具体参数如下：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电压：380V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电流：≥0.4A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频率：50Hz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功率：≥100W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接法：Y/△</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转速：≥1400r/min</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绝缘：B级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3.机床电路控制及排故模块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主要包含机床的电气控制排故实操模块，主要由</w:t>
            </w:r>
            <w:r>
              <w:rPr>
                <w:rFonts w:hint="eastAsia" w:ascii="仿宋" w:hAnsi="仿宋" w:eastAsia="仿宋" w:cs="仿宋"/>
                <w:color w:val="000000"/>
                <w:szCs w:val="21"/>
                <w:highlight w:val="none"/>
                <w:lang w:eastAsia="zh"/>
              </w:rPr>
              <w:t xml:space="preserve">断路器</w:t>
            </w:r>
            <w:r>
              <w:rPr>
                <w:rFonts w:hint="eastAsia" w:ascii="仿宋" w:hAnsi="仿宋" w:eastAsia="仿宋" w:cs="仿宋"/>
                <w:color w:val="000000"/>
                <w:szCs w:val="21"/>
                <w:highlight w:val="none"/>
              </w:rPr>
              <w:t xml:space="preserve">、接触器、热继电器、熔断器、按钮指示灯、行程开关、故障设置盒等电气元件组合成不同的车床控制电路，可实现摇臂钻床电路的故障排除等相关接线控制实训。</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断路器：3P C10A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断路器：3P C16A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熔断器底座：底座3P 3只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熔断器底座：1P带灯1只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熔断器熔芯：2A 10只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交流接触器：AC220V 9A 1NC 5只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热继电器：0.64—1A额定电流1A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热继电器底座：适用于热继电器1只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中间继电器：2开2闭DC24V配底座1只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变压器：输入单相380输出220V/24V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指示灯：DC24V黄开孔φ22mm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普通按钮：绿1NC1NO圆形开孔φ22mm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两档旋钮：1NC1NO自锁型开孔φ22mm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三档旋钮：2NO自锁型开孔φ22mm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十字开关：四向自复位4NO安装孔径直径22mm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限位开关： 1只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3.电工实训模块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继电器：</w:t>
            </w: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套，普通按钮：4只，二档旋钮：</w:t>
            </w: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只，指示灯：2只，按钮盒：1只，断路器：</w:t>
            </w: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只，熔断器底座：</w:t>
            </w:r>
            <w:r>
              <w:rPr>
                <w:rFonts w:hint="eastAsia" w:ascii="仿宋" w:hAnsi="仿宋" w:eastAsia="仿宋" w:cs="仿宋"/>
                <w:color w:val="000000"/>
                <w:szCs w:val="21"/>
                <w:highlight w:val="none"/>
                <w:lang w:eastAsia="zh"/>
              </w:rPr>
              <w:t xml:space="preserve">6</w:t>
            </w:r>
            <w:r>
              <w:rPr>
                <w:rFonts w:hint="eastAsia" w:ascii="仿宋" w:hAnsi="仿宋" w:eastAsia="仿宋" w:cs="仿宋"/>
                <w:color w:val="000000"/>
                <w:szCs w:val="21"/>
                <w:highlight w:val="none"/>
              </w:rPr>
              <w:t xml:space="preserve">只，交流接触器：</w:t>
            </w: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只，热继电器：</w:t>
            </w: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只，热继电器底座：</w:t>
            </w: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只，限位开关：</w:t>
            </w:r>
            <w:r>
              <w:rPr>
                <w:rFonts w:hint="eastAsia" w:ascii="仿宋" w:hAnsi="仿宋" w:eastAsia="仿宋" w:cs="仿宋"/>
                <w:color w:val="000000"/>
                <w:szCs w:val="21"/>
                <w:highlight w:val="none"/>
                <w:lang w:eastAsia="zh"/>
              </w:rPr>
              <w:t xml:space="preserve">4</w:t>
            </w:r>
            <w:r>
              <w:rPr>
                <w:rFonts w:hint="eastAsia" w:ascii="仿宋" w:hAnsi="仿宋" w:eastAsia="仿宋" w:cs="仿宋"/>
                <w:color w:val="000000"/>
                <w:szCs w:val="21"/>
                <w:highlight w:val="none"/>
              </w:rPr>
              <w:t xml:space="preserve">只，时间继电器：</w:t>
            </w: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t xml:space="preserve">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4.可编程控制器模块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紧凑型CPU，DC/DC/DC，机载I/O：≥14个24V DC数字输入；≥10个24VDC数字输出；≥2 AI 0-10V DC，电源：DC 20.4-28.8V DC，程序存储器/数据存储器150KB，CPU模块本体集成1个以太网接口，可满足小型自动化设备与触摸屏、伺服、变频器及其它第三方设备进行通信的需求。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通信模块：RS-485，接线盒，支持自由端口。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数字量输入输出模块：数字量I/O，≥16DI/16DO，16DI 24V DC，灌电流/拉电流，16DO，晶体管0.5A。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模拟量输入输出模块：模拟输入/输出，≥4个模拟输入/2个模拟输出，±10V，14位分辨率。</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5.触摸屏模块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7''TFT显示屏，≥800 x 480像素，≥64K色；按键和触摸操作，8个功能键；1 x PROFINET，1 x USB。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6.触摸屏模块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7''TFT显示屏，LED背光灯，分辨率：≥800*480，显示颜色：≥65535真彩，处理器：4核，800MHz，内存：≥256M，额定功率：5W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7.可编程控制器模块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该PLC可满足自动化需要的灵活性和强大功能。本体16DI/14DO晶体管型，支持8轴EtherCAT+4轴本地脉冲运动控制；200K步程序、2MB变量，基本指令20ns；集成以太网/RS485等接口，DC24V供电，-10~55℃工作温度，IP20防护等级。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数字量输入模块：≥16点DI模块；直流24V输入；支持NPN/PNP</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数字量输出模块：≥16点DO模块，继电器输出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模拟量输入模块：≥4通道AD模块；支持电压/电流模拟量输入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模拟量输出模块：≥4通道DA模块；支持电压/电流模拟量输入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8.触摸屏模块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7''TFT显示屏，≥800 x 480像素；显示颜色：≥24位真彩色；背光源：LED；背光寿命：35000h；处理器：单核CortexA8600MHz；DRAM：128MB DDR3；输入电压：24VDC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9.PLC电工实训模块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要求是一种多功能便携式实训模块，连接PLC可以实现多种实训，将传统多种实训模块集成在一起，通过更换功能卡片实现不同的实训内容，与多种独立实训模块效果完全一样，有效解决空间不足问题，整体尺寸≥长530mm×宽120mm×高185mm。拨码开关≥16路、LED指示灯≥16路、实训模块LED灯组、控制盒、功能卡片等组成。功能卡片包括物料分拣实训、烟草混合实训、车间大门控制实训、交通灯控制实训、三层电梯控制实训、洗衣机控制实训、汽车灯光控制、汽车雨刷控制，完成PLC基础指令的应用及逻辑控制应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（1）拨码开关：三脚三档，左侧自复位，右侧自锁，实现输入信号的瞬动和自锁两种信号的模拟。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（2）LED指示灯：Φ3（黄、绿、红）加长胶体≥8mm，引脚间距≤2.54mm电压1.8～2.2V，不少于135个。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（3）实训模块LED灯组：采用双层PCB制作，尺寸≥长80mm×宽35mm，厚度≥1.6mm，上面布满不少于135个LED指示灯。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物料分拣实训卡片：卡片结合LED灯组可以完成以下实训内容：以红色物料为例，触发红色物料判别传感器，表示有红色物料输送到红色物料分拣区，自动启动电磁阀，此时相应的气缸应该动作，缸杆向前推出，将红色物料推入红色积放区，此时传感器也相应动作，首先原点传感器OFF，然后前点传感器ON，表示气缸已经到达前点，红色物料已经完成推出动作，电磁阀OFF，相应前点传感器OFF，然后原点传感器ON，表示整个红色物料推出动作完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烟草混合实训卡片：卡片结合LED灯组可以完成以下实训内容：按下按钮，通过电位器2模拟生产线上烟丝通过皮带秤的流量，当烟丝流量大于设定值时，气动三通球阀Y3得电，三通球阀呈直通状态，香料被喷入加香滚筒与烟丝混合。通过模拟变频器控制加香泵的转速，烟丝的流量大，泵的转速就高，反之，泵的转速就低，当烟丝流量小于设定最低点时加注泵停止，关闭三通球阀。</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b/>
                <w:bCs/>
                <w:color w:val="000000"/>
                <w:szCs w:val="21"/>
                <w:highlight w:val="none"/>
              </w:rPr>
              <w:t xml:space="preserve">提供该卡片放置在多功能控制模块上</w:t>
            </w:r>
            <w:r>
              <w:rPr>
                <w:rFonts w:hint="eastAsia" w:ascii="仿宋" w:hAnsi="仿宋" w:eastAsia="仿宋" w:cs="仿宋"/>
                <w:b/>
                <w:bCs/>
                <w:color w:val="000000"/>
                <w:szCs w:val="21"/>
                <w:highlight w:val="none"/>
                <w:lang w:eastAsia="zh"/>
              </w:rPr>
              <w:t xml:space="preserve">的</w:t>
            </w:r>
            <w:r>
              <w:rPr>
                <w:rFonts w:hint="eastAsia" w:ascii="仿宋" w:hAnsi="仿宋" w:eastAsia="仿宋" w:cs="仿宋"/>
                <w:b/>
                <w:bCs/>
                <w:color w:val="000000"/>
                <w:szCs w:val="21"/>
                <w:highlight w:val="none"/>
              </w:rPr>
              <w:t xml:space="preserve">动作流程实物图</w:t>
            </w:r>
            <w:r>
              <w:rPr>
                <w:rFonts w:hint="eastAsia" w:ascii="仿宋" w:hAnsi="仿宋" w:eastAsia="仿宋" w:cs="仿宋"/>
                <w:b/>
                <w:bCs/>
                <w:color w:val="000000"/>
                <w:szCs w:val="21"/>
                <w:highlight w:val="none"/>
                <w:lang w:eastAsia="zh"/>
              </w:rPr>
              <w:t xml:space="preserve">片不少于</w:t>
            </w:r>
            <w:r>
              <w:rPr>
                <w:rFonts w:hint="eastAsia" w:ascii="仿宋" w:hAnsi="仿宋" w:eastAsia="仿宋" w:cs="仿宋"/>
                <w:b/>
                <w:bCs/>
                <w:color w:val="000000"/>
                <w:szCs w:val="21"/>
                <w:highlight w:val="none"/>
              </w:rPr>
              <w:t xml:space="preserve">3张</w:t>
            </w:r>
            <w:r>
              <w:rPr>
                <w:rFonts w:hint="eastAsia" w:ascii="仿宋" w:hAnsi="仿宋" w:eastAsia="仿宋" w:cs="仿宋"/>
                <w:color w:val="000000"/>
                <w:szCs w:val="21"/>
                <w:highlight w:val="none"/>
              </w:rPr>
              <w:t xml:space="preserve">，要求能反映具体动作流程变化</w:t>
            </w:r>
            <w:r>
              <w:rPr>
                <w:rFonts w:hint="eastAsia" w:ascii="仿宋" w:hAnsi="仿宋" w:eastAsia="仿宋" w:cs="仿宋"/>
                <w:color w:val="000000"/>
                <w:szCs w:val="21"/>
                <w:highlight w:val="none"/>
                <w:lang w:eastAsia="zh"/>
              </w:rPr>
              <w:t xml:space="preserve">：</w:t>
            </w:r>
            <w:r>
              <w:rPr>
                <w:rFonts w:hint="eastAsia" w:ascii="仿宋" w:hAnsi="仿宋" w:eastAsia="仿宋" w:cs="仿宋"/>
                <w:color w:val="000000"/>
                <w:szCs w:val="21"/>
                <w:highlight w:val="none"/>
              </w:rPr>
              <w:t xml:space="preserve">第1张图片包含投料准备，打开设备总开关DI0</w:t>
            </w:r>
            <w:r>
              <w:rPr>
                <w:rFonts w:hint="eastAsia" w:ascii="仿宋" w:hAnsi="仿宋" w:eastAsia="仿宋" w:cs="仿宋"/>
                <w:color w:val="000000"/>
                <w:szCs w:val="21"/>
                <w:highlight w:val="none"/>
              </w:rPr>
              <w:t xml:space="preserve">.0，设备上电，当DI0.1“OFF”时，系统打开Y1电磁阀（DQ0.1），加香罐开始加香料，搅拌电机（DQ0.0）开始工作，同时Y2电磁阀（DQ0.2）打开进行自动加热。第2张图片包含生产准备，按下生产准备按钮（DI0.1），气动三通球阀Y3（DQ0.4＝0）不得电，这时三通阀直角导通状态，打开加注齿轮泵，将香料充满整个管路，香料通过管路，通过三通球阀返回香料罐内，为生产做准备。第3张图片包含生产运行，按下生产运行按钮（DI0.2），气动三通球阀Y3得电，三通球阀呈直通状态，香料被喷入加香滚筒与烟丝混合。</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（6）车间大门实训卡片：卡片结合LED灯组可以完成以下实训内容：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开门：手动开门只有当前操作为手动状态时才有效。点动打开开门开关，门打开方向点动，当打开门开关保持30秒后，门持续打开运行，直到卷帘门开门限位，开门输出关闭。如果在开门过程中，瞬时打开关门信号，终止开门运行然后转入关门运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关门：手动关门只有当前操作为手动状态时才有效。点动打开关门开关，门关闭方向点动，当关门信号保持30秒后，门持续向下关闭，直到卷帘门关门限位信号，停止门关闭。如果在关门过程中，瞬时打开开门信号，终止关门运行然后转入开门运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上下班时间状态：设定PLC时钟，并确定上班的工作时间，当时钟处于上班时间时执行上班自动运行状态点亮，当时钟处于下班时间时执行下班自动运行状态点亮。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动运行模式：只有上班时间才能自动运行，下班时间需要钥匙权限。当人员或工作车辆从户外接触室外光电开关接通时，自动打开卷帘门。如果在开门过程中达到开门限位导通或门下光电开关导通时，卷帘门停止打开。如果三个光电开关在10秒没有信号，卷帘门自动关闭。如果在关闭过程中门下光电开关有信号，门立即停止下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钥匙：当时间处于下班状态下，卷帘门需要钥匙权限导通才能继续自动运行。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b/>
                <w:bCs/>
                <w:color w:val="000000"/>
                <w:szCs w:val="21"/>
                <w:highlight w:val="none"/>
              </w:rPr>
              <w:t xml:space="preserve">提供该产品动作</w:t>
            </w:r>
            <w:r>
              <w:rPr>
                <w:rFonts w:hint="eastAsia" w:ascii="仿宋" w:hAnsi="仿宋" w:eastAsia="仿宋" w:cs="仿宋"/>
                <w:b/>
                <w:bCs/>
                <w:color w:val="000000"/>
                <w:szCs w:val="21"/>
                <w:highlight w:val="none"/>
                <w:lang w:eastAsia="zh"/>
              </w:rPr>
              <w:t xml:space="preserve">流程实物</w:t>
            </w:r>
            <w:r>
              <w:rPr>
                <w:rFonts w:hint="eastAsia" w:ascii="仿宋" w:hAnsi="仿宋" w:eastAsia="仿宋" w:cs="仿宋"/>
                <w:b/>
                <w:bCs/>
                <w:color w:val="000000"/>
                <w:szCs w:val="21"/>
                <w:highlight w:val="none"/>
              </w:rPr>
              <w:t xml:space="preserve">图</w:t>
            </w:r>
            <w:r>
              <w:rPr>
                <w:rFonts w:hint="eastAsia" w:ascii="仿宋" w:hAnsi="仿宋" w:eastAsia="仿宋" w:cs="仿宋"/>
                <w:b/>
                <w:bCs/>
                <w:color w:val="000000"/>
                <w:szCs w:val="21"/>
                <w:highlight w:val="none"/>
                <w:lang w:eastAsia="zh"/>
              </w:rPr>
              <w:t xml:space="preserve">片</w:t>
            </w:r>
            <w:r>
              <w:rPr>
                <w:rFonts w:hint="eastAsia" w:ascii="仿宋" w:hAnsi="仿宋" w:eastAsia="仿宋" w:cs="仿宋"/>
                <w:b/>
                <w:bCs/>
                <w:color w:val="000000"/>
                <w:szCs w:val="21"/>
                <w:highlight w:val="none"/>
              </w:rPr>
              <w:t xml:space="preserve">不少于3张</w:t>
            </w:r>
            <w:r>
              <w:rPr>
                <w:rFonts w:hint="eastAsia" w:ascii="仿宋" w:hAnsi="仿宋" w:eastAsia="仿宋" w:cs="仿宋"/>
                <w:color w:val="000000"/>
                <w:szCs w:val="21"/>
                <w:highlight w:val="none"/>
                <w:lang w:eastAsia="zh"/>
              </w:rPr>
              <w:t xml:space="preserve">：</w:t>
            </w:r>
            <w:r>
              <w:rPr>
                <w:rFonts w:hint="eastAsia" w:ascii="仿宋" w:hAnsi="仿宋" w:eastAsia="仿宋" w:cs="仿宋"/>
                <w:color w:val="000000"/>
                <w:szCs w:val="21"/>
                <w:highlight w:val="none"/>
              </w:rPr>
              <w:t xml:space="preserve">第1张图片包含手动模式，手动开关，门打开方向点动；第2张图片包含上下班时间状态，时钟处于上班时间时执行上班自动运行状态点亮；第3张图片包含自动运行模式，当人员或工作车辆从户外接触室外光电开关时，自动打开卷帘门打开。</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交通灯控制实训卡片：卡片结合LED灯组可以完成以下实训内容：学习PLC编程软件的使用，掌握定时器、时间指令、转换指令、循环指令等编程指令。包含以下功能：红绿灯钥匙功能、手动/自动、红绿灯行驶方向、人行横道按钮控制、红绿灯示教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三层电梯控制实训卡片：卡片结合LED灯组可以完成以下实训内容：学习PLC编程软件的使用，掌握定时器、子程序调用等编程指令。包含以下功能：电梯钥匙功能、楼层呼梯与指示、轿厢指令与指示、关门指令、开门指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洗衣机控制实训卡片：卡片结合LED灯组可以完成以下实训内容：学习PLC编程软件的使用，掌握洗衣机的多种自动模式程序编写。包含以下功能：关门按钮、温度设定、甩干速度设定、偏心设置、洗衣机运行步骤、单洗涤、单漂洗、单甩干、快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汽车灯光控制实训卡片：包括发动机启动、倒车、大灯开关、车窗上下行、儿童锁、远光/近光灯等功能。学习PLC编程软件的使用，掌握时间存储器、TP脉冲，|P||N|上升沿和下降沿指令等指令，并掌握汽车灯光控制的自动程序编写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汽车雨刷控制实训卡片：包括刹车、倒车、大灯、左转、右转、双闪、雨刷间歇1.雨刷间歇2.雨刷间歇3.雨刷快慢、喷水清洗等功能。学习PLC编程软件的使用，掌握SEL选择指令、模拟量标准化，缩放指令、系统PWM脉冲发生器等指令，并掌握汽车雨刷控制的自动程序编写等。</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5</w:t>
            </w:r>
            <w:r>
              <w:rPr>
                <w:rFonts w:hint="eastAsia" w:ascii="仿宋" w:hAnsi="仿宋" w:eastAsia="仿宋" w:cs="仿宋"/>
                <w:color w:val="000000"/>
                <w:szCs w:val="21"/>
                <w:highlight w:val="none"/>
                <w:lang w:eastAsia="zh"/>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数字化设计与仿真实训室</w:t>
            </w:r>
            <w:r>
              <w:rPr>
                <w:rFonts w:hint="eastAsia" w:ascii="仿宋" w:hAnsi="仿宋" w:eastAsia="仿宋" w:cs="仿宋"/>
                <w:color w:val="000000"/>
                <w:szCs w:val="21"/>
                <w:highlight w:val="none"/>
                <w:lang w:eastAsia="zh"/>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智能制造协同设计与仿真软件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一、总体概述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可获得满足设计、仿真、产品研发全过程的教育包，数字化设计、数字化工艺、数字化制造、数字样机验证等一体化平台，助力企业智能制造人才定制、企业转型咨询与服务，产教融合课程开发等；帮助教师掌握3D建模能力、交互式动画制作能力、MBD技术应用、数字化制造、虚拟仿真等能力，既提升教师的信息化教学能力和企业实践经验，同时解决企业实际问题，最终实现学校—企业的新生态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二、产品组成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产品包含产品设计模块、交互动画制作模块、分析验证模块、机电协同模块、加工编程模块、三维渲染模块。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1）产品设计模块，数字化设计、虚拟装配、工程制图等工作，满足数字资源建模应用为后期虚拟仿真交互动画制作带来基础支撑。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2）交互动画制作模块，输入3D模型，通过可视化操作进行虚拟仿真交互动画制作，完成后可输出到智慧教学平台、PPT等进行互动使用。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3）分析验证模块，静力学、动力学、运动学及非线性等有限元分析、可输出分析报表。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4）机电协同模块，电气原理图、接线图设计，可通过关系服务器与产品设计模块进行协同设计。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5）加工编程模块，CAD/CAM一体化可对3D模型进行加工计划、走刀路径规划、模拟加工仿真、加工工时计算等，生成NC代码可直接输入机床设备。</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6）三维渲染模块，对3D模型进行真实渲染，达到照片级效果。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三、技术参数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1.产品设计模块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过强大而易于使用的3D零件建模工具加快从概念到生产的产品开发速度。按照零件定位于装配体中的实际情况来设计零件，以便管理与其他零件之间的关系。绘制2D草图，然后沿路径拉伸、旋转、折弯或扫描剖面，以生成任何3D几何体。只需单击和拖动几何体，或者单击和更改尺寸，即可进行编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（1）三维实体设计，运用草图及特征创建三维实体模型，并可添加参数进行控制以便编辑和修改。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（2）钣金设计，结合钣金产品特点及设计规范，快速创建三维钣金模型及展开计算。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（3）模具设计，快速创建模具分型线、分型面，并可进行模具拆分及型腔设计。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（4）曲面设计，以参数驱动曲线及边界，生成各类高级曲面图形，并可根据需要进行自由曲面的设计及曲面平展计算。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（5）装配体设计，通过快速添加的各类配合创建装配体设计三维模型，并可模拟实际结构进行动作。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（6）干涉及间隙检查，通过检查零部件之间的静态及动态干涉与间隙，确认零部件可以正确适配、装配和运行。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（7）工程图，三维环境下完全符合国标的二维工程图设计，完整的注解资源库和标注符号库，完全可定制和扩充的二维绘图环境。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轻量化沟通工具，只需Windows系统支持的设计交流工具，可添加测量、批注及注释，创建爆炸图，并通过权限及安全策略，保证文档及产品信息安全性。同时可将三维文档直接导入至VR设备中进行虚拟现实环境的查看及移动、取放等交互操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（9）API，支持多开发语言二次开发工具，可创建独立界面并直接驱动设计工具进行模型创建与修改。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（10）文档浏览器，个人版图档管理解决方案，直接管理文档命名、关联等内容。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（11）特征识别.第三方CAD数据特征识别与重用。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（12）动画设计，产品动画设计，可模拟实际结构动作特点，创建产品动作动画。</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（13）高级真实感渲染，自带光影、相机、材质及场景库，并可进行编辑与自定义添加，生成模拟实物的产品渲染图片及动画。</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（14）设计标准件库.除了提供ANSI，BSI，DIN，GOST，JIS，ISO标准外，完整提供GB国标零件素材库。</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（15）特征比较工具，特征比较工具，可直接比较不同文件模型的区别，并直观生成比较结果展示。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（16）成本估算，成本估算工具，通过预定义及可编辑的估算规则，在设计时估算产品生产加工成本</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输入与输出</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t xml:space="preserve">打开多种外接模型档案（step、igs、ifc、catia文档等），直接编辑、更改及使用，并能同步更新。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（17）设计检查，用于建立设计标准和检查工程图或模型，以便创建统一的设计和文档。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（18）自动公差叠加分析，用于自动检查零件和装配体上的公差造成的影响，以便在产品进入生产环境之前确保一致的零部件拟合和验证公差方案。</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（19）设计任务计划管理，设计任务计划管理。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（20）管道及管筒设计，通过创建三维草图，引用预设及自定义的管道、管筒设置来为多种系统和应用简化管道和管筒的设计及文档，包括机械、刹车系统和流程工厂管道。</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（21）逆向工程，可从扫描的点云和网格数据中导入、编辑、评估和创建实体几何，便于根据已经存在的设计重新创建设计。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（22）仿真线性静态分析，使用有限元分析（FEA）方法来将设计零部件离散为实体、壳体或横梁单元，并使用线性应力分析来确定零件和装配体的响应，线性应力分析可计算几何体的应力和变形。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（23）运动仿真，运动仿真提供了移动机构的所有零部件的有关运动学（包括位置、速度和加速度）和动力学（包括关节反作用、惯性力和功率要求）的完整量化信息。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2.交互动画制作模块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利用3D CAD数据创建交互式图形内容，一种全新的3D技术交流的方式，体现表达和说明课件资源组成原理及步骤，可创建爆炸视图，并加上标签和零件序号进行注解，允许创建样式和智能视图，后两者可应用于任何内容以确保视觉效果的一致性。同时内置技术图解功能可以轻松快捷地制作2D线条图。输出内容包括3D动画以及JPEG、SVG、CGM等高分辨率图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（1）3D数据导航，多种数据的输入输出，进行编辑、观察等。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（2）可视性及外观，更改3D文档的属性，如透明度、颜色等。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（3）爆炸图和矢量图，生成用于文档高清说明书的爆炸图矢量图。</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（4）灯光、材质、渲染，对3D文档进行渲染。</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（5）装配体动画，进行动画的绘制，多用于产线装配、产品展示。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（6）使用CAD文件更新，和三维文档做到同步更新。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（7）实时发布工具，发布文件为PDF、Word、HTNL等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权限与安全</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t xml:space="preserve">权限与数据安全。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（8）文件分解器，让SMG文档分解成角色、场景、环境。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（9）文档转换，文档转换。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（10）交互式操作，在播放动画的过程中进行交互、事件响应。</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（11）播放器，通过内置浏览器可直接播放。</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（12）Advanced ActiveX API，可进行API二次开发。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（13）实时干涉错误检查，检查文档干涉中的错误，包括动态和静态。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（14）路径规划与优化，检验产品运动的合理性，并进行优化。</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3.分析验证模块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基于分析验证模块提供一站式解决方案，包括仿真模型前处理，仿真高性能并行计算、仿真结果后处理，仿真数据处理，实现仿真过程中所有操作都基于智能制造协同设计系统上。通过仿真技术的广泛应用，避免了传统产品开发的设计-试制-测试-改进设计-再试制的重复过程，更好地提升产品开发质量和开发效率。</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（1）仿真跌落或冲击测试，执行零件或装配体之间的真实碰撞仿真，定义跌落高度、跌落表面和跌落方向。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（2）仿真疲劳，了解如何确定材料的疲劳强度、计算疲劳寿命并实现抗疲劳设计。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（3）仿真优化，设计优化可以提高产品的价值，其手段有：提高产品在自身操作环境中的性能；以及减少用来制造产品的材料数量，降低产品的生产成本。</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震动及扭曲分析，任何时，只要零部件或装配体承受了不断变化或动态的载荷，在某种程度上它就会做出反应或发生振动虚拟方式对您的设计施加力、压力、重力和离心力，确定设计在扭曲之前所能承受的最大负荷。</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（5）热分析，执行热分析可以找出模型中的温度分布、渐变和热流动，以及模型与其环境之间的热交换。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（6）非线性，线性分析与非线性分析之间的区别，以及如何理解各种类型的非线性行为。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（7）运动仿真，运动仿真提供了移动机构的所有零部件的有关运动学（包括位置、速度和加速度）和动力学（包括关节反作用、惯性力和功率要求）的完整量化信息。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（8）仿真复合材料，调研对您的设计应用复合材料的情况及其性能。创建自定义连接和方向，或重用以前的连接。确定材料失效条件，并且在不引起过多材料成本的前提下确保足够的安全裕度。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（9）流体分析模块，仿真真实条件下的流体和气体流动，运行“假设条件”情况，并快速分析浸润零部件或周围零部件上的流体流动、传热和相关作用力的影响。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（10）供热通风与空气调节分析模块，包括高级辐射建模，舒适度参数和大型建筑材料数据库，用于评估生活和工作环境中的气流和温度流。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（11）电子冷却模块，包括焦耳加热仿真，双电阻器元件紧凑模块，热管元件紧凑模块和印刷电路板发生器，用于评估电子元件的热属性和冷却要求。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（12）注塑模具设计与分析，优化塑料零件和注塑模具的设计，直接为塑料零件和注塑模具制作注塑模仿真。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（13）包含关键指标的环境影响仪表板，轻松读取设计碳排放量，能耗及水和空气污染的图形显示。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零件的环境影响评估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t xml:space="preserve">根据材料、制造过程以及生产和使用零件的位置，确定零部件的环境影响。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（14）开放API，免费或收费开发API，便于进行二次开发。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4.机电协同模块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机电协同模块是面向机电一体化设计和管理的大型应用模块。以中文界面为基准，将2D电气设计数据与3D电气设计数据直接集成在智能制造协同设计系统中，完成电气单线系统图、二次原理图设计、PLC系统配置图、PLC原理图、元器件2D布置图、自动生成各类报表（端子报表、设备连接图、连接列表、材料清单等）、3D空间布置及3D自动布线，并且电气及机械设计数据实时同步更新。电气设计数据中零部件信息及项目图纸与3D产品设计数据可以通过PDM管理系统进行管理，使电气和机械之间的设计更加高效，从而实现机电一体化设计的软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（1）多国标准数据库，使用SQL数据库，包含了多国标准（GB，IEC，ANSI…）的电气及空气动力学符号库，还可将AutoCAD进行批量导入，各种标准的模板和表格且可简单操作资源新建、定制和修改。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（2）单线原理图，电气系统规划工具利用了电气零部件和互连线路的简化图示。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（3）多线原理图，传统的原理图创建工具，带有简化的用户界面，可简化重复性任务。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（4）动态接头工具，强大且易于使用的接头向导，可帮助简化电气接头的创建、设计和使用。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（5）原理图设计分析，提供了大量实时工具和基于报告的工具，可用于设计验证和电气性能验证。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（6）混合原理图，在同一原理图上将单线和多线工程图结合起来并保持关联性。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（7）自动交互参考并实时更新，自动生成线路间、图纸间和关联符号间的交叉参考图形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（8）设备自动命名、编号、设备符号，在放置的同时会自动命名及编号，也可根据需要进行编号更新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（9）智能错误检查，当图纸中出现一些错误，如设备重名、正负电线短接等智能提示错误。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（10）部件智能选型，元器件智能进行功能比对，匹配适合自己的部件。采用SQL数据库进行管理，运行速度快。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（11）宏功能，将标准的符号或功能回路等图形数据库完整保存，利用宏功能，简单操作即可重复调用，特别是能够重复利用的图纸，这样大大加快工程设计的进度。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（12）自动编线号，我们可以设定不同线型使用不同的编号规则，选择不同的范围进行一键式编号。</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（13）预规划设计，可以在导航器中预先添加项目设备，生成项目材料清单进行采购，再进行设计。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（14）导航管理器，按照不同功能进行分类管理、编辑，并可以同原理图之间实现跳转，方便查找。</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（15）高级公式管理器，从电线命名到项目名称公式，包含增强的公式功能。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（16）连接线类型，我们可以在软件界面下自定义连接线的样式颜色等（如12V的红色电线）。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部件库的应用，包含全球知名品牌，方便我们的设计。当然我们也可以通过自由的新建和CSV、TXT等多种文件格式批量导入，方便的定制和扩充自己的部件库；而且我们拥有全球最大的2D\3D在线部件库，包括电器、机械等并免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（18）电缆设计，通过电缆管理工具，有效管理项目中使用的电缆及电缆走向和接线状况。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（19）PLC设计，自定义PLC输入/输出数据，导出EXCEL文件；自定义PLC图形显示方式和格式；根据PLC输入/输出等信息，自动生成PLC原理图，管理工具可自动执行很多PLC布线设计任务并能导入PLC数据和标签，变得顺畅。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（20）2D安装板设计，实时与原理图元件一致，2D环境下快速完成机柜布局，尺寸标注，并根据元器件实际布置位置，优化元器件接线。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（21）自动生成报表，一键式生成多类工程报表，可设定在不同的位置生成；并可简单灵活定制报表模板；报表可导出为DWG，EXCEL，TXT等文件格式，方便用户交流。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（22）输入\输出，原有的DWG图纸可以方便的导入到软件中并赋予电气属性，反之项目也可以导出为DWG\PDF格式。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（23）ERP/PLM集成，与ERP/PLM管理工具数据集成功能，允许将外部数据批量与电气软件数据共享。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（24）与PDM平台集成，与PDM完全集成，可自动发布原理图数据。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（25）2D\3D统一平台数据一致性，2D和3D使用同一个数据库，每一个设备都是唯一的。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（26）机电一体化3D机柜布局，根据显示电气零部件的电气原理图生成3D机柜表示。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（27）3D模型视图转换2D工程图，可将3D布局转成2D工程图，且相互关联。</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（28）线槽导轨长度自由配装，我们可以任意的调整线槽和导轨的长度。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（29）自动3D布线，根据导线截面积和颜色，根据路线最短原则自动布线并3D导线显示，也可以手动更改布线路径。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（30）线槽填充率的设定，显示线槽的饱满度，避免爆槽的错误发生。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（31）路径避让及管理，设定让不同线型走不同的线槽，从而避免不必要的电气干扰。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（32）布线长度自动计算，自动计算每根电线和电缆的长度，并计算总长，对价格做一个预估算。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（33）线束设计，可以生成线束，且能生成平展图。</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（34）项目管理，平台是基于项目管理的电气设计软件。在机电一体化平台中，所有的项目全部存储于SQL数据库中，能够清晰表达工程信息以及页面信息等。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（35）图纸设计的高效性，准确性和安全性，拥有专业的设计工具，标准的数据库，让图纸间的信息关联，智能化的逻辑判断能力。</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（36）设计报表的自动统计，可以根据用户的需求定制清单模板和一键式自动生成，数据可即时更新且准确无误，还可将清单内容进行Excel格式导出。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（37）机电一体化设计，基于SQL数据库使2D和3D进行数据共享，兼容上做到了无缝集成。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（38）指导装配，机电一体化2D机柜布局装配图纸，指导现场装配，布局中的所有设备信息都与原理图中的设备信息是一一对应同步关联的，3D模块中的工程图还可生成零件的开孔图。</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39）指导布线生产，根据生成的清单，对应装配图，以及原理图中的相关数据信息，可以完成指导工人现场接线，甚至无需工人有任何的电气知识背景，按照BOM中的数据对应连接点，对应三维装配图，完成线缆的装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40）三维模型库、轻松自建。已有的零件，通过向导便可轻松的实现自定义零件符号的标准化定制，对于常用件，可从机电一体化平台网络库中下载3D零件模型，减轻企业设计人员的工作量。还可将PRO/E、UG所建的模型，直接导入进来，只需做很少的编辑就能直接使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（41）协同设计，机电一体化平台为电气设计人员提供了多人协同设计模式包括：2D-2D协同、2D-3D协同、3D-3D协同。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5.加工编程模块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模块与产品设计模块深度集成，提供了真正的基于知识库的加工能力。在自动可加工特征识别（AFR）以及交互特征识别（IFR）方面处于国际领先地位。本模块还提供了真正跟随设计模型变化的加工自动关联，消除了设计更新后重新进行编程上的时间浪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基于特征的实体加工</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t xml:space="preserve">在三维实体模型的环境里完成3D CAD的造型（或其它CAD模型数据导入），直接对设计的实体模型进行切削和加工模拟，实体模型仍然是完全可编辑的，刀具轨迹直接显示在实体上，G代码的生成也不脱离设计环境。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（1）特征识别模块，满足3D设计可以提供自动辨识多种加工特征能力。自动特征辨识（AFR），分析实体几何模型，并区分铣削，特征，如孔、开放槽、槽孔、凸台。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（2）操作计划生成模块，能够根据特征属性，一键自动生成所需要的操作计划。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（3）基于知识的自动化编程，利用基于模型的定义（MBD）以确保基于公差规格自动调整加工策略，读取公差和表面粗糙度，并做出有关如何制造产品的决策，自动应用想要使用的最佳制造策略。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基于技术数据库的加工，运用了基于知识经验的加工技术KBM，明显地减少了编制加工流程所需要的人员经验和时间，本模块的技术数据库TechDB，提供各种机床类型、预先设定的工序序列、主轴转速、进给速度、加工材料等多数参数组合，均可以修改，以反映用户的特定工序，特定的加工参数也可以由用户定义，对于每项特征，数据库会分配加工作业、工具和加工参数，包括主轴转速和进给值。</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联合加工，本模块采用了特征历史树和联合加工技术，将不同的加工工序组成逻辑组，排列成树状结构，图形化界面供检查和编辑，简化了复杂刀具路径的变化，明显缩短了特征改变以后对刀具路径重新编排的时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（6）后处理模块，可根据设备类型生成相应的代码。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6.三维渲染模块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三维渲染模块是一种利用3D CAD数据生成专业级的产品图片，用于在产品宣传、市场推广、课程3D资源渲染高清图等应用本模块，可实现同步性（与产品设计模块中文件同步自动更新）、智能降噪器（渲染效率的10倍提升）、应用产品设计模块中模型材质（无需重复添加）、应用产品设计模块中模型动画、发布多种格式（高清图片、网页、VR等）、无需CAD基础（低学习曲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（1）交互式VR，VR输出可渲染由用户指定数量的模型周边图像，并将其缝合到一起以便从所有角度查看模型，从而围绕模型创造真正的交互式体验。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全景输出，全景输出可将多个渲染图像缝合到一起，以围绕活动相机形成360度全景。创建后，活动相机将作为中心点，通过该点您可进行转动和缩放以浏览环境。全景输出方便用于内部空间，并且可利用所有渲染模式（预览、快速、精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（3）配置，在单个三维渲染模块项目文件中，迅速生成多个设计变型、产品变型、材料选项、环境、相机角度等，然后单击一个按钮即可一次性自动渲染所有配置，适用于具有多个零件/材料选项的项目。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完整动画套件，仅需单击即可生成360度转盘动画，使此类输出变得轻而易举。零件/组/模型动画适用于动画爆炸视图、序列动画等，可解释复杂机械运动和详细设计。带有独特的动画功能区的相机动画，可直观3D展示相机如何在场景中移动，便于创建相机飞行轨迹。日光算例输出类型允许三维渲染模块用户查看模型中一整天光线的变化。</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（5）自定义相机后处理，利用可定制的相机滤镜和全新的Bloom Filter，可以充分发挥您的创造力，并为您的可视化内容添加额外的效果，非常适合发光的LED，灯光和太阳亮点。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（6）渲染队列，类似于打印机队列，叠加渲染作业以便一次性全部发送，例如，在一天结束时这么做，可保持工作时间的工作效率，然后隔夜进行所有渲染。集成的渲染队列将立刻提升渲染效果。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（7）网络渲染包，网络渲染包是三维渲染模块的一个新的附加功，可以立即提高渲染速度和可视化内容生产效率。允许用户将渲染作业发送到局域网的其他机器，从而释放本地机器。</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数字孪生系统开发平台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1.数字孪生系统开发平台要求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1）要求数字孪生系统开发平台是国产自主可控基于B/S架构开发的软件系统，能够在校园网内私有化部署全部服务，实现内网运行；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2）要求后端服务基于微服务架构，支持跨平台分布式部署；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3）系统要求支持项目在线搭建以及发布功能。发布的项目支持第三方集成并可以进行二次开发；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4）支持主流桌面端浏览器、移动端浏览器登录平台；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5）接口通信：支持TCP/UDP，Http/Https，OPC-UA等方式；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6）平台支持蓝图编辑功能，实现设备模型之间信号关联与接口连接；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7）平台提供模型库、设备资源库、渲染素材库，并支持用户扩展和管理；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8）平台具备团队管理和项目管理功能，支持对用户账号进行权限配置，允许用户以小组为单位共同合作开发数字孪生项目；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2.模型库要求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1）基础模型库：包含六关节机器人、协作机器人、Scara机器人、数控机床、桁架机械手、AGV、输送带、伺服直线导轨等常用工艺仿真模型；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2）制造模型库：支持用户自主上传资源，通过平台在线制作模型。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3.三维布局要求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1）布局工具：包括但不限于移动、复制、粘贴、阵列、测量、捕捉、附加、分离、拼合等；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2）支持从模型库中拖拽三维模型至3D空间，结合布局工具进行产线搭建；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3）支持场景地板网格颜色大小等参数调整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4.渲染要求：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1）渲染工具：支持法线贴图、纹理贴图、环境贴图、渲染质量、金属度、粗糙度等修改；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2）贴图库：包含系统贴图库和用户贴图库，并支持用户本地上传贴图。</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5.设备模拟仿真要求：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1）支持距离传感器、RFID读写传感器的传感器仿真；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2）支持变速传送带的仿真；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3）机器人模拟仿真：实现关节机器人、协作机器人、Scara机器人、桁架机器人的运动仿真、路径规划和可达性分析；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4）AGV模拟仿真：实现AGV小车路径规划、自动寻路等仿真；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5）生产线仿真数据：包括机器人关节数据和设备状态信息，如运行、停止、故障，以及运行时间、停止时间、故障时间等基础数据，结合3D悬浮看板呈现数据。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6.人机操作交互要求：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1）支持第一人称操作及第三人称操作；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2）支持模型在屏幕中移动、缩放、透视等操作；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3）支持设备添加单击、双击、右击等交互事件。</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生产制造执行开发平台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1.平台功能描述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1）工厂建模描述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（1）可视化的设计界面：平台提供直观的可视化图形设计界面，用户可以通过拖拽和放置来创建和配置各种对象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（2）支可自定义对象属性及模型属性；根据需求，图形化编程配置工厂管理的业务实体模型，平台自动进行后台编译，并创建数据库</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（3）自定义属性和字段：用户可以为每个图形对象自定义属性和字段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（4）关联和关系建模：支持用户定义和建模对象间关系，支持图形化编程，无需代码开发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（5）表单和界面定制：支持创建自定义表单和视图，用于展示和编辑对象的数据流程设计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2）流程设计描述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（1）可视化的流程设计器：具备，并内嵌了流程引擎</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（2）流程建模界面：支持开发各自功能的流程节点，并通过拖放元素、连接节点等方式设计流程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（3）BPMN标准支持：支持BPMN标准中定义的各种流程元素和符号，支持根据需求构建流程逻辑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（4）支持流程模板和预置组件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（5）实时状态：支持实时查看流程状态，动态获知流程实例运行节点及流程全部信息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（6）支持二次开发，通过可视化图形流程设计实现流程的自动化执行和管理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3）页面设计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（1）具备拖拽式界面设计工具，支持通过拖拽组件、控件、布局等方式快速构建页面并与数据模型对接，实现数据的展示、交互和处理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（2）支持自定义组件和模板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（3）支持页面与数据模型对接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（4）具备页面控件库，包括表格、表单、图表、地图等常用控件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（5）支持脚本编辑器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2.基本功能描述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1）▲业务建模管理模块对象图功能：业务建模管理模块以对象图的形式展现对象模型，支持在对象图中直观地进行属性与方法编辑，实现对象模型的灵活扩展与定制，支持二次开发</w:t>
            </w:r>
            <w:r>
              <w:rPr>
                <w:rFonts w:hint="eastAsia" w:ascii="仿宋" w:hAnsi="仿宋" w:eastAsia="仿宋" w:cs="仿宋"/>
                <w:b/>
                <w:bCs/>
                <w:color w:val="000000"/>
                <w:szCs w:val="21"/>
                <w:highlight w:val="none"/>
                <w:lang w:bidi="ar"/>
              </w:rPr>
              <w:t xml:space="preserve">（提供</w:t>
            </w:r>
            <w:r>
              <w:rPr>
                <w:rFonts w:hint="eastAsia" w:ascii="仿宋" w:hAnsi="仿宋" w:eastAsia="仿宋" w:cs="仿宋"/>
                <w:b/>
                <w:bCs/>
                <w:color w:val="000000"/>
                <w:szCs w:val="21"/>
                <w:highlight w:val="none"/>
                <w:lang w:val="en-US" w:eastAsia="zh-CN" w:bidi="ar"/>
              </w:rPr>
              <w:t xml:space="preserve">第三方检测</w:t>
            </w:r>
            <w:r>
              <w:rPr>
                <w:rFonts w:hint="eastAsia" w:ascii="仿宋" w:hAnsi="仿宋" w:eastAsia="仿宋" w:cs="仿宋"/>
                <w:b/>
                <w:bCs/>
                <w:color w:val="000000"/>
                <w:szCs w:val="21"/>
                <w:highlight w:val="none"/>
                <w:lang w:bidi="ar"/>
              </w:rPr>
              <w:t xml:space="preserve">机构出具的带有CMA标志的检测报告加盖</w:t>
            </w:r>
            <w:r>
              <w:rPr>
                <w:rFonts w:hint="eastAsia" w:ascii="仿宋" w:hAnsi="仿宋" w:eastAsia="仿宋" w:cs="仿宋"/>
                <w:b/>
                <w:bCs/>
                <w:color w:val="000000"/>
                <w:szCs w:val="21"/>
                <w:highlight w:val="none"/>
                <w:lang w:val="en-US" w:eastAsia="zh-CN" w:bidi="ar"/>
              </w:rPr>
              <w:t xml:space="preserve">投标人和制造商</w:t>
            </w:r>
            <w:r>
              <w:rPr>
                <w:rFonts w:hint="eastAsia" w:ascii="仿宋" w:hAnsi="仿宋" w:eastAsia="仿宋" w:cs="仿宋"/>
                <w:b/>
                <w:bCs/>
                <w:color w:val="000000"/>
                <w:szCs w:val="21"/>
                <w:highlight w:val="none"/>
                <w:lang w:bidi="ar"/>
              </w:rPr>
              <w:t xml:space="preserve">公章）</w:t>
            </w:r>
            <w:r>
              <w:rPr>
                <w:rFonts w:hint="eastAsia" w:ascii="仿宋" w:hAnsi="仿宋" w:eastAsia="仿宋" w:cs="仿宋"/>
                <w:color w:val="000000"/>
                <w:szCs w:val="21"/>
                <w:highlight w:val="none"/>
                <w:lang w:bidi="ar"/>
              </w:rPr>
              <w:t xml:space="preserv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2）▲状态策略模块状态转换表功能：状态策略模块支持以状态转换表形式管理状态迁移及其转换规则，支持二次开发</w:t>
            </w:r>
            <w:r>
              <w:rPr>
                <w:rFonts w:hint="eastAsia" w:ascii="仿宋" w:hAnsi="仿宋" w:eastAsia="仿宋" w:cs="仿宋"/>
                <w:b/>
                <w:bCs/>
                <w:color w:val="000000"/>
                <w:szCs w:val="21"/>
                <w:highlight w:val="none"/>
                <w:lang w:bidi="ar"/>
              </w:rPr>
              <w:t xml:space="preserve">（提供</w:t>
            </w:r>
            <w:r>
              <w:rPr>
                <w:rFonts w:hint="eastAsia" w:ascii="仿宋" w:hAnsi="仿宋" w:eastAsia="仿宋" w:cs="仿宋"/>
                <w:b/>
                <w:bCs/>
                <w:color w:val="000000"/>
                <w:szCs w:val="21"/>
                <w:highlight w:val="none"/>
                <w:lang w:val="en-US" w:eastAsia="zh-CN" w:bidi="ar"/>
              </w:rPr>
              <w:t xml:space="preserve">第三方检测</w:t>
            </w:r>
            <w:r>
              <w:rPr>
                <w:rFonts w:hint="eastAsia" w:ascii="仿宋" w:hAnsi="仿宋" w:eastAsia="仿宋" w:cs="仿宋"/>
                <w:b/>
                <w:bCs/>
                <w:color w:val="000000"/>
                <w:szCs w:val="21"/>
                <w:highlight w:val="none"/>
                <w:lang w:bidi="ar"/>
              </w:rPr>
              <w:t xml:space="preserve">机构出具的带有CMA标志的检测报告加盖</w:t>
            </w:r>
            <w:r>
              <w:rPr>
                <w:rFonts w:hint="eastAsia" w:ascii="仿宋" w:hAnsi="仿宋" w:eastAsia="仿宋" w:cs="仿宋"/>
                <w:b/>
                <w:bCs/>
                <w:color w:val="000000"/>
                <w:szCs w:val="21"/>
                <w:highlight w:val="none"/>
                <w:lang w:val="en-US" w:eastAsia="zh-CN" w:bidi="ar"/>
              </w:rPr>
              <w:t xml:space="preserve">投标人和制造商</w:t>
            </w:r>
            <w:r>
              <w:rPr>
                <w:rFonts w:hint="eastAsia" w:ascii="仿宋" w:hAnsi="仿宋" w:eastAsia="仿宋" w:cs="仿宋"/>
                <w:b/>
                <w:bCs/>
                <w:color w:val="000000"/>
                <w:szCs w:val="21"/>
                <w:highlight w:val="none"/>
                <w:lang w:bidi="ar"/>
              </w:rPr>
              <w:t xml:space="preserve">公章）</w:t>
            </w:r>
            <w:r>
              <w:rPr>
                <w:rFonts w:hint="eastAsia" w:ascii="仿宋" w:hAnsi="仿宋" w:eastAsia="仿宋" w:cs="仿宋"/>
                <w:color w:val="000000"/>
                <w:szCs w:val="21"/>
                <w:highlight w:val="none"/>
                <w:lang w:bidi="ar"/>
              </w:rPr>
              <w:t xml:space="preserv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3）大屏看板图形组件编辑与拖拽式布局设计：大屏看板支持展示图形组件编辑与拖拽式布局设计，可灵活配置展示页面的结构与内容，支持二次开发。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节点数据管理与数据隔离功能：每个节点具备独立数据管理的功能，拥有独立权限与数据隔离，不同学生间的数据互不干涉。每个节点具备独立控制“数字孪生系统开发平台”中不同虚拟产线下单能力，支持对新建的产线模型进行工艺路径的图形化流程定义与配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5）▲业务组件的低码编辑功能：系统页面支持业务组件的低码编辑以快速响应客户需求进行灵活调整，无需复杂部署流程实现快速上线</w:t>
            </w:r>
            <w:r>
              <w:rPr>
                <w:rFonts w:hint="eastAsia" w:ascii="仿宋" w:hAnsi="仿宋" w:eastAsia="仿宋" w:cs="仿宋"/>
                <w:b/>
                <w:bCs/>
                <w:color w:val="000000"/>
                <w:szCs w:val="21"/>
                <w:highlight w:val="none"/>
                <w:lang w:bidi="ar"/>
              </w:rPr>
              <w:t xml:space="preserve">（提供</w:t>
            </w:r>
            <w:r>
              <w:rPr>
                <w:rFonts w:hint="eastAsia" w:ascii="仿宋" w:hAnsi="仿宋" w:eastAsia="仿宋" w:cs="仿宋"/>
                <w:b/>
                <w:bCs/>
                <w:color w:val="000000"/>
                <w:szCs w:val="21"/>
                <w:highlight w:val="none"/>
                <w:lang w:val="en-US" w:eastAsia="zh-CN" w:bidi="ar"/>
              </w:rPr>
              <w:t xml:space="preserve">第三方检测</w:t>
            </w:r>
            <w:r>
              <w:rPr>
                <w:rFonts w:hint="eastAsia" w:ascii="仿宋" w:hAnsi="仿宋" w:eastAsia="仿宋" w:cs="仿宋"/>
                <w:b/>
                <w:bCs/>
                <w:color w:val="000000"/>
                <w:szCs w:val="21"/>
                <w:highlight w:val="none"/>
                <w:lang w:bidi="ar"/>
              </w:rPr>
              <w:t xml:space="preserve">机构出具的带有CMA标志的检测报告加盖</w:t>
            </w:r>
            <w:r>
              <w:rPr>
                <w:rFonts w:hint="eastAsia" w:ascii="仿宋" w:hAnsi="仿宋" w:eastAsia="仿宋" w:cs="仿宋"/>
                <w:b/>
                <w:bCs/>
                <w:color w:val="000000"/>
                <w:szCs w:val="21"/>
                <w:highlight w:val="none"/>
                <w:lang w:val="en-US" w:eastAsia="zh-CN" w:bidi="ar"/>
              </w:rPr>
              <w:t xml:space="preserve">投标人和制造商</w:t>
            </w:r>
            <w:r>
              <w:rPr>
                <w:rFonts w:hint="eastAsia" w:ascii="仿宋" w:hAnsi="仿宋" w:eastAsia="仿宋" w:cs="仿宋"/>
                <w:b/>
                <w:bCs/>
                <w:color w:val="000000"/>
                <w:szCs w:val="21"/>
                <w:highlight w:val="none"/>
                <w:lang w:bidi="ar"/>
              </w:rPr>
              <w:t xml:space="preserve">公章）</w:t>
            </w:r>
            <w:r>
              <w:rPr>
                <w:rFonts w:hint="eastAsia" w:ascii="仿宋" w:hAnsi="仿宋" w:eastAsia="仿宋" w:cs="仿宋"/>
                <w:color w:val="000000"/>
                <w:szCs w:val="21"/>
                <w:highlight w:val="none"/>
                <w:lang w:bidi="ar"/>
              </w:rPr>
              <w:t xml:space="preserv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6）提供源代码。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3.数据接入功能要求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1）▲支持基于HTTP/HTTPS的Restful API接入</w:t>
            </w:r>
            <w:r>
              <w:rPr>
                <w:rFonts w:hint="eastAsia" w:ascii="仿宋" w:hAnsi="仿宋" w:eastAsia="仿宋" w:cs="仿宋"/>
                <w:b/>
                <w:bCs/>
                <w:color w:val="000000"/>
                <w:szCs w:val="21"/>
                <w:highlight w:val="none"/>
                <w:lang w:bidi="ar"/>
              </w:rPr>
              <w:t xml:space="preserve">（提供</w:t>
            </w:r>
            <w:r>
              <w:rPr>
                <w:rFonts w:hint="eastAsia" w:ascii="仿宋" w:hAnsi="仿宋" w:eastAsia="仿宋" w:cs="仿宋"/>
                <w:b/>
                <w:bCs/>
                <w:color w:val="000000"/>
                <w:szCs w:val="21"/>
                <w:highlight w:val="none"/>
                <w:lang w:val="en-US" w:eastAsia="zh-CN" w:bidi="ar"/>
              </w:rPr>
              <w:t xml:space="preserve">第三方检测</w:t>
            </w:r>
            <w:r>
              <w:rPr>
                <w:rFonts w:hint="eastAsia" w:ascii="仿宋" w:hAnsi="仿宋" w:eastAsia="仿宋" w:cs="仿宋"/>
                <w:b/>
                <w:bCs/>
                <w:color w:val="000000"/>
                <w:szCs w:val="21"/>
                <w:highlight w:val="none"/>
                <w:lang w:bidi="ar"/>
              </w:rPr>
              <w:t xml:space="preserve">机构出具的带有 CMA标志的检测报告加盖</w:t>
            </w:r>
            <w:r>
              <w:rPr>
                <w:rFonts w:hint="eastAsia" w:ascii="仿宋" w:hAnsi="仿宋" w:eastAsia="仿宋" w:cs="仿宋"/>
                <w:b/>
                <w:bCs/>
                <w:color w:val="000000"/>
                <w:szCs w:val="21"/>
                <w:highlight w:val="none"/>
                <w:lang w:val="en-US" w:eastAsia="zh-CN" w:bidi="ar"/>
              </w:rPr>
              <w:t xml:space="preserve">投标人和制造商</w:t>
            </w:r>
            <w:r>
              <w:rPr>
                <w:rFonts w:hint="eastAsia" w:ascii="仿宋" w:hAnsi="仿宋" w:eastAsia="仿宋" w:cs="仿宋"/>
                <w:b/>
                <w:bCs/>
                <w:color w:val="000000"/>
                <w:szCs w:val="21"/>
                <w:highlight w:val="none"/>
                <w:lang w:bidi="ar"/>
              </w:rPr>
              <w:t xml:space="preserve">公章）</w:t>
            </w:r>
            <w:r>
              <w:rPr>
                <w:rFonts w:hint="eastAsia" w:ascii="仿宋" w:hAnsi="仿宋" w:eastAsia="仿宋" w:cs="仿宋"/>
                <w:color w:val="000000"/>
                <w:szCs w:val="21"/>
                <w:highlight w:val="none"/>
                <w:lang w:eastAsia="zh" w:bidi="ar"/>
              </w:rPr>
              <w:t xml:space="preserve">。</w:t>
            </w:r>
            <w:r>
              <w:rPr>
                <w:rFonts w:hint="eastAsia" w:ascii="仿宋" w:hAnsi="仿宋" w:eastAsia="仿宋" w:cs="仿宋"/>
                <w:color w:val="000000"/>
                <w:szCs w:val="21"/>
                <w:highlight w:val="none"/>
                <w:lang w:eastAsia="zh"/>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2）支持基于中间表的数据同步接入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3）支持基于对象存储的文件数据接入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4.算法封装嵌入功能：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1）▲支持嵌入第三方算法模块，通过模块化和接口化实现算法与MES核心流程的无缝集成</w:t>
            </w:r>
            <w:r>
              <w:rPr>
                <w:rFonts w:hint="eastAsia" w:ascii="仿宋" w:hAnsi="仿宋" w:eastAsia="仿宋" w:cs="仿宋"/>
                <w:b/>
                <w:bCs/>
                <w:color w:val="000000"/>
                <w:szCs w:val="21"/>
                <w:highlight w:val="none"/>
                <w:lang w:bidi="ar"/>
              </w:rPr>
              <w:t xml:space="preserve">（提供</w:t>
            </w:r>
            <w:r>
              <w:rPr>
                <w:rFonts w:hint="eastAsia" w:ascii="仿宋" w:hAnsi="仿宋" w:eastAsia="仿宋" w:cs="仿宋"/>
                <w:b/>
                <w:bCs/>
                <w:color w:val="000000"/>
                <w:szCs w:val="21"/>
                <w:highlight w:val="none"/>
                <w:lang w:val="en-US" w:eastAsia="zh-CN" w:bidi="ar"/>
              </w:rPr>
              <w:t xml:space="preserve">第三方检测</w:t>
            </w:r>
            <w:r>
              <w:rPr>
                <w:rFonts w:hint="eastAsia" w:ascii="仿宋" w:hAnsi="仿宋" w:eastAsia="仿宋" w:cs="仿宋"/>
                <w:b/>
                <w:bCs/>
                <w:color w:val="000000"/>
                <w:szCs w:val="21"/>
                <w:highlight w:val="none"/>
                <w:lang w:bidi="ar"/>
              </w:rPr>
              <w:t xml:space="preserve">机构出具的带有CMA标志的检测报告加盖</w:t>
            </w:r>
            <w:r>
              <w:rPr>
                <w:rFonts w:hint="eastAsia" w:ascii="仿宋" w:hAnsi="仿宋" w:eastAsia="仿宋" w:cs="仿宋"/>
                <w:b/>
                <w:bCs/>
                <w:color w:val="000000"/>
                <w:szCs w:val="21"/>
                <w:highlight w:val="none"/>
                <w:lang w:val="en-US" w:eastAsia="zh-CN" w:bidi="ar"/>
              </w:rPr>
              <w:t xml:space="preserve">投标人和制造商</w:t>
            </w:r>
            <w:r>
              <w:rPr>
                <w:rFonts w:hint="eastAsia" w:ascii="仿宋" w:hAnsi="仿宋" w:eastAsia="仿宋" w:cs="仿宋"/>
                <w:b/>
                <w:bCs/>
                <w:color w:val="000000"/>
                <w:szCs w:val="21"/>
                <w:highlight w:val="none"/>
                <w:lang w:bidi="ar"/>
              </w:rPr>
              <w:t xml:space="preserve">公章）</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2）▲通过RESTful API或数据同步方案与MES系统实现数据集成</w:t>
            </w:r>
            <w:r>
              <w:rPr>
                <w:rFonts w:hint="eastAsia" w:ascii="仿宋" w:hAnsi="仿宋" w:eastAsia="仿宋" w:cs="仿宋"/>
                <w:b/>
                <w:bCs/>
                <w:color w:val="000000"/>
                <w:szCs w:val="21"/>
                <w:highlight w:val="none"/>
                <w:lang w:bidi="ar"/>
              </w:rPr>
              <w:t xml:space="preserve">（提供</w:t>
            </w:r>
            <w:r>
              <w:rPr>
                <w:rFonts w:hint="eastAsia" w:ascii="仿宋" w:hAnsi="仿宋" w:eastAsia="仿宋" w:cs="仿宋"/>
                <w:b/>
                <w:bCs/>
                <w:color w:val="000000"/>
                <w:szCs w:val="21"/>
                <w:highlight w:val="none"/>
                <w:lang w:val="en-US" w:eastAsia="zh-CN" w:bidi="ar"/>
              </w:rPr>
              <w:t xml:space="preserve">第三方检测</w:t>
            </w:r>
            <w:r>
              <w:rPr>
                <w:rFonts w:hint="eastAsia" w:ascii="仿宋" w:hAnsi="仿宋" w:eastAsia="仿宋" w:cs="仿宋"/>
                <w:b/>
                <w:bCs/>
                <w:color w:val="000000"/>
                <w:szCs w:val="21"/>
                <w:highlight w:val="none"/>
                <w:lang w:bidi="ar"/>
              </w:rPr>
              <w:t xml:space="preserve">机构出具的带有CMA标志的检测报告加盖</w:t>
            </w:r>
            <w:r>
              <w:rPr>
                <w:rFonts w:hint="eastAsia" w:ascii="仿宋" w:hAnsi="仿宋" w:eastAsia="仿宋" w:cs="仿宋"/>
                <w:b/>
                <w:bCs/>
                <w:color w:val="000000"/>
                <w:szCs w:val="21"/>
                <w:highlight w:val="none"/>
                <w:lang w:val="en-US" w:eastAsia="zh-CN" w:bidi="ar"/>
              </w:rPr>
              <w:t xml:space="preserve">投标人和制造商</w:t>
            </w:r>
            <w:r>
              <w:rPr>
                <w:rFonts w:hint="eastAsia" w:ascii="仿宋" w:hAnsi="仿宋" w:eastAsia="仿宋" w:cs="仿宋"/>
                <w:b/>
                <w:bCs/>
                <w:color w:val="000000"/>
                <w:szCs w:val="21"/>
                <w:highlight w:val="none"/>
                <w:lang w:bidi="ar"/>
              </w:rPr>
              <w:t xml:space="preserve">公章）</w:t>
            </w:r>
            <w:r>
              <w:rPr>
                <w:rFonts w:hint="eastAsia" w:ascii="仿宋" w:hAnsi="仿宋" w:eastAsia="仿宋" w:cs="仿宋"/>
                <w:color w:val="000000"/>
                <w:szCs w:val="21"/>
                <w:highlight w:val="none"/>
                <w:lang w:eastAsia="zh" w:bidi="ar"/>
              </w:rPr>
              <w:t xml:space="preserv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3）在生产制造执行系统的业务流程管理（BPM）或生产流程控制中，嵌入算法处理节，以完成工作流节点嵌入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4）采用缓存机制与异步调用模式，确保算法调用在高并发场景下的实时响应；数据传递采用结构化格式（如JSON或XML）</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5）具备算法一键导入按钮。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5.核心功能模块描述：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1）工厂建模：根据物理对象和逻辑对象对工厂进行模型抽象，建立工厂模型。模型包含物理模型、逻辑模型、业务流程模型和产品工艺模型等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2）工艺路线管理：工艺管理模块用于管理产品的工艺流程和工艺参数，包括工艺路线的设计、工艺参数的设定和工艺流程的跟踪等功能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3）计划和调度：根据订单和产品要求生成生产计划，确定生产时间和资源分配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4）工单管理：MES通过工单来管理生产执行。工单状态有：创建、下达、执行、完成、取消</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5）物料管理：物料管理模块用于管理生产过程中所需的物料信息，包括物料领用、缴库、和超市线边物料管理等功能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6）质量管理：支持实时监测生产过程中的各项指标，如产品的尺寸、重量、温度等，并与预设的标准进行比较，及时发现和纠正异常</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7）设备管理：支持对设备进行精细化的管理，包括设备基础数据管理、设备基准管理、设备保养预警、设备停机管理、日常维保管理、维修管理、设备效能分析及备品备件管理等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8）生产过程监控：设备运行监控SCADA系统包含数据采集、设备报警管理、综合看板管理，看板显示内容包括生产综合现况、品质综合现况、设备综合现况、物料消耗状况等。监控系统能够在设备因故障而停机时对相关人员进行提示，MES系统自动记录各个设备在各个班次停机次数及停机原因</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9）报表管理：通过报表的开发实现计划管理、生产执行、设备管理和质量管理的统计和分析报表</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31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模块化自动生产线教学系统</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本产品需由供料传输工作站、机械手工作站、加工工作站、搬运工作站、装配工作站、检测分拣工作站等六个基本单元等组成。本产品仿真工业自动化生产线的生产过程，为学生提供了综合训练的实验环境。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产品综合应用了现代机械技术、自动控制、计算机控制、传感器、气动控制等多种技术，是典型的机电一体化控制装置。该装置有助于学生对机械设计、自动控制、计算机技术、传感器与检测技术、气动控制技术等知识的学习，对可编程控制器的程序设计、电机控制、传感器检测等技术的应用能够得到实际的训练，提高学生的机电控制系统的设计、装配、调试的综合能力。</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1.输入电源：AC220V±10%，50Hz；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2.整机功率：≥</w:t>
            </w:r>
            <w:r>
              <w:rPr>
                <w:rFonts w:hint="eastAsia" w:ascii="仿宋" w:hAnsi="仿宋" w:eastAsia="仿宋" w:cs="仿宋"/>
                <w:color w:val="000000"/>
                <w:szCs w:val="21"/>
                <w:highlight w:val="none"/>
                <w:lang w:eastAsia="zh"/>
              </w:rPr>
              <w:t xml:space="preserve">5</w:t>
            </w:r>
            <w:r>
              <w:rPr>
                <w:rFonts w:hint="eastAsia" w:ascii="仿宋" w:hAnsi="仿宋" w:eastAsia="仿宋" w:cs="仿宋"/>
                <w:color w:val="000000"/>
                <w:szCs w:val="21"/>
                <w:highlight w:val="none"/>
              </w:rPr>
              <w:t xml:space="preserve">kVA；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3.气源要求：0.4-0.6MPa（压力），55L/MIN（流量）；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4.产品尺寸：≥长2500mm×宽1650mm×高1250mm；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5.安全保护措施：具有过载、短路、漏电保护等功能；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6.产品重量：≥200Kg。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7" w:name="_Toc28475"/>
            <w:r>
              <w:rPr>
                <w:rFonts w:hint="eastAsia" w:ascii="仿宋" w:hAnsi="仿宋" w:eastAsia="仿宋" w:cs="仿宋"/>
                <w:color w:val="000000"/>
                <w:szCs w:val="21"/>
                <w:highlight w:val="none"/>
              </w:rPr>
              <w:t xml:space="preserve">1.供料传输工作站</w:t>
            </w:r>
            <w:bookmarkEnd w:id="187"/>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供料传输工作站需要由铝合金型材基体、料仓、推料气缸、传输带、光电传感器、</w:t>
            </w:r>
            <w:r>
              <w:rPr>
                <w:rFonts w:hint="eastAsia" w:ascii="仿宋" w:hAnsi="仿宋" w:eastAsia="仿宋" w:cs="仿宋"/>
                <w:color w:val="000000"/>
                <w:szCs w:val="21"/>
                <w:highlight w:val="none"/>
                <w:lang w:eastAsia="zh"/>
              </w:rPr>
              <w:t xml:space="preserve">磁性开关</w:t>
            </w:r>
            <w:r>
              <w:rPr>
                <w:rFonts w:hint="eastAsia" w:ascii="仿宋" w:hAnsi="仿宋" w:eastAsia="仿宋" w:cs="仿宋"/>
                <w:color w:val="000000"/>
                <w:szCs w:val="21"/>
                <w:highlight w:val="none"/>
              </w:rPr>
              <w:t xml:space="preserve">、电磁阀及控制系统等组成。当供料传输单元的料仓工件传感器检测到料仓内有毛坯零件时，推料气缸动作，活塞杆伸出，将毛坯零件从仓内推到传输带上，传输带开始运行，同时推料气缸活塞杆收回，准备从仓内推出下个毛坯零件。传输带将毛坯零件送到末端阻挡机构，阻挡机构处的传感器检测到毛坯零件时，发信号给机械手工作站。</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1）供料装置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由铝型材基体、料仓、推料气缸等组成。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2）传输带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由铝型材基体、定位挡板及挡块、主动带轮、被动带轮以及皮带等组成。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3）气动元件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手动阀1个，过滤减压阀1个，电磁阀1个、节流阀2个、快接头及气管若干等组成。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4）控制盒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含启动、停止、自动/手动、联机、复位、急停等按钮。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5）实训桌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尺寸：≥500mm×810mm×750，铝型材加工，含网孔板1块，带转向轮。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6）三相交流电机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电压：三相AC220V 50HZ功率：≥25W速比：10：1</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7）磁性开关（数量：2）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安装在推料气缸上，和气缸配套。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8）PLC控制器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CPU 1214C，紧凑型CPU，DC/DC/DC，机载I/O：≥14个24V DC数字输入；≥10个24VDC数字输出；≥2AI 0-10V DC，电源：DC20.4-28.8VDC，程序存储器/数据存储器150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9）变频器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电压范围：200 V至240 V AC（公差：-15%至+10%）47 Hz至63 Hz；过载电流：150%额定电流，持续时间60秒；环境温度：－10°C至40°C：无降额，40℃至60℃：有降额；存放温度：－40°C至+70°C；额定功率：≥0.55kW；防护等级：IP20；内置基本操作面板（BOP）。</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8" w:name="_Toc30129"/>
            <w:r>
              <w:rPr>
                <w:rFonts w:hint="eastAsia" w:ascii="仿宋" w:hAnsi="仿宋" w:eastAsia="仿宋" w:cs="仿宋"/>
                <w:color w:val="000000"/>
                <w:szCs w:val="21"/>
                <w:highlight w:val="none"/>
              </w:rPr>
              <w:t xml:space="preserve">2.机械手工作站</w:t>
            </w:r>
            <w:bookmarkEnd w:id="188"/>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机械手工作站需要由铝合金型材基体、无杆气缸、气爪、</w:t>
            </w:r>
            <w:r>
              <w:rPr>
                <w:rFonts w:hint="eastAsia" w:ascii="仿宋" w:hAnsi="仿宋" w:eastAsia="仿宋" w:cs="仿宋"/>
                <w:color w:val="000000"/>
                <w:szCs w:val="21"/>
                <w:highlight w:val="none"/>
                <w:lang w:eastAsia="zh"/>
              </w:rPr>
              <w:t xml:space="preserve">磁性开关</w:t>
            </w:r>
            <w:r>
              <w:rPr>
                <w:rFonts w:hint="eastAsia" w:ascii="仿宋" w:hAnsi="仿宋" w:eastAsia="仿宋" w:cs="仿宋"/>
                <w:color w:val="000000"/>
                <w:szCs w:val="21"/>
                <w:highlight w:val="none"/>
              </w:rPr>
              <w:t xml:space="preserve">、控制系统等组成。当机械手工作站接到供料传输工作站发出的取毛胚零件信息后，机械手机构动作，X轴向供料传输工作站的传输带末端移动，到毛坯零件垂直上方时，Z轴动作，Z轴下降，气爪动作抓取毛坯零件，然后Z轴上升，接着X轴向加工工作站的四工位转台的进料工位端移动，到四工位转台的进料工位垂直上方时，Z轴模组下降，气爪动作释放毛坯零件，然后机械手回原位，准备搬运下个毛坯零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1）机械手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由铝型材支架、无杆气缸、升降气缸、气爪等组成。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2）气动元件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手动阀1个，过滤减压阀1</w:t>
            </w:r>
            <w:r>
              <w:rPr>
                <w:rFonts w:hint="eastAsia" w:ascii="仿宋" w:hAnsi="仿宋" w:eastAsia="仿宋" w:cs="仿宋"/>
                <w:color w:val="000000"/>
                <w:szCs w:val="21"/>
                <w:highlight w:val="none"/>
                <w:lang w:eastAsia="zh"/>
              </w:rPr>
              <w:t xml:space="preserve">个、消</w:t>
            </w:r>
            <w:r>
              <w:rPr>
                <w:rFonts w:hint="eastAsia" w:ascii="仿宋" w:hAnsi="仿宋" w:eastAsia="仿宋" w:cs="仿宋"/>
                <w:color w:val="000000"/>
                <w:szCs w:val="21"/>
                <w:highlight w:val="none"/>
              </w:rPr>
              <w:t xml:space="preserve">声器2个、节流阀6个、快接头及气管若干，电磁阀3个、气路板1块等组成。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3）控制盒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含启动、停止、自动/手动、联机、复位、急停等按钮。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4）实训桌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尺寸：≥500mm×810mm×750，铝型材加工，含网孔板1块，带转向轮。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5）PLC控制器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CPU 1214C，紧凑型CPU，DC/DC/DC，机载I/O：≥14个24V DC数字输入；≥10个24VDC数字输出；≥2AI 0-10V DC，电源：DC20.4-28.8VDC，程序存储器/数据存储器150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89" w:name="_Toc8178"/>
            <w:r>
              <w:rPr>
                <w:rFonts w:hint="eastAsia" w:ascii="仿宋" w:hAnsi="仿宋" w:eastAsia="仿宋" w:cs="仿宋"/>
                <w:color w:val="000000"/>
                <w:szCs w:val="21"/>
                <w:highlight w:val="none"/>
              </w:rPr>
              <w:t xml:space="preserve">3.加工工作站</w:t>
            </w:r>
            <w:bookmarkEnd w:id="189"/>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加工工作站需要由铝合金型材基体、模拟钻台、升降气缸、夹紧气缸、视觉检测、四工位转台（转台转动应用槽轮传动定位机构，具有定位精确、效率高等优点）、光电传感器、电感式传感器、</w:t>
            </w:r>
            <w:r>
              <w:rPr>
                <w:rFonts w:hint="eastAsia" w:ascii="仿宋" w:hAnsi="仿宋" w:eastAsia="仿宋" w:cs="仿宋"/>
                <w:color w:val="000000"/>
                <w:szCs w:val="21"/>
                <w:highlight w:val="none"/>
                <w:lang w:eastAsia="zh"/>
              </w:rPr>
              <w:t xml:space="preserve">磁性开关</w:t>
            </w:r>
            <w:r>
              <w:rPr>
                <w:rFonts w:hint="eastAsia" w:ascii="仿宋" w:hAnsi="仿宋" w:eastAsia="仿宋" w:cs="仿宋"/>
                <w:color w:val="000000"/>
                <w:szCs w:val="21"/>
                <w:highlight w:val="none"/>
              </w:rPr>
              <w:t xml:space="preserve">、电磁阀及PLC控制系统等组成。</w:t>
            </w:r>
            <w:r>
              <w:rPr>
                <w:rFonts w:hint="eastAsia" w:ascii="仿宋" w:hAnsi="仿宋" w:eastAsia="仿宋" w:cs="仿宋"/>
                <w:color w:val="000000"/>
                <w:szCs w:val="21"/>
                <w:highlight w:val="none"/>
              </w:rPr>
              <w:t xml:space="preserve">当加工工作站四工位转台的传感器检测到有毛坯零件时，四工位转台的驱动槽轮机构工作，旋转90º，将毛坯零件送到钻削加工工位，夹紧气缸动作，活塞杆伸出将毛坯零件夹紧，升降气缸动作，活塞杆伸出钻台下降，钻头转动做模拟钻孔加工，加工结束后，升降气缸活塞杆收回钻台上升回原位，准备对下个毛坯零件进行钻削加工。夹紧气缸活塞杆收回松开已加工好的工件，接着四工位转台再旋转90º，将已加工好的工件送到视觉检测工位，对工件的直径进行测量，并将检测结果告诉搬运工作站。接着四工位转台再顺时针旋转90º，将已测过孔径的工件送到出料工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1）钻削加工装置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由铝型材支架、模拟电钻、升降气缸等组成。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2）孔深度检测装置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由铝型材支架、孔深测量视觉等组成。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3）四工位转台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由四工位转台、夹紧气缸等组成。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4）气动元件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手动阀1个，过滤减压阀1个，电磁阀3个、气路板1块、消声器2个、节流阀6个、快接头及气管若干等组成。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5）控制盒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含启动、停止、自动/手动、单机/联网、复位、急停等按钮。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6）实训桌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尺寸：≥500mm×810mm×750，铝型材加工，含网孔板1块，带转向轮。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7）光电传感器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漫反射型检测距离100mm可检测不透明体和半透明体直流24V。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8）PLC控制器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紧凑型CPU，DC/DC/DC，机载I/O：≥14个24V DC数字输入；≥10个24VDC数字输出；≥2AI 0-10V DC，电源：DC20.4-28.8VDC，程序存储器/数据存储器150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4.搬运工作站</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搬运工作站需要由铝合金型材基体、步进驱动系统、伸缩气缸、升降气缸、气爪机构、</w:t>
            </w:r>
            <w:r>
              <w:rPr>
                <w:rFonts w:hint="eastAsia" w:ascii="仿宋" w:hAnsi="仿宋" w:eastAsia="仿宋" w:cs="仿宋"/>
                <w:color w:val="000000"/>
                <w:szCs w:val="21"/>
                <w:highlight w:val="none"/>
                <w:lang w:eastAsia="zh"/>
              </w:rPr>
              <w:t xml:space="preserve">磁性开关</w:t>
            </w:r>
            <w:r>
              <w:rPr>
                <w:rFonts w:hint="eastAsia" w:ascii="仿宋" w:hAnsi="仿宋" w:eastAsia="仿宋" w:cs="仿宋"/>
                <w:color w:val="000000"/>
                <w:szCs w:val="21"/>
                <w:highlight w:val="none"/>
              </w:rPr>
              <w:t xml:space="preserve">、电磁阀及PLC控制系统等组成。当加工工作站将已加工和检测过的工件送到出料工位时，搬运工作站机械手开</w:t>
            </w:r>
            <w:r>
              <w:rPr>
                <w:rFonts w:hint="eastAsia" w:ascii="仿宋" w:hAnsi="仿宋" w:eastAsia="仿宋" w:cs="仿宋"/>
                <w:color w:val="000000"/>
                <w:szCs w:val="21"/>
                <w:highlight w:val="none"/>
              </w:rPr>
              <w:t xml:space="preserve">始工作，步进转动机构转动，机械手摆臂摆至加工工作站的出料工位，接着伸缩气缸活塞杆伸出至出料工位工件垂直上方，升降气缸动作，活塞杆伸出（下降），气爪动作抓取已加工和检测的工件，然后升降气缸活塞杆收回（上升），伸缩气缸活塞杆收回。步进转动机构转动，机械手摆臂则摆至装配工作站的装配平台位置，，将工件搬到装配工作站的装配平台上，然后机械手回到等待位置，待工件装销完成后，机械手将已装上销子的工件从装配平台上取下，步进转动机构转动，机械手摆臂摆至分拣单元的传输带起始端位置，将已装上销子的工件送到分拣工作站进行分拣处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1）机械手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由铝型材支架、摆臂摆动驱动机构，伸缩气缸（导杆气缸）、升降气缸、气爪等组成。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2）气动元件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手动阀1个，过滤减压阀1个，电磁阀3个、气路板1块、消声器2个、节流阀6个、快接头及气管若干等组成。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3）控制盒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含启动、停止、自动/手动、联机、复位、急停等按钮。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4）实训桌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尺寸：≥500mm×810mm×750，铝型材加工，含网孔板1块，带转向轮。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5）PLC控制器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紧凑型CPU，DC/DC/DC，机载I/O：≥14个24V DC数字输入；≥10个24VDC数字输出；≥2AI 0-10V DC，电源：DC20.4-28.8VDC，程序存储器/数据存储器150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7）伺服驱动器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SINAMICS V90，带PROFINET，输入电压：单相200～240V，输出电压：0–220V，电流2.6A功率：≥0.4kW。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8）伺服电机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工作电压230 V，三相交流PN≥0.4 kW；NN≥3000 U/min M0≥1.27 Nm；MN≥1.27 Nm轴高度30 mm增量编码器TTL 2500增量/转带滑键。含3M电缆。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90" w:name="_Toc11393"/>
            <w:r>
              <w:rPr>
                <w:rFonts w:hint="eastAsia" w:ascii="仿宋" w:hAnsi="仿宋" w:eastAsia="仿宋" w:cs="仿宋"/>
                <w:color w:val="000000"/>
                <w:szCs w:val="21"/>
                <w:highlight w:val="none"/>
              </w:rPr>
              <w:t xml:space="preserve">5.装配工作站</w:t>
            </w:r>
            <w:bookmarkEnd w:id="190"/>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装配工作站需要由铝合金型材基体、翻转台、旋转气缸、推出定位气缸、装配料仓及推销装配气缸、</w:t>
            </w:r>
            <w:r>
              <w:rPr>
                <w:rFonts w:hint="eastAsia" w:ascii="仿宋" w:hAnsi="仿宋" w:eastAsia="仿宋" w:cs="仿宋"/>
                <w:color w:val="000000"/>
                <w:szCs w:val="21"/>
                <w:highlight w:val="none"/>
                <w:lang w:eastAsia="zh"/>
              </w:rPr>
              <w:t xml:space="preserve">磁性开关</w:t>
            </w:r>
            <w:r>
              <w:rPr>
                <w:rFonts w:hint="eastAsia" w:ascii="仿宋" w:hAnsi="仿宋" w:eastAsia="仿宋" w:cs="仿宋"/>
                <w:color w:val="000000"/>
                <w:szCs w:val="21"/>
                <w:highlight w:val="none"/>
              </w:rPr>
              <w:t xml:space="preserve">、电磁阀、PLC控制系统等组成。当搬运工作站机械手将已加工和检测过的合格工件，搬到装配工作站的装配平台上时，转动气缸动</w:t>
            </w:r>
            <w:r>
              <w:rPr>
                <w:rFonts w:hint="eastAsia" w:ascii="仿宋" w:hAnsi="仿宋" w:eastAsia="仿宋" w:cs="仿宋"/>
                <w:color w:val="000000"/>
                <w:szCs w:val="21"/>
                <w:highlight w:val="none"/>
              </w:rPr>
              <w:t xml:space="preserve">作，装配平台旋转90º，装配平台的定位气缸动作，活塞杆伸出，使工件上表面与供销机构料仓的有机玻璃板紧贴，且供料仓内最下面的一个销子、出销孔与工件装销孔的圆心恰好保持在同一条直线上，推料气缸活塞杆伸出，将料仓内最下面的一个销子推进工件的中心孔内。然后推料气缸活塞杆收回，料仓内的倒数第二个销子自动落到最下面，推料气缸准备推下个销子，同时装配平台的定位气缸活塞杆收回，使工件上表面与供销机构料仓的有机玻璃板分离。接着转动气缸动作，装配平台反向旋转90º恢复常态，完成装配作业，待搬运工作站机械手来取装配平台上的工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装配机构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由铝型材支架、翻转台、旋转气缸、推出定位气缸、销子料仓及推销装配气缸等组成。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1）气动元件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手动阀1个，过滤减压阀1个，电磁阀3个、气路板1块、消声器2个、节流阀6个、快接头及气管若干等组成。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2）控制盒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含启动、停止、自动/手动、联机、复位、急停等按钮。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3）实训桌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尺寸：≥500mm×810mm×750，铝型材加工，含网孔板1块，带转向轮。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4）PLC控制器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紧凑型CPU，DC/DC/DC，机载I/O：≥14个24V DC数字输入；≥10个24VDC数字输出；≥2AI 0-10V DC，电源：DC20.4-28.8VDC，程序存储器/数据存储器150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bookmarkStart w:id="191" w:name="_Toc25160"/>
            <w:r>
              <w:rPr>
                <w:rFonts w:hint="eastAsia" w:ascii="仿宋" w:hAnsi="仿宋" w:eastAsia="仿宋" w:cs="仿宋"/>
                <w:color w:val="000000"/>
                <w:szCs w:val="21"/>
                <w:highlight w:val="none"/>
              </w:rPr>
              <w:t xml:space="preserve">6.传输分拣工作站</w:t>
            </w:r>
            <w:bookmarkEnd w:id="191"/>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传输分拣工作站需要由铝合金型材基体、导向气缸、输送带机构、滑槽、光电传感器、</w:t>
            </w:r>
            <w:r>
              <w:rPr>
                <w:rFonts w:hint="eastAsia" w:ascii="仿宋" w:hAnsi="仿宋" w:eastAsia="仿宋" w:cs="仿宋"/>
                <w:color w:val="000000"/>
                <w:szCs w:val="21"/>
                <w:highlight w:val="none"/>
                <w:lang w:eastAsia="zh"/>
              </w:rPr>
              <w:t xml:space="preserve">磁性开关</w:t>
            </w:r>
            <w:r>
              <w:rPr>
                <w:rFonts w:hint="eastAsia" w:ascii="仿宋" w:hAnsi="仿宋" w:eastAsia="仿宋" w:cs="仿宋"/>
                <w:color w:val="000000"/>
                <w:szCs w:val="21"/>
                <w:highlight w:val="none"/>
              </w:rPr>
              <w:t xml:space="preserve">、电磁阀及PLC控制系统等组成。当搬运工作站机械手将已装上销子的工件搬到本单元的传输带上时，传输带开始运行。当工件经过传输带上的工件物理属性检测机构时，该机构的光电接近传感器对工件的颜色进行检测，如果工件为白色，则导向气缸动作，活塞杆伸出，挡料板旋转适当角度，工件传送至1#滑道口处，受挡料板阻挡而滑入1#滑道，然后导向气缸活塞杆收回，准备将下个白色工件挡入1#滑道。如果工件为黑色，则导向气缸不动作，工件传送至2#滑道口处，受传输带末端板阻挡而滑入2#滑道。</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1）检测分拣机构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主要由铝型材支架、工件物理属性检测装置、导向气缸、输送带机构、滑槽等组成。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2）气动元件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手动阀1个，过滤减压阀1个，电磁阀3个、气路板1块、消声器2个、节流阀6个、快接头及气管若干等组成。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3）控制盒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含启动、停止、自动/手动、联机、复位、急停等按钮。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4）实训桌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尺寸：≥500mm×810mm×750，铝型材加工，含网孔板1块，带转向轮。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5）PLC控制器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紧凑型CPU，DC/DC/DC，机载I/O：≥14个24V DC数字输入；≥10个24VDC数字输出；≥2AI 0-10V DC，电源：DC20.4-28.8VDC，程序存储器/数据存储器150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7）光电传感器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镜面反射型检测距离0.1-2m DC24V PNP输出。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8）光纤放大器（对射）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对射光纤和光纤放大器一组内置双灵敏度调节型，光源红色LED（660nm），响应时间Max.1ms PNP输出。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7</w:t>
            </w:r>
            <w:r>
              <w:rPr>
                <w:rFonts w:hint="eastAsia" w:ascii="仿宋" w:hAnsi="仿宋" w:eastAsia="仿宋" w:cs="仿宋"/>
                <w:color w:val="000000"/>
                <w:szCs w:val="21"/>
                <w:highlight w:val="none"/>
              </w:rPr>
              <w:t xml:space="preserve">.气源系统（数量：2）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功率：≥600W</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容积：≥30L 储气罐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排气量：约 10L/min（0.6m³/min）左右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电压：220V 单相 </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7</w:t>
            </w:r>
            <w:r>
              <w:rPr>
                <w:rFonts w:hint="eastAsia" w:ascii="仿宋" w:hAnsi="仿宋" w:eastAsia="仿宋" w:cs="仿宋"/>
                <w:color w:val="000000"/>
                <w:szCs w:val="21"/>
                <w:highlight w:val="none"/>
                <w:lang w:eastAsia="zh"/>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智能装备与物联网实训室</w:t>
            </w:r>
            <w:r>
              <w:rPr>
                <w:rFonts w:hint="eastAsia" w:ascii="仿宋" w:hAnsi="仿宋" w:eastAsia="仿宋" w:cs="仿宋"/>
                <w:color w:val="000000"/>
                <w:szCs w:val="21"/>
                <w:highlight w:val="none"/>
                <w:lang w:eastAsia="zh"/>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bidi="ar"/>
              </w:rPr>
              <w:t xml:space="preserve">现有硬件设备改造服务</w:t>
            </w:r>
            <w:r>
              <w:rPr>
                <w:rFonts w:hint="eastAsia" w:ascii="仿宋" w:hAnsi="仿宋" w:eastAsia="仿宋" w:cs="仿宋"/>
                <w:color w:val="000000"/>
                <w:szCs w:val="21"/>
                <w:highlight w:val="none"/>
              </w:rPr>
            </w:r>
            <w:r/>
          </w:p>
        </w:tc>
        <w:tc>
          <w:tcPr>
            <w:tcW w:w="7635" w:type="dxa"/>
            <w:vAlign w:val="top"/>
            <w:textDirection w:val="lrTb"/>
            <w:noWrap w:val="false"/>
          </w:tcPr>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一、自动仓储实训装置设备维修维护，数量4套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立体库位（3行3列）组件进行维修维护，使其能够存放、检测工件；</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货叉（X轴+Z轴）组件进行维修维护，使其电机能正常运行，丝杠运行顺畅，原点/限位传感器能对运动机构进行实时检测；</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抓手组件维修维护，使其能正常抓取放置工件；</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气动元件（包含电磁阀、磁性开关、气源组件、气管等）检测、更换、维修，使其能正常工作；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电控元件（包含空开、按钮指示灯、中间继电器、传感器、线缆、端子排、线槽等）检测、更换、维修，使其能正常工作；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设备台架维修，使其能安装相关功能模块。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二、气动实验台设备维修维护，数量8套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气动元件（包含电磁阀、磁性开关、气源组件、气管等）检测、更换、维修，使其能正常工作；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电源模块（包含空开、电表、指示灯、面板插座、线缆等）检测、更换、维修，使其能正常工作；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PLC模块（包含PLC、快接插座、线缆等）检测、更换、维修，使其能正常工作；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接线面板模块（包含按钮指示灯、快接插座、线缆等）检测、更换、维修，使其能正常工作。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5、设备台架维修，使其能安装相关功能模块。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三、MPS实训系统设备维修维护，数量1套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需对设备以下单元的相关部件或元件进行维修维护，并需设备功能调试，最终恢复为出厂状态，满足实训上课需求。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供料单元检测、更换、维修，使其能正常工作，主要包含料仓、供料机构、输送带、电控系统、气动元件、台架等；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机械手单元检测、更换、维修，使其能正常工作，主要包含气动机械手、电控系统、气动元件、台架等；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加工单元检测、更换、维修，使其能正常工作，主要包含四工位转台机构、模拟钻孔机构、电控系统、气动元件、台架等；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搬运单元检测、更换、维修，使其能正常工作，主要包含搬运机构、抓手机构、电控系统、气动元件、台架等；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分拣单元检测、更换、维修，使其能正常工作，主要包含搬分拣机构、废料盒、电控系统、气动元件、台架等；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装配单元检测、更换、维修，使其能正常工作，主要包含装配构、电控系统、气动元件、台架等。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四、机械手综合实训装置设备维修维护，数量4套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供料机构检测、更换、维修，使其能正常工作，主要包含料筒、供料机构、工件等；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传输检测机构检测、更换、维修，使其能正常工作，主要包含皮带输送线、检测传感器等；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气动机械手检测、更换、维修，使其能正常工作，主要包含旋转机构（步进电机驱动）、升降气缸、吸盘机构等；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分拣料筒检测、更换、维修，使其能正常工作，主要包含2个放置工件料筒、以及相关检测传感器；</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气动元件（包含电磁阀、磁性开关、气源组件、气管等）检测、更换、维修，使其能正常工作；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电控元件（包含空开、按钮指示灯、中间继电器、传感器、线缆、端子排、线槽等）检测、更换、维修，使其能正常工作；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设备台架维修，使其能安装相关功能模块。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五、颜色分拣实训装置设备维修维护，数量1套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供料机构检测、更换、维修，使其能正常工作，主要包含料筒、供料机构、工件等；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传输机构检测、更换、维修，使其能正常工作，主要包含皮带输送线、检测传感器等；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分拣机构检测、更换、维修，使其能正常工作，主要包含分拣装置、分拣滑道料槽以及相关检测传感器；</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气动元件（包含电磁阀、磁性开关、气源组件、气管等）检测、更换、维修，使其能正常工作；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5、电控元件（包含空开、按钮指示灯、中间继电器、传感器、线缆、端子排、线槽等）检测、更换、维修，使其能正常工作；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6、设备台架维修，使其能安装相关功能模块。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六、气动实训台（含机构）设备维修维护，数量1套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机构模块的检测、更换、维修，使其能正常工作，主要包括模拟供料、搬运、传输、分拣等机构；</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气动元件（包含电磁阀、磁性开关、气源组件、气管等）检测、更换、维修，使其能正常工作；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电控元件（包含空开、按钮指示灯、传感器、线缆、端子排、线槽等）检测、更换、维修，使其能正常工作；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设备台架维修，使其能安装相关功能模块。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七、六层电梯实训装置维修维护，数量2套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六层电梯模型检测、更换、维修，使其能正常工作，主要包括模拟电梯机构、电梯门、梯控按钮；</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电控元件（空开、中间继电器、传感器、线缆、端子排、线槽等）检测、更换、维修，使其能正常工作；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3、设备台架维修，使其能安装相关功能模块。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八、气动装配实训台，数量1套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需对设备以下相关部件或元件进行维修维护，并需设备功能调试，最终恢复为出厂状态，满足实训上课需求。</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料筒供料机构检测、更换、维修，使其能正常工作，主要包含料筒、供料机构、料筒工件等；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料芯供料机构检测、更换、维修，使其能正常工作，主要包含料筒、供料机构、料芯工件等；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搬运机构检测、更换、维修，使其能正常工作，主要包含搬运旋转机构、升降机构、吸附机构等；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气动元件（包含电磁阀、磁性开关、气源组件、气管等）检测、更换、维修，使其能正常工作；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电控元件（包含空开、按钮指示灯、传感器、线缆、端子排、线槽等）检测、更换、维修，使其能正常工作；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设备台架维修，使其能安装相关功能模块。</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九、工业互联网云应用系统</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通过该工业互联网云应用系统能采集检修维护设备的相关数据，并通过4G方式上传至云端，实现远程监控。</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工业互联网云平台</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包含物联云、教学云等功能模块，是一个集设备远程运维管理、在线教学资源库等功能于一体的云平台。</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1）物联云</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包含运营中心、设备中心、分析中心、组态中心、物联中心、用户中心、系统中心、消息中心和预测维护等功能。</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（1）运营中心含有运营驾驶舱，用于在云端展示报表、组态、设备地图监控等信息，实现远程设备监控；</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（2）设备中心能够进行设备管理，并对设备的数据信息、报警信息等进行监控；</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（3）分析中心能够以图表的形式进行数据展示与分析，报表的类型有指标卡、表格、折线图、柱状图、饼图等；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（4）组态中心具有云端组态编辑功能；</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（5）物联中心支持物联管理，应能够进行数据模板管理、盒子管理和报警规则管理；</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（6）用户中心用于用户账号管理以及用户权限设置；</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（7）系统中心用于设定个性化设置与存储配置；</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（8）消息中心能够查询到云平台的操作日志，对于操作人员、操作时间、操作地址进行查看；</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（9）预测性维护：包含样本管理、模型管理、报警统计功能，其中样本管理支持手动采样和自动采样，可对样本进行创建、修改、查看、删除等操作。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2）教学云</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该教学云可通过账号登陆网页版的在线学习平台进行教学资源管理以及在线学习，该教学云平台包含：视频管理、文档管理、分组管理、学习教程等模块，具体功能如下：</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（1）视频管理能够新增上传教学视频作为学习资源，并可对该新增的视频资源的标题、描述、分组、标签等内容进行编辑或选择，同时还可对已上传的教学视频进行查看、删除、恢复等操作；</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（2）文档管理能够新增上传教学文档、视频作为学习资源，并可对该新增的文档、视频资源的标题、描述、分组、标签等内容进行编辑或选择，同时还可对已上传的教学文档进行查看、删除、恢复等操作； </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（3）分组管理能够对平台上所有的教学资源（视频资源、文档资源）进行统一分类管理，可增加相关的分组名和分组描述；</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（4）学习教程作为学生学习在线教学资源的入口，能够支持从不同的维度（如：资源的标题、筛选标签、上传时间、资源类型等）对相关教学资料类型进行筛选；</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（5）支持在线查看相关系统数据，如：今日资源查看总量、今日视频播放次数、今日文档查看次数、今日访问总人次、今日新增资源数等相关数据。</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数据采集盒</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（1）联网方式：需支持4G、以太网方式；</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（2）通讯接口：不少于1路RS485,1路RS232,1路以太网口；</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（3）点数容量上限：100点，支持定时上传或变化上传；</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（4）关键特性：通讯协议丰富，支持市场主流工业设备，需具有边缘计算、断点续传、远程透传、python脚本编程等功能；</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（5）本地配置：需支持管理工具本地配置；</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（6）云端配置：需支持云端图形化远程配置；</w:t>
            </w:r>
            <w:r>
              <w:rPr>
                <w:rFonts w:hint="eastAsia" w:ascii="仿宋" w:hAnsi="仿宋" w:eastAsia="仿宋" w:cs="仿宋"/>
                <w:color w:val="000000"/>
                <w:highlight w:val="none"/>
                <w:lang w:eastAsia="zh"/>
              </w:rPr>
            </w:r>
            <w:r/>
          </w:p>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（7）主频：≥300MHz；内存：≥64MB；储存空间：≥256MB。</w:t>
            </w:r>
            <w:r>
              <w:rPr>
                <w:rFonts w:hint="eastAsia" w:ascii="仿宋" w:hAnsi="仿宋" w:eastAsia="仿宋" w:cs="仿宋"/>
                <w:color w:val="000000"/>
                <w:highlight w:val="none"/>
                <w:lang w:eastAsia="zh"/>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日光蓄热温室智慧农业工业互联网实验平台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rPr>
              <w:t xml:space="preserve">该日光蓄热温室智慧农业工业互联网实验平台需要配备485模块、电源模块、拓展模块、交换机、HMI屏幕、微型多合一气象仪、温湿度光照多合一、二氧化碳传感器、光合作用传感器、水温度传感器、云网关、继电器、继电器底座、led灯珠、扭力电机、风机风扇、限位开关、温湿度传感器等各种传感器，能够完成传感器原理认知、选型、安装调试、集成应用、网络通信等相关知识技能的教学与实验以及算法开发与验证。</w:t>
            </w:r>
            <w:r>
              <w:rPr>
                <w:rFonts w:hint="eastAsia" w:ascii="仿宋" w:hAnsi="仿宋" w:eastAsia="仿宋" w:cs="仿宋"/>
                <w:color w:val="000000"/>
                <w:szCs w:val="21"/>
                <w:highlight w:val="none"/>
                <w:lang w:bidi="ar"/>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bidi="ar"/>
              </w:rPr>
              <w:t xml:space="preserve">为保障产品性能稳定、品质可靠，</w:t>
            </w:r>
            <w:r>
              <w:rPr>
                <w:rFonts w:hint="eastAsia" w:ascii="仿宋" w:hAnsi="仿宋" w:eastAsia="仿宋" w:cs="仿宋"/>
                <w:b/>
                <w:bCs/>
                <w:color w:val="000000"/>
                <w:szCs w:val="21"/>
                <w:highlight w:val="none"/>
                <w:lang w:bidi="ar"/>
              </w:rPr>
              <w:t xml:space="preserve">投标文件中提供</w:t>
            </w:r>
            <w:r>
              <w:rPr>
                <w:rFonts w:hint="eastAsia" w:ascii="仿宋" w:hAnsi="仿宋" w:eastAsia="仿宋" w:cs="仿宋"/>
                <w:b/>
                <w:bCs/>
                <w:color w:val="000000"/>
                <w:szCs w:val="21"/>
                <w:highlight w:val="none"/>
                <w:lang w:val="en-US" w:eastAsia="zh-CN" w:bidi="ar"/>
              </w:rPr>
              <w:t xml:space="preserve">第三方检测</w:t>
            </w:r>
            <w:r>
              <w:rPr>
                <w:rFonts w:hint="eastAsia" w:ascii="仿宋" w:hAnsi="仿宋" w:eastAsia="仿宋" w:cs="仿宋"/>
                <w:b/>
                <w:bCs/>
                <w:color w:val="000000"/>
                <w:szCs w:val="21"/>
                <w:highlight w:val="none"/>
                <w:lang w:bidi="ar"/>
              </w:rPr>
              <w:t xml:space="preserve">机构出具的带有CMA标识的工业网络控制技术产品相关的检测报告</w:t>
            </w:r>
            <w:r>
              <w:rPr>
                <w:rFonts w:hint="eastAsia" w:ascii="仿宋" w:hAnsi="仿宋" w:eastAsia="仿宋" w:cs="仿宋"/>
                <w:color w:val="000000"/>
                <w:szCs w:val="21"/>
                <w:highlight w:val="none"/>
                <w:lang w:eastAsia="zh-CN" w:bidi="ar"/>
              </w:rPr>
              <w:t xml:space="preserve">。</w:t>
            </w:r>
            <w:r>
              <w:rPr>
                <w:rFonts w:hint="eastAsia" w:ascii="仿宋" w:hAnsi="仿宋" w:eastAsia="仿宋" w:cs="仿宋"/>
                <w:color w:val="000000"/>
                <w:szCs w:val="21"/>
                <w:highlight w:val="none"/>
                <w:lang w:bidi="ar"/>
              </w:rPr>
              <w:t xml:space="preserve">检测内容覆盖标志、机械强度、电源接口、接地和连接保护措施、耐压试验、低温试验、高温试验、绝缘电阻试验、盐雾实验等核心常规检测项目，报告真实有效，不得缺页</w:t>
            </w:r>
            <w:r>
              <w:rPr>
                <w:rFonts w:hint="eastAsia" w:ascii="仿宋" w:hAnsi="仿宋" w:eastAsia="仿宋" w:cs="仿宋"/>
                <w:color w:val="000000"/>
                <w:sz w:val="21"/>
                <w:szCs w:val="21"/>
                <w:highlight w:val="none"/>
                <w:lang w:val="en-US" w:eastAsia="zh-CN" w:bidi="ar"/>
              </w:rPr>
              <w:t xml:space="preserve">，</w:t>
            </w:r>
            <w:r>
              <w:rPr>
                <w:rFonts w:hint="eastAsia" w:ascii="仿宋" w:hAnsi="仿宋" w:eastAsia="仿宋" w:cs="仿宋"/>
                <w:color w:val="000000"/>
                <w:szCs w:val="21"/>
                <w:highlight w:val="none"/>
              </w:rPr>
              <w:t xml:space="preserve">加盖</w:t>
            </w:r>
            <w:r>
              <w:rPr>
                <w:rFonts w:hint="eastAsia" w:ascii="仿宋" w:hAnsi="仿宋" w:eastAsia="仿宋" w:cs="仿宋"/>
                <w:color w:val="000000"/>
                <w:szCs w:val="21"/>
                <w:highlight w:val="none"/>
                <w:lang w:val="en-US" w:eastAsia="zh-CN"/>
              </w:rPr>
              <w:t xml:space="preserve">投标人和制造商</w:t>
            </w:r>
            <w:r>
              <w:rPr>
                <w:rFonts w:hint="eastAsia" w:ascii="仿宋" w:hAnsi="仿宋" w:eastAsia="仿宋" w:cs="仿宋"/>
                <w:color w:val="000000"/>
                <w:szCs w:val="21"/>
                <w:highlight w:val="none"/>
              </w:rPr>
              <w:t xml:space="preserve">公章。</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1.整体外形尺寸：≥长1200mm×宽800mm×高1400mm；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2.具备漏电保护功能，符合国家安全标准。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1.实训台架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训台架架体主要采用6060型材与3060型材进行搭建，保证外观美观；台板采用304不锈钢台面搭建，保证台板上表面平整。台面板上带有T型槽，方便大棚棚体的安装。台架四周和底部用贴面密封，开过线孔。台架前面为门。台架内部装有安装板，方便电气线路布局和安装调试，另外实训台架的底部装有4个福马轮，便于装置移动位置。实训台架尺寸为≥1200x800x800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2.温室农业种植场景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包含标准种植槽、传感器土壤承载槽、水肥一体系统、风机水帘降温系统、水基自蓄热系统、自动保温棚膜、储水系统、模拟外环境系统（光照变化、温度变化、风力变化）等，安装在型材平台上，利用多项检测仪传感器，对大棚环境进行实时监测与采集。控制动风扇、加热器、水帘淋系统等设备，实时调节棚内温度、湿度、光照等环境变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2.1.水肥一体系统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尺寸（宽x高x深）：≥</w:t>
            </w: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00mmx</w:t>
            </w: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00mmx3</w:t>
            </w:r>
            <w:r>
              <w:rPr>
                <w:rFonts w:hint="eastAsia" w:ascii="仿宋" w:hAnsi="仿宋" w:eastAsia="仿宋" w:cs="仿宋"/>
                <w:color w:val="000000"/>
                <w:szCs w:val="21"/>
                <w:highlight w:val="none"/>
                <w:lang w:eastAsia="zh"/>
              </w:rPr>
              <w:t xml:space="preserve">0</w:t>
            </w:r>
            <w:r>
              <w:rPr>
                <w:rFonts w:hint="eastAsia" w:ascii="仿宋" w:hAnsi="仿宋" w:eastAsia="仿宋" w:cs="仿宋"/>
                <w:color w:val="000000"/>
                <w:szCs w:val="21"/>
                <w:highlight w:val="none"/>
              </w:rPr>
              <w:t xml:space="preserve">0mm；外壳形状：方形；相关设别：两个电磁流量阀，三个亚克力水桶；用处：利用电磁流量阀控制肥桶中的肥料和水桶中的纯净水进入下方混合桶进行混合，同时通过水泵将混合液抽出，通过管道对棚体内的基质槽进行灌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2.2.风机水帘降温系统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工作原理，通过风机抽风，同时在大棚的另一边，利用水帘中的水，对抽入棚内的空气进行降温，并且增加棚内湿度。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设备：风机，≥12V；≥12CM；≥1200转/每分钟；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水帘≥260mmx260mmx40mm。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2.3.保温棚膜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面积≥1.43m²材料：PO膜透光率≥95%。</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2.4.棚体结构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1）材料：</w:t>
            </w:r>
            <w:r>
              <w:rPr>
                <w:rFonts w:hint="eastAsia" w:ascii="仿宋" w:hAnsi="仿宋" w:eastAsia="仿宋" w:cs="仿宋"/>
                <w:color w:val="000000"/>
                <w:szCs w:val="21"/>
                <w:highlight w:val="none"/>
                <w:lang w:eastAsia="zh"/>
              </w:rPr>
              <w:t xml:space="preserve">不锈钢</w:t>
            </w:r>
            <w:r>
              <w:rPr>
                <w:rFonts w:hint="eastAsia" w:ascii="仿宋" w:hAnsi="仿宋" w:eastAsia="仿宋" w:cs="仿宋"/>
                <w:color w:val="000000"/>
                <w:szCs w:val="21"/>
                <w:highlight w:val="none"/>
              </w:rPr>
              <w:t xml:space="preserve">板材。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2）板材厚度≥1mm。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3.温室传感器及控制系统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需由温湿度传感器、CO2传感器、光照传感器、小型气象箱，六合一传感器、步进电机，编码器等组成，系统配备温湿度等多种传感器，可将环境的温度、湿度二氧化碳等参数记录下来。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3.1.温湿度传感器</w:t>
            </w:r>
            <w:r>
              <w:rPr>
                <w:rFonts w:hint="eastAsia" w:ascii="仿宋" w:hAnsi="仿宋" w:eastAsia="仿宋" w:cs="仿宋"/>
                <w:color w:val="000000"/>
                <w:szCs w:val="21"/>
                <w:highlight w:val="none"/>
              </w:rPr>
            </w:r>
            <w:r/>
          </w:p>
          <w:p>
            <w:pPr>
              <w:pStyle w:val="1484"/>
              <w:ind w:firstLine="0"/>
              <w:rPr>
                <w:rFonts w:hint="eastAsia" w:ascii="仿宋" w:hAnsi="仿宋" w:eastAsia="仿宋" w:cs="仿宋"/>
                <w:color w:val="000000"/>
                <w:highlight w:val="none"/>
                <w:lang w:eastAsia="zh"/>
              </w:rPr>
            </w:pPr>
            <w:r>
              <w:rPr>
                <w:rFonts w:hint="eastAsia" w:ascii="仿宋" w:hAnsi="仿宋" w:eastAsia="仿宋" w:cs="仿宋"/>
                <w:color w:val="000000"/>
                <w:highlight w:val="none"/>
              </w:rPr>
              <w:t xml:space="preserve">1） 尺寸：≥</w:t>
            </w:r>
            <w:r>
              <w:rPr>
                <w:rFonts w:hint="eastAsia" w:ascii="仿宋" w:hAnsi="仿宋" w:eastAsia="仿宋" w:cs="仿宋"/>
                <w:color w:val="000000"/>
                <w:highlight w:val="none"/>
                <w:lang w:eastAsia="zh"/>
              </w:rPr>
              <w:t xml:space="preserve">90</w:t>
            </w:r>
            <w:r>
              <w:rPr>
                <w:rFonts w:hint="eastAsia" w:ascii="仿宋" w:hAnsi="仿宋" w:eastAsia="仿宋" w:cs="仿宋"/>
                <w:color w:val="000000"/>
                <w:highlight w:val="none"/>
              </w:rPr>
              <w:t xml:space="preserve">mmx</w:t>
            </w:r>
            <w:r>
              <w:rPr>
                <w:rFonts w:hint="eastAsia" w:ascii="仿宋" w:hAnsi="仿宋" w:eastAsia="仿宋" w:cs="仿宋"/>
                <w:color w:val="000000"/>
                <w:highlight w:val="none"/>
                <w:lang w:eastAsia="zh"/>
              </w:rPr>
              <w:t xml:space="preserve">40</w:t>
            </w:r>
            <w:r>
              <w:rPr>
                <w:rFonts w:hint="eastAsia" w:ascii="仿宋" w:hAnsi="仿宋" w:eastAsia="仿宋" w:cs="仿宋"/>
                <w:color w:val="000000"/>
                <w:highlight w:val="none"/>
              </w:rPr>
              <w:t xml:space="preserve">mmx</w:t>
            </w:r>
            <w:r>
              <w:rPr>
                <w:rFonts w:hint="eastAsia" w:ascii="仿宋" w:hAnsi="仿宋" w:eastAsia="仿宋" w:cs="仿宋"/>
                <w:color w:val="000000"/>
                <w:highlight w:val="none"/>
                <w:lang w:eastAsia="zh"/>
              </w:rPr>
              <w:t xml:space="preserve">70</w:t>
            </w:r>
            <w:r>
              <w:rPr>
                <w:rFonts w:hint="eastAsia" w:ascii="仿宋" w:hAnsi="仿宋" w:eastAsia="仿宋" w:cs="仿宋"/>
                <w:color w:val="000000"/>
                <w:highlight w:val="none"/>
              </w:rPr>
              <w:t xml:space="preserve">mm</w:t>
            </w:r>
            <w:r>
              <w:rPr>
                <w:rFonts w:hint="eastAsia" w:ascii="仿宋" w:hAnsi="仿宋" w:eastAsia="仿宋" w:cs="仿宋"/>
                <w:color w:val="000000"/>
                <w:highlight w:val="none"/>
                <w:lang w:eastAsia="zh"/>
              </w:rPr>
              <w:t xml:space="preserve">；</w:t>
            </w:r>
            <w:r>
              <w:rPr>
                <w:rFonts w:hint="eastAsia" w:ascii="仿宋" w:hAnsi="仿宋" w:eastAsia="仿宋" w:cs="仿宋"/>
                <w:color w:val="000000"/>
                <w:highlight w:val="none"/>
                <w:lang w:eastAsia="zh"/>
              </w:rPr>
            </w:r>
            <w:r/>
          </w:p>
          <w:p>
            <w:pPr>
              <w:pStyle w:val="1484"/>
              <w:ind w:firstLine="0"/>
              <w:rPr>
                <w:rFonts w:hint="eastAsia" w:ascii="仿宋" w:hAnsi="仿宋" w:eastAsia="仿宋" w:cs="仿宋"/>
                <w:color w:val="000000"/>
                <w:highlight w:val="none"/>
                <w:lang w:eastAsia="zh"/>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
              </w:rPr>
              <w:t xml:space="preserve"> 温度量程</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-40~0~125°C；</w:t>
            </w:r>
            <w:r>
              <w:rPr>
                <w:rFonts w:hint="eastAsia" w:ascii="仿宋" w:hAnsi="仿宋" w:eastAsia="仿宋" w:cs="仿宋"/>
                <w:color w:val="000000"/>
                <w:highlight w:val="none"/>
                <w:lang w:eastAsia="zh"/>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3） </w:t>
            </w:r>
            <w:r>
              <w:rPr>
                <w:rFonts w:hint="eastAsia" w:ascii="仿宋" w:hAnsi="仿宋" w:eastAsia="仿宋" w:cs="仿宋"/>
                <w:color w:val="000000"/>
                <w:highlight w:val="none"/>
                <w:lang w:eastAsia="zh"/>
              </w:rPr>
              <w:t xml:space="preserve">湿度量程</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0-100%RH</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
              </w:rPr>
              <w:t xml:space="preserve">相对湿度</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3.2.微型气象站</w:t>
            </w:r>
            <w:r>
              <w:rPr>
                <w:rFonts w:hint="eastAsia" w:ascii="仿宋" w:hAnsi="仿宋" w:eastAsia="仿宋" w:cs="仿宋"/>
                <w:color w:val="000000"/>
                <w:szCs w:val="21"/>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1） 尺寸≥10</w:t>
            </w:r>
            <w:r>
              <w:rPr>
                <w:rFonts w:hint="eastAsia" w:ascii="仿宋" w:hAnsi="仿宋" w:eastAsia="仿宋" w:cs="仿宋"/>
                <w:color w:val="000000"/>
                <w:highlight w:val="none"/>
                <w:lang w:eastAsia="zh"/>
              </w:rPr>
              <w:t xml:space="preserve">0</w:t>
            </w:r>
            <w:r>
              <w:rPr>
                <w:rFonts w:hint="eastAsia" w:ascii="仿宋" w:hAnsi="仿宋" w:eastAsia="仿宋" w:cs="仿宋"/>
                <w:color w:val="000000"/>
                <w:highlight w:val="none"/>
              </w:rPr>
              <w:t xml:space="preserve">mmx10</w:t>
            </w:r>
            <w:r>
              <w:rPr>
                <w:rFonts w:hint="eastAsia" w:ascii="仿宋" w:hAnsi="仿宋" w:eastAsia="仿宋" w:cs="仿宋"/>
                <w:color w:val="000000"/>
                <w:highlight w:val="none"/>
                <w:lang w:eastAsia="zh"/>
              </w:rPr>
              <w:t xml:space="preserve">0</w:t>
            </w:r>
            <w:r>
              <w:rPr>
                <w:rFonts w:hint="eastAsia" w:ascii="仿宋" w:hAnsi="仿宋" w:eastAsia="仿宋" w:cs="仿宋"/>
                <w:color w:val="000000"/>
                <w:highlight w:val="none"/>
              </w:rPr>
              <w:t xml:space="preserve">mmx</w:t>
            </w:r>
            <w:r>
              <w:rPr>
                <w:rFonts w:hint="eastAsia" w:ascii="仿宋" w:hAnsi="仿宋" w:eastAsia="仿宋" w:cs="仿宋"/>
                <w:color w:val="000000"/>
                <w:highlight w:val="none"/>
                <w:lang w:eastAsia="zh"/>
              </w:rPr>
              <w:t xml:space="preserve">40</w:t>
            </w:r>
            <w:r>
              <w:rPr>
                <w:rFonts w:hint="eastAsia" w:ascii="仿宋" w:hAnsi="仿宋" w:eastAsia="仿宋" w:cs="仿宋"/>
                <w:color w:val="000000"/>
                <w:highlight w:val="none"/>
              </w:rPr>
              <w:t xml:space="preserve">mm；外壳形状：圆柱形；</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2） 电压：≥10VDC~30VDC； </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 湿度精度：±3%RH（60%RH,25℃）；</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lang w:eastAsia="zh"/>
              </w:rPr>
              <w:t xml:space="preserve">4</w:t>
            </w:r>
            <w:r>
              <w:rPr>
                <w:rFonts w:hint="eastAsia" w:ascii="仿宋" w:hAnsi="仿宋" w:eastAsia="仿宋" w:cs="仿宋"/>
                <w:color w:val="000000"/>
                <w:highlight w:val="none"/>
              </w:rPr>
              <w:t xml:space="preserve">） 湿度量程：0%RH~99%RH；</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lang w:eastAsia="zh"/>
              </w:rPr>
              <w:t xml:space="preserve">5</w:t>
            </w:r>
            <w:r>
              <w:rPr>
                <w:rFonts w:hint="eastAsia" w:ascii="仿宋" w:hAnsi="仿宋" w:eastAsia="仿宋" w:cs="仿宋"/>
                <w:color w:val="000000"/>
                <w:highlight w:val="none"/>
              </w:rPr>
              <w:t xml:space="preserve">） 光照强度精度：±7%（25℃）；</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lang w:eastAsia="zh"/>
              </w:rPr>
              <w:t xml:space="preserve">6</w:t>
            </w:r>
            <w:r>
              <w:rPr>
                <w:rFonts w:hint="eastAsia" w:ascii="仿宋" w:hAnsi="仿宋" w:eastAsia="仿宋" w:cs="仿宋"/>
                <w:color w:val="000000"/>
                <w:highlight w:val="none"/>
              </w:rPr>
              <w:t xml:space="preserve">） 光照强度量程：0~20万Lux。</w:t>
            </w:r>
            <w:r>
              <w:rPr>
                <w:rFonts w:hint="eastAsia" w:ascii="仿宋" w:hAnsi="仿宋" w:eastAsia="仿宋" w:cs="仿宋"/>
                <w:color w:val="000000"/>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3.3.CO2传感器</w:t>
            </w:r>
            <w:r>
              <w:rPr>
                <w:rFonts w:hint="eastAsia" w:ascii="仿宋" w:hAnsi="仿宋" w:eastAsia="仿宋" w:cs="仿宋"/>
                <w:color w:val="000000"/>
                <w:szCs w:val="21"/>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1） 电压：≥10 VDC~30VDC，尺寸≥120mm x113mm x33mm；</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2） 二氧化碳浓度量程：0~5000；</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lang w:eastAsia="zh"/>
              </w:rPr>
              <w:t xml:space="preserve">3</w:t>
            </w:r>
            <w:r>
              <w:rPr>
                <w:rFonts w:hint="eastAsia" w:ascii="仿宋" w:hAnsi="仿宋" w:eastAsia="仿宋" w:cs="仿宋"/>
                <w:color w:val="000000"/>
                <w:highlight w:val="none"/>
              </w:rPr>
              <w:t xml:space="preserve">） 二氧化碳浓度精度：50PPM±0.5%。</w:t>
            </w:r>
            <w:r>
              <w:rPr>
                <w:rFonts w:hint="eastAsia" w:ascii="仿宋" w:hAnsi="仿宋" w:eastAsia="仿宋" w:cs="仿宋"/>
                <w:color w:val="000000"/>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3.4.步进电机</w:t>
            </w:r>
            <w:r>
              <w:rPr>
                <w:rFonts w:hint="eastAsia" w:ascii="仿宋" w:hAnsi="仿宋" w:eastAsia="仿宋" w:cs="仿宋"/>
                <w:color w:val="000000"/>
                <w:szCs w:val="21"/>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1） 57开环，额定电流：≥5A，保持扭矩：2.3N*m；</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2） 电机轴径：8mm，额定电压：DC24V；</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3） IP防护等级：IP40，步距角：1.8°；</w:t>
            </w:r>
            <w:r>
              <w:rPr>
                <w:rFonts w:hint="eastAsia" w:ascii="仿宋" w:hAnsi="仿宋" w:eastAsia="仿宋" w:cs="仿宋"/>
                <w:color w:val="000000"/>
                <w:highlight w:val="none"/>
              </w:rPr>
            </w:r>
            <w:r/>
          </w:p>
          <w:p>
            <w:pPr>
              <w:pStyle w:val="1484"/>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4） 电机重量（KG）：1.1。</w:t>
            </w:r>
            <w:r>
              <w:rPr>
                <w:rFonts w:hint="eastAsia" w:ascii="仿宋" w:hAnsi="仿宋" w:eastAsia="仿宋" w:cs="仿宋"/>
                <w:color w:val="000000"/>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4.PLC扩展实验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由模拟量/输出量PLC模块、HMI触摸屏、485系统模块、交换机、数字量/继电器PLC模块等组成，该模块主要由PLC相关控制器，集成PLC、交换机、无线AP等组件，学生动手完成网络布线、VLAN、环网、无线组网，掌握工业4.0通信核心技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电控系统包含PLC、触摸屏、断路器、开关电源、交换机、继电器、接线端子、导轨及走线槽等。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4.1.PLC</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2个PROFINET端口，机载I/O：≥14个24VDC数字输入；≥10个24VDC数字输出；0.5A；≥2个AI 0-10VDC，≥2个AO 0-20mADC，电源：直流≥20.4-28.8VDC，程序存储器/数据存储器≥125 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4.2.触摸屏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精简面板，按键式/触摸式操作，≥7"TFT显示屏，≥65536颜色，PROFINET接口。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4.3.数字量输入输出模块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D1 16x24 VDC，DQ 16x24 VDC；额定值（DC）</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t xml:space="preserve">24 V；允许范围，下限（DC）20.4 V；允许范围，上限（DC）28.8 V；输入电流来自背板总线DC 5V，最大值185mA；输入信号电压：DC24V；输出信号电压额定值（DC）：24 V；数字输入端数量≥16；数字输出端数量≥16。</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4.4.模拟量输入输出模块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AI 4x13 bit；电源电压额定值（DC）：24 V；功率损失，典型值：≥1.5 W；模拟输入端数量：≥4；电流或电压差分输入；模拟量输入范围：1电压（±10V、±5V、±2.5V），2电流（4至20 mA，0至20 mA）。</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4.5.变频器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标称功率≥0.37kW有60秒150%过载未过滤I/O：4 DI，2 DO，2 AI，1个模拟输出现场总线：USS/MODBUS RTU安装有基本操作面板保护：IP20/UL开放尺寸：≥AA 68×142×108（宽×高×深）。</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4.6.开关电源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输入AC220V，输出DC24V，≥5A，导轨安装。</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4.7.断路器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2P≥10A；动作曲线：C类型。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4.8.交换机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工业以太网交换机针对≥10/100 Mbit/s；用于架设小型星状和线状结构；LED诊断，≥IP20，24V AC/DC电源，带5个10/100 Mbit/s双绞线接口及RJ45插座。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5.云平台可视化操作界面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软件功能：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1）具有登陆界面，输入用户账号和密码进入系统；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2）主界面中显示设备整体效果图，顶部菜单栏中显示，实时界面、数据追溯、异常追溯、设备报警、曲线绘制、柱状图、连接管理、用户管理等；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3）设备报警界面中包括起始结束时间、查询、导出等功能，数据记录信息中包括报警类型、报警开始时间、报警结束时间；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4）能耗管理界面中包括起始结束时间、查询、导出等功能，数据记录信息中包括时间、电流、电压、功率等信息；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5）计划管理界面中包括添加、删除、修改、执行等功能，记录信息中包括订单序号、型号、种类、数量、执行标识、时间等信息；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用户管理界面包括添加、删除、修改等功能，界面信息中包括角色、用户、密码等信息。</w:t>
            </w:r>
            <w:r>
              <w:rPr>
                <w:rFonts w:hint="eastAsia" w:ascii="仿宋" w:hAnsi="仿宋" w:eastAsia="仿宋" w:cs="仿宋"/>
                <w:color w:val="000000"/>
                <w:szCs w:val="21"/>
                <w:highlight w:val="none"/>
              </w:rPr>
            </w:r>
            <w:r/>
          </w:p>
          <w:p>
            <w:pPr>
              <w:pStyle w:val="1038"/>
              <w:spacing w:before="0" w:after="0" w:line="240" w:lineRule="auto"/>
              <w:rPr>
                <w:rFonts w:hint="eastAsia"/>
                <w:color w:val="000000"/>
                <w:highlight w:val="none"/>
              </w:rPr>
            </w:pPr>
            <w:r>
              <w:rPr>
                <w:rFonts w:hint="eastAsia" w:ascii="仿宋" w:hAnsi="仿宋" w:eastAsia="仿宋" w:cs="仿宋"/>
                <w:color w:val="000000"/>
                <w:szCs w:val="21"/>
                <w:highlight w:val="none"/>
              </w:rPr>
              <w:t xml:space="preserve">▲提供产品制造商拥有的运维与监控平台软件相关计算机软件著作权登记有效证书，投标时提供复印件</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并加盖</w:t>
            </w:r>
            <w:r>
              <w:rPr>
                <w:rFonts w:hint="eastAsia" w:ascii="仿宋" w:hAnsi="仿宋" w:eastAsia="仿宋" w:cs="仿宋"/>
                <w:color w:val="000000"/>
                <w:szCs w:val="21"/>
                <w:highlight w:val="none"/>
                <w:lang w:val="en-US" w:eastAsia="zh-CN"/>
              </w:rPr>
              <w:t xml:space="preserve">投标人和</w:t>
            </w:r>
            <w:r>
              <w:rPr>
                <w:rFonts w:hint="eastAsia" w:ascii="仿宋" w:hAnsi="仿宋" w:eastAsia="仿宋" w:cs="仿宋"/>
                <w:color w:val="000000"/>
                <w:szCs w:val="21"/>
                <w:highlight w:val="none"/>
              </w:rPr>
              <w:t xml:space="preserve">制造商公章。</w:t>
            </w:r>
            <w:r>
              <w:rPr>
                <w:rFonts w:hint="eastAsia"/>
                <w:color w:val="000000"/>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工业智能控制与物联网集成实训展示装置</w:t>
            </w:r>
            <w:r>
              <w:rPr>
                <w:rFonts w:hint="eastAsia" w:ascii="仿宋" w:hAnsi="仿宋" w:eastAsia="仿宋" w:cs="仿宋"/>
                <w:color w:val="000000"/>
                <w:szCs w:val="21"/>
                <w:highlight w:val="none"/>
                <w:lang w:eastAsia="zh"/>
              </w:rPr>
            </w:r>
            <w:r/>
          </w:p>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rPr>
              <w:t xml:space="preserve">设备</w:t>
            </w:r>
            <w:r>
              <w:rPr>
                <w:rFonts w:hint="eastAsia" w:ascii="仿宋" w:hAnsi="仿宋" w:eastAsia="仿宋" w:cs="仿宋"/>
                <w:color w:val="000000"/>
                <w:szCs w:val="21"/>
                <w:highlight w:val="none"/>
                <w:lang w:eastAsia="zh"/>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1.网关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网络接入：以太网，中国移动/联通/电信的2G/3G/4G；CPU：600MHz ARM Cortex-A8；存储：128MB Flash+128MB DDR3；以太网：3路10M/100M自适应端口；额定功率：＜5W；额定电压：DC24V；工作温度：-10~60℃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2.网关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网络接入：以太网，中国移动/联通/电信的5G/4G；CPU：800MHz ARM Cortex-A8；存储：256MB Flash+256MB DDR3；以太网：1路10M/100M的WAN口，4路100M的LAN口；VPN透传：支持；额定功率：＜10W；额定电压：DC24V；工作温度：-10~60℃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3.网关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网络接入：以太网；CPU：Cortex-A7；存储：64MB Flash+64MB DDR3；以太网：1路10M/100M自适应RJ45接口；额定功率：＜5W；额定电压：DC24V；工作温度：-10~60℃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4.网关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网络接入：以太网，移动/联通/电信4G；WiFi；重量：约30g；工作温度：-10~60℃；VPN透传：支持；网络协议：支持超过百种工业设备协议；冷却方式：自然风冷；尺寸：≤37mmX62mmX15.3mm（长x宽x高）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显示屏：≥15.6英寸16：9 TFT LCD屏；分辨率：1920x1080；色彩：24位；LCD寿命：50000小时；CPU：8nm SoC，八核64位大小核架构：4*Cortex-A76+4*Cortex-A55，主频2.4GHz；AI算力6.0TOPS；存储器：32GB EMMC+4GB DRR4；额定功率：＜15W；额定电压：DC24V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显示屏：≥7英寸16：9 TFT LCD屏；分辨率：1024x600；色彩：24位；LCD寿命：50000小时；CPU：Cortex-A7（主频1GHz，双核）；存储器：256MB DRR3+256MB Flash；额定功率：＜10W；额定电压：DC24V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显示屏：≥10.1英寸16：9 TFT LCD屏；分辨率：1024x600；色彩：24位；LCD寿命：50000小时；CPU：Cortex-A7（主频1GHz，双核）；存储器：256MB DRR3+256MB Flash；额定功率：＜10W；额定电压：DC24V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显示屏：≥10.1英寸16：9 TFT LCD屏；分辨率：1024x600；色彩：16位；LCD寿命：50000小时；CPU：4核1.2G Cortex-A53处理器；存储器：1G DRR+8GB Flash；额定功率：＜10W；额定电压：DC24V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显示屏：≥10.1英寸16：10 TFT LCD屏；分辨率：800x1280；色彩：24位；LCD寿命：50000小时；CPU：Cortex-A7（主频1GHz，双核）；存储器：256MB DRR3+4GB EMMC；额定功率：＜10W；额定电压：DC24V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10.触摸屏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显示屏：≥7英寸16：9 TFT LCD屏；分辨率：1024x600；色彩：24位；LCD寿命：50000小时；CPU：Cortex-A7（主频1GHz，双核）；存储器：256MB DRR3+4GB EMMC；额定功率：＜6W；额定电压：DC24V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11.可编程控制器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额定电源电压：AC 100V~240V；离散量输入数量：24；离散量输出类型：继电器Relay；离散量输出数量：16；离散量输出电压：DC 5V~30V，AC 100V~250V；运行环境温度：-10℃~60℃；防护等级：IP20；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12.可编程控制器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供电电源：DC24V；CPU规格：4核1.5GHz；内存容量：≥2G；硬盘容量：≥8G；程序容量：32MB；用户数据容量：128MB；网卡：1个千兆口，两个百兆口；尺寸：78*98*100mm；工作温度：-20℃~60℃；带轴能力：16轴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13.可编程控制器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额定电源电压：24V DC；离散量输入数量：≥8；离散量输出类型：晶体管NPN；离散量输出数量：≥8；离散量输出电压：DC 5V~30V；内存容量：1G；硬盘容量：4G；带轴能力：8轴EtherCAT+脉冲轴；运行环境温度：-10℃~60℃；防护等级：IP20；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14输入模块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通道：16*双极输入（兼容NPN/PNP）；指示器：≥16；安装：导轨安装；尺寸：11x18x76mm；重量：约65g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15.输入模块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输入通道：8*双极输入（兼容NPN/PNP）；输出通道：8*输出（NPN）；指示器：≥8；安装：导轨安装；尺寸：≥111x18x76mm；重量：约65g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16.可编程控制器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动力：9~36伏直流（标称24伏直流）保护：过流保护，反向连接保护；功耗：110mA@24Vdc；最大扩展模块：31；安装：导轨安装；工作温度：-20~70°C；重量：约200g；保护等级：IP20；尺寸：111x36x76mm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17.伺服驱动器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产品类别：高性能伺服；输入电源：单相220V；额定电流：≥5.5A；额定功率：≥750W；控制方式：脉冲型；制动处理功能：制动电阻内置；存储温度：-20~85℃；IP等级：IP20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18.伺服电机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额定功率：≥750W；额定电压：220V；额定电流：≥3.8A；额定转速：≥3000r/min；额定力矩：2.4N.m；重量：2.5kg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19.伺服驱动器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输入电源：单相220V；额定电流：≥5.5A；额定功率：≥750W；控制方式：网络型EtherCAT总线；制动处理功能：制动电阻外接；存储温度：-20~85℃；IP等级：IP20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20.伺服驱动器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产品类别：标准型伺服；输入电源：单相220V；额定电流：≥5.5A；额定功率：≥750W；控制方式：脉冲控制；制动处理功能：制动电阻外接；存储温度：-20~85℃；IP等级：IP20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21.伺服电机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额定功率：≥750W；额定电压：220V；额定电流：≥3.8A；额定转速：≥3000r/min；额定力矩：2.4N.m；重量：2.5kg；IP等级：IP67</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22.龙门型伺服驱动器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产品类别：龙门型伺服；输入电源：单相220V；额定电流：≥6A；额定功率：≥800W；存储温度：-20~85℃；IP等级：IP20；电机温度保护：支持；制动处理功能：制动电阻外接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23.低压型伺服驱动器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主回路电源输入：12-64VDC（仅输入主回路电时，驱动器可以正常工作，但无法实现单独对主回路下电，又保持驱动器可通讯的状态）；控制电源输入：12-64VDC（仅输入控制电时，驱动器可上电自检、通讯等，但不可使能）；额定电流：6A；控制方式：脉冲控制；存储温度：-20~85℃；IP等级：IP20</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机器人自动实时轨迹编程软件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（1）通信协议与接口：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通信协议：采用标准 TCP/IP 协议，支持 Socket 通信（TCP/UDP）。</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数据传输方式：实时数据传输，支持 在线编程（OLP），无需人工干预。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通信延迟：≤ 10ms（千兆网络环境下）。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兼容性：支持与主流工业机器人（如ABB、KUKA、FANUC、UR、埃斯顿等）通信。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二次开发接口：提供 C++/Python/Java API，开放底层源代码（C++/Python）。</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（2）轨迹采集与执行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轨迹采集方式：支持鼠标绘制、图形导入（SVG、DXF、PLT等）、手写输入。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轨迹编辑功能：X/Y镜像：支持 4个方向（正常、水平镜像、垂直镜像、180°旋转）。</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数据缩放：支持 比例缩放（0.1~10倍可调），适应不同工作范围。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平滑优化：自动优化轨迹点，减少抖动，提高执行精度。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执行模式：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实时模式：PC端编辑轨迹，机器人同步执行。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离线模式：轨迹生成后，自动生成机器人可执行代码。</w:t>
            </w:r>
            <w:r>
              <w:rPr>
                <w:rFonts w:hint="eastAsia" w:ascii="仿宋" w:hAnsi="仿宋" w:eastAsia="仿宋" w:cs="仿宋"/>
                <w:color w:val="000000"/>
                <w:szCs w:val="21"/>
                <w:highlight w:val="none"/>
              </w:rPr>
            </w:r>
            <w:r/>
          </w:p>
          <w:p>
            <w:pPr>
              <w:pStyle w:val="1038"/>
              <w:spacing w:before="0" w:after="0" w:line="240" w:lineRule="auto"/>
              <w:rPr>
                <w:rFonts w:hint="eastAsia"/>
                <w:color w:val="000000"/>
                <w:highlight w:val="none"/>
              </w:rPr>
            </w:pPr>
            <w:r/>
            <w:bookmarkStart w:id="192" w:name="OLE_LINK2"/>
            <w:r>
              <w:rPr>
                <w:rFonts w:hint="eastAsia" w:ascii="仿宋" w:hAnsi="仿宋" w:eastAsia="仿宋" w:cs="仿宋"/>
                <w:color w:val="000000"/>
                <w:szCs w:val="21"/>
                <w:highlight w:val="none"/>
              </w:rPr>
              <w:t xml:space="preserve">▲提供产品制造商拥有的机器人轨迹编程软件相关计算机软件著作权登记有效证书，</w:t>
            </w:r>
            <w:r>
              <w:rPr>
                <w:rFonts w:hint="eastAsia" w:ascii="仿宋" w:hAnsi="仿宋" w:eastAsia="仿宋" w:cs="仿宋"/>
                <w:color w:val="000000"/>
                <w:szCs w:val="21"/>
                <w:highlight w:val="yellow"/>
              </w:rPr>
              <w:t xml:space="preserve">投标时提供复印件</w:t>
            </w:r>
            <w:r>
              <w:rPr>
                <w:rFonts w:hint="eastAsia" w:ascii="仿宋" w:hAnsi="仿宋" w:eastAsia="仿宋" w:cs="仿宋"/>
                <w:color w:val="000000"/>
                <w:szCs w:val="21"/>
                <w:highlight w:val="yellow"/>
                <w:lang w:eastAsia="zh-CN"/>
              </w:rPr>
              <w:t xml:space="preserve">，</w:t>
            </w:r>
            <w:r>
              <w:rPr>
                <w:rFonts w:hint="eastAsia" w:ascii="仿宋" w:hAnsi="仿宋" w:eastAsia="仿宋" w:cs="仿宋"/>
                <w:color w:val="000000"/>
                <w:szCs w:val="21"/>
                <w:highlight w:val="yellow"/>
              </w:rPr>
              <w:t xml:space="preserve">并加盖</w:t>
            </w:r>
            <w:r>
              <w:rPr>
                <w:rFonts w:hint="eastAsia" w:ascii="仿宋" w:hAnsi="仿宋" w:eastAsia="仿宋" w:cs="仿宋"/>
                <w:color w:val="000000"/>
                <w:szCs w:val="21"/>
                <w:highlight w:val="yellow"/>
                <w:lang w:val="en-US" w:eastAsia="zh-CN"/>
              </w:rPr>
              <w:t xml:space="preserve">投标人和</w:t>
            </w:r>
            <w:r>
              <w:rPr>
                <w:rFonts w:hint="eastAsia" w:ascii="仿宋" w:hAnsi="仿宋" w:eastAsia="仿宋" w:cs="仿宋"/>
                <w:color w:val="000000"/>
                <w:szCs w:val="21"/>
                <w:highlight w:val="yellow"/>
              </w:rPr>
              <w:t xml:space="preserve">制造商公章。</w:t>
            </w:r>
            <w:bookmarkEnd w:id="192"/>
            <w:r>
              <w:rPr>
                <w:rFonts w:hint="eastAsia"/>
                <w:color w:val="000000"/>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40</w:t>
            </w:r>
            <w:r>
              <w:rPr>
                <w:rFonts w:hint="eastAsia" w:ascii="仿宋" w:hAnsi="仿宋" w:eastAsia="仿宋" w:cs="仿宋"/>
                <w:color w:val="000000"/>
                <w:szCs w:val="21"/>
                <w:highlight w:val="none"/>
                <w:lang w:eastAsia="zh"/>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数智实训设备协同管控平台</w:t>
            </w:r>
            <w:r>
              <w:rPr>
                <w:rFonts w:hint="eastAsia" w:ascii="仿宋" w:hAnsi="仿宋" w:eastAsia="仿宋" w:cs="仿宋"/>
                <w:color w:val="000000"/>
                <w:szCs w:val="21"/>
                <w:highlight w:val="none"/>
              </w:rPr>
            </w:r>
            <w:r/>
          </w:p>
        </w:tc>
        <w:tc>
          <w:tcPr>
            <w:tcW w:w="7635" w:type="dxa"/>
            <w:vAlign w:val="top"/>
            <w:textDirection w:val="lrTb"/>
            <w:noWrap w:val="false"/>
          </w:tcPr>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一、整体要求</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基于实训室和设备的管理、监控、点检、保养、维修、采购、入库、出库为依托，同时融合AI大模型、大数据、物联网和云计算打造的智慧化、智能化、自动化实验室设备管理平台。通过智能联动传感器、RFID、区块链技术等方式进行智能档案管理。通过知识库改变传统设备管理中依赖人工经验判断的模式，极大地提升了故障诊断的准确性和效率。综合平台数据，输出各种业务报表，同时汇聚成可视化辅助决策驾驶舱为实验室管理提供数据支撑，构建基于神经网络的机器自学习算法系统，通过智能交互AI助理，为设备全生命周期的智能护航。</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二、平台概览</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构建实训室项目、设备接入、传感器、设备故障率、设备状态等的地图立体全景展示平台，将各种设备的真实地理位置直观呈现，实现设备的全面监控和线上监管功能。</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1．项目信息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通过全景GIS 地图呈现当前用户权限下实验室项目分布，它的定位应用于初始项目的地图定位。点击地图呈现出该项目基础信息，包含在线设备数量、离线设备数量、今日报警数量、未处理数量。</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2．设备地图</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设备地图将当前用户权限下系统中设备，在地图中显示出来，便于管理者清晰的查看到设备所分布的位置，点击定位图表，则显示该设备的采集点的基础信息，如温湿度、电流、电压、设备启停信号。</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3．系统统计</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系统统计显示当前用户的信息统计展示，它包含当前用户看到的项目数量、接入设备数量、设备数据点数、子用户数、设备故障率、当前设备离线数、今日报警和已处理报警信息。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三、监控中心</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实时监控是用来展示当前用户权限下多种类型的设备实时信息的区域，包含采集设备的实时显示、视频监控、门禁监控（单独模块）和可视化组态。用户在该区域下进行设备的查看、控制等操作。</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1．设备监控</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展示当前项目所有的设备信息，实时展示着设备采集的传感器数据同时部分设备拥有开关功能，用户可以实时远程控制设备。展示页面分为卡片模式和列表模式，卡片模式可以展示设备及传感器信息，卡片模式实时展示采集设备模拟量信号数据、开关量信号数量、采集间隔。</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2．列表监控</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列表模式显示设备列表并通过点击链接的方式展示设备详细信息，实时运行监测传感器采集点、提供在线远程调试功能。远程调试模式，使设备跟平台通信的原始数据实时展示到当前页面中。</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3．视频监控</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视频监控显示平台中添加的摄像头信息，可以实时查看、回放、截屏。</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四、报警信息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警信息中主要记录系统中设备产生的报警信息。当前系统中，所有的报警信息都是由触发器产生的。用户根据当前实际需要配置触发器，触发器会实时监听传感器实时数据，一旦满足触发器配置要求，则立马产生报警。</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1．未读报警</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未读报警为系统未处理的报警，用户当前待处理的报警。目前报警有报警联系人，报警级别和处理标志，用户可以处理报警。</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2．全部报警</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全部报警显示系统中所有报警信息，目前报警显示储存半年，超过半年的报警信息，将会在系统中清楚显示。</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五、历史数据</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历史数据根据时间查询数据库储存的设备的历史数据信息，并根据用户的需要导出excel 表格。</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1．设备历史</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选择项目下传感器信息，点击查询或者导出，数据包含传感器名称、类型、数值、单位、时间。</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2．数据分析</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选择项目下传感器信息，添加监控则会把数据在图表中显示处理；支持拖拽时间维度呈现数据趋势图。</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3．历史触发</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历史触发中显示触发器工作的日志记录，便于发生了触发故障追查问题。包含触发器名称、传感器、触发条件类型、触发值、动作类型、触发详情。触发时间。</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六、用户信息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平台用户个人信息、子账户信息、密码维护。</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1．子账户</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子账户信息管理是方便当前用户管理权限下管理的用户信息列表。</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2．个人信息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个人信息维护，包含API-KEY、手机号、邮箱等数据项。</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3．修改密码</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平台账户密码修改。</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七、项目管理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完整的设备管理模块分为项目管理、设备管理、传感管理、触发管理4个模块。项目管理的模块主要负责项目及设备的配置的，设备管理是负责设备及其属性的管理。传感管理主要是在设备下采集属性。</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八、设备管理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1．设备管理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设备管理模块主要是管理项目下的各个设备，具体来讲系统中设备的概念和实际的设备用着一对一或者一对多的概念，系统中的设备对应实际情况下 DTU 等联网搜集数据的终端。包含新增设备、绑定设备。设备号在平台中唯一存在，不可重复、上传周期代表通讯协议下数据发送的频率，根据实际位置配置设备经纬度。用户可在传感器列表下进行新增或者编辑传感器属性。</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2．视频信息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视频信息主要负责摄像头信息的增、删、改和查询功能。</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九、组态管理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提供各行业通用的标准图形控件和拖拉拽组态编辑</w:t>
            </w:r>
            <w:r>
              <w:rPr>
                <w:rFonts w:hint="eastAsia" w:ascii="仿宋" w:hAnsi="仿宋" w:eastAsia="仿宋" w:cs="仿宋"/>
                <w:color w:val="000000"/>
                <w:sz w:val="21"/>
                <w:szCs w:val="21"/>
                <w:highlight w:val="none"/>
              </w:rPr>
              <w:t xml:space="preserve">能力，支持导入新素材，用户可以根据实际需求，灵活设计组态界面和逻辑，同步展示于数据大屏之中。接入多种PLC、仪器仪表、传感器、数控机床、工业机器人等设备进行组态监控，提供开关控件实现远程控制，如设备开关启停、调整参数等。持多种数据控件与设备模型的绑定，实现实时数据/实时曲线的在线监控、设备故障统计、能耗分析、维护进度等数据查询与管理控制。可以向下接入工业自动化系统PLC、SCADA、DCS、工业物联网平台、MES系统、监控中心平台等。可以随时随地访问组态界面和设备数据，接收到故障报警信息，采取措施管理控制。</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1．组态列表</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平台中已创建和运行的设备组态监控列表，支持在线编辑、设置、复制、删除组态信息。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2．组件管理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设备组态组件底图上传、图标上传。如管道图、背景图、流速图、压力图、开关图等。</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十、触发器管理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触发管理模块是针对设备下传感点数据进行的实时监控，关联传感点数据和联系人信息，联系人信息在联系人模块中管理，当触发器检测到传感点的实时数据跟管理员设定的阈值不匹配的时候，会启动触发器，触发器目前可以管理 5 种情形，分别为微信公众号消息、邮件推送、短信推送、电话推送和联动控制 5 种模式。</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1．触发器列表</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平台中已创建和运行的触发器列表，列表数据项主要有触发器名称、关联。传感器、触发器条件类型、参数、执行类型、循环间隔、状态、报警级别。</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2．报警联系人</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报警联系人管理方便管理需要通知的报警联系人信息。触发器报警后，触发报警联系人，联系人信息包含姓名、电话、邮箱、微信公众号、触发时间。</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十一、系统管理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系统管理是平台管理员和系统管理员进行整理的应用区域。可以直接管理平台下所有用户信息，租户信息，设备信息和设备仓库信息。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1．用户列表</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用户列表展示平台中用户信息。用户信息项由序号、用户名、手机号、用户类型、用户状态、短信和语音数量、注册时间。</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2．服务统计</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服务统计按照用户名称统计短信发送量、语音发送量。</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3．项目列表</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展示平台中所有项目列表，列表信息由序号、项目名称、项目描述、备注、项目授权用户组成。</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4．设备列表</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展示平台中所有设备列表，列表信息由序号、设备名称、设备号、设备状态、数据上传周期、所属项目组成。可编辑设备名称、通讯协议、数据协议、经纬度、上传周期。同时可编辑和删除设备下的传感器信息，点击详情可以查看设备基础信息、设备地图、运行监测信息、参数配置信息、触发器信息。</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5．设备仓库</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设备厂家，可以通过设备仓库添加好一批设备，普通用户可直接通过设备号来添加绑定设备即可。设备仓库由序号、设备名称、设备号、通讯类型、添加时间、二维码组成。支持设备模版下载和设备模版导入。</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6．图标管理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在数据字典中，添加好单位后，在此处可直接上传传感器的单位对应的图标；如温度、湿度、流速、压力、电流、电压、功率、设备启停按钮等。</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7．数据字典</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数据字典用于平台可配置扩容，提高平台配置灵活性，保证平台数据一致性。平台的数据字典分为一级和二级，一级主要用来显示总览，二级是具体的详细信息，由名称、分类、CODE、父类、父CODE组成。</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8．LPM管理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LPM 管理主要用于传感器和设备通讯数据采集，当系统中传感器的负载超过一定的数量时，需要增加 LPM 解析服务。</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9．系统参数</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系统参数配置用于调整和优化平台的硬件和软件运行配置项设置，以确保平台的稳定运行和高效性能。</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十二、知识库</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知识库集成设备手册、历史维修记录案例、故障案例库及行业实践等海量数据文档。集中统一存储，解决文档分散或相互传递丢失问题，同时为AI智能助手提供数据支撑。知识库支持分类标签、在线浏览、下载、删除。文档格式包含常用的word、excel、pdf、jpg等。</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十三、智能分析</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通过物联网传感器采集设备运行信息融合设备台账数据信息、设备点检数据信息、设备维修保养信息，构建运行模型自学习系统,基于设备运行参数，一键智能分析设备相关指标，人机交互简单便捷友好。</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十四、AI助理</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基于人工智能大模型基座，为设备管理和维护人员提供集状态监测、故障诊断于一体的全流程智能解决方案。</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十五、辅助决策驾驶舱</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过图形化界面和数据分析技术，抓取角色（领导层、财务人员、技术人员、采购人员）关注核心数据，并以图表、仪表盘等形式直观地展示。领导层驾驶舱展示全局设备数量、设备故障趋势图、设备故障维修执行率柱状图，设备采购总费用。财务人员驾驶舱展示设备采购费用趋势图、设备维修费用图、设备保养费用图。技术人员驾驶舱展示点检计划通知、保养计划通知、维修计划通知。采购人员驾驶舱展示设备待入库通知、设备待出库通知、设备到货验收通知。</w:t>
            </w:r>
            <w:r>
              <w:rPr>
                <w:rFonts w:hint="eastAsia" w:ascii="仿宋" w:hAnsi="仿宋" w:eastAsia="仿宋" w:cs="仿宋"/>
                <w:color w:val="000000"/>
                <w:sz w:val="21"/>
                <w:szCs w:val="21"/>
                <w:highlight w:val="none"/>
              </w:rPr>
            </w:r>
            <w:r/>
          </w:p>
          <w:p>
            <w:pPr>
              <w:pStyle w:val="1112"/>
              <w:jc w:val="both"/>
              <w:spacing w:before="0" w:beforeAutospacing="0" w:after="0" w:afterAutospacing="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十六、报表管理</w:t>
            </w:r>
            <w:r>
              <w:rPr>
                <w:rFonts w:hint="eastAsia" w:ascii="仿宋" w:hAnsi="仿宋" w:eastAsia="仿宋" w:cs="仿宋"/>
                <w:color w:val="000000"/>
                <w:sz w:val="21"/>
                <w:szCs w:val="21"/>
                <w:highlight w:val="none"/>
              </w:rPr>
            </w:r>
            <w:r/>
          </w:p>
          <w:p>
            <w:pPr>
              <w:pStyle w:val="1038"/>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对设备全生命周期运维管理提供综合统计、综合查询报表。报表可根据点检、保养、维修、故障分时查询统计。 </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40</w:t>
            </w:r>
            <w:r>
              <w:rPr>
                <w:rFonts w:hint="eastAsia" w:ascii="仿宋" w:hAnsi="仿宋" w:eastAsia="仿宋" w:cs="仿宋"/>
                <w:color w:val="000000"/>
                <w:szCs w:val="21"/>
                <w:highlight w:val="none"/>
                <w:lang w:eastAsia="zh"/>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全生命周期智能管理平台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一、整体要求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基于AIoT（人工智能+物联网）、大数据分析和数字孪生技术的新一代工业设备智能管理软件，深度融合设备管理、维修保养、配件管理、统计报表及系统配置五大核心模块，为企业提供全流程、智能化、数据驱动的设备运维解决方案。</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二、设备管理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该系统涵盖设备台账、特种设备管理、个人设备关联、设备购置申请、灵活借用与归还流程、待归还设备监控、附件管理、定期资产盘点、报废处置以及备件安装等功能。通过多维度协同，模块不仅确保设备信息的实时可查，还优化了资源调配效率，同时强化了资产监管。其集成化设计兼顾日常运维与合规需求，有效降低管理成本，提升设备利用率，为企业生产运营提供可靠的物资保障与数据支撑。主要包含设备台账、特种设备、我的设备、设备购置、设备借用、设备借用（批量）、待归还设备、设备归还（批量）、附件管理、资产盘点、设备报废、备件安装等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1．设备台账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设备台账具有增加、删除、设计、导入导出、打印选中、查询、退出等功能，每台设备中具有保养管理、附件信息、事故记录、配件安装、借出还入、调拨管理、验收管理、配件信息、维修管理功能。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2．特种设备</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特种设备具有增加、删除、设计、导入导出、打印选中、查询、退出等功能，每台设备中具有保养管理、附件信息、设备报修、检验记录详细、借出还入、调拨管理、验收管理功能。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3．我的设备</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我的设备具有增加、删除、设计、导入导出、打印选中、查询、退出等功能，每台设备中具有保养管理、附件信息、事故记录、配件安装、借出还入、调拨管理、验收管理、配件信息、维修管理功能。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4．设备购置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设备购置具有增加、删除、设计、导出、打印选中、查询、退出等功能，每台设备具有采购明细、审批流程功能。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5．资产盘点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资产盘点具有ObjID、资产条码、资产名称、单价、盘点数量、账面数量、盈亏数量、盘盈数量、盘亏数量、存放地点、盘点标志、盘点人、盘点时间。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6．资产报废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资产报废具有操作ID、资产编码、资产名称、制单日期、流水码、制单人、报废日期、报废原因、报废标志等内容。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三、维修保养</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维修保养模块采用全流程数字化管理与智能化运维协同设计，基于微服务架构实现高可用性与可扩展性，支持设备维修保养的计划制定、任务派发、执行跟踪、闭环验收及数据分析全生命周期管理。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1．维修计划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维修计划与保养计划通过规则引擎动态生成，支持基于设备类型、运行时长、历史故障率等参数的自适应调度，并可通过批量计划生成功能实现大规模设备协同维护。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维修计划具有操作、执行、设备编码、设备名称、计划状态、计划名称、计划开始时间、修理类别、计划维修内容、是否外部维修、维修部门、维修等级、外委单位等内容。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2．故障报修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故障报修具有增加、删除、设计、导入导出、打印选中、查询、退出等功能。每台设备中维修进度、图片信息功能。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3．保养计划批量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保养计划批量具有增加、删除、设计、导出、打印选中、查询、退出等功能。每台设备中保养计划单台功能。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4．保养计划</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保养计划具有操作、执行、ID、设备编码、设备名称、保养类别、计划类型、状态、购买日期、保养间隔、申请人、间隔单位、计划保养人、上次保养时间等内容。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四、配件管理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用智能化库存管控与全流程追溯机制，实现对配件采购、入库、领用、调拨、退料及盘点的精细化、自动化管理。该模块依托分布式架构与实时数据同步技术，确保库存数据的高一致性与业务操作的可审计性，同时结合大数据分析优化库存策略，降低呆滞料风险，提升供应链响应效率。</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1．采购入库</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采购入库具有操作、ID、订单编号、审核标志、制单日期、制单人、供应商、进货仓、采购部门、总额、本次产生欠款、本次支付金额、经手人、审核人、审核日期、说明等内容。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2．库存盘点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库存盘点具有增加、删除、设计、导出、打印选中、查询、退出等功能。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五、统计报表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用多维度分析引擎和可视化BI技术，实现对设备全生命周期数据的深度挖掘与智能呈现。该模块基于分布式计算架构，实现海量数据的实时聚合，结合OLAP分析与机器学习算法，提供从基础查询到预测性分析的全方位报表支持，助力企业优化资源配置、降低运维成本并提升决策效率。统计报表模块包括设备查询、设备配件查询、设备折旧统计、设备借用报表、设备维护报表、设备配件维护报表、设备报废报表、设备调拨记录、宕机分析、维修分析、配件分析、备件使用分析等模块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1．设备查询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查询具有设备编码、设备说明、重量、有效起始日期、大小/尺寸、制造商、型号、制造商零件号、用户状态（状态）、用户状态（状况）、设备分类、出厂日期、原值（本位币）、计划人员组、工作中心、ABC标识、分类字段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2．设备维修报表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设备维修报表具有资产编码、资产名称、资产类型、维修状态、故障描述、修理描述、报修时间、维修时间、维修结束时间、宕机时长、维修时长等内容。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3．配件分析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配件分析具有配件统计模块，配件统计模块包括商品查询打印、商品采购订单汇总表、商品采购订单明细表、供应商供货汇总表、供应商供货明细表、商品采购汇总表、商品采购明细表、库存汇总表、供应商付款明细表、库存明细表、分仓汇总表、分仓库存明细表、库存超限报警、商品库存报警、个人领用汇总、个人领用明细、部门领用汇总（商品类别）、部门领用汇总、部门领用明细等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六、基础设置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基础设置模块包括常规设置、设备分组、设备设置、资产设置、流程设置、客户分组设置、客户资料、配件分组设置、配件资料、供应商分组设置、供应商管理、仓库资料等模块组成。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1．常规设置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常规设置包括Normal常规设置、SPSZ商品设置两种模块。Normal常规设置模块包括审核状态、保管人员、使用部门、职务类别、类型、所在行业、行业性质、政治面貌、技术职称、学历类别、所学专业、证件类型、民族、开户行类别、分组、责任人、合同档案借出标志、学位类型、存放地点等模块组成；SPSZ商品设置包括型号规格、尺码设置、颜色设置、单位设置、币种设置、币种转换、品牌、自定义文本1、自定义文本2、自定义文本3、自定义文本4、自定义文本5、多单位设置等模块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2．设备分组</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设备分组具有增加节点、只显示第二层节点、重新加载、保存等功能。设备分组模块具有ID、ParentID、名称类型、缩写、编码、序号、操作等内容。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3．设备设置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设置具有SB|设备设置模块，设备设置模块包括保养类型、保养内容、保养等级、拆卸原因、巡检状态、安装人员、检验类别、检验状态、维修等级、故障类别、紧急程度、故障等级、检验结果、检验目的、试验目的、项目名称、出入时状态、调拨状态、检验人、保养状态、事故等级、维修状态、事故性质、验收员、维修计划状态、保存计划状态、报修处理意见、验收状态、记录方式、验收类别、报修状态等模块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4．资产设置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资产设置具有Equip|资产设置模块，资产设置模块包括设备技术参数、借出还入标志、班组、折旧方法、采购类别、使用情况、资产来源、报废方式、用途、资产类型、领用类型、采购方式、上级经费科目、列报经费科目、采购小组、验收状态、变更原因、资产设备小类、经费管理部门、备用字段3、备用字段2、备用字段1、维修类型、盘点状态等模块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5．流程设置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流程设置具有采购管理、合同管理、公文流转、用品管理、资产管理、档案管理等分类组成。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七、系统设置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系统设置模块包括用户设置、角色权限设置、设置密码、备份数据、恢复数据、系统初始化、系统注册、账套设置、公司资料、附件分组设置、部门架构、导航菜单、首页图表设置、首页提醒设置、系统日志、在线用户等模块组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1．用户设置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用户设置具有增加、删除、设计、导入导出、打印选中、查询、退出等功能。具体包含操作、序号、ID、用户编码、用户名称、分组名称、权限分组、职务、文件查看、分组ID、是否是领导、是否禁用。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2．备份数据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备份数据具有备份数据、取消退出等功能。具体包括操作、文件名、创建时间、文件路径、大小等内容。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3．系统初始化</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系统初始化具有开始清除、关闭等功能。具体包括序号、名称、表名等内容。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4．系统注册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系统初始化具有注册授权、取消退出等功能。路径授权注册具有注册路径授权功能，数据库连接设置具有测试连接、保存数据功能。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5．公司资料</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公司资料具有增加、删除、列设置、插入选定、导入导出、退出等功能。具体包括操作、系统数据、编码、ID、类别、内容等内容。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6．系统日志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系统日志具有增加、删除、设计、导入导出、打印选中、查询、退出等功能。具体包括操作、ID、操作动作、登录IP、登录用户、编号、发生时间、变更信息等内容。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7．在线用户</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在线用户具有刷新、列设置、退出等功能。具体包括操作、用户ID、用户名称、SessionID、登录IP、登录时间、最后心跳时间等内容。</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40</w:t>
            </w:r>
            <w:r>
              <w:rPr>
                <w:rFonts w:hint="eastAsia" w:ascii="仿宋" w:hAnsi="仿宋" w:eastAsia="仿宋" w:cs="仿宋"/>
                <w:color w:val="000000"/>
                <w:szCs w:val="21"/>
                <w:highlight w:val="none"/>
                <w:lang w:eastAsia="zh"/>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8</w:t>
            </w:r>
            <w:r>
              <w:rPr>
                <w:rFonts w:hint="eastAsia" w:ascii="仿宋" w:hAnsi="仿宋" w:eastAsia="仿宋" w:cs="仿宋"/>
                <w:color w:val="000000"/>
                <w:szCs w:val="21"/>
                <w:highlight w:val="none"/>
                <w:lang w:eastAsia="zh"/>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工业互联与信创实训室</w:t>
            </w:r>
            <w:r>
              <w:rPr>
                <w:rFonts w:hint="eastAsia" w:ascii="仿宋" w:hAnsi="仿宋" w:eastAsia="仿宋" w:cs="仿宋"/>
                <w:color w:val="000000"/>
                <w:szCs w:val="21"/>
                <w:highlight w:val="none"/>
                <w:lang w:eastAsia="zh"/>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信创工业互联网开发实训平台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1.基于多内核设计的全场景分布式国产操作系统的IOT实验箱</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（1）包含≥8个轻量级国产操作系统的瘦设备核心板，并且支持磁吸核心板同时开展实验；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（2）≥1个国产操作系统的标准富设备核心板；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（3）≥5个通信协议模块；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（4）≥22个物联网传感器/执行器模块。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（5）需包含电源开关，对实验箱供电进行整体控制，需包含电源指示灯；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（6）需包含USB接口≥2个，可用于数据通信；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（7）需包含串口通信切换波动开关和串口通信指示灯。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2.实验箱支持技术包括应用开发以及设备开发，ArkTS、ArkUI，Socket（TCP，UDP），MQTT，HTTP。</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3.物联网模块支持搭积木方式的拼接，使用磁吸插槽，各个模块之间可以进行磁吸联接，同时提供多个香蕉头，方便接线形式进行实验，并加入防短路设计。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4.设备核心板：主控芯片≥160MHz、≥280K RAM、≥2MB Flash、支持WiFi。</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5.ARM架构标准富设备核心板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（1）内置国产处理器，使用ARM架构；支持国产标准操作系统，支持多系统；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（2）核心≥4核、最大工作频率≥1600MHz、内存≥2GB、存储空间≥32GB；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（3）算力：≥1Tops；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（4）USB2.0 Host≥1个；USB3.0 Host≥1个；USB3.0OTG≥1个；HDMI≥1个；eDP≥1个；以太网接口≥2个；支持WiFi和蓝牙。</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6.传感器/执行器模块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（1）交通灯板：≥1个，包含LED灯≥3个，按键≥1个；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（2）OLED显示板：≥1个，显示屏尺寸≥0.96英寸，按键≥2个；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（3）炫彩灯板：≥1块，包含三色LED≥1颗，红外传感器≥1个，光敏电阻≥1个；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（4）环境检测板：≥1块，包含温湿度传感器≥1个，蜂鸣器≥1个，可燃气体传感器≥1个；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（5）水位传感器：≥1个；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（6）火焰传感器：≥1个；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（7）门锁执行器：≥1个；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（8）窗帘执行器：≥1个；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（9）风扇执行器：≥1个；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（10）语音控制板：≥1个；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（11）水温传感器：≥1个；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（12）PM2.5传感器：≥1个；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（13）土壤湿度传感器：≥1个；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（14）PH值传感器：≥1个；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（15）风速采集传感器：≥1个；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（16）雨雪传感器：≥1个；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（17）水泵执行器：≥1个；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（18）舵机执行器：≥1个；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（19）生命体征传感器：≥1个，支持直接输出包含但不限于心率、呼吸速率、焦虑指数、血压、动脉硬化指数、疲劳等级、血氧饱和度、体脂率、含水率等数据；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（20）皮肤阻抗传感器：≥1个；支持测量人体皮肤总阻抗、表皮阻抗、真皮阻抗、皮下组织阻抗、皮肤水分、皮肤油分和皮肤弹性参数；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（21）酒精乙醇传感器：≥1个；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（22）红外测温传感器：≥1个；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7.通讯协议模块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（1）ZigBee通信模块：≥2个；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（2）蓝牙通信模块：≥2个；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（3）NFC读卡器模块：≥1个；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（4）迷你交换机：≥1个。</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rPr>
            </w:r>
            <w:r/>
          </w:p>
        </w:tc>
        <w:tc>
          <w:tcPr>
            <w:tcW w:w="471"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质保期为验收合格之日起36个月</w:t>
            </w: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信创应用开发实训套件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1.内置国产处理器，使用ARM架构；支持国产标准操作系统，支持多系统；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2.Soc：Cortex-A55，核心≥4核、主频≥2.0GHz、内存≥2GB、存储空间≥32GB；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3.算力：≥1Tops；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4.USB2.0 Host≥1个；USB3.0 Host≥1个；USB3.0OTG≥1个；HDMI≥1个；eDP≥1个；以太网接口≥2个；支持WiFi和蓝牙；</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lang w:eastAsia="zh"/>
              </w:rPr>
              <w:t xml:space="preserve">具有</w:t>
            </w:r>
            <w:r>
              <w:rPr>
                <w:rFonts w:hint="eastAsia" w:ascii="仿宋" w:hAnsi="仿宋" w:eastAsia="仿宋" w:cs="仿宋"/>
                <w:color w:val="000000"/>
                <w:szCs w:val="21"/>
                <w:highlight w:val="none"/>
              </w:rPr>
              <w:t xml:space="preserve">国产标准系统兼容性。</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rPr>
                <w:rFonts w:hint="eastAsia" w:ascii="仿宋" w:hAnsi="仿宋" w:eastAsia="仿宋" w:cs="仿宋"/>
                <w:color w:val="000000"/>
                <w:szCs w:val="21"/>
                <w:highlight w:val="none"/>
              </w:rPr>
            </w:r>
            <w:r/>
          </w:p>
        </w:tc>
        <w:tc>
          <w:tcPr>
            <w:tcW w:w="471"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基于开源信创的智能物联开发套件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1.SoC：无线通信频率：≥2.4GHz，最大工作频率不小于160MHz；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2.需支持复杂环境下TPC、自动速率、弱干扰免疫等可靠性通信算法；</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3.需支持国产化操作系统；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4.主板：≥1块，包含可编程LED灯≥1个，可编程按键≥1个，复位按键≥1个，Type-C接口≥1个；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5.底板：≥1块；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6.智能红绿灯板：≥1块，包含LED灯≥3个，按键≥1个；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7.环境监测板：≥1块，包含温湿度传感器≥1个，蜂鸣器≥1个，可燃气体传感器≥1个；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8.显示板：≥1块，显示屏尺寸≥0.96英寸，按键≥2个；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9.智能炫彩灯板：≥1块，包含三色LED≥1颗，红外传感器≥1个，光敏电阻≥1个；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10.NFC拓展板：≥1块，包含两位拨码开关≥1个。</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rPr>
                <w:rFonts w:hint="eastAsia" w:ascii="仿宋" w:hAnsi="仿宋" w:eastAsia="仿宋" w:cs="仿宋"/>
                <w:color w:val="000000"/>
                <w:szCs w:val="21"/>
                <w:highlight w:val="none"/>
              </w:rPr>
            </w:r>
            <w:r/>
          </w:p>
        </w:tc>
        <w:tc>
          <w:tcPr>
            <w:tcW w:w="471"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基于开源信创的智能小车开发套件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1.SoC：无线通信频率≥2.4GHz，最大工作频率不小于160MHz；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2.SRAM≥352KB，Flash≥2MB，ROM≥288KB；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3.支持国产化操作系统；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4.支持复杂环境下TPC、自动速率、弱干扰免疫等可靠性通信算法；</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5.支持≥256节点Mesh组网；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6.包含：主板≥1块，通用底板≥1块，显示板≥1块，NFC板≥1块，机器人板≥1块，TT马达≥2个，红外循迹传感器≥2个，舵机≥1个，超声波模块≥1个；</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7.支持通过18650锂电池、5号干电池供电；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8.支持通过循迹模块获取路面轨道数据，运用循迹算法使小车按照固定轨道运行；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9.支持通过超声波传感器获取周围环境障碍物数据，运用避障算法实现避障功能；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10.具备AP模式，支持远程连接遥控智能小车。</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41</w:t>
            </w:r>
            <w:r>
              <w:rPr>
                <w:rFonts w:hint="eastAsia" w:ascii="仿宋" w:hAnsi="仿宋" w:eastAsia="仿宋" w:cs="仿宋"/>
                <w:color w:val="000000"/>
                <w:szCs w:val="21"/>
                <w:highlight w:val="none"/>
              </w:rPr>
            </w:r>
            <w:r/>
          </w:p>
        </w:tc>
        <w:tc>
          <w:tcPr>
            <w:tcW w:w="471"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信创工业终端开发平台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1.中央处理器（CPU）：性能不低于ARM Cortex-A76×4+ARM Cortex-A55×4，主频≥2.4GHz；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2.图形处理器（GPU）：需支持OpenGLES 1.1，2.0，3.2，OpenCL up to 2.2 and Vulkan1.2；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3.神经网络处理器（NPU）：算力≥6.0TOPs；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4.内存/存储：≥8GB LPDDR4/≥64GB，需支持TF Card扩展存储空间；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5.视频接口：HDMI OUT≥2路，LVDS≥1路，eDP≥1路，HDMI IN≥1路；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6.拓展接口：USB3.0 TYPE A≥1路，USB2.0 TYPE A≥2路，USB3.0 TYPE C≥1路；固定RS485接口≥1路，可选择RS232/RS485接口≥2路，CAN接口≥1路，UART接口≥1路，Debug接口≥1路；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7.全功能Type-C接口，支持Type-C供电、视频输出等功能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8.支持双屏异显，主副屏可以显示不同的内容。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9.需包含千兆以太网接口≥1路，需支持WiFi6；需包含M.2，可用于拓展4G/5G模块；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rPr>
              <w:t xml:space="preserve">10.支持</w:t>
            </w:r>
            <w:r>
              <w:rPr>
                <w:rFonts w:hint="eastAsia" w:ascii="仿宋" w:hAnsi="仿宋" w:eastAsia="仿宋" w:cs="仿宋"/>
                <w:color w:val="000000"/>
                <w:szCs w:val="21"/>
                <w:highlight w:val="none"/>
                <w:lang w:eastAsia="zh"/>
              </w:rPr>
              <w:t xml:space="preserve">信创</w:t>
            </w:r>
            <w:r>
              <w:rPr>
                <w:rFonts w:hint="eastAsia" w:ascii="仿宋" w:hAnsi="仿宋" w:eastAsia="仿宋" w:cs="仿宋"/>
                <w:color w:val="000000"/>
                <w:szCs w:val="21"/>
                <w:highlight w:val="none"/>
              </w:rPr>
              <w:t xml:space="preserve">原生AI能力，支持人脸识别、目标检测等功能</w:t>
            </w:r>
            <w:r>
              <w:rPr>
                <w:rFonts w:hint="eastAsia" w:ascii="仿宋" w:hAnsi="仿宋" w:eastAsia="仿宋" w:cs="仿宋"/>
                <w:color w:val="000000"/>
                <w:szCs w:val="21"/>
                <w:highlight w:val="none"/>
                <w:lang w:eastAsia="zh"/>
              </w:rPr>
              <w:t xml:space="preserve">。</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471"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智慧工业展训一体平台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一、整体参数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实训台尺寸≥1200mm*1200mm*700mm，主体为不低于1.2mm的钣金冲压结构，外部采用静电喷塑工艺，漆面防刮、耐磨、不易变色，桌面采用复合型防刮、防爆桌面。可直接放置于开放性实验室作为普通桌子使用，同时支持桌面翻转实现场景用，内部集成液压杆，学生轻松可以实现打开和关闭，并配有阻尼限位器，在做实验的时候保证立式操作区域的安全、可靠。配合挂板和沙盘系统实现不同重点的学习。</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2.场景平台翻转后为两种功能区，功能区一：基础实训区。功能区二：场景实训区。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3.包含不少于8个国产操作系统瘦设备，不少于1个国产操作系统富设备，支持轻量型国产操作系统、标准型国产操作系统</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二、基础实训区参数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1.采用Windows操作系统，显示端采用护眼型不低于23寸液晶显示器，分辨率不低于：1920*1080。显示器位于桌面背面，当桌面翻转后实现显示器为90度（立式），方便观看。</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2.基础实</w:t>
            </w:r>
            <w:r>
              <w:rPr>
                <w:rFonts w:hint="eastAsia" w:ascii="仿宋" w:hAnsi="仿宋" w:eastAsia="仿宋" w:cs="仿宋"/>
                <w:color w:val="000000"/>
                <w:szCs w:val="21"/>
                <w:highlight w:val="none"/>
              </w:rPr>
              <w:t xml:space="preserve">训区集成多功能网联实训平台、鼠标、键盘等常用设备。多功能网联实训平台内部磁吸槽位≥8个，每个槽位要有防插反设计。同时内部配有pogopin镀金接触点，接触点≥12p（包含5V引脚、3.3V引脚、GND引脚、TTL串口/485串口引脚、J-link下载引脚、CC-debug下载引脚），整体平台只需要1根USB线连接电脑就可以虚拟出：TTL串口≥4路、485串口≥4路，J-link下载器≥1个，CC-debug下载器≥1个，USB 2.0接口≥2个。同时pogopin镀金接触点设计有防短路、防插反、防静电等保护</w:t>
            </w:r>
            <w:r>
              <w:rPr>
                <w:rFonts w:hint="eastAsia" w:ascii="仿宋" w:hAnsi="仿宋" w:eastAsia="仿宋" w:cs="仿宋"/>
                <w:color w:val="000000"/>
                <w:szCs w:val="21"/>
                <w:highlight w:val="none"/>
              </w:rPr>
              <w:t xml:space="preserve">电路。平台内部集成J-link下载器，CC-debug下载器，ESP32下载器，信创芯片下载器并配有独立开关和工作指示灯。配有1路USB总输入口，支持连接学生电脑进行实验。磁吸槽位的TTL串口或485串口，要配有独立开关和通信指示灯。独立开关：关闭，则该槽位的串口为高阻状态，断开通信；打开，则会在电脑端虚拟出对应的串口号，导通串口通信。通信指示灯：可以展示串口通信的TX发送数据情况和RX接收数据情况，方便学生快速查看通信状态和发现问题。配有复位键和电源开关键，即平台出现问题，可点击复位键使平台恢复出厂设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配有2路独立的USB3.0接口，可外接移动硬盘、U盘等。1路主机开关，可用于控制整个系统的启动。同时配备电动升降系统，当系统启动，平台和鼠标键盘区同时升起，达到与外沿齐平，方便实验。当系统关闭，整个平台和鼠标键盘区域同时下沉，下沉高度≥70mm。防止显示器与实验模块出现挤压情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传感器模块不少于17个，包含：提供温湿度传感器≥1个、门磁传感器≥1个、人体红外传感器≥1个、红外对射传感器≥1个、霍尔磁性传感器模块≥1个、三轴加速度传感器模块≥1个、红外对射传感器≥1个、光照传感器≥1个、烟雾传感器≥1个、气体传感器≥1个、继电器模块≥1个、超声波传感器≥1个、压力传感器≥1个、土壤温湿度传感器≥1个、火焰传感器≥1个、限位传感器≥1个、pm2.5传感器≥1个等多种传感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7.通讯模块不少于9个，包含：ZigBee模块≥8个、WIFI模块≥1个、蓝牙模块≥2个、4G模块≥1个、NB-IOT模块≥1个、Lora模块≥2个、RFID模块≥1个（LF低频、HF中频、UHF超高频）等。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三、智慧工业场景实训区参数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底部为沙盘实景展示区，用于实现智能工业沙盘场景展示。沙盘要求：具备工厂模拟场景沙盘，需配有灯光控制，配有窗户开关轨道和模拟开窗效果。大屏可进行播放视频内容。配合智能设备，可实现灯光控制、遮阳帘控制、窗户控制、雨水检测、火灾检测、烟雾检测、闯入检测、室内网络布设、安防监控等实训内容。</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智能设备包含硬件设施有：智能门锁≥1个，液晶触控面板≥1个，温湿度传感器≥1个，智能摄像头≥1个，智能触控面板≥1个，电动窗帘≥1个，智能插座≥1个，红外人体传感器≥1个，门窗磁传感器≥1个，水浸传感器≥1个，声光报警器≥1个，燃气报警器≥1个，烟雾报警器≥1个等。</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471"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9</w:t>
            </w:r>
            <w:r>
              <w:rPr>
                <w:rFonts w:hint="eastAsia" w:ascii="仿宋" w:hAnsi="仿宋" w:eastAsia="仿宋" w:cs="仿宋"/>
                <w:color w:val="000000"/>
                <w:szCs w:val="21"/>
                <w:highlight w:val="none"/>
                <w:lang w:eastAsia="zh"/>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工业物联网平台及数据采集</w:t>
            </w: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工程实训室物联网平台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一、系统管理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1．主/子账户管理:支持客户创建主账户与子账户，主子账户间数据隔离</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2．角色管理与权限控制:平台角色定义和基于角色的权限控制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3．用户管理:管理可以访问Web Portal的用户</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4．应用管理:管理调用OpenAPI的AppId和对应的API权限；授权父账户appid对子账户的数据访问权限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5．用户个人中心:用户的个人信息维护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6．平台支持语言切换:中英文双语言支持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二、设备管理引擎</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1．南向设备支持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（1）MQTT直连设备接入底座:接入、鉴权、数据上下行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（2）CoAP直连设备接入底座:接入、鉴权、数据上下行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（3）LwM2M直连设备接入底座:接入、鉴权、数据上下行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（4）HTTP直接设备接入底座:接入、鉴权、数据上行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（5）自定义TCP直连设备接入底座:接入、鉴权、数据上下行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（6）JT/T808直连设备接入底座:接入、鉴权、数据上下行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（7）网关和子设备接入底座:网关和子设备拓扑关系管理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（8）泛协议接入-云云对接能力底座:云云对接能力支持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（9）TR069直连设备接入底座:接入、鉴权、数据上下行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2．产品管理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（1）产品（物模型）定义和管理:直连、网关、网关子设备产品和物模型定义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（2）数据解析:支持自定义TCP协议的解析脚本（JS）</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rPr>
              <w:t xml:space="preserve">设备管理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（1）直连设备注册和管理:直连、网关、网关子设备的设备的注册和管理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（2）设备物模型数据查询:设备基于物模型上下行数据的查询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（3）设备文件管理:支持设备文件的上传、查询、下载</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（4）泛协议服务管理:支持泛协议服务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（5）设备授权:支持设备在租户间共享</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（6）设备活跃状态管理:通过设备和平台的数据交互情况管理设备活跃状态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（7）设备影子:查看设备影子状态、下发设备影子缓存命令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（8）标签管理:产品、设备标签</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（9）</w:t>
            </w:r>
            <w:r>
              <w:rPr>
                <w:rFonts w:hint="eastAsia" w:ascii="仿宋" w:hAnsi="仿宋" w:eastAsia="仿宋" w:cs="仿宋"/>
                <w:color w:val="000000"/>
                <w:szCs w:val="21"/>
                <w:highlight w:val="none"/>
              </w:rPr>
              <w:t xml:space="preserve">远程升级:支持远程升级，支持上传升级资源包，并提供下载功能。持用户管理升级任务，支持配置升级策略、选择升级包、升级范围等；支持直连设备远程升级，支持终端设备的自定义模块升级；支持升级策略的配置，包括升级时间（立即升级或某时间点升级）、升级失败重试间隔、升级超时时间、升级到的版本。</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4．运维监控</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（1）系统日志-平台:用户Web使用日志、设备与平台通信日志、OpenAPI调用日志</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（2）规则引擎告警中心:支持创建告警规则、查看、处理告警规则</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（3）统计报表:支持统计报表自定义导出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（4）运维大屏:展示设备地域分布及运行情况设备</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（5）在线调试:模拟MQTT/HTTP/LwM2M/TCP协议设备连接、数据上报、命令下发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（6）设备异常检测:支持对设备进行异常检测，包括：重复检测、身份验证失败、多次上报数据失败、设备属性上报频率异；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5．远程控制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（1）设备命令:设置属性、同步调用服务、异步调用服务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（2）设备命令插队:支持南向命令低时延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6．规则引擎</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（1）基于规则引擎的数据转发:不经过匹配和计算的数据转发</w:t>
            </w:r>
            <w:r>
              <w:rPr>
                <w:rFonts w:hint="eastAsia" w:ascii="仿宋" w:hAnsi="仿宋" w:eastAsia="仿宋" w:cs="仿宋"/>
                <w:color w:val="000000"/>
                <w:szCs w:val="21"/>
                <w:highlight w:val="none"/>
              </w:rPr>
            </w:r>
            <w:r/>
          </w:p>
          <w:p>
            <w:pPr>
              <w:pStyle w:val="1038"/>
              <w:spacing w:before="0" w:after="0" w:line="240" w:lineRule="auto"/>
              <w:rPr>
                <w:color w:val="000000"/>
                <w:highlight w:val="none"/>
              </w:rPr>
            </w:pPr>
            <w:r>
              <w:rPr>
                <w:rFonts w:hint="eastAsia" w:ascii="仿宋" w:hAnsi="仿宋" w:eastAsia="仿宋" w:cs="仿宋"/>
                <w:color w:val="000000"/>
                <w:szCs w:val="21"/>
                <w:highlight w:val="none"/>
              </w:rPr>
              <w:t xml:space="preserve">（2）基于规则引擎的场景联动:基于简单匹配生成告警数据。具备场景联动功能，场景联动功能业务配置包括但不限于触发器、执行条件、执行动作等；触发器具备多种触发规则，同一个触发规则可配置的解发器≥3个；执行条件支持设备状态、时间范围等参数，一个规则可以配置的执行条件数量≥5个；执行动作可设置告警通知、属性设置、服务调用等参数，当存在多个执行动作时，某一条执行失败的动作不会影响其它动作执行，一个规则可配置的执行动作数量≥10个。</w:t>
            </w:r>
            <w:r>
              <w:rPr>
                <w:color w:val="000000"/>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7．数据转发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（1）HTTP转发:支持通过http的方式推送数据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（2）Kafka:支持通过kafka的方式推送数据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8.OpenAPI</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（1）API网关:支持外部访问的API网关</w:t>
            </w:r>
            <w:r>
              <w:rPr>
                <w:rFonts w:hint="eastAsia" w:ascii="仿宋" w:hAnsi="仿宋" w:eastAsia="仿宋" w:cs="仿宋"/>
                <w:color w:val="000000"/>
                <w:szCs w:val="21"/>
                <w:highlight w:val="none"/>
              </w:rPr>
            </w:r>
            <w:r/>
          </w:p>
          <w:p>
            <w:pPr>
              <w:pStyle w:val="1038"/>
              <w:spacing w:before="0" w:after="0" w:line="240" w:lineRule="auto"/>
              <w:rPr>
                <w:color w:val="000000"/>
                <w:highlight w:val="none"/>
              </w:rPr>
            </w:pPr>
            <w:r>
              <w:rPr>
                <w:rFonts w:hint="eastAsia" w:ascii="仿宋" w:hAnsi="仿宋" w:eastAsia="仿宋" w:cs="仿宋"/>
                <w:color w:val="000000"/>
                <w:szCs w:val="21"/>
                <w:highlight w:val="none"/>
              </w:rPr>
              <w:t xml:space="preserve">（2）各类OpenAPI:各个模块对外提供的API。具有丰富的API接口，测试范围包括（但不限于）告警中心、数据分析、规则引擎、标签管理、设备管理、产品管理、标准物模型、账户管理、权限控制等，可通过在线测试的API明细和地址数量≥100项。</w:t>
            </w:r>
            <w:r>
              <w:rPr>
                <w:color w:val="000000"/>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三、场景能力</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1．告警中心:支持告警统一查看、推送、处理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2．告警联系人:告警告警联系和联系人组管理，可配置通知方式</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3．告警规则管理:支持设备告警的规则配置；支持场景联动告警规则配置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4．告警降噪:支持告警静默</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四、云边协同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1．边缘实例管理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（1）边缘实例新建:边缘实例的新建，支持配置边缘站点ID、名称、类型、是否共享子账户等信息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（2）边缘实例查看:支持查看边缘视力的基本信息、设备信息、日志服务等详细信息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（3）边缘实例删除:支持边缘实例的删除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（4）分配设备:支持边缘设备的单个与批量分配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（5）泛协议服务:支持泛协议服务的单个与批量分配</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2．南向设备支持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（1）MQTT直连设备接入底座:接入、鉴权、数据上下行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（2）LwM2M直连设备接入底座:接入、鉴权、数据上下行</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3．边缘规则引擎</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（1）边缘数据转发:基于规则引擎的数据转发，包括规则的新建、查看、编辑与删除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（2）边缘场景联动:基于规则引擎的场景联动，包括场景的新建、查看、编辑与删除</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（3）转发方式:支持以HTTP推送的方式向外转发数据、支持以kafka的方式向外转发数据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4．边缘日志服务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（1）边缘设备日志:支持查看边缘端的设备日志，支持按照操作者、操作、内容关键字等方式进行查询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（2）边缘应用日志管理:支持查看边缘端的应用日志，支持按请求ID、操作、内容关键字等方式进行查询</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5．边缘告警中心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（1）告警列表:边缘告警列表包含待处理告警与历史告警列表，支持按照时间进行查询与操作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（2）告警规则:支持新建、删除、启用、禁用、查看边缘端的告警规则</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6．边缘与中心数据同步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（1）设备信息同步:支持设备信息的云边同步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（2）设备数据同步:支持设备数据的云边同步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（3）边缘日志同步:支持边缘端日志的同步</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7．开发文档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产品相关资料具有官方开放的帮助文档，提供成熟的开发 SDK、工具包、代码示例等。</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质保期为验收合格之日起36个月</w:t>
            </w: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设备数据采集</w:t>
            </w:r>
            <w:r>
              <w:rPr>
                <w:rFonts w:hint="eastAsia" w:ascii="仿宋" w:hAnsi="仿宋" w:eastAsia="仿宋" w:cs="仿宋"/>
                <w:color w:val="000000"/>
                <w:szCs w:val="21"/>
                <w:highlight w:val="none"/>
              </w:rPr>
            </w:r>
            <w:r/>
          </w:p>
        </w:tc>
        <w:tc>
          <w:tcPr>
            <w:tcW w:w="7635" w:type="dxa"/>
            <w:vAlign w:val="top"/>
            <w:textDirection w:val="lrTb"/>
            <w:noWrap w:val="false"/>
          </w:tcPr>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需要支持包括本项目中所涉及的机器人、AGV、复合AGV、PLC控制器、传感器等实训设备的接入。</w:t>
            </w:r>
            <w:r>
              <w:rPr>
                <w:rFonts w:hint="eastAsia" w:ascii="仿宋" w:hAnsi="仿宋" w:eastAsia="仿宋" w:cs="仿宋"/>
                <w:color w:val="000000"/>
                <w:highlight w:val="none"/>
                <w:lang w:eastAsia="zh"/>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10</w:t>
            </w:r>
            <w:r>
              <w:rPr>
                <w:rFonts w:hint="eastAsia" w:ascii="仿宋" w:hAnsi="仿宋" w:eastAsia="仿宋" w:cs="仿宋"/>
                <w:color w:val="000000"/>
                <w:szCs w:val="21"/>
                <w:highlight w:val="none"/>
                <w:lang w:eastAsia="zh"/>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配套设施</w:t>
            </w:r>
            <w:r>
              <w:rPr>
                <w:rFonts w:hint="eastAsia" w:ascii="仿宋" w:hAnsi="仿宋" w:eastAsia="仿宋" w:cs="仿宋"/>
                <w:color w:val="000000"/>
                <w:szCs w:val="21"/>
                <w:highlight w:val="none"/>
                <w:lang w:eastAsia="zh"/>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工作台1</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台面需要采用不小于24mm厚实木多层板材质。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1.整体外形尺寸：不小于长1200mm×宽600mm×高800mm；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1.台面板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1）尺寸：不小于长1200mm×宽600mm×厚24mm；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2）颜色：白色。 </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工作台2</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台面需要采用不小于24mm厚实木多层板材质。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1.整体外形尺寸：不小于长1600mm×宽800mm×高790mm；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1.台面板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尺寸：不小于长1600mm×宽800mm×厚24mm；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颜色：白色。 </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工作台3</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台面需要采用不小于24mm厚实木多层板材质。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1.整体外形尺寸：不小于长1200mm×宽600mm×高790mm；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1.台面板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尺寸：不小于长1200mm×宽600mm×厚24mm；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颜色：白色。 </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1</w:t>
            </w:r>
            <w:r>
              <w:rPr>
                <w:rFonts w:hint="eastAsia" w:ascii="仿宋" w:hAnsi="仿宋" w:eastAsia="仿宋" w:cs="仿宋"/>
                <w:color w:val="000000"/>
                <w:szCs w:val="21"/>
                <w:highlight w:val="none"/>
                <w:lang w:eastAsia="zh" w:bidi="ar"/>
              </w:rPr>
              <w:t xml:space="preserve">7</w:t>
            </w:r>
            <w:r>
              <w:rPr>
                <w:rFonts w:hint="eastAsia" w:ascii="仿宋" w:hAnsi="仿宋" w:eastAsia="仿宋" w:cs="仿宋"/>
                <w:color w:val="000000"/>
                <w:szCs w:val="21"/>
                <w:highlight w:val="none"/>
                <w:lang w:eastAsia="zh"/>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工作台</w:t>
            </w:r>
            <w:r>
              <w:rPr>
                <w:rFonts w:hint="eastAsia" w:ascii="仿宋" w:hAnsi="仿宋" w:eastAsia="仿宋" w:cs="仿宋"/>
                <w:color w:val="000000"/>
                <w:szCs w:val="21"/>
                <w:highlight w:val="none"/>
                <w:lang w:eastAsia="zh" w:bidi="ar"/>
              </w:rPr>
              <w:t xml:space="preserve">4</w:t>
            </w:r>
            <w:r>
              <w:rPr>
                <w:rFonts w:hint="eastAsia" w:ascii="仿宋" w:hAnsi="仿宋" w:eastAsia="仿宋" w:cs="仿宋"/>
                <w:color w:val="000000"/>
                <w:szCs w:val="21"/>
                <w:highlight w:val="none"/>
                <w:lang w:bidi="ar"/>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台面需要采用不小于24mm厚实木多层板材质。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1.整体外形尺寸：不小于长1400mm×宽600mm×高790mm；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1.台面板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尺寸：不小于长1400mm×宽600mm×厚24mm；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lang w:bidi="ar"/>
              </w:rPr>
            </w:pPr>
            <w:r>
              <w:rPr>
                <w:rFonts w:hint="eastAsia" w:ascii="仿宋" w:hAnsi="仿宋" w:eastAsia="仿宋" w:cs="仿宋"/>
                <w:color w:val="000000"/>
                <w:szCs w:val="21"/>
                <w:highlight w:val="none"/>
                <w:lang w:bidi="ar"/>
              </w:rPr>
              <w:t xml:space="preserve">颜色：白色。</w:t>
            </w:r>
            <w:r>
              <w:rPr>
                <w:rFonts w:hint="eastAsia" w:ascii="仿宋" w:hAnsi="仿宋" w:eastAsia="仿宋" w:cs="仿宋"/>
                <w:color w:val="000000"/>
                <w:szCs w:val="21"/>
                <w:highlight w:val="none"/>
                <w:lang w:bidi="ar"/>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bidi="ar"/>
              </w:rPr>
            </w:pPr>
            <w:r>
              <w:rPr>
                <w:rFonts w:hint="eastAsia" w:ascii="仿宋" w:hAnsi="仿宋" w:eastAsia="仿宋" w:cs="仿宋"/>
                <w:color w:val="000000"/>
                <w:szCs w:val="21"/>
                <w:highlight w:val="none"/>
                <w:lang w:eastAsia="zh" w:bidi="ar"/>
              </w:rPr>
              <w:t xml:space="preserve">6</w:t>
            </w:r>
            <w:r>
              <w:rPr>
                <w:rFonts w:hint="eastAsia" w:ascii="仿宋" w:hAnsi="仿宋" w:eastAsia="仿宋" w:cs="仿宋"/>
                <w:color w:val="000000"/>
                <w:szCs w:val="21"/>
                <w:highlight w:val="none"/>
                <w:lang w:eastAsia="zh" w:bidi="ar"/>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工作台</w:t>
            </w:r>
            <w:r>
              <w:rPr>
                <w:rFonts w:hint="eastAsia" w:ascii="仿宋" w:hAnsi="仿宋" w:eastAsia="仿宋" w:cs="仿宋"/>
                <w:color w:val="000000"/>
                <w:szCs w:val="21"/>
                <w:highlight w:val="none"/>
                <w:lang w:eastAsia="zh" w:bidi="ar"/>
              </w:rPr>
              <w:t xml:space="preserve">5</w:t>
            </w:r>
            <w:r>
              <w:rPr>
                <w:rFonts w:hint="eastAsia" w:ascii="仿宋" w:hAnsi="仿宋" w:eastAsia="仿宋" w:cs="仿宋"/>
                <w:color w:val="000000"/>
                <w:szCs w:val="21"/>
                <w:highlight w:val="none"/>
                <w:lang w:eastAsia="zh"/>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台面需要采用两块不小于12mm厚实木多层板和一块铝合金板组合。</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1.整体外形尺寸：不小于长2400mm×宽800mm×高790mm。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1.台面板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尺寸：不小于长2400mm×宽800mm×厚24mm；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颜色：白色。 </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20</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工作台</w:t>
            </w:r>
            <w:r>
              <w:rPr>
                <w:rFonts w:hint="eastAsia" w:ascii="仿宋" w:hAnsi="仿宋" w:eastAsia="仿宋" w:cs="仿宋"/>
                <w:color w:val="000000"/>
                <w:szCs w:val="21"/>
                <w:highlight w:val="none"/>
                <w:lang w:eastAsia="zh" w:bidi="ar"/>
              </w:rPr>
              <w:t xml:space="preserve">6</w:t>
            </w:r>
            <w:r>
              <w:rPr>
                <w:rFonts w:hint="eastAsia" w:ascii="仿宋" w:hAnsi="仿宋" w:eastAsia="仿宋" w:cs="仿宋"/>
                <w:color w:val="000000"/>
                <w:szCs w:val="21"/>
                <w:highlight w:val="none"/>
                <w:lang w:eastAsia="zh"/>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台面需要采用不小于24mm厚实木多层板材质。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1.整体外形尺寸：不小于长1800mm×宽800mm×高790mm；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1.台面板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尺寸：不小于长1800mm×宽800mm×厚24mm；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颜色：白色。 </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16</w:t>
            </w:r>
            <w:r>
              <w:rPr>
                <w:rFonts w:hint="eastAsia" w:ascii="仿宋" w:hAnsi="仿宋" w:eastAsia="仿宋" w:cs="仿宋"/>
                <w:color w:val="000000"/>
                <w:szCs w:val="21"/>
                <w:highlight w:val="none"/>
                <w:lang w:eastAsia="zh"/>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工作台</w:t>
            </w:r>
            <w:r>
              <w:rPr>
                <w:rFonts w:hint="eastAsia" w:ascii="仿宋" w:hAnsi="仿宋" w:eastAsia="仿宋" w:cs="仿宋"/>
                <w:color w:val="000000"/>
                <w:szCs w:val="21"/>
                <w:highlight w:val="none"/>
                <w:lang w:eastAsia="zh" w:bidi="ar"/>
              </w:rPr>
              <w:t xml:space="preserve">7</w:t>
            </w:r>
            <w:r>
              <w:rPr>
                <w:rFonts w:hint="eastAsia" w:ascii="仿宋" w:hAnsi="仿宋" w:eastAsia="仿宋" w:cs="仿宋"/>
                <w:color w:val="000000"/>
                <w:szCs w:val="21"/>
                <w:highlight w:val="none"/>
                <w:lang w:eastAsia="zh"/>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一、产品要求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台面需要采用不小于24mm厚实木多层板材质。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二、技术参数要求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1.整体外形尺寸：不小于长2000mm×宽600mm×高790mm；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三、产品部件要求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1.台面板</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尺寸：不小于长2000mm×宽600mm×厚24mm；</w:t>
            </w:r>
            <w:r>
              <w:rPr>
                <w:rFonts w:hint="eastAsia" w:ascii="仿宋" w:hAnsi="仿宋" w:eastAsia="仿宋" w:cs="仿宋"/>
                <w:color w:val="000000"/>
                <w:szCs w:val="21"/>
                <w:highlight w:val="none"/>
              </w:rPr>
            </w:r>
            <w:r/>
          </w:p>
          <w:p>
            <w:pPr>
              <w:pStyle w:val="1038"/>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bidi="ar"/>
              </w:rPr>
              <w:t xml:space="preserve">颜色：白色。 </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12</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凳子</w:t>
            </w:r>
            <w:r>
              <w:rPr>
                <w:rFonts w:hint="eastAsia" w:ascii="仿宋" w:hAnsi="仿宋" w:eastAsia="仿宋" w:cs="仿宋"/>
                <w:color w:val="000000"/>
                <w:szCs w:val="21"/>
                <w:highlight w:val="none"/>
              </w:rPr>
            </w:r>
            <w:r/>
          </w:p>
        </w:tc>
        <w:tc>
          <w:tcPr>
            <w:tcW w:w="7635" w:type="dxa"/>
            <w:vAlign w:val="top"/>
            <w:textDirection w:val="lrTb"/>
            <w:noWrap w:val="false"/>
          </w:tcPr>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eastAsia="zh"/>
              </w:rPr>
              <w:t xml:space="preserve">外形尺寸：不小于长340×宽240×高450mm，白色；底部带防滑垫。</w:t>
            </w:r>
            <w:r>
              <w:rPr>
                <w:rFonts w:hint="eastAsia" w:ascii="仿宋" w:hAnsi="仿宋" w:eastAsia="仿宋" w:cs="仿宋"/>
                <w:color w:val="000000"/>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244</w:t>
            </w:r>
            <w:r>
              <w:rPr>
                <w:rFonts w:hint="eastAsia" w:ascii="仿宋" w:hAnsi="仿宋" w:eastAsia="仿宋" w:cs="仿宋"/>
                <w:color w:val="000000"/>
                <w:szCs w:val="21"/>
                <w:highlight w:val="none"/>
                <w:lang w:eastAsia="zh"/>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椅子</w:t>
            </w:r>
            <w:r>
              <w:rPr>
                <w:rFonts w:hint="eastAsia" w:ascii="仿宋" w:hAnsi="仿宋" w:eastAsia="仿宋" w:cs="仿宋"/>
                <w:color w:val="000000"/>
                <w:szCs w:val="21"/>
                <w:highlight w:val="none"/>
              </w:rPr>
            </w:r>
            <w:r/>
          </w:p>
        </w:tc>
        <w:tc>
          <w:tcPr>
            <w:tcW w:w="7635" w:type="dxa"/>
            <w:vAlign w:val="top"/>
            <w:textDirection w:val="lrTb"/>
            <w:noWrap w:val="false"/>
          </w:tcPr>
          <w:p>
            <w:pPr>
              <w:pStyle w:val="1484"/>
              <w:ind w:firstLine="0"/>
              <w:jc w:val="left"/>
              <w:rPr>
                <w:rFonts w:hint="eastAsia" w:ascii="仿宋" w:hAnsi="仿宋" w:eastAsia="仿宋" w:cs="仿宋"/>
                <w:color w:val="000000"/>
                <w:highlight w:val="none"/>
                <w:lang w:eastAsia="zh"/>
              </w:rPr>
            </w:pPr>
            <w:r>
              <w:rPr>
                <w:rFonts w:hint="eastAsia" w:ascii="仿宋" w:hAnsi="仿宋" w:eastAsia="仿宋" w:cs="仿宋"/>
                <w:color w:val="000000"/>
                <w:highlight w:val="none"/>
                <w:lang w:bidi="ar"/>
              </w:rPr>
              <w:t xml:space="preserve">优质办公椅，人体工学设计，尺寸不小于 830*570*815mm，用料扎实耐用</w:t>
            </w:r>
            <w:r>
              <w:rPr>
                <w:rFonts w:hint="eastAsia" w:ascii="仿宋" w:hAnsi="仿宋" w:eastAsia="仿宋" w:cs="仿宋"/>
                <w:color w:val="000000"/>
                <w:highlight w:val="none"/>
                <w:lang w:eastAsia="zh" w:bidi="ar"/>
              </w:rPr>
              <w:t xml:space="preserve">。</w:t>
            </w:r>
            <w:r>
              <w:rPr>
                <w:rFonts w:hint="eastAsia" w:ascii="仿宋" w:hAnsi="仿宋" w:eastAsia="仿宋" w:cs="仿宋"/>
                <w:color w:val="000000"/>
                <w:highlight w:val="none"/>
                <w:lang w:eastAsia="zh"/>
              </w:rPr>
            </w:r>
            <w:r/>
          </w:p>
        </w:tc>
        <w:tc>
          <w:tcPr>
            <w:tcW w:w="469" w:type="dxa"/>
            <w:vAlign w:val="top"/>
            <w:textDirection w:val="lrTb"/>
            <w:noWrap w:val="false"/>
          </w:tcPr>
          <w:p>
            <w:pPr>
              <w:pStyle w:val="1038"/>
              <w:jc w:val="center"/>
              <w:spacing w:before="0" w:after="0" w:line="240" w:lineRule="auto"/>
              <w:widowControl/>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10</w:t>
            </w:r>
            <w:r>
              <w:rPr>
                <w:rFonts w:hint="eastAsia" w:ascii="仿宋" w:hAnsi="仿宋" w:eastAsia="仿宋" w:cs="仿宋"/>
                <w:color w:val="000000"/>
                <w:szCs w:val="21"/>
                <w:highlight w:val="none"/>
                <w:lang w:eastAsia="zh"/>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实训系统移动教学终端</w:t>
            </w: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实训系统移动教学终端1</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不少于四核cpu，内存不低于4GB，闪存不低于64GB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尺寸不低于75英寸，刷新率不低于144Hz；</w:t>
            </w:r>
            <w:r>
              <w:rPr>
                <w:rFonts w:hint="eastAsia" w:ascii="仿宋" w:hAnsi="仿宋" w:eastAsia="仿宋" w:cs="仿宋"/>
                <w:color w:val="000000"/>
                <w:szCs w:val="21"/>
                <w:highlight w:val="none"/>
                <w:lang w:eastAsia="zh"/>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Mini LED 背光不少于</w:t>
            </w:r>
            <w:r>
              <w:rPr>
                <w:rFonts w:hint="eastAsia" w:ascii="仿宋" w:hAnsi="仿宋" w:eastAsia="仿宋" w:cs="仿宋"/>
                <w:color w:val="000000"/>
                <w:szCs w:val="21"/>
                <w:highlight w:val="none"/>
              </w:rPr>
              <w:t xml:space="preserve">1008分区，峰值亮度不低于2000nit，高频护眼调光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支架：落地加厚移动支架</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实训系统移动教学终端2</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不少于四核cpu，内存不低于4GB，闪存不低于64GB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尺寸不低于100英寸，刷新率不低于144Hz;</w:t>
            </w:r>
            <w:r>
              <w:rPr>
                <w:rFonts w:hint="eastAsia" w:ascii="仿宋" w:hAnsi="仿宋" w:eastAsia="仿宋" w:cs="仿宋"/>
                <w:color w:val="000000"/>
                <w:szCs w:val="21"/>
                <w:highlight w:val="none"/>
              </w:rPr>
            </w:r>
            <w:r/>
          </w:p>
          <w:p>
            <w:pPr>
              <w:pStyle w:val="1485"/>
              <w:spacing w:before="0" w:after="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Mini LED背光不少于1920分区，峰值亮度不低于2200nits</w:t>
            </w:r>
            <w:r>
              <w:rPr>
                <w:rFonts w:hint="eastAsia" w:ascii="仿宋" w:hAnsi="仿宋" w:eastAsia="仿宋" w:cs="仿宋"/>
                <w:color w:val="000000"/>
                <w:sz w:val="21"/>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支架：落地加厚移动支架</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rPr>
              <w:t xml:space="preserve">实训系统移动教学终端</w:t>
            </w:r>
            <w:r>
              <w:rPr>
                <w:rFonts w:hint="eastAsia" w:ascii="仿宋" w:hAnsi="仿宋" w:eastAsia="仿宋" w:cs="仿宋"/>
                <w:color w:val="000000"/>
                <w:szCs w:val="21"/>
                <w:highlight w:val="none"/>
                <w:lang w:eastAsia="zh"/>
              </w:rPr>
              <w:t xml:space="preserve">3</w:t>
            </w:r>
            <w:r>
              <w:rPr>
                <w:rFonts w:hint="eastAsia" w:ascii="仿宋" w:hAnsi="仿宋" w:eastAsia="仿宋" w:cs="仿宋"/>
                <w:color w:val="000000"/>
                <w:szCs w:val="21"/>
                <w:highlight w:val="none"/>
                <w:lang w:eastAsia="zh"/>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不少于四核cpu，内存不低于4GB，闪存不低于64GB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尺寸不低于55英寸，刷新率不低于144Hz;</w:t>
            </w:r>
            <w:r>
              <w:rPr>
                <w:rFonts w:hint="eastAsia" w:ascii="仿宋" w:hAnsi="仿宋" w:eastAsia="仿宋" w:cs="仿宋"/>
                <w:color w:val="000000"/>
                <w:szCs w:val="21"/>
                <w:highlight w:val="none"/>
              </w:rPr>
            </w:r>
            <w:r/>
          </w:p>
          <w:p>
            <w:pPr>
              <w:pStyle w:val="1485"/>
              <w:spacing w:before="0" w:after="0" w:line="24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Mini LED背光不少于576分区，峰值亮度不低于2000nits</w:t>
            </w:r>
            <w:r>
              <w:rPr>
                <w:rFonts w:hint="eastAsia" w:ascii="仿宋" w:hAnsi="仿宋" w:eastAsia="仿宋" w:cs="仿宋"/>
                <w:color w:val="000000"/>
                <w:sz w:val="21"/>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
              </w:rPr>
              <w:t xml:space="preserve">支架：落地加厚移动支架或壁挂支架</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lang w:eastAsia="zh"/>
              </w:rPr>
              <w:t xml:space="preserve">12</w:t>
            </w:r>
            <w:r>
              <w:rPr>
                <w:rFonts w:hint="eastAsia" w:ascii="仿宋" w:hAnsi="仿宋" w:eastAsia="仿宋" w:cs="仿宋"/>
                <w:color w:val="000000"/>
                <w:szCs w:val="21"/>
                <w:highlight w:val="none"/>
                <w:lang w:eastAsia="zh"/>
              </w:rPr>
            </w:r>
            <w:r/>
          </w:p>
        </w:tc>
        <w:tc>
          <w:tcPr>
            <w:tcW w:w="805" w:type="dxa"/>
            <w:vAlign w:val="top"/>
            <w:vMerge w:val="restart"/>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智慧教学环境设备</w:t>
            </w: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智改数转实验室教学显示终端1</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1.屏幕尺寸≥98英寸，显示比例16：9，物理分辨率3840×2160，采用Mini LED背光技术，具有专业防眩光、低反射功能。在教室正常照明及自然光环境下无镜面反光、无光源倒影，保障全教室学生可视清晰度；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2.开机无广告，可定制开机LOGO，通电自动开机（或HDMI检测开关机），可指定开机信号源。</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书写绿板</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1.整体结构：与显示屏等高的两块平面绿板（两侧各设置一块），与大屏保持在同一平面，单块书写板尺寸不小于1700×1300mm（订货时须采购人确认签字具体尺寸）；</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2.书写面板采用优质原装板面，板面呈墨绿色，面板耐酸、碱性溶剂符合GB 9274-1988《色漆和清漆耐液体介质的测定》标准要求，表面漆膜硬度：≥8H，经耗磨仪一万次摩擦后表面粗糙度仍可达到1.8 um。光泽度＜12，结构指标符合GB 28231-2011《书写板安全卫生要求》以及GB/T 6739-2022《色漆和清漆铅笔法测定漆膜硬度》的标准要求，黑板本体的甲醛释放量、总挥发性有机合化物（TVOC）等指标符合GB/T 35607-2024《绿色产品评价家具》标准要求；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夹层采用高密度板，软硬适中，厚度≥14mm，背板采用整块防锈镀锌板，厚度≥0.20mm，高压一次成型，粘合牢固耐冲击，防水防锈，外框采用磨砂银白铝合金型材，把书写板和智改数转实验室教学显示终端整体包围，灯光下没有明显眩光，边缘无毛刺，隐形安装，无外露安装件，连接部位无工具不可拆卸。</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电子班牌</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1.显示尺寸≥15英寸，防眩光横屏式电容屏，支持≥10点触控，物理分辨率≥1920×1080；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2.屏幕亮度≥250cd/㎡，支持自动感光调节屏幕亮度，采用宽动态≥200万像素内置摄像头；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3.班牌整机CPU≥4核，最高主频≥2G，内置操作系统，系统运行内存≥2G，存储容量≥32G；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4.提供状态灯显示上课状态；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5.屏体采用钢化玻璃或更高硬度的材质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软件：预装电子班牌终端专用播放管理软件（与桥林校区的电子班牌系统进行对接，实现统一纳管），支持远程下发、定时排程、素材轮播、状态监控与故障回传支持显示当前的教室信息，包括学校logo、教室名称、座位数，课程信息、授课时间、授课老师、授课班级、教室类型；支持多种素材格式的播放，包括图片、网页、视频、HTML5页面、文字等。（提供承诺函并加盖投标人公章）</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电子时钟</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1.支持显示时钟、日历，具备正计时、倒计时功能，走时精度偏差＜0.2s/天，AC220V/50Hz电源供电；</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2.软件：与桥林新校区的电子时钟终端管理软件对接，实现所有时钟的时间同步与准确，支持集中管控，校时、开关状态、网络通断均可集中监测，可定时开关机。</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音频处理器</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1.具备音频处理和功率放大功能一体化设备，功放功率≥2×100W（8Ω），频率响应：20Hz～20KHz；可同时支持吊麦，无线麦克风和课件声音的全输入录音；</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支持抗混响功能，无线麦优先级最高，当无线麦有输入时，自动降低或关吊麦、课件输入，使得录制下来的声音清晰；当无线麦无输入，课件有输入时，自动降低或关闭吊麦输入，录制下来的课件声音清晰；当无线麦、课件无输入时，吊麦正常采集和扩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3.支持48V供电，支持远程设置音频处理器静音开启和关闭的时间；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4.具备回声消除和背景降噪功能，防止教学环境中的翻书、桌椅移动的噪声收录。</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5.与新校区的扩声管理系统进行对接，实现统一数据、统一纳管。</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全向拾音器</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1.全向拾音，支持音量控制、AGC参数设置、智能混音、无线麦闪避等应用功能；支持接入录播主机和教师摄像机；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2.拾音范围≥5米，灵敏度级：-32dB，频率响应：100Hz～16KHz</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一拖一无线麦克风</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1.无线手持麦克风可以手持或挂脖使用，具备电源开关、静音按键、对频按键和PPT翻页按键，放入充电底座后自动关机并开始充电，无需手动关机；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2.充电底座支持外接DC5V-2A供电，支持电磁感应无线充电，无外插充电接口；</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3.无线接收主机采用低功耗、低延时的方式，综合信噪比≥85dB，综合失真≤0.5%。</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音箱</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1.内置4只3寸中低音喇叭单元和1只1寸球形高音单元</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2.音箱额定功率：≥60W，阻抗8Ω，频响范围：60Hz~19KHz，高低音满足上课需要，含壁挂安装支架；</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3.混响时间、噪声级（A计权）、语言的清晰度和声场均匀度等指标均符合国家相关标准要求，满足教学要求。</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全景摄像机</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1.采用传感器尺寸不低于1/2.7英寸，像素≥500万像素，图像分辨率≥3072×1728；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2.设备设备内置拾音，具备2.8mm广角定焦镜头；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3.设备需支持ONVIF、GB/T28181、RTSP、RTMP协议。</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4、设备应具备1×RJ45、1×LineIn、1×DC12V电源接口（支持POE供电）</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14</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多媒体讲台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1.桌板材质：采用E0级厚度≥25mm的免漆板材，尺寸≥650X1280（mm），桌面离地高度：800mm，高度不可调节；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2.桌板封边：桌板边缘需具备一体化的橡胶条封边，颜色原木色；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3.桌架型材：优质冷轧钢材，表面处理选用静电喷涂技术，颜色白色；</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4.桌面前部具备有完整平面，可自由粘贴学校的校徽LOGO；</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5.讲桌左侧需具备有容量≥15U的边柜设计，机柜采用冷板材质，表面喷塑（黑色），前面板带机械锁；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6.讲桌机柜的顶部需拥有一块可翻起的木板，翻转角度至少≥45°</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7.讲桌底脚采用3mm冷轧板制作，表面采用静电喷涂。底脚具有地面固定螺丝孔；</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8.桌面接口：桌面上至少需具备1个以上万能5孔220V电源插座、2个USB接口，1个抽线区域，抽线孔位≥3；</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9.讲桌桌面需安装万向支架。</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智改数转实验室教学显示终端2（含立式支架）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1.屏幕尺寸≥98英寸，显示比例16：9，物理分辨率≥3840×2160，采用Mini LED背光技术，具有专业防眩光、低反射功能。在教室正常照明及自然光环境下无镜面反光、无光源倒影，保障全教室学生可视清晰度；</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2.开机无广告，可定制开机LOGO，通电自动开机（或HDMI检测开关机），可指定开机信号源。</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3.立式支架。</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电子班牌（含立式支架）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1.显示尺寸≥15英寸，防眩光横屏式电容屏，支持≥10点触控，物理分辨率≥1920×1080；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2.屏幕亮度≥250cd/㎡，支持自动感光调节屏幕亮度，采用宽动态≥200万像素内置摄像头；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3.班牌整机CPU≥4核，最高主频≥2G，内置操作系统，系统运行内存≥2G，存储容量≥32G；</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4.提供状态灯显示上课状态；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5.屏体采用钢化玻璃或更高硬度的材质</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6.立地安装（支架≥1120*270*208），含学校LOGO的LED亮灯</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软件：预装电子班牌终端专用播放管理软件（与桥林校区的电子班牌系统进行对接，实现统一纳管），支持远程下发、定时排程、素材轮播、状态监控与故障回传支持显示当前的教室信息，包括学校logo、教室名称、座位数，课程信息、授课时间、授课老师、授课班级、教室类型；支持多种素材格式的播放，包括图片、网页、视频、HTML5页面、文字等。（提供承诺函并加盖投标人公章）</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全景摄像机（枪机）</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1.采用传感器尺寸不低于1/2.7英寸，像素≥500万像素，图像分辨率≥3072×1728；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2.设备设备内置拾音，具备2.8mm广角定焦镜头；</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3.为复用于监控和考试管理，设备需支持ONVIF、GB/T28181.RTSP、RTMP协议。</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硬盘录像机</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8路2盘位poe网线供电NVR H.265编码（内含4T*2硬盘）</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可移动多媒体讲台</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1.产品尺寸L*W*H（mm）：600*505*1053mm，展开后最大尺寸为：965*505*1203mm；整体结构紧凑，适配多种演讲环境，高度调节范围满足不同场景需求。</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演讲台整体采用≥厚1.0mm的冷轧钢材，经过精密加工和焊接工艺打造，确保产品的结构稳定，承载能力强；上层桌面采用高精度阻尼转轴的角度调节机构，可在0~30°的观看范围精准手动调控，实现平稳顺滑调节，并具备可靠的锁定功能，任意角度可实现稳固锁定，无晃动现象。</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上层桌面左侧内嵌21.5寸的一体电脑，屏幕采用电容十点触控技术，书写流畅；桌面右侧配置集成式控制按键，一键实现讲桌升降功能；配置60cm长的高灵敏的鹅颈话筒，搭配话筒独立开关按键，确保声音清晰拾取，有效降低环境噪音干扰。</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4.接口布局：上层右侧面配置USB 3.0接口*2，HDMI接口*1，网口*1。底座右侧预留电源接口*1，音频接口*1，网口*2，HDMI接口*2，USB 3.0接口*2，满足高速数据传输需求，支持高清视频信号传输，保障网络连接稳定，便于设备的集中连接与管理；</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5.演讲台前面设计有可自定义的标牌装置，显示尺寸为300*210mm，内带LED背光灯，提升演讲的专业性与视觉效果。</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6.演讲台右侧配置可90°折叠的笔记本托板，笔记本托板尺寸为：450*270mm，托板上面配置铝合金笔记本挡条，防止笔记本等滑落。展开后为演讲者提供稳定的笔记本放置平台，满足演讲者多样化的使用需求；</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智慧教学系统显示终端1</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1.显示屏尺寸：3.84m×1.92m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2.显示屏分辨率：2496×1248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3.像素间距1.5mm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4.像素结构1R1G1B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5.像素密度422500/m2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6.模组分辨率208×104</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7.模组尺寸320mm*160mm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8.包含处理器、电源、大屏控制软件、箱体，钢结构、装饰包边及辅材等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9.整体厚度≤10公分；包边颜色：纯黑；安装方式：嵌入</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智慧教学系统显示终端2</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1.显示屏尺寸：3.84m×1.6m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2.显示屏分辨率：2496×1040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3.像素间距1.5mm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4.像素结构1R1G1B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5.像素密度422500/m2</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6.模组分辨率208×104</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7.模组尺寸320mm*160mm</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8.包含处理器、电源、大屏控制软件、箱体，钢结构、装饰包边及辅材等</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9.整体厚度≤10公分；包边颜色：纯黑；安装方式：嵌入</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支架</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通天地支架</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播放控制盒</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1.CPU：双四核，主频最高2.4GHz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2.GPU：ARM Mali-450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3.NPU：6TOPS@INT8</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4.内存：LPDDR4≥8GB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5.存储：eMMC≥64GB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6.性能：支持8路1080P H.264/H.265视频解码；</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7.网络：支持10/100M自适应以太网，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8.显示：1路HDMI OUT，最大支持4K@60Hz，输出</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9.软件：预装新校区的信息发布终端专用播放管理软件，与学校的信息发布系统对接，支持远程下发、定时排程、素材轮播、状态监控与故障回传</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信息发布终端（立式）</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1.软件：预装信息发布终端专用播放管理软件，支持远程下发、定时排程、素材轮播、状态监控与故障回传</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2.CPU：≥四核64位，主频最高1.8Ghz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3.内存：≥4GB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4.存储：≥32GB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5.网络通信：WiFi+以太网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6.面板尺寸：≥55英寸</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7.分辨率：1080*1920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8.可视角度：89/89/89/89</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9.显示面积：680.4*1209.6mm（H×V）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10.显示比例：9：16</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11.背光类型：E-LDE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12.屏幕亮度：≥500cd/㎡</w:t>
            </w:r>
            <w:r>
              <w:rPr>
                <w:rFonts w:hint="eastAsia" w:ascii="仿宋" w:hAnsi="仿宋" w:eastAsia="仿宋" w:cs="仿宋"/>
                <w:color w:val="000000"/>
                <w:szCs w:val="21"/>
                <w:highlight w:val="none"/>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W w:w="478"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05" w:type="dxa"/>
            <w:vAlign w:val="top"/>
            <w:vMerge w:val="continue"/>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77"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信息发布终端（壁挂）</w:t>
            </w:r>
            <w:r>
              <w:rPr>
                <w:rFonts w:hint="eastAsia" w:ascii="仿宋" w:hAnsi="仿宋" w:eastAsia="仿宋" w:cs="仿宋"/>
                <w:color w:val="000000"/>
                <w:szCs w:val="21"/>
                <w:highlight w:val="none"/>
              </w:rPr>
            </w:r>
            <w:r/>
          </w:p>
        </w:tc>
        <w:tc>
          <w:tcPr>
            <w:tcW w:w="7635" w:type="dxa"/>
            <w:vAlign w:val="top"/>
            <w:textDirection w:val="lrTb"/>
            <w:noWrap w:val="false"/>
          </w:tcPr>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rPr>
              <w:t xml:space="preserve">1.软件：预装信息发布终端专用播放管理软件，与学校的信息发布系统对接，支持远程下发、定时排程、素材轮播、状态监控与故障回传</w:t>
            </w:r>
            <w:r>
              <w:rPr>
                <w:rFonts w:hint="eastAsia" w:ascii="仿宋" w:hAnsi="仿宋" w:eastAsia="仿宋" w:cs="仿宋"/>
                <w:color w:val="000000"/>
                <w:szCs w:val="21"/>
                <w:highlight w:val="none"/>
                <w:lang w:eastAsia="zh"/>
              </w:rPr>
              <w:t xml:space="preserve">。</w:t>
            </w:r>
            <w:r>
              <w:rPr>
                <w:rFonts w:hint="eastAsia" w:ascii="仿宋" w:hAnsi="仿宋" w:eastAsia="仿宋" w:cs="仿宋"/>
                <w:color w:val="000000"/>
                <w:szCs w:val="21"/>
                <w:highlight w:val="none"/>
                <w:lang w:eastAsia="zh"/>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2.CPU：≥四核64位，主频最高1.8Ghz</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3.内存：≥4GB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4.存储：≥32GB</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5.网络通信：WiFi+以太网</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6.面板尺寸：≥32英寸</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7.分辨率：1080*1920</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8.可视角度：89/89/89/89</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9.显示面积：698.4mm×392.9mm（H×V）</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10.显示比例：9：16</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11.背光类型：E-LDE</w:t>
            </w:r>
            <w:r>
              <w:rPr>
                <w:rFonts w:hint="eastAsia" w:ascii="仿宋" w:hAnsi="仿宋" w:eastAsia="仿宋" w:cs="仿宋"/>
                <w:color w:val="000000"/>
                <w:szCs w:val="21"/>
                <w:highlight w:val="none"/>
              </w:rPr>
            </w:r>
            <w:r/>
          </w:p>
          <w:p>
            <w:pPr>
              <w:pStyle w:val="1038"/>
              <w:spacing w:before="0" w:after="0" w:line="240" w:lineRule="auto"/>
              <w:rPr>
                <w:rFonts w:hint="eastAsia" w:ascii="仿宋" w:hAnsi="仿宋" w:eastAsia="仿宋" w:cs="仿宋"/>
                <w:color w:val="000000"/>
                <w:szCs w:val="21"/>
                <w:highlight w:val="none"/>
                <w:lang w:eastAsia="zh"/>
              </w:rPr>
            </w:pPr>
            <w:r>
              <w:rPr>
                <w:rFonts w:hint="eastAsia" w:ascii="仿宋" w:hAnsi="仿宋" w:eastAsia="仿宋" w:cs="仿宋"/>
                <w:color w:val="000000"/>
                <w:szCs w:val="21"/>
                <w:highlight w:val="none"/>
              </w:rPr>
              <w:t xml:space="preserve">12.屏幕亮度：≥500cd/㎡</w:t>
            </w:r>
            <w:r>
              <w:rPr>
                <w:rFonts w:hint="eastAsia" w:ascii="仿宋" w:hAnsi="仿宋" w:eastAsia="仿宋" w:cs="仿宋"/>
                <w:color w:val="000000"/>
                <w:szCs w:val="21"/>
                <w:highlight w:val="none"/>
                <w:lang w:eastAsia="zh"/>
              </w:rPr>
            </w:r>
            <w:r/>
          </w:p>
        </w:tc>
        <w:tc>
          <w:tcPr>
            <w:tcW w:w="469"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471" w:type="dxa"/>
            <w:vAlign w:val="top"/>
            <w:textDirection w:val="lrTb"/>
            <w:noWrap w:val="false"/>
          </w:tcPr>
          <w:p>
            <w:pPr>
              <w:pStyle w:val="1038"/>
              <w:jc w:val="center"/>
              <w:spacing w:before="0" w:after="0" w:line="24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1137"/>
        <w:ind w:firstLine="211"/>
        <w:spacing w:line="240" w:lineRule="auto"/>
        <w:rPr>
          <w:rFonts w:hint="eastAsia" w:ascii="仿宋" w:hAnsi="仿宋" w:eastAsia="仿宋" w:cs="仿宋"/>
          <w:b/>
          <w:bCs/>
          <w:color w:val="000000"/>
          <w:szCs w:val="24"/>
        </w:rPr>
      </w:pPr>
      <w:r>
        <w:rPr>
          <w:rFonts w:hint="eastAsia" w:ascii="仿宋" w:hAnsi="仿宋" w:eastAsia="仿宋" w:cs="仿宋"/>
          <w:b/>
          <w:bCs/>
          <w:color w:val="000000"/>
          <w:sz w:val="21"/>
          <w:szCs w:val="21"/>
        </w:rPr>
        <w:t xml:space="preserve">备注：</w:t>
      </w:r>
      <w:r>
        <w:rPr>
          <w:rFonts w:hint="eastAsia" w:ascii="仿宋" w:hAnsi="仿宋" w:eastAsia="仿宋" w:cs="仿宋"/>
          <w:color w:val="000000"/>
          <w:sz w:val="21"/>
          <w:szCs w:val="21"/>
        </w:rPr>
        <w:t xml:space="preserve">本项目涉及的所有软、硬件对接费用由中标方承担。</w:t>
      </w:r>
      <w:r>
        <w:rPr>
          <w:rFonts w:hint="eastAsia" w:ascii="仿宋" w:hAnsi="仿宋" w:eastAsia="仿宋" w:cs="仿宋"/>
          <w:b/>
          <w:bCs/>
          <w:color w:val="000000"/>
          <w:szCs w:val="24"/>
        </w:rPr>
      </w:r>
      <w:r/>
    </w:p>
    <w:p>
      <w:pPr>
        <w:pStyle w:val="1038"/>
        <w:numPr>
          <w:ilvl w:val="0"/>
          <w:numId w:val="42"/>
        </w:numPr>
        <w:spacing w:after="5"/>
        <w:rPr>
          <w:rFonts w:hint="eastAsia" w:ascii="宋体" w:hAnsi="宋体" w:eastAsia="宋体" w:cs="宋体"/>
          <w:b/>
          <w:color w:val="000000"/>
          <w:sz w:val="28"/>
          <w:szCs w:val="28"/>
        </w:rPr>
        <w:outlineLvl w:val="1"/>
      </w:pPr>
      <w:r/>
      <w:bookmarkStart w:id="193" w:name="_Toc32321"/>
      <w:r/>
      <w:bookmarkStart w:id="194" w:name="_Toc3964"/>
      <w:r/>
      <w:bookmarkStart w:id="195" w:name="_Toc1791"/>
      <w:r>
        <w:rPr>
          <w:rFonts w:hint="eastAsia" w:ascii="宋体" w:hAnsi="宋体" w:eastAsia="宋体" w:cs="宋体"/>
          <w:b/>
          <w:color w:val="000000"/>
          <w:sz w:val="28"/>
          <w:szCs w:val="28"/>
        </w:rPr>
        <w:t xml:space="preserve">商务要求</w:t>
      </w:r>
      <w:bookmarkEnd w:id="177"/>
      <w:r/>
      <w:bookmarkEnd w:id="193"/>
      <w:r/>
      <w:bookmarkEnd w:id="194"/>
      <w:r/>
      <w:bookmarkEnd w:id="195"/>
      <w:r>
        <w:rPr>
          <w:rFonts w:hint="eastAsia" w:ascii="宋体" w:hAnsi="宋体" w:eastAsia="宋体" w:cs="宋体"/>
          <w:b/>
          <w:color w:val="000000"/>
          <w:sz w:val="28"/>
          <w:szCs w:val="28"/>
        </w:rPr>
      </w:r>
      <w:r/>
    </w:p>
    <w:p>
      <w:pPr>
        <w:pStyle w:val="1038"/>
        <w:ind w:firstLine="42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（一）服务要求：</w:t>
      </w:r>
      <w:r>
        <w:rPr>
          <w:rFonts w:hint="eastAsia" w:ascii="宋体" w:hAnsi="宋体" w:eastAsia="宋体" w:cs="宋体"/>
          <w:b/>
          <w:color w:val="000000"/>
          <w:sz w:val="24"/>
          <w:szCs w:val="24"/>
        </w:rPr>
      </w:r>
      <w:r/>
    </w:p>
    <w:p>
      <w:pPr>
        <w:pStyle w:val="1038"/>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1.交货期及交货地点：</w:t>
      </w:r>
      <w:r>
        <w:rPr>
          <w:rFonts w:hint="eastAsia" w:ascii="宋体" w:hAnsi="宋体" w:eastAsia="宋体" w:cs="宋体"/>
          <w:b/>
          <w:bCs/>
          <w:color w:val="000000"/>
          <w:sz w:val="24"/>
          <w:szCs w:val="24"/>
        </w:rPr>
      </w:r>
      <w:r/>
    </w:p>
    <w:p>
      <w:pPr>
        <w:pStyle w:val="1038"/>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（1）交货时间：同签订后2个月内供齐所有货物，并完成安装、调试、服务及初步验收。</w:t>
      </w:r>
      <w:r>
        <w:rPr>
          <w:rFonts w:hint="eastAsia" w:ascii="宋体" w:hAnsi="宋体" w:eastAsia="宋体" w:cs="宋体"/>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（2）交货地点：</w:t>
      </w:r>
      <w:r>
        <w:rPr>
          <w:rFonts w:hint="eastAsia" w:ascii="宋体" w:hAnsi="宋体" w:eastAsia="宋体" w:cs="宋体"/>
          <w:bCs/>
          <w:color w:val="000000"/>
          <w:sz w:val="24"/>
          <w:szCs w:val="24"/>
        </w:rPr>
        <w:t xml:space="preserve">江苏开放大学桥林校区（南京市浦口区桥林新城桐林路1号）或指定地点。</w:t>
      </w:r>
      <w:r>
        <w:rPr>
          <w:rFonts w:hint="eastAsia" w:ascii="宋体" w:hAnsi="宋体" w:eastAsia="宋体" w:cs="宋体"/>
          <w:bCs/>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rPr>
      </w:r>
      <w:r/>
    </w:p>
    <w:p>
      <w:pPr>
        <w:pStyle w:val="1038"/>
        <w:ind w:firstLine="482"/>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color w:val="000000"/>
          <w:sz w:val="24"/>
          <w:szCs w:val="24"/>
        </w:rPr>
        <w:t xml:space="preserve">付款方式：</w:t>
      </w:r>
      <w:r>
        <w:rPr>
          <w:rFonts w:hint="eastAsia" w:ascii="宋体" w:hAnsi="宋体" w:eastAsia="宋体" w:cs="宋体"/>
          <w:b/>
          <w:color w:val="000000"/>
          <w:sz w:val="24"/>
          <w:szCs w:val="24"/>
        </w:rPr>
      </w:r>
      <w:r/>
    </w:p>
    <w:p>
      <w:pPr>
        <w:pStyle w:val="1038"/>
        <w:ind w:firstLine="482"/>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签订生效后一个月内，采购人向供应商预付合同总价30%的货款；设备、材料全部运抵交货地点，安装结束、调试完毕、验收合格后，采购人向供应商支付合同总价60%的货款。设备验收合格后稳定运行一年后，相关稳定性指标满足要求, 采购人向供应商支付合同总价10%的货款。</w:t>
      </w:r>
      <w:r>
        <w:rPr>
          <w:rFonts w:hint="eastAsia" w:ascii="宋体" w:hAnsi="宋体" w:eastAsia="宋体" w:cs="宋体"/>
          <w:bCs/>
          <w:color w:val="000000"/>
          <w:sz w:val="24"/>
          <w:szCs w:val="24"/>
        </w:rPr>
      </w:r>
      <w:r/>
    </w:p>
    <w:p>
      <w:pPr>
        <w:pStyle w:val="1038"/>
        <w:ind w:firstLine="482"/>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rPr>
      </w:r>
      <w:r/>
    </w:p>
    <w:p>
      <w:pPr>
        <w:pStyle w:val="103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3.合同履行要求：</w:t>
      </w:r>
      <w:r>
        <w:rPr>
          <w:rFonts w:hint="eastAsia" w:ascii="宋体" w:hAnsi="宋体" w:eastAsia="宋体" w:cs="宋体"/>
          <w:b/>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签订后按合同约定的实施阶段时间内设备安装完毕并经验收合格到运营状态。设备必须严格按照投标文件的承诺的品牌、型号、功能、位置进行安装和运行。如设备交付后采购人发现设备实际技术参数达不到招标要求或出现虚假参数应标，无法满足采购人的实际需求的，则中标人必须无条件更换满足招标要求的设备，否则采购人将拒绝进行验收，中标人应承担合同违约责任。</w:t>
      </w:r>
      <w:r>
        <w:rPr>
          <w:rFonts w:hint="eastAsia" w:ascii="宋体" w:hAnsi="宋体" w:eastAsia="宋体" w:cs="宋体"/>
          <w:b/>
          <w:bCs w:val="0"/>
          <w:color w:val="000000"/>
          <w:sz w:val="24"/>
          <w:szCs w:val="24"/>
        </w:rPr>
        <w:t xml:space="preserve">（提供承诺函并加盖投标人公章，本项为实质性要求，未按要求提供承诺函将作无效投标处理）</w:t>
      </w:r>
      <w:r>
        <w:rPr>
          <w:rFonts w:hint="eastAsia" w:ascii="宋体" w:hAnsi="宋体" w:eastAsia="宋体" w:cs="宋体"/>
          <w:bCs/>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为交钥匙系统项目。投标人须结合项目实际情况，针对项目需求和技术要求，进行深化设计。设备配置清单若有偏差或遗漏，请自行增加以达到要求；考虑到本项目系统建设的复杂性和完整性，要求中标人在合同签订前提供核心设备实物以备检验。</w:t>
      </w:r>
      <w:r>
        <w:rPr>
          <w:rFonts w:hint="eastAsia" w:ascii="宋体" w:hAnsi="宋体" w:eastAsia="宋体" w:cs="宋体"/>
          <w:b/>
          <w:bCs w:val="0"/>
          <w:color w:val="000000"/>
          <w:sz w:val="24"/>
          <w:szCs w:val="24"/>
        </w:rPr>
        <w:t xml:space="preserve">（提供承诺函并加盖投标人公章，本项为实质性要求，未按要求提供承诺函将作无效投标处理）</w:t>
      </w:r>
      <w:r>
        <w:rPr>
          <w:rFonts w:hint="eastAsia" w:ascii="宋体" w:hAnsi="宋体" w:eastAsia="宋体" w:cs="宋体"/>
          <w:bCs/>
          <w:color w:val="000000"/>
          <w:sz w:val="24"/>
          <w:szCs w:val="24"/>
        </w:rPr>
      </w:r>
      <w:r/>
    </w:p>
    <w:p>
      <w:pPr>
        <w:pStyle w:val="103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4.安装调试：</w:t>
      </w:r>
      <w:r>
        <w:rPr>
          <w:rFonts w:hint="eastAsia" w:ascii="宋体" w:hAnsi="宋体" w:eastAsia="宋体" w:cs="宋体"/>
          <w:b/>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（1）供应商向采购人提供设备供货清单，交货地点为采购人指定场所。</w:t>
      </w:r>
      <w:r>
        <w:rPr>
          <w:rFonts w:hint="eastAsia" w:ascii="宋体" w:hAnsi="宋体" w:eastAsia="宋体" w:cs="宋体"/>
          <w:bCs/>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rPr>
      </w:r>
      <w:r/>
    </w:p>
    <w:p>
      <w:pPr>
        <w:pStyle w:val="103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5.人员培训要求：</w:t>
      </w:r>
      <w:r>
        <w:rPr>
          <w:rFonts w:hint="eastAsia" w:ascii="宋体" w:hAnsi="宋体" w:eastAsia="宋体" w:cs="宋体"/>
          <w:b/>
          <w:color w:val="000000"/>
          <w:sz w:val="24"/>
          <w:szCs w:val="24"/>
        </w:rPr>
      </w:r>
      <w:r/>
    </w:p>
    <w:p>
      <w:pPr>
        <w:pStyle w:val="1038"/>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安排设备厂商技术人员免费在采购人现场对采购方人员进行不少于7个工作日的设备操作、维修、检测相关技术培训，培训内容包括：基本理论、实训方法原理、软件操作、设备使用、设备维护、安全要点以及其他相关内容。供应商应提供详细的培训文件。</w:t>
      </w:r>
      <w:r>
        <w:rPr>
          <w:rFonts w:hint="eastAsia" w:ascii="宋体" w:hAnsi="宋体" w:eastAsia="宋体" w:cs="宋体"/>
          <w:bCs/>
          <w:color w:val="000000"/>
          <w:sz w:val="24"/>
          <w:szCs w:val="24"/>
        </w:rPr>
      </w:r>
      <w:r/>
    </w:p>
    <w:p>
      <w:pPr>
        <w:pStyle w:val="1038"/>
        <w:ind w:firstLine="482"/>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6.技术支持以及售后服务：</w:t>
      </w:r>
      <w:r>
        <w:rPr>
          <w:rFonts w:hint="eastAsia" w:ascii="宋体" w:hAnsi="宋体" w:eastAsia="宋体" w:cs="宋体"/>
          <w:b/>
          <w:color w:val="000000"/>
          <w:sz w:val="24"/>
          <w:szCs w:val="24"/>
        </w:rPr>
      </w:r>
      <w:r/>
    </w:p>
    <w:p>
      <w:pPr>
        <w:pStyle w:val="1038"/>
        <w:ind w:firstLine="420"/>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（1）质保期为验收合格之日起60个月（</w:t>
      </w:r>
      <w:r>
        <w:rPr>
          <w:rFonts w:hint="eastAsia" w:ascii="宋体" w:hAnsi="宋体" w:eastAsia="宋体" w:cs="宋体"/>
          <w:bCs/>
          <w:color w:val="000000"/>
          <w:sz w:val="24"/>
          <w:szCs w:val="24"/>
          <w:lang w:val="en-US" w:eastAsia="zh-CN"/>
        </w:rPr>
        <w:t xml:space="preserve">技术参数中</w:t>
      </w:r>
      <w:r>
        <w:rPr>
          <w:rFonts w:hint="eastAsia" w:ascii="宋体" w:hAnsi="宋体" w:eastAsia="宋体" w:cs="宋体"/>
          <w:bCs/>
          <w:color w:val="000000"/>
          <w:sz w:val="24"/>
          <w:szCs w:val="24"/>
        </w:rPr>
        <w:t xml:space="preserve">另有约定除外）。</w:t>
      </w:r>
      <w:r>
        <w:rPr>
          <w:rFonts w:hint="eastAsia" w:ascii="宋体" w:hAnsi="宋体" w:eastAsia="宋体" w:cs="宋体"/>
          <w:bCs/>
          <w:color w:val="000000"/>
          <w:sz w:val="24"/>
          <w:szCs w:val="24"/>
        </w:rPr>
      </w:r>
      <w:r/>
    </w:p>
    <w:p>
      <w:pPr>
        <w:pStyle w:val="1038"/>
        <w:ind w:firstLine="420"/>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rPr>
      </w:r>
      <w:r/>
    </w:p>
    <w:p>
      <w:pPr>
        <w:pStyle w:val="1038"/>
        <w:ind w:firstLine="420"/>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rPr>
      </w:r>
      <w:r/>
    </w:p>
    <w:p>
      <w:pPr>
        <w:pStyle w:val="1038"/>
        <w:ind w:firstLine="420"/>
        <w:tabs>
          <w:tab w:val="left" w:pos="105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（4）如规程规范发生变更，终生免费升级系统软件。</w:t>
      </w:r>
      <w:r>
        <w:rPr>
          <w:rFonts w:hint="eastAsia" w:ascii="宋体" w:hAnsi="宋体" w:eastAsia="宋体" w:cs="宋体"/>
          <w:bCs/>
          <w:color w:val="000000"/>
          <w:sz w:val="24"/>
          <w:szCs w:val="24"/>
        </w:rPr>
      </w:r>
      <w:r/>
    </w:p>
    <w:p>
      <w:pPr>
        <w:pStyle w:val="1038"/>
        <w:ind w:firstLine="422"/>
        <w:tabs>
          <w:tab w:val="left" w:pos="105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（二）报价要求及违约责任：</w:t>
      </w:r>
      <w:r>
        <w:rPr>
          <w:rFonts w:hint="eastAsia" w:ascii="宋体" w:hAnsi="宋体" w:eastAsia="宋体" w:cs="宋体"/>
          <w:b/>
          <w:color w:val="000000"/>
          <w:sz w:val="24"/>
          <w:szCs w:val="24"/>
        </w:rPr>
      </w:r>
      <w:r/>
    </w:p>
    <w:p>
      <w:pPr>
        <w:pStyle w:val="1038"/>
        <w:ind w:firstLine="480"/>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color w:val="000000"/>
          <w:sz w:val="24"/>
          <w:szCs w:val="24"/>
        </w:rPr>
      </w:r>
      <w:r/>
    </w:p>
    <w:p>
      <w:pPr>
        <w:pStyle w:val="1038"/>
        <w:ind w:firstLine="480"/>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rPr>
      </w:r>
      <w:r/>
    </w:p>
    <w:p>
      <w:pPr>
        <w:pStyle w:val="1038"/>
        <w:ind w:firstLine="480"/>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3.供应商的任何错漏、优惠、竞争性报价不得作为减轻责任、减少服务、增加收费、降低质量的理由。</w:t>
      </w:r>
      <w:r>
        <w:rPr>
          <w:rFonts w:hint="eastAsia" w:ascii="宋体" w:hAnsi="宋体" w:eastAsia="宋体" w:cs="宋体"/>
          <w:color w:val="000000"/>
          <w:sz w:val="24"/>
          <w:szCs w:val="24"/>
        </w:rPr>
      </w:r>
      <w:r/>
    </w:p>
    <w:p>
      <w:pPr>
        <w:pStyle w:val="1038"/>
        <w:ind w:firstLine="480"/>
        <w:tabs>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rPr>
      </w:r>
      <w:r/>
    </w:p>
    <w:p>
      <w:pPr>
        <w:pStyle w:val="1038"/>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rPr>
      </w:r>
      <w:r/>
    </w:p>
    <w:p>
      <w:pPr>
        <w:pStyle w:val="1038"/>
        <w:ind w:firstLine="422"/>
        <w:tabs>
          <w:tab w:val="left" w:pos="105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（三）备注：</w:t>
      </w:r>
      <w:r>
        <w:rPr>
          <w:rFonts w:hint="eastAsia" w:ascii="宋体" w:hAnsi="宋体" w:eastAsia="宋体" w:cs="宋体"/>
          <w:b/>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w:t>
      </w:r>
      <w:r>
        <w:rPr>
          <w:rFonts w:hint="eastAsia" w:ascii="宋体" w:hAnsi="宋体" w:eastAsia="宋体" w:cs="宋体"/>
          <w:b/>
          <w:bCs/>
          <w:color w:val="000000"/>
          <w:sz w:val="24"/>
          <w:szCs w:val="24"/>
        </w:rPr>
        <w:t xml:space="preserve">不接受</w:t>
      </w:r>
      <w:r>
        <w:rPr>
          <w:rFonts w:hint="eastAsia" w:ascii="宋体" w:hAnsi="宋体" w:eastAsia="宋体" w:cs="宋体"/>
          <w:color w:val="000000"/>
          <w:sz w:val="24"/>
          <w:szCs w:val="24"/>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4.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color w:val="000000"/>
          <w:sz w:val="24"/>
          <w:szCs w:val="24"/>
        </w:rPr>
      </w:r>
      <w:r/>
    </w:p>
    <w:p>
      <w:pPr>
        <w:pStyle w:val="1038"/>
        <w:ind w:firstLine="480"/>
        <w:spacing w:before="0" w:after="0"/>
        <w:rPr>
          <w:rFonts w:ascii="宋体" w:hAnsi="宋体" w:eastAsia="宋体" w:cs="宋体"/>
          <w:color w:val="00000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ascii="宋体" w:hAnsi="宋体" w:eastAsia="宋体" w:cs="宋体"/>
          <w:color w:val="000000"/>
        </w:rPr>
      </w:r>
      <w:r/>
    </w:p>
    <w:p>
      <w:pPr>
        <w:pStyle w:val="1039"/>
        <w:ind w:firstLine="0"/>
        <w:tabs>
          <w:tab w:val="left" w:pos="1440" w:leader="none"/>
          <w:tab w:val="left" w:pos="5670" w:leader="none"/>
        </w:tabs>
        <w:rPr>
          <w:rFonts w:hint="eastAsia" w:ascii="宋体" w:hAnsi="宋体" w:eastAsia="宋体" w:cs="宋体"/>
          <w:b w:val="0"/>
          <w:color w:val="000000"/>
          <w:sz w:val="28"/>
        </w:rPr>
      </w:pPr>
      <w:r/>
      <w:bookmarkStart w:id="196" w:name="_Toc22083"/>
      <w:r/>
      <w:bookmarkStart w:id="197" w:name="_Toc7091"/>
      <w:r>
        <w:rPr>
          <w:rFonts w:hint="eastAsia" w:ascii="宋体" w:hAnsi="宋体" w:eastAsia="宋体" w:cs="宋体"/>
          <w:color w:val="000000"/>
        </w:rPr>
        <w:t xml:space="preserve">第五章 </w:t>
      </w:r>
      <w:bookmarkEnd w:id="169"/>
      <w:r>
        <w:rPr>
          <w:rFonts w:hint="eastAsia" w:ascii="宋体" w:hAnsi="宋体" w:eastAsia="宋体" w:cs="宋体"/>
          <w:color w:val="000000"/>
        </w:rPr>
        <w:t xml:space="preserve">拟签订的合同文本</w:t>
      </w:r>
      <w:bookmarkEnd w:id="168"/>
      <w:r/>
      <w:bookmarkEnd w:id="196"/>
      <w:r/>
      <w:bookmarkEnd w:id="197"/>
      <w:r>
        <w:rPr>
          <w:rFonts w:hint="eastAsia" w:ascii="宋体" w:hAnsi="宋体" w:eastAsia="宋体" w:cs="宋体"/>
          <w:b w:val="0"/>
          <w:color w:val="000000"/>
          <w:sz w:val="28"/>
        </w:rPr>
      </w:r>
      <w:r/>
    </w:p>
    <w:p>
      <w:pPr>
        <w:pStyle w:val="1038"/>
        <w:ind w:left="108" w:firstLine="482"/>
        <w:jc w:val="left"/>
        <w:spacing w:line="480" w:lineRule="exact"/>
        <w:tabs>
          <w:tab w:val="left" w:pos="4785" w:leader="none"/>
        </w:tabs>
        <w:rPr>
          <w:rFonts w:ascii="宋体" w:hAnsi="宋体" w:eastAsia="宋体" w:cs="宋体"/>
          <w:b/>
          <w:bCs/>
          <w:i/>
          <w:iCs/>
          <w:color w:val="000000"/>
          <w:sz w:val="24"/>
          <w:szCs w:val="24"/>
        </w:rPr>
      </w:pPr>
      <w:r>
        <w:rPr>
          <w:rFonts w:hint="eastAsia" w:ascii="宋体" w:hAnsi="宋体" w:eastAsia="宋体" w:cs="宋体"/>
          <w:b/>
          <w:bCs/>
          <w:i/>
          <w:iCs/>
          <w:color w:val="000000"/>
          <w:sz w:val="24"/>
          <w:szCs w:val="24"/>
        </w:rPr>
        <w:t xml:space="preserve">（货物类采购合同参考格式，本合同内容条款在正式签署前可具体补充细化，仅作参考，最终合同以采购人法务审查通过的版本为准）</w:t>
      </w:r>
      <w:bookmarkStart w:id="198" w:name="_Toc4445"/>
      <w:r>
        <w:rPr>
          <w:rFonts w:ascii="宋体" w:hAnsi="宋体" w:eastAsia="宋体" w:cs="宋体"/>
          <w:b/>
          <w:bCs/>
          <w:i/>
          <w:iCs/>
          <w:color w:val="000000"/>
          <w:sz w:val="24"/>
          <w:szCs w:val="24"/>
        </w:rPr>
      </w:r>
      <w:r/>
    </w:p>
    <w:p>
      <w:pPr>
        <w:pStyle w:val="1038"/>
        <w:ind w:left="108" w:firstLine="480"/>
        <w:jc w:val="left"/>
        <w:spacing w:line="480" w:lineRule="exact"/>
        <w:tabs>
          <w:tab w:val="left" w:pos="4785" w:leader="none"/>
        </w:tabs>
        <w:rPr>
          <w:rFonts w:ascii="宋体" w:hAnsi="宋体" w:eastAsia="宋体" w:cs="宋体"/>
          <w:color w:val="000000"/>
          <w:sz w:val="24"/>
          <w:szCs w:val="24"/>
        </w:rPr>
      </w:pPr>
      <w:r>
        <w:rPr>
          <w:rFonts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买方（甲方）：江苏开放大学</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卖方（乙方）： </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采购代理机构： 江苏海外集团国际工程咨询有限公司</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一、说明：</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受买方委托，采购代理机构于2026年 月 日组织了江</w:t>
      </w:r>
      <w:r>
        <w:rPr>
          <w:rFonts w:hint="eastAsia" w:ascii="宋体" w:hAnsi="宋体" w:eastAsia="宋体" w:cs="宋体"/>
          <w:color w:val="000000"/>
          <w:sz w:val="24"/>
          <w:szCs w:val="24"/>
          <w:u w:val="single"/>
        </w:rPr>
        <w:t xml:space="preserve">苏开放大学制造业智改数转技术产业学院实验室建设</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）的评审活动，经评委认真严格地评审，确定由卖方成交。</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二、合同条款：</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rPr>
      </w:r>
      <w:r/>
    </w:p>
    <w:p>
      <w:pPr>
        <w:pStyle w:val="1038"/>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1.设备名称、型号规格、数量及服务内容。</w:t>
      </w:r>
      <w:r>
        <w:rPr>
          <w:rFonts w:hint="eastAsia" w:ascii="宋体" w:hAnsi="宋体" w:eastAsia="宋体" w:cs="宋体"/>
          <w:color w:val="000000"/>
          <w:sz w:val="24"/>
          <w:szCs w:val="24"/>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9"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产品名称</w:t>
            </w:r>
            <w:r>
              <w:rPr>
                <w:rFonts w:hint="eastAsia" w:ascii="宋体" w:hAnsi="宋体" w:eastAsia="宋体" w:cs="宋体"/>
                <w:color w:val="000000"/>
                <w:sz w:val="24"/>
                <w:szCs w:val="24"/>
              </w:rPr>
            </w:r>
            <w:r/>
          </w:p>
        </w:tc>
        <w:tc>
          <w:tcPr>
            <w:tcW w:w="655"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494"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W w:w="504"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828"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单价（元）</w:t>
            </w:r>
            <w:r>
              <w:rPr>
                <w:rFonts w:hint="eastAsia" w:ascii="宋体" w:hAnsi="宋体" w:eastAsia="宋体" w:cs="宋体"/>
                <w:color w:val="000000"/>
                <w:sz w:val="24"/>
                <w:szCs w:val="24"/>
              </w:rPr>
            </w:r>
            <w:r/>
          </w:p>
        </w:tc>
        <w:tc>
          <w:tcPr>
            <w:tcW w:w="735" w:type="dxa"/>
            <w:vAlign w:val="center"/>
            <w:textDirection w:val="lrTb"/>
            <w:noWrap w:val="false"/>
          </w:tcPr>
          <w:p>
            <w:pPr>
              <w:pStyle w:val="1038"/>
              <w:jc w:val="center"/>
              <w:spacing w:before="0" w:after="0"/>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总价（元）</w:t>
            </w:r>
            <w:r>
              <w:rPr>
                <w:rFonts w:hint="eastAsia" w:ascii="宋体" w:hAnsi="宋体" w:eastAsia="宋体" w:cs="宋体"/>
                <w:color w:val="000000"/>
                <w:sz w:val="24"/>
                <w:szCs w:val="24"/>
              </w:rPr>
            </w:r>
            <w:r/>
          </w:p>
        </w:tc>
      </w:tr>
      <w:tr>
        <w:trPr>
          <w:trHeight w:val="19"/>
        </w:trPr>
        <w:tc>
          <w:tcPr>
            <w:tcW w:w="452"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9"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0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8"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9"/>
        </w:trPr>
        <w:tc>
          <w:tcPr>
            <w:tcW w:w="452"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29"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5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9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04"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8"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5" w:type="dxa"/>
            <w:vAlign w:val="center"/>
            <w:textDirection w:val="lrTb"/>
            <w:noWrap w:val="false"/>
          </w:tcPr>
          <w:p>
            <w:pPr>
              <w:pStyle w:val="1038"/>
              <w:ind w:firstLine="420"/>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9"/>
        </w:trPr>
        <w:tc>
          <w:tcPr>
            <w:gridSpan w:val="4"/>
            <w:tcW w:w="5545" w:type="dxa"/>
            <w:vAlign w:val="center"/>
            <w:textDirection w:val="lrTb"/>
            <w:noWrap w:val="false"/>
          </w:tcPr>
          <w:p>
            <w:pPr>
              <w:pStyle w:val="1038"/>
              <w:ind w:firstLine="422"/>
              <w:jc w:val="center"/>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合计（元）</w:t>
            </w:r>
            <w:r>
              <w:rPr>
                <w:rFonts w:hint="eastAsia" w:ascii="宋体" w:hAnsi="宋体" w:eastAsia="宋体" w:cs="宋体"/>
                <w:color w:val="000000"/>
                <w:sz w:val="24"/>
                <w:szCs w:val="24"/>
              </w:rPr>
            </w:r>
            <w:r/>
          </w:p>
        </w:tc>
        <w:tc>
          <w:tcPr>
            <w:gridSpan w:val="3"/>
            <w:tcW w:w="3909" w:type="dxa"/>
            <w:vAlign w:val="center"/>
            <w:textDirection w:val="lrTb"/>
            <w:noWrap w:val="false"/>
          </w:tcPr>
          <w:p>
            <w:pPr>
              <w:pStyle w:val="1038"/>
              <w:ind w:firstLine="422"/>
              <w:spacing w:line="480" w:lineRule="exact"/>
              <w:tabs>
                <w:tab w:val="left" w:pos="-235"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r>
            <w:r/>
          </w:p>
        </w:tc>
      </w:tr>
    </w:tbl>
    <w:p>
      <w:pPr>
        <w:pStyle w:val="1038"/>
        <w:ind w:left="108" w:firstLine="480"/>
        <w:jc w:val="left"/>
        <w:spacing w:line="480" w:lineRule="exact"/>
        <w:tabs>
          <w:tab w:val="left" w:pos="478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2.合同总价（大写）：</w:t>
      </w:r>
      <w:r>
        <w:rPr>
          <w:rFonts w:hint="eastAsia" w:ascii="宋体" w:hAnsi="宋体" w:eastAsia="宋体" w:cs="宋体"/>
          <w:b/>
          <w:bCs/>
          <w:color w:val="000000"/>
          <w:sz w:val="24"/>
          <w:szCs w:val="24"/>
          <w:u w:val="single"/>
        </w:rPr>
        <w:t xml:space="preserve">人民币           </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（含税）</w:t>
      </w:r>
      <w:r>
        <w:rPr>
          <w:rFonts w:hint="eastAsia" w:ascii="宋体" w:hAnsi="宋体" w:eastAsia="宋体" w:cs="宋体"/>
          <w:bCs/>
          <w:color w:val="000000"/>
          <w:sz w:val="24"/>
          <w:szCs w:val="24"/>
        </w:rPr>
      </w:r>
      <w:r/>
    </w:p>
    <w:p>
      <w:pPr>
        <w:pStyle w:val="1038"/>
        <w:ind w:left="108" w:firstLine="1680"/>
        <w:jc w:val="left"/>
        <w:spacing w:line="480" w:lineRule="exact"/>
        <w:tabs>
          <w:tab w:val="left" w:pos="478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（小写）：</w:t>
      </w:r>
      <w:r>
        <w:rPr>
          <w:rFonts w:hint="eastAsia" w:ascii="宋体" w:hAnsi="宋体" w:eastAsia="宋体" w:cs="宋体"/>
          <w:b/>
          <w:bCs/>
          <w:color w:val="000000"/>
          <w:sz w:val="24"/>
          <w:szCs w:val="24"/>
          <w:u w:val="single"/>
        </w:rPr>
        <w:t xml:space="preserve">￥            元。</w:t>
      </w:r>
      <w:r>
        <w:rPr>
          <w:rFonts w:hint="eastAsia" w:ascii="宋体" w:hAnsi="宋体" w:eastAsia="宋体" w:cs="宋体"/>
          <w:bCs/>
          <w:color w:val="000000"/>
          <w:sz w:val="24"/>
          <w:szCs w:val="24"/>
        </w:rPr>
      </w:r>
      <w:r/>
    </w:p>
    <w:p>
      <w:pPr>
        <w:pStyle w:val="1038"/>
        <w:ind w:firstLine="48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bCs/>
          <w:color w:val="000000"/>
          <w:sz w:val="24"/>
          <w:szCs w:val="24"/>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交付使用时间：</w:t>
      </w:r>
      <w:r>
        <w:rPr>
          <w:rFonts w:hint="eastAsia" w:ascii="宋体" w:hAnsi="宋体" w:eastAsia="宋体" w:cs="宋体"/>
          <w:color w:val="000000"/>
          <w:sz w:val="24"/>
          <w:szCs w:val="24"/>
          <w:u w:val="single"/>
        </w:rPr>
        <w:t xml:space="preserve">详见投标文件。</w:t>
      </w:r>
      <w:r>
        <w:rPr>
          <w:rFonts w:hint="eastAsia" w:ascii="宋体" w:hAnsi="宋体" w:eastAsia="宋体" w:cs="宋体"/>
          <w:color w:val="000000"/>
          <w:sz w:val="24"/>
          <w:szCs w:val="24"/>
        </w:rPr>
      </w:r>
      <w:r/>
    </w:p>
    <w:p>
      <w:pPr>
        <w:pStyle w:val="1038"/>
        <w:ind w:firstLine="600"/>
        <w:spacing w:line="48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收货人：</w:t>
      </w:r>
      <w:r>
        <w:rPr>
          <w:rFonts w:hint="eastAsia" w:ascii="宋体" w:hAnsi="宋体" w:eastAsia="宋体" w:cs="宋体"/>
          <w:b/>
          <w:color w:val="000000"/>
          <w:sz w:val="24"/>
          <w:szCs w:val="24"/>
          <w:u w:val="single"/>
        </w:rPr>
        <w:t xml:space="preserve">江苏开放大学</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r>
      <w:r/>
    </w:p>
    <w:p>
      <w:pPr>
        <w:pStyle w:val="1038"/>
        <w:ind w:firstLine="600"/>
        <w:spacing w:line="480" w:lineRule="exact"/>
        <w:tabs>
          <w:tab w:val="left" w:pos="-235" w:leader="none"/>
        </w:tabs>
        <w:rPr>
          <w:rFonts w:hint="eastAsia" w:ascii="宋体" w:hAnsi="宋体" w:eastAsia="宋体" w:cs="宋体"/>
          <w:b/>
          <w:color w:val="000000"/>
          <w:sz w:val="24"/>
          <w:szCs w:val="24"/>
          <w:u w:val="single"/>
        </w:rPr>
      </w:pPr>
      <w:r>
        <w:rPr>
          <w:rFonts w:hint="eastAsia" w:ascii="宋体" w:hAnsi="宋体" w:eastAsia="宋体" w:cs="宋体"/>
          <w:color w:val="000000"/>
          <w:sz w:val="24"/>
          <w:szCs w:val="24"/>
        </w:rPr>
        <w:t xml:space="preserve">5. 交货地点：</w:t>
      </w:r>
      <w:r>
        <w:rPr>
          <w:rFonts w:hint="eastAsia" w:ascii="宋体" w:hAnsi="宋体" w:eastAsia="宋体" w:cs="宋体"/>
          <w:b/>
          <w:color w:val="000000"/>
          <w:sz w:val="24"/>
          <w:szCs w:val="24"/>
          <w:u w:val="single"/>
        </w:rPr>
        <w:t xml:space="preserve">买方指定地点。</w:t>
      </w:r>
      <w:r>
        <w:rPr>
          <w:rFonts w:hint="eastAsia" w:ascii="宋体" w:hAnsi="宋体" w:eastAsia="宋体" w:cs="宋体"/>
          <w:b/>
          <w:color w:val="000000"/>
          <w:sz w:val="24"/>
          <w:szCs w:val="24"/>
          <w:u w:val="single"/>
        </w:rPr>
      </w:r>
      <w:r/>
    </w:p>
    <w:p>
      <w:pPr>
        <w:pStyle w:val="1038"/>
        <w:ind w:firstLine="600"/>
        <w:spacing w:line="480" w:lineRule="exact"/>
        <w:tabs>
          <w:tab w:val="left" w:pos="-235"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6. 设备的制造应符合下列标准或规范并据此验收：</w:t>
      </w:r>
      <w:r>
        <w:rPr>
          <w:rFonts w:hint="eastAsia" w:ascii="宋体" w:hAnsi="宋体" w:eastAsia="宋体" w:cs="宋体"/>
          <w:b/>
          <w:color w:val="000000"/>
          <w:sz w:val="24"/>
          <w:szCs w:val="24"/>
          <w:u w:val="single"/>
        </w:rPr>
        <w:t xml:space="preserve">招标文件、投标文件、双方签订的技术协议和国家的相关标准。</w:t>
      </w:r>
      <w:r>
        <w:rPr>
          <w:rFonts w:hint="eastAsia" w:ascii="宋体" w:hAnsi="宋体" w:eastAsia="宋体" w:cs="宋体"/>
          <w:color w:val="000000"/>
          <w:sz w:val="24"/>
          <w:szCs w:val="24"/>
          <w:u w:val="single"/>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买方付款方式及期限：</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rPr>
        <w:t xml:space="preserve">若产品存在质量问题，则不受该付款条件约束，应按照本合同条款其他要求以及</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rPr>
        <w:t xml:space="preserve">有关规定执行。</w:t>
      </w:r>
      <w:r>
        <w:rPr>
          <w:rFonts w:hint="eastAsia" w:ascii="宋体" w:hAnsi="宋体" w:eastAsia="宋体" w:cs="宋体"/>
          <w:color w:val="000000"/>
          <w:sz w:val="24"/>
          <w:szCs w:val="24"/>
        </w:rPr>
      </w:r>
      <w:r/>
    </w:p>
    <w:p>
      <w:pPr>
        <w:pStyle w:val="1038"/>
        <w:ind w:left="108" w:firstLine="480"/>
        <w:jc w:val="left"/>
        <w:spacing w:line="48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验收</w:t>
      </w:r>
      <w:r>
        <w:rPr>
          <w:rFonts w:hint="eastAsia" w:ascii="宋体" w:hAnsi="宋体" w:eastAsia="宋体" w:cs="宋体"/>
          <w:color w:val="000000"/>
          <w:sz w:val="24"/>
          <w:szCs w:val="24"/>
        </w:rPr>
      </w:r>
      <w:r/>
    </w:p>
    <w:p>
      <w:pPr>
        <w:pStyle w:val="1038"/>
        <w:ind w:left="8" w:firstLine="650"/>
        <w:jc w:val="left"/>
        <w:spacing w:line="480" w:lineRule="exact"/>
        <w:tabs>
          <w:tab w:val="left" w:pos="4785" w:leader="none"/>
        </w:tabs>
        <w:rPr>
          <w:rFonts w:hint="eastAsia" w:ascii="宋体" w:hAnsi="宋体" w:eastAsia="宋体" w:cs="宋体"/>
          <w:b/>
          <w:color w:val="000000"/>
          <w:sz w:val="24"/>
          <w:szCs w:val="24"/>
          <w:u w:val="single"/>
        </w:rPr>
      </w:pPr>
      <w:r>
        <w:rPr>
          <w:rFonts w:hint="eastAsia" w:ascii="宋体" w:hAnsi="宋体" w:eastAsia="宋体" w:cs="宋体"/>
          <w:color w:val="000000"/>
          <w:sz w:val="24"/>
          <w:szCs w:val="24"/>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u w:val="single"/>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质保期及售后服务</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卖方所供设备、材料及安装的质量保证期：</w:t>
      </w:r>
      <w:r>
        <w:rPr>
          <w:rFonts w:hint="eastAsia" w:ascii="宋体" w:hAnsi="宋体" w:eastAsia="宋体" w:cs="宋体"/>
          <w:color w:val="000000"/>
          <w:sz w:val="24"/>
          <w:szCs w:val="24"/>
          <w:u w:val="single"/>
        </w:rPr>
        <w:t xml:space="preserve">详见投标文件要求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技术资料</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按投标文件技术规格、参数及其他要求中的要求提供相关资料（见附件）。</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12.货物风险承担</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12.2卖方将货物运输至买方指定的地点后，应当及时通知买方进行接收，由买方进行检验。</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12.3在货物验收合格之前毁损、灭失的风险由卖方承担，因买方原因造成货物毁损、灭失的除外。</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卖方的违约责任</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13.1卖方未按合同规定的质量要求交货，买方有权拒收，由此造成的直接损失和间接损失由卖方赔偿。</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13.4卖方不能交付或不能完成合同，买方有权解除本合同并要求卖方双倍返还买方已支付的货款。</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13.7卖方履行义务不符合合同约定时，买方将扣减10%合同款。</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买方的违约责任：</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14.1买方未按合同规定的时间和要求向卖方提供技术资料等，卖方交付时间顺延。</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卖方在设备安装、调试、验收过程中，买方提供下列条件和配合，超出下列范围的由卖方自理：无</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rPr>
      </w:r>
      <w:r/>
    </w:p>
    <w:p>
      <w:pPr>
        <w:pStyle w:val="1038"/>
        <w:ind w:firstLine="480"/>
        <w:jc w:val="left"/>
        <w:spacing w:line="440" w:lineRule="exact"/>
        <w:tabs>
          <w:tab w:val="left" w:pos="478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18. 合同的生效：本合同一式陆份，各份具有同等法律效力，自买卖双方签字、盖章并加盖骑缝章之日起生效。</w:t>
      </w:r>
      <w:r>
        <w:rPr>
          <w:rFonts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9.</w:t>
      </w:r>
      <w:r>
        <w:rPr>
          <w:rFonts w:hint="eastAsia" w:ascii="宋体" w:hAnsi="宋体" w:eastAsia="宋体" w:cs="宋体"/>
          <w:color w:val="000000"/>
          <w:sz w:val="24"/>
          <w:szCs w:val="24"/>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20.</w:t>
      </w:r>
      <w:r>
        <w:rPr>
          <w:rFonts w:hint="eastAsia" w:ascii="宋体" w:hAnsi="宋体" w:eastAsia="宋体" w:cs="宋体"/>
          <w:color w:val="000000"/>
          <w:sz w:val="24"/>
          <w:szCs w:val="24"/>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ascii="宋体" w:hAnsi="宋体" w:eastAsia="宋体" w:cs="宋体"/>
          <w:color w:val="000000"/>
          <w:sz w:val="24"/>
          <w:szCs w:val="24"/>
        </w:rPr>
        <w:t xml:space="preserve">21</w:t>
      </w:r>
      <w:r>
        <w:rPr>
          <w:rFonts w:hint="eastAsia" w:ascii="宋体" w:hAnsi="宋体" w:eastAsia="宋体" w:cs="宋体"/>
          <w:color w:val="000000"/>
          <w:sz w:val="24"/>
          <w:szCs w:val="24"/>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三、廉洁条款</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四、保密条款</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五、送达条款</w:t>
      </w:r>
      <w:r>
        <w:rPr>
          <w:rFonts w:hint="eastAsia" w:ascii="宋体" w:hAnsi="宋体" w:eastAsia="宋体" w:cs="宋体"/>
          <w:color w:val="000000"/>
          <w:sz w:val="24"/>
          <w:szCs w:val="24"/>
        </w:rPr>
      </w:r>
      <w:r/>
    </w:p>
    <w:p>
      <w:pPr>
        <w:pStyle w:val="1038"/>
        <w:ind w:firstLine="480"/>
        <w:jc w:val="left"/>
        <w:spacing w:line="440" w:lineRule="exact"/>
        <w:tabs>
          <w:tab w:val="left" w:pos="478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rPr>
      </w:r>
      <w:r/>
    </w:p>
    <w:p>
      <w:pPr>
        <w:pStyle w:val="1038"/>
        <w:ind w:firstLine="480"/>
        <w:jc w:val="left"/>
        <w:spacing w:line="440" w:lineRule="exact"/>
        <w:widowControl/>
        <w:rPr>
          <w:rFonts w:hint="eastAsia" w:ascii="宋体" w:hAnsi="宋体" w:eastAsia="宋体" w:cs="宋体"/>
          <w:color w:val="000000"/>
          <w:sz w:val="24"/>
          <w:szCs w:val="24"/>
        </w:rPr>
      </w:pPr>
      <w:r/>
      <w:bookmarkEnd w:id="198"/>
      <w:r>
        <w:rPr>
          <w:rFonts w:hint="eastAsia" w:ascii="宋体" w:hAnsi="宋体" w:eastAsia="宋体" w:cs="宋体"/>
          <w:color w:val="000000"/>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买方（盖章）：</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单位名称：江苏开放大学</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单位地址：</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法定代表人：</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委托代理人（签字）：</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联系方式：</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签订日期：  年  月  日</w:t>
            </w:r>
            <w:r>
              <w:rPr>
                <w:rFonts w:hint="eastAsia" w:ascii="宋体" w:hAnsi="宋体" w:eastAsia="宋体" w:cs="宋体"/>
                <w:color w:val="000000"/>
                <w:szCs w:val="21"/>
              </w:rPr>
            </w:r>
            <w:r/>
          </w:p>
        </w:tc>
        <w:tc>
          <w:tcPr>
            <w:tcW w:w="4684" w:type="dxa"/>
            <w:vAlign w:val="top"/>
            <w:textDirection w:val="lrTb"/>
            <w:noWrap w:val="false"/>
          </w:tcPr>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卖方（盖章）：</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单位名称：</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单位地址：</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法定代表人：</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委托代理人（签字）：</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电话：</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传真：</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开户银行：</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帐号：</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税号：</w:t>
            </w:r>
            <w:r>
              <w:rPr>
                <w:rFonts w:hint="eastAsia" w:ascii="宋体" w:hAnsi="宋体" w:eastAsia="宋体" w:cs="宋体"/>
                <w:color w:val="000000"/>
                <w:szCs w:val="21"/>
              </w:rPr>
            </w:r>
            <w:r/>
          </w:p>
          <w:p>
            <w:pPr>
              <w:pStyle w:val="1038"/>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签订日期：  年  月  日</w:t>
            </w:r>
            <w:r>
              <w:rPr>
                <w:rFonts w:hint="eastAsia" w:ascii="宋体" w:hAnsi="宋体" w:eastAsia="宋体" w:cs="宋体"/>
                <w:color w:val="000000"/>
                <w:szCs w:val="21"/>
              </w:rPr>
            </w:r>
            <w:r/>
          </w:p>
        </w:tc>
      </w:tr>
    </w:tbl>
    <w:p>
      <w:pPr>
        <w:pStyle w:val="1038"/>
        <w:spacing w:line="240" w:lineRule="auto"/>
        <w:rPr>
          <w:rFonts w:hint="eastAsia" w:ascii="宋体" w:hAnsi="宋体" w:eastAsia="宋体" w:cs="宋体"/>
          <w:color w:val="00000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rPr>
        <w:t xml:space="preserve">     </w:t>
      </w:r>
      <w:bookmarkStart w:id="199" w:name="_Toc27786"/>
      <w:r/>
      <w:bookmarkStart w:id="200" w:name="_Toc15343"/>
      <w:r/>
      <w:bookmarkStart w:id="201" w:name="OLE_LINK6"/>
      <w:r>
        <w:rPr>
          <w:rFonts w:hint="eastAsia" w:ascii="宋体" w:hAnsi="宋体" w:eastAsia="宋体" w:cs="宋体"/>
          <w:color w:val="000000"/>
        </w:rPr>
      </w:r>
      <w:r/>
    </w:p>
    <w:p>
      <w:pPr>
        <w:pStyle w:val="1039"/>
        <w:ind w:firstLine="0"/>
        <w:tabs>
          <w:tab w:val="left" w:pos="1440" w:leader="none"/>
          <w:tab w:val="left" w:pos="5670" w:leader="none"/>
        </w:tabs>
        <w:rPr>
          <w:rFonts w:hint="eastAsia" w:ascii="宋体" w:hAnsi="宋体" w:eastAsia="宋体" w:cs="宋体"/>
          <w:color w:val="000000"/>
        </w:rPr>
      </w:pPr>
      <w:r/>
      <w:bookmarkStart w:id="202" w:name="_Toc663"/>
      <w:r/>
      <w:bookmarkStart w:id="203" w:name="_Toc29772"/>
      <w:r>
        <w:rPr>
          <w:rFonts w:hint="eastAsia" w:ascii="宋体" w:hAnsi="宋体" w:eastAsia="宋体" w:cs="宋体"/>
          <w:color w:val="000000"/>
        </w:rPr>
        <w:t xml:space="preserve">第六章 </w:t>
      </w:r>
      <w:bookmarkEnd w:id="199"/>
      <w:r>
        <w:rPr>
          <w:rFonts w:hint="eastAsia" w:ascii="宋体" w:hAnsi="宋体" w:eastAsia="宋体" w:cs="宋体"/>
          <w:color w:val="000000"/>
        </w:rPr>
        <w:t xml:space="preserve">投标文件格式及附件</w:t>
      </w:r>
      <w:bookmarkEnd w:id="200"/>
      <w:r/>
      <w:bookmarkEnd w:id="202"/>
      <w:r/>
      <w:bookmarkEnd w:id="203"/>
      <w:r>
        <w:rPr>
          <w:rFonts w:hint="eastAsia" w:ascii="宋体" w:hAnsi="宋体" w:eastAsia="宋体" w:cs="宋体"/>
          <w:color w:val="000000"/>
        </w:rPr>
      </w:r>
      <w:r/>
    </w:p>
    <w:p>
      <w:pPr>
        <w:pStyle w:val="1038"/>
        <w:jc w:val="cente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38"/>
        <w:jc w:val="cente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38"/>
        <w:jc w:val="center"/>
        <w:rPr>
          <w:rFonts w:hint="eastAsia" w:ascii="宋体" w:hAnsi="宋体" w:eastAsia="宋体" w:cs="宋体"/>
          <w:bCs/>
          <w:color w:val="000000"/>
          <w:sz w:val="40"/>
          <w:szCs w:val="40"/>
        </w:rPr>
      </w:pPr>
      <w:r>
        <w:rPr>
          <w:rFonts w:hint="eastAsia" w:ascii="宋体" w:hAnsi="宋体" w:eastAsia="宋体" w:cs="宋体"/>
          <w:bCs/>
          <w:color w:val="000000"/>
          <w:sz w:val="40"/>
          <w:szCs w:val="40"/>
        </w:rPr>
        <w:t xml:space="preserve">江苏开放大学制造业智改数转技术产业学院实验室建设</w:t>
      </w:r>
      <w:r>
        <w:rPr>
          <w:rFonts w:hint="eastAsia" w:ascii="宋体" w:hAnsi="宋体" w:eastAsia="宋体" w:cs="宋体"/>
          <w:bCs/>
          <w:color w:val="000000"/>
          <w:sz w:val="40"/>
          <w:szCs w:val="40"/>
        </w:rPr>
      </w:r>
      <w:r/>
    </w:p>
    <w:p>
      <w:pPr>
        <w:pStyle w:val="1038"/>
        <w:jc w:val="cente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38"/>
        <w:jc w:val="center"/>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投标文件</w:t>
      </w:r>
      <w:r>
        <w:rPr>
          <w:rFonts w:hint="eastAsia" w:ascii="宋体" w:hAnsi="宋体" w:eastAsia="宋体" w:cs="宋体"/>
          <w:color w:val="000000"/>
          <w:sz w:val="44"/>
          <w:szCs w:val="44"/>
        </w:rPr>
      </w:r>
      <w:r/>
    </w:p>
    <w:p>
      <w:pPr>
        <w:pStyle w:val="1038"/>
        <w:jc w:val="cente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38"/>
        <w:jc w:val="cente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1038"/>
        <w:ind w:firstLine="1386"/>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项目编号：</w:t>
      </w:r>
      <w:r>
        <w:rPr>
          <w:rFonts w:hint="eastAsia" w:ascii="宋体" w:hAnsi="宋体" w:eastAsia="宋体" w:cs="宋体"/>
          <w:color w:val="000000"/>
          <w:sz w:val="30"/>
          <w:szCs w:val="30"/>
        </w:rPr>
      </w:r>
      <w:r/>
    </w:p>
    <w:p>
      <w:pPr>
        <w:pStyle w:val="1038"/>
        <w:ind w:firstLine="1386"/>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分包号（标段号）：</w:t>
      </w:r>
      <w:r>
        <w:rPr>
          <w:rFonts w:hint="eastAsia" w:ascii="宋体" w:hAnsi="宋体" w:eastAsia="宋体" w:cs="宋体"/>
          <w:color w:val="000000"/>
          <w:sz w:val="30"/>
          <w:szCs w:val="30"/>
        </w:rPr>
      </w:r>
      <w:r/>
    </w:p>
    <w:p>
      <w:pPr>
        <w:pStyle w:val="1038"/>
        <w:ind w:firstLine="1386"/>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投标人名称：（加盖单位公章）</w:t>
      </w:r>
      <w:r>
        <w:rPr>
          <w:rFonts w:hint="eastAsia" w:ascii="宋体" w:hAnsi="宋体" w:eastAsia="宋体" w:cs="宋体"/>
          <w:color w:val="000000"/>
          <w:sz w:val="30"/>
          <w:szCs w:val="30"/>
        </w:rPr>
      </w:r>
      <w:r/>
    </w:p>
    <w:p>
      <w:pPr>
        <w:pStyle w:val="1038"/>
        <w:ind w:firstLine="1386"/>
        <w:rPr>
          <w:rFonts w:hint="eastAsia" w:ascii="宋体" w:hAnsi="宋体" w:eastAsia="宋体" w:cs="宋体"/>
          <w:bCs/>
          <w:color w:val="000000"/>
          <w:sz w:val="30"/>
          <w:szCs w:val="30"/>
        </w:rPr>
      </w:pPr>
      <w:r>
        <w:rPr>
          <w:rFonts w:hint="eastAsia" w:ascii="宋体" w:hAnsi="宋体" w:eastAsia="宋体" w:cs="宋体"/>
          <w:color w:val="000000"/>
          <w:sz w:val="30"/>
          <w:szCs w:val="30"/>
        </w:rPr>
        <w:t xml:space="preserve">联系人：</w:t>
      </w:r>
      <w:r>
        <w:rPr>
          <w:rFonts w:hint="eastAsia" w:ascii="宋体" w:hAnsi="宋体" w:eastAsia="宋体" w:cs="宋体"/>
          <w:bCs/>
          <w:color w:val="000000"/>
          <w:sz w:val="30"/>
          <w:szCs w:val="30"/>
        </w:rPr>
      </w:r>
      <w:r/>
    </w:p>
    <w:p>
      <w:pPr>
        <w:pStyle w:val="1038"/>
        <w:ind w:firstLine="1386"/>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联系方式：</w:t>
      </w:r>
      <w:r>
        <w:rPr>
          <w:rFonts w:hint="eastAsia" w:ascii="宋体" w:hAnsi="宋体" w:eastAsia="宋体" w:cs="宋体"/>
          <w:color w:val="000000"/>
          <w:sz w:val="30"/>
          <w:szCs w:val="30"/>
        </w:rPr>
      </w:r>
      <w:r/>
    </w:p>
    <w:p>
      <w:pPr>
        <w:pStyle w:val="1038"/>
        <w:ind w:firstLine="1386"/>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单位地址：</w:t>
      </w:r>
      <w:r>
        <w:rPr>
          <w:rFonts w:hint="eastAsia" w:ascii="宋体" w:hAnsi="宋体" w:eastAsia="宋体" w:cs="宋体"/>
          <w:color w:val="000000"/>
          <w:sz w:val="30"/>
          <w:szCs w:val="30"/>
        </w:rPr>
      </w:r>
      <w:r/>
    </w:p>
    <w:p>
      <w:pPr>
        <w:pStyle w:val="1038"/>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  年  月  日</w:t>
      </w:r>
      <w:r>
        <w:rPr>
          <w:rFonts w:hint="eastAsia" w:ascii="宋体" w:hAnsi="宋体" w:eastAsia="宋体" w:cs="宋体"/>
          <w:color w:val="000000"/>
          <w:sz w:val="30"/>
          <w:szCs w:val="30"/>
        </w:rPr>
      </w:r>
      <w:r/>
    </w:p>
    <w:p>
      <w:pPr>
        <w:pStyle w:val="1050"/>
        <w:ind w:left="0"/>
        <w:rPr>
          <w:rFonts w:hint="eastAsia" w:ascii="宋体" w:hAnsi="宋体" w:cs="宋体"/>
          <w:color w:val="000000"/>
        </w:rPr>
      </w:pPr>
      <w:r>
        <w:rPr>
          <w:rFonts w:hint="eastAsia" w:ascii="宋体" w:hAnsi="宋体" w:cs="宋体"/>
          <w:color w:val="000000"/>
        </w:rPr>
        <w:br w:type="page" w:clear="all"/>
      </w:r>
      <w:r>
        <w:rPr>
          <w:rFonts w:hint="eastAsia" w:ascii="宋体" w:hAnsi="宋体" w:cs="宋体"/>
          <w:color w:val="000000"/>
        </w:rPr>
      </w:r>
      <w:r/>
    </w:p>
    <w:p>
      <w:pPr>
        <w:pStyle w:val="1038"/>
        <w:jc w:val="center"/>
        <w:rPr>
          <w:rFonts w:hint="eastAsia" w:ascii="宋体" w:hAnsi="宋体" w:eastAsia="宋体" w:cs="宋体"/>
          <w:b/>
          <w:bCs/>
          <w:color w:val="000000"/>
          <w:sz w:val="30"/>
          <w:szCs w:val="30"/>
        </w:rPr>
      </w:pPr>
      <w:r/>
      <w:bookmarkStart w:id="204" w:name="_Toc23512"/>
      <w:r/>
      <w:bookmarkStart w:id="205" w:name="_Toc22602"/>
      <w:r/>
      <w:bookmarkStart w:id="206" w:name="_Toc489655320"/>
      <w:r>
        <w:rPr>
          <w:rFonts w:hint="eastAsia" w:ascii="宋体" w:hAnsi="宋体" w:eastAsia="宋体" w:cs="宋体"/>
          <w:b/>
          <w:bCs/>
          <w:color w:val="000000"/>
          <w:sz w:val="30"/>
          <w:szCs w:val="30"/>
        </w:rPr>
        <w:t xml:space="preserve">评分索引表</w:t>
      </w:r>
      <w:bookmarkEnd w:id="204"/>
      <w:r/>
      <w:bookmarkEnd w:id="205"/>
      <w:r>
        <w:rPr>
          <w:rFonts w:hint="eastAsia" w:ascii="宋体" w:hAnsi="宋体" w:eastAsia="宋体" w:cs="宋体"/>
          <w:b/>
          <w:bCs/>
          <w:color w:val="000000"/>
          <w:sz w:val="30"/>
          <w:szCs w:val="30"/>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3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5392" w:type="dxa"/>
            <w:vAlign w:val="center"/>
            <w:textDirection w:val="lrTb"/>
            <w:noWrap w:val="false"/>
          </w:tcPr>
          <w:p>
            <w:pPr>
              <w:pStyle w:val="103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rPr>
                <w:rFonts w:hint="eastAsia" w:ascii="宋体" w:hAnsi="宋体" w:eastAsia="宋体" w:cs="宋体"/>
                <w:color w:val="000000"/>
                <w:sz w:val="24"/>
                <w:szCs w:val="24"/>
              </w:rPr>
            </w:r>
            <w:r/>
          </w:p>
        </w:tc>
        <w:tc>
          <w:tcPr>
            <w:tcW w:w="1769" w:type="dxa"/>
            <w:vAlign w:val="center"/>
            <w:textDirection w:val="lrTb"/>
            <w:noWrap w:val="false"/>
          </w:tcPr>
          <w:p>
            <w:pPr>
              <w:pStyle w:val="103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是否响应（填写“是”或“否”）</w:t>
            </w:r>
            <w:r>
              <w:rPr>
                <w:rFonts w:hint="eastAsia" w:ascii="宋体" w:hAnsi="宋体" w:eastAsia="宋体" w:cs="宋体"/>
                <w:color w:val="000000"/>
                <w:sz w:val="24"/>
                <w:szCs w:val="24"/>
              </w:rPr>
            </w:r>
            <w:r/>
          </w:p>
        </w:tc>
        <w:tc>
          <w:tcPr>
            <w:tcW w:w="1472" w:type="dxa"/>
            <w:vAlign w:val="center"/>
            <w:textDirection w:val="lrTb"/>
            <w:noWrap w:val="false"/>
          </w:tcPr>
          <w:p>
            <w:pPr>
              <w:pStyle w:val="103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在投标文件中的页码位置</w:t>
            </w: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759"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92"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69"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72"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38"/>
        <w:spacing w:line="460" w:lineRule="exact"/>
        <w:rPr>
          <w:rFonts w:hint="eastAsia" w:ascii="宋体" w:hAnsi="宋体" w:eastAsia="宋体" w:cs="宋体"/>
          <w:b/>
          <w:color w:val="000000"/>
          <w:sz w:val="30"/>
          <w:szCs w:val="30"/>
        </w:rPr>
      </w:pPr>
      <w:r>
        <w:rPr>
          <w:rFonts w:hint="eastAsia" w:ascii="宋体" w:hAnsi="宋体" w:eastAsia="宋体" w:cs="宋体"/>
          <w:color w:val="000000"/>
          <w:szCs w:val="21"/>
        </w:rPr>
        <w:t xml:space="preserve">注：此表为表样，供应商需根据第三章“评分表”自行调整，行数可自行添加，但表式不变。</w:t>
      </w:r>
      <w:r>
        <w:rPr>
          <w:rFonts w:hint="eastAsia" w:ascii="宋体" w:hAnsi="宋体" w:eastAsia="宋体" w:cs="宋体"/>
          <w:b/>
          <w:color w:val="000000"/>
          <w:sz w:val="30"/>
          <w:szCs w:val="30"/>
        </w:rPr>
      </w:r>
      <w:r/>
    </w:p>
    <w:p>
      <w:pPr>
        <w:pStyle w:val="1038"/>
        <w:jc w:val="center"/>
        <w:rPr>
          <w:rFonts w:hint="eastAsia" w:ascii="宋体" w:hAnsi="宋体" w:eastAsia="宋体" w:cs="宋体"/>
          <w:color w:val="000000"/>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rPr>
      </w:r>
      <w:r/>
    </w:p>
    <w:p>
      <w:pPr>
        <w:pStyle w:val="1038"/>
        <w:jc w:val="center"/>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资格审查索引表</w:t>
      </w:r>
      <w:r>
        <w:rPr>
          <w:rFonts w:hint="eastAsia" w:ascii="宋体" w:hAnsi="宋体" w:eastAsia="宋体" w:cs="宋体"/>
          <w:color w:val="000000"/>
          <w:sz w:val="30"/>
          <w:szCs w:val="30"/>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3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6114" w:type="dxa"/>
            <w:vAlign w:val="center"/>
            <w:textDirection w:val="lrTb"/>
            <w:noWrap w:val="false"/>
          </w:tcPr>
          <w:p>
            <w:pPr>
              <w:pStyle w:val="1038"/>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rPr>
                <w:rFonts w:hint="eastAsia" w:ascii="宋体" w:hAnsi="宋体" w:eastAsia="宋体" w:cs="宋体"/>
                <w:color w:val="000000"/>
                <w:sz w:val="24"/>
                <w:szCs w:val="24"/>
              </w:rPr>
            </w:r>
            <w:r/>
          </w:p>
        </w:tc>
        <w:tc>
          <w:tcPr>
            <w:tcW w:w="1236" w:type="dxa"/>
            <w:vAlign w:val="center"/>
            <w:textDirection w:val="lrTb"/>
            <w:noWrap w:val="false"/>
          </w:tcPr>
          <w:p>
            <w:pPr>
              <w:pStyle w:val="103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是否响应（填写“是”或“否”）</w:t>
            </w:r>
            <w:r>
              <w:rPr>
                <w:rFonts w:hint="eastAsia" w:ascii="宋体" w:hAnsi="宋体" w:eastAsia="宋体" w:cs="宋体"/>
                <w:color w:val="000000"/>
                <w:sz w:val="24"/>
                <w:szCs w:val="24"/>
              </w:rPr>
            </w:r>
            <w:r/>
          </w:p>
        </w:tc>
        <w:tc>
          <w:tcPr>
            <w:tcW w:w="1144" w:type="dxa"/>
            <w:vAlign w:val="center"/>
            <w:textDirection w:val="lrTb"/>
            <w:noWrap w:val="false"/>
          </w:tcPr>
          <w:p>
            <w:pPr>
              <w:pStyle w:val="1038"/>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在投标文件中的页码位置</w:t>
            </w: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3"/>
        </w:trPr>
        <w:tc>
          <w:tcPr>
            <w:tcW w:w="878" w:type="dxa"/>
            <w:vAlign w:val="center"/>
            <w:textDirection w:val="lrTb"/>
            <w:noWrap w:val="false"/>
          </w:tcPr>
          <w:p>
            <w:pPr>
              <w:pStyle w:val="1038"/>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14" w:type="dxa"/>
            <w:vAlign w:val="center"/>
            <w:textDirection w:val="lrTb"/>
            <w:noWrap w:val="false"/>
          </w:tcPr>
          <w:p>
            <w:pPr>
              <w:pStyle w:val="103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36"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44" w:type="dxa"/>
            <w:vAlign w:val="top"/>
            <w:textDirection w:val="lrTb"/>
            <w:noWrap w:val="false"/>
          </w:tcPr>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38"/>
        <w:jc w:val="left"/>
        <w:rPr>
          <w:rFonts w:hint="eastAsia" w:ascii="宋体" w:hAnsi="宋体" w:eastAsia="宋体" w:cs="宋体"/>
          <w:color w:val="000000"/>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206"/>
      <w:r/>
      <w:bookmarkStart w:id="207" w:name="_Toc25564"/>
      <w:r/>
      <w:bookmarkStart w:id="208" w:name="_Toc19767"/>
      <w:r>
        <w:rPr>
          <w:rFonts w:hint="eastAsia" w:ascii="宋体" w:hAnsi="宋体" w:eastAsia="宋体" w:cs="宋体"/>
          <w:color w:val="000000"/>
          <w:szCs w:val="21"/>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1.投标申请及声明</w:t>
      </w:r>
      <w:bookmarkEnd w:id="207"/>
      <w:r/>
      <w:bookmarkEnd w:id="208"/>
      <w:r>
        <w:rPr>
          <w:rFonts w:hint="eastAsia" w:ascii="宋体" w:hAnsi="宋体" w:eastAsia="宋体" w:cs="宋体"/>
          <w:color w:val="000000"/>
          <w:sz w:val="32"/>
          <w:szCs w:val="32"/>
        </w:rPr>
      </w:r>
      <w:r/>
    </w:p>
    <w:p>
      <w:pPr>
        <w:pStyle w:val="1038"/>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致：江苏开放大学、江苏海外集团国际工程咨询有限公司</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（项目编号）招标邀请，正式授权下述签字人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（姓名和职务）代表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（投标人名称），提交投标文件并参加投标。</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据此函，签字人兹宣布同意如下：</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，我们的报价：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6.我方正式通讯方式为：</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7.我方正式开户银行和账号为：</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授权代表（签字）：</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numPr>
          <w:ilvl w:val="0"/>
          <w:numId w:val="43"/>
        </w:numPr>
        <w:jc w:val="center"/>
        <w:tabs>
          <w:tab w:val="left" w:pos="312" w:leader="none"/>
        </w:tabs>
        <w:rPr>
          <w:rFonts w:hint="eastAsia" w:ascii="宋体" w:hAnsi="宋体" w:eastAsia="宋体" w:cs="宋体"/>
          <w:color w:val="000000"/>
          <w:sz w:val="32"/>
          <w:szCs w:val="32"/>
        </w:rPr>
      </w:pPr>
      <w:r>
        <w:rPr>
          <w:rFonts w:hint="eastAsia" w:ascii="宋体" w:hAnsi="宋体" w:eastAsia="宋体" w:cs="宋体"/>
          <w:color w:val="000000"/>
        </w:rPr>
        <w:br w:type="page" w:clear="all"/>
      </w:r>
      <w:bookmarkStart w:id="209" w:name="_Toc7351"/>
      <w:r/>
      <w:bookmarkStart w:id="210" w:name="_Toc3313"/>
      <w:r>
        <w:rPr>
          <w:rFonts w:hint="eastAsia" w:ascii="宋体" w:hAnsi="宋体" w:eastAsia="宋体" w:cs="宋体"/>
          <w:color w:val="000000"/>
          <w:sz w:val="32"/>
          <w:szCs w:val="32"/>
        </w:rPr>
        <w:t xml:space="preserve">授权委托书</w:t>
      </w:r>
      <w:bookmarkEnd w:id="209"/>
      <w:r/>
      <w:bookmarkEnd w:id="210"/>
      <w:r>
        <w:rPr>
          <w:rFonts w:hint="eastAsia" w:ascii="宋体" w:hAnsi="宋体" w:eastAsia="宋体" w:cs="宋体"/>
          <w:color w:val="000000"/>
          <w:sz w:val="32"/>
          <w:szCs w:val="32"/>
        </w:rPr>
      </w:r>
      <w:r/>
    </w:p>
    <w:p>
      <w:pPr>
        <w:pStyle w:val="1038"/>
        <w:jc w:val="center"/>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法人授权委托书</w:t>
      </w:r>
      <w:r>
        <w:rPr>
          <w:rFonts w:hint="eastAsia" w:ascii="宋体" w:hAnsi="宋体" w:eastAsia="宋体" w:cs="宋体"/>
          <w:color w:val="000000"/>
          <w:sz w:val="28"/>
          <w:szCs w:val="28"/>
        </w:rPr>
      </w:r>
      <w:r/>
    </w:p>
    <w:p>
      <w:pPr>
        <w:pStyle w:val="1038"/>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致：江苏开放大学、</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江苏海外集团国际工程咨询有限公司</w:t>
      </w:r>
      <w:r>
        <w:rPr>
          <w:rFonts w:hint="eastAsia" w:ascii="宋体" w:hAnsi="宋体" w:eastAsia="宋体" w:cs="宋体"/>
          <w:color w:val="000000"/>
          <w:sz w:val="24"/>
          <w:szCs w:val="24"/>
        </w:rPr>
      </w:r>
      <w:r/>
    </w:p>
    <w:p>
      <w:pPr>
        <w:pStyle w:val="1038"/>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本授权书声明：注册于</w:t>
      </w:r>
      <w:r>
        <w:rPr>
          <w:rFonts w:hint="eastAsia" w:ascii="宋体" w:hAnsi="宋体" w:eastAsia="宋体" w:cs="宋体"/>
          <w:color w:val="000000"/>
          <w:sz w:val="24"/>
          <w:szCs w:val="24"/>
          <w:u w:val="single"/>
        </w:rPr>
        <w:t xml:space="preserve">       （供应商住址）</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（投标人名称）</w:t>
      </w: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（法定代表人姓名、职务）</w:t>
      </w:r>
      <w:r>
        <w:rPr>
          <w:rFonts w:hint="eastAsia" w:ascii="宋体" w:hAnsi="宋体" w:eastAsia="宋体" w:cs="宋体"/>
          <w:color w:val="000000"/>
          <w:sz w:val="24"/>
          <w:szCs w:val="24"/>
        </w:rPr>
        <w:t xml:space="preserve">代表本公司授权在下面签字的</w:t>
      </w:r>
      <w:r>
        <w:rPr>
          <w:rFonts w:hint="eastAsia" w:ascii="宋体" w:hAnsi="宋体" w:eastAsia="宋体" w:cs="宋体"/>
          <w:color w:val="000000"/>
          <w:sz w:val="24"/>
          <w:szCs w:val="24"/>
          <w:u w:val="single"/>
        </w:rPr>
        <w:t xml:space="preserve">          （供应商代表姓名、职务）</w:t>
      </w:r>
      <w:r>
        <w:rPr>
          <w:rFonts w:hint="eastAsia" w:ascii="宋体" w:hAnsi="宋体" w:eastAsia="宋体" w:cs="宋体"/>
          <w:color w:val="000000"/>
          <w:sz w:val="24"/>
          <w:szCs w:val="24"/>
        </w:rPr>
        <w:t xml:space="preserve">为本公司的合法代理人，就贵方组织的</w:t>
      </w:r>
      <w:r>
        <w:rPr>
          <w:rFonts w:hint="eastAsia" w:ascii="宋体" w:hAnsi="宋体" w:eastAsia="宋体" w:cs="宋体"/>
          <w:color w:val="000000"/>
          <w:sz w:val="24"/>
          <w:szCs w:val="24"/>
          <w:u w:val="single"/>
        </w:rPr>
        <w:t xml:space="preserve">      （项目名称）（项目编号）</w:t>
      </w:r>
      <w:r>
        <w:rPr>
          <w:rFonts w:hint="eastAsia" w:ascii="宋体" w:hAnsi="宋体" w:eastAsia="宋体" w:cs="宋体"/>
          <w:color w:val="000000"/>
          <w:sz w:val="24"/>
          <w:szCs w:val="24"/>
        </w:rPr>
        <w:t xml:space="preserve">公开招标活动，以本公司名义处理一切与之有关的事务。</w:t>
      </w:r>
      <w:r>
        <w:rPr>
          <w:rFonts w:hint="eastAsia" w:ascii="宋体" w:hAnsi="宋体" w:eastAsia="宋体" w:cs="宋体"/>
          <w:color w:val="000000"/>
          <w:sz w:val="24"/>
          <w:szCs w:val="24"/>
        </w:rPr>
      </w:r>
      <w:r/>
    </w:p>
    <w:p>
      <w:pPr>
        <w:pStyle w:val="1038"/>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    年  月  日签字生效，特此声明。</w:t>
      </w:r>
      <w:r>
        <w:rPr>
          <w:rFonts w:hint="eastAsia" w:ascii="宋体" w:hAnsi="宋体" w:eastAsia="宋体" w:cs="宋体"/>
          <w:color w:val="000000"/>
          <w:sz w:val="24"/>
          <w:szCs w:val="24"/>
        </w:rPr>
      </w:r>
      <w:r/>
    </w:p>
    <w:p>
      <w:pPr>
        <w:pStyle w:val="1038"/>
        <w:ind w:firstLine="480"/>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附：法定代表人身份证复印件：</w:t>
      </w:r>
      <w:r>
        <w:rPr>
          <w:rFonts w:hint="eastAsia" w:ascii="宋体" w:hAnsi="宋体" w:eastAsia="宋体" w:cs="宋体"/>
          <w:color w:val="000000"/>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8"/>
              <w:rPr>
                <w:rFonts w:hint="eastAsia" w:ascii="宋体" w:hAnsi="宋体" w:eastAsia="宋体" w:cs="宋体"/>
                <w:color w:val="000000"/>
              </w:rPr>
            </w:pPr>
            <w:r>
              <w:rPr>
                <w:rFonts w:hint="eastAsia" w:ascii="宋体" w:hAnsi="宋体" w:eastAsia="宋体" w:cs="宋体"/>
                <w:color w:val="000000"/>
              </w:rPr>
            </w:r>
            <w:r/>
          </w:p>
        </w:tc>
        <w:tc>
          <w:tcPr>
            <w:tcW w:w="4705" w:type="dxa"/>
            <w:vAlign w:val="top"/>
            <w:textDirection w:val="lrTb"/>
            <w:noWrap w:val="false"/>
          </w:tcPr>
          <w:p>
            <w:pPr>
              <w:pStyle w:val="1038"/>
              <w:rPr>
                <w:rFonts w:hint="eastAsia" w:ascii="宋体" w:hAnsi="宋体" w:eastAsia="宋体" w:cs="宋体"/>
                <w:color w:val="000000"/>
              </w:rPr>
            </w:pPr>
            <w:r>
              <w:rPr>
                <w:rFonts w:hint="eastAsia" w:ascii="宋体" w:hAnsi="宋体" w:eastAsia="宋体" w:cs="宋体"/>
                <w:color w:val="000000"/>
              </w:rPr>
            </w:r>
            <w:r/>
          </w:p>
        </w:tc>
      </w:tr>
    </w:tbl>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授权代表身份证复印件：</w:t>
      </w:r>
      <w:r>
        <w:rPr>
          <w:rFonts w:hint="eastAsia" w:ascii="宋体" w:hAnsi="宋体" w:eastAsia="宋体" w:cs="宋体"/>
          <w:color w:val="000000"/>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8"/>
              <w:rPr>
                <w:rFonts w:hint="eastAsia" w:ascii="宋体" w:hAnsi="宋体" w:eastAsia="宋体" w:cs="宋体"/>
                <w:color w:val="000000"/>
              </w:rPr>
            </w:pPr>
            <w:r>
              <w:rPr>
                <w:rFonts w:hint="eastAsia" w:ascii="宋体" w:hAnsi="宋体" w:eastAsia="宋体" w:cs="宋体"/>
                <w:color w:val="000000"/>
              </w:rPr>
            </w:r>
            <w:r/>
          </w:p>
        </w:tc>
        <w:tc>
          <w:tcPr>
            <w:tcW w:w="4718" w:type="dxa"/>
            <w:vAlign w:val="top"/>
            <w:textDirection w:val="lrTb"/>
            <w:noWrap w:val="false"/>
          </w:tcPr>
          <w:p>
            <w:pPr>
              <w:pStyle w:val="1038"/>
              <w:rPr>
                <w:rFonts w:hint="eastAsia" w:ascii="宋体" w:hAnsi="宋体" w:eastAsia="宋体" w:cs="宋体"/>
                <w:color w:val="000000"/>
              </w:rPr>
            </w:pPr>
            <w:r>
              <w:rPr>
                <w:rFonts w:hint="eastAsia" w:ascii="宋体" w:hAnsi="宋体" w:eastAsia="宋体" w:cs="宋体"/>
                <w:color w:val="000000"/>
              </w:rPr>
            </w:r>
            <w:r/>
          </w:p>
        </w:tc>
      </w:tr>
    </w:tbl>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法定代表人签章：</w:t>
      </w:r>
      <w:r>
        <w:rPr>
          <w:rFonts w:hint="eastAsia" w:ascii="宋体" w:hAnsi="宋体" w:eastAsia="宋体" w:cs="宋体"/>
          <w:color w:val="000000"/>
          <w:sz w:val="24"/>
          <w:szCs w:val="24"/>
        </w:rPr>
      </w:r>
      <w:r/>
    </w:p>
    <w:p>
      <w:pPr>
        <w:pStyle w:val="1038"/>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授权代表（签字）：</w:t>
      </w:r>
      <w:r>
        <w:rPr>
          <w:rFonts w:hint="eastAsia" w:ascii="宋体" w:hAnsi="宋体" w:eastAsia="宋体" w:cs="宋体"/>
          <w:color w:val="000000"/>
          <w:sz w:val="24"/>
          <w:szCs w:val="24"/>
        </w:rPr>
      </w:r>
      <w:r/>
    </w:p>
    <w:p>
      <w:pPr>
        <w:pStyle w:val="1038"/>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spacing w:before="0" w:after="0"/>
        <w:rPr>
          <w:rFonts w:hint="eastAsia" w:ascii="宋体" w:hAnsi="宋体" w:eastAsia="宋体" w:cs="宋体"/>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rPr>
      </w:r>
      <w:r/>
    </w:p>
    <w:p>
      <w:pPr>
        <w:pStyle w:val="1038"/>
        <w:spacing w:before="0" w:after="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授权委托书附件：</w:t>
      </w:r>
      <w:r>
        <w:rPr>
          <w:rFonts w:hint="eastAsia" w:ascii="宋体" w:hAnsi="宋体" w:eastAsia="宋体" w:cs="宋体"/>
          <w:b/>
          <w:bCs/>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授权代表社保证明：</w:t>
      </w:r>
      <w:r>
        <w:rPr>
          <w:rFonts w:hint="eastAsia" w:ascii="宋体" w:hAnsi="宋体" w:eastAsia="宋体" w:cs="宋体"/>
          <w:color w:val="000000"/>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8"/>
              <w:rPr>
                <w:color w:val="000000"/>
              </w:rPr>
            </w:pPr>
            <w:r>
              <w:rPr>
                <w:color w:val="000000"/>
              </w:rPr>
            </w:r>
            <w:r/>
          </w:p>
        </w:tc>
      </w:tr>
    </w:tbl>
    <w:p>
      <w:pPr>
        <w:pStyle w:val="1038"/>
        <w:spacing w:before="0" w:after="0"/>
        <w:rPr>
          <w:rFonts w:hint="eastAsia" w:ascii="宋体" w:hAnsi="宋体" w:eastAsia="宋体" w:cs="宋体"/>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rPr>
      </w:r>
      <w:r/>
    </w:p>
    <w:p>
      <w:pPr>
        <w:pStyle w:val="1038"/>
        <w:jc w:val="center"/>
        <w:rPr>
          <w:rFonts w:hint="eastAsia" w:ascii="宋体" w:hAnsi="宋体" w:eastAsia="宋体" w:cs="宋体"/>
          <w:color w:val="000000"/>
          <w:sz w:val="32"/>
          <w:szCs w:val="32"/>
        </w:rPr>
      </w:pPr>
      <w:r/>
      <w:bookmarkStart w:id="211" w:name="_Toc19427"/>
      <w:r/>
      <w:bookmarkStart w:id="212" w:name="_Toc23857"/>
      <w:r>
        <w:rPr>
          <w:rFonts w:hint="eastAsia" w:ascii="宋体" w:hAnsi="宋体" w:eastAsia="宋体" w:cs="宋体"/>
          <w:color w:val="000000"/>
          <w:sz w:val="32"/>
          <w:szCs w:val="32"/>
        </w:rPr>
        <w:t xml:space="preserve">3.报价表格格式</w:t>
      </w:r>
      <w:r>
        <w:rPr>
          <w:rFonts w:hint="eastAsia" w:ascii="宋体" w:hAnsi="宋体" w:eastAsia="宋体" w:cs="宋体"/>
          <w:color w:val="000000"/>
          <w:sz w:val="32"/>
          <w:szCs w:val="32"/>
        </w:rPr>
      </w:r>
      <w:r/>
    </w:p>
    <w:p>
      <w:pPr>
        <w:pStyle w:val="1038"/>
        <w:jc w:val="center"/>
        <w:widowControl/>
        <w:rPr>
          <w:rFonts w:hint="eastAsia" w:ascii="宋体" w:hAnsi="宋体" w:eastAsia="宋体" w:cs="宋体"/>
          <w:bCs/>
          <w:color w:val="000000"/>
          <w:szCs w:val="21"/>
        </w:rPr>
      </w:pPr>
      <w:r>
        <w:rPr>
          <w:rFonts w:hint="eastAsia" w:ascii="宋体" w:hAnsi="宋体" w:eastAsia="宋体" w:cs="宋体"/>
          <w:b/>
          <w:color w:val="000000"/>
          <w:sz w:val="24"/>
          <w:szCs w:val="24"/>
        </w:rPr>
        <w:t xml:space="preserve">（1）报价一览表</w:t>
      </w:r>
      <w:bookmarkEnd w:id="211"/>
      <w:r/>
      <w:bookmarkEnd w:id="212"/>
      <w:r>
        <w:rPr>
          <w:rFonts w:hint="eastAsia" w:ascii="宋体" w:hAnsi="宋体" w:eastAsia="宋体" w:cs="宋体"/>
          <w:b/>
          <w:color w:val="000000"/>
          <w:sz w:val="24"/>
          <w:szCs w:val="24"/>
        </w:rPr>
        <w:t xml:space="preserve">（格式）</w:t>
      </w:r>
      <w:r>
        <w:rPr>
          <w:rFonts w:hint="eastAsia" w:ascii="宋体" w:hAnsi="宋体" w:eastAsia="宋体" w:cs="宋体"/>
          <w:bCs/>
          <w:color w:val="000000"/>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项目名称</w:t>
            </w:r>
            <w:r>
              <w:rPr>
                <w:rFonts w:hint="eastAsia" w:ascii="宋体" w:hAnsi="宋体" w:eastAsia="宋体" w:cs="宋体"/>
                <w:b/>
                <w:bCs/>
                <w:color w:val="000000"/>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rPr>
            </w:pPr>
            <w:r>
              <w:rPr>
                <w:rFonts w:hint="eastAsia" w:ascii="宋体" w:hAnsi="宋体" w:eastAsia="宋体" w:cs="宋体"/>
                <w:color w:val="000000"/>
              </w:rPr>
            </w:r>
            <w:r/>
          </w:p>
        </w:tc>
      </w:tr>
      <w:tr>
        <w:trPr>
          <w:cantSplit/>
          <w:trHeight w:val="51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项目编号</w:t>
            </w:r>
            <w:r>
              <w:rPr>
                <w:rFonts w:hint="eastAsia" w:ascii="宋体" w:hAnsi="宋体" w:eastAsia="宋体" w:cs="宋体"/>
                <w:b/>
                <w:bCs/>
                <w:color w:val="000000"/>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rPr>
            </w:pPr>
            <w:r>
              <w:rPr>
                <w:rFonts w:hint="eastAsia" w:ascii="宋体" w:hAnsi="宋体" w:eastAsia="宋体" w:cs="宋体"/>
                <w:color w:val="000000"/>
              </w:rPr>
            </w:r>
            <w:r/>
          </w:p>
        </w:tc>
      </w:tr>
      <w:tr>
        <w:trPr>
          <w:cantSplit/>
          <w:trHeight w:val="48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分包号（标段号）</w:t>
            </w:r>
            <w:r>
              <w:rPr>
                <w:rFonts w:hint="eastAsia" w:ascii="宋体" w:hAnsi="宋体" w:eastAsia="宋体" w:cs="宋体"/>
                <w:b/>
                <w:bCs/>
                <w:color w:val="000000"/>
              </w:rPr>
            </w:r>
            <w:r/>
          </w:p>
        </w:tc>
        <w:tc>
          <w:tcPr>
            <w:gridSpan w:val="3"/>
            <w:tcW w:w="7595" w:type="dxa"/>
            <w:vAlign w:val="center"/>
            <w:textDirection w:val="lrTb"/>
            <w:noWrap w:val="false"/>
          </w:tcPr>
          <w:p>
            <w:pPr>
              <w:pStyle w:val="1038"/>
              <w:spacing w:before="0" w:after="0" w:line="440" w:lineRule="exact"/>
              <w:rPr>
                <w:rFonts w:hint="eastAsia" w:ascii="宋体" w:hAnsi="宋体" w:eastAsia="宋体" w:cs="宋体"/>
                <w:color w:val="000000"/>
              </w:rPr>
            </w:pPr>
            <w:r>
              <w:rPr>
                <w:rFonts w:hint="eastAsia" w:ascii="宋体" w:hAnsi="宋体" w:eastAsia="宋体" w:cs="宋体"/>
                <w:color w:val="000000"/>
              </w:rPr>
            </w:r>
            <w:r/>
          </w:p>
        </w:tc>
      </w:tr>
      <w:tr>
        <w:trPr>
          <w:cantSplit/>
          <w:trHeight w:val="50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投标报价（含税）</w:t>
            </w:r>
            <w:r>
              <w:rPr>
                <w:rFonts w:hint="eastAsia" w:ascii="宋体" w:hAnsi="宋体" w:eastAsia="宋体" w:cs="宋体"/>
                <w:b/>
                <w:bCs/>
                <w:color w:val="000000"/>
              </w:rPr>
            </w:r>
            <w:r/>
          </w:p>
        </w:tc>
        <w:tc>
          <w:tcPr>
            <w:gridSpan w:val="2"/>
            <w:tcW w:w="3354" w:type="dxa"/>
            <w:vAlign w:val="center"/>
            <w:textDirection w:val="lrTb"/>
            <w:noWrap w:val="false"/>
          </w:tcPr>
          <w:p>
            <w:pPr>
              <w:pStyle w:val="1038"/>
              <w:jc w:val="center"/>
              <w:spacing w:before="0" w:after="0" w:line="240" w:lineRule="auto"/>
              <w:rPr>
                <w:rFonts w:hint="eastAsia" w:ascii="宋体" w:hAnsi="宋体" w:eastAsia="宋体" w:cs="宋体"/>
                <w:color w:val="000000"/>
                <w:lang w:val="zh-CN"/>
              </w:rPr>
            </w:pPr>
            <w:r>
              <w:rPr>
                <w:rFonts w:hint="eastAsia" w:ascii="宋体" w:hAnsi="宋体" w:eastAsia="宋体" w:cs="宋体"/>
                <w:color w:val="000000"/>
                <w:u w:val="single"/>
              </w:rPr>
              <w:t xml:space="preserve">      </w:t>
            </w:r>
            <w:r>
              <w:rPr>
                <w:rFonts w:hint="eastAsia" w:ascii="宋体" w:hAnsi="宋体" w:eastAsia="宋体" w:cs="宋体"/>
                <w:color w:val="000000"/>
              </w:rPr>
              <w:t xml:space="preserve">元</w:t>
            </w:r>
            <w:r>
              <w:rPr>
                <w:rFonts w:hint="eastAsia" w:ascii="宋体" w:hAnsi="宋体" w:eastAsia="宋体" w:cs="宋体"/>
                <w:color w:val="000000"/>
                <w:lang w:val="zh-CN"/>
              </w:rPr>
            </w:r>
            <w:r/>
          </w:p>
        </w:tc>
        <w:tc>
          <w:tcPr>
            <w:tcW w:w="4241" w:type="dxa"/>
            <w:vAlign w:val="center"/>
            <w:textDirection w:val="lrTb"/>
            <w:noWrap w:val="false"/>
          </w:tcPr>
          <w:p>
            <w:pPr>
              <w:pStyle w:val="1038"/>
              <w:jc w:val="center"/>
              <w:spacing w:before="0" w:after="0" w:line="240" w:lineRule="auto"/>
              <w:rPr>
                <w:rFonts w:hint="eastAsia" w:ascii="宋体" w:hAnsi="宋体" w:eastAsia="宋体" w:cs="宋体"/>
                <w:color w:val="000000"/>
                <w:u w:val="single"/>
              </w:rPr>
            </w:pPr>
            <w:r>
              <w:rPr>
                <w:rFonts w:hint="eastAsia" w:ascii="宋体" w:hAnsi="宋体" w:eastAsia="宋体" w:cs="宋体"/>
                <w:color w:val="000000"/>
                <w:u w:val="single"/>
              </w:rPr>
              <w:t xml:space="preserve">      </w:t>
            </w:r>
            <w:r>
              <w:rPr>
                <w:rFonts w:hint="eastAsia" w:ascii="宋体" w:hAnsi="宋体" w:eastAsia="宋体" w:cs="宋体"/>
                <w:color w:val="000000"/>
              </w:rPr>
              <w:t xml:space="preserve">元</w:t>
            </w:r>
            <w:r>
              <w:rPr>
                <w:rFonts w:hint="eastAsia" w:ascii="宋体" w:hAnsi="宋体" w:eastAsia="宋体" w:cs="宋体"/>
                <w:color w:val="000000"/>
                <w:u w:val="single"/>
              </w:rPr>
            </w:r>
            <w:r/>
          </w:p>
        </w:tc>
      </w:tr>
      <w:tr>
        <w:trPr>
          <w:cantSplit/>
          <w:trHeight w:val="50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税率</w:t>
            </w:r>
            <w:r>
              <w:rPr>
                <w:rFonts w:hint="eastAsia" w:ascii="宋体" w:hAnsi="宋体" w:eastAsia="宋体" w:cs="宋体"/>
                <w:b/>
                <w:bCs/>
                <w:color w:val="000000"/>
              </w:rPr>
            </w:r>
            <w:r/>
          </w:p>
        </w:tc>
        <w:tc>
          <w:tcPr>
            <w:gridSpan w:val="3"/>
            <w:tcW w:w="7595" w:type="dxa"/>
            <w:vAlign w:val="center"/>
            <w:textDirection w:val="lrTb"/>
            <w:noWrap w:val="false"/>
          </w:tcPr>
          <w:p>
            <w:pPr>
              <w:pStyle w:val="1038"/>
              <w:jc w:val="center"/>
              <w:spacing w:before="0" w:after="0" w:line="240" w:lineRule="auto"/>
              <w:rPr>
                <w:rFonts w:hint="eastAsia" w:ascii="宋体" w:hAnsi="宋体" w:eastAsia="宋体" w:cs="宋体"/>
                <w:color w:val="000000"/>
                <w:lang w:val="zh-CN"/>
              </w:rPr>
            </w:pP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lang w:val="zh-CN"/>
              </w:rPr>
            </w:r>
            <w:r/>
          </w:p>
        </w:tc>
      </w:tr>
      <w:tr>
        <w:trPr>
          <w:cantSplit/>
          <w:trHeight w:val="495"/>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交货期</w:t>
            </w:r>
            <w:r>
              <w:rPr>
                <w:rFonts w:hint="eastAsia" w:ascii="宋体" w:hAnsi="宋体" w:eastAsia="宋体" w:cs="宋体"/>
                <w:b/>
                <w:bCs/>
                <w:color w:val="000000"/>
              </w:rPr>
            </w:r>
            <w:r/>
          </w:p>
        </w:tc>
        <w:tc>
          <w:tcPr>
            <w:gridSpan w:val="3"/>
            <w:tcW w:w="7595" w:type="dxa"/>
            <w:vAlign w:val="center"/>
            <w:textDirection w:val="lrTb"/>
            <w:noWrap w:val="false"/>
          </w:tcPr>
          <w:p>
            <w:pPr>
              <w:pStyle w:val="1038"/>
              <w:jc w:val="center"/>
              <w:spacing w:before="0" w:after="0" w:line="240" w:lineRule="auto"/>
              <w:rPr>
                <w:rFonts w:hint="eastAsia" w:ascii="宋体" w:hAnsi="宋体" w:eastAsia="宋体" w:cs="宋体"/>
                <w:color w:val="000000"/>
                <w:lang w:val="zh-CN"/>
              </w:rPr>
            </w:pPr>
            <w:r>
              <w:rPr>
                <w:rFonts w:hint="eastAsia" w:ascii="宋体" w:hAnsi="宋体" w:eastAsia="宋体" w:cs="宋体"/>
                <w:color w:val="000000"/>
                <w:u w:val="single"/>
              </w:rPr>
              <w:t xml:space="preserve">   </w:t>
            </w:r>
            <w:r>
              <w:rPr>
                <w:rFonts w:hint="eastAsia" w:ascii="宋体" w:hAnsi="宋体" w:eastAsia="宋体" w:cs="宋体"/>
                <w:color w:val="000000"/>
                <w:lang w:val="zh-CN"/>
              </w:rPr>
            </w:r>
            <w:r/>
          </w:p>
        </w:tc>
      </w:tr>
      <w:tr>
        <w:trPr>
          <w:cantSplit/>
          <w:trHeight w:val="648"/>
        </w:trPr>
        <w:tc>
          <w:tcPr>
            <w:tcW w:w="1988" w:type="dxa"/>
            <w:vAlign w:val="center"/>
            <w:vMerge w:val="restart"/>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企业类型</w:t>
            </w:r>
            <w:r>
              <w:rPr>
                <w:rFonts w:hint="eastAsia" w:ascii="宋体" w:hAnsi="宋体" w:eastAsia="宋体" w:cs="宋体"/>
                <w:b/>
                <w:bCs/>
                <w:color w:val="000000"/>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rPr>
            </w:pPr>
            <w:r>
              <w:rPr>
                <w:rFonts w:hint="eastAsia" w:ascii="宋体" w:hAnsi="宋体" w:eastAsia="宋体" w:cs="宋体"/>
                <w:color w:val="000000"/>
                <w:lang w:val="zh-CN"/>
              </w:rPr>
              <w:t xml:space="preserve">是否属于小微型企业</w:t>
            </w:r>
            <w:r>
              <w:rPr>
                <w:rFonts w:hint="eastAsia" w:ascii="宋体" w:hAnsi="宋体" w:eastAsia="宋体" w:cs="宋体"/>
                <w:color w:val="000000"/>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是</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否</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cantSplit/>
          <w:trHeight w:val="627"/>
        </w:trPr>
        <w:tc>
          <w:tcPr>
            <w:tcW w:w="1988" w:type="dxa"/>
            <w:vAlign w:val="center"/>
            <w:vMerge w:val="continue"/>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rPr>
            </w:pPr>
            <w:r>
              <w:rPr>
                <w:rFonts w:hint="eastAsia" w:ascii="宋体" w:hAnsi="宋体" w:eastAsia="宋体" w:cs="宋体"/>
                <w:color w:val="000000"/>
                <w:lang w:val="zh-CN"/>
              </w:rPr>
              <w:t xml:space="preserve">是否属于残疾人福利性单位</w:t>
            </w:r>
            <w:r>
              <w:rPr>
                <w:rFonts w:hint="eastAsia" w:ascii="宋体" w:hAnsi="宋体" w:eastAsia="宋体" w:cs="宋体"/>
                <w:color w:val="000000"/>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是</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否</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cantSplit/>
          <w:trHeight w:val="612"/>
        </w:trPr>
        <w:tc>
          <w:tcPr>
            <w:tcW w:w="1988" w:type="dxa"/>
            <w:vAlign w:val="center"/>
            <w:vMerge w:val="continue"/>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r>
            <w:r/>
          </w:p>
        </w:tc>
        <w:tc>
          <w:tcPr>
            <w:tcW w:w="3345" w:type="dxa"/>
            <w:vAlign w:val="center"/>
            <w:textDirection w:val="lrTb"/>
            <w:noWrap w:val="false"/>
          </w:tcPr>
          <w:p>
            <w:pPr>
              <w:pStyle w:val="1038"/>
              <w:jc w:val="center"/>
              <w:spacing w:before="0" w:after="0" w:line="240" w:lineRule="auto"/>
              <w:rPr>
                <w:rFonts w:hint="eastAsia" w:ascii="宋体" w:hAnsi="宋体" w:eastAsia="宋体" w:cs="宋体"/>
                <w:color w:val="000000"/>
              </w:rPr>
            </w:pPr>
            <w:r>
              <w:rPr>
                <w:rFonts w:hint="eastAsia" w:ascii="宋体" w:hAnsi="宋体" w:eastAsia="宋体" w:cs="宋体"/>
                <w:color w:val="000000"/>
                <w:lang w:val="zh-CN"/>
              </w:rPr>
              <w:t xml:space="preserve">是否属于监狱企业</w:t>
            </w:r>
            <w:r>
              <w:rPr>
                <w:rFonts w:hint="eastAsia" w:ascii="宋体" w:hAnsi="宋体" w:eastAsia="宋体" w:cs="宋体"/>
                <w:color w:val="000000"/>
              </w:rPr>
            </w:r>
            <w:r/>
          </w:p>
        </w:tc>
        <w:tc>
          <w:tcPr>
            <w:gridSpan w:val="2"/>
            <w:tcW w:w="425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是</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否</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cantSplit/>
          <w:trHeight w:val="680"/>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售后服务承诺</w:t>
            </w:r>
            <w:r>
              <w:rPr>
                <w:rFonts w:hint="eastAsia" w:ascii="宋体" w:hAnsi="宋体" w:eastAsia="宋体" w:cs="宋体"/>
                <w:b/>
                <w:bCs/>
                <w:color w:val="000000"/>
              </w:rPr>
            </w:r>
            <w:r/>
          </w:p>
        </w:tc>
        <w:tc>
          <w:tcPr>
            <w:gridSpan w:val="3"/>
            <w:tcW w:w="7595" w:type="dxa"/>
            <w:vAlign w:val="center"/>
            <w:textDirection w:val="lrTb"/>
            <w:noWrap w:val="false"/>
          </w:tcPr>
          <w:p>
            <w:pPr>
              <w:pStyle w:val="1038"/>
              <w:jc w:val="left"/>
              <w:spacing w:before="0" w:after="0" w:line="24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cantSplit/>
          <w:trHeight w:val="680"/>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优惠条件承诺</w:t>
            </w:r>
            <w:r>
              <w:rPr>
                <w:rFonts w:hint="eastAsia" w:ascii="宋体" w:hAnsi="宋体" w:eastAsia="宋体" w:cs="宋体"/>
                <w:b/>
                <w:bCs/>
                <w:color w:val="000000"/>
              </w:rPr>
            </w:r>
            <w:r/>
          </w:p>
        </w:tc>
        <w:tc>
          <w:tcPr>
            <w:gridSpan w:val="3"/>
            <w:tcW w:w="7595" w:type="dxa"/>
            <w:vAlign w:val="center"/>
            <w:textDirection w:val="lrTb"/>
            <w:noWrap w:val="false"/>
          </w:tcPr>
          <w:p>
            <w:pPr>
              <w:pStyle w:val="1038"/>
              <w:jc w:val="left"/>
              <w:spacing w:before="0" w:after="0" w:line="24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cantSplit/>
          <w:trHeight w:val="698"/>
        </w:trPr>
        <w:tc>
          <w:tcPr>
            <w:tcW w:w="1988"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b/>
                <w:bCs/>
                <w:color w:val="000000"/>
              </w:rPr>
              <w:t xml:space="preserve">备注</w:t>
            </w:r>
            <w:r>
              <w:rPr>
                <w:rFonts w:hint="eastAsia" w:ascii="宋体" w:hAnsi="宋体" w:eastAsia="宋体" w:cs="宋体"/>
                <w:b/>
                <w:bCs/>
                <w:color w:val="000000"/>
              </w:rPr>
            </w:r>
            <w:r/>
          </w:p>
        </w:tc>
        <w:tc>
          <w:tcPr>
            <w:gridSpan w:val="3"/>
            <w:tcW w:w="7595" w:type="dxa"/>
            <w:vAlign w:val="top"/>
            <w:textDirection w:val="lrTb"/>
            <w:noWrap w:val="false"/>
          </w:tcPr>
          <w:p>
            <w:pPr>
              <w:pStyle w:val="1038"/>
              <w:spacing w:before="0" w:after="0" w:line="24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038"/>
        <w:spacing w:line="24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说明：</w:t>
      </w:r>
      <w:r>
        <w:rPr>
          <w:rFonts w:hint="eastAsia" w:ascii="宋体" w:hAnsi="宋体" w:eastAsia="宋体" w:cs="宋体"/>
          <w:bCs/>
          <w:color w:val="000000"/>
          <w:szCs w:val="21"/>
        </w:rPr>
      </w:r>
      <w:r/>
    </w:p>
    <w:p>
      <w:pPr>
        <w:pStyle w:val="1038"/>
        <w:spacing w:line="24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1.报价币种：人民币。</w:t>
      </w:r>
      <w:r>
        <w:rPr>
          <w:rFonts w:hint="eastAsia" w:ascii="宋体" w:hAnsi="宋体" w:eastAsia="宋体" w:cs="宋体"/>
          <w:bCs/>
          <w:color w:val="000000"/>
          <w:szCs w:val="21"/>
        </w:rPr>
      </w:r>
      <w:r/>
    </w:p>
    <w:p>
      <w:pPr>
        <w:pStyle w:val="1038"/>
        <w:spacing w:line="240" w:lineRule="auto"/>
        <w:rPr>
          <w:rFonts w:hint="eastAsia" w:ascii="宋体" w:hAnsi="宋体" w:eastAsia="宋体" w:cs="宋体"/>
          <w:b/>
          <w:color w:val="000000"/>
          <w:szCs w:val="21"/>
        </w:rPr>
      </w:pPr>
      <w:r>
        <w:rPr>
          <w:rFonts w:hint="eastAsia" w:ascii="宋体" w:hAnsi="宋体" w:eastAsia="宋体" w:cs="宋体"/>
          <w:bCs/>
          <w:color w:val="000000"/>
          <w:szCs w:val="21"/>
        </w:rPr>
        <w:t xml:space="preserve">2.</w:t>
      </w:r>
      <w:r>
        <w:rPr>
          <w:rFonts w:hint="eastAsia" w:ascii="宋体" w:hAnsi="宋体" w:eastAsia="宋体" w:cs="宋体"/>
          <w:b/>
          <w:color w:val="000000"/>
          <w:szCs w:val="21"/>
        </w:rPr>
        <w:t xml:space="preserve">在供应商“是否属于小和微型企业”、“</w:t>
      </w:r>
      <w:r>
        <w:rPr>
          <w:rFonts w:hint="eastAsia" w:ascii="宋体" w:hAnsi="宋体" w:eastAsia="宋体" w:cs="宋体"/>
          <w:b/>
          <w:color w:val="000000"/>
          <w:szCs w:val="21"/>
          <w:lang w:val="zh-CN"/>
        </w:rPr>
        <w:t xml:space="preserve">是否属于残疾人福利性单位</w:t>
      </w:r>
      <w:r>
        <w:rPr>
          <w:rFonts w:hint="eastAsia" w:ascii="宋体" w:hAnsi="宋体" w:eastAsia="宋体" w:cs="宋体"/>
          <w:b/>
          <w:color w:val="000000"/>
          <w:szCs w:val="21"/>
        </w:rPr>
        <w:t xml:space="preserve">”、“</w:t>
      </w:r>
      <w:r>
        <w:rPr>
          <w:rFonts w:hint="eastAsia" w:ascii="宋体" w:hAnsi="宋体" w:eastAsia="宋体" w:cs="宋体"/>
          <w:b/>
          <w:color w:val="000000"/>
          <w:szCs w:val="21"/>
          <w:lang w:val="zh-CN"/>
        </w:rPr>
        <w:t xml:space="preserve">是否属于监狱企业</w:t>
      </w:r>
      <w:r>
        <w:rPr>
          <w:rFonts w:hint="eastAsia" w:ascii="宋体" w:hAnsi="宋体" w:eastAsia="宋体" w:cs="宋体"/>
          <w:b/>
          <w:color w:val="000000"/>
          <w:szCs w:val="21"/>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rPr>
      </w:r>
      <w:r/>
    </w:p>
    <w:p>
      <w:pPr>
        <w:pStyle w:val="1038"/>
        <w:spacing w:line="24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rPr>
      </w:r>
      <w:r/>
    </w:p>
    <w:p>
      <w:pPr>
        <w:pStyle w:val="1038"/>
        <w:spacing w:line="24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rPr>
      </w:r>
      <w:r/>
    </w:p>
    <w:p>
      <w:pPr>
        <w:pStyle w:val="1038"/>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rPr>
      </w:r>
      <w:r/>
    </w:p>
    <w:p>
      <w:pPr>
        <w:pStyle w:val="1038"/>
        <w:jc w:val="left"/>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rPr>
      </w:r>
      <w:r/>
    </w:p>
    <w:p>
      <w:pPr>
        <w:pStyle w:val="1038"/>
        <w:jc w:val="left"/>
        <w:spacing w:before="0" w:after="0"/>
        <w:rPr>
          <w:rFonts w:hint="eastAsia" w:ascii="宋体" w:hAnsi="宋体" w:eastAsia="宋体" w:cs="宋体"/>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bookmarkStart w:id="213" w:name="_Toc403725575"/>
      <w:r/>
      <w:bookmarkStart w:id="214" w:name="_Toc467065082"/>
      <w:r/>
      <w:bookmarkStart w:id="215" w:name="_Toc25567"/>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（2）分项价格表（格式）</w:t>
      </w:r>
      <w:r>
        <w:rPr>
          <w:rFonts w:hint="eastAsia" w:ascii="宋体" w:hAnsi="宋体" w:eastAsia="宋体" w:cs="宋体"/>
          <w:b/>
          <w:color w:val="000000"/>
          <w:sz w:val="24"/>
        </w:rPr>
      </w:r>
      <w:r/>
    </w:p>
    <w:p>
      <w:pPr>
        <w:pStyle w:val="1038"/>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（项目编号）</w:t>
      </w:r>
      <w:r>
        <w:rPr>
          <w:rFonts w:hint="eastAsia" w:ascii="宋体" w:hAnsi="宋体" w:eastAsia="宋体" w:cs="宋体"/>
          <w:color w:val="000000"/>
          <w:sz w:val="24"/>
        </w:rPr>
        <w:t xml:space="preserve">                         货币单位：人民币（元）</w:t>
      </w:r>
      <w:r>
        <w:rPr>
          <w:rFonts w:hint="eastAsia" w:ascii="宋体" w:hAnsi="宋体" w:eastAsia="宋体" w:cs="宋体"/>
          <w:color w:val="000000"/>
          <w:sz w:val="24"/>
        </w:rPr>
      </w:r>
      <w:r/>
    </w:p>
    <w:p>
      <w:pPr>
        <w:pStyle w:val="1038"/>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分包号（标段号）：</w:t>
      </w:r>
      <w:r>
        <w:rPr>
          <w:rFonts w:hint="eastAsia" w:ascii="宋体" w:hAnsi="宋体" w:eastAsia="宋体" w:cs="宋体"/>
          <w:color w:val="000000"/>
          <w:sz w:val="24"/>
          <w:u w:val="single"/>
        </w:rPr>
        <w:t xml:space="preserve">   （标段号）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038"/>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t xml:space="preserve">   （项目名称）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1038"/>
        <w:rPr>
          <w:rFonts w:hint="eastAsia" w:ascii="宋体" w:hAnsi="宋体" w:eastAsia="宋体" w:cs="宋体"/>
          <w:b/>
          <w:bCs/>
          <w:color w:val="000000"/>
          <w:sz w:val="24"/>
        </w:rPr>
      </w:pPr>
      <w:r>
        <w:rPr>
          <w:rFonts w:hint="eastAsia" w:ascii="宋体" w:hAnsi="宋体" w:eastAsia="宋体" w:cs="宋体"/>
          <w:b/>
          <w:bCs/>
          <w:color w:val="000000"/>
          <w:sz w:val="24"/>
        </w:rPr>
        <w:t xml:space="preserve">分项报价清单：</w:t>
      </w:r>
      <w:r>
        <w:rPr>
          <w:rFonts w:hint="eastAsia" w:ascii="宋体" w:hAnsi="宋体" w:eastAsia="宋体" w:cs="宋体"/>
          <w:b/>
          <w:bCs/>
          <w:color w:val="000000"/>
          <w:sz w:val="24"/>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Mar>
              <w:left w:w="15" w:type="dxa"/>
              <w:top w:w="15" w:type="dxa"/>
              <w:right w:w="15" w:type="dxa"/>
              <w:bottom w:w="0" w:type="dxa"/>
            </w:tcMar>
            <w:tcW w:w="1248"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名称（标的名称）</w:t>
            </w:r>
            <w:r>
              <w:rPr>
                <w:rFonts w:hint="eastAsia" w:ascii="宋体" w:hAnsi="宋体" w:eastAsia="宋体" w:cs="宋体"/>
                <w:color w:val="000000"/>
                <w:sz w:val="24"/>
              </w:rPr>
            </w:r>
            <w:r/>
          </w:p>
        </w:tc>
        <w:tc>
          <w:tcPr>
            <w:tcMar>
              <w:left w:w="15" w:type="dxa"/>
              <w:top w:w="15" w:type="dxa"/>
              <w:right w:w="15" w:type="dxa"/>
              <w:bottom w:w="0" w:type="dxa"/>
            </w:tcMar>
            <w:tcW w:w="1387"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品牌、规格、型号</w:t>
            </w:r>
            <w:r>
              <w:rPr>
                <w:rFonts w:hint="eastAsia" w:ascii="宋体" w:hAnsi="宋体" w:eastAsia="宋体" w:cs="宋体"/>
                <w:color w:val="000000"/>
                <w:sz w:val="24"/>
              </w:rPr>
            </w:r>
            <w:r/>
          </w:p>
        </w:tc>
        <w:tc>
          <w:tcPr>
            <w:tcMar>
              <w:left w:w="15" w:type="dxa"/>
              <w:top w:w="15" w:type="dxa"/>
              <w:right w:w="15" w:type="dxa"/>
              <w:bottom w:w="0" w:type="dxa"/>
            </w:tcMar>
            <w:tcW w:w="1194"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产品制造企业名称（全称）</w:t>
            </w:r>
            <w:r>
              <w:rPr>
                <w:rFonts w:hint="eastAsia" w:ascii="宋体" w:hAnsi="宋体" w:eastAsia="宋体" w:cs="宋体"/>
                <w:color w:val="000000"/>
                <w:sz w:val="24"/>
              </w:rPr>
            </w:r>
            <w:r/>
          </w:p>
        </w:tc>
        <w:tc>
          <w:tcPr>
            <w:tcMar>
              <w:left w:w="15" w:type="dxa"/>
              <w:top w:w="15" w:type="dxa"/>
              <w:right w:w="15" w:type="dxa"/>
              <w:bottom w:w="0" w:type="dxa"/>
            </w:tcMar>
            <w:tcW w:w="1659" w:type="dxa"/>
            <w:vAlign w:val="top"/>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产品制造企业的划分（注明：大型、中型、小型、微型、监狱企业、残疾人福利性单位）</w:t>
            </w:r>
            <w:r>
              <w:rPr>
                <w:rFonts w:hint="eastAsia" w:ascii="宋体" w:hAnsi="宋体" w:eastAsia="宋体" w:cs="宋体"/>
                <w:color w:val="000000"/>
                <w:sz w:val="24"/>
              </w:rPr>
            </w:r>
            <w:r/>
          </w:p>
        </w:tc>
        <w:tc>
          <w:tcPr>
            <w:tcMar>
              <w:left w:w="15" w:type="dxa"/>
              <w:top w:w="15" w:type="dxa"/>
              <w:right w:w="15" w:type="dxa"/>
              <w:bottom w:w="0" w:type="dxa"/>
            </w:tcMar>
            <w:tcW w:w="691"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单位</w:t>
            </w:r>
            <w:r>
              <w:rPr>
                <w:rFonts w:hint="eastAsia" w:ascii="宋体" w:hAnsi="宋体" w:eastAsia="宋体" w:cs="宋体"/>
                <w:color w:val="000000"/>
                <w:sz w:val="24"/>
              </w:rPr>
            </w:r>
            <w:r/>
          </w:p>
        </w:tc>
        <w:tc>
          <w:tcPr>
            <w:tcMar>
              <w:left w:w="15" w:type="dxa"/>
              <w:top w:w="15" w:type="dxa"/>
              <w:right w:w="15" w:type="dxa"/>
              <w:bottom w:w="0" w:type="dxa"/>
            </w:tcMar>
            <w:tcW w:w="742"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数量</w:t>
            </w:r>
            <w:r>
              <w:rPr>
                <w:rFonts w:hint="eastAsia" w:ascii="宋体" w:hAnsi="宋体" w:eastAsia="宋体" w:cs="宋体"/>
                <w:color w:val="000000"/>
                <w:sz w:val="24"/>
              </w:rPr>
            </w:r>
            <w:r/>
          </w:p>
        </w:tc>
        <w:tc>
          <w:tcPr>
            <w:tcMar>
              <w:left w:w="15" w:type="dxa"/>
              <w:top w:w="15" w:type="dxa"/>
              <w:right w:w="15" w:type="dxa"/>
              <w:bottom w:w="0" w:type="dxa"/>
            </w:tcMar>
            <w:tcW w:w="756"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含税单价（元）</w:t>
            </w:r>
            <w:r>
              <w:rPr>
                <w:rFonts w:hint="eastAsia" w:ascii="宋体" w:hAnsi="宋体" w:eastAsia="宋体" w:cs="宋体"/>
                <w:color w:val="000000"/>
                <w:sz w:val="24"/>
              </w:rPr>
            </w:r>
            <w:r/>
          </w:p>
        </w:tc>
        <w:tc>
          <w:tcPr>
            <w:tcMar>
              <w:left w:w="15" w:type="dxa"/>
              <w:top w:w="15" w:type="dxa"/>
              <w:right w:w="15" w:type="dxa"/>
              <w:bottom w:w="0" w:type="dxa"/>
            </w:tcMar>
            <w:tcW w:w="664"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小计（元）</w:t>
            </w:r>
            <w:r>
              <w:rPr>
                <w:rFonts w:hint="eastAsia" w:ascii="宋体" w:hAnsi="宋体" w:eastAsia="宋体" w:cs="宋体"/>
                <w:color w:val="000000"/>
                <w:sz w:val="24"/>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符合本国产品标准的产品成本（元）</w:t>
            </w: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rPr>
                <w:rFonts w:hint="eastAsia" w:ascii="宋体" w:hAnsi="宋体" w:eastAsia="宋体" w:cs="宋体"/>
                <w:color w:val="000000"/>
                <w:sz w:val="24"/>
              </w:rPr>
            </w:pPr>
            <w:r>
              <w:rPr>
                <w:rFonts w:hint="eastAsia" w:ascii="宋体" w:hAnsi="宋体" w:eastAsia="宋体" w:cs="宋体"/>
                <w:color w:val="000000"/>
                <w:sz w:val="24"/>
              </w:rPr>
              <w:t xml:space="preserve">备注</w:t>
            </w:r>
            <w:r>
              <w:rPr>
                <w:rFonts w:hint="eastAsia" w:ascii="宋体" w:hAnsi="宋体" w:eastAsia="宋体" w:cs="宋体"/>
                <w:color w:val="000000"/>
                <w:sz w:val="24"/>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630"/>
        </w:trPr>
        <w:tc>
          <w:tcPr>
            <w:tcMar>
              <w:left w:w="15" w:type="dxa"/>
              <w:top w:w="15" w:type="dxa"/>
              <w:right w:w="15" w:type="dxa"/>
              <w:bottom w:w="0" w:type="dxa"/>
            </w:tcMar>
            <w:tcW w:w="531" w:type="dxa"/>
            <w:vAlign w:val="center"/>
            <w:textDirection w:val="lrTb"/>
            <w:noWrap w:val="false"/>
          </w:tcPr>
          <w:p>
            <w:pPr>
              <w:pStyle w:val="1038"/>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w:t>
            </w:r>
            <w:r>
              <w:rPr>
                <w:rFonts w:ascii="宋体" w:hAnsi="宋体" w:eastAsia="宋体" w:cs="宋体"/>
                <w:color w:val="000000"/>
                <w:sz w:val="24"/>
              </w:rPr>
            </w:r>
            <w:r/>
          </w:p>
        </w:tc>
        <w:tc>
          <w:tcPr>
            <w:tcMar>
              <w:left w:w="15" w:type="dxa"/>
              <w:top w:w="15" w:type="dxa"/>
              <w:right w:w="15" w:type="dxa"/>
              <w:bottom w:w="0" w:type="dxa"/>
            </w:tcMar>
            <w:tcW w:w="1248"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387"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1194" w:type="dxa"/>
            <w:vAlign w:val="center"/>
            <w:textDirection w:val="lrTb"/>
            <w:noWrap w:val="false"/>
          </w:tcPr>
          <w:p>
            <w:pPr>
              <w:pStyle w:val="1038"/>
              <w:jc w:val="center"/>
              <w:spacing w:before="0"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659"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shd w:val="clear" w:color="auto" w:fill="ffffff"/>
            <w:tcMar>
              <w:left w:w="15" w:type="dxa"/>
              <w:top w:w="15" w:type="dxa"/>
              <w:right w:w="15" w:type="dxa"/>
              <w:bottom w:w="0" w:type="dxa"/>
            </w:tcMar>
            <w:tcW w:w="691"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742" w:type="dxa"/>
            <w:vAlign w:val="center"/>
            <w:textDirection w:val="lrTb"/>
            <w:noWrap w:val="false"/>
          </w:tcPr>
          <w:p>
            <w:pPr>
              <w:pStyle w:val="1038"/>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38"/>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664"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918"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总价合计（含税）</w:t>
            </w:r>
            <w:r>
              <w:rPr>
                <w:rFonts w:hint="eastAsia" w:ascii="宋体" w:hAnsi="宋体" w:eastAsia="宋体" w:cs="宋体"/>
                <w:color w:val="000000"/>
                <w:sz w:val="24"/>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元</w:t>
            </w: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其中“小型和微型和监狱企业和残疾人福利性单位”总价合计（含税）</w:t>
            </w:r>
            <w:r>
              <w:rPr>
                <w:rFonts w:hint="eastAsia" w:ascii="宋体" w:hAnsi="宋体" w:eastAsia="宋体" w:cs="宋体"/>
                <w:color w:val="000000"/>
                <w:sz w:val="24"/>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元</w:t>
            </w: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其中“符合本国产品标准的产品”成本之和</w:t>
            </w:r>
            <w:r>
              <w:rPr>
                <w:rFonts w:hint="eastAsia" w:ascii="宋体" w:hAnsi="宋体" w:eastAsia="宋体" w:cs="宋体"/>
                <w:color w:val="000000"/>
                <w:sz w:val="24"/>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元</w:t>
            </w: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供应商提供的全部产品成本之和</w:t>
            </w:r>
            <w:r>
              <w:rPr>
                <w:rFonts w:hint="eastAsia" w:ascii="宋体" w:hAnsi="宋体" w:eastAsia="宋体" w:cs="宋体"/>
                <w:color w:val="000000"/>
                <w:sz w:val="24"/>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元</w:t>
            </w: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本采购包中提供的符合本国产品标准的产品成本之和占该采购包提供的全部产品成本之和的比例为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8"/>
              <w:jc w:val="center"/>
              <w:spacing w:before="0" w:after="0" w:line="240" w:lineRule="auto"/>
              <w:rPr>
                <w:rFonts w:hint="eastAsia" w:ascii="宋体" w:hAnsi="宋体" w:eastAsia="宋体" w:cs="宋体"/>
                <w:b/>
                <w:bCs/>
                <w:color w:val="000000"/>
              </w:rPr>
            </w:pPr>
            <w:r>
              <w:rPr>
                <w:rFonts w:hint="eastAsia" w:ascii="宋体" w:hAnsi="宋体" w:eastAsia="宋体" w:cs="宋体"/>
                <w:color w:val="000000"/>
                <w:sz w:val="24"/>
              </w:rPr>
              <w:t xml:space="preserve">备注：货物中有无进口产品</w:t>
            </w:r>
            <w:r>
              <w:rPr>
                <w:rFonts w:hint="eastAsia" w:ascii="宋体" w:hAnsi="宋体" w:eastAsia="宋体" w:cs="宋体"/>
                <w:b/>
                <w:bCs/>
                <w:color w:val="000000"/>
              </w:rPr>
            </w:r>
            <w:r/>
          </w:p>
        </w:tc>
        <w:tc>
          <w:tcPr>
            <w:gridSpan w:val="6"/>
            <w:tcMar>
              <w:left w:w="15" w:type="dxa"/>
              <w:top w:w="15" w:type="dxa"/>
              <w:right w:w="15" w:type="dxa"/>
              <w:bottom w:w="0" w:type="dxa"/>
            </w:tcMar>
            <w:tcW w:w="5430" w:type="dxa"/>
            <w:vAlign w:val="center"/>
            <w:textDirection w:val="lrTb"/>
            <w:noWrap w:val="false"/>
          </w:tcPr>
          <w:p>
            <w:pPr>
              <w:pStyle w:val="1038"/>
              <w:jc w:val="center"/>
              <w:spacing w:before="0" w:after="0" w:line="240" w:lineRule="auto"/>
              <w:rPr>
                <w:rFonts w:hint="eastAsia" w:ascii="宋体" w:hAnsi="宋体" w:eastAsia="宋体" w:cs="宋体"/>
                <w:color w:val="000000"/>
                <w:u w:val="single"/>
              </w:rPr>
            </w:pPr>
            <w:r>
              <w:rPr>
                <w:rFonts w:hint="eastAsia" w:ascii="宋体" w:hAnsi="宋体" w:eastAsia="宋体" w:cs="宋体"/>
                <w:color w:val="000000"/>
                <w:sz w:val="24"/>
                <w:lang w:val="zh-CN"/>
              </w:rPr>
              <w:t xml:space="preserve">有</w:t>
            </w:r>
            <w:r>
              <w:rPr>
                <w:rFonts w:hint="eastAsia" w:ascii="宋体" w:hAnsi="宋体" w:eastAsia="宋体" w:cs="宋体"/>
                <w:color w:val="000000"/>
                <w:sz w:val="24"/>
              </w:rPr>
              <w:t xml:space="preserve">（  ）（填写货物名称：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无</w:t>
            </w:r>
            <w:r>
              <w:rPr>
                <w:rFonts w:hint="eastAsia" w:ascii="宋体" w:hAnsi="宋体" w:eastAsia="宋体" w:cs="宋体"/>
                <w:color w:val="000000"/>
                <w:sz w:val="24"/>
              </w:rPr>
              <w:t xml:space="preserve">（  ）</w:t>
            </w:r>
            <w:r>
              <w:rPr>
                <w:rFonts w:hint="eastAsia" w:ascii="宋体" w:hAnsi="宋体" w:eastAsia="宋体" w:cs="宋体"/>
                <w:color w:val="000000"/>
                <w:u w:val="single"/>
              </w:rPr>
            </w:r>
            <w:r/>
          </w:p>
        </w:tc>
        <w:tc>
          <w:tcPr>
            <w:tcMar>
              <w:left w:w="15" w:type="dxa"/>
              <w:top w:w="15" w:type="dxa"/>
              <w:right w:w="15" w:type="dxa"/>
              <w:bottom w:w="0" w:type="dxa"/>
            </w:tcMar>
            <w:tcW w:w="740" w:type="dxa"/>
            <w:vAlign w:val="center"/>
            <w:textDirection w:val="lrTb"/>
            <w:noWrap w:val="false"/>
          </w:tcPr>
          <w:p>
            <w:pPr>
              <w:pStyle w:val="1038"/>
              <w:jc w:val="center"/>
              <w:spacing w:before="0" w:after="0" w:line="24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r>
            <w:r/>
          </w:p>
        </w:tc>
      </w:tr>
    </w:tbl>
    <w:p>
      <w:pPr>
        <w:pStyle w:val="1038"/>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投标人名称：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（公章）</w:t>
      </w:r>
      <w:r>
        <w:rPr>
          <w:rFonts w:hint="eastAsia" w:ascii="宋体" w:hAnsi="宋体" w:eastAsia="宋体" w:cs="宋体"/>
          <w:color w:val="000000"/>
          <w:sz w:val="24"/>
        </w:rPr>
      </w:r>
      <w:r/>
    </w:p>
    <w:p>
      <w:pPr>
        <w:pStyle w:val="1038"/>
        <w:spacing w:line="300" w:lineRule="auto"/>
        <w:rPr>
          <w:rFonts w:hint="eastAsia" w:ascii="宋体" w:hAnsi="宋体" w:eastAsia="宋体" w:cs="宋体"/>
          <w:color w:val="000000"/>
          <w:sz w:val="24"/>
        </w:rPr>
      </w:pPr>
      <w:r>
        <w:rPr>
          <w:rFonts w:hint="eastAsia" w:ascii="宋体" w:hAnsi="宋体" w:eastAsia="宋体" w:cs="宋体"/>
          <w:color w:val="000000"/>
          <w:sz w:val="24"/>
        </w:rPr>
        <w:t xml:space="preserve">授权代表：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（签字或盖章）</w:t>
      </w:r>
      <w:r>
        <w:rPr>
          <w:rFonts w:hint="eastAsia" w:ascii="宋体" w:hAnsi="宋体" w:eastAsia="宋体" w:cs="宋体"/>
          <w:color w:val="000000"/>
          <w:sz w:val="24"/>
        </w:rPr>
      </w:r>
      <w:r/>
    </w:p>
    <w:p>
      <w:pPr>
        <w:pStyle w:val="1038"/>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rPr>
          <w:rFonts w:hint="eastAsia" w:ascii="宋体" w:hAnsi="宋体" w:eastAsia="宋体" w:cs="宋体"/>
          <w:color w:val="000000"/>
          <w:sz w:val="24"/>
        </w:rPr>
      </w:r>
      <w:r/>
    </w:p>
    <w:p>
      <w:pPr>
        <w:pStyle w:val="1038"/>
        <w:rPr>
          <w:rFonts w:hint="eastAsia" w:ascii="宋体" w:hAnsi="宋体" w:eastAsia="宋体" w:cs="宋体"/>
          <w:color w:val="000000"/>
          <w:sz w:val="24"/>
        </w:rPr>
      </w:pPr>
      <w:r>
        <w:rPr>
          <w:rFonts w:hint="eastAsia" w:ascii="宋体" w:hAnsi="宋体" w:eastAsia="宋体" w:cs="宋体"/>
          <w:color w:val="000000"/>
          <w:sz w:val="24"/>
        </w:rPr>
        <w:t xml:space="preserve">说明：</w:t>
      </w:r>
      <w:r>
        <w:rPr>
          <w:rFonts w:hint="eastAsia" w:ascii="宋体" w:hAnsi="宋体" w:eastAsia="宋体" w:cs="宋体"/>
          <w:color w:val="000000"/>
          <w:sz w:val="24"/>
        </w:rPr>
      </w:r>
      <w:r/>
    </w:p>
    <w:p>
      <w:pPr>
        <w:pStyle w:val="1038"/>
        <w:ind w:firstLine="480"/>
        <w:rPr>
          <w:rFonts w:hint="eastAsia" w:ascii="宋体" w:hAnsi="宋体" w:eastAsia="宋体" w:cs="宋体"/>
          <w:color w:val="000000"/>
          <w:sz w:val="24"/>
        </w:rPr>
      </w:pPr>
      <w:r>
        <w:rPr>
          <w:rFonts w:hint="eastAsia" w:ascii="宋体" w:hAnsi="宋体" w:eastAsia="宋体" w:cs="宋体"/>
          <w:color w:val="000000"/>
          <w:sz w:val="24"/>
        </w:rPr>
        <w:t xml:space="preserve">1.本表格中需列明所投分包“第四章 采购需求”技术要求中全部设备。</w:t>
      </w:r>
      <w:r>
        <w:rPr>
          <w:rFonts w:hint="eastAsia" w:ascii="宋体" w:hAnsi="宋体" w:eastAsia="宋体" w:cs="宋体"/>
          <w:color w:val="000000"/>
          <w:sz w:val="24"/>
        </w:rPr>
      </w:r>
      <w:r/>
    </w:p>
    <w:p>
      <w:pPr>
        <w:pStyle w:val="1038"/>
        <w:ind w:firstLine="480"/>
        <w:rPr>
          <w:rFonts w:hint="eastAsia" w:ascii="宋体" w:hAnsi="宋体" w:eastAsia="宋体" w:cs="宋体"/>
          <w:color w:val="000000"/>
          <w:sz w:val="24"/>
        </w:rPr>
      </w:pPr>
      <w:r>
        <w:rPr>
          <w:rFonts w:hint="eastAsia" w:ascii="宋体" w:hAnsi="宋体" w:eastAsia="宋体" w:cs="宋体"/>
          <w:color w:val="000000"/>
          <w:sz w:val="24"/>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rPr>
      </w:r>
      <w:r/>
    </w:p>
    <w:p>
      <w:pPr>
        <w:pStyle w:val="1038"/>
        <w:ind w:firstLine="480"/>
        <w:rPr>
          <w:rFonts w:hint="eastAsia" w:ascii="宋体" w:hAnsi="宋体" w:eastAsia="宋体" w:cs="宋体"/>
          <w:color w:val="000000"/>
          <w:sz w:val="24"/>
        </w:rPr>
      </w:pPr>
      <w:r>
        <w:rPr>
          <w:rFonts w:hint="eastAsia" w:ascii="宋体" w:hAnsi="宋体" w:eastAsia="宋体" w:cs="宋体"/>
          <w:color w:val="000000"/>
          <w:sz w:val="24"/>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rPr>
      </w:r>
      <w:r/>
    </w:p>
    <w:p>
      <w:pPr>
        <w:pStyle w:val="1038"/>
        <w:ind w:firstLine="482"/>
        <w:rPr>
          <w:rFonts w:hint="eastAsia" w:ascii="宋体" w:hAnsi="宋体" w:eastAsia="宋体" w:cs="宋体"/>
          <w:b/>
          <w:bCs/>
          <w:color w:val="000000"/>
          <w:sz w:val="24"/>
        </w:rPr>
      </w:pPr>
      <w:r>
        <w:rPr>
          <w:rFonts w:hint="eastAsia" w:ascii="宋体" w:hAnsi="宋体" w:eastAsia="宋体" w:cs="宋体"/>
          <w:b/>
          <w:bCs/>
          <w:color w:val="000000"/>
          <w:sz w:val="24"/>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rPr>
      </w:r>
      <w:r/>
    </w:p>
    <w:p>
      <w:pPr>
        <w:pStyle w:val="1038"/>
        <w:ind w:firstLine="482"/>
        <w:rPr>
          <w:rFonts w:hint="eastAsia" w:ascii="宋体" w:hAnsi="宋体" w:eastAsia="宋体" w:cs="宋体"/>
          <w:b/>
          <w:bCs/>
          <w:color w:val="000000"/>
          <w:sz w:val="24"/>
        </w:rPr>
      </w:pPr>
      <w:r>
        <w:rPr>
          <w:rFonts w:hint="eastAsia" w:ascii="宋体" w:hAnsi="宋体" w:eastAsia="宋体" w:cs="宋体"/>
          <w:b/>
          <w:bCs/>
          <w:color w:val="000000"/>
          <w:sz w:val="24"/>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rPr>
      </w:r>
      <w:r/>
    </w:p>
    <w:p>
      <w:pPr>
        <w:pStyle w:val="1038"/>
        <w:ind w:firstLine="482"/>
        <w:rPr>
          <w:rFonts w:hint="eastAsia" w:ascii="宋体" w:hAnsi="宋体" w:eastAsia="宋体" w:cs="宋体"/>
          <w:color w:val="000000"/>
          <w:sz w:val="24"/>
        </w:rPr>
      </w:pPr>
      <w:r>
        <w:rPr>
          <w:rFonts w:hint="eastAsia" w:ascii="宋体" w:hAnsi="宋体" w:eastAsia="宋体" w:cs="宋体"/>
          <w:b/>
          <w:bCs/>
          <w:color w:val="000000"/>
          <w:sz w:val="24"/>
        </w:rPr>
        <w:t xml:space="preserve">6.在“货物中有无进口产品”栏后的“有”或“无”上打“√”，如果有进口设备，须填写货物名称。</w:t>
      </w:r>
      <w:r>
        <w:rPr>
          <w:rFonts w:hint="eastAsia" w:ascii="宋体" w:hAnsi="宋体" w:eastAsia="宋体" w:cs="宋体"/>
          <w:color w:val="000000"/>
          <w:sz w:val="24"/>
        </w:rPr>
      </w:r>
      <w:r/>
    </w:p>
    <w:p>
      <w:pPr>
        <w:pStyle w:val="1038"/>
        <w:ind w:firstLine="482"/>
        <w:rPr>
          <w:rFonts w:hint="eastAsia" w:ascii="宋体" w:hAnsi="宋体" w:eastAsia="宋体" w:cs="宋体"/>
          <w:b/>
          <w:bCs/>
          <w:color w:val="000000"/>
          <w:sz w:val="24"/>
        </w:rPr>
      </w:pPr>
      <w:r>
        <w:rPr>
          <w:rFonts w:hint="eastAsia" w:ascii="宋体" w:hAnsi="宋体" w:eastAsia="宋体" w:cs="宋体"/>
          <w:b/>
          <w:bCs/>
          <w:color w:val="000000"/>
          <w:sz w:val="24"/>
        </w:rPr>
        <w:t xml:space="preserve">7．如果不提供详细分项报价将视为没有实质性响应招标文件。</w:t>
      </w:r>
      <w:r>
        <w:rPr>
          <w:rFonts w:hint="eastAsia" w:ascii="宋体" w:hAnsi="宋体" w:eastAsia="宋体" w:cs="宋体"/>
          <w:b/>
          <w:bCs/>
          <w:color w:val="000000"/>
          <w:sz w:val="24"/>
        </w:rPr>
      </w:r>
      <w:r/>
    </w:p>
    <w:p>
      <w:pPr>
        <w:pStyle w:val="1038"/>
        <w:ind w:firstLine="480"/>
        <w:rPr>
          <w:rFonts w:hint="eastAsia" w:ascii="宋体" w:hAnsi="宋体" w:eastAsia="宋体" w:cs="宋体"/>
          <w:color w:val="000000"/>
          <w:sz w:val="24"/>
        </w:rPr>
      </w:pPr>
      <w:r>
        <w:rPr>
          <w:rFonts w:hint="eastAsia" w:ascii="宋体" w:hAnsi="宋体" w:eastAsia="宋体" w:cs="宋体"/>
          <w:color w:val="000000"/>
          <w:sz w:val="24"/>
        </w:rPr>
        <w:t xml:space="preserve">8.供应商对以上数据的真实性负责。</w:t>
      </w:r>
      <w:r>
        <w:rPr>
          <w:rFonts w:hint="eastAsia" w:ascii="宋体" w:hAnsi="宋体" w:eastAsia="宋体" w:cs="宋体"/>
          <w:color w:val="000000"/>
          <w:sz w:val="24"/>
        </w:rPr>
      </w:r>
      <w:r/>
    </w:p>
    <w:p>
      <w:pPr>
        <w:pStyle w:val="1038"/>
        <w:ind w:firstLine="480"/>
        <w:rPr>
          <w:rFonts w:hint="eastAsia" w:ascii="宋体" w:hAnsi="宋体" w:eastAsia="宋体" w:cs="宋体"/>
          <w:color w:val="000000"/>
          <w:sz w:val="24"/>
        </w:rPr>
      </w:pPr>
      <w:r>
        <w:rPr>
          <w:rFonts w:hint="eastAsia" w:ascii="宋体" w:hAnsi="宋体" w:eastAsia="宋体" w:cs="宋体"/>
          <w:color w:val="000000"/>
          <w:sz w:val="24"/>
        </w:rPr>
        <w:t xml:space="preserve">9.采购人或采购代理机构有权将以上内容进行公示。</w:t>
      </w:r>
      <w:r>
        <w:rPr>
          <w:rFonts w:hint="eastAsia" w:ascii="宋体" w:hAnsi="宋体" w:eastAsia="宋体" w:cs="宋体"/>
          <w:color w:val="000000"/>
          <w:sz w:val="24"/>
        </w:rPr>
      </w:r>
      <w:r/>
    </w:p>
    <w:p>
      <w:pPr>
        <w:pStyle w:val="1038"/>
        <w:rPr>
          <w:rFonts w:hint="eastAsia" w:ascii="宋体" w:hAnsi="宋体" w:eastAsia="宋体" w:cs="宋体"/>
          <w:color w:val="000000"/>
        </w:rPr>
      </w:pPr>
      <w:r>
        <w:rPr>
          <w:rFonts w:hint="eastAsia" w:ascii="宋体" w:hAnsi="宋体" w:eastAsia="宋体" w:cs="宋体"/>
          <w:color w:val="000000"/>
        </w:rPr>
      </w:r>
      <w:r/>
    </w:p>
    <w:p>
      <w:pPr>
        <w:pStyle w:val="1038"/>
        <w:jc w:val="center"/>
        <w:widowControl/>
        <w:rPr>
          <w:rFonts w:hint="eastAsia" w:ascii="宋体" w:hAnsi="宋体" w:eastAsia="宋体" w:cs="宋体"/>
          <w:b/>
          <w:color w:val="000000"/>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rPr>
      </w:r>
      <w:r/>
    </w:p>
    <w:p>
      <w:pPr>
        <w:pStyle w:val="1038"/>
        <w:jc w:val="center"/>
        <w:widowControl/>
        <w:rPr>
          <w:rFonts w:hint="eastAsia" w:ascii="宋体" w:hAnsi="宋体" w:eastAsia="宋体" w:cs="宋体"/>
          <w:b/>
          <w:color w:val="000000"/>
          <w:sz w:val="24"/>
        </w:rPr>
      </w:pPr>
      <w:r>
        <w:rPr>
          <w:rFonts w:hint="eastAsia" w:ascii="宋体" w:hAnsi="宋体" w:eastAsia="宋体" w:cs="宋体"/>
          <w:b/>
          <w:color w:val="000000"/>
          <w:sz w:val="24"/>
        </w:rPr>
        <w:t xml:space="preserve">（3）产品（含备品备件）配置清单（格式）</w:t>
      </w:r>
      <w:r>
        <w:rPr>
          <w:rFonts w:hint="eastAsia" w:ascii="宋体" w:hAnsi="宋体" w:eastAsia="宋体" w:cs="宋体"/>
          <w:b/>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1"/>
        <w:gridCol w:w="2310"/>
        <w:gridCol w:w="1167"/>
        <w:gridCol w:w="841"/>
        <w:gridCol w:w="841"/>
        <w:gridCol w:w="841"/>
        <w:gridCol w:w="3243"/>
      </w:tblGrid>
      <w:tr>
        <w:trPr>
          <w:trHeight w:val="604"/>
        </w:trPr>
        <w:tc>
          <w:tcPr>
            <w:tcW w:w="611" w:type="dxa"/>
            <w:vAlign w:val="center"/>
            <w:textDirection w:val="lrTb"/>
            <w:noWrap w:val="false"/>
          </w:tcPr>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310" w:type="dxa"/>
            <w:vAlign w:val="center"/>
            <w:textDirection w:val="lrTb"/>
            <w:noWrap w:val="false"/>
          </w:tcPr>
          <w:p>
            <w:pPr>
              <w:pStyle w:val="1038"/>
              <w:ind w:right="-5"/>
              <w:jc w:val="center"/>
              <w:spacing w:line="240" w:lineRule="auto"/>
              <w:tabs>
                <w:tab w:val="left" w:pos="972" w:leader="none"/>
              </w:tabs>
              <w:rPr>
                <w:rFonts w:hint="eastAsia" w:ascii="宋体" w:hAnsi="宋体" w:eastAsia="宋体" w:cs="宋体"/>
                <w:color w:val="000000"/>
                <w:szCs w:val="21"/>
              </w:rPr>
            </w:pPr>
            <w:r>
              <w:rPr>
                <w:rFonts w:hint="eastAsia" w:ascii="宋体" w:hAnsi="宋体" w:eastAsia="宋体" w:cs="宋体"/>
                <w:color w:val="000000"/>
                <w:szCs w:val="21"/>
              </w:rPr>
              <w:t xml:space="preserve">产品（含备品备件）名称</w:t>
            </w:r>
            <w:r>
              <w:rPr>
                <w:rFonts w:hint="eastAsia" w:ascii="宋体" w:hAnsi="宋体" w:eastAsia="宋体" w:cs="宋体"/>
                <w:color w:val="000000"/>
                <w:szCs w:val="21"/>
              </w:rPr>
            </w:r>
            <w:r/>
          </w:p>
        </w:tc>
        <w:tc>
          <w:tcPr>
            <w:tcW w:w="1167" w:type="dxa"/>
            <w:vAlign w:val="center"/>
            <w:textDirection w:val="lrTb"/>
            <w:noWrap w:val="false"/>
          </w:tcPr>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型号及规格</w:t>
            </w:r>
            <w:r>
              <w:rPr>
                <w:rFonts w:hint="eastAsia" w:ascii="宋体" w:hAnsi="宋体" w:eastAsia="宋体" w:cs="宋体"/>
                <w:color w:val="000000"/>
                <w:szCs w:val="21"/>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数量</w:t>
            </w:r>
            <w:r>
              <w:rPr>
                <w:rFonts w:hint="eastAsia" w:ascii="宋体" w:hAnsi="宋体" w:eastAsia="宋体" w:cs="宋体"/>
                <w:color w:val="000000"/>
                <w:szCs w:val="21"/>
              </w:rPr>
            </w:r>
            <w:r/>
          </w:p>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（台）</w:t>
            </w:r>
            <w:r>
              <w:rPr>
                <w:rFonts w:hint="eastAsia" w:ascii="宋体" w:hAnsi="宋体" w:eastAsia="宋体" w:cs="宋体"/>
                <w:color w:val="000000"/>
                <w:szCs w:val="21"/>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单价</w:t>
            </w:r>
            <w:r>
              <w:rPr>
                <w:rFonts w:hint="eastAsia" w:ascii="宋体" w:hAnsi="宋体" w:eastAsia="宋体" w:cs="宋体"/>
                <w:color w:val="000000"/>
                <w:szCs w:val="21"/>
              </w:rPr>
            </w:r>
            <w:r/>
          </w:p>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（元）</w:t>
            </w:r>
            <w:r>
              <w:rPr>
                <w:rFonts w:hint="eastAsia" w:ascii="宋体" w:hAnsi="宋体" w:eastAsia="宋体" w:cs="宋体"/>
                <w:color w:val="000000"/>
                <w:szCs w:val="21"/>
              </w:rPr>
            </w:r>
            <w:r/>
          </w:p>
        </w:tc>
        <w:tc>
          <w:tcPr>
            <w:tcW w:w="841" w:type="dxa"/>
            <w:vAlign w:val="center"/>
            <w:textDirection w:val="lrTb"/>
            <w:noWrap w:val="false"/>
          </w:tcPr>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小计（元）</w:t>
            </w:r>
            <w:r>
              <w:rPr>
                <w:rFonts w:hint="eastAsia" w:ascii="宋体" w:hAnsi="宋体" w:eastAsia="宋体" w:cs="宋体"/>
                <w:color w:val="000000"/>
                <w:szCs w:val="21"/>
              </w:rPr>
            </w:r>
            <w:r/>
          </w:p>
        </w:tc>
        <w:tc>
          <w:tcPr>
            <w:tcW w:w="3243" w:type="dxa"/>
            <w:vAlign w:val="center"/>
            <w:textDirection w:val="lrTb"/>
            <w:noWrap w:val="false"/>
          </w:tcPr>
          <w:p>
            <w:pPr>
              <w:pStyle w:val="1038"/>
              <w:ind w:right="-5"/>
              <w:jc w:val="center"/>
              <w:spacing w:line="240" w:lineRule="auto"/>
              <w:rPr>
                <w:rFonts w:hint="eastAsia" w:ascii="宋体" w:hAnsi="宋体" w:eastAsia="宋体" w:cs="宋体"/>
                <w:color w:val="000000"/>
                <w:szCs w:val="21"/>
              </w:rPr>
            </w:pPr>
            <w:r>
              <w:rPr>
                <w:rFonts w:hint="eastAsia" w:ascii="宋体" w:hAnsi="宋体" w:eastAsia="宋体" w:cs="宋体"/>
                <w:color w:val="000000"/>
                <w:szCs w:val="21"/>
              </w:rPr>
              <w:t xml:space="preserve">备注（如外购请注明产地、制造商）</w:t>
            </w:r>
            <w:r>
              <w:rPr>
                <w:rFonts w:hint="eastAsia" w:ascii="宋体" w:hAnsi="宋体" w:eastAsia="宋体" w:cs="宋体"/>
                <w:color w:val="000000"/>
                <w:szCs w:val="21"/>
              </w:rPr>
            </w:r>
            <w:r/>
          </w:p>
        </w:tc>
      </w:tr>
      <w:tr>
        <w:trPr>
          <w:trHeight w:val="628"/>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8</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9</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10</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11</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12</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13</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r>
        <w:trPr>
          <w:trHeight w:val="604"/>
        </w:trPr>
        <w:tc>
          <w:tcPr>
            <w:tcW w:w="611" w:type="dxa"/>
            <w:vAlign w:val="center"/>
            <w:textDirection w:val="lrTb"/>
            <w:noWrap w:val="false"/>
          </w:tcPr>
          <w:p>
            <w:pPr>
              <w:pStyle w:val="1038"/>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14</w:t>
            </w:r>
            <w:r>
              <w:rPr>
                <w:rFonts w:hint="eastAsia" w:ascii="宋体" w:hAnsi="宋体" w:eastAsia="宋体" w:cs="宋体"/>
                <w:color w:val="000000"/>
                <w:sz w:val="24"/>
              </w:rPr>
            </w:r>
            <w:r/>
          </w:p>
        </w:tc>
        <w:tc>
          <w:tcPr>
            <w:tcW w:w="2310" w:type="dxa"/>
            <w:vAlign w:val="center"/>
            <w:textDirection w:val="lrTb"/>
            <w:noWrap w:val="false"/>
          </w:tcPr>
          <w:p>
            <w:pPr>
              <w:pStyle w:val="1038"/>
              <w:jc w:val="center"/>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7"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841" w:type="dxa"/>
            <w:vAlign w:val="top"/>
            <w:textDirection w:val="lrTb"/>
            <w:noWrap w:val="false"/>
          </w:tcPr>
          <w:p>
            <w:pPr>
              <w:pStyle w:val="1038"/>
              <w:ind w:right="-5"/>
              <w:jc w:val="center"/>
              <w:rPr>
                <w:rFonts w:hint="eastAsia" w:ascii="宋体" w:hAnsi="宋体" w:eastAsia="宋体" w:cs="宋体"/>
                <w:b/>
                <w:color w:val="000000"/>
                <w:szCs w:val="21"/>
              </w:rPr>
            </w:pPr>
            <w:r>
              <w:rPr>
                <w:rFonts w:hint="eastAsia" w:ascii="宋体" w:hAnsi="宋体" w:eastAsia="宋体" w:cs="宋体"/>
                <w:b/>
                <w:color w:val="000000"/>
                <w:szCs w:val="21"/>
              </w:rPr>
            </w:r>
            <w:r/>
          </w:p>
        </w:tc>
        <w:tc>
          <w:tcPr>
            <w:tcW w:w="3243" w:type="dxa"/>
            <w:vAlign w:val="top"/>
            <w:textDirection w:val="lrTb"/>
            <w:noWrap w:val="false"/>
          </w:tcPr>
          <w:p>
            <w:pPr>
              <w:pStyle w:val="1038"/>
              <w:ind w:right="-5"/>
              <w:rPr>
                <w:rFonts w:hint="eastAsia" w:ascii="宋体" w:hAnsi="宋体" w:eastAsia="宋体" w:cs="宋体"/>
                <w:b/>
                <w:color w:val="000000"/>
                <w:szCs w:val="21"/>
              </w:rPr>
            </w:pPr>
            <w:r>
              <w:rPr>
                <w:rFonts w:hint="eastAsia" w:ascii="宋体" w:hAnsi="宋体" w:eastAsia="宋体" w:cs="宋体"/>
                <w:b/>
                <w:color w:val="000000"/>
                <w:szCs w:val="21"/>
              </w:rPr>
            </w:r>
            <w:r/>
          </w:p>
        </w:tc>
      </w:tr>
    </w:tbl>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38"/>
        <w:jc w:val="center"/>
        <w:widowControl/>
        <w:rPr>
          <w:rFonts w:hint="eastAsia" w:ascii="宋体" w:hAnsi="宋体" w:eastAsia="宋体" w:cs="宋体"/>
          <w:b/>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rPr>
      </w:r>
      <w:r/>
    </w:p>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（4）中小企业声明函（货物类）</w:t>
      </w:r>
      <w:r>
        <w:rPr>
          <w:rFonts w:hint="eastAsia" w:ascii="宋体" w:hAnsi="宋体" w:eastAsia="宋体" w:cs="宋体"/>
          <w:b/>
          <w:color w:val="000000"/>
          <w:sz w:val="24"/>
          <w:szCs w:val="24"/>
        </w:rPr>
      </w:r>
      <w:r/>
    </w:p>
    <w:p>
      <w:pPr>
        <w:pStyle w:val="1038"/>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采购活动，</w:t>
      </w:r>
      <w:r>
        <w:rPr>
          <w:rFonts w:hint="eastAsia" w:ascii="宋体" w:hAnsi="宋体" w:eastAsia="宋体" w:cs="宋体"/>
          <w:b/>
          <w:bCs/>
          <w:color w:val="000000"/>
          <w:sz w:val="24"/>
        </w:rPr>
        <w:t xml:space="preserve">提供的货物全部由符合政策要求的中小企业制造</w:t>
      </w:r>
      <w:r>
        <w:rPr>
          <w:rFonts w:hint="eastAsia" w:ascii="宋体" w:hAnsi="宋体" w:eastAsia="宋体" w:cs="宋体"/>
          <w:color w:val="000000"/>
          <w:sz w:val="24"/>
        </w:rPr>
        <w:t xml:space="preserve">。相关企业（含联合体中的中小企业、签订分包意向协议的中小企业）的具体情况如下： </w:t>
      </w:r>
      <w:r>
        <w:rPr>
          <w:rFonts w:hint="eastAsia" w:ascii="宋体" w:hAnsi="宋体" w:eastAsia="宋体" w:cs="宋体"/>
          <w:color w:val="000000"/>
          <w:sz w:val="24"/>
        </w:rPr>
      </w:r>
      <w:r/>
    </w:p>
    <w:p>
      <w:pPr>
        <w:pStyle w:val="1038"/>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（招标文件中明确的所属行业） </w:t>
      </w:r>
      <w:r>
        <w:rPr>
          <w:rFonts w:hint="eastAsia" w:ascii="宋体" w:hAnsi="宋体" w:eastAsia="宋体" w:cs="宋体"/>
          <w:color w:val="000000"/>
          <w:sz w:val="24"/>
        </w:rPr>
        <w:t xml:space="preserve">行业；制造商为（企业名称），从业人</w:t>
      </w:r>
      <w:r>
        <w:rPr>
          <w:rFonts w:hint="eastAsia" w:ascii="宋体" w:hAnsi="宋体" w:eastAsia="宋体" w:cs="宋体"/>
          <w:color w:val="000000"/>
          <w:sz w:val="24"/>
          <w:u w:val="single"/>
        </w:rPr>
        <w:t xml:space="preserve">员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38"/>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，属于（招标文件中明确的所属行业） 行业；制造商为（企业名称），从业人</w:t>
      </w:r>
      <w:r>
        <w:rPr>
          <w:rFonts w:hint="eastAsia" w:ascii="宋体" w:hAnsi="宋体" w:eastAsia="宋体" w:cs="宋体"/>
          <w:color w:val="000000"/>
          <w:sz w:val="24"/>
          <w:u w:val="single"/>
        </w:rPr>
        <w:t xml:space="preserve">员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38"/>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38"/>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rPr>
      </w:r>
      <w:r/>
    </w:p>
    <w:p>
      <w:pPr>
        <w:pStyle w:val="1038"/>
        <w:ind w:firstLine="482"/>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本企业对上述声明内容的真实性负责。如有虚假，将依法承担相应责任。 </w:t>
      </w:r>
      <w:r>
        <w:rPr>
          <w:rFonts w:hint="eastAsia" w:ascii="宋体" w:hAnsi="宋体" w:eastAsia="宋体" w:cs="宋体"/>
          <w:b/>
          <w:bCs/>
          <w:color w:val="000000"/>
          <w:sz w:val="24"/>
        </w:rPr>
      </w:r>
      <w:r/>
    </w:p>
    <w:p>
      <w:pPr>
        <w:pStyle w:val="1038"/>
        <w:ind w:firstLine="420"/>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38"/>
        <w:ind w:firstLine="42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投标人名称（公章）：</w:t>
      </w:r>
      <w:r>
        <w:rPr>
          <w:rFonts w:hint="eastAsia" w:ascii="宋体" w:hAnsi="宋体" w:eastAsia="宋体" w:cs="宋体"/>
          <w:color w:val="000000"/>
          <w:sz w:val="24"/>
        </w:rPr>
      </w:r>
      <w:r/>
    </w:p>
    <w:p>
      <w:pPr>
        <w:pStyle w:val="1038"/>
        <w:ind w:firstLine="420"/>
        <w:spacing w:line="440" w:lineRule="exact"/>
        <w:rPr>
          <w:rFonts w:hint="eastAsia" w:ascii="宋体" w:hAnsi="宋体" w:eastAsia="宋体" w:cs="宋体"/>
          <w:color w:val="000000"/>
          <w:sz w:val="32"/>
          <w:szCs w:val="32"/>
        </w:rPr>
      </w:pPr>
      <w:r>
        <w:rPr>
          <w:rFonts w:hint="eastAsia" w:ascii="宋体" w:hAnsi="宋体" w:eastAsia="宋体" w:cs="宋体"/>
          <w:color w:val="000000"/>
          <w:sz w:val="24"/>
        </w:rPr>
        <w:t xml:space="preserve">日期：  年  月  日</w:t>
      </w:r>
      <w:r>
        <w:rPr>
          <w:rFonts w:hint="eastAsia" w:ascii="宋体" w:hAnsi="宋体" w:eastAsia="宋体" w:cs="宋体"/>
          <w:color w:val="000000"/>
          <w:sz w:val="32"/>
          <w:szCs w:val="32"/>
        </w:rPr>
      </w:r>
      <w:r/>
    </w:p>
    <w:p>
      <w:pPr>
        <w:pStyle w:val="1038"/>
        <w:rPr>
          <w:rFonts w:hint="eastAsia" w:ascii="宋体" w:hAnsi="宋体" w:eastAsia="宋体" w:cs="宋体"/>
          <w:b/>
          <w:color w:val="000000"/>
          <w:szCs w:val="21"/>
        </w:rPr>
      </w:pPr>
      <w:r>
        <w:rPr>
          <w:rFonts w:hint="eastAsia" w:ascii="宋体" w:hAnsi="宋体" w:eastAsia="宋体" w:cs="宋体"/>
          <w:b/>
          <w:color w:val="000000"/>
          <w:szCs w:val="21"/>
        </w:rPr>
      </w:r>
      <w:r/>
    </w:p>
    <w:p>
      <w:pPr>
        <w:pStyle w:val="1038"/>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注：1、从业人员、营业收入、资产总额填报上一年度数据，无上一年度数据的新成立企业可不填报。</w:t>
      </w:r>
      <w:r>
        <w:rPr>
          <w:rFonts w:hint="eastAsia" w:ascii="宋体" w:hAnsi="宋体" w:eastAsia="宋体" w:cs="宋体"/>
          <w:b/>
          <w:color w:val="000000"/>
          <w:sz w:val="22"/>
          <w:szCs w:val="22"/>
        </w:rPr>
      </w:r>
      <w:r/>
    </w:p>
    <w:p>
      <w:pPr>
        <w:pStyle w:val="1038"/>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2、上述“相关企业”含联合体中的中小企业、签订分包意向协议的中小企业；</w:t>
      </w:r>
      <w:r>
        <w:rPr>
          <w:rFonts w:hint="eastAsia" w:ascii="宋体" w:hAnsi="宋体" w:eastAsia="宋体" w:cs="宋体"/>
          <w:b/>
          <w:color w:val="000000"/>
          <w:sz w:val="22"/>
          <w:szCs w:val="22"/>
        </w:rPr>
      </w:r>
      <w:r/>
    </w:p>
    <w:p>
      <w:pPr>
        <w:pStyle w:val="1038"/>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rPr>
      </w:r>
      <w:r/>
    </w:p>
    <w:p>
      <w:pPr>
        <w:pStyle w:val="1038"/>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rPr>
      </w:r>
      <w:r/>
    </w:p>
    <w:p>
      <w:pPr>
        <w:pStyle w:val="1038"/>
        <w:jc w:val="center"/>
        <w:widowControl/>
        <w:rPr>
          <w:rFonts w:hint="eastAsia" w:ascii="宋体" w:hAnsi="宋体" w:eastAsia="宋体" w:cs="宋体"/>
          <w:b/>
          <w:color w:val="000000"/>
          <w:sz w:val="22"/>
          <w:szCs w:val="22"/>
        </w:rPr>
      </w:pPr>
      <w:r>
        <w:rPr>
          <w:rFonts w:hint="eastAsia" w:ascii="宋体" w:hAnsi="宋体" w:eastAsia="宋体" w:cs="宋体"/>
          <w:b/>
          <w:color w:val="000000"/>
          <w:sz w:val="22"/>
          <w:szCs w:val="22"/>
        </w:rPr>
      </w:r>
      <w:r/>
    </w:p>
    <w:p>
      <w:pPr>
        <w:pStyle w:val="1038"/>
        <w:jc w:val="center"/>
        <w:widowControl/>
        <w:rPr>
          <w:rFonts w:hint="eastAsia" w:ascii="宋体" w:hAnsi="宋体" w:eastAsia="宋体" w:cs="宋体"/>
          <w:b/>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rPr>
      </w:r>
      <w:r/>
    </w:p>
    <w:p>
      <w:pPr>
        <w:pStyle w:val="1038"/>
        <w:ind w:firstLine="482"/>
        <w:jc w:val="center"/>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b/>
          <w:bCs/>
          <w:color w:val="000000"/>
          <w:sz w:val="24"/>
          <w:szCs w:val="28"/>
        </w:rPr>
        <w:t xml:space="preserve">附：</w:t>
      </w:r>
      <w:r>
        <w:rPr>
          <w:rFonts w:hint="eastAsia" w:ascii="仿宋" w:hAnsi="仿宋" w:eastAsia="仿宋" w:cs="仿宋"/>
          <w:color w:val="000000"/>
          <w:sz w:val="24"/>
          <w:szCs w:val="28"/>
        </w:rPr>
        <w:t xml:space="preserve">中小企业划型标准规定</w:t>
      </w:r>
      <w:r>
        <w:rPr>
          <w:rFonts w:hint="eastAsia" w:ascii="仿宋" w:hAnsi="仿宋" w:eastAsia="仿宋" w:cs="仿宋"/>
          <w:color w:val="000000"/>
        </w:rPr>
      </w:r>
      <w:r/>
    </w:p>
    <w:p>
      <w:pPr>
        <w:pStyle w:val="1038"/>
        <w:ind w:firstLine="420"/>
        <w:jc w:val="center"/>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工信部联企业〔2011〕300号</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一、根据《中华人民共和国中小企业促进法》和《国务院关于进一步促进中小企业发展的若干意见》（国发〔2009〕36号)，制定本规定。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二、中小企业划分为中型、小型、微型三种类型，具体标准根据企业从业人员、营业收入、资产总额等指标，结合行业特点制定。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四、各行业划型标准为：</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rPr>
      </w:r>
      <w:r/>
    </w:p>
    <w:p>
      <w:pPr>
        <w:pStyle w:val="1038"/>
        <w:ind w:firstLine="422"/>
        <w:spacing w:before="0" w:after="0" w:line="336" w:lineRule="auto"/>
        <w:shd w:val="clear" w:color="auto" w:fill="ffffff"/>
        <w:widowControl/>
        <w:rPr>
          <w:rFonts w:hint="eastAsia" w:ascii="仿宋" w:hAnsi="仿宋" w:eastAsia="仿宋" w:cs="仿宋"/>
          <w:b/>
          <w:bCs/>
          <w:color w:val="000000"/>
        </w:rPr>
      </w:pPr>
      <w:r>
        <w:rPr>
          <w:rFonts w:hint="eastAsia" w:ascii="仿宋" w:hAnsi="仿宋" w:eastAsia="仿宋" w:cs="仿宋"/>
          <w:b/>
          <w:bCs/>
          <w:color w:val="000000"/>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五、企业类型的划分以统计部门的统计数据为依据。</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pPr>
      <w:r>
        <w:rPr>
          <w:rFonts w:hint="eastAsia" w:ascii="仿宋" w:hAnsi="仿宋" w:eastAsia="仿宋" w:cs="仿宋"/>
          <w:color w:val="000000"/>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rPr>
      </w:r>
      <w:r/>
    </w:p>
    <w:p>
      <w:pPr>
        <w:pStyle w:val="1038"/>
        <w:ind w:firstLine="420"/>
        <w:spacing w:before="0" w:after="0" w:line="336" w:lineRule="auto"/>
        <w:shd w:val="clear" w:color="auto" w:fill="ffffff"/>
        <w:widowControl/>
        <w:rPr>
          <w:rFonts w:hint="eastAsia" w:ascii="仿宋" w:hAnsi="仿宋" w:eastAsia="仿宋" w:cs="仿宋"/>
          <w:color w:val="00000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rPr>
      </w:r>
      <w:r/>
    </w:p>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（5）残疾人福利性单位声明函（如需）</w:t>
      </w:r>
      <w:r>
        <w:rPr>
          <w:rFonts w:hint="eastAsia" w:ascii="宋体" w:hAnsi="宋体" w:eastAsia="宋体" w:cs="宋体"/>
          <w:b/>
          <w:color w:val="000000"/>
          <w:sz w:val="24"/>
          <w:szCs w:val="24"/>
        </w:rPr>
      </w:r>
      <w:r/>
    </w:p>
    <w:p>
      <w:pPr>
        <w:pStyle w:val="1038"/>
        <w:ind w:firstLine="42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rPr>
        <w:t xml:space="preserve">本</w:t>
      </w:r>
      <w:r>
        <w:rPr>
          <w:rFonts w:hint="eastAsia" w:ascii="宋体" w:hAnsi="宋体" w:eastAsia="宋体" w:cs="宋体"/>
          <w:color w:val="000000"/>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rPr>
      </w:r>
      <w:r/>
    </w:p>
    <w:p>
      <w:pPr>
        <w:pStyle w:val="1038"/>
        <w:ind w:firstLine="482"/>
        <w:spacing w:before="0"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本单位对上述声明的真实性负责。如有虚假，将依法承担相应责任。</w:t>
      </w:r>
      <w:r>
        <w:rPr>
          <w:rFonts w:hint="eastAsia" w:ascii="宋体" w:hAnsi="宋体" w:eastAsia="宋体" w:cs="宋体"/>
          <w:b/>
          <w:bCs/>
          <w:color w:val="000000"/>
          <w:sz w:val="24"/>
          <w:szCs w:val="24"/>
        </w:rPr>
      </w:r>
      <w:r/>
    </w:p>
    <w:p>
      <w:pPr>
        <w:pStyle w:val="1038"/>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rPr>
      </w:r>
      <w:r/>
    </w:p>
    <w:p>
      <w:pPr>
        <w:pStyle w:val="1038"/>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86"/>
        <w:rPr>
          <w:rFonts w:hint="eastAsia" w:ascii="宋体" w:hAnsi="宋体" w:eastAsia="宋体" w:cs="宋体"/>
          <w:color w:val="000000"/>
        </w:rPr>
      </w:pPr>
      <w:r>
        <w:rPr>
          <w:rFonts w:hint="eastAsia" w:ascii="宋体" w:hAnsi="宋体" w:eastAsia="宋体" w:cs="宋体"/>
          <w:color w:val="000000"/>
        </w:rPr>
      </w:r>
      <w:r/>
    </w:p>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（6）属于监狱企业的证明文件（如需）</w:t>
      </w:r>
      <w:r>
        <w:rPr>
          <w:rFonts w:hint="eastAsia" w:ascii="宋体" w:hAnsi="宋体" w:eastAsia="宋体" w:cs="宋体"/>
          <w:b/>
          <w:color w:val="000000"/>
          <w:sz w:val="24"/>
          <w:szCs w:val="24"/>
        </w:rPr>
      </w:r>
      <w:r/>
    </w:p>
    <w:p>
      <w:pPr>
        <w:pStyle w:val="1038"/>
        <w:ind w:firstLine="480"/>
        <w:spacing w:before="0" w:after="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50"/>
        <w:ind w:left="0"/>
        <w:rPr>
          <w:rFonts w:hint="eastAsia" w:ascii="宋体" w:hAnsi="宋体" w:cs="宋体"/>
          <w:color w:val="000000"/>
        </w:rPr>
      </w:pPr>
      <w:r>
        <w:rPr>
          <w:rFonts w:hint="eastAsia" w:ascii="宋体" w:hAnsi="宋体" w:cs="宋体"/>
          <w:color w:val="000000"/>
        </w:rPr>
      </w:r>
      <w:r/>
    </w:p>
    <w:p>
      <w:pPr>
        <w:pStyle w:val="1038"/>
        <w:jc w:val="center"/>
        <w:rPr>
          <w:rFonts w:hint="eastAsia" w:ascii="宋体" w:hAnsi="宋体" w:eastAsia="宋体" w:cs="宋体"/>
          <w:color w:val="000000"/>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213"/>
      <w:r/>
      <w:bookmarkEnd w:id="214"/>
      <w:r/>
      <w:bookmarkEnd w:id="215"/>
      <w:r/>
      <w:bookmarkStart w:id="216" w:name="_Toc5019"/>
      <w:r/>
      <w:bookmarkStart w:id="217" w:name="_Toc788"/>
      <w:r/>
      <w:bookmarkStart w:id="218" w:name="_Toc27811"/>
      <w:r>
        <w:rPr>
          <w:rFonts w:hint="eastAsia" w:ascii="宋体" w:hAnsi="宋体" w:eastAsia="宋体" w:cs="宋体"/>
          <w:color w:val="000000"/>
          <w:sz w:val="32"/>
          <w:szCs w:val="32"/>
        </w:rPr>
      </w:r>
      <w:r/>
    </w:p>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（7）关于符合本国产品标准的声明函</w:t>
      </w:r>
      <w:r>
        <w:rPr>
          <w:rFonts w:hint="eastAsia" w:ascii="宋体" w:hAnsi="宋体" w:eastAsia="宋体" w:cs="宋体"/>
          <w:b/>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（填写产品名称1）</w:t>
      </w:r>
      <w:r>
        <w:rPr>
          <w:rFonts w:hint="eastAsia" w:ascii="宋体" w:hAnsi="宋体" w:eastAsia="宋体" w:cs="宋体"/>
          <w:color w:val="000000"/>
          <w:sz w:val="24"/>
          <w:szCs w:val="24"/>
        </w:rPr>
        <w:t xml:space="preserve">，生产厂为</w:t>
      </w:r>
      <w:r>
        <w:rPr>
          <w:rFonts w:hint="eastAsia" w:ascii="宋体" w:hAnsi="宋体" w:eastAsia="宋体" w:cs="宋体"/>
          <w:color w:val="000000"/>
          <w:sz w:val="24"/>
          <w:szCs w:val="24"/>
          <w:u w:val="single"/>
        </w:rPr>
        <w:t xml:space="preserve">（填写厂名）</w:t>
      </w:r>
      <w:r>
        <w:rPr>
          <w:rFonts w:hint="eastAsia" w:ascii="宋体" w:hAnsi="宋体" w:eastAsia="宋体" w:cs="宋体"/>
          <w:color w:val="000000"/>
          <w:sz w:val="24"/>
          <w:szCs w:val="24"/>
        </w:rPr>
        <w:t xml:space="preserve">，厂址为</w:t>
      </w:r>
      <w:r>
        <w:rPr>
          <w:rFonts w:hint="eastAsia" w:ascii="宋体" w:hAnsi="宋体" w:eastAsia="宋体" w:cs="宋体"/>
          <w:color w:val="000000"/>
          <w:sz w:val="24"/>
          <w:szCs w:val="24"/>
          <w:u w:val="single"/>
        </w:rPr>
        <w:t xml:space="preserve">（填写生产厂址）</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（填写产品名称1）</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color w:val="000000"/>
          <w:sz w:val="24"/>
          <w:szCs w:val="24"/>
          <w:u w:val="single"/>
        </w:rPr>
        <w:t xml:space="preserve">（规定比例，填写比例）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（填写产品名称1）</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（填写关键组件）</w:t>
      </w:r>
      <w:r>
        <w:rPr>
          <w:rFonts w:hint="eastAsia" w:ascii="宋体" w:hAnsi="宋体" w:eastAsia="宋体" w:cs="宋体"/>
          <w:color w:val="000000"/>
          <w:sz w:val="24"/>
          <w:szCs w:val="24"/>
        </w:rPr>
        <w:t xml:space="preserve">在中国境内生产。</w:t>
      </w:r>
      <w:r>
        <w:rPr>
          <w:rFonts w:hint="eastAsia" w:ascii="宋体" w:hAnsi="宋体" w:eastAsia="宋体" w:cs="宋体"/>
          <w:color w:val="000000"/>
          <w:sz w:val="24"/>
          <w:szCs w:val="24"/>
          <w:u w:val="single"/>
        </w:rPr>
        <w:t xml:space="preserve">（填写产品名称1）</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（填写关键工序）</w:t>
      </w:r>
      <w:r>
        <w:rPr>
          <w:rFonts w:hint="eastAsia" w:ascii="宋体" w:hAnsi="宋体" w:eastAsia="宋体" w:cs="宋体"/>
          <w:color w:val="000000"/>
          <w:sz w:val="24"/>
          <w:szCs w:val="24"/>
        </w:rPr>
        <w:t xml:space="preserve">在中国境内完成。</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（填写产品名称2）</w:t>
      </w:r>
      <w:r>
        <w:rPr>
          <w:rFonts w:hint="eastAsia" w:ascii="宋体" w:hAnsi="宋体" w:eastAsia="宋体" w:cs="宋体"/>
          <w:color w:val="000000"/>
          <w:sz w:val="24"/>
          <w:szCs w:val="24"/>
        </w:rPr>
        <w:t xml:space="preserve">，生产厂为</w:t>
      </w:r>
      <w:r>
        <w:rPr>
          <w:rFonts w:hint="eastAsia" w:ascii="宋体" w:hAnsi="宋体" w:eastAsia="宋体" w:cs="宋体"/>
          <w:color w:val="000000"/>
          <w:sz w:val="24"/>
          <w:szCs w:val="24"/>
          <w:u w:val="single"/>
        </w:rPr>
        <w:t xml:space="preserve">（填写厂名）</w:t>
      </w:r>
      <w:r>
        <w:rPr>
          <w:rFonts w:hint="eastAsia" w:ascii="宋体" w:hAnsi="宋体" w:eastAsia="宋体" w:cs="宋体"/>
          <w:color w:val="000000"/>
          <w:sz w:val="24"/>
          <w:szCs w:val="24"/>
        </w:rPr>
        <w:t xml:space="preserve">，厂址为</w:t>
      </w:r>
      <w:r>
        <w:rPr>
          <w:rFonts w:hint="eastAsia" w:ascii="宋体" w:hAnsi="宋体" w:eastAsia="宋体" w:cs="宋体"/>
          <w:color w:val="000000"/>
          <w:sz w:val="24"/>
          <w:szCs w:val="24"/>
          <w:u w:val="single"/>
        </w:rPr>
        <w:t xml:space="preserve">（填写生产厂址）</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（填写产品名称2）</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color w:val="000000"/>
          <w:sz w:val="24"/>
          <w:szCs w:val="24"/>
          <w:u w:val="single"/>
        </w:rPr>
        <w:t xml:space="preserve">（规定比例，填写比例）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（填写产品名称2）</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（填写关键组件）</w:t>
      </w:r>
      <w:r>
        <w:rPr>
          <w:rFonts w:hint="eastAsia" w:ascii="宋体" w:hAnsi="宋体" w:eastAsia="宋体" w:cs="宋体"/>
          <w:color w:val="000000"/>
          <w:sz w:val="24"/>
          <w:szCs w:val="24"/>
        </w:rPr>
        <w:t xml:space="preserve">在中国境内生产。</w:t>
      </w:r>
      <w:r>
        <w:rPr>
          <w:rFonts w:hint="eastAsia" w:ascii="宋体" w:hAnsi="宋体" w:eastAsia="宋体" w:cs="宋体"/>
          <w:color w:val="000000"/>
          <w:sz w:val="24"/>
          <w:szCs w:val="24"/>
          <w:u w:val="single"/>
        </w:rPr>
        <w:t xml:space="preserve">（填写产品名称2）</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（填写关键工序）</w:t>
      </w:r>
      <w:r>
        <w:rPr>
          <w:rFonts w:hint="eastAsia" w:ascii="宋体" w:hAnsi="宋体" w:eastAsia="宋体" w:cs="宋体"/>
          <w:color w:val="000000"/>
          <w:sz w:val="24"/>
          <w:szCs w:val="24"/>
        </w:rPr>
        <w:t xml:space="preserve">在中国境内完成。</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1038"/>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公司（单位）名称（盖章/加盖CA电子公章）：   </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jc w:val="left"/>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ascii="宋体" w:hAnsi="宋体" w:eastAsia="宋体" w:cs="宋体"/>
          <w:color w:val="000000"/>
          <w:sz w:val="24"/>
          <w:szCs w:val="24"/>
        </w:rPr>
      </w:r>
      <w:r/>
    </w:p>
    <w:p>
      <w:pPr>
        <w:pStyle w:val="1038"/>
        <w:ind w:firstLine="482"/>
        <w:spacing w:before="0" w:after="0" w:line="240" w:lineRule="auto"/>
        <w:rPr>
          <w:rFonts w:hint="eastAsia" w:ascii="宋体" w:hAnsi="宋体" w:eastAsia="仿宋" w:cs="宋体"/>
          <w:color w:val="000000"/>
          <w:sz w:val="24"/>
          <w:szCs w:val="24"/>
        </w:rPr>
      </w:pPr>
      <w:r>
        <w:rPr>
          <w:rStyle w:val="1125"/>
          <w:rFonts w:hint="eastAsia" w:ascii="仿宋" w:hAnsi="仿宋" w:eastAsia="仿宋" w:cs="仿宋"/>
          <w:i w:val="0"/>
          <w:iCs w:val="0"/>
          <w:color w:val="000000"/>
          <w:spacing w:val="0"/>
          <w:sz w:val="24"/>
          <w:szCs w:val="24"/>
          <w:shd w:val="clear" w:color="auto" w:fill="ffffff"/>
        </w:rPr>
        <w:t xml:space="preserve">“（产品名称）</w:t>
      </w:r>
      <w:r>
        <w:rPr>
          <w:rStyle w:val="1125"/>
          <w:rFonts w:hint="eastAsia" w:ascii="仿宋" w:hAnsi="仿宋" w:eastAsia="仿宋" w:cs="仿宋"/>
          <w:i w:val="0"/>
          <w:iCs w:val="0"/>
          <w:color w:val="000000"/>
          <w:spacing w:val="0"/>
          <w:sz w:val="24"/>
          <w:szCs w:val="24"/>
          <w:shd w:val="clear" w:color="auto" w:fill="ffffff"/>
          <w:vertAlign w:val="superscript"/>
        </w:rPr>
        <w:t xml:space="preserve">1</w:t>
      </w:r>
      <w:r>
        <w:rPr>
          <w:rFonts w:hint="eastAsia" w:ascii="仿宋" w:hAnsi="仿宋" w:eastAsia="仿宋" w:cs="仿宋"/>
          <w:color w:val="000000"/>
          <w:sz w:val="24"/>
          <w:szCs w:val="24"/>
          <w:shd w:val="clear" w:color="auto" w:fill="ffffff"/>
        </w:rPr>
        <w:t xml:space="preserve">，生产厂为</w:t>
      </w:r>
      <w:r>
        <w:rPr>
          <w:rStyle w:val="1125"/>
          <w:rFonts w:hint="eastAsia" w:ascii="仿宋" w:hAnsi="仿宋" w:eastAsia="仿宋" w:cs="仿宋"/>
          <w:i w:val="0"/>
          <w:iCs w:val="0"/>
          <w:color w:val="000000"/>
          <w:spacing w:val="0"/>
          <w:sz w:val="24"/>
          <w:szCs w:val="24"/>
          <w:shd w:val="clear" w:color="auto" w:fill="ffffff"/>
        </w:rPr>
        <w:t xml:space="preserve">（厂名）</w:t>
      </w:r>
      <w:r>
        <w:rPr>
          <w:rStyle w:val="1125"/>
          <w:rFonts w:hint="eastAsia" w:ascii="仿宋" w:hAnsi="仿宋" w:eastAsia="仿宋" w:cs="仿宋"/>
          <w:i w:val="0"/>
          <w:iCs w:val="0"/>
          <w:color w:val="000000"/>
          <w:spacing w:val="0"/>
          <w:sz w:val="24"/>
          <w:szCs w:val="24"/>
          <w:shd w:val="clear" w:color="auto" w:fill="ffffff"/>
          <w:vertAlign w:val="superscript"/>
        </w:rPr>
        <w:t xml:space="preserve">2</w:t>
      </w:r>
      <w:r>
        <w:rPr>
          <w:rFonts w:hint="eastAsia" w:ascii="仿宋" w:hAnsi="仿宋" w:eastAsia="仿宋" w:cs="仿宋"/>
          <w:color w:val="000000"/>
          <w:sz w:val="24"/>
          <w:szCs w:val="24"/>
          <w:shd w:val="clear" w:color="auto" w:fill="ffffff"/>
        </w:rPr>
        <w:t xml:space="preserve">，厂址为</w:t>
      </w:r>
      <w:r>
        <w:rPr>
          <w:rStyle w:val="1125"/>
          <w:rFonts w:hint="eastAsia" w:ascii="仿宋" w:hAnsi="仿宋" w:eastAsia="仿宋" w:cs="仿宋"/>
          <w:i w:val="0"/>
          <w:iCs w:val="0"/>
          <w:color w:val="000000"/>
          <w:spacing w:val="0"/>
          <w:sz w:val="24"/>
          <w:szCs w:val="24"/>
          <w:shd w:val="clear" w:color="auto" w:fill="ffffff"/>
        </w:rPr>
        <w:t xml:space="preserve">（生产厂址）</w:t>
      </w:r>
      <w:r>
        <w:rPr>
          <w:rFonts w:hint="eastAsia" w:ascii="仿宋" w:hAnsi="仿宋" w:eastAsia="仿宋" w:cs="仿宋"/>
          <w:color w:val="000000"/>
          <w:sz w:val="24"/>
          <w:szCs w:val="24"/>
          <w:shd w:val="clear" w:color="auto" w:fill="ffffff"/>
        </w:rPr>
        <w:t xml:space="preserve">。</w:t>
      </w:r>
      <w:r>
        <w:rPr>
          <w:rStyle w:val="1125"/>
          <w:rFonts w:hint="eastAsia" w:ascii="仿宋" w:hAnsi="仿宋" w:eastAsia="仿宋" w:cs="仿宋"/>
          <w:i w:val="0"/>
          <w:iCs w:val="0"/>
          <w:color w:val="000000"/>
          <w:spacing w:val="0"/>
          <w:sz w:val="24"/>
          <w:szCs w:val="24"/>
          <w:shd w:val="clear" w:color="auto" w:fill="ffffff"/>
        </w:rPr>
        <w:t xml:space="preserve">（产品名称）</w:t>
      </w:r>
      <w:r>
        <w:rPr>
          <w:rFonts w:hint="eastAsia" w:ascii="仿宋" w:hAnsi="仿宋" w:eastAsia="仿宋" w:cs="仿宋"/>
          <w:color w:val="000000"/>
          <w:sz w:val="24"/>
          <w:szCs w:val="24"/>
          <w:shd w:val="clear" w:color="auto" w:fill="ffffff"/>
        </w:rPr>
        <w:t xml:space="preserve">的中国境内生产的组件成本占比≥</w:t>
      </w:r>
      <w:r>
        <w:rPr>
          <w:rStyle w:val="1125"/>
          <w:rFonts w:hint="eastAsia" w:ascii="仿宋" w:hAnsi="仿宋" w:eastAsia="仿宋" w:cs="仿宋"/>
          <w:i w:val="0"/>
          <w:iCs w:val="0"/>
          <w:color w:val="000000"/>
          <w:spacing w:val="0"/>
          <w:sz w:val="24"/>
          <w:szCs w:val="24"/>
          <w:shd w:val="clear" w:color="auto" w:fill="ffffff"/>
        </w:rPr>
        <w:t xml:space="preserve">（规定比例）</w:t>
      </w:r>
      <w:r>
        <w:rPr>
          <w:rStyle w:val="1125"/>
          <w:rFonts w:hint="eastAsia" w:ascii="仿宋" w:hAnsi="仿宋" w:eastAsia="仿宋" w:cs="仿宋"/>
          <w:i w:val="0"/>
          <w:iCs w:val="0"/>
          <w:color w:val="000000"/>
          <w:spacing w:val="0"/>
          <w:sz w:val="24"/>
          <w:szCs w:val="24"/>
          <w:shd w:val="clear" w:color="auto" w:fill="ffffff"/>
          <w:vertAlign w:val="superscript"/>
        </w:rPr>
        <w:t xml:space="preserve">3</w:t>
      </w:r>
      <w:r>
        <w:rPr>
          <w:rFonts w:hint="eastAsia" w:ascii="仿宋" w:hAnsi="仿宋" w:eastAsia="仿宋" w:cs="仿宋"/>
          <w:color w:val="000000"/>
          <w:sz w:val="24"/>
          <w:szCs w:val="24"/>
          <w:shd w:val="clear" w:color="auto" w:fill="ffffff"/>
        </w:rPr>
        <w:t xml:space="preserve">。</w:t>
      </w:r>
      <w:r>
        <w:rPr>
          <w:rStyle w:val="1125"/>
          <w:rFonts w:hint="eastAsia" w:ascii="仿宋" w:hAnsi="仿宋" w:eastAsia="仿宋" w:cs="仿宋"/>
          <w:i w:val="0"/>
          <w:iCs w:val="0"/>
          <w:color w:val="000000"/>
          <w:spacing w:val="0"/>
          <w:sz w:val="24"/>
          <w:szCs w:val="24"/>
          <w:shd w:val="clear" w:color="auto" w:fill="ffffff"/>
        </w:rPr>
        <w:t xml:space="preserve">（产品名称）</w:t>
      </w:r>
      <w:r>
        <w:rPr>
          <w:rFonts w:hint="eastAsia" w:ascii="仿宋" w:hAnsi="仿宋" w:eastAsia="仿宋" w:cs="仿宋"/>
          <w:color w:val="000000"/>
          <w:sz w:val="24"/>
          <w:szCs w:val="24"/>
          <w:shd w:val="clear" w:color="auto" w:fill="ffffff"/>
        </w:rPr>
        <w:t xml:space="preserve">的</w:t>
      </w:r>
      <w:r>
        <w:rPr>
          <w:rStyle w:val="1125"/>
          <w:rFonts w:hint="eastAsia" w:ascii="仿宋" w:hAnsi="仿宋" w:eastAsia="仿宋" w:cs="仿宋"/>
          <w:i w:val="0"/>
          <w:iCs w:val="0"/>
          <w:color w:val="000000"/>
          <w:spacing w:val="0"/>
          <w:sz w:val="24"/>
          <w:szCs w:val="24"/>
          <w:shd w:val="clear" w:color="auto" w:fill="ffffff"/>
        </w:rPr>
        <w:t xml:space="preserve">（关键组件）</w:t>
      </w:r>
      <w:r>
        <w:rPr>
          <w:rStyle w:val="1125"/>
          <w:rFonts w:hint="eastAsia" w:ascii="仿宋" w:hAnsi="仿宋" w:eastAsia="仿宋" w:cs="仿宋"/>
          <w:i w:val="0"/>
          <w:iCs w:val="0"/>
          <w:color w:val="000000"/>
          <w:spacing w:val="0"/>
          <w:sz w:val="24"/>
          <w:szCs w:val="24"/>
          <w:shd w:val="clear" w:color="auto" w:fill="ffffff"/>
          <w:vertAlign w:val="superscript"/>
        </w:rPr>
        <w:t xml:space="preserve">4</w:t>
      </w:r>
      <w:r>
        <w:rPr>
          <w:rFonts w:hint="eastAsia" w:ascii="仿宋" w:hAnsi="仿宋" w:eastAsia="仿宋" w:cs="仿宋"/>
          <w:color w:val="000000"/>
          <w:sz w:val="24"/>
          <w:szCs w:val="24"/>
          <w:shd w:val="clear" w:color="auto" w:fill="ffffff"/>
        </w:rPr>
        <w:t xml:space="preserve">在中国境内生产。</w:t>
      </w:r>
      <w:r>
        <w:rPr>
          <w:rStyle w:val="1125"/>
          <w:rFonts w:hint="eastAsia" w:ascii="仿宋" w:hAnsi="仿宋" w:eastAsia="仿宋" w:cs="仿宋"/>
          <w:i w:val="0"/>
          <w:iCs w:val="0"/>
          <w:color w:val="000000"/>
          <w:spacing w:val="0"/>
          <w:sz w:val="24"/>
          <w:szCs w:val="24"/>
          <w:shd w:val="clear" w:color="auto" w:fill="ffffff"/>
        </w:rPr>
        <w:t xml:space="preserve">（产品名称）</w:t>
      </w:r>
      <w:r>
        <w:rPr>
          <w:rFonts w:hint="eastAsia" w:ascii="仿宋" w:hAnsi="仿宋" w:eastAsia="仿宋" w:cs="仿宋"/>
          <w:color w:val="000000"/>
          <w:sz w:val="24"/>
          <w:szCs w:val="24"/>
          <w:shd w:val="clear" w:color="auto" w:fill="ffffff"/>
        </w:rPr>
        <w:t xml:space="preserve">的</w:t>
      </w:r>
      <w:r>
        <w:rPr>
          <w:rStyle w:val="1125"/>
          <w:rFonts w:hint="eastAsia" w:ascii="仿宋" w:hAnsi="仿宋" w:eastAsia="仿宋" w:cs="仿宋"/>
          <w:i w:val="0"/>
          <w:iCs w:val="0"/>
          <w:color w:val="000000"/>
          <w:spacing w:val="0"/>
          <w:sz w:val="24"/>
          <w:szCs w:val="24"/>
          <w:shd w:val="clear" w:color="auto" w:fill="ffffff"/>
        </w:rPr>
        <w:t xml:space="preserve">（关键工序）</w:t>
      </w:r>
      <w:r>
        <w:rPr>
          <w:rStyle w:val="1125"/>
          <w:rFonts w:hint="eastAsia" w:ascii="仿宋" w:hAnsi="仿宋" w:eastAsia="仿宋" w:cs="仿宋"/>
          <w:i w:val="0"/>
          <w:iCs w:val="0"/>
          <w:color w:val="000000"/>
          <w:spacing w:val="0"/>
          <w:sz w:val="24"/>
          <w:szCs w:val="24"/>
          <w:shd w:val="clear" w:color="auto" w:fill="ffffff"/>
          <w:vertAlign w:val="superscript"/>
        </w:rPr>
        <w:t xml:space="preserve">5</w:t>
      </w:r>
      <w:r>
        <w:rPr>
          <w:rFonts w:hint="eastAsia" w:ascii="仿宋" w:hAnsi="仿宋" w:eastAsia="仿宋" w:cs="仿宋"/>
          <w:color w:val="000000"/>
          <w:sz w:val="24"/>
          <w:szCs w:val="24"/>
          <w:shd w:val="clear" w:color="auto" w:fill="ffffff"/>
        </w:rPr>
        <w:t xml:space="preserve">在中国境内完成。”</w:t>
      </w:r>
      <w:r>
        <w:rPr>
          <w:rFonts w:hint="eastAsia" w:ascii="宋体" w:hAnsi="宋体" w:eastAsia="仿宋" w:cs="宋体"/>
          <w:color w:val="000000"/>
          <w:sz w:val="24"/>
          <w:szCs w:val="24"/>
        </w:rPr>
      </w:r>
      <w:r/>
    </w:p>
    <w:p>
      <w:pPr>
        <w:pStyle w:val="1038"/>
        <w:ind w:firstLine="420"/>
        <w:jc w:val="left"/>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20"/>
        <w:jc w:val="left"/>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1.产品如有型号，请在“产品名称”栏一并填写。</w:t>
      </w:r>
      <w:r>
        <w:rPr>
          <w:rFonts w:hint="eastAsia" w:ascii="宋体" w:hAnsi="宋体" w:eastAsia="宋体" w:cs="宋体"/>
          <w:color w:val="000000"/>
          <w:sz w:val="24"/>
          <w:szCs w:val="24"/>
        </w:rPr>
      </w:r>
      <w:r/>
    </w:p>
    <w:p>
      <w:pPr>
        <w:pStyle w:val="1038"/>
        <w:ind w:firstLine="420"/>
        <w:jc w:val="left"/>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2.生产厂名与厂址应与生产厂营业执照载明的相关信息保持一致。</w:t>
      </w:r>
      <w:r>
        <w:rPr>
          <w:rFonts w:hint="eastAsia" w:ascii="宋体" w:hAnsi="宋体" w:eastAsia="宋体" w:cs="宋体"/>
          <w:color w:val="000000"/>
          <w:sz w:val="24"/>
          <w:szCs w:val="24"/>
        </w:rPr>
      </w:r>
      <w:r/>
    </w:p>
    <w:p>
      <w:pPr>
        <w:pStyle w:val="1038"/>
        <w:ind w:firstLine="420"/>
        <w:jc w:val="left"/>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3.该产品的中国境内生产的组件成本占比相关要求实施前，“规定比例”栏可不填，下同。</w:t>
      </w:r>
      <w:r>
        <w:rPr>
          <w:rFonts w:hint="eastAsia" w:ascii="宋体" w:hAnsi="宋体" w:eastAsia="宋体" w:cs="宋体"/>
          <w:color w:val="000000"/>
          <w:sz w:val="24"/>
          <w:szCs w:val="24"/>
        </w:rPr>
      </w:r>
      <w:r/>
    </w:p>
    <w:p>
      <w:pPr>
        <w:pStyle w:val="1038"/>
        <w:ind w:firstLine="420"/>
        <w:jc w:val="left"/>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4.该产品的关键组件要求实施前，“关键组件”栏可不填，下同。</w:t>
      </w:r>
      <w:r>
        <w:rPr>
          <w:rFonts w:hint="eastAsia" w:ascii="宋体" w:hAnsi="宋体" w:eastAsia="宋体" w:cs="宋体"/>
          <w:color w:val="000000"/>
          <w:sz w:val="24"/>
          <w:szCs w:val="24"/>
        </w:rPr>
      </w:r>
      <w:r/>
    </w:p>
    <w:p>
      <w:pPr>
        <w:pStyle w:val="1038"/>
        <w:ind w:firstLine="420"/>
        <w:jc w:val="left"/>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5.该产品的关键工序要求实施前，“关键工序”栏可不填，下同。</w:t>
      </w:r>
      <w:r>
        <w:rPr>
          <w:rFonts w:hint="eastAsia" w:ascii="宋体" w:hAnsi="宋体" w:eastAsia="宋体" w:cs="宋体"/>
          <w:color w:val="000000"/>
          <w:sz w:val="24"/>
          <w:szCs w:val="24"/>
        </w:rPr>
      </w:r>
      <w:r/>
    </w:p>
    <w:p>
      <w:pPr>
        <w:pStyle w:val="1038"/>
        <w:ind w:firstLine="420"/>
        <w:jc w:val="left"/>
        <w:spacing w:before="0" w:after="0" w:line="240" w:lineRule="auto"/>
        <w:rPr>
          <w:rFonts w:hint="eastAsia" w:ascii="宋体" w:hAnsi="宋体" w:eastAsia="宋体" w:cs="宋体"/>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rPr>
        <w:t xml:space="preserve">6.采购人或采购代理机构有权将以上内容进行公示。</w:t>
      </w:r>
      <w:r>
        <w:rPr>
          <w:rFonts w:hint="eastAsia" w:ascii="宋体" w:hAnsi="宋体" w:eastAsia="宋体" w:cs="宋体"/>
          <w:color w:val="000000"/>
          <w:sz w:val="24"/>
          <w:szCs w:val="24"/>
        </w:rPr>
      </w:r>
      <w:r/>
    </w:p>
    <w:p>
      <w:pPr>
        <w:pStyle w:val="1038"/>
        <w:jc w:val="center"/>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《关于符合本国产品标准的声明函》附件</w:t>
      </w:r>
      <w:r>
        <w:rPr>
          <w:rFonts w:hint="eastAsia" w:ascii="宋体" w:hAnsi="宋体" w:eastAsia="宋体" w:cs="宋体"/>
          <w:b/>
          <w:color w:val="000000"/>
          <w:sz w:val="28"/>
          <w:szCs w:val="28"/>
        </w:rPr>
      </w:r>
      <w:r/>
    </w:p>
    <w:p>
      <w:pPr>
        <w:pStyle w:val="1038"/>
        <w:jc w:val="center"/>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成本比例声明函</w:t>
      </w:r>
      <w:r>
        <w:rPr>
          <w:rFonts w:hint="eastAsia" w:ascii="宋体" w:hAnsi="宋体" w:eastAsia="宋体" w:cs="宋体"/>
          <w:b/>
          <w:color w:val="000000"/>
          <w:sz w:val="28"/>
          <w:szCs w:val="28"/>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%(填写具体百分比)。</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公司(单位)名称(盖章/加盖CA电子公章):       </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firstLine="480"/>
        <w:jc w:val="left"/>
        <w:rPr>
          <w:rFonts w:hint="eastAsia" w:ascii="宋体" w:hAnsi="宋体" w:eastAsia="宋体" w:cs="宋体"/>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4.资格审查</w:t>
      </w:r>
      <w:r>
        <w:rPr>
          <w:rFonts w:hint="eastAsia" w:ascii="宋体" w:hAnsi="宋体" w:eastAsia="宋体" w:cs="宋体"/>
          <w:color w:val="000000"/>
          <w:sz w:val="32"/>
          <w:szCs w:val="32"/>
        </w:rPr>
      </w:r>
      <w:r/>
    </w:p>
    <w:p>
      <w:pPr>
        <w:pStyle w:val="1038"/>
        <w:ind w:firstLine="480"/>
        <w:jc w:val="left"/>
        <w:spacing w:before="0" w:after="0" w:line="44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rPr>
        <w:t xml:space="preserve">相关承诺，格式自拟，并</w:t>
      </w:r>
      <w:r>
        <w:rPr>
          <w:rFonts w:hint="eastAsia" w:ascii="宋体" w:hAnsi="宋体" w:eastAsia="宋体" w:cs="宋体"/>
          <w:bCs/>
          <w:color w:val="000000"/>
          <w:sz w:val="24"/>
          <w:szCs w:val="24"/>
        </w:rPr>
        <w:t xml:space="preserve">加盖公章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jc w:val="center"/>
        <w:spacing w:before="0" w:after="0"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（1）资格审查承诺函（格式）</w:t>
      </w:r>
      <w:r>
        <w:rPr>
          <w:rFonts w:hint="eastAsia" w:ascii="宋体" w:hAnsi="宋体" w:eastAsia="宋体" w:cs="宋体"/>
          <w:b/>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致：江苏开放大学、江苏海外集团国际工程咨询有限公司</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为确保</w:t>
      </w:r>
      <w:r>
        <w:rPr>
          <w:rFonts w:hint="eastAsia" w:ascii="宋体" w:hAnsi="宋体" w:eastAsia="宋体" w:cs="宋体"/>
          <w:color w:val="000000"/>
          <w:sz w:val="24"/>
          <w:szCs w:val="24"/>
          <w:u w:val="single"/>
        </w:rPr>
        <w:t xml:space="preserve">（项目名称）（项目编号）</w:t>
      </w:r>
      <w:r>
        <w:rPr>
          <w:rFonts w:hint="eastAsia" w:ascii="宋体" w:hAnsi="宋体" w:eastAsia="宋体" w:cs="宋体"/>
          <w:color w:val="000000"/>
          <w:sz w:val="24"/>
          <w:szCs w:val="24"/>
        </w:rPr>
        <w:t xml:space="preserve">招标工作顺利进行，我公司在此承诺：</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1.我公司未处于被责令停业、投标资格被取消或者财产被接管，冻结和破产状态。</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2.我公司的资格审查资料中的重要内容没有失实或弄虚作假。</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3.我公司符合法律、法规规定的其他条件。</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4.我公司无下列行为：</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（1）有违反法律、法规行为，依法被取消投标资格且期限未满的；</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（2）因招标活动中有违法违规和不良行为，被有关行政监督部门公示且公示期限未满的。</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6.我公司中标后，不对本项目转包、分包。</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7.我公司未为采购项目提供整体设计、规范编制或者项目管理、监理、检测等服务。</w:t>
      </w:r>
      <w:r>
        <w:rPr>
          <w:rFonts w:hint="eastAsia" w:ascii="宋体" w:hAnsi="宋体" w:eastAsia="宋体" w:cs="宋体"/>
          <w:color w:val="000000"/>
          <w:sz w:val="24"/>
          <w:szCs w:val="24"/>
        </w:rPr>
      </w:r>
      <w:r/>
    </w:p>
    <w:p>
      <w:pPr>
        <w:pStyle w:val="1038"/>
        <w:ind w:firstLine="42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8.我公司投标文件中的重要内容没有失实或弄虚作假。</w:t>
      </w:r>
      <w:r>
        <w:rPr>
          <w:rFonts w:hint="eastAsia" w:ascii="宋体" w:hAnsi="宋体" w:eastAsia="宋体" w:cs="宋体"/>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本公司对上述承诺的真实性负责。如有虚假，将依法承担相应责任。</w:t>
      </w:r>
      <w:r>
        <w:rPr>
          <w:rFonts w:hint="eastAsia" w:ascii="宋体" w:hAnsi="宋体" w:eastAsia="宋体" w:cs="宋体"/>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特此承诺！</w:t>
      </w:r>
      <w:r>
        <w:rPr>
          <w:rFonts w:hint="eastAsia" w:ascii="宋体" w:hAnsi="宋体" w:eastAsia="宋体" w:cs="宋体"/>
          <w:color w:val="000000"/>
          <w:sz w:val="24"/>
          <w:szCs w:val="24"/>
        </w:rPr>
      </w:r>
      <w:r/>
    </w:p>
    <w:p>
      <w:pPr>
        <w:pStyle w:val="1038"/>
        <w:ind w:firstLine="48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p>
      <w:pPr>
        <w:pStyle w:val="1038"/>
        <w:ind w:firstLine="47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法定代表人或授权代表（签字或签章）：</w:t>
      </w:r>
      <w:r>
        <w:rPr>
          <w:rFonts w:hint="eastAsia" w:ascii="宋体" w:hAnsi="宋体" w:eastAsia="宋体" w:cs="宋体"/>
          <w:color w:val="000000"/>
          <w:sz w:val="24"/>
          <w:szCs w:val="24"/>
        </w:rPr>
      </w:r>
      <w:r/>
    </w:p>
    <w:p>
      <w:pPr>
        <w:pStyle w:val="1038"/>
        <w:ind w:firstLine="47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jc w:val="center"/>
        <w:widowControl/>
        <w:rPr>
          <w:rFonts w:hint="eastAsia" w:ascii="宋体" w:hAnsi="宋体" w:eastAsia="宋体" w:cs="宋体"/>
          <w:b/>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rPr>
      </w:r>
      <w:r/>
    </w:p>
    <w:p>
      <w:pPr>
        <w:pStyle w:val="1038"/>
        <w:jc w:val="center"/>
        <w:widowControl/>
        <w:rPr>
          <w:rFonts w:hint="eastAsia" w:ascii="宋体" w:hAnsi="宋体" w:eastAsia="宋体" w:cs="宋体"/>
          <w:b/>
          <w:color w:val="000000"/>
          <w:sz w:val="28"/>
          <w:szCs w:val="28"/>
        </w:rPr>
      </w:pPr>
      <w:r>
        <w:rPr>
          <w:rFonts w:hint="eastAsia" w:ascii="宋体" w:hAnsi="宋体" w:eastAsia="宋体" w:cs="宋体"/>
          <w:b/>
          <w:color w:val="000000"/>
          <w:sz w:val="24"/>
          <w:szCs w:val="24"/>
        </w:rPr>
        <w:t xml:space="preserve">（2）无重大违法记录声明函（格式）</w:t>
      </w:r>
      <w:r>
        <w:rPr>
          <w:rFonts w:hint="eastAsia" w:ascii="宋体" w:hAnsi="宋体" w:eastAsia="宋体" w:cs="宋体"/>
          <w:b/>
          <w:color w:val="000000"/>
          <w:sz w:val="28"/>
          <w:szCs w:val="28"/>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致：江苏开放大学、江苏海外集团国际工程咨询有限公司</w:t>
      </w:r>
      <w:r>
        <w:rPr>
          <w:rFonts w:hint="eastAsia" w:ascii="宋体" w:hAnsi="宋体" w:eastAsia="宋体" w:cs="宋体"/>
          <w:color w:val="000000"/>
          <w:sz w:val="24"/>
          <w:szCs w:val="24"/>
        </w:rPr>
      </w:r>
      <w:r/>
    </w:p>
    <w:p>
      <w:pPr>
        <w:pStyle w:val="1038"/>
        <w:ind w:firstLine="480"/>
        <w:spacing w:before="0" w:after="0"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jc w:val="center"/>
        <w:widowControl/>
        <w:rPr>
          <w:rFonts w:hint="eastAsia" w:ascii="宋体" w:hAnsi="宋体" w:eastAsia="宋体" w:cs="宋体"/>
          <w:b/>
          <w:color w:val="000000"/>
          <w:sz w:val="28"/>
          <w:szCs w:val="28"/>
        </w:rPr>
      </w:pPr>
      <w:r>
        <w:rPr>
          <w:rFonts w:hint="eastAsia" w:ascii="宋体" w:hAnsi="宋体" w:eastAsia="宋体" w:cs="宋体"/>
          <w:b/>
          <w:color w:val="000000"/>
          <w:sz w:val="24"/>
          <w:szCs w:val="24"/>
        </w:rPr>
        <w:t xml:space="preserve">（3）具备履行合同所必需的设备和专业技术能力的书面声明（格式）</w:t>
      </w:r>
      <w:r>
        <w:rPr>
          <w:rFonts w:hint="eastAsia" w:ascii="宋体" w:hAnsi="宋体" w:eastAsia="宋体" w:cs="宋体"/>
          <w:b/>
          <w:color w:val="000000"/>
          <w:sz w:val="28"/>
          <w:szCs w:val="28"/>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致：江苏开放大学、江苏海外集团国际工程咨询有限公司</w:t>
      </w:r>
      <w:r>
        <w:rPr>
          <w:rFonts w:hint="eastAsia" w:ascii="宋体" w:hAnsi="宋体" w:eastAsia="宋体" w:cs="宋体"/>
          <w:color w:val="000000"/>
          <w:sz w:val="24"/>
          <w:szCs w:val="24"/>
        </w:rPr>
      </w:r>
      <w:r/>
    </w:p>
    <w:p>
      <w:pPr>
        <w:pStyle w:val="1038"/>
        <w:ind w:firstLine="480"/>
        <w:spacing w:before="0" w:after="0"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rPr>
      </w:r>
      <w:r/>
    </w:p>
    <w:p>
      <w:pPr>
        <w:pStyle w:val="1038"/>
        <w:ind w:firstLine="480"/>
        <w:spacing w:before="0" w:after="0"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ind w:firstLine="480"/>
        <w:spacing w:before="0" w:after="0"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法定代表人或授权代表（签字或签章）：</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jc w:val="center"/>
        <w:widowControl/>
        <w:rPr>
          <w:rFonts w:hint="eastAsia" w:ascii="宋体" w:hAnsi="宋体" w:eastAsia="宋体" w:cs="宋体"/>
          <w:b/>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rPr>
      </w:r>
      <w:r/>
    </w:p>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（4）声明函（格式）</w:t>
      </w:r>
      <w:r>
        <w:rPr>
          <w:rFonts w:hint="eastAsia" w:ascii="宋体" w:hAnsi="宋体" w:eastAsia="宋体" w:cs="宋体"/>
          <w:b/>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致：江苏开放大学、江苏海外集团国际工程咨询有限公司</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rPr>
      </w:pPr>
      <w:r>
        <w:rPr>
          <w:rFonts w:hint="eastAsia" w:ascii="宋体" w:hAnsi="宋体" w:eastAsia="宋体" w:cs="宋体"/>
          <w:color w:val="000000"/>
          <w:sz w:val="24"/>
          <w:szCs w:val="24"/>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）列入失信被执行主体、重大税收违法案件当事主体、政府采购严重违法失信行为当事主体等严重失信记录名单。</w:t>
      </w:r>
      <w:r>
        <w:rPr>
          <w:rFonts w:hint="eastAsia" w:ascii="宋体" w:hAnsi="宋体" w:eastAsia="宋体" w:cs="宋体"/>
          <w:color w:val="000000"/>
        </w:rPr>
      </w:r>
      <w:r/>
    </w:p>
    <w:p>
      <w:pPr>
        <w:pStyle w:val="1038"/>
        <w:spacing w:before="0"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法定代表人或授权代表（签字或签章）：</w:t>
      </w:r>
      <w:r>
        <w:rPr>
          <w:rFonts w:hint="eastAsia" w:ascii="宋体" w:hAnsi="宋体" w:eastAsia="宋体" w:cs="宋体"/>
          <w:color w:val="000000"/>
          <w:sz w:val="24"/>
          <w:szCs w:val="24"/>
        </w:rPr>
      </w:r>
      <w:r/>
    </w:p>
    <w:p>
      <w:pPr>
        <w:pStyle w:val="1038"/>
        <w:ind w:left="420"/>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ind w:firstLine="219"/>
        <w:spacing w:before="0" w:after="0" w:line="48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中国政府采购网自查截图：</w:t>
      </w:r>
      <w:r>
        <w:rPr>
          <w:rFonts w:hint="eastAsia" w:ascii="宋体" w:hAnsi="宋体" w:eastAsia="宋体" w:cs="宋体"/>
          <w:b/>
          <w:bCs/>
          <w:color w:val="000000"/>
          <w:sz w:val="24"/>
          <w:szCs w:val="24"/>
        </w:rPr>
      </w:r>
      <w:r/>
    </w:p>
    <w:p>
      <w:pPr>
        <w:pStyle w:val="1038"/>
        <w:ind w:firstLine="219"/>
        <w:spacing w:before="0" w:after="0" w:line="48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信用中国网站自查截图：</w:t>
      </w:r>
      <w:r>
        <w:rPr>
          <w:rFonts w:hint="eastAsia" w:ascii="宋体" w:hAnsi="宋体" w:eastAsia="宋体" w:cs="宋体"/>
          <w:b/>
          <w:bCs/>
          <w:color w:val="000000"/>
          <w:sz w:val="24"/>
          <w:szCs w:val="24"/>
        </w:rPr>
      </w:r>
      <w:r/>
    </w:p>
    <w:p>
      <w:pPr>
        <w:pStyle w:val="1038"/>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致：江苏开放大学、江苏海外集团国际工程咨询有限公司</w:t>
      </w:r>
      <w:r>
        <w:rPr>
          <w:rFonts w:hint="eastAsia" w:ascii="宋体" w:hAnsi="宋体" w:eastAsia="宋体" w:cs="宋体"/>
          <w:color w:val="000000"/>
          <w:sz w:val="24"/>
          <w:szCs w:val="24"/>
        </w:rPr>
      </w:r>
      <w:r/>
    </w:p>
    <w:p>
      <w:pPr>
        <w:pStyle w:val="1038"/>
        <w:ind w:firstLine="48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w:t>
      </w:r>
      <w:r>
        <w:rPr>
          <w:rFonts w:hint="eastAsia" w:ascii="宋体" w:hAnsi="宋体" w:eastAsia="宋体" w:cs="宋体"/>
          <w:color w:val="000000"/>
          <w:sz w:val="24"/>
          <w:szCs w:val="24"/>
          <w:u w:val="single"/>
        </w:rPr>
        <w:t xml:space="preserve">（项目名称）（项目编号）</w:t>
      </w:r>
      <w:r>
        <w:rPr>
          <w:rFonts w:hint="eastAsia" w:ascii="宋体" w:hAnsi="宋体" w:eastAsia="宋体" w:cs="宋体"/>
          <w:color w:val="000000"/>
          <w:sz w:val="24"/>
          <w:szCs w:val="24"/>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rPr>
      </w:r>
      <w:r/>
    </w:p>
    <w:p>
      <w:pPr>
        <w:pStyle w:val="1038"/>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特此承诺！</w:t>
      </w:r>
      <w:r>
        <w:rPr>
          <w:rFonts w:hint="eastAsia" w:ascii="宋体" w:hAnsi="宋体" w:eastAsia="宋体" w:cs="宋体"/>
          <w:color w:val="000000"/>
          <w:sz w:val="24"/>
          <w:szCs w:val="24"/>
        </w:rPr>
      </w:r>
      <w:r/>
    </w:p>
    <w:p>
      <w:pPr>
        <w:pStyle w:val="1038"/>
        <w:ind w:left="420"/>
        <w:spacing w:before="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（公章）</w:t>
      </w:r>
      <w:r>
        <w:rPr>
          <w:rFonts w:hint="eastAsia" w:ascii="宋体" w:hAnsi="宋体" w:eastAsia="宋体" w:cs="宋体"/>
          <w:color w:val="000000"/>
          <w:sz w:val="24"/>
          <w:szCs w:val="24"/>
        </w:rPr>
      </w:r>
      <w:r/>
    </w:p>
    <w:p>
      <w:pPr>
        <w:pStyle w:val="1038"/>
        <w:ind w:left="420"/>
        <w:spacing w:before="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法定代表人或授权代表（签字或签章）：</w:t>
      </w:r>
      <w:r>
        <w:rPr>
          <w:rFonts w:hint="eastAsia" w:ascii="宋体" w:hAnsi="宋体" w:eastAsia="宋体" w:cs="宋体"/>
          <w:color w:val="000000"/>
          <w:sz w:val="24"/>
          <w:szCs w:val="24"/>
        </w:rPr>
      </w:r>
      <w:r/>
    </w:p>
    <w:p>
      <w:pPr>
        <w:pStyle w:val="1038"/>
        <w:ind w:left="420"/>
        <w:spacing w:before="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jc w:val="left"/>
        <w:widowControl/>
        <w:rPr>
          <w:rFonts w:hint="eastAsia" w:ascii="宋体" w:hAnsi="宋体" w:eastAsia="宋体" w:cs="宋体"/>
          <w:b/>
          <w:bCs/>
          <w:color w:val="000000"/>
          <w:sz w:val="28"/>
          <w:szCs w:val="28"/>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lang w:bidi="ar"/>
        </w:rPr>
      </w:r>
      <w:r/>
    </w:p>
    <w:p>
      <w:pPr>
        <w:pStyle w:val="1038"/>
        <w:jc w:val="left"/>
        <w:widowControl/>
        <w:rPr>
          <w:rFonts w:hint="eastAsia" w:ascii="宋体" w:hAnsi="宋体" w:eastAsia="宋体" w:cs="宋体"/>
          <w:color w:val="000000"/>
          <w:sz w:val="20"/>
          <w:szCs w:val="18"/>
        </w:rPr>
      </w:pPr>
      <w:r>
        <w:rPr>
          <w:rFonts w:hint="eastAsia" w:ascii="宋体" w:hAnsi="宋体" w:eastAsia="宋体" w:cs="宋体"/>
          <w:b/>
          <w:bCs/>
          <w:color w:val="000000"/>
          <w:sz w:val="24"/>
          <w:szCs w:val="24"/>
          <w:lang w:bidi="ar"/>
        </w:rPr>
        <w:t xml:space="preserve">单位负责人、公司控股关系及公司管理关系释义：</w:t>
      </w:r>
      <w:r>
        <w:rPr>
          <w:rFonts w:hint="eastAsia" w:ascii="宋体" w:hAnsi="宋体" w:eastAsia="宋体" w:cs="宋体"/>
          <w:color w:val="000000"/>
          <w:sz w:val="20"/>
          <w:szCs w:val="18"/>
        </w:rPr>
      </w:r>
      <w:r/>
    </w:p>
    <w:p>
      <w:pPr>
        <w:pStyle w:val="1038"/>
        <w:jc w:val="left"/>
        <w:widowControl/>
        <w:rPr>
          <w:rFonts w:hint="eastAsia" w:ascii="宋体" w:hAnsi="宋体" w:eastAsia="宋体" w:cs="宋体"/>
          <w:color w:val="000000"/>
        </w:rPr>
      </w:pPr>
      <w:r>
        <w:rPr>
          <w:rFonts w:hint="eastAsia" w:ascii="宋体" w:hAnsi="宋体" w:eastAsia="宋体" w:cs="宋体"/>
          <w:b/>
          <w:bCs/>
          <w:color w:val="000000"/>
          <w:sz w:val="24"/>
          <w:szCs w:val="24"/>
          <w:lang w:bidi="ar"/>
        </w:rPr>
        <w:t xml:space="preserve">①单位负责人：</w:t>
      </w:r>
      <w:r>
        <w:rPr>
          <w:rFonts w:hint="eastAsia" w:ascii="宋体" w:hAnsi="宋体" w:eastAsia="宋体" w:cs="宋体"/>
          <w:color w:val="000000"/>
          <w:sz w:val="24"/>
          <w:szCs w:val="24"/>
          <w:lang w:bidi="ar"/>
        </w:rPr>
        <w:t xml:space="preserve">是指 </w:t>
      </w:r>
      <w:r>
        <w:rPr>
          <w:rFonts w:hint="eastAsia" w:ascii="宋体" w:hAnsi="宋体" w:eastAsia="宋体" w:cs="宋体"/>
          <w:b/>
          <w:bCs/>
          <w:color w:val="000000"/>
          <w:sz w:val="12"/>
          <w:szCs w:val="12"/>
          <w:lang w:bidi="ar"/>
        </w:rPr>
        <w:t xml:space="preserve">A</w:t>
      </w:r>
      <w:r>
        <w:rPr>
          <w:rFonts w:hint="eastAsia" w:ascii="宋体" w:hAnsi="宋体" w:eastAsia="宋体" w:cs="宋体"/>
          <w:b/>
          <w:bCs/>
          <w:color w:val="000000"/>
          <w:sz w:val="24"/>
          <w:szCs w:val="24"/>
          <w:lang w:bidi="ar"/>
        </w:rPr>
        <w:t xml:space="preserve">单位法定代表人</w:t>
      </w:r>
      <w:r>
        <w:rPr>
          <w:rFonts w:hint="eastAsia" w:ascii="宋体" w:hAnsi="宋体" w:eastAsia="宋体" w:cs="宋体"/>
          <w:color w:val="000000"/>
          <w:sz w:val="24"/>
          <w:szCs w:val="24"/>
          <w:lang w:bidi="ar"/>
        </w:rPr>
        <w:t xml:space="preserve">或者 </w:t>
      </w:r>
      <w:r>
        <w:rPr>
          <w:rFonts w:hint="eastAsia" w:ascii="宋体" w:hAnsi="宋体" w:eastAsia="宋体" w:cs="宋体"/>
          <w:b/>
          <w:bCs/>
          <w:color w:val="000000"/>
          <w:sz w:val="12"/>
          <w:szCs w:val="12"/>
          <w:lang w:bidi="ar"/>
        </w:rPr>
        <w:t xml:space="preserve">B</w:t>
      </w:r>
      <w:r>
        <w:rPr>
          <w:rFonts w:hint="eastAsia" w:ascii="宋体" w:hAnsi="宋体" w:eastAsia="宋体" w:cs="宋体"/>
          <w:b/>
          <w:bCs/>
          <w:color w:val="000000"/>
          <w:sz w:val="24"/>
          <w:szCs w:val="24"/>
          <w:lang w:bidi="ar"/>
        </w:rPr>
        <w:t xml:space="preserve">法律、行政法规规定代表单位行使职权的主要负责人。 </w:t>
      </w:r>
      <w:r>
        <w:rPr>
          <w:rFonts w:hint="eastAsia" w:ascii="宋体" w:hAnsi="宋体" w:eastAsia="宋体" w:cs="宋体"/>
          <w:color w:val="000000"/>
        </w:rPr>
      </w:r>
      <w:r/>
    </w:p>
    <w:p>
      <w:pPr>
        <w:pStyle w:val="1038"/>
        <w:jc w:val="left"/>
        <w:widowControl/>
        <w:rPr>
          <w:rFonts w:hint="eastAsia" w:ascii="宋体" w:hAnsi="宋体" w:eastAsia="宋体" w:cs="宋体"/>
          <w:color w:val="000000"/>
        </w:rPr>
      </w:pPr>
      <w:r>
        <w:rPr>
          <w:rFonts w:hint="eastAsia" w:ascii="宋体" w:hAnsi="宋体" w:eastAsia="宋体" w:cs="宋体"/>
          <w:b/>
          <w:bCs/>
          <w:color w:val="000000"/>
          <w:sz w:val="24"/>
          <w:szCs w:val="24"/>
          <w:lang w:bidi="ar"/>
        </w:rPr>
        <w:t xml:space="preserve">A：所谓法定代表人：</w:t>
      </w:r>
      <w:r>
        <w:rPr>
          <w:rFonts w:hint="eastAsia" w:ascii="宋体" w:hAnsi="宋体" w:eastAsia="宋体" w:cs="宋体"/>
          <w:color w:val="000000"/>
          <w:sz w:val="24"/>
          <w:szCs w:val="24"/>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rPr>
      </w:r>
      <w:r/>
    </w:p>
    <w:p>
      <w:pPr>
        <w:pStyle w:val="1038"/>
        <w:jc w:val="left"/>
        <w:widowControl/>
        <w:rPr>
          <w:rFonts w:hint="eastAsia" w:ascii="宋体" w:hAnsi="宋体" w:eastAsia="宋体" w:cs="宋体"/>
          <w:color w:val="000000"/>
        </w:rPr>
      </w:pPr>
      <w:r>
        <w:rPr>
          <w:rFonts w:hint="eastAsia" w:ascii="宋体" w:hAnsi="宋体" w:eastAsia="宋体" w:cs="宋体"/>
          <w:b/>
          <w:bCs/>
          <w:color w:val="000000"/>
          <w:sz w:val="24"/>
          <w:szCs w:val="24"/>
          <w:lang w:bidi="ar"/>
        </w:rPr>
        <w:t xml:space="preserve">B：所谓法律、行政法规规定代表单位行使职权的主要负责人：</w:t>
      </w:r>
      <w:r>
        <w:rPr>
          <w:rFonts w:hint="eastAsia" w:ascii="宋体" w:hAnsi="宋体" w:eastAsia="宋体" w:cs="宋体"/>
          <w:color w:val="000000"/>
          <w:sz w:val="24"/>
          <w:szCs w:val="24"/>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rPr>
      </w:r>
      <w:r/>
    </w:p>
    <w:p>
      <w:pPr>
        <w:pStyle w:val="1038"/>
        <w:jc w:val="left"/>
        <w:widowControl/>
        <w:rPr>
          <w:rFonts w:hint="eastAsia" w:ascii="宋体" w:hAnsi="宋体" w:eastAsia="宋体" w:cs="宋体"/>
          <w:color w:val="000000"/>
        </w:rPr>
      </w:pPr>
      <w:r>
        <w:rPr>
          <w:rFonts w:hint="eastAsia" w:ascii="宋体" w:hAnsi="宋体" w:eastAsia="宋体" w:cs="宋体"/>
          <w:b/>
          <w:bCs/>
          <w:color w:val="000000"/>
          <w:sz w:val="24"/>
          <w:szCs w:val="24"/>
          <w:lang w:bidi="ar"/>
        </w:rPr>
        <w:t xml:space="preserve">②控股关系：</w:t>
      </w:r>
      <w:r>
        <w:rPr>
          <w:rFonts w:hint="eastAsia" w:ascii="宋体" w:hAnsi="宋体" w:eastAsia="宋体" w:cs="宋体"/>
          <w:color w:val="000000"/>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lang w:bidi="ar"/>
        </w:rPr>
        <w:t xml:space="preserve">（二）控股股东，是指 </w:t>
      </w:r>
      <w:r>
        <w:rPr>
          <w:rFonts w:hint="eastAsia" w:ascii="宋体" w:hAnsi="宋体" w:eastAsia="宋体" w:cs="宋体"/>
          <w:b/>
          <w:bCs/>
          <w:color w:val="000000"/>
          <w:sz w:val="12"/>
          <w:szCs w:val="12"/>
          <w:lang w:bidi="ar"/>
        </w:rPr>
        <w:t xml:space="preserve">A</w:t>
      </w:r>
      <w:r>
        <w:rPr>
          <w:rFonts w:hint="eastAsia" w:ascii="宋体" w:hAnsi="宋体" w:eastAsia="宋体" w:cs="宋体"/>
          <w:b/>
          <w:bCs/>
          <w:color w:val="000000"/>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lang w:bidi="ar"/>
        </w:rPr>
        <w:t xml:space="preserve">B</w:t>
      </w:r>
      <w:r>
        <w:rPr>
          <w:rFonts w:hint="eastAsia" w:ascii="宋体" w:hAnsi="宋体" w:eastAsia="宋体" w:cs="宋体"/>
          <w:b/>
          <w:bCs/>
          <w:color w:val="000000"/>
          <w:sz w:val="24"/>
          <w:szCs w:val="24"/>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rPr>
      </w:r>
      <w:r/>
    </w:p>
    <w:p>
      <w:pPr>
        <w:pStyle w:val="1038"/>
        <w:jc w:val="left"/>
        <w:widowControl/>
        <w:rPr>
          <w:rFonts w:hint="eastAsia" w:ascii="宋体" w:hAnsi="宋体" w:eastAsia="宋体" w:cs="宋体"/>
          <w:color w:val="000000"/>
        </w:rPr>
      </w:pPr>
      <w:r>
        <w:rPr>
          <w:rFonts w:hint="eastAsia" w:ascii="宋体" w:hAnsi="宋体" w:eastAsia="宋体" w:cs="宋体"/>
          <w:b/>
          <w:bCs/>
          <w:color w:val="000000"/>
          <w:sz w:val="24"/>
          <w:szCs w:val="24"/>
          <w:lang w:bidi="ar"/>
        </w:rPr>
        <w:t xml:space="preserve">③管理关系：</w:t>
      </w:r>
      <w:r>
        <w:rPr>
          <w:rFonts w:hint="eastAsia" w:ascii="宋体" w:hAnsi="宋体" w:eastAsia="宋体" w:cs="宋体"/>
          <w:color w:val="000000"/>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rPr>
      </w:r>
      <w:r/>
    </w:p>
    <w:p>
      <w:pPr>
        <w:pStyle w:val="1075"/>
        <w:jc w:val="center"/>
        <w:spacing w:before="240" w:after="240"/>
        <w:rPr>
          <w:rFonts w:hint="eastAsia" w:ascii="宋体" w:hAnsi="宋体" w:eastAsia="宋体" w:cs="宋体"/>
          <w:b/>
          <w:color w:val="000000"/>
          <w:szCs w:val="28"/>
        </w:rPr>
      </w:pPr>
      <w:r>
        <w:rPr>
          <w:rFonts w:hint="eastAsia" w:ascii="宋体" w:hAnsi="宋体" w:eastAsia="宋体" w:cs="宋体"/>
          <w:b/>
          <w:color w:val="000000"/>
          <w:szCs w:val="28"/>
        </w:rPr>
      </w:r>
      <w:r/>
    </w:p>
    <w:p>
      <w:pPr>
        <w:pStyle w:val="1075"/>
        <w:jc w:val="left"/>
        <w:spacing w:before="0" w:after="0"/>
        <w:rPr>
          <w:rFonts w:hint="eastAsia" w:ascii="宋体" w:hAnsi="宋体" w:eastAsia="宋体" w:cs="宋体"/>
          <w:b/>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营业执照复印件：</w:t>
      </w:r>
      <w:r>
        <w:rPr>
          <w:rFonts w:hint="eastAsia" w:ascii="宋体" w:hAnsi="宋体" w:eastAsia="宋体" w:cs="宋体"/>
          <w:bCs/>
          <w:color w:val="000000"/>
          <w:sz w:val="24"/>
          <w:szCs w:val="24"/>
        </w:rPr>
      </w:r>
      <w:r/>
    </w:p>
    <w:p>
      <w:pPr>
        <w:pStyle w:val="1075"/>
        <w:jc w:val="left"/>
        <w:spacing w:before="240" w:after="240"/>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经审计的财务报告复印件加盖公章装订在投标文件中，否则视为未提供)</w:t>
      </w: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相关资料：</w:t>
      </w:r>
      <w:r>
        <w:rPr>
          <w:rFonts w:hint="eastAsia" w:ascii="宋体" w:hAnsi="宋体" w:eastAsia="宋体" w:cs="宋体"/>
          <w:bCs/>
          <w:color w:val="000000"/>
          <w:sz w:val="24"/>
          <w:szCs w:val="24"/>
        </w:rPr>
      </w:r>
      <w:r/>
    </w:p>
    <w:p>
      <w:pPr>
        <w:pStyle w:val="1075"/>
        <w:jc w:val="left"/>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缴纳税收的相关资料：</w:t>
      </w:r>
      <w:r>
        <w:rPr>
          <w:rFonts w:hint="eastAsia" w:ascii="宋体" w:hAnsi="宋体" w:eastAsia="宋体" w:cs="宋体"/>
          <w:bCs/>
          <w:color w:val="000000"/>
          <w:sz w:val="24"/>
          <w:szCs w:val="24"/>
        </w:rPr>
      </w:r>
      <w:r/>
    </w:p>
    <w:p>
      <w:pPr>
        <w:pStyle w:val="1075"/>
        <w:jc w:val="left"/>
        <w:spacing w:before="240" w:after="240"/>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依法缴纳社会保障资金的相关资料：</w:t>
      </w:r>
      <w:r>
        <w:rPr>
          <w:rFonts w:hint="eastAsia" w:ascii="宋体" w:hAnsi="宋体" w:eastAsia="宋体" w:cs="宋体"/>
          <w:bCs/>
          <w:color w:val="000000"/>
          <w:sz w:val="24"/>
          <w:szCs w:val="24"/>
        </w:rPr>
      </w:r>
      <w:r/>
    </w:p>
    <w:p>
      <w:pPr>
        <w:pStyle w:val="1038"/>
        <w:spacing w:line="440" w:lineRule="exact"/>
        <w:rPr>
          <w:rFonts w:hint="eastAsia" w:ascii="宋体" w:hAnsi="宋体" w:eastAsia="宋体" w:cs="宋体"/>
          <w:b/>
          <w:color w:val="000000"/>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rPr>
      </w:r>
      <w:r/>
    </w:p>
    <w:p>
      <w:pPr>
        <w:pStyle w:val="1075"/>
        <w:jc w:val="left"/>
        <w:spacing w:before="240" w:after="240"/>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（10）招标公告中“投标人资质要求”所要求其他的证明材料</w:t>
      </w:r>
      <w:r>
        <w:rPr>
          <w:rFonts w:hint="eastAsia" w:ascii="宋体" w:hAnsi="宋体" w:eastAsia="宋体" w:cs="宋体"/>
          <w:b/>
          <w:color w:val="000000"/>
          <w:sz w:val="24"/>
          <w:szCs w:val="24"/>
        </w:rPr>
      </w:r>
      <w:r/>
    </w:p>
    <w:p>
      <w:pPr>
        <w:pStyle w:val="1075"/>
        <w:jc w:val="left"/>
        <w:spacing w:before="0" w:after="0"/>
        <w:rPr>
          <w:rFonts w:hint="eastAsia" w:ascii="宋体" w:hAnsi="宋体" w:eastAsia="宋体" w:cs="宋体"/>
          <w:color w:val="000000"/>
          <w:sz w:val="24"/>
          <w:szCs w:val="24"/>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lang w:bidi="ar"/>
        </w:rPr>
      </w:r>
      <w:r/>
    </w:p>
    <w:p>
      <w:pPr>
        <w:pStyle w:val="1038"/>
        <w:jc w:val="center"/>
        <w:rPr>
          <w:rFonts w:hint="eastAsia" w:ascii="宋体" w:hAnsi="宋体" w:eastAsia="宋体" w:cs="宋体"/>
          <w:color w:val="000000"/>
          <w:sz w:val="24"/>
          <w:szCs w:val="24"/>
        </w:rPr>
      </w:pPr>
      <w:r>
        <w:rPr>
          <w:rFonts w:hint="eastAsia" w:ascii="宋体" w:hAnsi="宋体" w:eastAsia="宋体" w:cs="宋体"/>
          <w:color w:val="000000"/>
          <w:sz w:val="32"/>
          <w:szCs w:val="32"/>
        </w:rPr>
        <w:t xml:space="preserve">5.</w:t>
      </w:r>
      <w:bookmarkEnd w:id="216"/>
      <w:r/>
      <w:bookmarkEnd w:id="217"/>
      <w:r/>
      <w:bookmarkEnd w:id="218"/>
      <w:r>
        <w:rPr>
          <w:rFonts w:hint="eastAsia" w:ascii="宋体" w:hAnsi="宋体" w:eastAsia="宋体" w:cs="宋体"/>
          <w:color w:val="000000"/>
          <w:sz w:val="32"/>
          <w:szCs w:val="32"/>
        </w:rPr>
        <w:t xml:space="preserve">技术条款偏离表（技术要求响应表）</w:t>
      </w:r>
      <w:r>
        <w:rPr>
          <w:rFonts w:hint="eastAsia" w:ascii="宋体" w:hAnsi="宋体" w:eastAsia="宋体" w:cs="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序号</w:t>
            </w:r>
            <w:r>
              <w:rPr>
                <w:rFonts w:hint="eastAsia" w:ascii="宋体" w:hAnsi="宋体" w:eastAsia="宋体" w:cs="宋体"/>
                <w:bCs/>
                <w:color w:val="000000"/>
                <w:sz w:val="24"/>
              </w:rPr>
            </w:r>
            <w:r/>
          </w:p>
        </w:tc>
        <w:tc>
          <w:tcPr>
            <w:tcW w:w="1454" w:type="dxa"/>
            <w:vAlign w:val="center"/>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招标文件条目号</w:t>
            </w:r>
            <w:r>
              <w:rPr>
                <w:rFonts w:hint="eastAsia" w:ascii="宋体" w:hAnsi="宋体" w:eastAsia="宋体" w:cs="宋体"/>
                <w:bCs/>
                <w:color w:val="000000"/>
                <w:sz w:val="24"/>
              </w:rPr>
            </w:r>
            <w:r/>
          </w:p>
        </w:tc>
        <w:tc>
          <w:tcPr>
            <w:tcW w:w="2161" w:type="dxa"/>
            <w:vAlign w:val="center"/>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招标文件要求的规格、参数</w:t>
            </w:r>
            <w:r>
              <w:rPr>
                <w:rFonts w:hint="eastAsia" w:ascii="宋体" w:hAnsi="宋体" w:eastAsia="宋体" w:cs="宋体"/>
                <w:bCs/>
                <w:color w:val="000000"/>
                <w:sz w:val="24"/>
              </w:rPr>
            </w:r>
            <w:r/>
          </w:p>
        </w:tc>
        <w:tc>
          <w:tcPr>
            <w:tcW w:w="2202" w:type="dxa"/>
            <w:vAlign w:val="center"/>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投标响应</w:t>
            </w:r>
            <w:r>
              <w:rPr>
                <w:rFonts w:hint="eastAsia" w:ascii="宋体" w:hAnsi="宋体" w:eastAsia="宋体" w:cs="宋体"/>
                <w:bCs/>
                <w:color w:val="000000"/>
                <w:sz w:val="24"/>
              </w:rPr>
            </w:r>
            <w:r/>
          </w:p>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规格、参数</w:t>
            </w:r>
            <w:r>
              <w:rPr>
                <w:rFonts w:hint="eastAsia" w:ascii="宋体" w:hAnsi="宋体" w:eastAsia="宋体" w:cs="宋体"/>
                <w:bCs/>
                <w:color w:val="000000"/>
                <w:sz w:val="24"/>
              </w:rPr>
            </w:r>
            <w:r/>
          </w:p>
        </w:tc>
        <w:tc>
          <w:tcPr>
            <w:tcW w:w="1648" w:type="dxa"/>
            <w:vAlign w:val="center"/>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color w:val="000000"/>
                <w:sz w:val="24"/>
                <w:szCs w:val="24"/>
              </w:rPr>
              <w:t xml:space="preserve">偏离情况（+/-/=）</w:t>
            </w:r>
            <w:r>
              <w:rPr>
                <w:rFonts w:hint="eastAsia" w:ascii="宋体" w:hAnsi="宋体" w:eastAsia="宋体" w:cs="宋体"/>
                <w:bCs/>
                <w:color w:val="000000"/>
                <w:sz w:val="24"/>
              </w:rPr>
            </w:r>
            <w:r/>
          </w:p>
        </w:tc>
        <w:tc>
          <w:tcPr>
            <w:tcW w:w="765" w:type="dxa"/>
            <w:vAlign w:val="center"/>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证明材料页码</w:t>
            </w:r>
            <w:r>
              <w:rPr>
                <w:rFonts w:hint="eastAsia" w:ascii="宋体" w:hAnsi="宋体" w:eastAsia="宋体" w:cs="宋体"/>
                <w:bCs/>
                <w:color w:val="000000"/>
                <w:sz w:val="24"/>
              </w:rPr>
            </w:r>
            <w:r/>
          </w:p>
        </w:tc>
        <w:tc>
          <w:tcPr>
            <w:tcW w:w="735" w:type="dxa"/>
            <w:vAlign w:val="center"/>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备注</w:t>
            </w: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1</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2</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3</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4</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5</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7</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t xml:space="preserve">8</w:t>
            </w: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r>
        <w:trPr/>
        <w:tc>
          <w:tcPr>
            <w:tcW w:w="839"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454"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161"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2202"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1648"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6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c>
          <w:tcPr>
            <w:tcW w:w="735" w:type="dxa"/>
            <w:vAlign w:val="top"/>
            <w:textDirection w:val="lrTb"/>
            <w:noWrap w:val="false"/>
          </w:tcPr>
          <w:p>
            <w:pPr>
              <w:pStyle w:val="1038"/>
              <w:jc w:val="center"/>
              <w:rPr>
                <w:rFonts w:hint="eastAsia" w:ascii="宋体" w:hAnsi="宋体" w:eastAsia="宋体" w:cs="宋体"/>
                <w:bCs/>
                <w:color w:val="000000"/>
                <w:sz w:val="24"/>
              </w:rPr>
            </w:pPr>
            <w:r>
              <w:rPr>
                <w:rFonts w:hint="eastAsia" w:ascii="宋体" w:hAnsi="宋体" w:eastAsia="宋体" w:cs="宋体"/>
                <w:bCs/>
                <w:color w:val="000000"/>
                <w:sz w:val="24"/>
              </w:rPr>
            </w:r>
            <w:r/>
          </w:p>
        </w:tc>
      </w:tr>
    </w:tbl>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rPr>
          <w:rFonts w:hint="eastAsia" w:ascii="宋体" w:hAnsi="宋体" w:eastAsia="宋体" w:cs="宋体"/>
          <w:color w:val="000000"/>
          <w:sz w:val="20"/>
        </w:rPr>
      </w:pPr>
      <w:r>
        <w:rPr>
          <w:rFonts w:hint="eastAsia" w:ascii="宋体" w:hAnsi="宋体" w:eastAsia="宋体" w:cs="宋体"/>
          <w:color w:val="000000"/>
          <w:sz w:val="20"/>
        </w:rPr>
      </w:r>
      <w:r/>
    </w:p>
    <w:p>
      <w:pPr>
        <w:pStyle w:val="1038"/>
        <w:rPr>
          <w:rFonts w:hint="eastAsia" w:ascii="宋体" w:hAnsi="宋体" w:eastAsia="宋体" w:cs="宋体"/>
          <w:color w:val="000000"/>
          <w:szCs w:val="21"/>
        </w:rPr>
      </w:pPr>
      <w:r/>
      <w:bookmarkStart w:id="219" w:name="_Toc5552"/>
      <w:r/>
      <w:bookmarkStart w:id="220" w:name="_Toc10292"/>
      <w:r/>
      <w:bookmarkStart w:id="221" w:name="_Toc11669"/>
      <w:r>
        <w:rPr>
          <w:rFonts w:hint="eastAsia" w:ascii="宋体" w:hAnsi="宋体" w:eastAsia="宋体" w:cs="宋体"/>
          <w:color w:val="000000"/>
          <w:szCs w:val="21"/>
        </w:rPr>
        <w:t xml:space="preserve">说明：①此表为表样，行数可自行添加，但表式不变。</w:t>
      </w:r>
      <w:r>
        <w:rPr>
          <w:rFonts w:hint="eastAsia" w:ascii="宋体" w:hAnsi="宋体" w:eastAsia="宋体" w:cs="宋体"/>
          <w:color w:val="000000"/>
          <w:szCs w:val="21"/>
        </w:rPr>
      </w:r>
      <w:r/>
    </w:p>
    <w:p>
      <w:pPr>
        <w:pStyle w:val="1038"/>
        <w:rPr>
          <w:rFonts w:hint="eastAsia" w:ascii="宋体" w:hAnsi="宋体" w:eastAsia="宋体" w:cs="宋体"/>
          <w:color w:val="000000"/>
          <w:szCs w:val="21"/>
        </w:rPr>
      </w:pPr>
      <w:r>
        <w:rPr>
          <w:rFonts w:hint="eastAsia" w:ascii="宋体" w:hAnsi="宋体" w:eastAsia="宋体" w:cs="宋体"/>
          <w:color w:val="000000"/>
          <w:szCs w:val="21"/>
        </w:rPr>
        <w:t xml:space="preserve">②是否偏离用符号“+、=、-”分别表示正偏离、完全响应、负偏离。</w:t>
      </w:r>
      <w:r>
        <w:rPr>
          <w:rFonts w:hint="eastAsia" w:ascii="宋体" w:hAnsi="宋体" w:eastAsia="宋体" w:cs="宋体"/>
          <w:color w:val="000000"/>
          <w:szCs w:val="21"/>
        </w:rPr>
      </w:r>
      <w:r/>
    </w:p>
    <w:p>
      <w:pPr>
        <w:pStyle w:val="1038"/>
        <w:rPr>
          <w:rFonts w:hint="eastAsia" w:ascii="宋体" w:hAnsi="宋体" w:eastAsia="宋体" w:cs="宋体"/>
          <w:color w:val="000000"/>
          <w:szCs w:val="21"/>
        </w:rPr>
      </w:pPr>
      <w:r>
        <w:rPr>
          <w:rFonts w:hint="eastAsia" w:ascii="宋体" w:hAnsi="宋体" w:eastAsia="宋体" w:cs="宋体"/>
          <w:b/>
          <w:bCs/>
          <w:color w:val="000000"/>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38"/>
        <w:jc w:val="center"/>
        <w:rPr>
          <w:rFonts w:hint="eastAsia" w:ascii="宋体" w:hAnsi="宋体" w:eastAsia="宋体" w:cs="宋体"/>
          <w:color w:val="000000"/>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rPr>
      </w:r>
      <w:r/>
    </w:p>
    <w:p>
      <w:pPr>
        <w:pStyle w:val="1038"/>
        <w:spacing w:line="420" w:lineRule="exact"/>
        <w:rPr>
          <w:rFonts w:hint="eastAsia" w:ascii="宋体" w:hAnsi="宋体" w:eastAsia="宋体" w:cs="宋体"/>
          <w:b/>
          <w:color w:val="000000"/>
          <w:sz w:val="24"/>
          <w:szCs w:val="24"/>
          <w:lang w:val="zh-CN"/>
        </w:rPr>
      </w:pPr>
      <w:r/>
      <w:bookmarkStart w:id="222" w:name="_Toc23012"/>
      <w:r/>
      <w:bookmarkStart w:id="223" w:name="_Toc22168"/>
      <w:r>
        <w:rPr>
          <w:rFonts w:hint="eastAsia" w:eastAsia="宋体" w:cs="宋体"/>
          <w:b/>
          <w:color w:val="000000"/>
          <w:sz w:val="24"/>
          <w:szCs w:val="24"/>
        </w:rPr>
        <w:t xml:space="preserve">附件：</w:t>
      </w:r>
      <w:r>
        <w:rPr>
          <w:rFonts w:hint="eastAsia" w:ascii="宋体" w:hAnsi="宋体" w:eastAsia="宋体" w:cs="宋体"/>
          <w:b/>
          <w:color w:val="000000"/>
          <w:sz w:val="24"/>
          <w:szCs w:val="24"/>
          <w:lang w:val="zh-CN"/>
        </w:rPr>
        <w:t xml:space="preserve">“★”</w:t>
      </w:r>
      <w:r>
        <w:rPr>
          <w:rFonts w:hint="eastAsia" w:ascii="宋体" w:hAnsi="宋体" w:eastAsia="宋体" w:cs="宋体"/>
          <w:b/>
          <w:color w:val="000000"/>
          <w:sz w:val="24"/>
          <w:szCs w:val="24"/>
        </w:rPr>
        <w:t xml:space="preserve">及</w:t>
      </w:r>
      <w:r>
        <w:rPr>
          <w:rFonts w:hint="eastAsia" w:ascii="宋体" w:hAnsi="宋体" w:eastAsia="宋体" w:cs="宋体"/>
          <w:b/>
          <w:color w:val="000000"/>
          <w:sz w:val="24"/>
          <w:szCs w:val="24"/>
          <w:lang w:val="zh-CN"/>
        </w:rPr>
        <w:t xml:space="preserve">“▲”参数技术支持材料</w:t>
      </w:r>
      <w:bookmarkEnd w:id="222"/>
      <w:r/>
      <w:bookmarkEnd w:id="223"/>
      <w:r>
        <w:rPr>
          <w:rFonts w:hint="eastAsia" w:ascii="宋体" w:hAnsi="宋体" w:eastAsia="宋体" w:cs="宋体"/>
          <w:b/>
          <w:color w:val="000000"/>
          <w:sz w:val="24"/>
          <w:szCs w:val="24"/>
          <w:lang w:val="zh-CN"/>
        </w:rPr>
      </w:r>
      <w:r/>
    </w:p>
    <w:p>
      <w:pPr>
        <w:pStyle w:val="1050"/>
        <w:ind w:left="0"/>
        <w:rPr>
          <w:rFonts w:hint="eastAsia" w:ascii="宋体" w:hAnsi="宋体" w:cs="宋体"/>
          <w:color w:val="000000"/>
        </w:rPr>
      </w:pPr>
      <w:r>
        <w:rPr>
          <w:rFonts w:hint="eastAsia" w:ascii="宋体" w:hAnsi="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★项参数要求及证明材料：</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▲项参数要求及证明材料：</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p>
      <w:pPr>
        <w:pStyle w:val="1038"/>
        <w:rPr>
          <w:rFonts w:hint="eastAsia" w:ascii="宋体" w:hAnsi="宋体" w:eastAsia="宋体" w:cs="宋体"/>
          <w:color w:val="000000"/>
        </w:rPr>
      </w:pPr>
      <w:r>
        <w:rPr>
          <w:rFonts w:hint="eastAsia" w:ascii="宋体" w:hAnsi="宋体" w:eastAsia="宋体" w:cs="宋体"/>
          <w:color w:val="000000"/>
        </w:rPr>
        <w:t xml:space="preserve">……</w:t>
      </w:r>
      <w:r>
        <w:rPr>
          <w:rFonts w:hint="eastAsia" w:ascii="宋体" w:hAnsi="宋体" w:eastAsia="宋体" w:cs="宋体"/>
          <w:color w:val="000000"/>
        </w:rPr>
      </w:r>
      <w:r/>
    </w:p>
    <w:p>
      <w:pPr>
        <w:pStyle w:val="1038"/>
        <w:jc w:val="center"/>
        <w:rPr>
          <w:rFonts w:hint="eastAsia" w:ascii="宋体" w:hAnsi="宋体" w:eastAsia="宋体" w:cs="宋体"/>
          <w:color w:val="000000"/>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6.</w:t>
      </w:r>
      <w:bookmarkEnd w:id="219"/>
      <w:r/>
      <w:bookmarkEnd w:id="220"/>
      <w:r/>
      <w:bookmarkEnd w:id="221"/>
      <w:r>
        <w:rPr>
          <w:rFonts w:hint="eastAsia" w:ascii="宋体" w:hAnsi="宋体" w:eastAsia="宋体" w:cs="宋体"/>
          <w:color w:val="000000"/>
          <w:sz w:val="32"/>
          <w:szCs w:val="32"/>
        </w:rPr>
        <w:t xml:space="preserve">商务条款偏离表（商务要求响应表）</w:t>
      </w:r>
      <w:r>
        <w:rPr>
          <w:rFonts w:hint="eastAsia" w:ascii="宋体" w:hAnsi="宋体" w:eastAsia="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112"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招标文件商务部分要求</w:t>
            </w:r>
            <w:r>
              <w:rPr>
                <w:rFonts w:hint="eastAsia" w:ascii="宋体" w:hAnsi="宋体" w:eastAsia="宋体" w:cs="宋体"/>
                <w:color w:val="000000"/>
                <w:sz w:val="24"/>
                <w:szCs w:val="24"/>
              </w:rPr>
            </w:r>
            <w:r/>
          </w:p>
        </w:tc>
        <w:tc>
          <w:tcPr>
            <w:tcW w:w="2685"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供应商的响应及承诺</w:t>
            </w:r>
            <w:r>
              <w:rPr>
                <w:rFonts w:hint="eastAsia" w:ascii="宋体" w:hAnsi="宋体" w:eastAsia="宋体" w:cs="宋体"/>
                <w:color w:val="000000"/>
                <w:sz w:val="24"/>
                <w:szCs w:val="24"/>
              </w:rPr>
            </w:r>
            <w:r/>
          </w:p>
        </w:tc>
        <w:tc>
          <w:tcPr>
            <w:tcW w:w="1527" w:type="dxa"/>
            <w:vAlign w:val="center"/>
            <w:textDirection w:val="lrTb"/>
            <w:noWrap w:val="false"/>
          </w:tcPr>
          <w:p>
            <w:pPr>
              <w:pStyle w:val="1038"/>
              <w:jc w:val="center"/>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偏离情况（+/-/=）</w:t>
            </w:r>
            <w:r>
              <w:rPr>
                <w:rFonts w:hint="eastAsia" w:ascii="宋体" w:hAnsi="宋体" w:eastAsia="宋体" w:cs="宋体"/>
                <w:color w:val="000000"/>
                <w:sz w:val="24"/>
                <w:szCs w:val="24"/>
              </w:rPr>
            </w:r>
            <w:r/>
          </w:p>
        </w:tc>
        <w:tc>
          <w:tcPr>
            <w:tcW w:w="1052"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447"/>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47"/>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2"/>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4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4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1"/>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76"/>
        </w:trPr>
        <w:tc>
          <w:tcPr>
            <w:tcW w:w="1011" w:type="dxa"/>
            <w:vAlign w:val="center"/>
            <w:textDirection w:val="lrTb"/>
            <w:noWrap w:val="false"/>
          </w:tcPr>
          <w:p>
            <w:pPr>
              <w:pStyle w:val="1038"/>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11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85"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7"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52" w:type="dxa"/>
            <w:vAlign w:val="center"/>
            <w:textDirection w:val="lrTb"/>
            <w:noWrap w:val="false"/>
          </w:tcPr>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38"/>
        <w:rPr>
          <w:rFonts w:hint="eastAsia" w:ascii="宋体" w:hAnsi="宋体" w:eastAsia="宋体" w:cs="宋体"/>
          <w:color w:val="000000"/>
          <w:szCs w:val="21"/>
        </w:rPr>
      </w:pPr>
      <w:r>
        <w:rPr>
          <w:rFonts w:hint="eastAsia" w:ascii="宋体" w:hAnsi="宋体" w:eastAsia="宋体" w:cs="宋体"/>
          <w:color w:val="000000"/>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rPr>
      </w:r>
      <w:r/>
    </w:p>
    <w:p>
      <w:pPr>
        <w:pStyle w:val="1038"/>
        <w:rPr>
          <w:rFonts w:hint="eastAsia" w:ascii="宋体" w:hAnsi="宋体" w:eastAsia="宋体" w:cs="宋体"/>
          <w:color w:val="000000"/>
          <w:szCs w:val="21"/>
        </w:rPr>
      </w:pPr>
      <w:r>
        <w:rPr>
          <w:rFonts w:hint="eastAsia" w:ascii="宋体" w:hAnsi="宋体" w:eastAsia="宋体" w:cs="宋体"/>
          <w:color w:val="000000"/>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rPr>
      </w:r>
      <w:r/>
    </w:p>
    <w:p>
      <w:pPr>
        <w:pStyle w:val="1038"/>
        <w:rPr>
          <w:rFonts w:hint="eastAsia" w:ascii="宋体" w:hAnsi="宋体" w:eastAsia="宋体" w:cs="宋体"/>
          <w:color w:val="000000"/>
          <w:szCs w:val="21"/>
        </w:rPr>
      </w:pPr>
      <w:r>
        <w:rPr>
          <w:rFonts w:hint="eastAsia" w:ascii="宋体" w:hAnsi="宋体" w:eastAsia="宋体" w:cs="宋体"/>
          <w:color w:val="000000"/>
          <w:szCs w:val="21"/>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rPr>
      </w:r>
      <w:r/>
    </w:p>
    <w:p>
      <w:pPr>
        <w:pStyle w:val="1038"/>
        <w:rPr>
          <w:rFonts w:hint="eastAsia" w:ascii="宋体" w:hAnsi="宋体" w:eastAsia="宋体" w:cs="宋体"/>
          <w:color w:val="000000"/>
          <w:szCs w:val="21"/>
        </w:rPr>
      </w:pPr>
      <w:r>
        <w:rPr>
          <w:rFonts w:hint="eastAsia" w:ascii="宋体" w:hAnsi="宋体" w:eastAsia="宋体" w:cs="宋体"/>
          <w:color w:val="000000"/>
          <w:szCs w:val="21"/>
        </w:rPr>
        <w:t xml:space="preserve">4. 如供应商将此表空白，视为供应商无任何偏离。</w:t>
      </w:r>
      <w:r>
        <w:rPr>
          <w:rFonts w:hint="eastAsia" w:ascii="宋体" w:hAnsi="宋体" w:eastAsia="宋体" w:cs="宋体"/>
          <w:color w:val="000000"/>
          <w:szCs w:val="21"/>
        </w:rPr>
      </w:r>
      <w:r/>
    </w:p>
    <w:p>
      <w:pPr>
        <w:pStyle w:val="1038"/>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rPr>
      </w:r>
      <w:r/>
    </w:p>
    <w:p>
      <w:pPr>
        <w:pStyle w:val="1038"/>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rPr>
      </w:r>
      <w:r/>
    </w:p>
    <w:p>
      <w:pPr>
        <w:pStyle w:val="1038"/>
        <w:jc w:val="left"/>
        <w:spacing w:before="0"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rPr>
      </w:pPr>
      <w:r>
        <w:rPr>
          <w:rFonts w:hint="eastAsia" w:ascii="宋体" w:hAnsi="宋体" w:eastAsia="宋体" w:cs="宋体"/>
          <w:color w:val="000000"/>
        </w:rPr>
      </w:r>
      <w:r/>
    </w:p>
    <w:p>
      <w:pPr>
        <w:pStyle w:val="1038"/>
        <w:numPr>
          <w:ilvl w:val="0"/>
          <w:numId w:val="44"/>
        </w:numPr>
        <w:jc w:val="center"/>
        <w:tabs>
          <w:tab w:val="left" w:pos="312" w:leader="none"/>
        </w:tabs>
        <w:rPr>
          <w:rFonts w:hint="eastAsia" w:ascii="宋体" w:hAnsi="宋体" w:eastAsia="宋体" w:cs="宋体"/>
          <w:color w:val="000000"/>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224" w:name="_Toc25254"/>
      <w:r/>
      <w:bookmarkStart w:id="225" w:name="_Toc12952"/>
      <w:r/>
      <w:bookmarkStart w:id="226" w:name="_Toc29152"/>
      <w:r/>
      <w:bookmarkStart w:id="227" w:name="_Toc12051"/>
      <w:r>
        <w:rPr>
          <w:rFonts w:hint="eastAsia" w:ascii="宋体" w:hAnsi="宋体" w:eastAsia="宋体" w:cs="宋体"/>
          <w:color w:val="000000"/>
          <w:sz w:val="32"/>
          <w:szCs w:val="32"/>
        </w:rPr>
      </w:r>
      <w:r/>
    </w:p>
    <w:p>
      <w:pPr>
        <w:pStyle w:val="1038"/>
        <w:numPr>
          <w:ilvl w:val="0"/>
          <w:numId w:val="44"/>
        </w:numPr>
        <w:jc w:val="center"/>
        <w:tabs>
          <w:tab w:val="left" w:pos="312" w:leader="none"/>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经营业绩（提供合同复印件）</w:t>
      </w:r>
      <w:bookmarkEnd w:id="224"/>
      <w:r/>
      <w:bookmarkEnd w:id="225"/>
      <w:r/>
      <w:bookmarkEnd w:id="226"/>
      <w:r/>
      <w:bookmarkEnd w:id="227"/>
      <w:r>
        <w:rPr>
          <w:rFonts w:hint="eastAsia" w:ascii="宋体" w:hAnsi="宋体" w:eastAsia="宋体" w:cs="宋体"/>
          <w:color w:val="000000"/>
          <w:sz w:val="32"/>
          <w:szCs w:val="32"/>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028"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业绩名称</w:t>
            </w:r>
            <w:r>
              <w:rPr>
                <w:rFonts w:hint="eastAsia" w:ascii="宋体" w:hAnsi="宋体" w:eastAsia="宋体" w:cs="宋体"/>
                <w:color w:val="000000"/>
                <w:sz w:val="24"/>
                <w:szCs w:val="24"/>
              </w:rPr>
            </w:r>
            <w:r/>
          </w:p>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695"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采购单位及联系人、联系方式</w:t>
            </w:r>
            <w:r>
              <w:rPr>
                <w:rFonts w:hint="eastAsia" w:ascii="宋体" w:hAnsi="宋体" w:eastAsia="宋体" w:cs="宋体"/>
                <w:color w:val="000000"/>
                <w:sz w:val="24"/>
                <w:szCs w:val="24"/>
              </w:rPr>
            </w:r>
            <w:r/>
          </w:p>
        </w:tc>
        <w:tc>
          <w:tcPr>
            <w:tcW w:w="1275"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w:t>
            </w:r>
            <w:r>
              <w:rPr>
                <w:rFonts w:hint="eastAsia" w:ascii="宋体" w:hAnsi="宋体" w:eastAsia="宋体" w:cs="宋体"/>
                <w:color w:val="000000"/>
                <w:sz w:val="24"/>
                <w:szCs w:val="24"/>
              </w:rPr>
            </w:r>
            <w:r/>
          </w:p>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rPr>
            </w:r>
            <w:r/>
          </w:p>
        </w:tc>
        <w:tc>
          <w:tcPr>
            <w:tcW w:w="1418"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rPr>
                <w:rFonts w:hint="eastAsia" w:ascii="宋体" w:hAnsi="宋体" w:eastAsia="宋体" w:cs="宋体"/>
                <w:color w:val="000000"/>
                <w:sz w:val="24"/>
                <w:szCs w:val="24"/>
              </w:rPr>
            </w:r>
            <w:r/>
          </w:p>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rPr>
            </w:r>
            <w:r/>
          </w:p>
        </w:tc>
        <w:tc>
          <w:tcPr>
            <w:tcW w:w="2551" w:type="dxa"/>
            <w:vAlign w:val="center"/>
            <w:textDirection w:val="lrTb"/>
            <w:noWrap w:val="false"/>
          </w:tcPr>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证明材料</w:t>
            </w:r>
            <w:r>
              <w:rPr>
                <w:rFonts w:hint="eastAsia" w:ascii="宋体" w:hAnsi="宋体" w:eastAsia="宋体" w:cs="宋体"/>
                <w:color w:val="000000"/>
                <w:sz w:val="24"/>
                <w:szCs w:val="24"/>
              </w:rPr>
            </w:r>
            <w:r/>
          </w:p>
          <w:p>
            <w:pPr>
              <w:pStyle w:val="1038"/>
              <w:jc w:val="center"/>
              <w:spacing w:line="4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（第几页—第几页）</w:t>
            </w:r>
            <w:r>
              <w:rPr>
                <w:rFonts w:hint="eastAsia" w:ascii="宋体" w:hAnsi="宋体" w:eastAsia="宋体" w:cs="宋体"/>
                <w:color w:val="000000"/>
                <w:sz w:val="24"/>
                <w:szCs w:val="24"/>
              </w:rPr>
            </w:r>
            <w:r/>
          </w:p>
        </w:tc>
      </w:tr>
      <w:tr>
        <w:trPr>
          <w:trHeight w:val="530"/>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028"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95"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top"/>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51"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48"/>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028"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95"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top"/>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51" w:type="dxa"/>
            <w:vAlign w:val="center"/>
            <w:textDirection w:val="lrTb"/>
            <w:noWrap w:val="false"/>
          </w:tcPr>
          <w:p>
            <w:pPr>
              <w:pStyle w:val="1038"/>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17"/>
        </w:trPr>
        <w:tc>
          <w:tcPr>
            <w:tcW w:w="652"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02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95"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75" w:type="dxa"/>
            <w:vAlign w:val="top"/>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51" w:type="dxa"/>
            <w:vAlign w:val="center"/>
            <w:textDirection w:val="lrTb"/>
            <w:noWrap w:val="false"/>
          </w:tcPr>
          <w:p>
            <w:pPr>
              <w:pStyle w:val="1038"/>
              <w:ind w:left="-20"/>
              <w:jc w:val="cente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38"/>
        <w:rPr>
          <w:rFonts w:hint="eastAsia" w:ascii="宋体" w:hAnsi="宋体" w:eastAsia="宋体" w:cs="宋体"/>
          <w:color w:val="000000"/>
          <w:szCs w:val="21"/>
        </w:rPr>
      </w:pPr>
      <w:r>
        <w:rPr>
          <w:rFonts w:hint="eastAsia" w:ascii="宋体" w:hAnsi="宋体" w:eastAsia="宋体" w:cs="宋体"/>
          <w:color w:val="000000"/>
          <w:szCs w:val="21"/>
        </w:rPr>
        <w:t xml:space="preserve">注：此表为表样，行数可自行添加，但表式不变。根据评分标准要求，附上业绩证明材料</w:t>
      </w:r>
      <w:r>
        <w:rPr>
          <w:rFonts w:hint="eastAsia" w:ascii="宋体" w:hAnsi="宋体" w:eastAsia="宋体" w:cs="宋体"/>
          <w:color w:val="000000"/>
          <w:szCs w:val="21"/>
        </w:rPr>
      </w:r>
      <w:r/>
    </w:p>
    <w:p>
      <w:pPr>
        <w:pStyle w:val="1038"/>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rPr>
      </w:r>
      <w:r/>
    </w:p>
    <w:p>
      <w:pPr>
        <w:pStyle w:val="103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附：供应商业绩合同复印件</w:t>
      </w:r>
      <w:bookmarkStart w:id="228" w:name="_Toc30172"/>
      <w:r/>
      <w:bookmarkStart w:id="229" w:name="_Toc5435"/>
      <w:r/>
      <w:bookmarkStart w:id="230" w:name="_Toc3055"/>
      <w:r/>
      <w:bookmarkStart w:id="231" w:name="_Toc478493367"/>
      <w:r/>
      <w:bookmarkStart w:id="232" w:name="_Toc17430"/>
      <w:r/>
      <w:bookmarkStart w:id="233" w:name="_Toc448874878"/>
      <w:r>
        <w:rPr>
          <w:rFonts w:hint="eastAsia" w:ascii="宋体" w:hAnsi="宋体" w:eastAsia="宋体" w:cs="宋体"/>
          <w:color w:val="000000"/>
          <w:sz w:val="24"/>
          <w:szCs w:val="24"/>
        </w:rPr>
      </w:r>
      <w:r/>
    </w:p>
    <w:p>
      <w:pPr>
        <w:pStyle w:val="1038"/>
        <w:jc w:val="center"/>
        <w:rPr>
          <w:rFonts w:hint="eastAsia" w:ascii="宋体" w:hAnsi="宋体" w:eastAsia="宋体" w:cs="宋体"/>
          <w:color w:val="000000"/>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rPr>
      </w:r>
      <w:r/>
    </w:p>
    <w:p>
      <w:pPr>
        <w:pStyle w:val="1038"/>
        <w:jc w:val="center"/>
        <w:rPr>
          <w:rFonts w:hint="eastAsia" w:ascii="宋体" w:hAnsi="宋体" w:eastAsia="宋体" w:cs="宋体"/>
          <w:b/>
          <w:bCs/>
          <w:color w:val="000000"/>
          <w:sz w:val="32"/>
          <w:szCs w:val="32"/>
        </w:rPr>
      </w:pPr>
      <w:r>
        <w:rPr>
          <w:rFonts w:hint="eastAsia" w:ascii="宋体" w:hAnsi="宋体" w:eastAsia="宋体" w:cs="宋体"/>
          <w:color w:val="000000"/>
          <w:sz w:val="32"/>
          <w:szCs w:val="32"/>
        </w:rPr>
        <w:t xml:space="preserve">8.项目实施方案</w:t>
      </w:r>
      <w:bookmarkEnd w:id="228"/>
      <w:r/>
      <w:bookmarkEnd w:id="229"/>
      <w:r/>
      <w:bookmarkEnd w:id="230"/>
      <w:r/>
      <w:bookmarkEnd w:id="231"/>
      <w:r/>
      <w:bookmarkEnd w:id="232"/>
      <w:r/>
      <w:bookmarkEnd w:id="233"/>
      <w:r>
        <w:rPr>
          <w:rFonts w:hint="eastAsia" w:ascii="宋体" w:hAnsi="宋体" w:eastAsia="宋体" w:cs="宋体"/>
          <w:b/>
          <w:bCs/>
          <w:color w:val="000000"/>
          <w:sz w:val="32"/>
          <w:szCs w:val="32"/>
        </w:rPr>
      </w:r>
      <w:r/>
    </w:p>
    <w:p>
      <w:pPr>
        <w:pStyle w:val="1038"/>
        <w:ind w:left="21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本项应包含且不限于下列内容：</w:t>
      </w:r>
      <w:r>
        <w:rPr>
          <w:rFonts w:hint="eastAsia" w:ascii="宋体" w:hAnsi="宋体" w:eastAsia="宋体" w:cs="宋体"/>
          <w:color w:val="000000"/>
          <w:sz w:val="24"/>
          <w:szCs w:val="24"/>
        </w:rPr>
      </w:r>
      <w:r/>
    </w:p>
    <w:p>
      <w:pPr>
        <w:pStyle w:val="1038"/>
        <w:numPr>
          <w:ilvl w:val="0"/>
          <w:numId w:val="45"/>
        </w:numPr>
        <w:ind w:left="21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人员配备方案；</w:t>
      </w:r>
      <w:r>
        <w:rPr>
          <w:rFonts w:hint="eastAsia" w:ascii="宋体" w:hAnsi="宋体" w:eastAsia="宋体" w:cs="宋体"/>
          <w:color w:val="000000"/>
          <w:sz w:val="24"/>
          <w:szCs w:val="24"/>
        </w:rPr>
      </w:r>
      <w:r/>
    </w:p>
    <w:p>
      <w:pPr>
        <w:pStyle w:val="1038"/>
        <w:numPr>
          <w:ilvl w:val="0"/>
          <w:numId w:val="45"/>
        </w:numPr>
        <w:ind w:left="21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服务方案；</w:t>
      </w:r>
      <w:r>
        <w:rPr>
          <w:rFonts w:hint="eastAsia" w:ascii="宋体" w:hAnsi="宋体" w:eastAsia="宋体" w:cs="宋体"/>
          <w:color w:val="000000"/>
          <w:sz w:val="24"/>
          <w:szCs w:val="24"/>
        </w:rPr>
      </w:r>
      <w:r/>
    </w:p>
    <w:p>
      <w:pPr>
        <w:pStyle w:val="1038"/>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ind w:left="216"/>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rPr>
      </w:r>
      <w:r/>
    </w:p>
    <w:p>
      <w:pPr>
        <w:pStyle w:val="1038"/>
        <w:ind w:left="216"/>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授权代表（签字或盖章）：</w:t>
      </w:r>
      <w:r>
        <w:rPr>
          <w:rFonts w:hint="eastAsia" w:ascii="宋体" w:hAnsi="宋体" w:eastAsia="宋体" w:cs="宋体"/>
          <w:color w:val="000000"/>
          <w:sz w:val="24"/>
          <w:szCs w:val="24"/>
        </w:rPr>
      </w:r>
      <w:r/>
    </w:p>
    <w:p>
      <w:pPr>
        <w:pStyle w:val="1038"/>
        <w:ind w:left="216"/>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1038"/>
        <w:rPr>
          <w:rFonts w:hint="eastAsia" w:ascii="宋体" w:hAnsi="宋体" w:eastAsia="宋体" w:cs="宋体"/>
          <w:color w:val="000000"/>
        </w:rPr>
      </w:pPr>
      <w:r>
        <w:rPr>
          <w:rFonts w:hint="eastAsia" w:ascii="宋体" w:hAnsi="宋体" w:eastAsia="宋体" w:cs="宋体"/>
          <w:color w:val="000000"/>
        </w:rPr>
      </w:r>
      <w:r/>
    </w:p>
    <w:p>
      <w:pPr>
        <w:pStyle w:val="1038"/>
        <w:jc w:val="center"/>
        <w:rPr>
          <w:rFonts w:hint="eastAsia" w:ascii="宋体" w:hAnsi="宋体" w:eastAsia="宋体" w:cs="宋体"/>
          <w:color w:val="000000"/>
        </w:rPr>
      </w:pPr>
      <w:r/>
      <w:bookmarkStart w:id="234" w:name="_Toc8684"/>
      <w:r/>
      <w:bookmarkStart w:id="235" w:name="_Toc9040"/>
      <w:r>
        <w:rPr>
          <w:rFonts w:hint="eastAsia" w:ascii="宋体" w:hAnsi="宋体" w:eastAsia="宋体" w:cs="宋体"/>
          <w:color w:val="000000"/>
        </w:rPr>
        <w:br w:type="page" w:clear="all"/>
      </w:r>
      <w:bookmarkStart w:id="236" w:name="_Toc1628"/>
      <w:r>
        <w:rPr>
          <w:rFonts w:hint="eastAsia" w:ascii="宋体" w:hAnsi="宋体" w:eastAsia="宋体" w:cs="宋体"/>
          <w:color w:val="000000"/>
          <w:sz w:val="32"/>
          <w:szCs w:val="32"/>
        </w:rPr>
        <w:t xml:space="preserve">9.人员配备、资质及人员管理</w:t>
      </w:r>
      <w:bookmarkEnd w:id="234"/>
      <w:r/>
      <w:bookmarkEnd w:id="236"/>
      <w:r>
        <w:rPr>
          <w:rFonts w:hint="eastAsia" w:ascii="宋体" w:hAnsi="宋体" w:eastAsia="宋体" w:cs="宋体"/>
          <w:color w:val="000000"/>
        </w:rPr>
      </w:r>
      <w:r/>
    </w:p>
    <w:p>
      <w:pPr>
        <w:pStyle w:val="1038"/>
        <w:ind w:firstLine="465"/>
        <w:spacing w:before="4"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人员配备一览表</w:t>
      </w:r>
      <w:r>
        <w:rPr>
          <w:rFonts w:hint="eastAsia" w:ascii="宋体" w:hAnsi="宋体" w:eastAsia="宋体" w:cs="宋体"/>
          <w:color w:val="000000"/>
          <w:sz w:val="24"/>
          <w:szCs w:val="24"/>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在本项目中担任的职务</w:t>
            </w:r>
            <w:r>
              <w:rPr>
                <w:rFonts w:hint="eastAsia" w:ascii="宋体" w:hAnsi="宋体" w:eastAsia="宋体" w:cs="宋体"/>
                <w:color w:val="000000"/>
                <w:sz w:val="24"/>
                <w:szCs w:val="24"/>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岗位职称</w:t>
            </w:r>
            <w:r>
              <w:rPr>
                <w:rFonts w:hint="eastAsia" w:ascii="宋体" w:hAnsi="宋体" w:eastAsia="宋体" w:cs="宋体"/>
                <w:color w:val="000000"/>
                <w:sz w:val="24"/>
                <w:szCs w:val="24"/>
              </w:rPr>
            </w:r>
            <w:r/>
          </w:p>
        </w:tc>
        <w:tc>
          <w:tcPr>
            <w:tcW w:w="1010"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年龄</w:t>
            </w:r>
            <w:r>
              <w:rPr>
                <w:rFonts w:hint="eastAsia" w:ascii="宋体" w:hAnsi="宋体" w:eastAsia="宋体" w:cs="宋体"/>
                <w:color w:val="000000"/>
                <w:sz w:val="24"/>
                <w:szCs w:val="24"/>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身份证号码</w:t>
            </w:r>
            <w:r>
              <w:rPr>
                <w:rFonts w:hint="eastAsia" w:ascii="宋体" w:hAnsi="宋体" w:eastAsia="宋体" w:cs="宋体"/>
                <w:color w:val="000000"/>
                <w:sz w:val="24"/>
                <w:szCs w:val="24"/>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主要资历、经验</w:t>
            </w:r>
            <w:r>
              <w:rPr>
                <w:rFonts w:hint="eastAsia" w:ascii="宋体" w:hAnsi="宋体" w:eastAsia="宋体" w:cs="宋体"/>
                <w:color w:val="000000"/>
                <w:sz w:val="24"/>
                <w:szCs w:val="24"/>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2038" w:type="dxa"/>
            <w:vAlign w:val="center"/>
            <w:textDirection w:val="lrTb"/>
            <w:noWrap w:val="false"/>
          </w:tcPr>
          <w:p>
            <w:pPr>
              <w:pStyle w:val="1038"/>
              <w:jc w:val="center"/>
              <w:spacing w:before="4" w:line="520" w:lineRule="exact"/>
              <w:widowControl/>
              <w:rPr>
                <w:rFonts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项目负责人（项目经理）</w:t>
            </w:r>
            <w:r>
              <w:rPr>
                <w:rFonts w:ascii="宋体" w:hAnsi="宋体" w:eastAsia="宋体" w:cs="宋体"/>
                <w:color w:val="000000"/>
                <w:sz w:val="24"/>
                <w:szCs w:val="24"/>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2038" w:type="dxa"/>
            <w:vAlign w:val="center"/>
            <w:textDirection w:val="lrTb"/>
            <w:noWrap w:val="false"/>
          </w:tcPr>
          <w:p>
            <w:pPr>
              <w:pStyle w:val="1038"/>
              <w:jc w:val="center"/>
              <w:spacing w:before="4" w:line="520" w:lineRule="exact"/>
              <w:widowControl/>
              <w:rPr>
                <w:rFonts w:ascii="宋体" w:hAnsi="宋体" w:eastAsia="宋体" w:cs="宋体"/>
                <w:color w:val="000000"/>
                <w:sz w:val="24"/>
                <w:szCs w:val="24"/>
              </w:rPr>
              <w:framePr w:vAnchor="text" w:hAnchor="page" w:x="1241" w:y="375"/>
            </w:pPr>
            <w:r>
              <w:rPr>
                <w:rFonts w:ascii="宋体" w:hAnsi="宋体" w:eastAsia="宋体" w:cs="宋体"/>
                <w:color w:val="000000"/>
                <w:sz w:val="24"/>
                <w:szCs w:val="24"/>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r>
      <w:tr>
        <w:trPr>
          <w:cantSplit/>
          <w:trHeight w:val="90"/>
        </w:trPr>
        <w:tc>
          <w:tcPr>
            <w:tcW w:w="715"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047"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203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6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010" w:type="dxa"/>
            <w:vAlign w:val="top"/>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758"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c>
          <w:tcPr>
            <w:tcW w:w="1904" w:type="dxa"/>
            <w:vAlign w:val="center"/>
            <w:textDirection w:val="lrTb"/>
            <w:noWrap w:val="false"/>
          </w:tcPr>
          <w:p>
            <w:pPr>
              <w:pStyle w:val="1038"/>
              <w:jc w:val="center"/>
              <w:spacing w:before="4" w:line="520" w:lineRule="exact"/>
              <w:widowControl/>
              <w:rPr>
                <w:rFonts w:hint="eastAsia" w:ascii="宋体" w:hAnsi="宋体" w:eastAsia="宋体" w:cs="宋体"/>
                <w:color w:val="000000"/>
                <w:sz w:val="24"/>
                <w:szCs w:val="24"/>
              </w:rPr>
              <w:framePr w:vAnchor="text" w:hAnchor="page" w:x="1241" w:y="375"/>
            </w:pPr>
            <w:r>
              <w:rPr>
                <w:rFonts w:hint="eastAsia" w:ascii="宋体" w:hAnsi="宋体" w:eastAsia="宋体" w:cs="宋体"/>
                <w:color w:val="000000"/>
                <w:sz w:val="24"/>
                <w:szCs w:val="24"/>
              </w:rPr>
            </w:r>
            <w:r/>
          </w:p>
        </w:tc>
      </w:tr>
    </w:tbl>
    <w:p>
      <w:pPr>
        <w:pStyle w:val="1038"/>
        <w:rPr>
          <w:rFonts w:hint="eastAsia" w:ascii="宋体" w:hAnsi="宋体" w:eastAsia="宋体" w:cs="宋体"/>
          <w:color w:val="000000"/>
          <w:szCs w:val="21"/>
        </w:rPr>
      </w:pPr>
      <w:r>
        <w:rPr>
          <w:rFonts w:hint="eastAsia" w:ascii="宋体" w:hAnsi="宋体" w:eastAsia="宋体" w:cs="宋体"/>
          <w:color w:val="000000"/>
          <w:szCs w:val="21"/>
        </w:rPr>
        <w:t xml:space="preserve">注：此表为表样，行数可自行添加，但表式不变。</w:t>
      </w:r>
      <w:r>
        <w:rPr>
          <w:rFonts w:hint="eastAsia" w:ascii="宋体" w:hAnsi="宋体" w:eastAsia="宋体" w:cs="宋体"/>
          <w:color w:val="000000"/>
          <w:szCs w:val="21"/>
        </w:rPr>
      </w:r>
      <w:r/>
    </w:p>
    <w:p>
      <w:pPr>
        <w:pStyle w:val="1038"/>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投标人名称（公章）：</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法定代表人或授权代表（签字或盖章）：</w:t>
      </w:r>
      <w:r>
        <w:rPr>
          <w:rFonts w:hint="eastAsia" w:ascii="宋体" w:hAnsi="宋体" w:eastAsia="宋体" w:cs="宋体"/>
          <w:color w:val="000000"/>
          <w:sz w:val="24"/>
          <w:szCs w:val="24"/>
        </w:rPr>
      </w:r>
      <w:r/>
    </w:p>
    <w:p>
      <w:pPr>
        <w:pStyle w:val="10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bookmarkEnd w:id="201"/>
      <w:r/>
      <w:bookmarkEnd w:id="235"/>
      <w:r>
        <w:rPr>
          <w:rFonts w:hint="eastAsia" w:ascii="宋体" w:hAnsi="宋体" w:eastAsia="宋体" w:cs="宋体"/>
          <w:color w:val="000000"/>
          <w:sz w:val="24"/>
          <w:szCs w:val="24"/>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38"/>
        <w:jc w:val="center"/>
        <w:rPr>
          <w:rFonts w:hint="eastAsia" w:ascii="宋体" w:hAnsi="宋体" w:eastAsia="宋体" w:cs="宋体"/>
          <w:color w:val="000000"/>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rPr>
      </w:r>
      <w:r/>
    </w:p>
    <w:p>
      <w:pPr>
        <w:pStyle w:val="1038"/>
        <w:jc w:val="center"/>
        <w:rPr>
          <w:rFonts w:ascii="宋体" w:hAnsi="宋体" w:eastAsia="宋体" w:cs="宋体"/>
          <w:color w:val="000000"/>
          <w:sz w:val="32"/>
          <w:szCs w:val="32"/>
        </w:rPr>
      </w:pPr>
      <w:r>
        <w:rPr>
          <w:rFonts w:hint="eastAsia" w:ascii="宋体" w:hAnsi="宋体" w:eastAsia="宋体" w:cs="宋体"/>
          <w:color w:val="000000"/>
          <w:sz w:val="32"/>
          <w:szCs w:val="32"/>
        </w:rPr>
        <w:t xml:space="preserve">10.相关承诺</w:t>
      </w:r>
      <w:r>
        <w:rPr>
          <w:rFonts w:ascii="宋体" w:hAnsi="宋体" w:eastAsia="宋体" w:cs="宋体"/>
          <w:color w:val="000000"/>
          <w:sz w:val="32"/>
          <w:szCs w:val="32"/>
        </w:rPr>
      </w:r>
      <w:r/>
    </w:p>
    <w:p>
      <w:pPr>
        <w:pStyle w:val="1038"/>
        <w:ind w:firstLine="480"/>
        <w:spacing w:before="0" w:after="0"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（投标人认为需要提供的与本次</w:t>
      </w:r>
      <w:r>
        <w:rPr>
          <w:rFonts w:hint="eastAsia" w:ascii="宋体" w:hAnsi="宋体" w:eastAsia="宋体" w:cs="宋体"/>
          <w:color w:val="000000"/>
          <w:sz w:val="24"/>
          <w:szCs w:val="24"/>
        </w:rPr>
        <w:t xml:space="preserve">招标采购需求中</w:t>
      </w:r>
      <w:r>
        <w:rPr>
          <w:rFonts w:hint="eastAsia" w:ascii="宋体" w:hAnsi="宋体" w:eastAsia="宋体" w:cs="宋体"/>
          <w:color w:val="000000"/>
          <w:sz w:val="24"/>
          <w:szCs w:val="24"/>
          <w:lang w:val="zh-CN"/>
        </w:rPr>
        <w:t xml:space="preserve">有关的</w:t>
      </w:r>
      <w:r>
        <w:rPr>
          <w:rFonts w:hint="eastAsia" w:ascii="宋体" w:hAnsi="宋体" w:eastAsia="宋体" w:cs="宋体"/>
          <w:color w:val="000000"/>
          <w:sz w:val="24"/>
          <w:szCs w:val="24"/>
        </w:rPr>
        <w:t xml:space="preserve">承诺</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r>
      <w:r/>
    </w:p>
    <w:p>
      <w:pPr>
        <w:pStyle w:val="1038"/>
        <w:ind w:firstLine="480"/>
        <w:spacing w:before="0" w:after="0"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038"/>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11.其他材料</w:t>
      </w:r>
      <w:r>
        <w:rPr>
          <w:rFonts w:hint="eastAsia" w:ascii="宋体" w:hAnsi="宋体" w:eastAsia="宋体" w:cs="宋体"/>
          <w:color w:val="000000"/>
          <w:sz w:val="32"/>
          <w:szCs w:val="32"/>
        </w:rPr>
      </w:r>
      <w:r/>
    </w:p>
    <w:p>
      <w:pPr>
        <w:pStyle w:val="1038"/>
        <w:ind w:firstLine="480"/>
        <w:spacing w:before="0" w:after="0" w:line="440" w:lineRule="exact"/>
        <w:rPr>
          <w:rFonts w:hint="eastAsia" w:ascii="宋体" w:hAnsi="宋体" w:eastAsia="宋体" w:cs="宋体"/>
          <w:bCs/>
          <w:color w:val="000000"/>
          <w:sz w:val="24"/>
          <w:szCs w:val="24"/>
        </w:rPr>
      </w:pPr>
      <w:r>
        <w:rPr>
          <w:rFonts w:hint="eastAsia" w:ascii="宋体" w:hAnsi="宋体" w:eastAsia="宋体" w:cs="宋体"/>
          <w:color w:val="000000"/>
          <w:sz w:val="24"/>
          <w:szCs w:val="24"/>
          <w:lang w:val="zh-CN"/>
        </w:rPr>
        <w:t xml:space="preserve">（投标人认为需要提供的与本次</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有关的其他材料）</w:t>
      </w:r>
      <w:r>
        <w:rPr>
          <w:rFonts w:hint="eastAsia" w:ascii="宋体" w:hAnsi="宋体" w:eastAsia="宋体" w:cs="宋体"/>
          <w:bCs/>
          <w:color w:val="000000"/>
          <w:sz w:val="24"/>
          <w:szCs w:val="24"/>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90"/>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- 26 -</w:t>
                          </w:r>
                          <w:r>
                            <w:rPr>
                              <w:sz w:val="24"/>
                              <w:szCs w:val="28"/>
                            </w:rPr>
                            <w:fldChar w:fldCharType="end"/>
                          </w:r>
                          <w:r>
                            <w:rPr>
                              <w:sz w:val="24"/>
                              <w:szCs w:val="28"/>
                            </w:rPr>
                          </w:r>
                          <w:r/>
                        </w:p>
                        <w:p>
                          <w:pPr>
                            <w:pStyle w:val="103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90"/>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- 26 -</w:t>
                    </w:r>
                    <w:r>
                      <w:rPr>
                        <w:sz w:val="24"/>
                        <w:szCs w:val="28"/>
                      </w:rPr>
                      <w:fldChar w:fldCharType="end"/>
                    </w:r>
                    <w:r>
                      <w:rPr>
                        <w:sz w:val="24"/>
                        <w:szCs w:val="28"/>
                      </w:rPr>
                    </w:r>
                    <w:r/>
                  </w:p>
                  <w:p>
                    <w:pPr>
                      <w:pStyle w:val="1038"/>
                    </w:pPr>
                    <w:r/>
                    <w:r/>
                  </w:p>
                </w:txbxContent>
              </v:textbox>
            </v:shape>
          </w:pict>
        </mc:Fallback>
      </mc:AlternateContent>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Pr>
    <w:r/>
    <w:r/>
  </w:p>
  <w:p>
    <w:pPr>
      <w:pStyle w:val="10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rPr>
        <w:rFonts w:hint="eastAsia" w:eastAsia="宋体"/>
        <w:b/>
        <w:bCs/>
        <w:color w:val="243f61"/>
        <w:sz w:val="15"/>
        <w:szCs w:val="13"/>
        <w:lang w:eastAsia="zh-CN"/>
      </w:rPr>
    </w:pPr>
    <w:r/>
    <w:bookmarkStart w:id="237"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237"/>
    <w:r>
      <w:rPr>
        <w:rFonts w:hint="eastAsia" w:ascii="宋体" w:hAnsi="宋体" w:eastAsia="宋体" w:cs="宋体"/>
        <w:b/>
        <w:bCs/>
        <w:color w:val="243f61"/>
        <w:sz w:val="22"/>
        <w:szCs w:val="21"/>
        <w:lang w:eastAsia="zh-CN"/>
      </w:rPr>
      <w:t xml:space="preserve">0675-266JOC004354</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38"/>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52"/>
      <w:isLgl w:val="false"/>
      <w:suff w:val="tab"/>
      <w:lvlText w:val=""/>
      <w:lvlJc w:val="left"/>
      <w:pPr>
        <w:pStyle w:val="1038"/>
        <w:ind w:left="420" w:hanging="420"/>
        <w:tabs>
          <w:tab w:val="num" w:pos="420" w:leader="none"/>
        </w:tabs>
      </w:pPr>
      <w:rPr>
        <w:rFonts w:ascii="Wingdings" w:hAnsi="Wingdings"/>
      </w:rPr>
    </w:lvl>
    <w:lvl w:ilvl="1">
      <w:start w:val="1"/>
      <w:numFmt w:val="decimal"/>
      <w:isLgl w:val="false"/>
      <w:suff w:val="tab"/>
      <w:lvlText w:val="（%2）"/>
      <w:lvlJc w:val="left"/>
      <w:pPr>
        <w:pStyle w:val="1038"/>
        <w:ind w:left="1500" w:hanging="1080"/>
        <w:tabs>
          <w:tab w:val="num" w:pos="1500" w:leader="none"/>
        </w:tabs>
      </w:pPr>
      <w:rPr>
        <w:rFonts w:hint="eastAsia"/>
      </w:rPr>
    </w:lvl>
    <w:lvl w:ilvl="2">
      <w:start w:val="1"/>
      <w:numFmt w:val="decimal"/>
      <w:isLgl w:val="false"/>
      <w:suff w:val="tab"/>
      <w:lvlText w:val="（%3）"/>
      <w:lvlJc w:val="left"/>
      <w:pPr>
        <w:pStyle w:val="1038"/>
        <w:ind w:left="1560" w:hanging="720"/>
        <w:tabs>
          <w:tab w:val="num" w:pos="1560" w:leader="none"/>
        </w:tabs>
      </w:pPr>
      <w:rPr>
        <w:rFonts w:hint="eastAsia"/>
      </w:rPr>
    </w:lvl>
    <w:lvl w:ilvl="3">
      <w:start w:val="1"/>
      <w:numFmt w:val="decimal"/>
      <w:isLgl w:val="false"/>
      <w:suff w:val="tab"/>
      <w:lvlText w:val="%4."/>
      <w:lvlJc w:val="left"/>
      <w:pPr>
        <w:pStyle w:val="1038"/>
        <w:ind w:left="1680" w:hanging="420"/>
        <w:tabs>
          <w:tab w:val="num" w:pos="1680" w:leader="none"/>
        </w:tabs>
      </w:pPr>
    </w:lvl>
    <w:lvl w:ilvl="4">
      <w:start w:val="1"/>
      <w:numFmt w:val="lowerLetter"/>
      <w:isLgl w:val="false"/>
      <w:suff w:val="tab"/>
      <w:lvlText w:val="%5)"/>
      <w:lvlJc w:val="left"/>
      <w:pPr>
        <w:pStyle w:val="1038"/>
        <w:ind w:left="2100" w:hanging="420"/>
        <w:tabs>
          <w:tab w:val="num" w:pos="2100" w:leader="none"/>
        </w:tabs>
      </w:pPr>
    </w:lvl>
    <w:lvl w:ilvl="5">
      <w:start w:val="1"/>
      <w:numFmt w:val="lowerRoman"/>
      <w:isLgl w:val="false"/>
      <w:suff w:val="tab"/>
      <w:lvlText w:val="%6."/>
      <w:lvlJc w:val="right"/>
      <w:pPr>
        <w:pStyle w:val="1038"/>
        <w:ind w:left="2520" w:hanging="420"/>
        <w:tabs>
          <w:tab w:val="num" w:pos="2520" w:leader="none"/>
        </w:tabs>
      </w:pPr>
    </w:lvl>
    <w:lvl w:ilvl="6">
      <w:start w:val="1"/>
      <w:numFmt w:val="decimal"/>
      <w:isLgl w:val="false"/>
      <w:suff w:val="tab"/>
      <w:lvlText w:val="%7."/>
      <w:lvlJc w:val="left"/>
      <w:pPr>
        <w:pStyle w:val="1038"/>
        <w:ind w:left="2940" w:hanging="420"/>
        <w:tabs>
          <w:tab w:val="num" w:pos="2940" w:leader="none"/>
        </w:tabs>
      </w:pPr>
    </w:lvl>
    <w:lvl w:ilvl="7">
      <w:start w:val="1"/>
      <w:numFmt w:val="lowerLetter"/>
      <w:isLgl w:val="false"/>
      <w:suff w:val="tab"/>
      <w:lvlText w:val="%8)"/>
      <w:lvlJc w:val="left"/>
      <w:pPr>
        <w:pStyle w:val="1038"/>
        <w:ind w:left="3360" w:hanging="420"/>
        <w:tabs>
          <w:tab w:val="num" w:pos="3360" w:leader="none"/>
        </w:tabs>
      </w:pPr>
    </w:lvl>
    <w:lvl w:ilvl="8">
      <w:start w:val="1"/>
      <w:numFmt w:val="lowerRoman"/>
      <w:isLgl w:val="false"/>
      <w:suff w:val="tab"/>
      <w:lvlText w:val="%9."/>
      <w:lvlJc w:val="right"/>
      <w:pPr>
        <w:pStyle w:val="1038"/>
        <w:ind w:left="3780" w:hanging="420"/>
        <w:tabs>
          <w:tab w:val="num" w:pos="3780" w:leader="none"/>
        </w:tabs>
      </w:pPr>
    </w:lvl>
  </w:abstractNum>
  <w:abstractNum w:abstractNumId="20">
    <w:multiLevelType w:val="hybridMultilevel"/>
    <w:lvl w:ilvl="0">
      <w:start w:val="1"/>
      <w:numFmt w:val="decimal"/>
      <w:pStyle w:val="1420"/>
      <w:isLgl w:val="false"/>
      <w:suff w:val="tab"/>
      <w:lvlText w:val="(%1)"/>
      <w:lvlJc w:val="left"/>
      <w:pPr>
        <w:pStyle w:val="103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8"/>
        <w:ind w:left="840" w:hanging="420"/>
        <w:tabs>
          <w:tab w:val="num" w:pos="840" w:leader="none"/>
        </w:tabs>
      </w:pPr>
    </w:lvl>
    <w:lvl w:ilvl="2">
      <w:start w:val="1"/>
      <w:numFmt w:val="lowerRoman"/>
      <w:isLgl w:val="false"/>
      <w:suff w:val="tab"/>
      <w:lvlText w:val="%3."/>
      <w:lvlJc w:val="right"/>
      <w:pPr>
        <w:pStyle w:val="1038"/>
        <w:ind w:left="1260" w:hanging="420"/>
        <w:tabs>
          <w:tab w:val="num" w:pos="1260" w:leader="none"/>
        </w:tabs>
      </w:pPr>
    </w:lvl>
    <w:lvl w:ilvl="3">
      <w:start w:val="1"/>
      <w:numFmt w:val="decimal"/>
      <w:isLgl w:val="false"/>
      <w:suff w:val="tab"/>
      <w:lvlText w:val="%4."/>
      <w:lvlJc w:val="left"/>
      <w:pPr>
        <w:pStyle w:val="1038"/>
        <w:ind w:left="1680" w:hanging="420"/>
        <w:tabs>
          <w:tab w:val="num" w:pos="1680" w:leader="none"/>
        </w:tabs>
      </w:pPr>
    </w:lvl>
    <w:lvl w:ilvl="4">
      <w:start w:val="1"/>
      <w:numFmt w:val="lowerLetter"/>
      <w:pStyle w:val="1404"/>
      <w:isLgl w:val="false"/>
      <w:suff w:val="tab"/>
      <w:lvlText w:val="%5)"/>
      <w:lvlJc w:val="left"/>
      <w:pPr>
        <w:pStyle w:val="1038"/>
        <w:ind w:left="2100" w:hanging="420"/>
        <w:tabs>
          <w:tab w:val="num" w:pos="2100" w:leader="none"/>
        </w:tabs>
      </w:pPr>
    </w:lvl>
    <w:lvl w:ilvl="5">
      <w:start w:val="1"/>
      <w:numFmt w:val="lowerRoman"/>
      <w:isLgl w:val="false"/>
      <w:suff w:val="tab"/>
      <w:lvlText w:val="%6."/>
      <w:lvlJc w:val="right"/>
      <w:pPr>
        <w:pStyle w:val="1038"/>
        <w:ind w:left="2520" w:hanging="420"/>
        <w:tabs>
          <w:tab w:val="num" w:pos="2520" w:leader="none"/>
        </w:tabs>
      </w:pPr>
    </w:lvl>
    <w:lvl w:ilvl="6">
      <w:start w:val="1"/>
      <w:numFmt w:val="decimal"/>
      <w:isLgl w:val="false"/>
      <w:suff w:val="tab"/>
      <w:lvlText w:val="%7."/>
      <w:lvlJc w:val="left"/>
      <w:pPr>
        <w:pStyle w:val="1038"/>
        <w:ind w:left="2940" w:hanging="420"/>
        <w:tabs>
          <w:tab w:val="num" w:pos="2940" w:leader="none"/>
        </w:tabs>
      </w:pPr>
    </w:lvl>
    <w:lvl w:ilvl="7">
      <w:start w:val="1"/>
      <w:numFmt w:val="lowerLetter"/>
      <w:isLgl w:val="false"/>
      <w:suff w:val="tab"/>
      <w:lvlText w:val="%8)"/>
      <w:lvlJc w:val="left"/>
      <w:pPr>
        <w:pStyle w:val="1038"/>
        <w:ind w:left="3360" w:hanging="420"/>
        <w:tabs>
          <w:tab w:val="num" w:pos="3360" w:leader="none"/>
        </w:tabs>
      </w:pPr>
    </w:lvl>
    <w:lvl w:ilvl="8">
      <w:start w:val="1"/>
      <w:numFmt w:val="lowerRoman"/>
      <w:isLgl w:val="false"/>
      <w:suff w:val="tab"/>
      <w:lvlText w:val="%9."/>
      <w:lvlJc w:val="right"/>
      <w:pPr>
        <w:pStyle w:val="1038"/>
        <w:ind w:left="3780" w:hanging="420"/>
        <w:tabs>
          <w:tab w:val="num" w:pos="3780" w:leader="none"/>
        </w:tabs>
      </w:pPr>
    </w:lvl>
  </w:abstractNum>
  <w:abstractNum w:abstractNumId="21">
    <w:multiLevelType w:val="hybridMultilevel"/>
    <w:lvl w:ilvl="0">
      <w:start w:val="1"/>
      <w:numFmt w:val="bullet"/>
      <w:pStyle w:val="1301"/>
      <w:isLgl w:val="false"/>
      <w:suff w:val="tab"/>
      <w:lvlText w:val=""/>
      <w:lvlJc w:val="left"/>
      <w:pPr>
        <w:pStyle w:val="103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63"/>
      <w:isLgl w:val="false"/>
      <w:suff w:val="tab"/>
      <w:lvlText w:val="%1"/>
      <w:lvlJc w:val="left"/>
      <w:pPr>
        <w:pStyle w:val="1038"/>
        <w:ind w:left="567" w:hanging="567"/>
        <w:tabs>
          <w:tab w:val="num" w:pos="567" w:leader="none"/>
        </w:tabs>
      </w:pPr>
      <w:rPr>
        <w:rFonts w:hint="eastAsia"/>
      </w:rPr>
    </w:lvl>
    <w:lvl w:ilvl="1">
      <w:start w:val="1"/>
      <w:numFmt w:val="decimal"/>
      <w:pStyle w:val="1372"/>
      <w:isLgl w:val="false"/>
      <w:suff w:val="tab"/>
      <w:lvlText w:val="%1.%2"/>
      <w:lvlJc w:val="left"/>
      <w:pPr>
        <w:pStyle w:val="1038"/>
        <w:ind w:left="567" w:hanging="283"/>
        <w:tabs>
          <w:tab w:val="num" w:pos="1004" w:leader="none"/>
        </w:tabs>
      </w:pPr>
      <w:rPr>
        <w:rFonts w:hint="eastAsia"/>
      </w:rPr>
    </w:lvl>
    <w:lvl w:ilvl="2">
      <w:start w:val="1"/>
      <w:numFmt w:val="decimal"/>
      <w:pStyle w:val="1373"/>
      <w:isLgl w:val="false"/>
      <w:suff w:val="tab"/>
      <w:lvlText w:val="%1.%2.%3"/>
      <w:lvlJc w:val="left"/>
      <w:pPr>
        <w:pStyle w:val="1038"/>
        <w:ind w:left="1134" w:hanging="567"/>
        <w:tabs>
          <w:tab w:val="num" w:pos="1647" w:leader="none"/>
        </w:tabs>
      </w:pPr>
      <w:rPr>
        <w:rFonts w:hint="eastAsia"/>
      </w:rPr>
    </w:lvl>
    <w:lvl w:ilvl="3">
      <w:start w:val="1"/>
      <w:numFmt w:val="decimal"/>
      <w:isLgl w:val="false"/>
      <w:suff w:val="tab"/>
      <w:lvlText w:val="%1.%2.%3.%4"/>
      <w:lvlJc w:val="left"/>
      <w:pPr>
        <w:pStyle w:val="1038"/>
        <w:ind w:left="2851" w:hanging="708"/>
        <w:tabs>
          <w:tab w:val="num" w:pos="3223" w:leader="none"/>
        </w:tabs>
      </w:pPr>
      <w:rPr>
        <w:rFonts w:hint="eastAsia"/>
      </w:rPr>
    </w:lvl>
    <w:lvl w:ilvl="4">
      <w:start w:val="1"/>
      <w:numFmt w:val="decimal"/>
      <w:isLgl w:val="false"/>
      <w:suff w:val="tab"/>
      <w:lvlText w:val="%1.%2.%3.%4.%5"/>
      <w:lvlJc w:val="left"/>
      <w:pPr>
        <w:pStyle w:val="1038"/>
        <w:ind w:left="3418" w:hanging="850"/>
        <w:tabs>
          <w:tab w:val="num" w:pos="3648" w:leader="none"/>
        </w:tabs>
      </w:pPr>
      <w:rPr>
        <w:rFonts w:hint="eastAsia"/>
      </w:rPr>
    </w:lvl>
    <w:lvl w:ilvl="5">
      <w:start w:val="1"/>
      <w:numFmt w:val="decimal"/>
      <w:isLgl w:val="false"/>
      <w:suff w:val="tab"/>
      <w:lvlText w:val="%1.%2.%3.%4.%5.%6"/>
      <w:lvlJc w:val="left"/>
      <w:pPr>
        <w:pStyle w:val="1038"/>
        <w:ind w:left="4127" w:hanging="1134"/>
        <w:tabs>
          <w:tab w:val="num" w:pos="4433" w:leader="none"/>
        </w:tabs>
      </w:pPr>
      <w:rPr>
        <w:rFonts w:hint="eastAsia"/>
      </w:rPr>
    </w:lvl>
    <w:lvl w:ilvl="6">
      <w:start w:val="1"/>
      <w:numFmt w:val="decimal"/>
      <w:isLgl w:val="false"/>
      <w:suff w:val="tab"/>
      <w:lvlText w:val="%1.%2.%3.%4.%5.%6.%7"/>
      <w:lvlJc w:val="left"/>
      <w:pPr>
        <w:pStyle w:val="1038"/>
        <w:ind w:left="4694" w:hanging="1276"/>
        <w:tabs>
          <w:tab w:val="num" w:pos="4858" w:leader="none"/>
        </w:tabs>
      </w:pPr>
      <w:rPr>
        <w:rFonts w:hint="eastAsia"/>
      </w:rPr>
    </w:lvl>
    <w:lvl w:ilvl="7">
      <w:start w:val="1"/>
      <w:numFmt w:val="decimal"/>
      <w:isLgl w:val="false"/>
      <w:suff w:val="tab"/>
      <w:lvlText w:val="%1.%2.%3.%4.%5.%6.%7.%8"/>
      <w:lvlJc w:val="left"/>
      <w:pPr>
        <w:pStyle w:val="1038"/>
        <w:ind w:left="5261" w:hanging="1418"/>
        <w:tabs>
          <w:tab w:val="num" w:pos="5643" w:leader="none"/>
        </w:tabs>
      </w:pPr>
      <w:rPr>
        <w:rFonts w:hint="eastAsia"/>
      </w:rPr>
    </w:lvl>
    <w:lvl w:ilvl="8">
      <w:start w:val="1"/>
      <w:numFmt w:val="decimal"/>
      <w:isLgl w:val="false"/>
      <w:suff w:val="tab"/>
      <w:lvlText w:val="%1.%2.%3.%4.%5.%6.%7.%8.%9"/>
      <w:lvlJc w:val="left"/>
      <w:pPr>
        <w:pStyle w:val="1038"/>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38"/>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1038"/>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103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1038"/>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1038"/>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2"/>
  </w:num>
  <w:num w:numId="7">
    <w:abstractNumId w:val="41"/>
  </w:num>
  <w:num w:numId="8">
    <w:abstractNumId w:val="42"/>
  </w:num>
  <w:num w:numId="9">
    <w:abstractNumId w:val="0"/>
  </w:num>
  <w:num w:numId="10">
    <w:abstractNumId w:val="2"/>
  </w:num>
  <w:num w:numId="11">
    <w:abstractNumId w:val="15"/>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6"/>
  </w:num>
  <w:num w:numId="20">
    <w:abstractNumId w:val="3"/>
  </w:num>
  <w:num w:numId="21">
    <w:abstractNumId w:val="14"/>
  </w:num>
  <w:num w:numId="22">
    <w:abstractNumId w:val="36"/>
  </w:num>
  <w:num w:numId="23">
    <w:abstractNumId w:val="37"/>
  </w:num>
  <w:num w:numId="24">
    <w:abstractNumId w:val="34"/>
  </w:num>
  <w:num w:numId="25">
    <w:abstractNumId w:val="40"/>
  </w:num>
  <w:num w:numId="26">
    <w:abstractNumId w:val="13"/>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1"/>
  </w:num>
  <w:num w:numId="42">
    <w:abstractNumId w:val="17"/>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name w:val="Heading 1"/>
    <w:basedOn w:val="1038"/>
    <w:next w:val="1038"/>
    <w:link w:val="863"/>
    <w:uiPriority w:val="9"/>
    <w:qFormat/>
    <w:pPr>
      <w:keepLines/>
      <w:keepNext/>
      <w:spacing w:before="480" w:after="200"/>
      <w:outlineLvl w:val="0"/>
    </w:pPr>
    <w:rPr>
      <w:rFonts w:ascii="Arial" w:hAnsi="Arial" w:eastAsia="Arial" w:cs="Arial"/>
      <w:sz w:val="40"/>
      <w:szCs w:val="40"/>
    </w:rPr>
  </w:style>
  <w:style w:type="character" w:styleId="863">
    <w:name w:val="Heading 1 Char"/>
    <w:link w:val="862"/>
    <w:uiPriority w:val="9"/>
    <w:rPr>
      <w:rFonts w:ascii="Arial" w:hAnsi="Arial" w:eastAsia="Arial" w:cs="Arial"/>
      <w:sz w:val="40"/>
      <w:szCs w:val="40"/>
    </w:rPr>
  </w:style>
  <w:style w:type="paragraph" w:styleId="864">
    <w:name w:val="Heading 2"/>
    <w:basedOn w:val="1038"/>
    <w:next w:val="1038"/>
    <w:link w:val="865"/>
    <w:uiPriority w:val="9"/>
    <w:unhideWhenUsed/>
    <w:qFormat/>
    <w:pPr>
      <w:keepLines/>
      <w:keepNext/>
      <w:spacing w:before="360" w:after="200"/>
      <w:outlineLvl w:val="1"/>
    </w:pPr>
    <w:rPr>
      <w:rFonts w:ascii="Arial" w:hAnsi="Arial" w:eastAsia="Arial" w:cs="Arial"/>
      <w:sz w:val="34"/>
    </w:rPr>
  </w:style>
  <w:style w:type="character" w:styleId="865">
    <w:name w:val="Heading 2 Char"/>
    <w:link w:val="864"/>
    <w:uiPriority w:val="9"/>
    <w:rPr>
      <w:rFonts w:ascii="Arial" w:hAnsi="Arial" w:eastAsia="Arial" w:cs="Arial"/>
      <w:sz w:val="34"/>
    </w:rPr>
  </w:style>
  <w:style w:type="paragraph" w:styleId="866">
    <w:name w:val="Heading 3"/>
    <w:basedOn w:val="1038"/>
    <w:next w:val="1038"/>
    <w:link w:val="867"/>
    <w:uiPriority w:val="9"/>
    <w:unhideWhenUsed/>
    <w:qFormat/>
    <w:pPr>
      <w:keepLines/>
      <w:keepNext/>
      <w:spacing w:before="320" w:after="200"/>
      <w:outlineLvl w:val="2"/>
    </w:pPr>
    <w:rPr>
      <w:rFonts w:ascii="Arial" w:hAnsi="Arial" w:eastAsia="Arial" w:cs="Arial"/>
      <w:sz w:val="30"/>
      <w:szCs w:val="30"/>
    </w:rPr>
  </w:style>
  <w:style w:type="character" w:styleId="867">
    <w:name w:val="Heading 3 Char"/>
    <w:link w:val="866"/>
    <w:uiPriority w:val="9"/>
    <w:rPr>
      <w:rFonts w:ascii="Arial" w:hAnsi="Arial" w:eastAsia="Arial" w:cs="Arial"/>
      <w:sz w:val="30"/>
      <w:szCs w:val="30"/>
    </w:rPr>
  </w:style>
  <w:style w:type="paragraph" w:styleId="868">
    <w:name w:val="Heading 4"/>
    <w:basedOn w:val="1038"/>
    <w:next w:val="1038"/>
    <w:link w:val="869"/>
    <w:uiPriority w:val="9"/>
    <w:unhideWhenUsed/>
    <w:qFormat/>
    <w:pPr>
      <w:keepLines/>
      <w:keepNext/>
      <w:spacing w:before="320" w:after="200"/>
      <w:outlineLvl w:val="3"/>
    </w:pPr>
    <w:rPr>
      <w:rFonts w:ascii="Arial" w:hAnsi="Arial" w:eastAsia="Arial" w:cs="Arial"/>
      <w:b/>
      <w:bCs/>
      <w:sz w:val="26"/>
      <w:szCs w:val="26"/>
    </w:rPr>
  </w:style>
  <w:style w:type="character" w:styleId="869">
    <w:name w:val="Heading 4 Char"/>
    <w:link w:val="868"/>
    <w:uiPriority w:val="9"/>
    <w:rPr>
      <w:rFonts w:ascii="Arial" w:hAnsi="Arial" w:eastAsia="Arial" w:cs="Arial"/>
      <w:b/>
      <w:bCs/>
      <w:sz w:val="26"/>
      <w:szCs w:val="26"/>
    </w:rPr>
  </w:style>
  <w:style w:type="paragraph" w:styleId="870">
    <w:name w:val="Heading 5"/>
    <w:basedOn w:val="1038"/>
    <w:next w:val="1038"/>
    <w:link w:val="871"/>
    <w:uiPriority w:val="9"/>
    <w:unhideWhenUsed/>
    <w:qFormat/>
    <w:pPr>
      <w:keepLines/>
      <w:keepNext/>
      <w:spacing w:before="320" w:after="200"/>
      <w:outlineLvl w:val="4"/>
    </w:pPr>
    <w:rPr>
      <w:rFonts w:ascii="Arial" w:hAnsi="Arial" w:eastAsia="Arial" w:cs="Arial"/>
      <w:b/>
      <w:bCs/>
      <w:sz w:val="24"/>
      <w:szCs w:val="24"/>
    </w:rPr>
  </w:style>
  <w:style w:type="character" w:styleId="871">
    <w:name w:val="Heading 5 Char"/>
    <w:link w:val="870"/>
    <w:uiPriority w:val="9"/>
    <w:rPr>
      <w:rFonts w:ascii="Arial" w:hAnsi="Arial" w:eastAsia="Arial" w:cs="Arial"/>
      <w:b/>
      <w:bCs/>
      <w:sz w:val="24"/>
      <w:szCs w:val="24"/>
    </w:rPr>
  </w:style>
  <w:style w:type="paragraph" w:styleId="872">
    <w:name w:val="Heading 6"/>
    <w:basedOn w:val="1038"/>
    <w:next w:val="1038"/>
    <w:link w:val="873"/>
    <w:uiPriority w:val="9"/>
    <w:unhideWhenUsed/>
    <w:qFormat/>
    <w:pPr>
      <w:keepLines/>
      <w:keepNext/>
      <w:spacing w:before="320" w:after="200"/>
      <w:outlineLvl w:val="5"/>
    </w:pPr>
    <w:rPr>
      <w:rFonts w:ascii="Arial" w:hAnsi="Arial" w:eastAsia="Arial" w:cs="Arial"/>
      <w:b/>
      <w:bCs/>
      <w:sz w:val="22"/>
      <w:szCs w:val="22"/>
    </w:rPr>
  </w:style>
  <w:style w:type="character" w:styleId="873">
    <w:name w:val="Heading 6 Char"/>
    <w:link w:val="872"/>
    <w:uiPriority w:val="9"/>
    <w:rPr>
      <w:rFonts w:ascii="Arial" w:hAnsi="Arial" w:eastAsia="Arial" w:cs="Arial"/>
      <w:b/>
      <w:bCs/>
      <w:sz w:val="22"/>
      <w:szCs w:val="22"/>
    </w:rPr>
  </w:style>
  <w:style w:type="paragraph" w:styleId="874">
    <w:name w:val="Heading 7"/>
    <w:basedOn w:val="1038"/>
    <w:next w:val="1038"/>
    <w:link w:val="875"/>
    <w:uiPriority w:val="9"/>
    <w:unhideWhenUsed/>
    <w:qFormat/>
    <w:pPr>
      <w:keepLines/>
      <w:keepNext/>
      <w:spacing w:before="320" w:after="200"/>
      <w:outlineLvl w:val="6"/>
    </w:pPr>
    <w:rPr>
      <w:rFonts w:ascii="Arial" w:hAnsi="Arial" w:eastAsia="Arial" w:cs="Arial"/>
      <w:b/>
      <w:bCs/>
      <w:i/>
      <w:iCs/>
      <w:sz w:val="22"/>
      <w:szCs w:val="22"/>
    </w:rPr>
  </w:style>
  <w:style w:type="character" w:styleId="875">
    <w:name w:val="Heading 7 Char"/>
    <w:link w:val="874"/>
    <w:uiPriority w:val="9"/>
    <w:rPr>
      <w:rFonts w:ascii="Arial" w:hAnsi="Arial" w:eastAsia="Arial" w:cs="Arial"/>
      <w:b/>
      <w:bCs/>
      <w:i/>
      <w:iCs/>
      <w:sz w:val="22"/>
      <w:szCs w:val="22"/>
    </w:rPr>
  </w:style>
  <w:style w:type="paragraph" w:styleId="876">
    <w:name w:val="Heading 8"/>
    <w:basedOn w:val="1038"/>
    <w:next w:val="1038"/>
    <w:link w:val="877"/>
    <w:uiPriority w:val="9"/>
    <w:unhideWhenUsed/>
    <w:qFormat/>
    <w:pPr>
      <w:keepLines/>
      <w:keepNext/>
      <w:spacing w:before="320" w:after="200"/>
      <w:outlineLvl w:val="7"/>
    </w:pPr>
    <w:rPr>
      <w:rFonts w:ascii="Arial" w:hAnsi="Arial" w:eastAsia="Arial" w:cs="Arial"/>
      <w:i/>
      <w:iCs/>
      <w:sz w:val="22"/>
      <w:szCs w:val="22"/>
    </w:rPr>
  </w:style>
  <w:style w:type="character" w:styleId="877">
    <w:name w:val="Heading 8 Char"/>
    <w:link w:val="876"/>
    <w:uiPriority w:val="9"/>
    <w:rPr>
      <w:rFonts w:ascii="Arial" w:hAnsi="Arial" w:eastAsia="Arial" w:cs="Arial"/>
      <w:i/>
      <w:iCs/>
      <w:sz w:val="22"/>
      <w:szCs w:val="22"/>
    </w:rPr>
  </w:style>
  <w:style w:type="paragraph" w:styleId="878">
    <w:name w:val="Heading 9"/>
    <w:basedOn w:val="1038"/>
    <w:next w:val="1038"/>
    <w:link w:val="879"/>
    <w:uiPriority w:val="9"/>
    <w:unhideWhenUsed/>
    <w:qFormat/>
    <w:pPr>
      <w:keepLines/>
      <w:keepNext/>
      <w:spacing w:before="320" w:after="200"/>
      <w:outlineLvl w:val="8"/>
    </w:pPr>
    <w:rPr>
      <w:rFonts w:ascii="Arial" w:hAnsi="Arial" w:eastAsia="Arial" w:cs="Arial"/>
      <w:i/>
      <w:iCs/>
      <w:sz w:val="21"/>
      <w:szCs w:val="21"/>
    </w:rPr>
  </w:style>
  <w:style w:type="character" w:styleId="879">
    <w:name w:val="Heading 9 Char"/>
    <w:link w:val="878"/>
    <w:uiPriority w:val="9"/>
    <w:rPr>
      <w:rFonts w:ascii="Arial" w:hAnsi="Arial" w:eastAsia="Arial" w:cs="Arial"/>
      <w:i/>
      <w:iCs/>
      <w:sz w:val="21"/>
      <w:szCs w:val="21"/>
    </w:rPr>
  </w:style>
  <w:style w:type="paragraph" w:styleId="880">
    <w:name w:val="Title"/>
    <w:basedOn w:val="1038"/>
    <w:next w:val="1038"/>
    <w:link w:val="881"/>
    <w:uiPriority w:val="10"/>
    <w:qFormat/>
    <w:pPr>
      <w:contextualSpacing/>
      <w:spacing w:before="300" w:after="200"/>
    </w:pPr>
    <w:rPr>
      <w:sz w:val="48"/>
      <w:szCs w:val="48"/>
    </w:rPr>
  </w:style>
  <w:style w:type="character" w:styleId="881">
    <w:name w:val="Title Char"/>
    <w:link w:val="880"/>
    <w:uiPriority w:val="10"/>
    <w:rPr>
      <w:sz w:val="48"/>
      <w:szCs w:val="48"/>
    </w:rPr>
  </w:style>
  <w:style w:type="paragraph" w:styleId="882">
    <w:name w:val="Subtitle"/>
    <w:basedOn w:val="1038"/>
    <w:next w:val="1038"/>
    <w:link w:val="883"/>
    <w:uiPriority w:val="11"/>
    <w:qFormat/>
    <w:pPr>
      <w:spacing w:before="200" w:after="200"/>
    </w:pPr>
    <w:rPr>
      <w:sz w:val="24"/>
      <w:szCs w:val="24"/>
    </w:rPr>
  </w:style>
  <w:style w:type="character" w:styleId="883">
    <w:name w:val="Subtitle Char"/>
    <w:link w:val="882"/>
    <w:uiPriority w:val="11"/>
    <w:rPr>
      <w:sz w:val="24"/>
      <w:szCs w:val="24"/>
    </w:rPr>
  </w:style>
  <w:style w:type="paragraph" w:styleId="884">
    <w:name w:val="Quote"/>
    <w:basedOn w:val="1038"/>
    <w:next w:val="1038"/>
    <w:link w:val="885"/>
    <w:uiPriority w:val="29"/>
    <w:qFormat/>
    <w:pPr>
      <w:ind w:left="720" w:right="720"/>
    </w:pPr>
    <w:rPr>
      <w:i/>
    </w:rPr>
  </w:style>
  <w:style w:type="character" w:styleId="885">
    <w:name w:val="Quote Char"/>
    <w:link w:val="884"/>
    <w:uiPriority w:val="29"/>
    <w:rPr>
      <w:i/>
    </w:rPr>
  </w:style>
  <w:style w:type="paragraph" w:styleId="886">
    <w:name w:val="Intense Quote"/>
    <w:basedOn w:val="1038"/>
    <w:next w:val="1038"/>
    <w:link w:val="8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Intense Quote Char"/>
    <w:link w:val="886"/>
    <w:uiPriority w:val="30"/>
    <w:rPr>
      <w:i/>
    </w:rPr>
  </w:style>
  <w:style w:type="paragraph" w:styleId="888">
    <w:name w:val="Header"/>
    <w:basedOn w:val="1038"/>
    <w:link w:val="889"/>
    <w:uiPriority w:val="99"/>
    <w:unhideWhenUsed/>
    <w:pPr>
      <w:spacing w:after="0" w:line="240" w:lineRule="auto"/>
      <w:tabs>
        <w:tab w:val="center" w:pos="7143" w:leader="none"/>
        <w:tab w:val="right" w:pos="14287" w:leader="none"/>
      </w:tabs>
    </w:pPr>
  </w:style>
  <w:style w:type="character" w:styleId="889">
    <w:name w:val="Header Char"/>
    <w:link w:val="888"/>
    <w:uiPriority w:val="99"/>
  </w:style>
  <w:style w:type="paragraph" w:styleId="890">
    <w:name w:val="Footer"/>
    <w:basedOn w:val="1038"/>
    <w:link w:val="893"/>
    <w:uiPriority w:val="99"/>
    <w:unhideWhenUsed/>
    <w:pPr>
      <w:spacing w:after="0" w:line="240" w:lineRule="auto"/>
      <w:tabs>
        <w:tab w:val="center" w:pos="7143" w:leader="none"/>
        <w:tab w:val="right" w:pos="14287" w:leader="none"/>
      </w:tabs>
    </w:pPr>
  </w:style>
  <w:style w:type="character" w:styleId="891">
    <w:name w:val="Footer Char"/>
    <w:link w:val="890"/>
    <w:uiPriority w:val="99"/>
  </w:style>
  <w:style w:type="paragraph" w:styleId="892">
    <w:name w:val="Caption"/>
    <w:basedOn w:val="1038"/>
    <w:next w:val="1038"/>
    <w:uiPriority w:val="35"/>
    <w:semiHidden/>
    <w:unhideWhenUsed/>
    <w:qFormat/>
    <w:pPr>
      <w:spacing w:line="276" w:lineRule="auto"/>
    </w:pPr>
    <w:rPr>
      <w:b/>
      <w:bCs/>
      <w:color w:val="4f81bd" w:themeColor="accent1"/>
      <w:sz w:val="18"/>
      <w:szCs w:val="18"/>
    </w:rPr>
  </w:style>
  <w:style w:type="character" w:styleId="893">
    <w:name w:val="Caption Char"/>
    <w:basedOn w:val="892"/>
    <w:link w:val="890"/>
    <w:uiPriority w:val="99"/>
  </w:style>
  <w:style w:type="table" w:styleId="8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0">
    <w:name w:val="Hyperlink"/>
    <w:uiPriority w:val="99"/>
    <w:unhideWhenUsed/>
    <w:rPr>
      <w:color w:val="0000ff" w:themeColor="hyperlink"/>
      <w:u w:val="single"/>
    </w:rPr>
  </w:style>
  <w:style w:type="paragraph" w:styleId="1021">
    <w:name w:val="footnote text"/>
    <w:basedOn w:val="1038"/>
    <w:link w:val="1022"/>
    <w:uiPriority w:val="99"/>
    <w:semiHidden/>
    <w:unhideWhenUsed/>
    <w:pPr>
      <w:spacing w:after="40" w:line="240" w:lineRule="auto"/>
    </w:pPr>
    <w:rPr>
      <w:sz w:val="18"/>
    </w:rPr>
  </w:style>
  <w:style w:type="character" w:styleId="1022">
    <w:name w:val="Footnote Text Char"/>
    <w:link w:val="1021"/>
    <w:uiPriority w:val="99"/>
    <w:rPr>
      <w:sz w:val="18"/>
    </w:rPr>
  </w:style>
  <w:style w:type="character" w:styleId="1023">
    <w:name w:val="footnote reference"/>
    <w:uiPriority w:val="99"/>
    <w:unhideWhenUsed/>
    <w:rPr>
      <w:vertAlign w:val="superscript"/>
    </w:rPr>
  </w:style>
  <w:style w:type="paragraph" w:styleId="1024">
    <w:name w:val="endnote text"/>
    <w:basedOn w:val="1038"/>
    <w:link w:val="1025"/>
    <w:uiPriority w:val="99"/>
    <w:semiHidden/>
    <w:unhideWhenUsed/>
    <w:pPr>
      <w:spacing w:after="0" w:line="240" w:lineRule="auto"/>
    </w:pPr>
    <w:rPr>
      <w:sz w:val="20"/>
    </w:rPr>
  </w:style>
  <w:style w:type="character" w:styleId="1025">
    <w:name w:val="Endnote Text Char"/>
    <w:link w:val="1024"/>
    <w:uiPriority w:val="99"/>
    <w:rPr>
      <w:sz w:val="20"/>
    </w:rPr>
  </w:style>
  <w:style w:type="character" w:styleId="1026">
    <w:name w:val="endnote reference"/>
    <w:uiPriority w:val="99"/>
    <w:semiHidden/>
    <w:unhideWhenUsed/>
    <w:rPr>
      <w:vertAlign w:val="superscript"/>
    </w:rPr>
  </w:style>
  <w:style w:type="paragraph" w:styleId="1027">
    <w:name w:val="toc 1"/>
    <w:basedOn w:val="1038"/>
    <w:next w:val="1038"/>
    <w:uiPriority w:val="39"/>
    <w:unhideWhenUsed/>
    <w:pPr>
      <w:ind w:left="0" w:right="0" w:firstLine="0"/>
      <w:spacing w:after="57"/>
    </w:pPr>
  </w:style>
  <w:style w:type="paragraph" w:styleId="1028">
    <w:name w:val="toc 2"/>
    <w:basedOn w:val="1038"/>
    <w:next w:val="1038"/>
    <w:uiPriority w:val="39"/>
    <w:unhideWhenUsed/>
    <w:pPr>
      <w:ind w:left="283" w:right="0" w:firstLine="0"/>
      <w:spacing w:after="57"/>
    </w:pPr>
  </w:style>
  <w:style w:type="paragraph" w:styleId="1029">
    <w:name w:val="toc 3"/>
    <w:basedOn w:val="1038"/>
    <w:next w:val="1038"/>
    <w:uiPriority w:val="39"/>
    <w:unhideWhenUsed/>
    <w:pPr>
      <w:ind w:left="567" w:right="0" w:firstLine="0"/>
      <w:spacing w:after="57"/>
    </w:pPr>
  </w:style>
  <w:style w:type="paragraph" w:styleId="1030">
    <w:name w:val="toc 4"/>
    <w:basedOn w:val="1038"/>
    <w:next w:val="1038"/>
    <w:uiPriority w:val="39"/>
    <w:unhideWhenUsed/>
    <w:pPr>
      <w:ind w:left="850" w:right="0" w:firstLine="0"/>
      <w:spacing w:after="57"/>
    </w:pPr>
  </w:style>
  <w:style w:type="paragraph" w:styleId="1031">
    <w:name w:val="toc 5"/>
    <w:basedOn w:val="1038"/>
    <w:next w:val="1038"/>
    <w:uiPriority w:val="39"/>
    <w:unhideWhenUsed/>
    <w:pPr>
      <w:ind w:left="1134" w:right="0" w:firstLine="0"/>
      <w:spacing w:after="57"/>
    </w:pPr>
  </w:style>
  <w:style w:type="paragraph" w:styleId="1032">
    <w:name w:val="toc 6"/>
    <w:basedOn w:val="1038"/>
    <w:next w:val="1038"/>
    <w:uiPriority w:val="39"/>
    <w:unhideWhenUsed/>
    <w:pPr>
      <w:ind w:left="1417" w:right="0" w:firstLine="0"/>
      <w:spacing w:after="57"/>
    </w:pPr>
  </w:style>
  <w:style w:type="paragraph" w:styleId="1033">
    <w:name w:val="toc 7"/>
    <w:basedOn w:val="1038"/>
    <w:next w:val="1038"/>
    <w:uiPriority w:val="39"/>
    <w:unhideWhenUsed/>
    <w:pPr>
      <w:ind w:left="1701" w:right="0" w:firstLine="0"/>
      <w:spacing w:after="57"/>
    </w:pPr>
  </w:style>
  <w:style w:type="paragraph" w:styleId="1034">
    <w:name w:val="toc 8"/>
    <w:basedOn w:val="1038"/>
    <w:next w:val="1038"/>
    <w:uiPriority w:val="39"/>
    <w:unhideWhenUsed/>
    <w:pPr>
      <w:ind w:left="1984" w:right="0" w:firstLine="0"/>
      <w:spacing w:after="57"/>
    </w:pPr>
  </w:style>
  <w:style w:type="paragraph" w:styleId="1035">
    <w:name w:val="toc 9"/>
    <w:basedOn w:val="1038"/>
    <w:next w:val="1038"/>
    <w:uiPriority w:val="39"/>
    <w:unhideWhenUsed/>
    <w:pPr>
      <w:ind w:left="2268" w:right="0" w:firstLine="0"/>
      <w:spacing w:after="57"/>
    </w:pPr>
  </w:style>
  <w:style w:type="paragraph" w:styleId="1036">
    <w:name w:val="TOC Heading"/>
    <w:uiPriority w:val="39"/>
    <w:unhideWhenUsed/>
  </w:style>
  <w:style w:type="paragraph" w:styleId="1037">
    <w:name w:val="table of figures"/>
    <w:basedOn w:val="1038"/>
    <w:next w:val="1038"/>
    <w:uiPriority w:val="99"/>
    <w:unhideWhenUsed/>
    <w:pPr>
      <w:spacing w:after="0" w:afterAutospacing="0"/>
    </w:pPr>
  </w:style>
  <w:style w:type="paragraph" w:styleId="1038" w:default="1">
    <w:name w:val="Normal"/>
    <w:next w:val="1050"/>
    <w:link w:val="1038"/>
    <w:qFormat/>
    <w:pPr>
      <w:jc w:val="both"/>
      <w:spacing w:before="120" w:after="120" w:line="360" w:lineRule="auto"/>
      <w:widowControl w:val="off"/>
    </w:pPr>
    <w:rPr>
      <w:rFonts w:eastAsia="微软雅黑"/>
      <w:sz w:val="21"/>
      <w:lang w:val="en-US" w:eastAsia="zh-CN" w:bidi="ar-SA"/>
    </w:rPr>
  </w:style>
  <w:style w:type="paragraph" w:styleId="1039">
    <w:name w:val="标题 1"/>
    <w:basedOn w:val="1038"/>
    <w:next w:val="1038"/>
    <w:link w:val="1051"/>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40">
    <w:name w:val="标题 2"/>
    <w:basedOn w:val="1038"/>
    <w:next w:val="1038"/>
    <w:link w:val="1052"/>
    <w:qFormat/>
    <w:pPr>
      <w:jc w:val="left"/>
      <w:keepLines/>
      <w:keepNext/>
      <w:outlineLvl w:val="1"/>
    </w:pPr>
    <w:rPr>
      <w:rFonts w:ascii="宋体" w:hAnsi="宋体"/>
      <w:b/>
      <w:sz w:val="28"/>
      <w:szCs w:val="24"/>
    </w:rPr>
  </w:style>
  <w:style w:type="paragraph" w:styleId="1041">
    <w:name w:val="标题 3"/>
    <w:basedOn w:val="1038"/>
    <w:next w:val="1038"/>
    <w:link w:val="1053"/>
    <w:qFormat/>
    <w:pPr>
      <w:keepLines/>
      <w:keepNext/>
      <w:spacing w:line="390" w:lineRule="atLeast"/>
      <w:shd w:val="clear" w:color="auto" w:fill="ffffff"/>
      <w:outlineLvl w:val="2"/>
    </w:pPr>
    <w:rPr>
      <w:rFonts w:ascii="宋体" w:hAnsi="宋体"/>
      <w:b/>
      <w:sz w:val="24"/>
      <w:szCs w:val="21"/>
    </w:rPr>
  </w:style>
  <w:style w:type="paragraph" w:styleId="1042">
    <w:name w:val="标题 4"/>
    <w:basedOn w:val="1038"/>
    <w:next w:val="1038"/>
    <w:link w:val="1054"/>
    <w:qFormat/>
    <w:pPr>
      <w:keepLines/>
      <w:keepNext/>
      <w:spacing w:before="120" w:after="120"/>
      <w:outlineLvl w:val="3"/>
    </w:pPr>
    <w:rPr>
      <w:rFonts w:ascii="Arial" w:hAnsi="Arial" w:eastAsia="黑体"/>
      <w:b/>
      <w:sz w:val="28"/>
    </w:rPr>
  </w:style>
  <w:style w:type="paragraph" w:styleId="1043">
    <w:name w:val="标题 5"/>
    <w:basedOn w:val="1038"/>
    <w:next w:val="1056"/>
    <w:link w:val="1055"/>
    <w:qFormat/>
    <w:pPr>
      <w:keepNext/>
      <w:spacing w:before="145" w:after="145"/>
      <w:outlineLvl w:val="4"/>
    </w:pPr>
    <w:rPr>
      <w:rFonts w:ascii="黑体" w:eastAsia="黑体"/>
      <w:b/>
      <w:color w:val="000000"/>
      <w:sz w:val="28"/>
    </w:rPr>
  </w:style>
  <w:style w:type="paragraph" w:styleId="1044">
    <w:name w:val="标题 6"/>
    <w:basedOn w:val="1038"/>
    <w:next w:val="1038"/>
    <w:link w:val="1057"/>
    <w:qFormat/>
    <w:pPr>
      <w:keepLines/>
      <w:keepNext/>
      <w:spacing w:before="240" w:after="64" w:line="320" w:lineRule="auto"/>
      <w:outlineLvl w:val="5"/>
    </w:pPr>
    <w:rPr>
      <w:rFonts w:ascii="Arial" w:hAnsi="Arial" w:eastAsia="黑体"/>
      <w:b/>
      <w:bCs/>
      <w:sz w:val="24"/>
      <w:szCs w:val="24"/>
    </w:rPr>
  </w:style>
  <w:style w:type="paragraph" w:styleId="1045">
    <w:name w:val="标题 7"/>
    <w:basedOn w:val="1038"/>
    <w:next w:val="1038"/>
    <w:link w:val="1058"/>
    <w:qFormat/>
    <w:pPr>
      <w:keepLines/>
      <w:keepNext/>
      <w:spacing w:before="240" w:after="64" w:line="320" w:lineRule="auto"/>
      <w:outlineLvl w:val="6"/>
    </w:pPr>
    <w:rPr>
      <w:rFonts w:eastAsia="宋体"/>
      <w:b/>
      <w:bCs/>
      <w:sz w:val="24"/>
      <w:szCs w:val="24"/>
    </w:rPr>
  </w:style>
  <w:style w:type="paragraph" w:styleId="1046">
    <w:name w:val="标题 8"/>
    <w:basedOn w:val="1038"/>
    <w:next w:val="1038"/>
    <w:link w:val="1059"/>
    <w:qFormat/>
    <w:pPr>
      <w:keepLines/>
      <w:keepNext/>
      <w:spacing w:before="240" w:after="64" w:line="320" w:lineRule="auto"/>
      <w:outlineLvl w:val="7"/>
    </w:pPr>
    <w:rPr>
      <w:rFonts w:ascii="Arial" w:hAnsi="Arial" w:eastAsia="黑体"/>
      <w:sz w:val="24"/>
      <w:szCs w:val="24"/>
    </w:rPr>
  </w:style>
  <w:style w:type="paragraph" w:styleId="1047">
    <w:name w:val="标题 9"/>
    <w:basedOn w:val="1038"/>
    <w:next w:val="1038"/>
    <w:link w:val="1060"/>
    <w:qFormat/>
    <w:pPr>
      <w:keepLines/>
      <w:keepNext/>
      <w:spacing w:before="240" w:after="64" w:line="320" w:lineRule="auto"/>
      <w:outlineLvl w:val="8"/>
    </w:pPr>
    <w:rPr>
      <w:rFonts w:ascii="Arial" w:hAnsi="Arial" w:eastAsia="黑体"/>
      <w:szCs w:val="21"/>
    </w:rPr>
  </w:style>
  <w:style w:type="character" w:styleId="1048">
    <w:name w:val="默认段落字体"/>
    <w:next w:val="1048"/>
    <w:link w:val="1038"/>
    <w:rPr>
      <w:rFonts w:ascii="Times New Roman" w:hAnsi="Times New Roman" w:eastAsia="宋体" w:cs="Times New Roman"/>
    </w:rPr>
  </w:style>
  <w:style w:type="table" w:styleId="1049">
    <w:name w:val="普通表格"/>
    <w:next w:val="1049"/>
    <w:link w:val="1038"/>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50">
    <w:name w:val="索引 4"/>
    <w:basedOn w:val="1038"/>
    <w:next w:val="1038"/>
    <w:link w:val="1038"/>
    <w:pPr>
      <w:ind w:left="1260"/>
    </w:pPr>
    <w:rPr>
      <w:rFonts w:ascii="Times New Roman" w:hAnsi="Times New Roman" w:eastAsia="宋体" w:cs="Times New Roman"/>
    </w:rPr>
  </w:style>
  <w:style w:type="character" w:styleId="1051">
    <w:name w:val="标题 1 Char"/>
    <w:next w:val="1051"/>
    <w:link w:val="1039"/>
    <w:rPr>
      <w:rFonts w:ascii="黑体" w:hAnsi="Times New Roman" w:eastAsia="微软雅黑" w:cs="Times New Roman"/>
      <w:b/>
      <w:sz w:val="32"/>
      <w:szCs w:val="28"/>
    </w:rPr>
  </w:style>
  <w:style w:type="character" w:styleId="1052">
    <w:name w:val="标题 2 Char"/>
    <w:next w:val="1052"/>
    <w:link w:val="1040"/>
    <w:rPr>
      <w:rFonts w:ascii="宋体" w:hAnsi="宋体" w:eastAsia="微软雅黑" w:cs="Times New Roman"/>
      <w:b/>
      <w:sz w:val="28"/>
      <w:szCs w:val="24"/>
    </w:rPr>
  </w:style>
  <w:style w:type="character" w:styleId="1053">
    <w:name w:val="标题 3 Char2"/>
    <w:next w:val="1053"/>
    <w:link w:val="1041"/>
    <w:rPr>
      <w:rFonts w:ascii="宋体" w:hAnsi="宋体" w:eastAsia="微软雅黑" w:cs="Times New Roman"/>
      <w:b/>
      <w:sz w:val="24"/>
      <w:szCs w:val="21"/>
      <w:shd w:val="clear" w:color="auto" w:fill="ffffff"/>
    </w:rPr>
  </w:style>
  <w:style w:type="character" w:styleId="1054">
    <w:name w:val="标题 4 Char"/>
    <w:next w:val="1054"/>
    <w:link w:val="1042"/>
    <w:rPr>
      <w:rFonts w:ascii="Arial" w:hAnsi="Arial" w:eastAsia="黑体" w:cs="Times New Roman"/>
      <w:b/>
      <w:sz w:val="28"/>
      <w:lang w:val="en-US" w:eastAsia="zh-CN" w:bidi="ar-SA"/>
    </w:rPr>
  </w:style>
  <w:style w:type="character" w:styleId="1055">
    <w:name w:val="标题 5 Char"/>
    <w:next w:val="1055"/>
    <w:link w:val="1043"/>
    <w:rPr>
      <w:rFonts w:ascii="黑体" w:hAnsi="Times New Roman" w:eastAsia="黑体" w:cs="Times New Roman"/>
      <w:b/>
      <w:color w:val="000000"/>
      <w:sz w:val="28"/>
      <w:lang w:val="en-US" w:eastAsia="zh-CN" w:bidi="ar-SA"/>
    </w:rPr>
  </w:style>
  <w:style w:type="paragraph" w:styleId="1056">
    <w:name w:val="正文缩进"/>
    <w:basedOn w:val="1038"/>
    <w:next w:val="1056"/>
    <w:link w:val="1038"/>
    <w:pPr>
      <w:ind w:firstLine="420"/>
    </w:pPr>
    <w:rPr>
      <w:rFonts w:ascii="Times New Roman" w:hAnsi="Times New Roman" w:eastAsia="宋体" w:cs="Times New Roman"/>
    </w:rPr>
  </w:style>
  <w:style w:type="character" w:styleId="1057">
    <w:name w:val="标题 6 Char"/>
    <w:next w:val="1057"/>
    <w:link w:val="1044"/>
    <w:rPr>
      <w:rFonts w:ascii="Arial" w:hAnsi="Arial" w:eastAsia="黑体" w:cs="Times New Roman"/>
      <w:b/>
      <w:bCs/>
      <w:sz w:val="24"/>
      <w:szCs w:val="24"/>
      <w:lang w:val="en-US" w:eastAsia="zh-CN" w:bidi="ar-SA"/>
    </w:rPr>
  </w:style>
  <w:style w:type="character" w:styleId="1058">
    <w:name w:val="标题 7 Char"/>
    <w:next w:val="1058"/>
    <w:link w:val="1045"/>
    <w:rPr>
      <w:rFonts w:ascii="Times New Roman" w:hAnsi="Times New Roman" w:eastAsia="宋体" w:cs="Times New Roman"/>
      <w:b/>
      <w:bCs/>
      <w:sz w:val="24"/>
      <w:szCs w:val="24"/>
      <w:lang w:val="en-US" w:eastAsia="zh-CN" w:bidi="ar-SA"/>
    </w:rPr>
  </w:style>
  <w:style w:type="character" w:styleId="1059">
    <w:name w:val="标题 8 Char"/>
    <w:next w:val="1059"/>
    <w:link w:val="1046"/>
    <w:rPr>
      <w:rFonts w:ascii="Arial" w:hAnsi="Arial" w:eastAsia="黑体" w:cs="Times New Roman"/>
      <w:sz w:val="24"/>
      <w:szCs w:val="24"/>
      <w:lang w:val="en-US" w:eastAsia="zh-CN" w:bidi="ar-SA"/>
    </w:rPr>
  </w:style>
  <w:style w:type="character" w:styleId="1060">
    <w:name w:val="标题 9 Char"/>
    <w:next w:val="1060"/>
    <w:link w:val="1047"/>
    <w:rPr>
      <w:rFonts w:ascii="Arial" w:hAnsi="Arial" w:eastAsia="黑体" w:cs="Times New Roman"/>
      <w:sz w:val="21"/>
      <w:szCs w:val="21"/>
      <w:lang w:val="en-US" w:eastAsia="zh-CN" w:bidi="ar-SA"/>
    </w:rPr>
  </w:style>
  <w:style w:type="paragraph" w:styleId="1061">
    <w:name w:val="列表 3"/>
    <w:basedOn w:val="1038"/>
    <w:next w:val="1061"/>
    <w:link w:val="1038"/>
    <w:pPr>
      <w:ind w:left="1260" w:hanging="420"/>
    </w:pPr>
    <w:rPr>
      <w:rFonts w:ascii="Times New Roman" w:hAnsi="Times New Roman" w:eastAsia="宋体" w:cs="Times New Roman"/>
    </w:rPr>
  </w:style>
  <w:style w:type="paragraph" w:styleId="1062">
    <w:name w:val="目录 7"/>
    <w:basedOn w:val="1038"/>
    <w:next w:val="1038"/>
    <w:link w:val="1038"/>
    <w:pPr>
      <w:ind w:left="1680"/>
      <w:jc w:val="left"/>
      <w:spacing w:before="0" w:after="0"/>
    </w:pPr>
    <w:rPr>
      <w:rFonts w:ascii="Calibri" w:hAnsi="Calibri" w:eastAsia="宋体" w:cs="Times New Roman"/>
      <w:sz w:val="18"/>
      <w:szCs w:val="18"/>
    </w:rPr>
  </w:style>
  <w:style w:type="paragraph" w:styleId="1063">
    <w:name w:val="列表编号 2"/>
    <w:basedOn w:val="1038"/>
    <w:next w:val="1063"/>
    <w:link w:val="1038"/>
    <w:pPr>
      <w:ind w:left="1440" w:hanging="1440"/>
      <w:spacing w:line="360" w:lineRule="auto"/>
      <w:tabs>
        <w:tab w:val="left" w:pos="1440" w:leader="none"/>
      </w:tabs>
    </w:pPr>
    <w:rPr>
      <w:rFonts w:ascii="Times New Roman" w:hAnsi="Times New Roman" w:eastAsia="宋体" w:cs="Times New Roman"/>
      <w:sz w:val="24"/>
      <w:szCs w:val="24"/>
    </w:rPr>
  </w:style>
  <w:style w:type="paragraph" w:styleId="1064">
    <w:name w:val="索引 8"/>
    <w:basedOn w:val="1038"/>
    <w:next w:val="1038"/>
    <w:link w:val="1038"/>
    <w:pPr>
      <w:ind w:left="2940"/>
    </w:pPr>
    <w:rPr>
      <w:rFonts w:ascii="Times New Roman" w:hAnsi="Times New Roman" w:eastAsia="宋体" w:cs="Times New Roman"/>
    </w:rPr>
  </w:style>
  <w:style w:type="paragraph" w:styleId="1065">
    <w:name w:val="列表编号"/>
    <w:basedOn w:val="1038"/>
    <w:next w:val="1065"/>
    <w:link w:val="1038"/>
    <w:pPr>
      <w:ind w:left="2952" w:hanging="432"/>
      <w:tabs>
        <w:tab w:val="left" w:pos="2952" w:leader="none"/>
      </w:tabs>
    </w:pPr>
    <w:rPr>
      <w:rFonts w:ascii="Times New Roman" w:hAnsi="Times New Roman" w:eastAsia="宋体" w:cs="Times New Roman"/>
      <w:szCs w:val="24"/>
    </w:rPr>
  </w:style>
  <w:style w:type="paragraph" w:styleId="1066">
    <w:name w:val="索引 5"/>
    <w:basedOn w:val="1038"/>
    <w:next w:val="1038"/>
    <w:link w:val="1038"/>
    <w:pPr>
      <w:ind w:left="1680"/>
    </w:pPr>
    <w:rPr>
      <w:rFonts w:ascii="Times New Roman" w:hAnsi="Times New Roman" w:eastAsia="宋体" w:cs="Times New Roman"/>
    </w:rPr>
  </w:style>
  <w:style w:type="paragraph" w:styleId="1067">
    <w:name w:val="文档结构图"/>
    <w:basedOn w:val="1038"/>
    <w:next w:val="1067"/>
    <w:link w:val="1068"/>
    <w:pPr>
      <w:shd w:val="clear" w:color="auto" w:fill="000080"/>
    </w:pPr>
    <w:rPr>
      <w:rFonts w:eastAsia="宋体"/>
    </w:rPr>
  </w:style>
  <w:style w:type="character" w:styleId="1068">
    <w:name w:val="文档结构图 Char"/>
    <w:next w:val="1068"/>
    <w:link w:val="1067"/>
    <w:rPr>
      <w:rFonts w:ascii="Times New Roman" w:hAnsi="Times New Roman" w:eastAsia="宋体" w:cs="Times New Roman"/>
      <w:sz w:val="21"/>
      <w:lang w:val="en-US" w:eastAsia="zh-CN" w:bidi="ar-SA"/>
    </w:rPr>
  </w:style>
  <w:style w:type="paragraph" w:styleId="1069">
    <w:name w:val="引文目录标题"/>
    <w:basedOn w:val="1038"/>
    <w:next w:val="1038"/>
    <w:link w:val="1038"/>
    <w:uiPriority w:val="99"/>
    <w:qFormat/>
    <w:pPr>
      <w:spacing w:before="120"/>
    </w:pPr>
    <w:rPr>
      <w:rFonts w:ascii="Cambria" w:hAnsi="Cambria"/>
      <w:sz w:val="24"/>
    </w:rPr>
  </w:style>
  <w:style w:type="paragraph" w:styleId="1070">
    <w:name w:val="批注文字"/>
    <w:basedOn w:val="1038"/>
    <w:next w:val="1070"/>
    <w:link w:val="1071"/>
    <w:pPr>
      <w:jc w:val="left"/>
    </w:pPr>
    <w:rPr>
      <w:rFonts w:hint="eastAsia" w:ascii="微软雅黑" w:hAnsi="微软雅黑"/>
    </w:rPr>
  </w:style>
  <w:style w:type="character" w:styleId="1071">
    <w:name w:val="批注文字 Char1"/>
    <w:next w:val="1071"/>
    <w:link w:val="1070"/>
    <w:rPr>
      <w:rFonts w:hint="eastAsia" w:ascii="微软雅黑" w:hAnsi="微软雅黑" w:eastAsia="微软雅黑" w:cs="微软雅黑"/>
      <w:sz w:val="21"/>
    </w:rPr>
  </w:style>
  <w:style w:type="paragraph" w:styleId="1072">
    <w:name w:val="索引 6"/>
    <w:basedOn w:val="1038"/>
    <w:next w:val="1038"/>
    <w:link w:val="1038"/>
    <w:pPr>
      <w:ind w:left="2100"/>
    </w:pPr>
    <w:rPr>
      <w:rFonts w:ascii="Times New Roman" w:hAnsi="Times New Roman" w:eastAsia="宋体" w:cs="Times New Roman"/>
    </w:rPr>
  </w:style>
  <w:style w:type="paragraph" w:styleId="1073">
    <w:name w:val="称呼"/>
    <w:basedOn w:val="1038"/>
    <w:next w:val="1038"/>
    <w:link w:val="1038"/>
    <w:rPr>
      <w:rFonts w:ascii="仿宋_GB2312" w:hAnsi="Times New Roman" w:eastAsia="仿宋_GB2312" w:cs="Times New Roman"/>
      <w:sz w:val="28"/>
    </w:rPr>
  </w:style>
  <w:style w:type="paragraph" w:styleId="1074">
    <w:name w:val="正文文本 3"/>
    <w:basedOn w:val="1038"/>
    <w:next w:val="1074"/>
    <w:link w:val="1038"/>
    <w:rPr>
      <w:rFonts w:ascii="仿宋_GB2312" w:hAnsi="Arial" w:eastAsia="仿宋_GB2312" w:cs="Times New Roman"/>
      <w:sz w:val="32"/>
    </w:rPr>
  </w:style>
  <w:style w:type="paragraph" w:styleId="1075">
    <w:name w:val="正文文本"/>
    <w:basedOn w:val="1038"/>
    <w:next w:val="1075"/>
    <w:link w:val="1038"/>
    <w:rPr>
      <w:rFonts w:ascii="楷体_GB2312" w:hAnsi="Arial" w:eastAsia="楷体_GB2312" w:cs="Times New Roman"/>
      <w:sz w:val="28"/>
    </w:rPr>
  </w:style>
  <w:style w:type="paragraph" w:styleId="1076">
    <w:name w:val="正文文本缩进"/>
    <w:basedOn w:val="1038"/>
    <w:next w:val="1076"/>
    <w:link w:val="1077"/>
    <w:pPr>
      <w:ind w:firstLine="645"/>
    </w:pPr>
    <w:rPr>
      <w:rFonts w:ascii="楷体_GB2312" w:eastAsia="楷体_GB2312"/>
      <w:sz w:val="32"/>
    </w:rPr>
  </w:style>
  <w:style w:type="character" w:styleId="1077">
    <w:name w:val="正文文本缩进 Char"/>
    <w:next w:val="1077"/>
    <w:link w:val="1076"/>
    <w:rPr>
      <w:rFonts w:ascii="楷体_GB2312" w:hAnsi="Times New Roman" w:eastAsia="楷体_GB2312" w:cs="Times New Roman"/>
      <w:sz w:val="32"/>
      <w:lang w:val="en-US" w:eastAsia="zh-CN" w:bidi="ar-SA"/>
    </w:rPr>
  </w:style>
  <w:style w:type="paragraph" w:styleId="1078">
    <w:name w:val="文本块"/>
    <w:basedOn w:val="1038"/>
    <w:next w:val="1078"/>
    <w:link w:val="1038"/>
    <w:pPr>
      <w:ind w:left="1440" w:right="1440"/>
      <w:spacing w:after="120"/>
    </w:pPr>
    <w:rPr>
      <w:rFonts w:ascii="Times New Roman" w:hAnsi="Times New Roman" w:eastAsia="宋体" w:cs="Times New Roman"/>
    </w:rPr>
  </w:style>
  <w:style w:type="paragraph" w:styleId="1079">
    <w:name w:val="目录 5"/>
    <w:basedOn w:val="1038"/>
    <w:next w:val="1038"/>
    <w:link w:val="1038"/>
    <w:pPr>
      <w:ind w:left="1120"/>
      <w:jc w:val="left"/>
      <w:spacing w:before="0" w:after="0"/>
    </w:pPr>
    <w:rPr>
      <w:rFonts w:ascii="Calibri" w:hAnsi="Calibri" w:eastAsia="宋体" w:cs="Times New Roman"/>
      <w:sz w:val="18"/>
      <w:szCs w:val="18"/>
    </w:rPr>
  </w:style>
  <w:style w:type="paragraph" w:styleId="1080">
    <w:name w:val="目录 3"/>
    <w:basedOn w:val="1038"/>
    <w:next w:val="1038"/>
    <w:link w:val="1038"/>
    <w:pPr>
      <w:ind w:left="560"/>
      <w:jc w:val="left"/>
      <w:spacing w:before="0" w:after="0"/>
    </w:pPr>
    <w:rPr>
      <w:rFonts w:ascii="Calibri" w:hAnsi="Calibri" w:eastAsia="宋体" w:cs="Times New Roman"/>
      <w:i/>
      <w:iCs/>
      <w:sz w:val="20"/>
    </w:rPr>
  </w:style>
  <w:style w:type="paragraph" w:styleId="1081">
    <w:name w:val="纯文本"/>
    <w:basedOn w:val="1038"/>
    <w:next w:val="1081"/>
    <w:link w:val="1082"/>
    <w:rPr>
      <w:rFonts w:ascii="宋体" w:hAnsi="Courier New" w:eastAsia="宋体"/>
    </w:rPr>
  </w:style>
  <w:style w:type="character" w:styleId="1082">
    <w:name w:val="纯文本 Char"/>
    <w:next w:val="1082"/>
    <w:link w:val="1081"/>
    <w:rPr>
      <w:rFonts w:ascii="宋体" w:hAnsi="Courier New" w:eastAsia="宋体" w:cs="Times New Roman"/>
      <w:sz w:val="21"/>
      <w:lang w:val="en-US" w:eastAsia="zh-CN" w:bidi="ar-SA"/>
    </w:rPr>
  </w:style>
  <w:style w:type="paragraph" w:styleId="1083">
    <w:name w:val="目录 8"/>
    <w:basedOn w:val="1038"/>
    <w:next w:val="1038"/>
    <w:link w:val="1038"/>
    <w:pPr>
      <w:ind w:left="1960"/>
      <w:jc w:val="left"/>
      <w:spacing w:before="0" w:after="0"/>
    </w:pPr>
    <w:rPr>
      <w:rFonts w:ascii="Calibri" w:hAnsi="Calibri" w:eastAsia="宋体" w:cs="Times New Roman"/>
      <w:sz w:val="18"/>
      <w:szCs w:val="18"/>
    </w:rPr>
  </w:style>
  <w:style w:type="paragraph" w:styleId="1084">
    <w:name w:val="索引 3"/>
    <w:basedOn w:val="1038"/>
    <w:next w:val="1038"/>
    <w:link w:val="1038"/>
    <w:pPr>
      <w:ind w:left="840"/>
    </w:pPr>
    <w:rPr>
      <w:rFonts w:ascii="Times New Roman" w:hAnsi="Times New Roman" w:eastAsia="宋体" w:cs="Times New Roman"/>
    </w:rPr>
  </w:style>
  <w:style w:type="paragraph" w:styleId="1085">
    <w:name w:val="日期"/>
    <w:basedOn w:val="1038"/>
    <w:next w:val="1038"/>
    <w:link w:val="1038"/>
    <w:pPr>
      <w:ind w:left="100"/>
    </w:pPr>
    <w:rPr>
      <w:rFonts w:ascii="Times New Roman" w:hAnsi="Times New Roman" w:eastAsia="宋体" w:cs="Times New Roman"/>
      <w:sz w:val="28"/>
    </w:rPr>
  </w:style>
  <w:style w:type="paragraph" w:styleId="1086">
    <w:name w:val="正文文本缩进 2"/>
    <w:basedOn w:val="1038"/>
    <w:next w:val="1086"/>
    <w:link w:val="1087"/>
    <w:pPr>
      <w:ind w:left="630" w:firstLine="645"/>
    </w:pPr>
    <w:rPr>
      <w:rFonts w:ascii="Arial" w:hAnsi="Arial" w:eastAsia="仿宋_GB2312"/>
      <w:sz w:val="32"/>
    </w:rPr>
  </w:style>
  <w:style w:type="character" w:styleId="1087">
    <w:name w:val="正文文本缩进 2 Char"/>
    <w:next w:val="1087"/>
    <w:link w:val="1086"/>
    <w:rPr>
      <w:rFonts w:ascii="Arial" w:hAnsi="Arial" w:eastAsia="仿宋_GB2312" w:cs="Times New Roman"/>
      <w:sz w:val="32"/>
      <w:lang w:val="en-US" w:eastAsia="zh-CN" w:bidi="ar-SA"/>
    </w:rPr>
  </w:style>
  <w:style w:type="paragraph" w:styleId="1088">
    <w:name w:val="尾注文本"/>
    <w:basedOn w:val="1038"/>
    <w:next w:val="1088"/>
    <w:link w:val="1038"/>
    <w:pPr>
      <w:jc w:val="left"/>
    </w:pPr>
    <w:rPr>
      <w:rFonts w:ascii="Times New Roman" w:hAnsi="Times New Roman" w:eastAsia="宋体" w:cs="Times New Roman"/>
      <w:sz w:val="20"/>
      <w:szCs w:val="24"/>
    </w:rPr>
  </w:style>
  <w:style w:type="paragraph" w:styleId="1089">
    <w:name w:val="批注框文本"/>
    <w:basedOn w:val="1038"/>
    <w:next w:val="1089"/>
    <w:link w:val="1038"/>
    <w:rPr>
      <w:rFonts w:ascii="Times New Roman" w:hAnsi="Times New Roman" w:eastAsia="宋体" w:cs="Times New Roman"/>
      <w:sz w:val="18"/>
      <w:szCs w:val="18"/>
    </w:rPr>
  </w:style>
  <w:style w:type="paragraph" w:styleId="1090">
    <w:name w:val="页脚"/>
    <w:basedOn w:val="1038"/>
    <w:next w:val="1090"/>
    <w:link w:val="1091"/>
    <w:pPr>
      <w:jc w:val="left"/>
      <w:tabs>
        <w:tab w:val="center" w:pos="4153" w:leader="none"/>
        <w:tab w:val="right" w:pos="8306" w:leader="none"/>
      </w:tabs>
    </w:pPr>
    <w:rPr>
      <w:rFonts w:eastAsia="宋体"/>
      <w:sz w:val="18"/>
    </w:rPr>
  </w:style>
  <w:style w:type="character" w:styleId="1091">
    <w:name w:val="页脚 Char"/>
    <w:next w:val="1091"/>
    <w:link w:val="1090"/>
    <w:rPr>
      <w:rFonts w:ascii="Times New Roman" w:hAnsi="Times New Roman" w:eastAsia="宋体" w:cs="Times New Roman"/>
      <w:sz w:val="18"/>
    </w:rPr>
  </w:style>
  <w:style w:type="paragraph" w:styleId="1092">
    <w:name w:val="寄信人地址"/>
    <w:basedOn w:val="1038"/>
    <w:next w:val="1092"/>
    <w:link w:val="1038"/>
    <w:rPr>
      <w:rFonts w:ascii="Arial" w:hAnsi="Arial" w:eastAsia="宋体" w:cs="Times New Roman"/>
    </w:rPr>
  </w:style>
  <w:style w:type="paragraph" w:styleId="1093">
    <w:name w:val="页眉"/>
    <w:basedOn w:val="1038"/>
    <w:next w:val="1093"/>
    <w:link w:val="1038"/>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94">
    <w:name w:val="签名"/>
    <w:basedOn w:val="1038"/>
    <w:next w:val="1094"/>
    <w:link w:val="1038"/>
    <w:pPr>
      <w:jc w:val="center"/>
      <w:spacing w:after="600" w:line="312" w:lineRule="atLeast"/>
    </w:pPr>
    <w:rPr>
      <w:rFonts w:ascii="Times New Roman" w:hAnsi="Times New Roman" w:eastAsia="仿宋_GB2312" w:cs="Times New Roman"/>
      <w:sz w:val="24"/>
    </w:rPr>
  </w:style>
  <w:style w:type="paragraph" w:styleId="1095">
    <w:name w:val="目录 1"/>
    <w:basedOn w:val="1038"/>
    <w:next w:val="1038"/>
    <w:link w:val="1038"/>
    <w:pPr>
      <w:jc w:val="left"/>
    </w:pPr>
    <w:rPr>
      <w:rFonts w:ascii="Calibri" w:hAnsi="Calibri" w:eastAsia="宋体" w:cs="Times New Roman"/>
      <w:b/>
      <w:bCs/>
      <w:caps/>
      <w:sz w:val="20"/>
    </w:rPr>
  </w:style>
  <w:style w:type="paragraph" w:styleId="1096">
    <w:name w:val="目录 4"/>
    <w:basedOn w:val="1038"/>
    <w:next w:val="1038"/>
    <w:link w:val="1038"/>
    <w:pPr>
      <w:ind w:left="840"/>
      <w:jc w:val="left"/>
      <w:spacing w:before="0" w:after="0"/>
    </w:pPr>
    <w:rPr>
      <w:rFonts w:ascii="Calibri" w:hAnsi="Calibri" w:eastAsia="宋体" w:cs="Times New Roman"/>
      <w:sz w:val="18"/>
      <w:szCs w:val="18"/>
    </w:rPr>
  </w:style>
  <w:style w:type="paragraph" w:styleId="1097">
    <w:name w:val="索引标题"/>
    <w:basedOn w:val="1038"/>
    <w:next w:val="1098"/>
    <w:link w:val="1038"/>
    <w:rPr>
      <w:rFonts w:ascii="Times New Roman" w:hAnsi="Times New Roman" w:eastAsia="宋体" w:cs="Times New Roman"/>
    </w:rPr>
  </w:style>
  <w:style w:type="paragraph" w:styleId="1098">
    <w:name w:val="索引 1"/>
    <w:basedOn w:val="1038"/>
    <w:next w:val="1038"/>
    <w:link w:val="1038"/>
    <w:rPr>
      <w:rFonts w:ascii="仿宋_GB2312" w:hAnsi="宋体" w:eastAsia="仿宋_GB2312" w:cs="Times New Roman"/>
      <w:sz w:val="30"/>
      <w:szCs w:val="24"/>
    </w:rPr>
  </w:style>
  <w:style w:type="paragraph" w:styleId="1099">
    <w:name w:val="副标题"/>
    <w:basedOn w:val="1038"/>
    <w:next w:val="1038"/>
    <w:link w:val="1038"/>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00">
    <w:name w:val="脚注文本"/>
    <w:basedOn w:val="1038"/>
    <w:next w:val="1100"/>
    <w:link w:val="1038"/>
    <w:pPr>
      <w:jc w:val="left"/>
    </w:pPr>
    <w:rPr>
      <w:rFonts w:ascii="Times New Roman" w:hAnsi="Times New Roman" w:eastAsia="宋体" w:cs="Times New Roman"/>
      <w:sz w:val="18"/>
      <w:szCs w:val="18"/>
    </w:rPr>
  </w:style>
  <w:style w:type="paragraph" w:styleId="1101">
    <w:name w:val="目录 6"/>
    <w:basedOn w:val="1038"/>
    <w:next w:val="1038"/>
    <w:link w:val="1038"/>
    <w:pPr>
      <w:ind w:left="1400"/>
      <w:jc w:val="left"/>
      <w:spacing w:before="0" w:after="0"/>
    </w:pPr>
    <w:rPr>
      <w:rFonts w:ascii="Calibri" w:hAnsi="Calibri" w:eastAsia="宋体" w:cs="Times New Roman"/>
      <w:sz w:val="18"/>
      <w:szCs w:val="18"/>
    </w:rPr>
  </w:style>
  <w:style w:type="paragraph" w:styleId="1102">
    <w:name w:val="正文文本缩进 3"/>
    <w:basedOn w:val="1038"/>
    <w:next w:val="1102"/>
    <w:link w:val="1103"/>
    <w:pPr>
      <w:ind w:left="645" w:firstLine="645"/>
    </w:pPr>
    <w:rPr>
      <w:rFonts w:ascii="Arial" w:hAnsi="Arial" w:eastAsia="仿宋_GB2312"/>
      <w:color w:val="ffff00"/>
      <w:sz w:val="32"/>
    </w:rPr>
  </w:style>
  <w:style w:type="character" w:styleId="1103">
    <w:name w:val="正文文本缩进 3 Char"/>
    <w:next w:val="1103"/>
    <w:link w:val="1102"/>
    <w:rPr>
      <w:rFonts w:ascii="Arial" w:hAnsi="Arial" w:eastAsia="仿宋_GB2312" w:cs="Times New Roman"/>
      <w:color w:val="ffff00"/>
      <w:sz w:val="32"/>
      <w:lang w:val="en-US" w:eastAsia="zh-CN" w:bidi="ar-SA"/>
    </w:rPr>
  </w:style>
  <w:style w:type="paragraph" w:styleId="1104">
    <w:name w:val="索引 7"/>
    <w:basedOn w:val="1038"/>
    <w:next w:val="1038"/>
    <w:link w:val="1038"/>
    <w:pPr>
      <w:ind w:left="2520"/>
    </w:pPr>
    <w:rPr>
      <w:rFonts w:ascii="Times New Roman" w:hAnsi="Times New Roman" w:eastAsia="宋体" w:cs="Times New Roman"/>
    </w:rPr>
  </w:style>
  <w:style w:type="paragraph" w:styleId="1105">
    <w:name w:val="索引 9"/>
    <w:basedOn w:val="1038"/>
    <w:next w:val="1038"/>
    <w:link w:val="1038"/>
    <w:pPr>
      <w:ind w:left="3360"/>
    </w:pPr>
    <w:rPr>
      <w:rFonts w:ascii="Times New Roman" w:hAnsi="Times New Roman" w:eastAsia="宋体" w:cs="Times New Roman"/>
    </w:rPr>
  </w:style>
  <w:style w:type="paragraph" w:styleId="1106">
    <w:name w:val="图表目录"/>
    <w:basedOn w:val="1038"/>
    <w:next w:val="1038"/>
    <w:link w:val="1038"/>
    <w:pPr>
      <w:ind w:left="840" w:hanging="420"/>
    </w:pPr>
    <w:rPr>
      <w:rFonts w:ascii="Times New Roman" w:hAnsi="Times New Roman" w:eastAsia="宋体" w:cs="Times New Roman"/>
    </w:rPr>
  </w:style>
  <w:style w:type="paragraph" w:styleId="1107">
    <w:name w:val="目录 2"/>
    <w:basedOn w:val="1038"/>
    <w:next w:val="1038"/>
    <w:link w:val="1038"/>
    <w:pPr>
      <w:ind w:left="280"/>
      <w:jc w:val="left"/>
      <w:spacing w:before="0" w:after="0"/>
    </w:pPr>
    <w:rPr>
      <w:rFonts w:ascii="Calibri" w:hAnsi="Calibri" w:eastAsia="宋体" w:cs="Times New Roman"/>
      <w:smallCaps/>
      <w:sz w:val="20"/>
    </w:rPr>
  </w:style>
  <w:style w:type="paragraph" w:styleId="1108">
    <w:name w:val="目录 9"/>
    <w:basedOn w:val="1038"/>
    <w:next w:val="1038"/>
    <w:link w:val="1038"/>
    <w:pPr>
      <w:ind w:left="2240"/>
      <w:jc w:val="left"/>
      <w:spacing w:before="0" w:after="0"/>
    </w:pPr>
    <w:rPr>
      <w:rFonts w:ascii="Calibri" w:hAnsi="Calibri" w:eastAsia="宋体" w:cs="Times New Roman"/>
      <w:sz w:val="18"/>
      <w:szCs w:val="18"/>
    </w:rPr>
  </w:style>
  <w:style w:type="paragraph" w:styleId="1109">
    <w:name w:val="正文文本 2"/>
    <w:basedOn w:val="1038"/>
    <w:next w:val="1109"/>
    <w:link w:val="1038"/>
    <w:pPr>
      <w:jc w:val="center"/>
      <w:widowControl/>
    </w:pPr>
    <w:rPr>
      <w:rFonts w:ascii="楷体_GB2312" w:hAnsi="Times New Roman" w:eastAsia="楷体_GB2312" w:cs="Times New Roman"/>
      <w:sz w:val="28"/>
    </w:rPr>
  </w:style>
  <w:style w:type="paragraph" w:styleId="1110">
    <w:name w:val="HTML 预设格式"/>
    <w:basedOn w:val="1038"/>
    <w:next w:val="1110"/>
    <w:link w:val="111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11">
    <w:name w:val="HTML 预设格式 Char"/>
    <w:next w:val="1111"/>
    <w:link w:val="1110"/>
    <w:rPr>
      <w:rFonts w:ascii="黑体" w:hAnsi="Courier New" w:eastAsia="黑体" w:cs="Courier New"/>
      <w:lang w:val="en-US" w:eastAsia="zh-CN" w:bidi="ar-SA"/>
    </w:rPr>
  </w:style>
  <w:style w:type="paragraph" w:styleId="1112">
    <w:name w:val="普通(网站)"/>
    <w:basedOn w:val="1038"/>
    <w:next w:val="1112"/>
    <w:link w:val="1038"/>
    <w:pPr>
      <w:jc w:val="left"/>
      <w:spacing w:before="100" w:beforeAutospacing="1" w:after="100" w:afterAutospacing="1"/>
      <w:widowControl/>
    </w:pPr>
    <w:rPr>
      <w:rFonts w:ascii="Arial" w:hAnsi="Arial" w:eastAsia="Arial Unicode MS" w:cs="Arial"/>
      <w:sz w:val="24"/>
      <w:szCs w:val="24"/>
    </w:rPr>
  </w:style>
  <w:style w:type="paragraph" w:styleId="1113">
    <w:name w:val="索引 2"/>
    <w:basedOn w:val="1038"/>
    <w:next w:val="1038"/>
    <w:link w:val="1038"/>
    <w:pPr>
      <w:ind w:left="420"/>
    </w:pPr>
    <w:rPr>
      <w:rFonts w:ascii="Times New Roman" w:hAnsi="Times New Roman" w:eastAsia="宋体" w:cs="Times New Roman"/>
    </w:rPr>
  </w:style>
  <w:style w:type="paragraph" w:styleId="1114">
    <w:name w:val="标题"/>
    <w:basedOn w:val="1038"/>
    <w:next w:val="1114"/>
    <w:link w:val="1115"/>
    <w:qFormat/>
    <w:pPr>
      <w:jc w:val="center"/>
      <w:spacing w:line="480" w:lineRule="auto"/>
      <w:widowControl/>
    </w:pPr>
    <w:rPr>
      <w:rFonts w:ascii="微软雅黑" w:hAnsi="微软雅黑"/>
      <w:sz w:val="36"/>
      <w:szCs w:val="24"/>
      <w:lang w:val="zh-CN"/>
    </w:rPr>
  </w:style>
  <w:style w:type="character" w:styleId="1115">
    <w:name w:val="标题 Char"/>
    <w:next w:val="1115"/>
    <w:link w:val="1114"/>
    <w:rPr>
      <w:rFonts w:ascii="微软雅黑" w:hAnsi="微软雅黑" w:eastAsia="微软雅黑" w:cs="Times New Roman"/>
      <w:sz w:val="36"/>
      <w:szCs w:val="24"/>
      <w:lang w:val="zh-CN"/>
    </w:rPr>
  </w:style>
  <w:style w:type="paragraph" w:styleId="1116">
    <w:name w:val="批注主题"/>
    <w:basedOn w:val="1070"/>
    <w:next w:val="1070"/>
    <w:link w:val="1117"/>
    <w:rPr>
      <w:rFonts w:ascii="Times New Roman" w:hAnsi="Times New Roman" w:eastAsia="宋体"/>
      <w:b/>
      <w:bCs/>
    </w:rPr>
  </w:style>
  <w:style w:type="character" w:styleId="1117">
    <w:name w:val="批注主题 Char"/>
    <w:next w:val="1117"/>
    <w:link w:val="1116"/>
    <w:rPr>
      <w:rFonts w:ascii="Times New Roman" w:hAnsi="Times New Roman" w:eastAsia="宋体" w:cs="Times New Roman"/>
      <w:b/>
      <w:bCs/>
      <w:sz w:val="21"/>
      <w:lang w:val="en-US" w:eastAsia="zh-CN" w:bidi="ar-SA"/>
    </w:rPr>
  </w:style>
  <w:style w:type="paragraph" w:styleId="1118">
    <w:name w:val="正文首行缩进"/>
    <w:basedOn w:val="1075"/>
    <w:next w:val="1119"/>
    <w:link w:val="1038"/>
    <w:pPr>
      <w:ind w:firstLine="420"/>
      <w:spacing w:after="120"/>
    </w:pPr>
    <w:rPr>
      <w:rFonts w:ascii="Times New Roman" w:hAnsi="Times New Roman" w:eastAsia="宋体" w:cs="Times New Roman"/>
      <w:sz w:val="21"/>
      <w:szCs w:val="24"/>
    </w:rPr>
  </w:style>
  <w:style w:type="paragraph" w:styleId="1119">
    <w:name w:val="正文首行缩进 2"/>
    <w:basedOn w:val="1076"/>
    <w:next w:val="1119"/>
    <w:link w:val="1038"/>
    <w:pPr>
      <w:ind w:left="420" w:firstLine="420"/>
      <w:spacing w:after="120" w:line="240" w:lineRule="auto"/>
    </w:pPr>
    <w:rPr>
      <w:rFonts w:ascii="Times New Roman" w:hAnsi="Times New Roman" w:eastAsia="宋体" w:cs="Times New Roman"/>
      <w:sz w:val="21"/>
    </w:rPr>
  </w:style>
  <w:style w:type="table" w:styleId="1120">
    <w:name w:val="网格型"/>
    <w:basedOn w:val="1049"/>
    <w:next w:val="1120"/>
    <w:link w:val="1038"/>
    <w:pPr>
      <w:jc w:val="both"/>
      <w:widowControl w:val="off"/>
    </w:pPr>
    <w:rPr>
      <w:rFonts w:ascii="Times New Roman" w:hAnsi="Times New Roman" w:eastAsia="宋体" w:cs="Times New Roman"/>
    </w:rPr>
    <w:tblPr/>
  </w:style>
  <w:style w:type="character" w:styleId="1121">
    <w:name w:val="要点"/>
    <w:next w:val="1121"/>
    <w:link w:val="1038"/>
    <w:qFormat/>
    <w:rPr>
      <w:rFonts w:ascii="Times New Roman" w:hAnsi="Times New Roman" w:eastAsia="宋体" w:cs="Times New Roman"/>
      <w:b/>
      <w:bCs/>
    </w:rPr>
  </w:style>
  <w:style w:type="character" w:styleId="1122">
    <w:name w:val="尾注引用"/>
    <w:next w:val="1122"/>
    <w:link w:val="1038"/>
    <w:rPr>
      <w:rFonts w:ascii="Times New Roman" w:hAnsi="Times New Roman" w:eastAsia="宋体" w:cs="Times New Roman"/>
      <w:b w:val="0"/>
      <w:bCs w:val="0"/>
      <w:i w:val="0"/>
      <w:iCs w:val="0"/>
      <w:vertAlign w:val="superscript"/>
    </w:rPr>
  </w:style>
  <w:style w:type="character" w:styleId="1123">
    <w:name w:val="页码"/>
    <w:next w:val="1123"/>
    <w:link w:val="1038"/>
    <w:rPr>
      <w:rFonts w:ascii="Times New Roman" w:hAnsi="Times New Roman" w:eastAsia="宋体" w:cs="Times New Roman"/>
    </w:rPr>
  </w:style>
  <w:style w:type="character" w:styleId="1124">
    <w:name w:val="已访问的超链接"/>
    <w:next w:val="1124"/>
    <w:link w:val="1038"/>
    <w:rPr>
      <w:rFonts w:ascii="Times New Roman" w:hAnsi="Times New Roman" w:eastAsia="宋体" w:cs="Times New Roman"/>
      <w:color w:val="0076be"/>
      <w:u w:val="none"/>
    </w:rPr>
  </w:style>
  <w:style w:type="character" w:styleId="1125">
    <w:name w:val="强调"/>
    <w:next w:val="1125"/>
    <w:link w:val="1038"/>
    <w:qFormat/>
    <w:rPr>
      <w:rFonts w:ascii="Times New Roman" w:hAnsi="Times New Roman" w:eastAsia="宋体" w:cs="Times New Roman"/>
      <w:b/>
      <w:bCs/>
      <w:i/>
      <w:iCs/>
      <w:spacing w:val="10"/>
      <w:shd w:val="clear" w:color="auto" w:fill="auto"/>
    </w:rPr>
  </w:style>
  <w:style w:type="character" w:styleId="1126">
    <w:name w:val="行号"/>
    <w:next w:val="1126"/>
    <w:link w:val="1038"/>
    <w:rPr>
      <w:rFonts w:ascii="Times New Roman" w:hAnsi="Times New Roman" w:eastAsia="宋体" w:cs="Times New Roman"/>
    </w:rPr>
  </w:style>
  <w:style w:type="character" w:styleId="1127">
    <w:name w:val="HTML 定义"/>
    <w:next w:val="1127"/>
    <w:link w:val="1038"/>
    <w:rPr>
      <w:rFonts w:ascii="Times New Roman" w:hAnsi="Times New Roman" w:eastAsia="宋体" w:cs="Times New Roman"/>
      <w:b w:val="0"/>
      <w:i w:val="0"/>
    </w:rPr>
  </w:style>
  <w:style w:type="character" w:styleId="1128">
    <w:name w:val="HTML 打字机"/>
    <w:next w:val="1128"/>
    <w:link w:val="1038"/>
    <w:rPr>
      <w:rFonts w:ascii="宋体" w:hAnsi="宋体" w:eastAsia="宋体" w:cs="宋体"/>
      <w:b w:val="0"/>
      <w:bCs w:val="0"/>
      <w:i w:val="0"/>
      <w:iCs w:val="0"/>
      <w:sz w:val="24"/>
      <w:szCs w:val="24"/>
    </w:rPr>
  </w:style>
  <w:style w:type="character" w:styleId="1129">
    <w:name w:val="HTML 缩写"/>
    <w:next w:val="1129"/>
    <w:link w:val="1038"/>
    <w:rPr>
      <w:rFonts w:ascii="Times New Roman" w:hAnsi="Times New Roman" w:eastAsia="宋体" w:cs="Times New Roman"/>
    </w:rPr>
  </w:style>
  <w:style w:type="character" w:styleId="1130">
    <w:name w:val="HTML 变量"/>
    <w:next w:val="1130"/>
    <w:link w:val="1038"/>
    <w:rPr>
      <w:rFonts w:ascii="Times New Roman" w:hAnsi="Times New Roman" w:eastAsia="宋体" w:cs="Times New Roman"/>
      <w:b w:val="0"/>
      <w:i w:val="0"/>
    </w:rPr>
  </w:style>
  <w:style w:type="character" w:styleId="1131">
    <w:name w:val="超链接"/>
    <w:next w:val="1131"/>
    <w:link w:val="1038"/>
    <w:rPr>
      <w:rFonts w:ascii="Times New Roman" w:hAnsi="Times New Roman" w:eastAsia="宋体" w:cs="Times New Roman"/>
      <w:color w:val="0076be"/>
      <w:u w:val="none"/>
    </w:rPr>
  </w:style>
  <w:style w:type="character" w:styleId="1132">
    <w:name w:val="HTML 代码"/>
    <w:next w:val="1132"/>
    <w:link w:val="1038"/>
    <w:rPr>
      <w:rFonts w:ascii="Courier New" w:hAnsi="Courier New" w:eastAsia="宋体" w:cs="Times New Roman"/>
      <w:b w:val="0"/>
      <w:i w:val="0"/>
      <w:sz w:val="20"/>
    </w:rPr>
  </w:style>
  <w:style w:type="character" w:styleId="1133">
    <w:name w:val="批注引用"/>
    <w:next w:val="1133"/>
    <w:link w:val="1038"/>
    <w:rPr>
      <w:rFonts w:ascii="Times New Roman" w:hAnsi="Times New Roman" w:eastAsia="宋体" w:cs="Times New Roman"/>
      <w:sz w:val="21"/>
    </w:rPr>
  </w:style>
  <w:style w:type="character" w:styleId="1134">
    <w:name w:val="HTML 引文"/>
    <w:next w:val="1134"/>
    <w:link w:val="1038"/>
    <w:rPr>
      <w:rFonts w:ascii="Times New Roman" w:hAnsi="Times New Roman" w:eastAsia="宋体" w:cs="Times New Roman"/>
      <w:b w:val="0"/>
      <w:i w:val="0"/>
    </w:rPr>
  </w:style>
  <w:style w:type="character" w:styleId="1135">
    <w:name w:val="脚注引用"/>
    <w:next w:val="1135"/>
    <w:link w:val="1038"/>
    <w:rPr>
      <w:rFonts w:ascii="Times New Roman" w:hAnsi="Times New Roman" w:eastAsia="宋体" w:cs="Times New Roman"/>
      <w:vertAlign w:val="superscript"/>
    </w:rPr>
  </w:style>
  <w:style w:type="character" w:styleId="1136">
    <w:name w:val="HTML 样本"/>
    <w:next w:val="1136"/>
    <w:link w:val="1038"/>
    <w:rPr>
      <w:rFonts w:ascii="Courier New" w:hAnsi="宋体" w:eastAsia="宋体" w:cs="Courier New"/>
      <w:b w:val="0"/>
      <w:bCs w:val="0"/>
      <w:i w:val="0"/>
      <w:iCs w:val="0"/>
    </w:rPr>
  </w:style>
  <w:style w:type="paragraph" w:styleId="1137">
    <w:name w:val="BodyText1I1"/>
    <w:basedOn w:val="1138"/>
    <w:next w:val="1038"/>
    <w:link w:val="1038"/>
    <w:qFormat/>
    <w:pPr>
      <w:ind w:firstLine="420"/>
      <w:spacing w:after="120"/>
    </w:pPr>
    <w:rPr>
      <w:sz w:val="24"/>
    </w:rPr>
  </w:style>
  <w:style w:type="paragraph" w:styleId="1138">
    <w:name w:val="BodyText1"/>
    <w:basedOn w:val="1038"/>
    <w:next w:val="1138"/>
    <w:link w:val="1038"/>
    <w:qFormat/>
    <w:rPr>
      <w:sz w:val="32"/>
    </w:rPr>
  </w:style>
  <w:style w:type="paragraph" w:styleId="1139">
    <w:name w:val="Default"/>
    <w:next w:val="1139"/>
    <w:link w:val="1038"/>
    <w:pPr>
      <w:widowControl w:val="off"/>
    </w:pPr>
    <w:rPr>
      <w:rFonts w:ascii="宋体" w:cs="宋体"/>
      <w:color w:val="000000"/>
      <w:sz w:val="24"/>
      <w:szCs w:val="24"/>
      <w:lang w:val="en-US" w:eastAsia="zh-CN" w:bidi="ar-SA"/>
    </w:rPr>
  </w:style>
  <w:style w:type="paragraph" w:styleId="1140">
    <w:name w:val="一级条标题"/>
    <w:basedOn w:val="1141"/>
    <w:next w:val="1142"/>
    <w:link w:val="1038"/>
    <w:qFormat/>
    <w:pPr>
      <w:outlineLvl w:val="2"/>
    </w:pPr>
    <w:rPr>
      <w:rFonts w:ascii="Calibri" w:hAnsi="Calibri" w:eastAsia="黑体" w:cs="Times New Roman"/>
      <w:sz w:val="21"/>
      <w:szCs w:val="21"/>
      <w:lang w:val="en-US" w:eastAsia="zh-CN" w:bidi="ar-SA"/>
    </w:rPr>
  </w:style>
  <w:style w:type="paragraph" w:styleId="1141">
    <w:name w:val="章标题"/>
    <w:next w:val="1142"/>
    <w:link w:val="1038"/>
    <w:pPr>
      <w:jc w:val="both"/>
      <w:spacing w:before="156" w:after="156"/>
      <w:outlineLvl w:val="1"/>
    </w:pPr>
    <w:rPr>
      <w:rFonts w:eastAsia="黑体"/>
      <w:sz w:val="21"/>
      <w:lang w:val="en-US" w:eastAsia="zh-CN" w:bidi="ar-SA"/>
    </w:rPr>
  </w:style>
  <w:style w:type="paragraph" w:styleId="1142">
    <w:name w:val="段"/>
    <w:next w:val="1038"/>
    <w:link w:val="1038"/>
    <w:pPr>
      <w:ind w:firstLine="200"/>
      <w:jc w:val="both"/>
    </w:pPr>
    <w:rPr>
      <w:rFonts w:ascii="宋体"/>
      <w:sz w:val="21"/>
      <w:lang w:val="en-US" w:eastAsia="zh-CN" w:bidi="ar-SA"/>
    </w:rPr>
  </w:style>
  <w:style w:type="paragraph" w:styleId="1143">
    <w:name w:val="[Normal]"/>
    <w:next w:val="1143"/>
    <w:link w:val="1038"/>
    <w:rPr>
      <w:rFonts w:ascii="方正仿宋简体" w:hAnsi="方正仿宋简体" w:eastAsia="方正仿宋简体" w:cs="Courier New"/>
      <w:sz w:val="24"/>
      <w:szCs w:val="22"/>
      <w:lang w:val="zh-CN" w:eastAsia="zh-CN" w:bidi="ar-SA"/>
    </w:rPr>
  </w:style>
  <w:style w:type="character" w:styleId="1144">
    <w:name w:val="font01"/>
    <w:next w:val="1144"/>
    <w:link w:val="1038"/>
    <w:rPr>
      <w:rFonts w:hint="eastAsia" w:ascii="宋体" w:hAnsi="宋体" w:eastAsia="宋体" w:cs="宋体"/>
      <w:color w:val="000000"/>
      <w:sz w:val="22"/>
      <w:szCs w:val="22"/>
      <w:u w:val="none"/>
    </w:rPr>
  </w:style>
  <w:style w:type="character" w:styleId="1145">
    <w:name w:val="书籍标题"/>
    <w:next w:val="1145"/>
    <w:link w:val="1038"/>
    <w:qFormat/>
    <w:rPr>
      <w:rFonts w:ascii="Times New Roman" w:hAnsi="Times New Roman" w:eastAsia="宋体" w:cs="Times New Roman"/>
      <w:i/>
      <w:iCs/>
      <w:smallCaps/>
      <w:spacing w:val="5"/>
    </w:rPr>
  </w:style>
  <w:style w:type="character" w:styleId="1146">
    <w:name w:val="纯文本 Char Char Char1"/>
    <w:next w:val="1146"/>
    <w:link w:val="1038"/>
    <w:rPr>
      <w:rFonts w:ascii="宋体" w:hAnsi="Courier New" w:eastAsia="宋体" w:cs="Times New Roman"/>
      <w:sz w:val="21"/>
      <w:szCs w:val="21"/>
      <w:lang w:val="en-US" w:eastAsia="zh-CN" w:bidi="ar-SA"/>
    </w:rPr>
  </w:style>
  <w:style w:type="character" w:styleId="1147">
    <w:name w:val="纯文本 Char1"/>
    <w:next w:val="1147"/>
    <w:link w:val="1038"/>
    <w:rPr>
      <w:rFonts w:ascii="宋体" w:hAnsi="Courier New" w:eastAsia="宋体" w:cs="Courier New"/>
      <w:sz w:val="21"/>
      <w:szCs w:val="21"/>
    </w:rPr>
  </w:style>
  <w:style w:type="character" w:styleId="1148">
    <w:name w:val="不明显参考"/>
    <w:next w:val="1148"/>
    <w:link w:val="1038"/>
    <w:qFormat/>
    <w:rPr>
      <w:rFonts w:ascii="Times New Roman" w:hAnsi="Times New Roman" w:eastAsia="宋体" w:cs="Times New Roman"/>
      <w:smallCaps/>
    </w:rPr>
  </w:style>
  <w:style w:type="character" w:styleId="1149">
    <w:name w:val="标准小四 Char Char"/>
    <w:next w:val="1149"/>
    <w:link w:val="1038"/>
    <w:rPr>
      <w:rFonts w:ascii="Arial" w:hAnsi="Arial" w:eastAsia="宋体" w:cs="Times New Roman"/>
      <w:sz w:val="24"/>
      <w:szCs w:val="21"/>
      <w:lang w:val="en-US" w:eastAsia="zh-CN" w:bidi="ar-SA"/>
    </w:rPr>
  </w:style>
  <w:style w:type="character" w:styleId="1150">
    <w:name w:val="style131"/>
    <w:next w:val="1150"/>
    <w:link w:val="1038"/>
    <w:rPr>
      <w:rFonts w:ascii="Times New Roman" w:hAnsi="Times New Roman" w:eastAsia="宋体" w:cs="Times New Roman"/>
      <w:sz w:val="18"/>
      <w:szCs w:val="18"/>
    </w:rPr>
  </w:style>
  <w:style w:type="character" w:styleId="1151">
    <w:name w:val=" Char Char24"/>
    <w:next w:val="1151"/>
    <w:link w:val="1038"/>
    <w:rPr>
      <w:rFonts w:ascii="Times New Roman" w:hAnsi="Times New Roman" w:eastAsia="宋体" w:cs="Times New Roman"/>
      <w:b/>
      <w:bCs/>
      <w:sz w:val="28"/>
      <w:szCs w:val="28"/>
    </w:rPr>
  </w:style>
  <w:style w:type="character" w:styleId="1152">
    <w:name w:val=" Char Char23"/>
    <w:next w:val="1152"/>
    <w:link w:val="1038"/>
    <w:rPr>
      <w:rFonts w:ascii="Arial" w:hAnsi="Arial" w:eastAsia="黑体" w:cs="Times New Roman"/>
      <w:b/>
      <w:bCs/>
      <w:sz w:val="24"/>
      <w:szCs w:val="24"/>
    </w:rPr>
  </w:style>
  <w:style w:type="character" w:styleId="1153">
    <w:name w:val="t1"/>
    <w:next w:val="1153"/>
    <w:link w:val="1038"/>
    <w:rPr>
      <w:rFonts w:ascii="Times New Roman" w:hAnsi="Times New Roman" w:eastAsia="宋体" w:cs="Times New Roman"/>
      <w:vanish w:val="0"/>
    </w:rPr>
  </w:style>
  <w:style w:type="character" w:styleId="1154">
    <w:name w:val="concon"/>
    <w:next w:val="1154"/>
    <w:link w:val="1038"/>
    <w:rPr>
      <w:rFonts w:ascii="Times New Roman" w:hAnsi="Times New Roman" w:eastAsia="宋体" w:cs="Times New Roman"/>
      <w:b w:val="0"/>
      <w:bCs w:val="0"/>
      <w:i w:val="0"/>
      <w:iCs w:val="0"/>
    </w:rPr>
  </w:style>
  <w:style w:type="character" w:styleId="1155">
    <w:name w:val="Title1 Char,H1 Char,Normal + Font: Helvetica Char,Bold Char,Space Before 12 pt Char,Not Bold Char,h1 Char,H11 Char,H12 Char,H111 Char,H13 Char,H112 Char,1 Char,h:1 Char,h:1app Char,level 1 Char,Level 1 Head Char,heading 1 Char,Huvudrubrik Char,章 Char"/>
    <w:next w:val="1155"/>
    <w:link w:val="1038"/>
    <w:rPr>
      <w:rFonts w:ascii="Times New Roman" w:hAnsi="Times New Roman" w:eastAsia="宋体" w:cs="Times New Roman"/>
      <w:b/>
      <w:bCs/>
      <w:sz w:val="44"/>
      <w:szCs w:val="44"/>
      <w:lang w:val="en-US" w:eastAsia="zh-CN" w:bidi="ar-SA"/>
    </w:rPr>
  </w:style>
  <w:style w:type="character" w:styleId="1156">
    <w:name w:val=" Char Char25"/>
    <w:next w:val="1156"/>
    <w:link w:val="1038"/>
    <w:rPr>
      <w:rFonts w:ascii="Arial" w:hAnsi="Arial" w:eastAsia="黑体" w:cs="Times New Roman"/>
      <w:b/>
      <w:sz w:val="28"/>
    </w:rPr>
  </w:style>
  <w:style w:type="character" w:styleId="1157">
    <w:name w:val=" Char Char20"/>
    <w:next w:val="1157"/>
    <w:link w:val="1038"/>
    <w:rPr>
      <w:rFonts w:ascii="Arial" w:hAnsi="Arial" w:eastAsia="黑体" w:cs="Times New Roman"/>
      <w:sz w:val="21"/>
      <w:szCs w:val="21"/>
    </w:rPr>
  </w:style>
  <w:style w:type="character" w:styleId="1158">
    <w:name w:val="小四 段落 宋体 Char Char Char Char Char"/>
    <w:next w:val="1158"/>
    <w:link w:val="1038"/>
    <w:rPr>
      <w:rFonts w:ascii="Times New Roman" w:hAnsi="Times New Roman" w:eastAsia="宋体" w:cs="Times New Roman"/>
      <w:sz w:val="24"/>
      <w:szCs w:val="24"/>
      <w:lang w:val="en-US" w:eastAsia="zh-CN" w:bidi="ar-SA"/>
    </w:rPr>
  </w:style>
  <w:style w:type="character" w:styleId="1159">
    <w:name w:val="style13"/>
    <w:next w:val="1159"/>
    <w:link w:val="1038"/>
    <w:rPr>
      <w:rFonts w:ascii="Times New Roman" w:hAnsi="Times New Roman" w:eastAsia="宋体" w:cs="Times New Roman"/>
      <w:sz w:val="18"/>
      <w:szCs w:val="18"/>
    </w:rPr>
  </w:style>
  <w:style w:type="character" w:styleId="1160">
    <w:name w:val="2nd level Char,h2 Char,2 Char,Header 2 Char,l2 Char,Titre2 Char,Head 2 Char,H2 Char,Heading 2 Hidden Char,Heading 2 CCBS Char,heading 2 Char,第一章 标题 2 Char,ISO1 Char,UNDERRUBRIK 1-2 Char,Underrubrik1 Char,prop2 Char,Level 2 Topic Heading Char,H21 Char"/>
    <w:next w:val="1160"/>
    <w:link w:val="1038"/>
    <w:rPr>
      <w:rFonts w:ascii="Arial" w:hAnsi="Arial" w:eastAsia="黑体" w:cs="Times New Roman"/>
      <w:b/>
      <w:bCs/>
      <w:sz w:val="32"/>
      <w:szCs w:val="32"/>
      <w:lang w:val="en-US" w:eastAsia="zh-CN" w:bidi="ar-SA"/>
    </w:rPr>
  </w:style>
  <w:style w:type="character" w:styleId="1161">
    <w:name w:val="l-selected"/>
    <w:next w:val="1161"/>
    <w:link w:val="1038"/>
    <w:rPr>
      <w:rFonts w:ascii="Times New Roman" w:hAnsi="Times New Roman" w:eastAsia="宋体" w:cs="Times New Roman"/>
      <w:color w:val="355686"/>
      <w:shd w:val="clear" w:color="auto" w:fill="ffffff"/>
    </w:rPr>
  </w:style>
  <w:style w:type="character" w:styleId="1162">
    <w:name w:val=" Char Char21"/>
    <w:next w:val="1162"/>
    <w:link w:val="1038"/>
    <w:rPr>
      <w:rFonts w:ascii="Arial" w:hAnsi="Arial" w:eastAsia="黑体" w:cs="Times New Roman"/>
      <w:sz w:val="24"/>
      <w:szCs w:val="24"/>
    </w:rPr>
  </w:style>
  <w:style w:type="character" w:styleId="1163">
    <w:name w:val="content"/>
    <w:next w:val="1163"/>
    <w:link w:val="1038"/>
    <w:rPr>
      <w:rFonts w:ascii="Times New Roman" w:hAnsi="Times New Roman" w:eastAsia="宋体" w:cs="Times New Roman"/>
    </w:rPr>
  </w:style>
  <w:style w:type="character" w:styleId="1164">
    <w:name w:val="l-open"/>
    <w:next w:val="1164"/>
    <w:link w:val="1038"/>
    <w:rPr>
      <w:rFonts w:ascii="Times New Roman" w:hAnsi="Times New Roman" w:eastAsia="宋体" w:cs="Times New Roman"/>
    </w:rPr>
  </w:style>
  <w:style w:type="character" w:styleId="1165">
    <w:name w:val="title_emph1"/>
    <w:next w:val="1165"/>
    <w:link w:val="1038"/>
    <w:rPr>
      <w:rFonts w:ascii="Arial" w:hAnsi="Times New Roman" w:eastAsia="宋体" w:cs="Arial"/>
      <w:b/>
      <w:bCs/>
      <w:i w:val="0"/>
      <w:iCs w:val="0"/>
      <w:sz w:val="18"/>
      <w:szCs w:val="18"/>
    </w:rPr>
  </w:style>
  <w:style w:type="character" w:styleId="1166">
    <w:name w:val="textcontents"/>
    <w:next w:val="1166"/>
    <w:link w:val="1038"/>
    <w:rPr>
      <w:rFonts w:ascii="Times New Roman" w:hAnsi="Times New Roman" w:eastAsia="宋体" w:cs="Times New Roman"/>
    </w:rPr>
  </w:style>
  <w:style w:type="character" w:styleId="1167">
    <w:name w:val="正文 + 宋体 Char,小四 Char,黑色 Char,行距: 1.5 倍行距 Char"/>
    <w:next w:val="1167"/>
    <w:link w:val="1038"/>
    <w:rPr>
      <w:rFonts w:ascii="Times New Roman" w:hAnsi="Times New Roman" w:eastAsia="宋体" w:cs="Times New Roman"/>
      <w:sz w:val="21"/>
      <w:szCs w:val="24"/>
      <w:lang w:val="en-US" w:eastAsia="zh-CN" w:bidi="ar-SA"/>
    </w:rPr>
  </w:style>
  <w:style w:type="character" w:styleId="1168">
    <w:name w:val="param-value"/>
    <w:next w:val="1168"/>
    <w:link w:val="1038"/>
    <w:rPr>
      <w:rFonts w:ascii="Times New Roman" w:hAnsi="Times New Roman" w:eastAsia="宋体" w:cs="Times New Roman"/>
    </w:rPr>
  </w:style>
  <w:style w:type="character" w:styleId="1169">
    <w:name w:val=" Char Char2"/>
    <w:next w:val="1169"/>
    <w:link w:val="1038"/>
    <w:rPr>
      <w:rFonts w:ascii="宋体" w:hAnsi="Courier New" w:eastAsia="宋体" w:cs="Times New Roman"/>
      <w:sz w:val="21"/>
      <w:szCs w:val="21"/>
      <w:lang w:val="en-US" w:eastAsia="zh-CN" w:bidi="ar-SA"/>
    </w:rPr>
  </w:style>
  <w:style w:type="character" w:styleId="1170">
    <w:name w:val="小四 段落 宋体 Char Char Char Char1"/>
    <w:next w:val="1170"/>
    <w:link w:val="1038"/>
    <w:rPr>
      <w:rFonts w:ascii="Times New Roman" w:hAnsi="Times New Roman" w:eastAsia="宋体" w:cs="Times New Roman"/>
      <w:sz w:val="24"/>
      <w:szCs w:val="24"/>
      <w:lang w:val="en-US" w:eastAsia="zh-CN" w:bidi="ar-SA"/>
    </w:rPr>
  </w:style>
  <w:style w:type="character" w:styleId="1171">
    <w:name w:val=" Char Char28"/>
    <w:next w:val="1171"/>
    <w:link w:val="1038"/>
    <w:rPr>
      <w:rFonts w:ascii="Arial" w:hAnsi="Arial" w:eastAsia="黑体" w:cs="Arial"/>
      <w:b/>
      <w:bCs/>
      <w:sz w:val="32"/>
      <w:szCs w:val="32"/>
    </w:rPr>
  </w:style>
  <w:style w:type="character" w:styleId="1172">
    <w:name w:val="普通文字1 Char,普通文字2 Char,普通文字3 Char,普通文字4 Char,普通文字5 Char,普通文字6 Char,普通文字11 Char,普通文字21 Char,普通文字31 Char,普通文字41 Char,普通文字7 Char Char,普通文字 Char1,普通文字 Char Char"/>
    <w:next w:val="1172"/>
    <w:link w:val="1038"/>
    <w:rPr>
      <w:rFonts w:ascii="宋体" w:hAnsi="Times New Roman" w:eastAsia="宋体" w:cs="Times New Roman"/>
      <w:b w:val="0"/>
      <w:bCs w:val="0"/>
      <w:i w:val="0"/>
      <w:iCs w:val="0"/>
      <w:sz w:val="21"/>
      <w:szCs w:val="21"/>
      <w:lang w:val="en-US" w:eastAsia="zh-CN" w:bidi="ar-SA"/>
    </w:rPr>
  </w:style>
  <w:style w:type="character" w:styleId="1173">
    <w:name w:val="font31"/>
    <w:next w:val="1173"/>
    <w:link w:val="1038"/>
    <w:rPr>
      <w:rFonts w:hint="eastAsia" w:ascii="宋体" w:hAnsi="宋体" w:eastAsia="宋体" w:cs="宋体"/>
      <w:i w:val="0"/>
      <w:iCs w:val="0"/>
      <w:color w:val="000000"/>
      <w:sz w:val="18"/>
      <w:szCs w:val="18"/>
      <w:u w:val="none"/>
    </w:rPr>
  </w:style>
  <w:style w:type="character" w:styleId="1174">
    <w:name w:val="￥正文 Char"/>
    <w:next w:val="1174"/>
    <w:link w:val="1175"/>
    <w:rPr>
      <w:rFonts w:ascii="Times New Roman" w:hAnsi="Times New Roman" w:eastAsia="宋体" w:cs="Times New Roman"/>
      <w:sz w:val="24"/>
    </w:rPr>
  </w:style>
  <w:style w:type="paragraph" w:styleId="1175">
    <w:name w:val="￥正文"/>
    <w:basedOn w:val="1038"/>
    <w:next w:val="1175"/>
    <w:link w:val="1174"/>
    <w:pPr>
      <w:ind w:firstLine="200"/>
      <w:spacing w:before="0" w:after="0"/>
    </w:pPr>
    <w:rPr>
      <w:rFonts w:eastAsia="宋体"/>
      <w:sz w:val="24"/>
    </w:rPr>
  </w:style>
  <w:style w:type="character" w:styleId="1176">
    <w:name w:val="已访问的超链接1"/>
    <w:next w:val="1176"/>
    <w:link w:val="1038"/>
    <w:rPr>
      <w:rFonts w:ascii="Times New Roman" w:hAnsi="Times New Roman" w:eastAsia="宋体" w:cs="Times New Roman"/>
      <w:b w:val="0"/>
      <w:bCs w:val="0"/>
      <w:i w:val="0"/>
      <w:iCs w:val="0"/>
      <w:color w:val="000000"/>
      <w:u w:val="none"/>
    </w:rPr>
  </w:style>
  <w:style w:type="character" w:styleId="1177">
    <w:name w:val="小四 段落 宋体 Char Char Char1"/>
    <w:next w:val="1177"/>
    <w:link w:val="1038"/>
    <w:rPr>
      <w:rFonts w:ascii="宋体" w:hAnsi="宋体" w:eastAsia="宋体" w:cs="Times New Roman"/>
      <w:sz w:val="24"/>
      <w:szCs w:val="24"/>
      <w:lang w:val="en-US" w:eastAsia="zh-CN" w:bidi="ar-SA"/>
    </w:rPr>
  </w:style>
  <w:style w:type="character" w:styleId="1178">
    <w:name w:val="批注文字 Char"/>
    <w:next w:val="1178"/>
    <w:link w:val="1038"/>
    <w:rPr>
      <w:rFonts w:ascii="Times New Roman" w:hAnsi="Times New Roman" w:eastAsia="宋体" w:cs="Times New Roman"/>
      <w:sz w:val="21"/>
      <w:lang w:val="en-US" w:eastAsia="zh-CN" w:bidi="ar-SA"/>
    </w:rPr>
  </w:style>
  <w:style w:type="character" w:styleId="117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9"/>
    <w:link w:val="1038"/>
    <w:rPr>
      <w:rFonts w:ascii="Times New Roman" w:hAnsi="Times New Roman" w:eastAsia="宋体" w:cs="Times New Roman"/>
      <w:b/>
      <w:bCs/>
      <w:sz w:val="32"/>
      <w:szCs w:val="32"/>
      <w:lang w:val="en-US" w:eastAsia="zh-CN" w:bidi="ar-SA"/>
    </w:rPr>
  </w:style>
  <w:style w:type="character" w:styleId="1180">
    <w:name w:val="标准文本 Char"/>
    <w:next w:val="1180"/>
    <w:link w:val="1038"/>
    <w:rPr>
      <w:rFonts w:ascii="Times New Roman" w:hAnsi="Times New Roman" w:eastAsia="宋体" w:cs="宋体"/>
      <w:sz w:val="24"/>
      <w:szCs w:val="24"/>
      <w:lang w:val="en-US" w:eastAsia="zh-CN" w:bidi="ar-SA"/>
    </w:rPr>
  </w:style>
  <w:style w:type="character" w:styleId="1181">
    <w:name w:val="point_normal1"/>
    <w:next w:val="1181"/>
    <w:link w:val="1038"/>
    <w:rPr>
      <w:rFonts w:ascii="Arial" w:hAnsi="Arial" w:eastAsia="宋体" w:cs="Arial"/>
      <w:sz w:val="18"/>
      <w:szCs w:val="18"/>
    </w:rPr>
  </w:style>
  <w:style w:type="character" w:styleId="1182">
    <w:name w:val="font101"/>
    <w:next w:val="1182"/>
    <w:link w:val="1038"/>
    <w:rPr>
      <w:rFonts w:hint="eastAsia" w:ascii="宋体" w:hAnsi="宋体" w:eastAsia="宋体" w:cs="宋体"/>
      <w:i w:val="0"/>
      <w:iCs w:val="0"/>
      <w:color w:val="000000"/>
      <w:sz w:val="16"/>
      <w:szCs w:val="16"/>
      <w:u w:val="none"/>
    </w:rPr>
  </w:style>
  <w:style w:type="character" w:styleId="1183">
    <w:name w:val="subtitle1"/>
    <w:next w:val="1183"/>
    <w:link w:val="1038"/>
    <w:rPr>
      <w:rFonts w:ascii="Georgia" w:hAnsi="Georgia" w:eastAsia="宋体" w:cs="Times New Roman"/>
      <w:b/>
      <w:bCs/>
      <w:i w:val="0"/>
      <w:iCs w:val="0"/>
      <w:color w:val="666666"/>
      <w:sz w:val="18"/>
      <w:szCs w:val="18"/>
    </w:rPr>
  </w:style>
  <w:style w:type="character" w:styleId="1184">
    <w:name w:val="l-selected2"/>
    <w:next w:val="1184"/>
    <w:link w:val="1038"/>
    <w:rPr>
      <w:rFonts w:ascii="Times New Roman" w:hAnsi="Times New Roman" w:eastAsia="宋体" w:cs="Times New Roman"/>
      <w:color w:val="355686"/>
      <w:shd w:val="clear" w:color="auto" w:fill="ffffff"/>
    </w:rPr>
  </w:style>
  <w:style w:type="character" w:styleId="1185">
    <w:name w:val="标题 Char1"/>
    <w:next w:val="1185"/>
    <w:link w:val="1038"/>
    <w:rPr>
      <w:rFonts w:ascii="Cambria" w:hAnsi="Times New Roman" w:eastAsia="宋体" w:cs="Times New Roman"/>
      <w:b/>
      <w:bCs/>
      <w:i w:val="0"/>
      <w:iCs w:val="0"/>
      <w:sz w:val="32"/>
      <w:szCs w:val="32"/>
    </w:rPr>
  </w:style>
  <w:style w:type="character" w:styleId="1186">
    <w:name w:val="小四 段落 宋体 Char1"/>
    <w:next w:val="1186"/>
    <w:link w:val="1038"/>
    <w:rPr>
      <w:rFonts w:ascii="Times New Roman" w:hAnsi="Times New Roman" w:eastAsia="宋体" w:cs="Times New Roman"/>
      <w:sz w:val="24"/>
      <w:szCs w:val="24"/>
      <w:lang w:val="en-US" w:eastAsia="zh-CN" w:bidi="ar-SA"/>
    </w:rPr>
  </w:style>
  <w:style w:type="character" w:styleId="118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7"/>
    <w:link w:val="1038"/>
    <w:rPr>
      <w:rFonts w:ascii="Times New Roman" w:hAnsi="Times New Roman" w:eastAsia="宋体" w:cs="Times New Roman"/>
      <w:sz w:val="21"/>
      <w:lang w:val="en-US" w:eastAsia="zh-CN" w:bidi="ar-SA"/>
    </w:rPr>
  </w:style>
  <w:style w:type="character" w:styleId="1188">
    <w:name w:val="标题 3 Char Char"/>
    <w:next w:val="1188"/>
    <w:link w:val="1038"/>
    <w:rPr>
      <w:rFonts w:ascii="Times New Roman" w:hAnsi="Times New Roman" w:eastAsia="仿宋_GB2312" w:cs="Times New Roman"/>
      <w:b/>
      <w:bCs/>
      <w:sz w:val="28"/>
      <w:szCs w:val="32"/>
      <w:lang w:val="en-US" w:eastAsia="zh-CN" w:bidi="ar-SA"/>
    </w:rPr>
  </w:style>
  <w:style w:type="character" w:styleId="1189">
    <w:name w:val="不明显强调"/>
    <w:next w:val="1189"/>
    <w:link w:val="1038"/>
    <w:qFormat/>
    <w:rPr>
      <w:rFonts w:ascii="Times New Roman" w:hAnsi="Times New Roman" w:eastAsia="宋体" w:cs="Times New Roman"/>
      <w:i/>
      <w:iCs/>
    </w:rPr>
  </w:style>
  <w:style w:type="character" w:styleId="1190">
    <w:name w:val=" Char Char26"/>
    <w:next w:val="1190"/>
    <w:link w:val="1038"/>
    <w:rPr>
      <w:rFonts w:ascii="Times New Roman" w:hAnsi="Times New Roman" w:eastAsia="宋体" w:cs="Times New Roman"/>
      <w:b/>
      <w:bCs/>
      <w:sz w:val="32"/>
      <w:szCs w:val="32"/>
    </w:rPr>
  </w:style>
  <w:style w:type="character" w:styleId="1191">
    <w:name w:val="l-over"/>
    <w:next w:val="1191"/>
    <w:link w:val="1038"/>
    <w:rPr>
      <w:rFonts w:ascii="Times New Roman" w:hAnsi="Times New Roman" w:eastAsia="宋体" w:cs="Times New Roman"/>
    </w:rPr>
  </w:style>
  <w:style w:type="character" w:styleId="1192">
    <w:name w:val="样式 首行缩进:  2 字符 Char"/>
    <w:next w:val="1192"/>
    <w:link w:val="1038"/>
    <w:rPr>
      <w:rFonts w:ascii="Times New Roman" w:hAnsi="Times New Roman" w:eastAsia="宋体" w:cs="宋体"/>
      <w:sz w:val="24"/>
      <w:lang w:val="en-US" w:eastAsia="zh-CN" w:bidi="ar-SA"/>
    </w:rPr>
  </w:style>
  <w:style w:type="character" w:styleId="1193">
    <w:name w:val="新图表正文 Char Char"/>
    <w:next w:val="1193"/>
    <w:link w:val="1194"/>
    <w:rPr>
      <w:rFonts w:ascii="宋体" w:hAnsi="宋体"/>
      <w:sz w:val="18"/>
      <w:szCs w:val="21"/>
      <w:lang w:val="en-US" w:eastAsia="zh-CN" w:bidi="ar-SA"/>
    </w:rPr>
  </w:style>
  <w:style w:type="paragraph" w:styleId="1194">
    <w:name w:val="新图表正文"/>
    <w:next w:val="1194"/>
    <w:link w:val="1193"/>
    <w:pPr>
      <w:jc w:val="both"/>
    </w:pPr>
    <w:rPr>
      <w:rFonts w:ascii="宋体" w:hAnsi="宋体"/>
      <w:sz w:val="18"/>
      <w:szCs w:val="21"/>
      <w:lang w:val="en-US" w:eastAsia="zh-CN" w:bidi="ar-SA"/>
    </w:rPr>
  </w:style>
  <w:style w:type="character" w:styleId="1195">
    <w:name w:val="listbenefit"/>
    <w:next w:val="1195"/>
    <w:link w:val="1038"/>
    <w:rPr>
      <w:rFonts w:ascii="Times New Roman" w:hAnsi="Times New Roman" w:eastAsia="宋体" w:cs="Times New Roman"/>
      <w:b w:val="0"/>
      <w:bCs w:val="0"/>
      <w:i w:val="0"/>
      <w:iCs w:val="0"/>
    </w:rPr>
  </w:style>
  <w:style w:type="character" w:styleId="1196">
    <w:name w:val="列出段落 Char,Bullet List Char,numbered Char,FooterText Char,List Paragraph1 Char,Paragraphe de liste1 Char"/>
    <w:next w:val="1196"/>
    <w:link w:val="1197"/>
    <w:rPr>
      <w:rFonts w:ascii="Arial" w:hAnsi="Arial" w:eastAsia="黑体" w:cs="Times New Roman"/>
      <w:sz w:val="24"/>
      <w:szCs w:val="24"/>
      <w:lang w:eastAsia="en-US"/>
    </w:rPr>
  </w:style>
  <w:style w:type="paragraph" w:styleId="1197">
    <w:name w:val="列出段落1"/>
    <w:basedOn w:val="1038"/>
    <w:next w:val="1197"/>
    <w:link w:val="1196"/>
    <w:pPr>
      <w:contextualSpacing/>
      <w:ind w:left="720"/>
      <w:jc w:val="left"/>
      <w:widowControl/>
    </w:pPr>
    <w:rPr>
      <w:rFonts w:ascii="Arial" w:hAnsi="Arial" w:eastAsia="黑体"/>
      <w:sz w:val="24"/>
      <w:szCs w:val="24"/>
      <w:lang w:eastAsia="en-US"/>
    </w:rPr>
  </w:style>
  <w:style w:type="character" w:styleId="1198">
    <w:name w:val="正文缩进 Char1"/>
    <w:next w:val="1198"/>
    <w:link w:val="1199"/>
    <w:rPr>
      <w:rFonts w:ascii="Times New Roman" w:hAnsi="Times New Roman" w:eastAsia="宋体" w:cs="Times New Roman"/>
      <w:lang w:bidi="ar-SA"/>
    </w:rPr>
  </w:style>
  <w:style w:type="paragraph" w:styleId="1199">
    <w:name w:val="Normal Indent1"/>
    <w:basedOn w:val="1038"/>
    <w:next w:val="1199"/>
    <w:link w:val="1198"/>
    <w:pPr>
      <w:ind w:firstLine="420"/>
    </w:pPr>
    <w:rPr>
      <w:rFonts w:eastAsia="宋体"/>
      <w:sz w:val="20"/>
    </w:rPr>
  </w:style>
  <w:style w:type="character" w:styleId="1200">
    <w:name w:val="font81"/>
    <w:next w:val="1200"/>
    <w:link w:val="1038"/>
    <w:rPr>
      <w:rFonts w:hint="eastAsia" w:ascii="宋体" w:hAnsi="宋体" w:eastAsia="宋体" w:cs="宋体"/>
      <w:i w:val="0"/>
      <w:iCs w:val="0"/>
      <w:color w:val="000000"/>
      <w:sz w:val="16"/>
      <w:szCs w:val="16"/>
      <w:u w:val="none"/>
    </w:rPr>
  </w:style>
  <w:style w:type="character" w:styleId="1201">
    <w:name w:val="ih151"/>
    <w:next w:val="1201"/>
    <w:link w:val="1038"/>
    <w:rPr>
      <w:rFonts w:ascii="Times New Roman" w:hAnsi="Times New Roman" w:eastAsia="宋体" w:cs="Times New Roman"/>
      <w:b w:val="0"/>
      <w:bCs w:val="0"/>
      <w:i w:val="0"/>
      <w:iCs w:val="0"/>
      <w:caps w:val="0"/>
      <w:smallCaps w:val="0"/>
      <w:color w:val="666666"/>
      <w:sz w:val="18"/>
      <w:szCs w:val="18"/>
      <w:u w:val="none"/>
    </w:rPr>
  </w:style>
  <w:style w:type="character" w:styleId="1202">
    <w:name w:val="纯文本 Char Char Char"/>
    <w:next w:val="1202"/>
    <w:link w:val="1038"/>
    <w:rPr>
      <w:rFonts w:ascii="宋体" w:hAnsi="Courier New" w:eastAsia="宋体" w:cs="Times New Roman"/>
      <w:sz w:val="21"/>
      <w:szCs w:val="21"/>
      <w:lang w:val="en-US" w:eastAsia="zh-CN" w:bidi="ar-SA"/>
    </w:rPr>
  </w:style>
  <w:style w:type="character" w:styleId="1203">
    <w:name w:val="引用 Char"/>
    <w:next w:val="1203"/>
    <w:link w:val="1204"/>
    <w:rPr>
      <w:rFonts w:ascii="Calibri" w:hAnsi="Calibri" w:eastAsia="宋体" w:cs="Times New Roman"/>
      <w:i/>
      <w:iCs/>
      <w:sz w:val="22"/>
      <w:szCs w:val="22"/>
      <w:lang w:val="en-US" w:eastAsia="en-US" w:bidi="en-US"/>
    </w:rPr>
  </w:style>
  <w:style w:type="paragraph" w:styleId="1204">
    <w:name w:val="引用"/>
    <w:basedOn w:val="1038"/>
    <w:next w:val="1038"/>
    <w:link w:val="1203"/>
    <w:qFormat/>
    <w:pPr>
      <w:ind w:left="360" w:right="360"/>
      <w:jc w:val="left"/>
      <w:spacing w:before="200" w:line="276" w:lineRule="auto"/>
      <w:widowControl/>
    </w:pPr>
    <w:rPr>
      <w:rFonts w:ascii="Calibri" w:hAnsi="Calibri" w:eastAsia="宋体"/>
      <w:i/>
      <w:iCs/>
      <w:sz w:val="22"/>
      <w:szCs w:val="22"/>
      <w:lang w:eastAsia="en-US" w:bidi="en-US"/>
    </w:rPr>
  </w:style>
  <w:style w:type="character" w:styleId="1205">
    <w:name w:val="font91"/>
    <w:next w:val="1205"/>
    <w:link w:val="1038"/>
    <w:rPr>
      <w:rFonts w:ascii="Arial" w:hAnsi="Arial" w:eastAsia="宋体" w:cs="Arial"/>
      <w:i w:val="0"/>
      <w:iCs w:val="0"/>
      <w:color w:val="000000"/>
      <w:sz w:val="16"/>
      <w:szCs w:val="16"/>
      <w:u w:val="none"/>
    </w:rPr>
  </w:style>
  <w:style w:type="character" w:styleId="1206">
    <w:name w:val="3zw"/>
    <w:next w:val="1206"/>
    <w:link w:val="1038"/>
    <w:rPr>
      <w:rFonts w:ascii="Times New Roman" w:hAnsi="Times New Roman" w:eastAsia="宋体" w:cs="Times New Roman"/>
    </w:rPr>
  </w:style>
  <w:style w:type="character" w:styleId="1207">
    <w:name w:val="样式 首行缩进:  2 字符 Char Char"/>
    <w:next w:val="1207"/>
    <w:link w:val="1208"/>
    <w:rPr>
      <w:rFonts w:ascii="Times New Roman" w:hAnsi="Times New Roman" w:eastAsia="宋体" w:cs="宋体"/>
      <w:sz w:val="24"/>
      <w:lang w:val="en-US" w:eastAsia="zh-CN" w:bidi="ar-SA"/>
    </w:rPr>
  </w:style>
  <w:style w:type="paragraph" w:styleId="1208">
    <w:name w:val="样式 首行缩进:  2 字符"/>
    <w:basedOn w:val="1038"/>
    <w:next w:val="1208"/>
    <w:link w:val="1207"/>
    <w:pPr>
      <w:ind w:firstLine="480"/>
      <w:spacing w:line="360" w:lineRule="auto"/>
    </w:pPr>
    <w:rPr>
      <w:rFonts w:eastAsia="宋体" w:cs="宋体"/>
      <w:sz w:val="24"/>
    </w:rPr>
  </w:style>
  <w:style w:type="character" w:styleId="1209">
    <w:name w:val="A2"/>
    <w:next w:val="1209"/>
    <w:link w:val="1038"/>
    <w:rPr>
      <w:rFonts w:ascii="Times New Roman" w:hAnsi="Times New Roman" w:eastAsia="宋体" w:cs="Helvetica"/>
      <w:color w:val="000000"/>
      <w:sz w:val="18"/>
      <w:szCs w:val="18"/>
    </w:rPr>
  </w:style>
  <w:style w:type="character" w:styleId="1210">
    <w:name w:val=" Char Char27"/>
    <w:next w:val="1210"/>
    <w:link w:val="1038"/>
    <w:rPr>
      <w:rFonts w:ascii="Times New Roman" w:hAnsi="Times New Roman" w:eastAsia="宋体" w:cs="Times New Roman"/>
      <w:b/>
      <w:bCs/>
      <w:sz w:val="44"/>
      <w:szCs w:val="44"/>
    </w:rPr>
  </w:style>
  <w:style w:type="character" w:styleId="1211">
    <w:name w:val="无间隔 Char"/>
    <w:next w:val="1211"/>
    <w:link w:val="1212"/>
    <w:rPr>
      <w:rFonts w:eastAsia="微软雅黑"/>
      <w:sz w:val="24"/>
      <w:szCs w:val="22"/>
      <w:lang w:val="en-US" w:eastAsia="zh-CN" w:bidi="ar-SA"/>
    </w:rPr>
  </w:style>
  <w:style w:type="paragraph" w:styleId="1212">
    <w:name w:val="无间隔"/>
    <w:next w:val="1212"/>
    <w:link w:val="1211"/>
    <w:qFormat/>
    <w:pPr>
      <w:jc w:val="both"/>
      <w:widowControl w:val="off"/>
    </w:pPr>
    <w:rPr>
      <w:rFonts w:eastAsia="微软雅黑"/>
      <w:sz w:val="24"/>
      <w:szCs w:val="22"/>
      <w:lang w:val="en-US" w:eastAsia="zh-CN" w:bidi="ar-SA"/>
    </w:rPr>
  </w:style>
  <w:style w:type="character" w:styleId="1213">
    <w:name w:val="标准文本 Char Char"/>
    <w:next w:val="1213"/>
    <w:link w:val="1038"/>
    <w:rPr>
      <w:rFonts w:ascii="Times New Roman" w:hAnsi="Times New Roman" w:eastAsia="宋体" w:cs="宋体"/>
      <w:sz w:val="24"/>
      <w:szCs w:val="24"/>
      <w:lang w:val="en-US" w:eastAsia="zh-CN" w:bidi="ar-SA"/>
    </w:rPr>
  </w:style>
  <w:style w:type="character" w:styleId="1214">
    <w:name w:val=" Char Char29"/>
    <w:next w:val="1214"/>
    <w:link w:val="1038"/>
    <w:rPr>
      <w:rFonts w:ascii="Times New Roman" w:hAnsi="Times New Roman" w:eastAsia="宋体" w:cs="Times New Roman"/>
      <w:b/>
      <w:bCs/>
      <w:sz w:val="44"/>
      <w:szCs w:val="44"/>
    </w:rPr>
  </w:style>
  <w:style w:type="character" w:styleId="1215">
    <w:name w:val="标准小四 Char"/>
    <w:next w:val="1215"/>
    <w:link w:val="1038"/>
    <w:rPr>
      <w:rFonts w:ascii="Arial" w:hAnsi="Arial" w:eastAsia="宋体" w:cs="Times New Roman"/>
      <w:sz w:val="24"/>
      <w:szCs w:val="21"/>
      <w:lang w:val="en-US" w:eastAsia="zh-CN" w:bidi="ar-SA"/>
    </w:rPr>
  </w:style>
  <w:style w:type="character" w:styleId="1216">
    <w:name w:val="华宇段落1 Char Char Char"/>
    <w:next w:val="1216"/>
    <w:link w:val="1038"/>
    <w:rPr>
      <w:rFonts w:ascii="Times New Roman" w:hAnsi="Times New Roman" w:eastAsia="宋体" w:cs="Times New Roman"/>
      <w:bCs/>
      <w:sz w:val="24"/>
      <w:szCs w:val="24"/>
      <w:lang w:val="en-US" w:eastAsia="zh-CN" w:bidi="ar-SA"/>
    </w:rPr>
  </w:style>
  <w:style w:type="character" w:styleId="1217">
    <w:name w:val="样式 非加粗"/>
    <w:next w:val="1217"/>
    <w:link w:val="1038"/>
    <w:rPr>
      <w:rFonts w:ascii="Times New Roman" w:hAnsi="Times New Roman" w:eastAsia="宋体" w:cs="Times New Roman"/>
      <w:sz w:val="28"/>
    </w:rPr>
  </w:style>
  <w:style w:type="character" w:styleId="1218">
    <w:name w:val="小四 段落 宋体 Char Char Char Char Char Char Char Char"/>
    <w:next w:val="1218"/>
    <w:link w:val="1038"/>
    <w:rPr>
      <w:rFonts w:ascii="Times New Roman" w:hAnsi="Times New Roman" w:eastAsia="宋体" w:cs="Times New Roman"/>
      <w:sz w:val="24"/>
      <w:szCs w:val="24"/>
      <w:lang w:val="en-US" w:eastAsia="zh-CN" w:bidi="ar-SA"/>
    </w:rPr>
  </w:style>
  <w:style w:type="character" w:styleId="1219">
    <w:name w:val="华宇段落1 Char Char"/>
    <w:next w:val="1219"/>
    <w:link w:val="1038"/>
    <w:rPr>
      <w:rFonts w:ascii="Times New Roman" w:hAnsi="Times New Roman" w:eastAsia="宋体" w:cs="Times New Roman"/>
      <w:bCs/>
      <w:sz w:val="24"/>
      <w:szCs w:val="24"/>
      <w:lang w:val="en-US" w:eastAsia="zh-CN" w:bidi="ar-SA"/>
    </w:rPr>
  </w:style>
  <w:style w:type="character" w:styleId="1220">
    <w:name w:val="小四 段落 宋体 Char Char Char Char Char Char"/>
    <w:next w:val="1220"/>
    <w:link w:val="1038"/>
    <w:rPr>
      <w:rFonts w:ascii="Times New Roman" w:hAnsi="Times New Roman" w:eastAsia="宋体" w:cs="Times New Roman"/>
      <w:sz w:val="24"/>
      <w:szCs w:val="24"/>
      <w:lang w:val="en-US" w:eastAsia="zh-CN" w:bidi="ar-SA"/>
    </w:rPr>
  </w:style>
  <w:style w:type="character" w:styleId="1221">
    <w:name w:val="表格抬头 Char"/>
    <w:next w:val="1221"/>
    <w:link w:val="1222"/>
    <w:rPr>
      <w:rFonts w:ascii="黑体" w:hAnsi="Times New Roman" w:eastAsia="黑体" w:cs="Times New Roman"/>
      <w:b/>
      <w:sz w:val="21"/>
      <w:lang w:bidi="ar-SA"/>
    </w:rPr>
  </w:style>
  <w:style w:type="paragraph" w:styleId="1222">
    <w:name w:val="表格抬头"/>
    <w:basedOn w:val="1038"/>
    <w:next w:val="1222"/>
    <w:link w:val="1221"/>
    <w:pPr>
      <w:jc w:val="center"/>
    </w:pPr>
    <w:rPr>
      <w:rFonts w:ascii="黑体" w:eastAsia="黑体"/>
      <w:b/>
    </w:rPr>
  </w:style>
  <w:style w:type="character" w:styleId="1223">
    <w:name w:val=" Char Char22"/>
    <w:next w:val="1223"/>
    <w:link w:val="1038"/>
    <w:rPr>
      <w:rFonts w:ascii="Times New Roman" w:hAnsi="Times New Roman" w:eastAsia="宋体" w:cs="Times New Roman"/>
      <w:b/>
      <w:bCs/>
      <w:sz w:val="24"/>
      <w:szCs w:val="24"/>
    </w:rPr>
  </w:style>
  <w:style w:type="character" w:styleId="1224">
    <w:name w:val="样式 宋体 小四"/>
    <w:next w:val="1224"/>
    <w:link w:val="1038"/>
    <w:rPr>
      <w:rFonts w:ascii="宋体" w:hAnsi="宋体" w:eastAsia="宋体" w:cs="Times New Roman"/>
      <w:sz w:val="24"/>
    </w:rPr>
  </w:style>
  <w:style w:type="character" w:styleId="1225">
    <w:name w:val="明显引用 Char"/>
    <w:next w:val="1225"/>
    <w:link w:val="1226"/>
    <w:rPr>
      <w:rFonts w:ascii="Calibri" w:hAnsi="Calibri" w:eastAsia="宋体" w:cs="Times New Roman"/>
      <w:b/>
      <w:bCs/>
      <w:i/>
      <w:iCs/>
      <w:sz w:val="22"/>
      <w:szCs w:val="22"/>
      <w:lang w:val="en-US" w:eastAsia="en-US" w:bidi="en-US"/>
    </w:rPr>
  </w:style>
  <w:style w:type="paragraph" w:styleId="1226">
    <w:name w:val="明显引用"/>
    <w:basedOn w:val="1038"/>
    <w:next w:val="1038"/>
    <w:link w:val="1225"/>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7">
    <w:name w:val="明显强调"/>
    <w:next w:val="1227"/>
    <w:link w:val="1038"/>
    <w:qFormat/>
    <w:rPr>
      <w:rFonts w:ascii="Times New Roman" w:hAnsi="Times New Roman" w:eastAsia="宋体" w:cs="Times New Roman"/>
      <w:b/>
      <w:bCs/>
    </w:rPr>
  </w:style>
  <w:style w:type="character" w:styleId="1228">
    <w:name w:val="标题 3 Char,h3 Char,3rd level Char,3 Char,标题4 Char,Heading 3 - old Char,标题 3 Char1,正文 + 小三 Char,H3 Char,sect1.2.3 Char,BOD 0 Char,l3 Char,CT Char,Level 3 Head Char,3rd lev...] Char Char,heading 3 Char,123456 Char,F Char Char,Map Char,H31 Char,level_3 Char"/>
    <w:next w:val="1228"/>
    <w:link w:val="1038"/>
    <w:rPr>
      <w:rFonts w:ascii="宋体" w:hAnsi="宋体" w:eastAsia="宋体" w:cs="Times New Roman"/>
      <w:b/>
      <w:bCs/>
      <w:sz w:val="24"/>
      <w:szCs w:val="32"/>
      <w:lang w:val="en-US" w:eastAsia="zh-CN" w:bidi="ar-SA"/>
    </w:rPr>
  </w:style>
  <w:style w:type="character" w:styleId="1229">
    <w:name w:val="normalfont1"/>
    <w:next w:val="1229"/>
    <w:link w:val="1038"/>
    <w:rPr>
      <w:rFonts w:ascii="ˎ̥" w:hAnsi="ˎ̥" w:eastAsia="宋体" w:cs="Times New Roman"/>
      <w:sz w:val="18"/>
      <w:szCs w:val="18"/>
      <w:u w:val="none"/>
    </w:rPr>
  </w:style>
  <w:style w:type="character" w:styleId="1230">
    <w:name w:val="111111 Char"/>
    <w:next w:val="1230"/>
    <w:link w:val="1231"/>
    <w:rPr>
      <w:rFonts w:ascii="宋体" w:hAnsi="宋体" w:eastAsia="黑体" w:cs="宋体"/>
      <w:b/>
      <w:bCs/>
      <w:sz w:val="21"/>
      <w:szCs w:val="21"/>
      <w:lang w:val="en-US" w:eastAsia="zh-CN" w:bidi="ar-SA"/>
    </w:rPr>
  </w:style>
  <w:style w:type="paragraph" w:styleId="1231">
    <w:name w:val="111111"/>
    <w:basedOn w:val="1038"/>
    <w:next w:val="1231"/>
    <w:link w:val="1230"/>
    <w:pPr>
      <w:jc w:val="center"/>
      <w:spacing w:before="120" w:after="120"/>
    </w:pPr>
    <w:rPr>
      <w:rFonts w:ascii="宋体" w:hAnsi="宋体" w:eastAsia="黑体" w:cs="宋体"/>
      <w:b/>
      <w:bCs/>
      <w:szCs w:val="21"/>
    </w:rPr>
  </w:style>
  <w:style w:type="character" w:styleId="1232">
    <w:name w:val="apple-converted-space"/>
    <w:next w:val="1232"/>
    <w:link w:val="1038"/>
    <w:rPr>
      <w:rFonts w:ascii="Times New Roman" w:hAnsi="Times New Roman" w:eastAsia="宋体" w:cs="Times New Roman"/>
    </w:rPr>
  </w:style>
  <w:style w:type="character" w:styleId="1233">
    <w:name w:val="纯文本 Char Char"/>
    <w:next w:val="1233"/>
    <w:link w:val="1038"/>
    <w:rPr>
      <w:rFonts w:ascii="宋体" w:hAnsi="Courier New" w:eastAsia="宋体" w:cs="Times New Roman"/>
      <w:sz w:val="21"/>
      <w:szCs w:val="21"/>
      <w:lang w:val="en-US" w:eastAsia="zh-CN" w:bidi="ar-SA"/>
    </w:rPr>
  </w:style>
  <w:style w:type="character" w:styleId="1234">
    <w:name w:val="NormalCharacter1"/>
    <w:next w:val="1234"/>
    <w:link w:val="1038"/>
    <w:rPr>
      <w:rFonts w:ascii="Times New Roman" w:hAnsi="Times New Roman" w:eastAsia="宋体" w:cs="Times New Roman"/>
      <w:sz w:val="21"/>
      <w:szCs w:val="22"/>
      <w:lang w:val="en-US" w:eastAsia="zh-CN" w:bidi="ar-SA"/>
    </w:rPr>
  </w:style>
  <w:style w:type="character" w:styleId="1235">
    <w:name w:val=" Char Char17"/>
    <w:next w:val="1235"/>
    <w:link w:val="1038"/>
    <w:rPr>
      <w:rFonts w:ascii="宋体" w:hAnsi="Courier New" w:eastAsia="宋体" w:cs="Times New Roman"/>
      <w:sz w:val="21"/>
      <w:szCs w:val="21"/>
    </w:rPr>
  </w:style>
  <w:style w:type="character" w:styleId="1236">
    <w:name w:val="明显参考"/>
    <w:next w:val="1236"/>
    <w:link w:val="1038"/>
    <w:qFormat/>
    <w:rPr>
      <w:rFonts w:ascii="Times New Roman" w:hAnsi="Times New Roman" w:eastAsia="宋体" w:cs="Times New Roman"/>
      <w:smallCaps/>
      <w:spacing w:val="5"/>
      <w:u w:val="single"/>
    </w:rPr>
  </w:style>
  <w:style w:type="character" w:styleId="1237">
    <w:name w:val="h Char Char"/>
    <w:next w:val="1237"/>
    <w:link w:val="1038"/>
    <w:rPr>
      <w:rFonts w:ascii="Times New Roman" w:hAnsi="Times New Roman" w:eastAsia="宋体" w:cs="Times New Roman"/>
      <w:b w:val="0"/>
      <w:bCs w:val="0"/>
      <w:i w:val="0"/>
      <w:iCs w:val="0"/>
      <w:sz w:val="18"/>
      <w:szCs w:val="18"/>
      <w:lang w:val="en-US" w:eastAsia="zh-CN" w:bidi="ar-SA"/>
    </w:rPr>
  </w:style>
  <w:style w:type="character" w:styleId="1238">
    <w:name w:val="case31"/>
    <w:next w:val="1238"/>
    <w:link w:val="1038"/>
    <w:rPr>
      <w:rFonts w:ascii="Times New Roman" w:hAnsi="Times New Roman" w:eastAsia="宋体" w:cs="Times New Roman"/>
      <w:b w:val="0"/>
      <w:bCs w:val="0"/>
      <w:i w:val="0"/>
      <w:iCs w:val="0"/>
      <w:sz w:val="21"/>
      <w:szCs w:val="21"/>
    </w:rPr>
  </w:style>
  <w:style w:type="character" w:styleId="1239">
    <w:name w:val="para_small"/>
    <w:next w:val="1239"/>
    <w:link w:val="1038"/>
    <w:rPr>
      <w:rFonts w:ascii="Times New Roman" w:hAnsi="Times New Roman" w:eastAsia="宋体" w:cs="Times New Roman"/>
    </w:rPr>
  </w:style>
  <w:style w:type="character" w:styleId="1240">
    <w:name w:val="content_lineheight1"/>
    <w:next w:val="1240"/>
    <w:link w:val="1038"/>
    <w:rPr>
      <w:rFonts w:ascii="Times New Roman" w:hAnsi="Times New Roman" w:eastAsia="宋体" w:cs="Times New Roman"/>
    </w:rPr>
  </w:style>
  <w:style w:type="paragraph" w:styleId="1241">
    <w:name w:val=" Char Char Char Char Char Char Char Char Char Char Char Char Char Char"/>
    <w:basedOn w:val="1038"/>
    <w:next w:val="1241"/>
    <w:link w:val="1038"/>
    <w:rPr>
      <w:rFonts w:ascii="Tahoma" w:hAnsi="Tahoma" w:eastAsia="宋体" w:cs="Times New Roman"/>
      <w:sz w:val="24"/>
    </w:rPr>
  </w:style>
  <w:style w:type="paragraph" w:styleId="1242">
    <w:name w:val="xl58"/>
    <w:basedOn w:val="1038"/>
    <w:next w:val="1242"/>
    <w:link w:val="103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43">
    <w:name w:val="正文缩进2字符"/>
    <w:basedOn w:val="1038"/>
    <w:next w:val="1243"/>
    <w:link w:val="1038"/>
    <w:pPr>
      <w:ind w:firstLine="200"/>
      <w:spacing w:line="300" w:lineRule="auto"/>
    </w:pPr>
    <w:rPr>
      <w:rFonts w:ascii="仿宋_GB2312" w:hAnsi="Times New Roman" w:eastAsia="仿宋_GB2312" w:cs="Times New Roman"/>
      <w:sz w:val="32"/>
      <w:szCs w:val="32"/>
    </w:rPr>
  </w:style>
  <w:style w:type="paragraph" w:styleId="1244">
    <w:name w:val="正文表标题"/>
    <w:next w:val="1142"/>
    <w:link w:val="1038"/>
    <w:pPr>
      <w:ind w:left="900" w:hanging="420"/>
      <w:jc w:val="center"/>
      <w:tabs>
        <w:tab w:val="left" w:pos="900" w:leader="none"/>
      </w:tabs>
    </w:pPr>
    <w:rPr>
      <w:rFonts w:ascii="黑体" w:eastAsia="黑体"/>
      <w:sz w:val="21"/>
      <w:lang w:val="en-US" w:eastAsia="zh-CN" w:bidi="ar-SA"/>
    </w:rPr>
  </w:style>
  <w:style w:type="paragraph" w:styleId="1245">
    <w:name w:val=" Char Char1 Char Char Char Char1 Char Char Char Char Char Char"/>
    <w:basedOn w:val="1038"/>
    <w:next w:val="1245"/>
    <w:link w:val="1038"/>
    <w:rPr>
      <w:rFonts w:ascii="Tahoma" w:hAnsi="Tahoma" w:eastAsia="宋体" w:cs="Times New Roman"/>
      <w:sz w:val="24"/>
    </w:rPr>
  </w:style>
  <w:style w:type="paragraph" w:styleId="1246">
    <w:name w:val="段落"/>
    <w:basedOn w:val="1038"/>
    <w:next w:val="1246"/>
    <w:link w:val="1038"/>
    <w:pPr>
      <w:ind w:firstLine="480"/>
      <w:spacing w:line="460" w:lineRule="exact"/>
    </w:pPr>
    <w:rPr>
      <w:rFonts w:ascii="Times New Roman" w:hAnsi="Times New Roman" w:eastAsia="宋体" w:cs="Times New Roman"/>
      <w:sz w:val="24"/>
    </w:rPr>
  </w:style>
  <w:style w:type="paragraph" w:styleId="1247">
    <w:name w:val=" Char Char"/>
    <w:basedOn w:val="1038"/>
    <w:next w:val="1247"/>
    <w:link w:val="1038"/>
    <w:rPr>
      <w:rFonts w:ascii="Tahoma" w:hAnsi="Tahoma" w:eastAsia="宋体" w:cs="Times New Roman"/>
      <w:sz w:val="24"/>
    </w:rPr>
  </w:style>
  <w:style w:type="paragraph" w:styleId="1248">
    <w:name w:val="xl44"/>
    <w:basedOn w:val="1038"/>
    <w:next w:val="1248"/>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9">
    <w:name w:val="flNote"/>
    <w:basedOn w:val="1038"/>
    <w:next w:val="1249"/>
    <w:link w:val="1038"/>
    <w:pPr>
      <w:jc w:val="center"/>
      <w:spacing w:before="567" w:line="360" w:lineRule="atLeast"/>
    </w:pPr>
    <w:rPr>
      <w:rFonts w:ascii="Times New Roman" w:hAnsi="Times New Roman" w:eastAsia="黑体" w:cs="Times New Roman"/>
      <w:b/>
      <w:sz w:val="24"/>
    </w:rPr>
  </w:style>
  <w:style w:type="paragraph" w:styleId="1250">
    <w:name w:val="正文文本 New New"/>
    <w:basedOn w:val="1038"/>
    <w:next w:val="1250"/>
    <w:link w:val="1038"/>
    <w:pPr>
      <w:ind w:firstLine="200"/>
      <w:spacing w:before="60" w:after="60" w:line="360" w:lineRule="auto"/>
      <w:widowControl/>
    </w:pPr>
    <w:rPr>
      <w:rFonts w:ascii="Times New Roman" w:hAnsi="Times New Roman" w:eastAsia="华文楷体" w:cs="Times New Roman"/>
      <w:sz w:val="24"/>
      <w:szCs w:val="24"/>
    </w:rPr>
  </w:style>
  <w:style w:type="paragraph" w:styleId="1251">
    <w:name w:val=" Char1"/>
    <w:basedOn w:val="1038"/>
    <w:next w:val="1251"/>
    <w:link w:val="1038"/>
    <w:pPr>
      <w:jc w:val="left"/>
      <w:spacing w:after="160" w:line="240" w:lineRule="exact"/>
      <w:widowControl/>
    </w:pPr>
    <w:rPr>
      <w:rFonts w:ascii="Verdana" w:hAnsi="Verdana" w:eastAsia="仿宋_GB2312" w:cs="Times New Roman"/>
      <w:sz w:val="24"/>
      <w:lang w:eastAsia="en-US"/>
    </w:rPr>
  </w:style>
  <w:style w:type="paragraph" w:styleId="1252">
    <w:name w:val="xl30"/>
    <w:basedOn w:val="1038"/>
    <w:next w:val="1252"/>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3">
    <w:name w:val="列表内容"/>
    <w:basedOn w:val="1038"/>
    <w:next w:val="1038"/>
    <w:link w:val="1038"/>
    <w:pPr>
      <w:ind w:left="840" w:hanging="420"/>
      <w:jc w:val="left"/>
      <w:widowControl/>
      <w:tabs>
        <w:tab w:val="left" w:pos="840" w:leader="none"/>
      </w:tabs>
    </w:pPr>
    <w:rPr>
      <w:rFonts w:ascii="Times New Roman" w:hAnsi="Times New Roman" w:eastAsia="宋体" w:cs="Times New Roman"/>
      <w:sz w:val="18"/>
      <w:szCs w:val="24"/>
    </w:rPr>
  </w:style>
  <w:style w:type="paragraph" w:styleId="1254">
    <w:name w:val="样式 样式 首行缩进:  0.74 厘米 行距: 1.5 倍行距 + 段后: 0.5 行"/>
    <w:basedOn w:val="1038"/>
    <w:next w:val="1254"/>
    <w:link w:val="1038"/>
    <w:pPr>
      <w:ind w:firstLine="420"/>
      <w:spacing w:line="360" w:lineRule="auto"/>
    </w:pPr>
    <w:rPr>
      <w:rFonts w:ascii="楷体_GB2312" w:hAnsi="Times New Roman" w:eastAsia="楷体_GB2312" w:cs="Times New Roman"/>
      <w:bCs/>
      <w:sz w:val="24"/>
    </w:rPr>
  </w:style>
  <w:style w:type="paragraph" w:styleId="1255">
    <w:name w:val="文档正文"/>
    <w:basedOn w:val="1038"/>
    <w:next w:val="1255"/>
    <w:link w:val="1038"/>
    <w:pPr>
      <w:spacing w:line="360" w:lineRule="auto"/>
    </w:pPr>
    <w:rPr>
      <w:rFonts w:ascii="宋体" w:hAnsi="宋体" w:eastAsia="宋体" w:cs="Times New Roman"/>
      <w:b/>
      <w:bCs/>
      <w:szCs w:val="24"/>
    </w:rPr>
  </w:style>
  <w:style w:type="paragraph" w:styleId="1256">
    <w:name w:val="_Style 1"/>
    <w:basedOn w:val="1038"/>
    <w:next w:val="1256"/>
    <w:link w:val="1038"/>
    <w:pPr>
      <w:ind w:firstLine="420"/>
    </w:pPr>
    <w:rPr>
      <w:rFonts w:ascii="Calibri" w:hAnsi="Calibri" w:eastAsia="宋体" w:cs="Times New Roman"/>
      <w:szCs w:val="22"/>
    </w:rPr>
  </w:style>
  <w:style w:type="paragraph" w:styleId="1257">
    <w:name w:val="马刚标题3"/>
    <w:basedOn w:val="1038"/>
    <w:next w:val="1038"/>
    <w:link w:val="1038"/>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8">
    <w:name w:val="马刚标题4"/>
    <w:basedOn w:val="1257"/>
    <w:next w:val="1038"/>
    <w:link w:val="1038"/>
    <w:pPr>
      <w:spacing w:before="100" w:after="40"/>
      <w:tabs>
        <w:tab w:val="left" w:pos="1050" w:leader="none"/>
      </w:tabs>
      <w:outlineLvl w:val="3"/>
    </w:pPr>
    <w:rPr>
      <w:rFonts w:ascii="Times New Roman" w:hAnsi="Times New Roman" w:eastAsia="宋体" w:cs="Times New Roman"/>
      <w:b w:val="0"/>
    </w:rPr>
  </w:style>
  <w:style w:type="paragraph" w:styleId="1259">
    <w:name w:val="四号正文"/>
    <w:basedOn w:val="1038"/>
    <w:next w:val="1259"/>
    <w:link w:val="1038"/>
    <w:pPr>
      <w:ind w:firstLine="560"/>
      <w:spacing w:before="0" w:after="0"/>
    </w:pPr>
    <w:rPr>
      <w:rFonts w:ascii="Times New Roman" w:hAnsi="Times New Roman" w:eastAsia="宋体" w:cs="Times New Roman"/>
      <w:sz w:val="28"/>
      <w:szCs w:val="28"/>
    </w:rPr>
  </w:style>
  <w:style w:type="paragraph" w:styleId="1260">
    <w:name w:val="flName"/>
    <w:basedOn w:val="1249"/>
    <w:next w:val="1260"/>
    <w:link w:val="1038"/>
    <w:pPr>
      <w:spacing w:before="0" w:line="113" w:lineRule="atLeast"/>
    </w:pPr>
    <w:rPr>
      <w:rFonts w:ascii="Times New Roman" w:hAnsi="Times New Roman" w:eastAsia="宋体" w:cs="Times New Roman"/>
    </w:rPr>
  </w:style>
  <w:style w:type="paragraph" w:styleId="1261">
    <w:name w:val="表格内容"/>
    <w:basedOn w:val="1038"/>
    <w:next w:val="1261"/>
    <w:link w:val="1038"/>
    <w:pPr>
      <w:jc w:val="center"/>
      <w:spacing w:before="60" w:line="300" w:lineRule="auto"/>
      <w:widowControl/>
    </w:pPr>
    <w:rPr>
      <w:rFonts w:ascii="Times New Roman" w:hAnsi="Times New Roman" w:eastAsia="宋体" w:cs="Times New Roman"/>
    </w:rPr>
  </w:style>
  <w:style w:type="paragraph" w:styleId="1262">
    <w:name w:val="丁华正文"/>
    <w:basedOn w:val="1102"/>
    <w:next w:val="1262"/>
    <w:link w:val="1038"/>
    <w:pPr>
      <w:ind w:left="0" w:firstLine="510"/>
      <w:spacing w:line="360" w:lineRule="auto"/>
    </w:pPr>
    <w:rPr>
      <w:rFonts w:ascii="Times New Roman" w:hAnsi="Times New Roman" w:eastAsia="宋体" w:cs="Times New Roman"/>
      <w:color w:val="000000"/>
      <w:sz w:val="24"/>
      <w:szCs w:val="16"/>
    </w:rPr>
  </w:style>
  <w:style w:type="paragraph" w:styleId="1263">
    <w:name w:val="丁华标题1"/>
    <w:basedOn w:val="1039"/>
    <w:next w:val="1262"/>
    <w:link w:val="1038"/>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64">
    <w:name w:val=" Char1 Char Char Char"/>
    <w:basedOn w:val="1038"/>
    <w:next w:val="1264"/>
    <w:link w:val="1038"/>
    <w:rPr>
      <w:rFonts w:ascii="Tahoma" w:hAnsi="Tahoma" w:eastAsia="宋体" w:cs="Times New Roman"/>
      <w:sz w:val="24"/>
    </w:rPr>
  </w:style>
  <w:style w:type="paragraph" w:styleId="1265">
    <w:name w:val="正文 + 宋体"/>
    <w:basedOn w:val="1038"/>
    <w:next w:val="1265"/>
    <w:link w:val="1038"/>
    <w:pPr>
      <w:ind w:firstLine="420"/>
      <w:spacing w:line="360" w:lineRule="auto"/>
    </w:pPr>
    <w:rPr>
      <w:rFonts w:ascii="Times New Roman" w:hAnsi="Times New Roman" w:eastAsia="宋体" w:cs="Times New Roman"/>
      <w:szCs w:val="24"/>
    </w:rPr>
  </w:style>
  <w:style w:type="paragraph" w:styleId="1266">
    <w:name w:val="二级标题"/>
    <w:basedOn w:val="1038"/>
    <w:next w:val="1266"/>
    <w:link w:val="1038"/>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7">
    <w:name w:val="Char Char Char Char Char Char Char Char Char Char Char"/>
    <w:basedOn w:val="1038"/>
    <w:next w:val="1267"/>
    <w:link w:val="1038"/>
    <w:rPr>
      <w:rFonts w:ascii="Tahoma" w:hAnsi="Tahoma" w:eastAsia="宋体" w:cs="Tahoma"/>
      <w:sz w:val="24"/>
    </w:rPr>
  </w:style>
  <w:style w:type="paragraph" w:styleId="1268">
    <w:name w:val="xl49"/>
    <w:basedOn w:val="1038"/>
    <w:next w:val="1268"/>
    <w:link w:val="1038"/>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69">
    <w:name w:val="Char Char1"/>
    <w:basedOn w:val="1038"/>
    <w:next w:val="1269"/>
    <w:link w:val="1038"/>
    <w:rPr>
      <w:rFonts w:ascii="Tahoma" w:hAnsi="Tahoma" w:eastAsia="宋体" w:cs="Tahoma"/>
      <w:sz w:val="24"/>
    </w:rPr>
  </w:style>
  <w:style w:type="paragraph" w:styleId="1270">
    <w:name w:val="List Paragraph"/>
    <w:basedOn w:val="1038"/>
    <w:next w:val="1270"/>
    <w:link w:val="1038"/>
    <w:pPr>
      <w:contextualSpacing/>
      <w:ind w:left="720"/>
      <w:jc w:val="left"/>
      <w:widowControl/>
    </w:pPr>
    <w:rPr>
      <w:rFonts w:ascii="Arial" w:hAnsi="Arial" w:eastAsia="黑体" w:cs="Times New Roman"/>
      <w:sz w:val="24"/>
      <w:szCs w:val="24"/>
      <w:lang w:eastAsia="en-US"/>
    </w:rPr>
  </w:style>
  <w:style w:type="paragraph" w:styleId="1271">
    <w:name w:val="样式"/>
    <w:basedOn w:val="1038"/>
    <w:next w:val="1271"/>
    <w:link w:val="1038"/>
    <w:pPr>
      <w:spacing w:before="120" w:after="120" w:line="360" w:lineRule="auto"/>
    </w:pPr>
    <w:rPr>
      <w:rFonts w:ascii="宋体" w:hAnsi="Times New Roman" w:eastAsia="宋体" w:cs="Times New Roman"/>
      <w:sz w:val="24"/>
    </w:rPr>
  </w:style>
  <w:style w:type="paragraph" w:styleId="1272">
    <w:name w:val="font14"/>
    <w:basedOn w:val="1038"/>
    <w:next w:val="1272"/>
    <w:link w:val="1038"/>
    <w:pPr>
      <w:jc w:val="left"/>
      <w:spacing w:before="100" w:beforeAutospacing="1" w:after="100" w:afterAutospacing="1"/>
      <w:widowControl/>
    </w:pPr>
    <w:rPr>
      <w:rFonts w:ascii="Times New Roman" w:hAnsi="Times New Roman" w:eastAsia="宋体" w:cs="Times New Roman"/>
      <w:sz w:val="36"/>
      <w:szCs w:val="36"/>
    </w:rPr>
  </w:style>
  <w:style w:type="paragraph" w:styleId="1273">
    <w:name w:val="正文 首行缩进:  2 字符 Char Char"/>
    <w:basedOn w:val="1038"/>
    <w:next w:val="1273"/>
    <w:link w:val="1038"/>
    <w:pPr>
      <w:ind w:firstLine="480"/>
      <w:spacing w:line="360" w:lineRule="auto"/>
    </w:pPr>
    <w:rPr>
      <w:rFonts w:ascii="楷体_GB2312" w:hAnsi="Times New Roman" w:eastAsia="楷体_GB2312" w:cs="Times New Roman"/>
      <w:bCs/>
      <w:sz w:val="24"/>
      <w:szCs w:val="24"/>
    </w:rPr>
  </w:style>
  <w:style w:type="paragraph" w:styleId="1274">
    <w:name w:val="样式1"/>
    <w:basedOn w:val="1038"/>
    <w:next w:val="1274"/>
    <w:link w:val="1038"/>
    <w:pPr>
      <w:ind w:firstLine="480"/>
      <w:spacing w:line="300" w:lineRule="auto"/>
    </w:pPr>
    <w:rPr>
      <w:rFonts w:ascii="Times New Roman" w:hAnsi="Times New Roman" w:eastAsia="宋体" w:cs="Times New Roman"/>
      <w:sz w:val="24"/>
      <w:szCs w:val="24"/>
    </w:rPr>
  </w:style>
  <w:style w:type="paragraph" w:styleId="1275">
    <w:name w:val="Char Char Char Char Char"/>
    <w:basedOn w:val="1038"/>
    <w:next w:val="1275"/>
    <w:link w:val="1038"/>
    <w:rPr>
      <w:rFonts w:ascii="Tahoma" w:hAnsi="Tahoma" w:eastAsia="宋体" w:cs="Tahoma"/>
      <w:sz w:val="24"/>
    </w:rPr>
  </w:style>
  <w:style w:type="paragraph" w:styleId="1276">
    <w:name w:val="xl31"/>
    <w:basedOn w:val="1038"/>
    <w:next w:val="1276"/>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7">
    <w:name w:val="正文 首行缩进:  2 字符 Char"/>
    <w:basedOn w:val="1038"/>
    <w:next w:val="1277"/>
    <w:link w:val="1038"/>
    <w:pPr>
      <w:ind w:firstLine="480"/>
      <w:spacing w:line="360" w:lineRule="auto"/>
    </w:pPr>
    <w:rPr>
      <w:rFonts w:ascii="Times New Roman" w:hAnsi="Times New Roman" w:eastAsia="宋体" w:cs="宋体"/>
      <w:sz w:val="24"/>
    </w:rPr>
  </w:style>
  <w:style w:type="paragraph" w:styleId="1278">
    <w:name w:val=" Char Char Char Char Char Char Char Char Char Char Char"/>
    <w:basedOn w:val="1038"/>
    <w:next w:val="1278"/>
    <w:link w:val="1038"/>
    <w:rPr>
      <w:rFonts w:ascii="Tahoma" w:hAnsi="Tahoma" w:eastAsia="宋体" w:cs="Times New Roman"/>
      <w:sz w:val="24"/>
    </w:rPr>
  </w:style>
  <w:style w:type="paragraph" w:styleId="1279">
    <w:name w:val="列出段落"/>
    <w:basedOn w:val="1038"/>
    <w:next w:val="1279"/>
    <w:link w:val="1038"/>
    <w:qFormat/>
    <w:pPr>
      <w:ind w:firstLine="420"/>
    </w:pPr>
    <w:rPr>
      <w:rFonts w:ascii="Times New Roman" w:hAnsi="Times New Roman" w:eastAsia="宋体" w:cs="Times New Roman"/>
      <w:szCs w:val="24"/>
    </w:rPr>
  </w:style>
  <w:style w:type="paragraph" w:styleId="1280">
    <w:name w:val="No Spacing"/>
    <w:next w:val="1280"/>
    <w:link w:val="1038"/>
    <w:pPr>
      <w:jc w:val="both"/>
      <w:widowControl w:val="off"/>
    </w:pPr>
    <w:rPr>
      <w:rFonts w:eastAsia="微软雅黑"/>
      <w:sz w:val="24"/>
      <w:szCs w:val="22"/>
      <w:lang w:val="en-US" w:eastAsia="zh-CN" w:bidi="ar-SA"/>
    </w:rPr>
  </w:style>
  <w:style w:type="paragraph" w:styleId="1281">
    <w:name w:val="retrait3"/>
    <w:basedOn w:val="1038"/>
    <w:next w:val="1281"/>
    <w:link w:val="1038"/>
    <w:pPr>
      <w:ind w:left="851"/>
      <w:jc w:val="left"/>
      <w:spacing w:before="20" w:after="20"/>
      <w:widowControl/>
    </w:pPr>
    <w:rPr>
      <w:rFonts w:ascii="Arial" w:hAnsi="Arial" w:eastAsia="宋体" w:cs="Times New Roman"/>
      <w:sz w:val="24"/>
      <w:lang w:val="en-GB"/>
    </w:rPr>
  </w:style>
  <w:style w:type="paragraph" w:styleId="1282">
    <w:name w:val="tableau"/>
    <w:basedOn w:val="1038"/>
    <w:next w:val="1282"/>
    <w:link w:val="1038"/>
    <w:pPr>
      <w:jc w:val="center"/>
      <w:spacing w:before="20" w:after="20"/>
      <w:widowControl/>
    </w:pPr>
    <w:rPr>
      <w:rFonts w:ascii="Arial" w:hAnsi="Arial" w:eastAsia="宋体" w:cs="Times New Roman"/>
      <w:sz w:val="16"/>
      <w:lang w:val="en-GB" w:eastAsia="en-US"/>
    </w:rPr>
  </w:style>
  <w:style w:type="paragraph" w:styleId="1283">
    <w:name w:val="xl36"/>
    <w:basedOn w:val="1038"/>
    <w:next w:val="1283"/>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4">
    <w:name w:val="Char Char1 Char Char Char Char"/>
    <w:basedOn w:val="1067"/>
    <w:next w:val="1284"/>
    <w:link w:val="1038"/>
    <w:pPr>
      <w:ind w:left="357"/>
      <w:jc w:val="left"/>
      <w:spacing w:line="436" w:lineRule="exact"/>
      <w:outlineLvl w:val="3"/>
    </w:pPr>
    <w:rPr>
      <w:rFonts w:ascii="Tahoma" w:hAnsi="Tahoma" w:eastAsia="宋体" w:cs="Tahoma"/>
      <w:b/>
      <w:sz w:val="24"/>
      <w:szCs w:val="24"/>
    </w:rPr>
  </w:style>
  <w:style w:type="paragraph" w:styleId="1285">
    <w:name w:val="_Style 42"/>
    <w:basedOn w:val="1038"/>
    <w:next w:val="1075"/>
    <w:link w:val="1038"/>
    <w:rPr>
      <w:rFonts w:ascii="楷体_GB2312" w:hAnsi="Arial" w:eastAsia="楷体_GB2312" w:cs="Times New Roman"/>
      <w:sz w:val="28"/>
    </w:rPr>
  </w:style>
  <w:style w:type="paragraph" w:styleId="1286">
    <w:name w:val="xl28"/>
    <w:basedOn w:val="1038"/>
    <w:next w:val="1286"/>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7">
    <w:name w:val="正文格式"/>
    <w:basedOn w:val="1038"/>
    <w:next w:val="1287"/>
    <w:link w:val="1038"/>
    <w:pPr>
      <w:ind w:left="178" w:right="44" w:hanging="178"/>
      <w:jc w:val="left"/>
      <w:spacing w:before="78" w:line="360" w:lineRule="auto"/>
      <w:widowControl/>
    </w:pPr>
    <w:rPr>
      <w:rFonts w:ascii="宋体" w:hAnsi="宋体" w:eastAsia="宋体" w:cs="Times New Roman"/>
      <w:bCs/>
      <w:szCs w:val="21"/>
    </w:rPr>
  </w:style>
  <w:style w:type="paragraph" w:styleId="1288">
    <w:name w:val="项目符号，一级"/>
    <w:basedOn w:val="1287"/>
    <w:next w:val="1287"/>
    <w:link w:val="1038"/>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89">
    <w:name w:val="xl37"/>
    <w:basedOn w:val="1038"/>
    <w:next w:val="1289"/>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0">
    <w:name w:val="项目符号，二级"/>
    <w:basedOn w:val="1287"/>
    <w:next w:val="1287"/>
    <w:link w:val="1038"/>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91">
    <w:name w:val="xl59"/>
    <w:basedOn w:val="1038"/>
    <w:next w:val="1291"/>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2">
    <w:name w:val="小四 段落 宋体 Char"/>
    <w:basedOn w:val="1065"/>
    <w:next w:val="1292"/>
    <w:link w:val="1038"/>
    <w:pPr>
      <w:ind w:left="0" w:right="-33" w:firstLine="600"/>
      <w:jc w:val="left"/>
      <w:tabs>
        <w:tab w:val="clear" w:pos="2952" w:leader="none"/>
      </w:tabs>
    </w:pPr>
    <w:rPr>
      <w:rFonts w:ascii="仿宋_GB2312" w:hAnsi="Times New Roman" w:eastAsia="仿宋_GB2312" w:cs="Times New Roman"/>
      <w:sz w:val="30"/>
      <w:szCs w:val="30"/>
    </w:rPr>
  </w:style>
  <w:style w:type="paragraph" w:styleId="1293">
    <w:name w:val="xl60"/>
    <w:basedOn w:val="1038"/>
    <w:next w:val="1293"/>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4">
    <w:name w:val="Char Char Char Char Char Char Char Char Char Char Char Char Char"/>
    <w:basedOn w:val="1038"/>
    <w:next w:val="1294"/>
    <w:link w:val="1038"/>
    <w:pPr>
      <w:jc w:val="left"/>
      <w:spacing w:after="160" w:line="240" w:lineRule="exact"/>
      <w:widowControl/>
    </w:pPr>
    <w:rPr>
      <w:rFonts w:ascii="Times New Roman" w:hAnsi="Times New Roman" w:eastAsia="宋体" w:cs="Times New Roman"/>
      <w:szCs w:val="24"/>
    </w:rPr>
  </w:style>
  <w:style w:type="paragraph" w:styleId="1295">
    <w:name w:val="表头_5"/>
    <w:basedOn w:val="1038"/>
    <w:next w:val="1295"/>
    <w:link w:val="1038"/>
    <w:pPr>
      <w:spacing w:line="360" w:lineRule="auto"/>
    </w:pPr>
    <w:rPr>
      <w:rFonts w:ascii="Times New Roman" w:hAnsi="Times New Roman" w:eastAsia="宋体" w:cs="Times New Roman"/>
      <w:b/>
      <w:bCs/>
      <w:sz w:val="28"/>
      <w:szCs w:val="21"/>
    </w:rPr>
  </w:style>
  <w:style w:type="paragraph" w:styleId="1296">
    <w:name w:val="样式 标题 3H3sect1.2.3BOD 0Heading 3 - oldh3l3CTLevel 3 Head..."/>
    <w:basedOn w:val="1041"/>
    <w:next w:val="1296"/>
    <w:link w:val="1038"/>
    <w:pPr>
      <w:jc w:val="left"/>
      <w:spacing w:before="156" w:after="156"/>
    </w:pPr>
    <w:rPr>
      <w:rFonts w:ascii="Times New Roman" w:hAnsi="Times New Roman" w:eastAsia="宋体" w:cs="宋体"/>
      <w:bCs/>
      <w:sz w:val="30"/>
    </w:rPr>
  </w:style>
  <w:style w:type="paragraph" w:styleId="1297">
    <w:name w:val="样式2"/>
    <w:basedOn w:val="1038"/>
    <w:next w:val="1297"/>
    <w:link w:val="1038"/>
    <w:pPr>
      <w:ind w:left="200"/>
      <w:spacing w:line="360" w:lineRule="auto"/>
    </w:pPr>
    <w:rPr>
      <w:rFonts w:ascii="宋体" w:hAnsi="宋体" w:eastAsia="宋体" w:cs="Times New Roman"/>
      <w:b/>
      <w:sz w:val="24"/>
      <w:szCs w:val="24"/>
    </w:rPr>
  </w:style>
  <w:style w:type="paragraph" w:styleId="1298">
    <w:name w:val=" Char Char Char Char Char Char Char"/>
    <w:basedOn w:val="1038"/>
    <w:next w:val="1298"/>
    <w:link w:val="1038"/>
    <w:rPr>
      <w:rFonts w:ascii="Tahoma" w:hAnsi="Tahoma" w:eastAsia="宋体" w:cs="Times New Roman"/>
      <w:sz w:val="24"/>
    </w:rPr>
  </w:style>
  <w:style w:type="paragraph" w:styleId="1299">
    <w:name w:val="Default Text"/>
    <w:basedOn w:val="1038"/>
    <w:next w:val="1299"/>
    <w:link w:val="1038"/>
    <w:pPr>
      <w:jc w:val="left"/>
      <w:widowControl/>
    </w:pPr>
    <w:rPr>
      <w:rFonts w:ascii="Times New Roman" w:hAnsi="Times New Roman" w:eastAsia="宋体" w:cs="Times New Roman"/>
      <w:sz w:val="24"/>
      <w:lang w:eastAsia="en-US"/>
    </w:rPr>
  </w:style>
  <w:style w:type="paragraph" w:styleId="1300">
    <w:name w:val="Char Char Char Char Char Char Char Char Char Char Char Char Char Char Char Char Char Char Char Char Char Char Char"/>
    <w:basedOn w:val="1038"/>
    <w:next w:val="1300"/>
    <w:link w:val="1038"/>
    <w:rPr>
      <w:rFonts w:ascii="Tahoma" w:hAnsi="Tahoma" w:eastAsia="宋体" w:cs="Tahoma"/>
      <w:sz w:val="24"/>
    </w:rPr>
  </w:style>
  <w:style w:type="paragraph" w:styleId="1301">
    <w:name w:val="Bullets L1"/>
    <w:basedOn w:val="1038"/>
    <w:next w:val="1301"/>
    <w:link w:val="1038"/>
    <w:pPr>
      <w:numPr>
        <w:ilvl w:val="0"/>
        <w:numId w:val="2"/>
      </w:numPr>
      <w:jc w:val="left"/>
      <w:spacing w:before="60" w:after="60"/>
      <w:widowControl/>
      <w:tabs>
        <w:tab w:val="left" w:pos="360" w:leader="none"/>
      </w:tabs>
    </w:pPr>
    <w:rPr>
      <w:rFonts w:ascii="Arial" w:hAnsi="Arial" w:eastAsia="宋体" w:cs="Times New Roman"/>
      <w:sz w:val="20"/>
    </w:rPr>
  </w:style>
  <w:style w:type="paragraph" w:styleId="1302">
    <w:name w:val=" Char Char Char Char Char Char Char Char Char Char Char Char Char"/>
    <w:basedOn w:val="1067"/>
    <w:next w:val="1302"/>
    <w:link w:val="1038"/>
    <w:rPr>
      <w:rFonts w:ascii="Tahoma" w:hAnsi="Tahoma" w:eastAsia="宋体" w:cs="Times New Roman"/>
      <w:sz w:val="24"/>
      <w:szCs w:val="24"/>
    </w:rPr>
  </w:style>
  <w:style w:type="paragraph" w:styleId="1303">
    <w:name w:val="默认段落字体 Para Char"/>
    <w:basedOn w:val="1038"/>
    <w:next w:val="1303"/>
    <w:link w:val="1038"/>
    <w:rPr>
      <w:rFonts w:ascii="Times New Roman" w:hAnsi="Times New Roman" w:eastAsia="宋体" w:cs="Times New Roman"/>
      <w:sz w:val="24"/>
      <w:szCs w:val="24"/>
    </w:rPr>
  </w:style>
  <w:style w:type="paragraph" w:styleId="1304">
    <w:name w:val="标准小四"/>
    <w:basedOn w:val="1038"/>
    <w:next w:val="1304"/>
    <w:link w:val="1038"/>
    <w:pPr>
      <w:ind w:firstLine="480"/>
      <w:spacing w:line="360" w:lineRule="auto"/>
    </w:pPr>
    <w:rPr>
      <w:rFonts w:ascii="Arial" w:hAnsi="Arial" w:eastAsia="宋体" w:cs="Times New Roman"/>
      <w:sz w:val="24"/>
      <w:szCs w:val="21"/>
    </w:rPr>
  </w:style>
  <w:style w:type="paragraph" w:styleId="1305">
    <w:name w:val="马刚标题1"/>
    <w:basedOn w:val="1039"/>
    <w:next w:val="1038"/>
    <w:link w:val="1038"/>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6">
    <w:name w:val="font13"/>
    <w:basedOn w:val="1038"/>
    <w:next w:val="1306"/>
    <w:link w:val="1038"/>
    <w:pPr>
      <w:jc w:val="left"/>
      <w:spacing w:before="100" w:beforeAutospacing="1" w:after="100" w:afterAutospacing="1"/>
      <w:widowControl/>
    </w:pPr>
    <w:rPr>
      <w:rFonts w:ascii="Times New Roman" w:hAnsi="Times New Roman" w:eastAsia="宋体" w:cs="Times New Roman"/>
      <w:i/>
      <w:iCs/>
      <w:sz w:val="36"/>
      <w:szCs w:val="36"/>
    </w:rPr>
  </w:style>
  <w:style w:type="paragraph" w:styleId="1307">
    <w:name w:val="font11"/>
    <w:basedOn w:val="1038"/>
    <w:next w:val="1307"/>
    <w:link w:val="1038"/>
    <w:pPr>
      <w:jc w:val="left"/>
      <w:spacing w:before="100" w:beforeAutospacing="1" w:after="100" w:afterAutospacing="1"/>
      <w:widowControl/>
    </w:pPr>
    <w:rPr>
      <w:rFonts w:ascii="Times New Roman" w:hAnsi="Times New Roman" w:eastAsia="宋体" w:cs="Times New Roman"/>
      <w:b/>
      <w:bCs/>
      <w:sz w:val="18"/>
      <w:szCs w:val="18"/>
    </w:rPr>
  </w:style>
  <w:style w:type="paragraph" w:styleId="1308">
    <w:name w:val="00-表格的正文"/>
    <w:basedOn w:val="1038"/>
    <w:next w:val="1308"/>
    <w:link w:val="1038"/>
    <w:pPr>
      <w:jc w:val="left"/>
      <w:spacing w:line="440" w:lineRule="exact"/>
    </w:pPr>
    <w:rPr>
      <w:rFonts w:ascii="楷体" w:hAnsi="楷体" w:eastAsia="宋体" w:cs="Times New Roman"/>
      <w:color w:val="000000"/>
      <w:sz w:val="20"/>
      <w:szCs w:val="24"/>
    </w:rPr>
  </w:style>
  <w:style w:type="paragraph" w:styleId="1309">
    <w:name w:val="a0"/>
    <w:basedOn w:val="1038"/>
    <w:next w:val="1309"/>
    <w:link w:val="1038"/>
    <w:pPr>
      <w:spacing w:before="100" w:beforeAutospacing="1" w:after="100" w:afterAutospacing="1"/>
      <w:widowControl/>
    </w:pPr>
    <w:rPr>
      <w:rFonts w:ascii="宋体" w:hAnsi="宋体" w:eastAsia="宋体" w:cs="宋体"/>
      <w:sz w:val="24"/>
      <w:szCs w:val="24"/>
    </w:rPr>
  </w:style>
  <w:style w:type="paragraph" w:styleId="1310">
    <w:name w:val="xl32"/>
    <w:basedOn w:val="1038"/>
    <w:next w:val="131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11">
    <w:name w:val="Char Char Char Char Char Char Char Char"/>
    <w:basedOn w:val="1038"/>
    <w:next w:val="1311"/>
    <w:link w:val="1038"/>
    <w:rPr>
      <w:rFonts w:ascii="Tahoma" w:hAnsi="Tahoma" w:eastAsia="宋体" w:cs="Tahoma"/>
      <w:sz w:val="24"/>
    </w:rPr>
  </w:style>
  <w:style w:type="paragraph" w:styleId="1312">
    <w:name w:val="正文文本 21"/>
    <w:basedOn w:val="1038"/>
    <w:next w:val="1312"/>
    <w:link w:val="1038"/>
    <w:pPr>
      <w:ind w:left="720" w:hanging="720"/>
      <w:widowControl/>
    </w:pPr>
    <w:rPr>
      <w:rFonts w:ascii="Times New Roman" w:hAnsi="Times New Roman" w:eastAsia="宋体" w:cs="Times New Roman"/>
      <w:sz w:val="24"/>
      <w:lang w:val="en-GB"/>
    </w:rPr>
  </w:style>
  <w:style w:type="paragraph" w:styleId="1313">
    <w:name w:val="项目符号：一级"/>
    <w:basedOn w:val="1287"/>
    <w:next w:val="1287"/>
    <w:link w:val="1038"/>
    <w:pPr>
      <w:ind w:right="-134"/>
    </w:pPr>
    <w:rPr>
      <w:rFonts w:ascii="Times New Roman" w:hAnsi="Times New Roman" w:eastAsia="宋体" w:cs="Times New Roman"/>
      <w:bCs w:val="0"/>
    </w:rPr>
  </w:style>
  <w:style w:type="paragraph" w:styleId="1314">
    <w:name w:val="符号与编号 Char"/>
    <w:basedOn w:val="1038"/>
    <w:next w:val="1314"/>
    <w:link w:val="1038"/>
    <w:pPr>
      <w:ind w:left="720"/>
      <w:spacing w:after="156" w:line="400" w:lineRule="atLeast"/>
      <w:tabs>
        <w:tab w:val="left" w:pos="720" w:leader="none"/>
      </w:tabs>
    </w:pPr>
    <w:rPr>
      <w:rFonts w:ascii="Times New Roman" w:hAnsi="Times New Roman" w:eastAsia="宋体" w:cs="Times New Roman"/>
      <w:sz w:val="24"/>
      <w:szCs w:val="24"/>
    </w:rPr>
  </w:style>
  <w:style w:type="paragraph" w:styleId="1315">
    <w:name w:val="a"/>
    <w:basedOn w:val="1038"/>
    <w:next w:val="1315"/>
    <w:link w:val="1038"/>
    <w:pPr>
      <w:spacing w:before="100" w:beforeAutospacing="1" w:after="100" w:afterAutospacing="1"/>
      <w:widowControl/>
    </w:pPr>
    <w:rPr>
      <w:rFonts w:ascii="宋体" w:hAnsi="宋体" w:eastAsia="宋体" w:cs="宋体"/>
      <w:sz w:val="24"/>
      <w:szCs w:val="24"/>
    </w:rPr>
  </w:style>
  <w:style w:type="paragraph" w:styleId="1316">
    <w:name w:val="xl57"/>
    <w:basedOn w:val="1038"/>
    <w:next w:val="1316"/>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7">
    <w:name w:val="正文1"/>
    <w:basedOn w:val="1038"/>
    <w:next w:val="1038"/>
    <w:link w:val="1038"/>
    <w:pPr>
      <w:ind w:firstLine="510"/>
      <w:spacing w:before="156" w:line="360" w:lineRule="auto"/>
    </w:pPr>
    <w:rPr>
      <w:rFonts w:ascii="Times New Roman" w:hAnsi="Times New Roman" w:eastAsia="宋体" w:cs="Times New Roman"/>
      <w:sz w:val="24"/>
    </w:rPr>
  </w:style>
  <w:style w:type="paragraph" w:styleId="1318">
    <w:name w:val="Char Char Char"/>
    <w:basedOn w:val="1038"/>
    <w:next w:val="1318"/>
    <w:link w:val="1038"/>
    <w:rPr>
      <w:rFonts w:ascii="Tahoma" w:hAnsi="Tahoma" w:eastAsia="宋体" w:cs="Times New Roman"/>
      <w:sz w:val="24"/>
    </w:rPr>
  </w:style>
  <w:style w:type="paragraph" w:styleId="1319">
    <w:name w:val="行文"/>
    <w:basedOn w:val="1038"/>
    <w:next w:val="1319"/>
    <w:link w:val="1038"/>
    <w:pPr>
      <w:ind w:firstLine="624"/>
      <w:spacing w:before="0" w:after="0" w:line="480" w:lineRule="exact"/>
    </w:pPr>
    <w:rPr>
      <w:rFonts w:ascii="Times New Roman" w:hAnsi="Times New Roman" w:eastAsia="仿宋_GB2312" w:cs="Times New Roman"/>
      <w:spacing w:val="8"/>
      <w:sz w:val="30"/>
    </w:rPr>
  </w:style>
  <w:style w:type="paragraph" w:styleId="1320">
    <w:name w:val="font7"/>
    <w:basedOn w:val="1038"/>
    <w:next w:val="1320"/>
    <w:link w:val="1038"/>
    <w:pPr>
      <w:jc w:val="left"/>
      <w:spacing w:before="100" w:beforeAutospacing="1" w:after="100" w:afterAutospacing="1"/>
      <w:widowControl/>
    </w:pPr>
    <w:rPr>
      <w:rFonts w:hint="eastAsia" w:ascii="宋体" w:hAnsi="宋体" w:eastAsia="宋体" w:cs="Times New Roman"/>
      <w:b/>
      <w:bCs/>
      <w:sz w:val="24"/>
      <w:szCs w:val="24"/>
    </w:rPr>
  </w:style>
  <w:style w:type="paragraph" w:styleId="1321">
    <w:name w:val=" Char Char Char Char Char Char Char Char"/>
    <w:basedOn w:val="1038"/>
    <w:next w:val="1321"/>
    <w:link w:val="1038"/>
    <w:rPr>
      <w:rFonts w:ascii="Tahoma" w:hAnsi="Tahoma" w:eastAsia="宋体" w:cs="Times New Roman"/>
      <w:sz w:val="24"/>
    </w:rPr>
  </w:style>
  <w:style w:type="paragraph" w:styleId="1322">
    <w:name w:val="样式 正文缩进2字符 + 左侧:  2 字符 首行缩进:  2 字符"/>
    <w:basedOn w:val="1038"/>
    <w:next w:val="1322"/>
    <w:link w:val="1038"/>
    <w:pPr>
      <w:ind w:firstLine="480"/>
      <w:spacing w:line="360" w:lineRule="auto"/>
    </w:pPr>
    <w:rPr>
      <w:rFonts w:ascii="Times New Roman" w:hAnsi="Times New Roman" w:eastAsia="宋体" w:cs="宋体"/>
      <w:bCs/>
      <w:sz w:val="24"/>
      <w:szCs w:val="20"/>
    </w:rPr>
  </w:style>
  <w:style w:type="paragraph" w:styleId="1323">
    <w:name w:val="表格内文字"/>
    <w:basedOn w:val="1038"/>
    <w:next w:val="1323"/>
    <w:link w:val="1038"/>
    <w:pPr>
      <w:spacing w:line="300" w:lineRule="atLeast"/>
    </w:pPr>
    <w:rPr>
      <w:rFonts w:ascii="Times New Roman" w:hAnsi="Times New Roman" w:eastAsia="宋体" w:cs="Times New Roman"/>
      <w:sz w:val="18"/>
      <w:szCs w:val="24"/>
    </w:rPr>
  </w:style>
  <w:style w:type="paragraph" w:styleId="1324">
    <w:name w:val="xl46"/>
    <w:basedOn w:val="1038"/>
    <w:next w:val="1324"/>
    <w:link w:val="1038"/>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5">
    <w:name w:val=" Char Char Char Char"/>
    <w:basedOn w:val="1038"/>
    <w:next w:val="1325"/>
    <w:link w:val="1038"/>
    <w:pPr>
      <w:jc w:val="center"/>
      <w:spacing w:after="160" w:line="240" w:lineRule="exact"/>
      <w:widowControl/>
    </w:pPr>
    <w:rPr>
      <w:rFonts w:ascii="黑体" w:hAnsi="Verdana" w:eastAsia="黑体" w:cs="Times New Roman"/>
      <w:sz w:val="32"/>
      <w:szCs w:val="32"/>
      <w:lang w:eastAsia="en-US"/>
    </w:rPr>
  </w:style>
  <w:style w:type="paragraph" w:styleId="1326">
    <w:name w:val="Normal1"/>
    <w:basedOn w:val="1038"/>
    <w:next w:val="1326"/>
    <w:link w:val="1038"/>
    <w:rPr>
      <w:rFonts w:ascii="Calibri" w:hAnsi="Calibri" w:eastAsia="Calibri" w:cs="宋体"/>
      <w:lang w:val="zh-CN"/>
    </w:rPr>
  </w:style>
  <w:style w:type="paragraph" w:styleId="1327">
    <w:name w:val="样式 小四 行距: 固定值 25 磅8"/>
    <w:basedOn w:val="1038"/>
    <w:next w:val="1038"/>
    <w:link w:val="1038"/>
    <w:pPr>
      <w:ind w:firstLine="464"/>
      <w:spacing w:line="500" w:lineRule="exact"/>
    </w:pPr>
    <w:rPr>
      <w:rFonts w:ascii="Times New Roman" w:hAnsi="Times New Roman" w:eastAsia="宋体" w:cs="宋体"/>
      <w:sz w:val="24"/>
    </w:rPr>
  </w:style>
  <w:style w:type="paragraph" w:styleId="1328">
    <w:name w:val=" Char Char1"/>
    <w:basedOn w:val="1038"/>
    <w:next w:val="1328"/>
    <w:link w:val="1038"/>
    <w:rPr>
      <w:rFonts w:ascii="Tahoma" w:hAnsi="Tahoma" w:eastAsia="宋体" w:cs="Times New Roman"/>
      <w:sz w:val="24"/>
    </w:rPr>
  </w:style>
  <w:style w:type="paragraph" w:styleId="1329">
    <w:name w:val="af17cgridlangnp1033langf"/>
    <w:next w:val="1329"/>
    <w:link w:val="1038"/>
    <w:pPr>
      <w:ind w:left="567" w:firstLine="510"/>
      <w:jc w:val="both"/>
      <w:spacing w:before="156" w:line="360" w:lineRule="atLeast"/>
      <w:widowControl w:val="off"/>
    </w:pPr>
    <w:rPr>
      <w:lang w:val="en-US" w:eastAsia="zh-CN" w:bidi="ar-SA"/>
    </w:rPr>
  </w:style>
  <w:style w:type="paragraph" w:styleId="1330">
    <w:name w:val="华宇段落1 Char"/>
    <w:basedOn w:val="1038"/>
    <w:next w:val="1330"/>
    <w:link w:val="1038"/>
    <w:pPr>
      <w:ind w:firstLine="200"/>
      <w:spacing w:line="360" w:lineRule="auto"/>
    </w:pPr>
    <w:rPr>
      <w:rFonts w:ascii="Times New Roman" w:hAnsi="Times New Roman" w:eastAsia="宋体" w:cs="Times New Roman"/>
      <w:bCs/>
      <w:sz w:val="24"/>
      <w:szCs w:val="24"/>
    </w:rPr>
  </w:style>
  <w:style w:type="paragraph" w:styleId="1331">
    <w:name w:val="正文lzq"/>
    <w:basedOn w:val="1038"/>
    <w:next w:val="1331"/>
    <w:link w:val="1038"/>
    <w:pPr>
      <w:ind w:firstLine="480"/>
      <w:spacing w:line="360" w:lineRule="auto"/>
    </w:pPr>
    <w:rPr>
      <w:rFonts w:ascii="Times New Roman" w:hAnsi="Times New Roman" w:eastAsia="宋体" w:cs="Times New Roman"/>
      <w:sz w:val="24"/>
    </w:rPr>
  </w:style>
  <w:style w:type="paragraph" w:styleId="1332">
    <w:name w:val="正文--表格内正文"/>
    <w:basedOn w:val="1038"/>
    <w:next w:val="1332"/>
    <w:link w:val="1038"/>
    <w:pPr>
      <w:jc w:val="center"/>
      <w:spacing w:before="156" w:line="0" w:lineRule="atLeast"/>
    </w:pPr>
    <w:rPr>
      <w:rFonts w:ascii="宋体" w:hAnsi="宋体" w:eastAsia="宋体" w:cs="Times New Roman"/>
      <w:color w:val="000000"/>
      <w:sz w:val="24"/>
      <w:szCs w:val="24"/>
    </w:rPr>
  </w:style>
  <w:style w:type="paragraph" w:styleId="1333">
    <w:name w:val="xl25"/>
    <w:basedOn w:val="1038"/>
    <w:next w:val="1333"/>
    <w:link w:val="1038"/>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4">
    <w:name w:val="xl34"/>
    <w:basedOn w:val="1038"/>
    <w:next w:val="1334"/>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5">
    <w:name w:val="表格1"/>
    <w:basedOn w:val="1038"/>
    <w:next w:val="1335"/>
    <w:link w:val="1038"/>
    <w:rPr>
      <w:rFonts w:ascii="宋体" w:hAnsi="Times New Roman" w:eastAsia="宋体" w:cs="Times New Roman"/>
      <w:szCs w:val="21"/>
    </w:rPr>
  </w:style>
  <w:style w:type="paragraph" w:styleId="1336">
    <w:name w:val="xl55"/>
    <w:basedOn w:val="1038"/>
    <w:next w:val="1336"/>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7">
    <w:name w:val=" Char Char Char"/>
    <w:basedOn w:val="1067"/>
    <w:next w:val="1337"/>
    <w:link w:val="1038"/>
    <w:pPr>
      <w:spacing w:line="436" w:lineRule="exact"/>
    </w:pPr>
    <w:rPr>
      <w:rFonts w:ascii="Times New Roman" w:hAnsi="Times New Roman" w:eastAsia="宋体" w:cs="Times New Roman"/>
      <w:szCs w:val="24"/>
    </w:rPr>
  </w:style>
  <w:style w:type="paragraph" w:styleId="1338">
    <w:name w:val="表蕊"/>
    <w:basedOn w:val="1038"/>
    <w:next w:val="1338"/>
    <w:link w:val="1038"/>
    <w:pPr>
      <w:jc w:val="left"/>
      <w:spacing w:line="320" w:lineRule="atLeast"/>
    </w:pPr>
    <w:rPr>
      <w:rFonts w:ascii="Times New Roman" w:hAnsi="Times New Roman" w:eastAsia="楷体_GB2312" w:cs="Times New Roman"/>
      <w:spacing w:val="-10"/>
    </w:rPr>
  </w:style>
  <w:style w:type="paragraph" w:styleId="1339">
    <w:name w:val="样式 段后: 0.25 行"/>
    <w:basedOn w:val="1038"/>
    <w:next w:val="1339"/>
    <w:link w:val="1038"/>
    <w:pPr>
      <w:ind w:firstLine="420"/>
      <w:jc w:val="left"/>
      <w:spacing w:after="78" w:line="300" w:lineRule="auto"/>
      <w:widowControl/>
    </w:pPr>
    <w:rPr>
      <w:rFonts w:ascii="Arial" w:hAnsi="Arial" w:eastAsia="宋体" w:cs="宋体"/>
      <w:sz w:val="22"/>
      <w:lang w:eastAsia="en-US" w:bidi="en-US"/>
    </w:rPr>
  </w:style>
  <w:style w:type="paragraph" w:styleId="1340">
    <w:name w:val="xl35"/>
    <w:basedOn w:val="1038"/>
    <w:next w:val="134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41">
    <w:name w:val="Char Char1 Char Char Char Char Char Char Char"/>
    <w:basedOn w:val="1038"/>
    <w:next w:val="1341"/>
    <w:link w:val="1038"/>
    <w:rPr>
      <w:rFonts w:ascii="Tahoma" w:hAnsi="Tahoma" w:eastAsia="宋体" w:cs="Tahoma"/>
      <w:sz w:val="24"/>
    </w:rPr>
  </w:style>
  <w:style w:type="paragraph" w:styleId="1342">
    <w:name w:val="00-合正"/>
    <w:basedOn w:val="1038"/>
    <w:next w:val="1342"/>
    <w:link w:val="1038"/>
    <w:pPr>
      <w:ind w:firstLine="200"/>
      <w:jc w:val="left"/>
      <w:spacing w:line="560" w:lineRule="exact"/>
    </w:pPr>
    <w:rPr>
      <w:rFonts w:ascii="楷体" w:hAnsi="楷体" w:eastAsia="楷体" w:cs="Times New Roman"/>
      <w:color w:val="000000"/>
      <w:sz w:val="28"/>
      <w:szCs w:val="24"/>
    </w:rPr>
  </w:style>
  <w:style w:type="paragraph" w:styleId="1343">
    <w:name w:val="xl48"/>
    <w:basedOn w:val="1038"/>
    <w:next w:val="1343"/>
    <w:link w:val="1038"/>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44">
    <w:name w:val="xl47"/>
    <w:basedOn w:val="1038"/>
    <w:next w:val="1344"/>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5">
    <w:name w:val="Char Char Char Char Char Char Char Char Char Char Char1 Char Char Char1"/>
    <w:basedOn w:val="1038"/>
    <w:next w:val="1345"/>
    <w:link w:val="1038"/>
    <w:pPr>
      <w:ind w:firstLine="200"/>
      <w:jc w:val="left"/>
    </w:pPr>
    <w:rPr>
      <w:rFonts w:ascii="Tahoma" w:hAnsi="Tahoma" w:eastAsia="宋体" w:cs="Times New Roman"/>
      <w:sz w:val="24"/>
      <w:szCs w:val="24"/>
    </w:rPr>
  </w:style>
  <w:style w:type="paragraph" w:styleId="1346">
    <w:name w:val="一级标题"/>
    <w:basedOn w:val="1038"/>
    <w:next w:val="1346"/>
    <w:link w:val="1038"/>
    <w:pPr>
      <w:ind w:left="900" w:hanging="420"/>
      <w:spacing w:line="360" w:lineRule="auto"/>
      <w:tabs>
        <w:tab w:val="left" w:pos="903" w:leader="none"/>
      </w:tabs>
    </w:pPr>
    <w:rPr>
      <w:rFonts w:ascii="Arial" w:hAnsi="Arial" w:eastAsia="宋体" w:cs="Arial"/>
      <w:sz w:val="24"/>
    </w:rPr>
  </w:style>
  <w:style w:type="paragraph" w:styleId="1347">
    <w:name w:val="Char Char Char Char Char Char Char Char Char Char Char Char Char Char Char Char Char Char Char Char Char"/>
    <w:basedOn w:val="1038"/>
    <w:next w:val="1347"/>
    <w:link w:val="1038"/>
    <w:rPr>
      <w:rFonts w:ascii="Tahoma" w:hAnsi="Tahoma" w:eastAsia="宋体" w:cs="Tahoma"/>
      <w:sz w:val="24"/>
    </w:rPr>
  </w:style>
  <w:style w:type="paragraph" w:styleId="1348">
    <w:name w:val="xl38"/>
    <w:basedOn w:val="1038"/>
    <w:next w:val="1348"/>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9">
    <w:name w:val="xl40"/>
    <w:basedOn w:val="1038"/>
    <w:next w:val="1349"/>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50">
    <w:name w:val="普通正文"/>
    <w:basedOn w:val="1038"/>
    <w:next w:val="1350"/>
    <w:link w:val="1038"/>
    <w:pPr>
      <w:ind w:firstLine="480"/>
      <w:jc w:val="left"/>
    </w:pPr>
    <w:rPr>
      <w:rFonts w:ascii="Arial" w:hAnsi="Arial" w:eastAsia="宋体" w:cs="Times New Roman"/>
      <w:sz w:val="24"/>
      <w:szCs w:val="24"/>
    </w:rPr>
  </w:style>
  <w:style w:type="paragraph" w:styleId="1351">
    <w:name w:val="Char Char Char Char Char Char Char Char Char Char Char Char Char Char"/>
    <w:basedOn w:val="1038"/>
    <w:next w:val="1351"/>
    <w:link w:val="1038"/>
    <w:rPr>
      <w:rFonts w:ascii="Tahoma" w:hAnsi="Tahoma" w:eastAsia="宋体" w:cs="Tahoma"/>
      <w:sz w:val="24"/>
    </w:rPr>
  </w:style>
  <w:style w:type="paragraph" w:styleId="1352">
    <w:name w:val="标题6"/>
    <w:basedOn w:val="1043"/>
    <w:next w:val="1352"/>
    <w:link w:val="1038"/>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53">
    <w:name w:val="符号与编号 Char Char"/>
    <w:basedOn w:val="1038"/>
    <w:next w:val="1353"/>
    <w:link w:val="1038"/>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54">
    <w:name w:val="公文正文"/>
    <w:basedOn w:val="1076"/>
    <w:next w:val="1354"/>
    <w:link w:val="1038"/>
    <w:pPr>
      <w:ind w:firstLine="200"/>
    </w:pPr>
    <w:rPr>
      <w:rFonts w:ascii="仿宋_GB2312" w:hAnsi="宋体" w:eastAsia="仿宋_GB2312" w:cs="Times New Roman"/>
      <w:sz w:val="28"/>
      <w:szCs w:val="24"/>
    </w:rPr>
  </w:style>
  <w:style w:type="paragraph" w:styleId="1355">
    <w:name w:val="Pa6"/>
    <w:basedOn w:val="1038"/>
    <w:next w:val="1038"/>
    <w:link w:val="1038"/>
    <w:pPr>
      <w:jc w:val="left"/>
      <w:spacing w:line="241" w:lineRule="atLeast"/>
    </w:pPr>
    <w:rPr>
      <w:rFonts w:ascii="汉仪大黑简" w:hAnsi="Times New Roman" w:eastAsia="汉仪大黑简" w:cs="Times New Roman"/>
      <w:sz w:val="24"/>
      <w:szCs w:val="24"/>
    </w:rPr>
  </w:style>
  <w:style w:type="paragraph" w:styleId="1356">
    <w:name w:val="修订"/>
    <w:next w:val="1356"/>
    <w:link w:val="1038"/>
    <w:rPr>
      <w:sz w:val="21"/>
      <w:szCs w:val="24"/>
      <w:lang w:val="en-US" w:eastAsia="zh-CN" w:bidi="ar-SA"/>
    </w:rPr>
  </w:style>
  <w:style w:type="paragraph" w:styleId="1357">
    <w:name w:val="标准文本"/>
    <w:basedOn w:val="1038"/>
    <w:next w:val="1357"/>
    <w:link w:val="1038"/>
    <w:pPr>
      <w:ind w:firstLine="480"/>
      <w:spacing w:line="360" w:lineRule="auto"/>
    </w:pPr>
    <w:rPr>
      <w:rFonts w:ascii="Times New Roman" w:hAnsi="Times New Roman" w:eastAsia="宋体" w:cs="宋体"/>
      <w:sz w:val="24"/>
      <w:szCs w:val="24"/>
    </w:rPr>
  </w:style>
  <w:style w:type="paragraph" w:styleId="1358">
    <w:name w:val="公文标题 2"/>
    <w:basedOn w:val="1038"/>
    <w:next w:val="1354"/>
    <w:link w:val="1038"/>
    <w:pPr>
      <w:outlineLvl w:val="1"/>
    </w:pPr>
    <w:rPr>
      <w:rFonts w:ascii="仿宋_GB2312" w:hAnsi="宋体" w:eastAsia="仿宋_GB2312" w:cs="Times New Roman"/>
      <w:sz w:val="28"/>
      <w:szCs w:val="24"/>
    </w:rPr>
  </w:style>
  <w:style w:type="paragraph" w:styleId="1359">
    <w:name w:val="font12"/>
    <w:basedOn w:val="1038"/>
    <w:next w:val="1359"/>
    <w:link w:val="1038"/>
    <w:pPr>
      <w:jc w:val="left"/>
      <w:spacing w:before="100" w:beforeAutospacing="1" w:after="100" w:afterAutospacing="1"/>
      <w:widowControl/>
    </w:pPr>
    <w:rPr>
      <w:rFonts w:ascii="宋体" w:hAnsi="宋体" w:eastAsia="宋体" w:cs="宋体"/>
      <w:sz w:val="36"/>
      <w:szCs w:val="36"/>
    </w:rPr>
  </w:style>
  <w:style w:type="paragraph" w:styleId="1360">
    <w:name w:val="正文 + Arial Char"/>
    <w:basedOn w:val="1038"/>
    <w:next w:val="1360"/>
    <w:link w:val="1038"/>
    <w:pPr>
      <w:ind w:left="315" w:hanging="315"/>
      <w:spacing w:line="300" w:lineRule="auto"/>
      <w:widowControl/>
      <w:tabs>
        <w:tab w:val="left" w:pos="315" w:leader="none"/>
      </w:tabs>
    </w:pPr>
    <w:rPr>
      <w:rFonts w:ascii="Arial" w:hAnsi="Arial" w:eastAsia="宋体" w:cs="Arial"/>
      <w:b/>
      <w:color w:val="000000"/>
    </w:rPr>
  </w:style>
  <w:style w:type="paragraph" w:styleId="1361">
    <w:name w:val="我的正文"/>
    <w:basedOn w:val="1038"/>
    <w:next w:val="1361"/>
    <w:link w:val="1038"/>
    <w:pPr>
      <w:ind w:firstLine="420"/>
      <w:jc w:val="left"/>
      <w:spacing w:line="360" w:lineRule="auto"/>
      <w:widowControl/>
    </w:pPr>
    <w:rPr>
      <w:rFonts w:ascii="宋体" w:hAnsi="宋体" w:eastAsia="宋体" w:cs="宋体"/>
      <w:szCs w:val="21"/>
    </w:rPr>
  </w:style>
  <w:style w:type="paragraph" w:styleId="1362">
    <w:name w:val="xl24"/>
    <w:basedOn w:val="1038"/>
    <w:next w:val="1362"/>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3">
    <w:name w:val="标题4，章节第四层"/>
    <w:basedOn w:val="1038"/>
    <w:next w:val="1038"/>
    <w:link w:val="1038"/>
    <w:pPr>
      <w:spacing w:line="360" w:lineRule="auto"/>
      <w:tabs>
        <w:tab w:val="left" w:pos="0" w:leader="none"/>
      </w:tabs>
      <w:outlineLvl w:val="3"/>
    </w:pPr>
    <w:rPr>
      <w:rFonts w:ascii="宋体" w:hAnsi="宋体" w:eastAsia="宋体" w:cs="Times New Roman"/>
      <w:b/>
      <w:sz w:val="24"/>
      <w:szCs w:val="24"/>
    </w:rPr>
  </w:style>
  <w:style w:type="paragraph" w:styleId="1364">
    <w:name w:val="font10"/>
    <w:basedOn w:val="1038"/>
    <w:next w:val="1364"/>
    <w:link w:val="1038"/>
    <w:pPr>
      <w:jc w:val="left"/>
      <w:spacing w:before="100" w:beforeAutospacing="1" w:after="100" w:afterAutospacing="1"/>
      <w:widowControl/>
    </w:pPr>
    <w:rPr>
      <w:rFonts w:ascii="楷体_GB2312" w:hAnsi="宋体" w:eastAsia="楷体_GB2312" w:cs="宋体"/>
      <w:b/>
      <w:bCs/>
      <w:sz w:val="18"/>
      <w:szCs w:val="18"/>
    </w:rPr>
  </w:style>
  <w:style w:type="paragraph" w:styleId="1365">
    <w:name w:val="样式 加点正文 + 段前: 0.5 行 段后: 0.5 行1"/>
    <w:basedOn w:val="1038"/>
    <w:next w:val="1365"/>
    <w:link w:val="1038"/>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6">
    <w:name w:val="xl42"/>
    <w:basedOn w:val="1038"/>
    <w:next w:val="1366"/>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7">
    <w:name w:val="font5"/>
    <w:basedOn w:val="1038"/>
    <w:next w:val="1367"/>
    <w:link w:val="1038"/>
    <w:pPr>
      <w:jc w:val="left"/>
      <w:spacing w:before="100" w:beforeAutospacing="1" w:after="100" w:afterAutospacing="1"/>
      <w:widowControl/>
    </w:pPr>
    <w:rPr>
      <w:rFonts w:ascii="宋体" w:hAnsi="宋体" w:eastAsia="宋体" w:cs="宋体"/>
      <w:sz w:val="18"/>
      <w:szCs w:val="18"/>
    </w:rPr>
  </w:style>
  <w:style w:type="paragraph" w:styleId="1368">
    <w:name w:val="xl41"/>
    <w:basedOn w:val="1038"/>
    <w:next w:val="1368"/>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9">
    <w:name w:val="p0"/>
    <w:basedOn w:val="1038"/>
    <w:next w:val="1369"/>
    <w:link w:val="1038"/>
    <w:pPr>
      <w:jc w:val="left"/>
      <w:spacing w:before="100" w:beforeAutospacing="1" w:after="100" w:afterAutospacing="1"/>
      <w:widowControl/>
    </w:pPr>
    <w:rPr>
      <w:rFonts w:ascii="宋体" w:hAnsi="宋体" w:eastAsia="宋体" w:cs="宋体"/>
      <w:sz w:val="24"/>
      <w:szCs w:val="24"/>
    </w:rPr>
  </w:style>
  <w:style w:type="paragraph" w:styleId="1370">
    <w:name w:val="xl52"/>
    <w:basedOn w:val="1038"/>
    <w:next w:val="1370"/>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71">
    <w:name w:val="小四 段落 宋体 Char Char Char"/>
    <w:basedOn w:val="1065"/>
    <w:next w:val="1371"/>
    <w:link w:val="1038"/>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72">
    <w:name w:val="丁华标题2"/>
    <w:basedOn w:val="1040"/>
    <w:next w:val="1262"/>
    <w:link w:val="1038"/>
    <w:pPr>
      <w:numPr>
        <w:ilvl w:val="1"/>
        <w:numId w:val="1"/>
      </w:numPr>
      <w:spacing w:line="415" w:lineRule="auto"/>
      <w:tabs>
        <w:tab w:val="left" w:pos="1004" w:leader="none"/>
      </w:tabs>
    </w:pPr>
    <w:rPr>
      <w:rFonts w:ascii="Arial" w:hAnsi="Arial" w:eastAsia="黑体" w:cs="Times New Roman"/>
      <w:b w:val="0"/>
      <w:sz w:val="28"/>
      <w:szCs w:val="20"/>
    </w:rPr>
  </w:style>
  <w:style w:type="paragraph" w:styleId="1373">
    <w:name w:val="丁华标题3"/>
    <w:basedOn w:val="1372"/>
    <w:next w:val="1262"/>
    <w:link w:val="1038"/>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74">
    <w:name w:val="Char Char"/>
    <w:basedOn w:val="1038"/>
    <w:next w:val="1374"/>
    <w:link w:val="1038"/>
    <w:rPr>
      <w:rFonts w:ascii="Tahoma" w:hAnsi="Tahoma" w:eastAsia="宋体" w:cs="Tahoma"/>
      <w:sz w:val="24"/>
    </w:rPr>
  </w:style>
  <w:style w:type="paragraph" w:styleId="1375">
    <w:name w:val="Char Char Char Char Char Char Char"/>
    <w:basedOn w:val="1038"/>
    <w:next w:val="1375"/>
    <w:link w:val="1038"/>
    <w:pPr>
      <w:jc w:val="left"/>
    </w:pPr>
    <w:rPr>
      <w:rFonts w:ascii="Tahoma" w:hAnsi="Tahoma" w:eastAsia="宋体" w:cs="Times New Roman"/>
      <w:sz w:val="24"/>
    </w:rPr>
  </w:style>
  <w:style w:type="paragraph" w:styleId="1376">
    <w:name w:val=" Char Char Char Char Char Char Char Char Char Char Char Char Char Char Char Char Char Char Char Char Char"/>
    <w:basedOn w:val="1038"/>
    <w:next w:val="1376"/>
    <w:link w:val="1038"/>
    <w:rPr>
      <w:rFonts w:ascii="Tahoma" w:hAnsi="Tahoma" w:eastAsia="宋体" w:cs="Times New Roman"/>
      <w:sz w:val="24"/>
    </w:rPr>
  </w:style>
  <w:style w:type="paragraph" w:styleId="1377">
    <w:name w:val="小四 段落 宋体"/>
    <w:basedOn w:val="1065"/>
    <w:next w:val="1377"/>
    <w:link w:val="1038"/>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8">
    <w:name w:val="正文2"/>
    <w:basedOn w:val="1038"/>
    <w:next w:val="1378"/>
    <w:link w:val="1038"/>
    <w:pPr>
      <w:ind w:firstLine="510"/>
      <w:spacing w:before="156" w:line="360" w:lineRule="auto"/>
    </w:pPr>
    <w:rPr>
      <w:rFonts w:ascii="Times New Roman" w:hAnsi="Times New Roman" w:eastAsia="宋体" w:cs="Times New Roman"/>
      <w:sz w:val="24"/>
    </w:rPr>
  </w:style>
  <w:style w:type="paragraph" w:styleId="1379">
    <w:name w:val="插图"/>
    <w:basedOn w:val="1038"/>
    <w:next w:val="1379"/>
    <w:link w:val="1038"/>
    <w:pPr>
      <w:jc w:val="center"/>
      <w:tabs>
        <w:tab w:val="left" w:pos="1620" w:leader="none"/>
      </w:tabs>
    </w:pPr>
    <w:rPr>
      <w:rFonts w:ascii="Times New Roman" w:hAnsi="Times New Roman" w:eastAsia="宋体" w:cs="Times New Roman"/>
      <w:bCs/>
      <w:color w:val="000000"/>
      <w:szCs w:val="22"/>
    </w:rPr>
  </w:style>
  <w:style w:type="paragraph" w:styleId="1380">
    <w:name w:val="Char1"/>
    <w:basedOn w:val="1038"/>
    <w:next w:val="1380"/>
    <w:link w:val="1038"/>
    <w:rPr>
      <w:rFonts w:ascii="仿宋_GB2312" w:hAnsi="宋体" w:eastAsia="仿宋_GB2312" w:cs="宋体"/>
      <w:b/>
      <w:sz w:val="32"/>
      <w:szCs w:val="32"/>
    </w:rPr>
  </w:style>
  <w:style w:type="paragraph" w:styleId="1381">
    <w:name w:val=" Char Char Char Char Char"/>
    <w:basedOn w:val="1038"/>
    <w:next w:val="1381"/>
    <w:link w:val="1038"/>
    <w:rPr>
      <w:rFonts w:ascii="Tahoma" w:hAnsi="Tahoma" w:eastAsia="宋体" w:cs="Times New Roman"/>
      <w:sz w:val="24"/>
    </w:rPr>
  </w:style>
  <w:style w:type="paragraph" w:styleId="1382">
    <w:name w:val="zw"/>
    <w:basedOn w:val="1038"/>
    <w:next w:val="1382"/>
    <w:link w:val="1038"/>
    <w:pPr>
      <w:ind w:firstLine="480"/>
      <w:jc w:val="left"/>
      <w:spacing w:line="360" w:lineRule="auto"/>
      <w:widowControl/>
    </w:pPr>
    <w:rPr>
      <w:rFonts w:ascii="宋体" w:hAnsi="宋体" w:eastAsia="宋体" w:cs="Times New Roman"/>
      <w:bCs/>
      <w:sz w:val="24"/>
    </w:rPr>
  </w:style>
  <w:style w:type="paragraph" w:styleId="1383">
    <w:name w:val="xl56"/>
    <w:basedOn w:val="1038"/>
    <w:next w:val="1383"/>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4">
    <w:name w:val="正文 New New New New New New New New New New New New New New"/>
    <w:next w:val="1384"/>
    <w:link w:val="1038"/>
    <w:pPr>
      <w:jc w:val="both"/>
      <w:widowControl w:val="off"/>
    </w:pPr>
    <w:rPr>
      <w:rFonts w:hint="eastAsia"/>
      <w:sz w:val="21"/>
      <w:lang w:val="en-US" w:eastAsia="zh-CN" w:bidi="ar-SA"/>
    </w:rPr>
  </w:style>
  <w:style w:type="paragraph" w:styleId="1385">
    <w:name w:val="xl50"/>
    <w:basedOn w:val="1038"/>
    <w:next w:val="1385"/>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6">
    <w:name w:val="Char Char Char Char"/>
    <w:basedOn w:val="1067"/>
    <w:next w:val="1386"/>
    <w:link w:val="1038"/>
    <w:pPr>
      <w:spacing w:line="360" w:lineRule="auto"/>
    </w:pPr>
    <w:rPr>
      <w:rFonts w:ascii="Tahoma" w:hAnsi="Tahoma" w:eastAsia="宋体" w:cs="Times New Roman"/>
      <w:sz w:val="24"/>
      <w:szCs w:val="24"/>
    </w:rPr>
  </w:style>
  <w:style w:type="paragraph" w:styleId="1387">
    <w:name w:val="样式 样式 首行缩进:  2 字符 + 行距: 1.5 倍行距"/>
    <w:basedOn w:val="1038"/>
    <w:next w:val="1387"/>
    <w:link w:val="1038"/>
    <w:pPr>
      <w:ind w:firstLine="470"/>
      <w:spacing w:line="360" w:lineRule="auto"/>
    </w:pPr>
    <w:rPr>
      <w:rFonts w:ascii="Times New Roman" w:hAnsi="Times New Roman" w:eastAsia="宋体" w:cs="Times New Roman"/>
      <w:sz w:val="24"/>
    </w:rPr>
  </w:style>
  <w:style w:type="paragraph" w:styleId="1388">
    <w:name w:val="标题1，章节第一层"/>
    <w:basedOn w:val="1287"/>
    <w:next w:val="1287"/>
    <w:link w:val="1038"/>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89">
    <w:name w:val="标题3"/>
    <w:basedOn w:val="1041"/>
    <w:next w:val="1389"/>
    <w:link w:val="1038"/>
    <w:pPr>
      <w:keepLines w:val="0"/>
      <w:keepNext w:val="0"/>
      <w:spacing w:before="0" w:after="0" w:line="360" w:lineRule="auto"/>
    </w:pPr>
    <w:rPr>
      <w:rFonts w:ascii="Times New Roman" w:hAnsi="Times New Roman" w:eastAsia="仿宋_GB2312" w:cs="Times New Roman"/>
      <w:b w:val="0"/>
      <w:bCs/>
      <w:sz w:val="30"/>
      <w:szCs w:val="32"/>
    </w:rPr>
  </w:style>
  <w:style w:type="paragraph" w:styleId="1390">
    <w:name w:val="font9"/>
    <w:basedOn w:val="1038"/>
    <w:next w:val="1390"/>
    <w:link w:val="1038"/>
    <w:pPr>
      <w:jc w:val="left"/>
      <w:spacing w:before="100" w:beforeAutospacing="1" w:after="100" w:afterAutospacing="1"/>
      <w:widowControl/>
    </w:pPr>
    <w:rPr>
      <w:rFonts w:ascii="Times New Roman" w:hAnsi="Times New Roman" w:eastAsia="宋体" w:cs="Times New Roman"/>
      <w:b/>
      <w:bCs/>
      <w:sz w:val="20"/>
    </w:rPr>
  </w:style>
  <w:style w:type="paragraph" w:styleId="1391">
    <w:name w:val=" Char Char Char Char Char Char Char Char Char"/>
    <w:basedOn w:val="1038"/>
    <w:next w:val="1391"/>
    <w:link w:val="1038"/>
    <w:pPr>
      <w:ind w:left="360" w:hanging="360"/>
      <w:tabs>
        <w:tab w:val="left" w:pos="360" w:leader="none"/>
      </w:tabs>
    </w:pPr>
    <w:rPr>
      <w:rFonts w:ascii="Times New Roman" w:hAnsi="Times New Roman" w:eastAsia="宋体" w:cs="Times New Roman"/>
      <w:sz w:val="24"/>
      <w:szCs w:val="24"/>
    </w:rPr>
  </w:style>
  <w:style w:type="paragraph" w:styleId="1392">
    <w:name w:val="样式 段后: 0.5 行 左  0.75 字符"/>
    <w:basedOn w:val="1038"/>
    <w:next w:val="1392"/>
    <w:link w:val="1038"/>
    <w:pPr>
      <w:ind w:firstLine="420"/>
      <w:spacing w:line="360" w:lineRule="auto"/>
      <w:widowControl/>
    </w:pPr>
    <w:rPr>
      <w:rFonts w:ascii="Times New Roman" w:hAnsi="Arial" w:eastAsia="宋体" w:cs="Arial"/>
      <w:szCs w:val="21"/>
    </w:rPr>
  </w:style>
  <w:style w:type="paragraph" w:styleId="1393">
    <w:name w:val="font8"/>
    <w:basedOn w:val="1038"/>
    <w:next w:val="1393"/>
    <w:link w:val="1038"/>
    <w:pPr>
      <w:jc w:val="left"/>
      <w:spacing w:before="100" w:beforeAutospacing="1" w:after="100" w:afterAutospacing="1"/>
      <w:widowControl/>
    </w:pPr>
    <w:rPr>
      <w:rFonts w:ascii="宋体" w:hAnsi="宋体" w:eastAsia="宋体" w:cs="宋体"/>
      <w:b/>
      <w:bCs/>
      <w:i/>
      <w:iCs/>
      <w:sz w:val="20"/>
    </w:rPr>
  </w:style>
  <w:style w:type="paragraph" w:styleId="1394">
    <w:name w:val="标题 4宋体"/>
    <w:basedOn w:val="1042"/>
    <w:next w:val="1394"/>
    <w:link w:val="1038"/>
    <w:pPr>
      <w:jc w:val="left"/>
      <w:keepLines w:val="0"/>
      <w:spacing w:before="0" w:after="0" w:line="360" w:lineRule="auto"/>
    </w:pPr>
    <w:rPr>
      <w:rFonts w:ascii="宋体" w:hAnsi="宋体" w:eastAsia="宋体" w:cs="Times New Roman"/>
      <w:bCs/>
      <w:color w:val="000000"/>
      <w:sz w:val="24"/>
    </w:rPr>
  </w:style>
  <w:style w:type="paragraph" w:styleId="1395">
    <w:name w:val="小四 段落 宋体 Char Char"/>
    <w:basedOn w:val="1038"/>
    <w:next w:val="1395"/>
    <w:link w:val="1038"/>
    <w:pPr>
      <w:ind w:firstLine="480"/>
      <w:spacing w:line="360" w:lineRule="auto"/>
    </w:pPr>
    <w:rPr>
      <w:rFonts w:ascii="宋体" w:hAnsi="宋体" w:eastAsia="宋体" w:cs="Times New Roman"/>
      <w:sz w:val="24"/>
      <w:szCs w:val="24"/>
    </w:rPr>
  </w:style>
  <w:style w:type="paragraph" w:styleId="1396">
    <w:name w:val="纯文本1"/>
    <w:basedOn w:val="1038"/>
    <w:next w:val="1396"/>
    <w:link w:val="1038"/>
    <w:rPr>
      <w:rFonts w:ascii="宋体" w:hAnsi="宋体" w:eastAsia="楷体_GB2312" w:cs="宋体"/>
      <w:sz w:val="28"/>
    </w:rPr>
  </w:style>
  <w:style w:type="paragraph" w:styleId="1397">
    <w:name w:val="xl27"/>
    <w:basedOn w:val="1038"/>
    <w:next w:val="1397"/>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8">
    <w:name w:val="标题5，章节第五层"/>
    <w:basedOn w:val="1038"/>
    <w:next w:val="1038"/>
    <w:link w:val="1038"/>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99">
    <w:name w:val="content_lineheight"/>
    <w:basedOn w:val="1038"/>
    <w:next w:val="1399"/>
    <w:link w:val="1038"/>
    <w:pPr>
      <w:jc w:val="left"/>
      <w:spacing w:before="100" w:beforeAutospacing="1" w:after="100" w:afterAutospacing="1"/>
      <w:widowControl/>
    </w:pPr>
    <w:rPr>
      <w:rFonts w:ascii="宋体" w:hAnsi="宋体" w:eastAsia="宋体" w:cs="Times New Roman"/>
      <w:sz w:val="24"/>
      <w:szCs w:val="24"/>
    </w:rPr>
  </w:style>
  <w:style w:type="paragraph" w:styleId="1400">
    <w:name w:val="Pa5"/>
    <w:basedOn w:val="1038"/>
    <w:next w:val="1038"/>
    <w:link w:val="1038"/>
    <w:pPr>
      <w:jc w:val="left"/>
      <w:spacing w:line="241" w:lineRule="atLeast"/>
    </w:pPr>
    <w:rPr>
      <w:rFonts w:ascii="汉仪大黑简" w:hAnsi="Times New Roman" w:eastAsia="汉仪大黑简" w:cs="Times New Roman"/>
      <w:sz w:val="24"/>
      <w:szCs w:val="24"/>
    </w:rPr>
  </w:style>
  <w:style w:type="paragraph" w:styleId="1401">
    <w:name w:val="xl63"/>
    <w:basedOn w:val="1038"/>
    <w:next w:val="1401"/>
    <w:link w:val="1038"/>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02">
    <w:name w:val="小四 段落 宋体 Char Char Char Char"/>
    <w:basedOn w:val="1038"/>
    <w:next w:val="1402"/>
    <w:link w:val="1038"/>
    <w:pPr>
      <w:ind w:right="-33" w:firstLine="480"/>
      <w:jc w:val="left"/>
      <w:spacing w:line="360" w:lineRule="auto"/>
    </w:pPr>
    <w:rPr>
      <w:rFonts w:ascii="Times New Roman" w:hAnsi="Times New Roman" w:eastAsia="宋体" w:cs="Times New Roman"/>
      <w:sz w:val="24"/>
      <w:szCs w:val="24"/>
    </w:rPr>
  </w:style>
  <w:style w:type="paragraph" w:styleId="1403">
    <w:name w:val="列出段落2"/>
    <w:basedOn w:val="1038"/>
    <w:next w:val="1403"/>
    <w:link w:val="1038"/>
    <w:pPr>
      <w:ind w:left="720"/>
      <w:jc w:val="left"/>
      <w:widowControl/>
    </w:pPr>
    <w:rPr>
      <w:rFonts w:ascii="Arial" w:hAnsi="Arial" w:eastAsia="黑体" w:cs="Arial"/>
      <w:sz w:val="24"/>
      <w:szCs w:val="24"/>
      <w:lang w:eastAsia="en-US"/>
    </w:rPr>
  </w:style>
  <w:style w:type="paragraph" w:styleId="1404">
    <w:name w:val="标题2，章节第二层"/>
    <w:basedOn w:val="1038"/>
    <w:next w:val="1287"/>
    <w:link w:val="1038"/>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5">
    <w:name w:val="Test2"/>
    <w:basedOn w:val="1040"/>
    <w:next w:val="1405"/>
    <w:link w:val="1038"/>
    <w:pPr>
      <w:jc w:val="center"/>
      <w:spacing w:before="156" w:after="156" w:line="480" w:lineRule="exact"/>
      <w:widowControl/>
    </w:pPr>
    <w:rPr>
      <w:rFonts w:ascii="黑体" w:hAnsi="Arial" w:eastAsia="黑体" w:cs="Times New Roman"/>
      <w:bCs/>
      <w:sz w:val="24"/>
    </w:rPr>
  </w:style>
  <w:style w:type="paragraph" w:styleId="1406">
    <w:name w:val="样式 样式 标题 3H3sect1.2.3BOD 0Heading 3 - oldh3l3CTLevel 3 Head... +..."/>
    <w:basedOn w:val="1038"/>
    <w:next w:val="1406"/>
    <w:link w:val="1038"/>
    <w:pPr>
      <w:jc w:val="left"/>
      <w:keepLines/>
      <w:keepNext/>
      <w:spacing w:before="156" w:after="156"/>
      <w:outlineLvl w:val="2"/>
    </w:pPr>
    <w:rPr>
      <w:rFonts w:ascii="Times New Roman" w:hAnsi="Times New Roman" w:eastAsia="宋体" w:cs="宋体"/>
      <w:b/>
      <w:bCs/>
      <w:sz w:val="24"/>
    </w:rPr>
  </w:style>
  <w:style w:type="paragraph" w:styleId="1407">
    <w:name w:val="Char Char Char Char Char Char Char1 Char"/>
    <w:basedOn w:val="1038"/>
    <w:next w:val="1407"/>
    <w:link w:val="1038"/>
    <w:rPr>
      <w:rFonts w:ascii="Tahoma" w:hAnsi="Tahoma" w:eastAsia="宋体" w:cs="Tahoma"/>
      <w:sz w:val="24"/>
    </w:rPr>
  </w:style>
  <w:style w:type="paragraph" w:styleId="1408">
    <w:name w:val="xl51"/>
    <w:basedOn w:val="1038"/>
    <w:next w:val="1408"/>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09">
    <w:name w:val="qw"/>
    <w:next w:val="1409"/>
    <w:link w:val="1038"/>
    <w:pPr>
      <w:jc w:val="both"/>
      <w:spacing w:line="312" w:lineRule="atLeast"/>
      <w:widowControl w:val="off"/>
    </w:pPr>
    <w:rPr>
      <w:rFonts w:ascii="宋体"/>
      <w:sz w:val="24"/>
      <w:lang w:val="en-US" w:eastAsia="zh-CN" w:bidi="ar-SA"/>
    </w:rPr>
  </w:style>
  <w:style w:type="paragraph" w:styleId="1410">
    <w:name w:val="xl26"/>
    <w:basedOn w:val="1038"/>
    <w:next w:val="1410"/>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11">
    <w:name w:val="1"/>
    <w:basedOn w:val="1038"/>
    <w:next w:val="1109"/>
    <w:link w:val="1038"/>
    <w:pPr>
      <w:spacing w:line="360" w:lineRule="auto"/>
    </w:pPr>
    <w:rPr>
      <w:rFonts w:ascii="Times New Roman" w:hAnsi="Times New Roman" w:eastAsia="仿宋_GB2312" w:cs="Times New Roman"/>
      <w:sz w:val="24"/>
      <w:szCs w:val="24"/>
    </w:rPr>
  </w:style>
  <w:style w:type="paragraph" w:styleId="1412">
    <w:name w:val=" Char"/>
    <w:basedOn w:val="1038"/>
    <w:next w:val="1412"/>
    <w:link w:val="1038"/>
    <w:pPr>
      <w:spacing w:after="156" w:line="360" w:lineRule="auto"/>
    </w:pPr>
    <w:rPr>
      <w:rFonts w:ascii="Tahoma" w:hAnsi="Tahoma" w:eastAsia="宋体" w:cs="Times New Roman"/>
      <w:sz w:val="24"/>
    </w:rPr>
  </w:style>
  <w:style w:type="paragraph" w:styleId="1413">
    <w:name w:val="Body Text 21"/>
    <w:basedOn w:val="1038"/>
    <w:next w:val="1413"/>
    <w:link w:val="1038"/>
    <w:pPr>
      <w:ind w:left="720" w:hanging="720"/>
      <w:widowControl/>
    </w:pPr>
    <w:rPr>
      <w:rFonts w:ascii="Times New Roman" w:hAnsi="Times New Roman" w:eastAsia="宋体" w:cs="Times New Roman"/>
      <w:sz w:val="24"/>
      <w:lang w:val="en-GB"/>
    </w:rPr>
  </w:style>
  <w:style w:type="paragraph" w:styleId="1414">
    <w:name w:val="大标题"/>
    <w:basedOn w:val="1038"/>
    <w:next w:val="1038"/>
    <w:link w:val="1038"/>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5">
    <w:name w:val="xl43"/>
    <w:basedOn w:val="1038"/>
    <w:next w:val="1415"/>
    <w:link w:val="10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6">
    <w:name w:val="font6"/>
    <w:basedOn w:val="1038"/>
    <w:next w:val="1416"/>
    <w:link w:val="1038"/>
    <w:pPr>
      <w:jc w:val="left"/>
      <w:spacing w:before="100" w:beforeAutospacing="1" w:after="100" w:afterAutospacing="1"/>
      <w:widowControl/>
    </w:pPr>
    <w:rPr>
      <w:rFonts w:ascii="宋体" w:hAnsi="宋体" w:eastAsia="宋体" w:cs="宋体"/>
      <w:b/>
      <w:bCs/>
      <w:sz w:val="20"/>
    </w:rPr>
  </w:style>
  <w:style w:type="paragraph" w:styleId="1417">
    <w:name w:val="Char Char1 Char"/>
    <w:basedOn w:val="1038"/>
    <w:next w:val="1417"/>
    <w:link w:val="1038"/>
    <w:pPr>
      <w:jc w:val="left"/>
      <w:spacing w:after="160" w:line="240" w:lineRule="exact"/>
      <w:widowControl/>
    </w:pPr>
    <w:rPr>
      <w:rFonts w:ascii="Verdana" w:hAnsi="Verdana" w:eastAsia="宋体" w:cs="Times New Roman"/>
      <w:sz w:val="20"/>
      <w:lang w:eastAsia="en-US"/>
    </w:rPr>
  </w:style>
  <w:style w:type="paragraph" w:styleId="1418">
    <w:name w:val="Body Text 22"/>
    <w:basedOn w:val="1038"/>
    <w:next w:val="1418"/>
    <w:link w:val="1038"/>
    <w:pPr>
      <w:ind w:left="720" w:hanging="720"/>
      <w:widowControl/>
    </w:pPr>
    <w:rPr>
      <w:rFonts w:ascii="Times New Roman" w:hAnsi="Times New Roman" w:eastAsia="宋体" w:cs="Times New Roman"/>
      <w:sz w:val="24"/>
      <w:lang w:val="en-GB"/>
    </w:rPr>
  </w:style>
  <w:style w:type="paragraph" w:styleId="1419">
    <w:name w:val="xl54"/>
    <w:basedOn w:val="1038"/>
    <w:next w:val="1419"/>
    <w:link w:val="103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20">
    <w:name w:val="Item Step in Table"/>
    <w:next w:val="1420"/>
    <w:link w:val="1038"/>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21">
    <w:name w:val=" Char Char1 Char"/>
    <w:basedOn w:val="1038"/>
    <w:next w:val="1421"/>
    <w:link w:val="1038"/>
    <w:pPr>
      <w:jc w:val="left"/>
      <w:spacing w:after="160" w:line="240" w:lineRule="exact"/>
      <w:widowControl/>
    </w:pPr>
    <w:rPr>
      <w:rFonts w:ascii="Verdana" w:hAnsi="Verdana" w:eastAsia="宋体" w:cs="Times New Roman"/>
      <w:sz w:val="20"/>
      <w:lang w:eastAsia="en-US"/>
    </w:rPr>
  </w:style>
  <w:style w:type="paragraph" w:styleId="1422">
    <w:name w:val="部分1"/>
    <w:basedOn w:val="1038"/>
    <w:next w:val="1422"/>
    <w:link w:val="1038"/>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23">
    <w:name w:val="Item List Char Char"/>
    <w:next w:val="1423"/>
    <w:link w:val="1038"/>
    <w:pPr>
      <w:jc w:val="both"/>
      <w:spacing w:line="288" w:lineRule="auto"/>
    </w:pPr>
    <w:rPr>
      <w:rFonts w:ascii="Arial" w:hAnsi="Arial" w:cs="Arial"/>
      <w:b/>
      <w:bCs/>
      <w:sz w:val="21"/>
      <w:szCs w:val="28"/>
      <w:lang w:val="en-US" w:eastAsia="zh-CN" w:bidi="ar-SA"/>
    </w:rPr>
  </w:style>
  <w:style w:type="paragraph" w:styleId="1424">
    <w:name w:val="中等深浅网格 1 - 强调文字颜色 21"/>
    <w:basedOn w:val="1038"/>
    <w:next w:val="1424"/>
    <w:link w:val="1038"/>
    <w:pPr>
      <w:ind w:firstLine="420"/>
    </w:pPr>
    <w:rPr>
      <w:rFonts w:ascii="Calibri" w:hAnsi="Calibri" w:eastAsia="宋体" w:cs="Times New Roman"/>
      <w:szCs w:val="22"/>
    </w:rPr>
  </w:style>
  <w:style w:type="paragraph" w:styleId="1425">
    <w:name w:val="Normal2"/>
    <w:basedOn w:val="1038"/>
    <w:next w:val="1425"/>
    <w:link w:val="1038"/>
    <w:rPr>
      <w:rFonts w:ascii="Calibri" w:hAnsi="Calibri" w:eastAsia="Calibri" w:cs="宋体"/>
      <w:lang w:val="zh-CN"/>
    </w:rPr>
  </w:style>
  <w:style w:type="paragraph" w:styleId="1426">
    <w:name w:val=" Char Char Char Char Char Char Char Char Char Char Char Char Char Char Char Char Char Char Char Char Char Char Char"/>
    <w:basedOn w:val="1038"/>
    <w:next w:val="1426"/>
    <w:link w:val="1038"/>
    <w:rPr>
      <w:rFonts w:ascii="Tahoma" w:hAnsi="Tahoma" w:eastAsia="宋体" w:cs="Times New Roman"/>
      <w:sz w:val="24"/>
    </w:rPr>
  </w:style>
  <w:style w:type="paragraph" w:styleId="1427">
    <w:name w:val="样式3"/>
    <w:basedOn w:val="1038"/>
    <w:next w:val="1038"/>
    <w:link w:val="1038"/>
    <w:pPr>
      <w:spacing w:line="360" w:lineRule="auto"/>
    </w:pPr>
    <w:rPr>
      <w:rFonts w:ascii="Times New Roman" w:hAnsi="Times New Roman" w:eastAsia="宋体" w:cs="Times New Roman"/>
    </w:rPr>
  </w:style>
  <w:style w:type="paragraph" w:styleId="1428">
    <w:name w:val="样式 标题 2第一章 标题 2Heading 2 HiddenHeading 2 CCBSheading 2H2h2..."/>
    <w:basedOn w:val="1040"/>
    <w:next w:val="1428"/>
    <w:link w:val="1038"/>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9">
    <w:name w:val="xl61"/>
    <w:basedOn w:val="1038"/>
    <w:next w:val="1429"/>
    <w:link w:val="1038"/>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30">
    <w:name w:val="xl53"/>
    <w:basedOn w:val="1038"/>
    <w:next w:val="1430"/>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1">
    <w:name w:val="xl62"/>
    <w:basedOn w:val="1038"/>
    <w:next w:val="1431"/>
    <w:link w:val="103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32">
    <w:name w:val="条1"/>
    <w:basedOn w:val="1038"/>
    <w:next w:val="1432"/>
    <w:link w:val="1038"/>
    <w:pPr>
      <w:ind w:left="780" w:hanging="360"/>
      <w:spacing w:before="156" w:line="360" w:lineRule="auto"/>
      <w:tabs>
        <w:tab w:val="left" w:pos="780" w:leader="none"/>
      </w:tabs>
    </w:pPr>
    <w:rPr>
      <w:rFonts w:ascii="Times New Roman" w:hAnsi="Times New Roman" w:eastAsia="黑体" w:cs="Times New Roman"/>
      <w:sz w:val="24"/>
    </w:rPr>
  </w:style>
  <w:style w:type="paragraph" w:styleId="1433">
    <w:name w:val="样式4 Char"/>
    <w:basedOn w:val="1038"/>
    <w:next w:val="1433"/>
    <w:link w:val="1038"/>
    <w:pPr>
      <w:ind w:firstLine="480"/>
      <w:jc w:val="left"/>
      <w:spacing w:line="360" w:lineRule="auto"/>
      <w:widowControl/>
    </w:pPr>
    <w:rPr>
      <w:rFonts w:ascii="Times New Roman" w:hAnsi="Times New Roman" w:eastAsia="宋体" w:cs="宋体"/>
      <w:color w:val="000000"/>
      <w:sz w:val="24"/>
      <w:szCs w:val="24"/>
    </w:rPr>
  </w:style>
  <w:style w:type="paragraph" w:styleId="1434">
    <w:name w:val="Char Char Char Char Char Char"/>
    <w:basedOn w:val="1038"/>
    <w:next w:val="1434"/>
    <w:link w:val="1038"/>
    <w:rPr>
      <w:rFonts w:ascii="Tahoma" w:hAnsi="Tahoma" w:eastAsia="宋体" w:cs="Tahoma"/>
      <w:sz w:val="24"/>
    </w:rPr>
  </w:style>
  <w:style w:type="paragraph" w:styleId="1435">
    <w:name w:val="7"/>
    <w:basedOn w:val="1038"/>
    <w:next w:val="1112"/>
    <w:link w:val="1038"/>
    <w:pPr>
      <w:jc w:val="left"/>
      <w:spacing w:before="100" w:beforeAutospacing="1" w:after="100" w:afterAutospacing="1"/>
      <w:widowControl/>
    </w:pPr>
    <w:rPr>
      <w:rFonts w:ascii="宋体" w:hAnsi="宋体" w:eastAsia="宋体" w:cs="Times New Roman"/>
      <w:sz w:val="24"/>
    </w:rPr>
  </w:style>
  <w:style w:type="paragraph" w:styleId="1436">
    <w:name w:val="普通文字"/>
    <w:basedOn w:val="1038"/>
    <w:next w:val="1038"/>
    <w:link w:val="1038"/>
    <w:rPr>
      <w:rFonts w:ascii="宋体" w:hAnsi="宋体" w:eastAsia="宋体" w:cs="宋体"/>
      <w:sz w:val="24"/>
    </w:rPr>
  </w:style>
  <w:style w:type="paragraph" w:styleId="1437">
    <w:name w:val="Char1 Char Char Char"/>
    <w:basedOn w:val="1038"/>
    <w:next w:val="1437"/>
    <w:link w:val="1038"/>
    <w:rPr>
      <w:rFonts w:ascii="Tahoma" w:hAnsi="Tahoma" w:eastAsia="宋体" w:cs="Tahoma"/>
      <w:sz w:val="24"/>
    </w:rPr>
  </w:style>
  <w:style w:type="paragraph" w:styleId="1438">
    <w:name w:val="Char2 Char Char Char Char Char Char1"/>
    <w:basedOn w:val="1038"/>
    <w:next w:val="1438"/>
    <w:link w:val="1038"/>
    <w:pPr>
      <w:ind w:hanging="425"/>
      <w:keepNext/>
      <w:spacing w:before="80" w:after="80"/>
      <w:widowControl/>
      <w:tabs>
        <w:tab w:val="left" w:pos="425" w:leader="none"/>
      </w:tabs>
    </w:pPr>
    <w:rPr>
      <w:rFonts w:ascii="Arial" w:hAnsi="Arial" w:eastAsia="宋体" w:cs="Arial"/>
      <w:sz w:val="20"/>
    </w:rPr>
  </w:style>
  <w:style w:type="paragraph" w:styleId="1439">
    <w:name w:val="默认段落字体 Para Char Char Char Char Char Char Char"/>
    <w:basedOn w:val="1038"/>
    <w:next w:val="1439"/>
    <w:link w:val="1038"/>
    <w:rPr>
      <w:rFonts w:ascii="Times New Roman" w:hAnsi="Times New Roman" w:eastAsia="宋体" w:cs="Times New Roman"/>
    </w:rPr>
  </w:style>
  <w:style w:type="paragraph" w:styleId="1440">
    <w:name w:val="正文文本缩进1"/>
    <w:basedOn w:val="1038"/>
    <w:next w:val="1440"/>
    <w:link w:val="1038"/>
    <w:pPr>
      <w:ind w:left="420"/>
      <w:spacing w:after="120"/>
    </w:pPr>
    <w:rPr>
      <w:rFonts w:ascii="Times New Roman" w:hAnsi="Times New Roman" w:eastAsia="宋体" w:cs="Times New Roman"/>
      <w:szCs w:val="24"/>
    </w:rPr>
  </w:style>
  <w:style w:type="paragraph" w:styleId="1441">
    <w:name w:val="Table Text Char"/>
    <w:next w:val="1441"/>
    <w:link w:val="1038"/>
    <w:pPr>
      <w:spacing w:before="80" w:after="80"/>
    </w:pPr>
    <w:rPr>
      <w:rFonts w:ascii="Arial" w:hAnsi="Arial" w:cs="Arial"/>
      <w:sz w:val="18"/>
      <w:szCs w:val="28"/>
      <w:lang w:val="en-US" w:eastAsia="zh-CN" w:bidi="ar-SA"/>
    </w:rPr>
  </w:style>
  <w:style w:type="paragraph" w:styleId="1442">
    <w:name w:val="方案正文"/>
    <w:basedOn w:val="1038"/>
    <w:next w:val="1442"/>
    <w:link w:val="1038"/>
    <w:pPr>
      <w:ind w:firstLine="359"/>
      <w:jc w:val="left"/>
      <w:spacing w:before="156" w:line="360" w:lineRule="auto"/>
    </w:pPr>
    <w:rPr>
      <w:rFonts w:ascii="Arial" w:hAnsi="Arial" w:eastAsia="宋体" w:cs="宋体"/>
      <w:sz w:val="24"/>
      <w:szCs w:val="21"/>
    </w:rPr>
  </w:style>
  <w:style w:type="paragraph" w:styleId="1443">
    <w:name w:val="Char Char Char Char Char Char Char Char Char"/>
    <w:basedOn w:val="1038"/>
    <w:next w:val="1443"/>
    <w:link w:val="1038"/>
    <w:pPr>
      <w:ind w:left="200" w:hanging="200"/>
      <w:tabs>
        <w:tab w:val="left" w:pos="360" w:leader="none"/>
      </w:tabs>
    </w:pPr>
    <w:rPr>
      <w:rFonts w:ascii="Times New Roman" w:hAnsi="Times New Roman" w:eastAsia="宋体" w:cs="Times New Roman"/>
      <w:sz w:val="24"/>
      <w:szCs w:val="24"/>
    </w:rPr>
  </w:style>
  <w:style w:type="paragraph" w:styleId="1444">
    <w:name w:val="Char"/>
    <w:basedOn w:val="1038"/>
    <w:next w:val="1444"/>
    <w:link w:val="1038"/>
    <w:rPr>
      <w:rFonts w:ascii="Tahoma" w:hAnsi="Tahoma" w:eastAsia="宋体" w:cs="仿宋_GB2312"/>
      <w:sz w:val="24"/>
      <w:szCs w:val="28"/>
    </w:rPr>
  </w:style>
  <w:style w:type="paragraph" w:styleId="1445">
    <w:name w:val="标题3，章节第三层"/>
    <w:basedOn w:val="1038"/>
    <w:next w:val="1287"/>
    <w:link w:val="1038"/>
    <w:pPr>
      <w:spacing w:before="78" w:line="300" w:lineRule="auto"/>
      <w:outlineLvl w:val="2"/>
    </w:pPr>
    <w:rPr>
      <w:rFonts w:ascii="Arial" w:hAnsi="Arial" w:eastAsia="华文细黑" w:cs="Times New Roman"/>
      <w:sz w:val="30"/>
      <w:szCs w:val="24"/>
    </w:rPr>
  </w:style>
  <w:style w:type="paragraph" w:styleId="1446">
    <w:name w:val="表格文字"/>
    <w:basedOn w:val="1038"/>
    <w:next w:val="1446"/>
    <w:link w:val="1038"/>
    <w:pPr>
      <w:ind w:firstLine="200"/>
      <w:jc w:val="left"/>
      <w:spacing w:line="360" w:lineRule="auto"/>
    </w:pPr>
    <w:rPr>
      <w:rFonts w:ascii="Arial" w:hAnsi="Arial" w:eastAsia="宋体" w:cs="Times New Roman"/>
      <w:sz w:val="24"/>
    </w:rPr>
  </w:style>
  <w:style w:type="paragraph" w:styleId="1447">
    <w:name w:val="xl45"/>
    <w:basedOn w:val="1038"/>
    <w:next w:val="1447"/>
    <w:link w:val="1038"/>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8">
    <w:name w:val="正文 居中"/>
    <w:basedOn w:val="1038"/>
    <w:next w:val="1448"/>
    <w:link w:val="1038"/>
    <w:pPr>
      <w:jc w:val="center"/>
      <w:spacing w:line="360" w:lineRule="auto"/>
    </w:pPr>
    <w:rPr>
      <w:rFonts w:ascii="Times New Roman" w:hAnsi="Times New Roman" w:eastAsia="宋体" w:cs="Times New Roman"/>
      <w:sz w:val="24"/>
    </w:rPr>
  </w:style>
  <w:style w:type="paragraph" w:styleId="1449">
    <w:name w:val="表格"/>
    <w:basedOn w:val="1038"/>
    <w:next w:val="1449"/>
    <w:link w:val="1038"/>
    <w:pPr>
      <w:ind w:firstLine="21"/>
    </w:pPr>
    <w:rPr>
      <w:rFonts w:ascii="宋体" w:hAnsi="宋体" w:eastAsia="宋体" w:cs="宋体"/>
      <w:sz w:val="20"/>
    </w:rPr>
  </w:style>
  <w:style w:type="paragraph" w:styleId="1450">
    <w:name w:val="greytypebeni"/>
    <w:basedOn w:val="1038"/>
    <w:next w:val="1450"/>
    <w:link w:val="1038"/>
    <w:pPr>
      <w:jc w:val="left"/>
      <w:widowControl/>
    </w:pPr>
    <w:rPr>
      <w:rFonts w:ascii="宋体" w:hAnsi="宋体" w:eastAsia="宋体" w:cs="宋体"/>
      <w:sz w:val="24"/>
      <w:szCs w:val="24"/>
    </w:rPr>
  </w:style>
  <w:style w:type="paragraph" w:styleId="1451">
    <w:name w:val="flType"/>
    <w:basedOn w:val="1260"/>
    <w:next w:val="1451"/>
    <w:link w:val="1038"/>
    <w:pPr>
      <w:spacing w:after="284"/>
    </w:pPr>
    <w:rPr>
      <w:rFonts w:ascii="Times New Roman" w:hAnsi="Times New Roman" w:eastAsia="宋体" w:cs="Times New Roman"/>
      <w:b/>
    </w:rPr>
  </w:style>
  <w:style w:type="paragraph" w:styleId="1452">
    <w:name w:val="符号与编号"/>
    <w:basedOn w:val="1038"/>
    <w:next w:val="1452"/>
    <w:link w:val="1038"/>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53">
    <w:name w:val="xl33"/>
    <w:basedOn w:val="1038"/>
    <w:next w:val="1453"/>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4">
    <w:name w:val="段 Char"/>
    <w:next w:val="1454"/>
    <w:link w:val="1038"/>
    <w:pPr>
      <w:ind w:firstLine="200"/>
      <w:jc w:val="both"/>
    </w:pPr>
    <w:rPr>
      <w:rFonts w:ascii="宋体"/>
      <w:sz w:val="21"/>
      <w:lang w:val="en-US" w:eastAsia="zh-CN" w:bidi="ar-SA"/>
    </w:rPr>
  </w:style>
  <w:style w:type="paragraph" w:styleId="1455">
    <w:name w:val="论文正文"/>
    <w:basedOn w:val="1086"/>
    <w:next w:val="1455"/>
    <w:link w:val="1038"/>
    <w:pPr>
      <w:ind w:left="0" w:firstLine="200"/>
      <w:jc w:val="left"/>
      <w:spacing w:line="360" w:lineRule="auto"/>
    </w:pPr>
    <w:rPr>
      <w:rFonts w:ascii="Times New Roman" w:hAnsi="Times New Roman" w:eastAsia="宋体" w:cs="Times New Roman"/>
      <w:sz w:val="28"/>
      <w:szCs w:val="24"/>
    </w:rPr>
  </w:style>
  <w:style w:type="paragraph" w:styleId="1456">
    <w:name w:val="默认段落字体 Para Char Char Char Char Char Char Char Char Char1 Char Char Char Char Char Char Char"/>
    <w:basedOn w:val="1067"/>
    <w:next w:val="1456"/>
    <w:link w:val="1038"/>
    <w:rPr>
      <w:rFonts w:ascii="Times New Roman" w:hAnsi="Times New Roman" w:eastAsia="宋体" w:cs="Times New Roman"/>
    </w:rPr>
  </w:style>
  <w:style w:type="paragraph" w:styleId="1457">
    <w:name w:val="二级条标题"/>
    <w:basedOn w:val="1038"/>
    <w:next w:val="1142"/>
    <w:link w:val="1038"/>
    <w:pPr>
      <w:ind w:hanging="420"/>
      <w:widowControl/>
      <w:tabs>
        <w:tab w:val="left" w:pos="2240" w:leader="none"/>
      </w:tabs>
      <w:outlineLvl w:val="3"/>
    </w:pPr>
    <w:rPr>
      <w:rFonts w:ascii="Times New Roman" w:hAnsi="Times New Roman" w:eastAsia="黑体" w:cs="Times New Roman"/>
    </w:rPr>
  </w:style>
  <w:style w:type="paragraph" w:styleId="1458">
    <w:name w:val="xl29"/>
    <w:basedOn w:val="1038"/>
    <w:next w:val="1458"/>
    <w:link w:val="103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59">
    <w:name w:val="TOC 71"/>
    <w:next w:val="1038"/>
    <w:link w:val="1038"/>
    <w:qFormat/>
    <w:pPr>
      <w:ind w:left="2550"/>
      <w:jc w:val="both"/>
    </w:pPr>
    <w:rPr>
      <w:sz w:val="21"/>
      <w:szCs w:val="22"/>
      <w:lang w:val="en-US" w:eastAsia="zh-CN" w:bidi="ar-SA"/>
    </w:rPr>
  </w:style>
  <w:style w:type="paragraph" w:styleId="1460">
    <w:name w:val="xl39"/>
    <w:basedOn w:val="1038"/>
    <w:next w:val="1460"/>
    <w:link w:val="10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61">
    <w:name w:val="A."/>
    <w:basedOn w:val="1038"/>
    <w:next w:val="1461"/>
    <w:link w:val="1038"/>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62">
    <w:name w:val="font61"/>
    <w:next w:val="1462"/>
    <w:link w:val="1038"/>
    <w:rPr>
      <w:rFonts w:ascii="Times New Roman" w:hAnsi="Times New Roman" w:eastAsia="宋体" w:cs="Times New Roman"/>
      <w:color w:val="000000"/>
      <w:sz w:val="22"/>
      <w:szCs w:val="22"/>
      <w:u w:val="none"/>
    </w:rPr>
  </w:style>
  <w:style w:type="character" w:styleId="1463">
    <w:name w:val="font51"/>
    <w:next w:val="1463"/>
    <w:link w:val="1038"/>
    <w:rPr>
      <w:rFonts w:hint="eastAsia" w:ascii="宋体" w:hAnsi="宋体" w:eastAsia="宋体" w:cs="宋体"/>
      <w:color w:val="000000"/>
      <w:sz w:val="22"/>
      <w:szCs w:val="22"/>
      <w:u w:val="none"/>
      <w:vertAlign w:val="subscript"/>
    </w:rPr>
  </w:style>
  <w:style w:type="character" w:styleId="1464">
    <w:name w:val="font41"/>
    <w:next w:val="1464"/>
    <w:link w:val="1038"/>
    <w:rPr>
      <w:rFonts w:hint="eastAsia" w:ascii="宋体" w:hAnsi="宋体" w:eastAsia="宋体" w:cs="宋体"/>
      <w:color w:val="000000"/>
      <w:sz w:val="22"/>
      <w:szCs w:val="22"/>
      <w:u w:val="none"/>
    </w:rPr>
  </w:style>
  <w:style w:type="character" w:styleId="1465">
    <w:name w:val="font71"/>
    <w:next w:val="1465"/>
    <w:link w:val="1038"/>
    <w:rPr>
      <w:rFonts w:ascii="Times New Roman" w:hAnsi="Times New Roman" w:eastAsia="宋体" w:cs="Times New Roman"/>
      <w:color w:val="000000"/>
      <w:sz w:val="22"/>
      <w:szCs w:val="22"/>
      <w:u w:val="none"/>
    </w:rPr>
  </w:style>
  <w:style w:type="character" w:styleId="1466">
    <w:name w:val="font21"/>
    <w:next w:val="1466"/>
    <w:link w:val="1038"/>
    <w:rPr>
      <w:rFonts w:ascii="Times New Roman" w:hAnsi="Times New Roman" w:eastAsia="宋体" w:cs="Times New Roman"/>
      <w:color w:val="000000"/>
      <w:sz w:val="22"/>
      <w:szCs w:val="22"/>
      <w:u w:val="none"/>
      <w:vertAlign w:val="superscript"/>
    </w:rPr>
  </w:style>
  <w:style w:type="paragraph" w:styleId="1467">
    <w:name w:val="06列出段落"/>
    <w:basedOn w:val="1038"/>
    <w:next w:val="1279"/>
    <w:link w:val="1038"/>
    <w:pPr>
      <w:ind w:firstLine="420"/>
    </w:pPr>
    <w:rPr>
      <w:rFonts w:ascii="Calibri" w:hAnsi="Calibri" w:eastAsia="宋体" w:cs="Times New Roman"/>
    </w:rPr>
  </w:style>
  <w:style w:type="paragraph" w:styleId="1468">
    <w:name w:val="彩色列表 - 强调文字颜色 11"/>
    <w:basedOn w:val="1038"/>
    <w:next w:val="1468"/>
    <w:link w:val="1038"/>
    <w:qFormat/>
    <w:pPr>
      <w:contextualSpacing/>
      <w:ind w:left="720"/>
      <w:jc w:val="left"/>
      <w:spacing w:before="100" w:after="100" w:line="276" w:lineRule="auto"/>
      <w:widowControl/>
    </w:pPr>
    <w:rPr>
      <w:rFonts w:ascii="Arial" w:hAnsi="Arial" w:cs="Arial"/>
      <w:color w:val="0f0f0f"/>
      <w:sz w:val="20"/>
      <w:lang w:eastAsia="en-US"/>
    </w:rPr>
  </w:style>
  <w:style w:type="paragraph" w:styleId="1469">
    <w:name w:val="讲话正文"/>
    <w:basedOn w:val="1038"/>
    <w:next w:val="1469"/>
    <w:link w:val="1038"/>
    <w:qFormat/>
    <w:pPr>
      <w:ind w:firstLine="200"/>
      <w:spacing w:before="0" w:after="0"/>
    </w:pPr>
    <w:rPr>
      <w:rFonts w:ascii="仿宋" w:hAnsi="仿宋" w:eastAsia="仿宋"/>
      <w:sz w:val="32"/>
      <w:szCs w:val="32"/>
    </w:rPr>
  </w:style>
  <w:style w:type="paragraph" w:styleId="1470">
    <w:name w:val="首行缩进"/>
    <w:basedOn w:val="1038"/>
    <w:next w:val="1470"/>
    <w:link w:val="1038"/>
    <w:qFormat/>
    <w:pPr>
      <w:ind w:firstLine="480"/>
    </w:pPr>
    <w:rPr>
      <w:szCs w:val="20"/>
      <w:lang w:val="zh-CN"/>
    </w:rPr>
  </w:style>
  <w:style w:type="paragraph" w:styleId="1471">
    <w:name w:val="正文首行缩进 21"/>
    <w:basedOn w:val="1440"/>
    <w:next w:val="1471"/>
    <w:link w:val="1038"/>
    <w:qFormat/>
    <w:pPr>
      <w:ind w:firstLine="420"/>
    </w:pPr>
  </w:style>
  <w:style w:type="paragraph" w:styleId="1472">
    <w:name w:val="Table Text"/>
    <w:basedOn w:val="1038"/>
    <w:next w:val="1472"/>
    <w:link w:val="1038"/>
    <w:semiHidden/>
    <w:qFormat/>
    <w:rPr>
      <w:rFonts w:ascii="宋体" w:hAnsi="宋体" w:cs="宋体"/>
      <w:sz w:val="24"/>
    </w:rPr>
  </w:style>
  <w:style w:type="table" w:styleId="1473">
    <w:name w:val="Table Normal"/>
    <w:next w:val="1473"/>
    <w:link w:val="1038"/>
    <w:unhideWhenUsed/>
    <w:qFormat/>
    <w:rPr>
      <w:lang w:val="en-US" w:eastAsia="zh-CN" w:bidi="ar-SA"/>
    </w:rPr>
    <w:tblPr/>
  </w:style>
  <w:style w:type="paragraph" w:styleId="1474">
    <w:name w:val="一级目录"/>
    <w:next w:val="1038"/>
    <w:link w:val="1038"/>
    <w:uiPriority w:val="99"/>
    <w:qFormat/>
    <w:pPr>
      <w:jc w:val="center"/>
      <w:outlineLvl w:val="0"/>
    </w:pPr>
    <w:rPr>
      <w:rFonts w:ascii="黑体" w:eastAsia="黑体"/>
      <w:b/>
      <w:bCs/>
      <w:sz w:val="44"/>
      <w:szCs w:val="44"/>
      <w:lang w:val="en-US" w:eastAsia="zh-CN" w:bidi="ar-SA"/>
    </w:rPr>
  </w:style>
  <w:style w:type="paragraph" w:styleId="1475">
    <w:name w:val="MdHeading2"/>
    <w:next w:val="1475"/>
    <w:link w:val="1038"/>
    <w:qFormat/>
    <w:pPr>
      <w:keepNext/>
      <w:spacing w:before="400" w:after="200"/>
      <w:outlineLvl w:val="1"/>
    </w:pPr>
    <w:rPr>
      <w:rFonts w:ascii="Calibri" w:hAnsi="Calibri"/>
      <w:b/>
      <w:bCs/>
      <w:sz w:val="32"/>
      <w:szCs w:val="32"/>
      <w:lang w:val="en-US" w:eastAsia="zh-CN" w:bidi="ar-SA"/>
    </w:rPr>
  </w:style>
  <w:style w:type="paragraph" w:styleId="1476">
    <w:name w:val="MdParagraph"/>
    <w:next w:val="1476"/>
    <w:link w:val="1038"/>
    <w:qFormat/>
    <w:pPr>
      <w:spacing w:before="120" w:after="120"/>
    </w:pPr>
    <w:rPr>
      <w:rFonts w:ascii="Calibri" w:hAnsi="Calibri"/>
      <w:sz w:val="24"/>
      <w:szCs w:val="24"/>
      <w:lang w:val="en-US" w:eastAsia="zh-CN" w:bidi="ar-SA"/>
    </w:rPr>
  </w:style>
  <w:style w:type="paragraph" w:styleId="1477">
    <w:name w:val="MdSpace"/>
    <w:next w:val="1477"/>
    <w:link w:val="1038"/>
    <w:qFormat/>
    <w:rPr>
      <w:rFonts w:ascii="Calibri" w:hAnsi="Calibri"/>
      <w:sz w:val="12"/>
      <w:szCs w:val="12"/>
      <w:lang w:val="en-US" w:eastAsia="zh-CN" w:bidi="ar-SA"/>
    </w:rPr>
  </w:style>
  <w:style w:type="paragraph" w:styleId="1478">
    <w:name w:val="MdTableHeader"/>
    <w:next w:val="1478"/>
    <w:link w:val="1038"/>
    <w:qFormat/>
    <w:pPr>
      <w:spacing w:before="60" w:after="60"/>
    </w:pPr>
    <w:rPr>
      <w:rFonts w:ascii="Calibri" w:hAnsi="Calibri"/>
      <w:b/>
      <w:bCs/>
      <w:sz w:val="22"/>
      <w:szCs w:val="22"/>
      <w:lang w:val="en-US" w:eastAsia="zh-CN" w:bidi="ar-SA"/>
    </w:rPr>
  </w:style>
  <w:style w:type="paragraph" w:styleId="1479">
    <w:name w:val="MdTableCell"/>
    <w:next w:val="1479"/>
    <w:link w:val="1038"/>
    <w:qFormat/>
    <w:pPr>
      <w:spacing w:before="40" w:after="40"/>
    </w:pPr>
    <w:rPr>
      <w:rFonts w:ascii="Calibri" w:hAnsi="Calibri"/>
      <w:lang w:val="en-US" w:eastAsia="zh-CN" w:bidi="ar-SA"/>
    </w:rPr>
  </w:style>
  <w:style w:type="character" w:styleId="1480">
    <w:name w:val="MdStrong"/>
    <w:next w:val="1480"/>
    <w:link w:val="1038"/>
    <w:uiPriority w:val="99"/>
    <w:unhideWhenUsed/>
    <w:qFormat/>
    <w:rPr>
      <w:b/>
      <w:bCs/>
    </w:rPr>
  </w:style>
  <w:style w:type="paragraph" w:styleId="1481">
    <w:name w:val="标题 21"/>
    <w:basedOn w:val="1038"/>
    <w:next w:val="1038"/>
    <w:link w:val="1038"/>
    <w:qFormat/>
    <w:pPr>
      <w:jc w:val="center"/>
      <w:keepLines/>
      <w:keepNext/>
      <w:spacing w:before="260" w:after="260" w:line="416" w:lineRule="auto"/>
      <w:outlineLvl w:val="1"/>
    </w:pPr>
    <w:rPr>
      <w:rFonts w:ascii="Arial" w:hAnsi="Arial" w:eastAsia="幼圆"/>
      <w:b/>
      <w:bCs/>
      <w:sz w:val="44"/>
      <w:szCs w:val="44"/>
    </w:rPr>
  </w:style>
  <w:style w:type="paragraph" w:styleId="1482">
    <w:name w:val="标题 11"/>
    <w:basedOn w:val="1038"/>
    <w:next w:val="1482"/>
    <w:link w:val="1038"/>
    <w:uiPriority w:val="1"/>
    <w:qFormat/>
    <w:pPr>
      <w:ind w:left="664" w:right="665"/>
      <w:jc w:val="center"/>
      <w:spacing w:before="30"/>
      <w:outlineLvl w:val="1"/>
    </w:pPr>
    <w:rPr>
      <w:b/>
      <w:bCs/>
      <w:sz w:val="32"/>
      <w:szCs w:val="32"/>
    </w:rPr>
  </w:style>
  <w:style w:type="paragraph" w:styleId="1483">
    <w:name w:val="msolistparagraph"/>
    <w:basedOn w:val="1038"/>
    <w:next w:val="1483"/>
    <w:link w:val="1038"/>
    <w:qFormat/>
    <w:rPr>
      <w:rFonts w:hint="eastAsia" w:ascii="微软雅黑" w:hAnsi="微软雅黑" w:eastAsia="微软雅黑" w:cs="Times New Roman"/>
      <w:sz w:val="21"/>
      <w:szCs w:val="21"/>
      <w:lang w:val="en-US" w:bidi="ar-SA"/>
    </w:rPr>
  </w:style>
  <w:style w:type="paragraph" w:styleId="1484">
    <w:name w:val="NN正文"/>
    <w:next w:val="1484"/>
    <w:link w:val="1038"/>
    <w:qFormat/>
    <w:pPr>
      <w:ind w:firstLine="200"/>
      <w:jc w:val="both"/>
    </w:pPr>
    <w:rPr>
      <w:rFonts w:ascii="微软雅黑" w:hAnsi="微软雅黑" w:eastAsia="微软雅黑" w:cs="微软雅黑"/>
      <w:sz w:val="21"/>
      <w:szCs w:val="21"/>
      <w:lang w:val="en-US" w:eastAsia="zh-CN" w:bidi="ar-SA"/>
    </w:rPr>
  </w:style>
  <w:style w:type="paragraph" w:styleId="1485">
    <w:name w:val="正文文本1"/>
    <w:basedOn w:val="1038"/>
    <w:next w:val="1485"/>
    <w:link w:val="1038"/>
    <w:qFormat/>
    <w:rPr>
      <w:rFonts w:ascii="楷体_GB2312" w:hAnsi="Arial" w:eastAsia="楷体_GB2312"/>
      <w:sz w:val="28"/>
    </w:rPr>
  </w:style>
  <w:style w:type="character" w:styleId="1486" w:default="1">
    <w:name w:val="Default Paragraph Font"/>
    <w:uiPriority w:val="1"/>
    <w:semiHidden/>
    <w:unhideWhenUsed/>
  </w:style>
  <w:style w:type="numbering" w:styleId="1487" w:default="1">
    <w:name w:val="No List"/>
    <w:uiPriority w:val="99"/>
    <w:semiHidden/>
    <w:unhideWhenUsed/>
  </w:style>
  <w:style w:type="table" w:styleId="14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5</cp:revision>
  <dcterms:created xsi:type="dcterms:W3CDTF">2026-03-19T02:48:00Z</dcterms:created>
  <dcterms:modified xsi:type="dcterms:W3CDTF">2026-06-05T09:26:55Z</dcterms:modified>
</cp:coreProperties>
</file>