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 </w:t>
      </w:r>
      <w:r/>
    </w:p>
    <w:p>
      <w:pPr>
        <w:pStyle w:val="1079"/>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公开招标采购文件</w:t>
      </w:r>
      <w:r/>
    </w:p>
    <w:p>
      <w:pPr>
        <w:pStyle w:val="1079"/>
        <w:ind w:firstLine="0"/>
        <w:rPr>
          <w:rFonts w:hint="eastAsia" w:asciiTheme="minorEastAsia" w:hAnsiTheme="minorEastAsia" w:eastAsiaTheme="minorEastAsia" w:cstheme="minorEastAsia"/>
          <w:b/>
          <w:bCs/>
          <w:sz w:val="32"/>
        </w:rPr>
        <w:outlineLvl w:val="0"/>
      </w:pPr>
      <w:r/>
      <w:bookmarkStart w:id="0" w:name="_Toc20483"/>
      <w:r/>
      <w:r/>
    </w:p>
    <w:p>
      <w:pPr>
        <w:pStyle w:val="1079"/>
        <w:ind w:firstLine="0"/>
        <w:rPr>
          <w:rFonts w:hint="eastAsia"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r>
      <w:r/>
    </w:p>
    <w:p>
      <w:pPr>
        <w:pStyle w:val="1079"/>
        <w:ind w:firstLine="0"/>
        <w:rPr>
          <w:rFonts w:hint="eastAsia" w:asciiTheme="minorEastAsia" w:hAnsiTheme="minorEastAsia" w:cstheme="minorEastAsia"/>
          <w:b/>
          <w:bCs/>
          <w:sz w:val="32"/>
        </w:rPr>
        <w:outlineLvl w:val="0"/>
      </w:pPr>
      <w:r>
        <w:rPr>
          <w:rFonts w:hint="eastAsia" w:asciiTheme="minorEastAsia" w:hAnsiTheme="minorEastAsia" w:eastAsiaTheme="minorEastAsia" w:cstheme="minorEastAsia"/>
          <w:b/>
          <w:bCs/>
          <w:sz w:val="32"/>
        </w:rPr>
        <w:t xml:space="preserve">项目名称：</w:t>
      </w:r>
      <w:bookmarkEnd w:id="0"/>
      <w:r>
        <w:rPr>
          <w:rFonts w:hint="eastAsia"/>
          <w:b/>
          <w:bCs/>
          <w:sz w:val="32"/>
        </w:rPr>
        <w:t xml:space="preserve">常州刘国钧高等职业技术学校一期区域光网（以太）建设</w:t>
      </w:r>
      <w:r/>
    </w:p>
    <w:p>
      <w:pPr>
        <w:rPr>
          <w:rFonts w:hint="eastAsia" w:asciiTheme="minorEastAsia" w:hAnsiTheme="minorEastAsia" w:eastAsiaTheme="minorEastAsia" w:cstheme="minorEastAsia"/>
          <w:b/>
          <w:bCs/>
          <w:sz w:val="32"/>
          <w:szCs w:val="30"/>
        </w:rPr>
      </w:pPr>
      <w:r>
        <w:rPr>
          <w:rFonts w:hint="eastAsia" w:asciiTheme="minorEastAsia" w:hAnsiTheme="minorEastAsia" w:eastAsiaTheme="minorEastAsia" w:cstheme="minorEastAsia"/>
          <w:b/>
          <w:bCs/>
          <w:sz w:val="32"/>
        </w:rPr>
        <w:t xml:space="preserve">项目编号：JSZC-320400-JZCG-G2026-0136</w:t>
      </w:r>
      <w:r>
        <w:rPr>
          <w:rFonts w:hint="eastAsia" w:asciiTheme="minorEastAsia" w:hAnsiTheme="minorEastAsia" w:eastAsiaTheme="minorEastAsia" w:cstheme="minorEastAsia"/>
          <w:b/>
          <w:bCs/>
          <w:sz w:val="32"/>
        </w:rPr>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sz w:val="30"/>
          <w:szCs w:val="30"/>
        </w:rPr>
        <w:t xml:space="preserve">（全流程电子化-货物类项目，适用苏采云系统，不专门面向中小企业）</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sz w:val="30"/>
          <w:szCs w:val="30"/>
          <w:highlight w:val="none"/>
        </w:rPr>
      </w:r>
      <w:r>
        <w:rPr>
          <w:rFonts w:hint="eastAsia" w:asciiTheme="minorEastAsia" w:hAnsiTheme="minorEastAsia" w:eastAsiaTheme="minorEastAsia" w:cstheme="minorEastAsia"/>
          <w:b/>
          <w:sz w:val="30"/>
          <w:szCs w:val="30"/>
          <w:highlight w:val="none"/>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常州市教育基本建设与装备管理中心</w:t>
      </w:r>
      <w:r/>
    </w:p>
    <w:p>
      <w:pPr>
        <w:pStyle w:val="1079"/>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2026年5月</w:t>
      </w:r>
      <w:r/>
    </w:p>
    <w:p>
      <w:pPr>
        <w:pStyle w:val="1079"/>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p>
    <w:p>
      <w:pPr>
        <w:jc w:val="center"/>
        <w:spacing w:line="480" w:lineRule="auto"/>
        <w:rPr>
          <w:rFonts w:hint="eastAsia" w:asciiTheme="minorEastAsia" w:hAnsiTheme="minorEastAsia" w:eastAsiaTheme="minorEastAsia" w:cstheme="minorEastAsia"/>
          <w:b/>
          <w:sz w:val="44"/>
        </w:rPr>
        <w:outlineLvl w:val="0"/>
      </w:pPr>
      <w:r/>
      <w:bookmarkStart w:id="1" w:name="_Toc120614210"/>
      <w:r/>
      <w:bookmarkStart w:id="2" w:name="_Toc513029200"/>
      <w:r/>
      <w:bookmarkStart w:id="3" w:name="_Toc20823272"/>
      <w:r/>
      <w:bookmarkStart w:id="4" w:name="_Toc523127445"/>
      <w:r/>
      <w:bookmarkStart w:id="5" w:name="_Toc16938516"/>
      <w:r/>
      <w:bookmarkStart w:id="6" w:name="_Toc479757206"/>
      <w:r>
        <w:rPr>
          <w:rFonts w:hint="eastAsia" w:asciiTheme="minorEastAsia" w:hAnsiTheme="minorEastAsia" w:eastAsiaTheme="minorEastAsia" w:cstheme="minorEastAsia"/>
        </w:rPr>
        <w:t xml:space="preserve"> </w:t>
      </w:r>
      <w:bookmarkStart w:id="7" w:name="_Toc6626"/>
      <w:r>
        <w:rPr>
          <w:rFonts w:hint="eastAsia" w:asciiTheme="minorEastAsia" w:hAnsiTheme="minorEastAsia" w:eastAsiaTheme="minorEastAsia" w:cstheme="minorEastAsia"/>
          <w:b/>
          <w:sz w:val="44"/>
        </w:rPr>
        <w:t xml:space="preserve">总  目  录</w:t>
      </w:r>
      <w:bookmarkEnd w:id="7"/>
      <w:r/>
      <w:r/>
    </w:p>
    <w:p>
      <w:pPr>
        <w:pStyle w:val="1108"/>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TOC \o "1-1" \h \u </w:instrText>
      </w:r>
      <w:r>
        <w:rPr>
          <w:rFonts w:hint="eastAsia" w:asciiTheme="minorEastAsia" w:hAnsiTheme="minorEastAsia" w:eastAsiaTheme="minorEastAsia" w:cstheme="minorEastAsia"/>
        </w:rPr>
        <w:fldChar w:fldCharType="separate"/>
      </w:r>
      <w:r/>
    </w:p>
    <w:p>
      <w:pPr>
        <w:pStyle w:val="1108"/>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"_Toc12340" </w:instrText>
      </w:r>
      <w:r>
        <w:fldChar w:fldCharType="separate"/>
      </w:r>
      <w:r>
        <w:rPr>
          <w:rFonts w:hint="eastAsia" w:asciiTheme="minorEastAsia" w:hAnsiTheme="minorEastAsia" w:eastAsiaTheme="minorEastAsia" w:cstheme="minorEastAsia"/>
          <w:sz w:val="36"/>
          <w:szCs w:val="36"/>
        </w:rPr>
        <w:t xml:space="preserve">第一章  投标邀请</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_Toc12340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"_Toc6429" </w:instrText>
      </w:r>
      <w:r>
        <w:fldChar w:fldCharType="separate"/>
      </w:r>
      <w:r>
        <w:rPr>
          <w:rFonts w:hint="eastAsia" w:asciiTheme="minorEastAsia" w:hAnsiTheme="minorEastAsia" w:eastAsiaTheme="minorEastAsia" w:cstheme="minorEastAsia"/>
          <w:sz w:val="36"/>
          <w:szCs w:val="36"/>
        </w:rPr>
        <w:t xml:space="preserve">第二章  投标人须知</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_Toc6429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6</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"_Toc6505" </w:instrText>
      </w:r>
      <w:r>
        <w:fldChar w:fldCharType="separate"/>
      </w:r>
      <w:r>
        <w:rPr>
          <w:rFonts w:hint="eastAsia" w:asciiTheme="minorEastAsia" w:hAnsiTheme="minorEastAsia" w:eastAsiaTheme="minorEastAsia" w:cstheme="minorEastAsia"/>
          <w:bCs/>
          <w:sz w:val="36"/>
          <w:szCs w:val="36"/>
        </w:rPr>
        <w:t xml:space="preserve">第三章  合同文本</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_Toc6505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23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"_Toc17950" </w:instrText>
      </w:r>
      <w:r>
        <w:fldChar w:fldCharType="separate"/>
      </w:r>
      <w:r>
        <w:rPr>
          <w:rFonts w:hint="eastAsia" w:asciiTheme="minorEastAsia" w:hAnsiTheme="minorEastAsia" w:eastAsiaTheme="minorEastAsia" w:cstheme="minorEastAsia"/>
          <w:bCs/>
          <w:sz w:val="36"/>
          <w:szCs w:val="36"/>
        </w:rPr>
        <w:t xml:space="preserve">第四章  采购需求</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39</w:t>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"_Toc7880" </w:instrText>
      </w:r>
      <w:r>
        <w:fldChar w:fldCharType="separate"/>
      </w:r>
      <w:r>
        <w:rPr>
          <w:rFonts w:hint="eastAsia" w:asciiTheme="minorEastAsia" w:hAnsiTheme="minorEastAsia" w:eastAsiaTheme="minorEastAsia" w:cstheme="minorEastAsia"/>
          <w:bCs/>
          <w:sz w:val="36"/>
          <w:szCs w:val="36"/>
        </w:rPr>
        <w:t xml:space="preserve">第五章  评标方法与评标标准</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49</w:t>
      </w:r>
      <w:r/>
    </w:p>
    <w:p>
      <w:pPr>
        <w:pStyle w:val="1108"/>
        <w:spacing w:line="360" w:lineRule="auto"/>
        <w:tabs>
          <w:tab w:val="right" w:pos="8306" w:leader="dot"/>
        </w:tabs>
        <w:rPr>
          <w:rFonts w:hint="eastAsia" w:asciiTheme="minorEastAsia" w:hAnsiTheme="minorEastAsia" w:eastAsiaTheme="minorEastAsia" w:cstheme="minorEastAsia"/>
        </w:rPr>
      </w:pPr>
      <w:r>
        <w:fldChar w:fldCharType="begin"/>
      </w:r>
      <w:r>
        <w:instrText xml:space="preserve"> HYPERLINK \l "_Toc3874" </w:instrText>
      </w:r>
      <w:r>
        <w:fldChar w:fldCharType="separate"/>
      </w:r>
      <w:r>
        <w:rPr>
          <w:rFonts w:hint="eastAsia" w:asciiTheme="minorEastAsia" w:hAnsiTheme="minorEastAsia" w:eastAsiaTheme="minorEastAsia" w:cstheme="minorEastAsia"/>
          <w:bCs/>
          <w:sz w:val="36"/>
          <w:szCs w:val="36"/>
        </w:rPr>
        <w:t xml:space="preserve">第六章  投标文件格式</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53</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end"/>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4"/>
        <w:rPr>
          <w:rFonts w:hint="eastAsia" w:asciiTheme="minorEastAsia" w:hAnsiTheme="minorEastAsia" w:eastAsiaTheme="minorEastAsia" w:cstheme="minorEastAsia"/>
          <w:bCs/>
          <w:sz w:val="44"/>
          <w:szCs w:val="44"/>
        </w:rPr>
      </w:pPr>
      <w:r/>
      <w:bookmarkStart w:id="8" w:name="_Toc12340"/>
      <w:r>
        <w:rPr>
          <w:rFonts w:hint="eastAsia" w:asciiTheme="minorEastAsia" w:hAnsiTheme="minorEastAsia" w:eastAsiaTheme="minorEastAsia" w:cstheme="minorEastAsia"/>
          <w:sz w:val="44"/>
          <w:szCs w:val="44"/>
        </w:rPr>
        <w:t xml:space="preserve">第一章  </w:t>
      </w:r>
      <w:bookmarkEnd w:id="1"/>
      <w:r>
        <w:rPr>
          <w:rFonts w:hint="eastAsia" w:asciiTheme="minorEastAsia" w:hAnsiTheme="minorEastAsia" w:eastAsiaTheme="minorEastAsia" w:cstheme="minorEastAsia"/>
          <w:sz w:val="44"/>
          <w:szCs w:val="44"/>
        </w:rPr>
        <w:t xml:space="preserve">投标邀请</w:t>
      </w:r>
      <w:bookmarkEnd w:id="8"/>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sz w:val="24"/>
          <w:szCs w:val="24"/>
        </w:rPr>
        <w:t xml:space="preserve">受［常州刘国钧高等职业技术学校］的委托，常州市教育基本建设与装备管理中心（采购代理机构）就［常州刘国钧高等职业技术学校一期区域光网（以太）建设］(项目编号：JSZC-320400-JZCG-G2026-0136</w:t>
      </w:r>
      <w:r>
        <w:rPr>
          <w:rFonts w:hint="eastAsia" w:ascii="宋体" w:hAnsi="宋体"/>
          <w:sz w:val="24"/>
          <w:szCs w:val="24"/>
        </w:rPr>
        <w:tab/>
      </w:r>
      <w:r>
        <w:rPr>
          <w:rFonts w:hint="eastAsia" w:ascii="宋体" w:hAnsi="宋体"/>
          <w:sz w:val="24"/>
          <w:szCs w:val="24"/>
        </w:rPr>
        <w:t xml:space="preserve">)项目进行公开招标采购，欢迎符合条件的供应商投标</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u w:val="single"/>
        </w:rPr>
        <w:t xml:space="preserve">  常州刘国钧高等职业技术学校一期区域光网（以太）建设</w:t>
      </w:r>
      <w:r>
        <w:rPr>
          <w:rFonts w:hint="eastAsia" w:ascii="宋体" w:hAnsi="宋体"/>
          <w:sz w:val="24"/>
          <w:szCs w:val="24"/>
          <w:u w:val="single"/>
        </w:rPr>
        <w:t xml:space="preserve"> </w:t>
      </w:r>
      <w:r>
        <w:rPr>
          <w:rFonts w:hint="eastAsia" w:asciiTheme="minorEastAsia" w:hAnsiTheme="minorEastAsia" w:eastAsiaTheme="minorEastAsia" w:cstheme="minorEastAsia"/>
          <w:sz w:val="24"/>
          <w:szCs w:val="24"/>
        </w:rPr>
        <w:t xml:space="preserve">公开招标项目的潜在供应商可在</w:t>
      </w:r>
      <w:r>
        <w:rPr>
          <w:rFonts w:hint="eastAsia" w:asciiTheme="minorEastAsia" w:hAnsiTheme="minorEastAsia" w:eastAsiaTheme="minorEastAsia" w:cstheme="minorEastAsia"/>
          <w:sz w:val="24"/>
          <w:szCs w:val="24"/>
          <w:u w:val="single"/>
        </w:rPr>
        <w:t xml:space="preserve">“江苏政府采购网、常州市政府采购网”自行免费下载采购</w:t>
      </w:r>
      <w:r>
        <w:rPr>
          <w:rFonts w:hint="eastAsia" w:asciiTheme="minorEastAsia" w:hAnsiTheme="minorEastAsia" w:eastAsiaTheme="minorEastAsia" w:cstheme="minorEastAsia"/>
          <w:sz w:val="24"/>
          <w:szCs w:val="24"/>
        </w:rPr>
        <w:t xml:space="preserve">文件，并于</w:t>
      </w:r>
      <w:r>
        <w:rPr>
          <w:rFonts w:hint="eastAsia" w:asciiTheme="minorEastAsia" w:hAnsiTheme="minorEastAsia" w:eastAsiaTheme="minorEastAsia" w:cstheme="minorEastAsia"/>
          <w:sz w:val="24"/>
          <w:szCs w:val="24"/>
          <w:u w:val="single"/>
        </w:rPr>
        <w:t xml:space="preserve">  2026  </w:t>
      </w:r>
      <w:r>
        <w:rPr>
          <w:rFonts w:hint="eastAsia" w:asciiTheme="minorEastAsia" w:hAnsiTheme="minorEastAsia" w:eastAsiaTheme="minorEastAsia" w:cstheme="minorEastAsia"/>
          <w:bCs/>
          <w:sz w:val="24"/>
          <w:szCs w:val="24"/>
          <w:u w:val="single"/>
        </w:rPr>
        <w:t xml:space="preserve">年 </w:t>
      </w:r>
      <w:r>
        <w:rPr>
          <w:rFonts w:hint="eastAsia" w:asciiTheme="minorEastAsia" w:hAnsiTheme="minorEastAsia" w:eastAsiaTheme="minorEastAsia" w:cstheme="minorEastAsia"/>
          <w:bCs/>
          <w:sz w:val="24"/>
          <w:szCs w:val="24"/>
          <w:u w:val="single"/>
          <w:lang w:val="en-US" w:eastAsia="zh-CN"/>
        </w:rPr>
        <w:t xml:space="preserve">6</w:t>
      </w:r>
      <w:r>
        <w:rPr>
          <w:rFonts w:hint="eastAsia" w:asciiTheme="minorEastAsia" w:hAnsiTheme="minorEastAsia" w:eastAsiaTheme="minorEastAsia" w:cstheme="minorEastAsia"/>
          <w:bCs/>
          <w:sz w:val="24"/>
          <w:szCs w:val="24"/>
          <w:u w:val="single"/>
        </w:rPr>
        <w:t xml:space="preserve">月22</w:t>
      </w:r>
      <w:r>
        <w:rPr>
          <w:rFonts w:hint="eastAsia" w:asciiTheme="minorEastAsia" w:hAnsiTheme="minorEastAsia" w:eastAsiaTheme="minorEastAsia" w:cstheme="minorEastAsia"/>
          <w:bCs/>
          <w:sz w:val="24"/>
          <w:szCs w:val="24"/>
          <w:u w:val="single"/>
        </w:rPr>
        <w:t xml:space="preserve">日 14  点 00 分（</w:t>
      </w:r>
      <w:r>
        <w:rPr>
          <w:rFonts w:hint="eastAsia" w:asciiTheme="minorEastAsia" w:hAnsiTheme="minorEastAsia" w:eastAsiaTheme="minorEastAsia" w:cstheme="minorEastAsia"/>
          <w:bCs/>
          <w:sz w:val="24"/>
          <w:szCs w:val="24"/>
        </w:rPr>
        <w:t xml:space="preserve">北京时间）前递交投标文件</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0"/>
        <w:ind w:firstLine="498"/>
        <w:spacing w:before="156" w:after="156" w:line="360" w:lineRule="auto"/>
        <w:rPr>
          <w:rFonts w:hint="eastAsia" w:asciiTheme="minorEastAsia" w:hAnsiTheme="minorEastAsia" w:eastAsiaTheme="minorEastAsia" w:cstheme="minorEastAsia"/>
        </w:rPr>
      </w:pPr>
      <w:r/>
      <w:bookmarkStart w:id="9" w:name="_Toc28359079"/>
      <w:r/>
      <w:bookmarkStart w:id="10" w:name="_Toc38985263"/>
      <w:r/>
      <w:bookmarkStart w:id="11" w:name="_Toc28359002"/>
      <w:r/>
      <w:bookmarkStart w:id="12" w:name="_Toc35393790"/>
      <w:r/>
      <w:bookmarkStart w:id="13" w:name="_Toc35393621"/>
      <w:r/>
      <w:bookmarkStart w:id="14" w:name="_Hlk24379207"/>
      <w:r>
        <w:rPr>
          <w:rFonts w:hint="eastAsia" w:asciiTheme="minorEastAsia" w:hAnsiTheme="minorEastAsia" w:eastAsiaTheme="minorEastAsia" w:cstheme="minorEastAsia"/>
        </w:rPr>
        <w:t xml:space="preserve">一、项目基本情况</w:t>
      </w:r>
      <w:bookmarkEnd w:id="9"/>
      <w:r/>
      <w:bookmarkEnd w:id="10"/>
      <w:r/>
      <w:bookmarkEnd w:id="11"/>
      <w:r/>
      <w:bookmarkEnd w:id="12"/>
      <w:r/>
      <w:bookmarkEnd w:id="13"/>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1.项目编号：JSZC-320400-JZCG-G2026-0136</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2.项目名称：</w:t>
      </w:r>
      <w:bookmarkEnd w:id="14"/>
      <w:r>
        <w:rPr>
          <w:rFonts w:hint="eastAsia" w:ascii="宋体" w:hAnsi="宋体"/>
          <w:sz w:val="24"/>
          <w:szCs w:val="24"/>
        </w:rPr>
        <w:t xml:space="preserve">常州刘国钧高等职业技术学校一期区域光网（以太）建设</w:t>
      </w:r>
      <w:r/>
    </w:p>
    <w:p>
      <w:pPr>
        <w:ind w:firstLine="480"/>
        <w:spacing w:line="360" w:lineRule="auto"/>
        <w:rPr>
          <w:rFonts w:hint="eastAsia" w:ascii="宋体" w:hAnsi="宋体"/>
          <w:sz w:val="24"/>
          <w:szCs w:val="24"/>
        </w:rPr>
      </w:pPr>
      <w:r/>
      <w:bookmarkStart w:id="15" w:name="_Toc28359003"/>
      <w:r/>
      <w:bookmarkStart w:id="16" w:name="_Toc35393622"/>
      <w:r/>
      <w:bookmarkStart w:id="17" w:name="_Toc35393791"/>
      <w:r/>
      <w:bookmarkStart w:id="18" w:name="_Toc38985264"/>
      <w:r/>
      <w:bookmarkStart w:id="19" w:name="_Toc28359080"/>
      <w:r>
        <w:rPr>
          <w:rFonts w:hint="eastAsia" w:ascii="宋体" w:hAnsi="宋体"/>
          <w:sz w:val="24"/>
          <w:szCs w:val="24"/>
        </w:rPr>
        <w:t xml:space="preserve">3.预算金额：</w:t>
      </w:r>
      <w:r>
        <w:rPr>
          <w:rFonts w:hint="eastAsia" w:ascii="宋体" w:hAnsi="宋体"/>
          <w:sz w:val="24"/>
          <w:szCs w:val="24"/>
          <w:lang w:val="en-US" w:eastAsia="zh-CN"/>
        </w:rPr>
        <w:t xml:space="preserve">351.05</w:t>
      </w:r>
      <w:r>
        <w:rPr>
          <w:rFonts w:hint="eastAsia" w:ascii="宋体" w:hAnsi="宋体"/>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351.05</w:t>
      </w:r>
      <w:r>
        <w:rPr>
          <w:rFonts w:hint="eastAsia" w:ascii="宋体" w:hAnsi="宋体"/>
          <w:sz w:val="24"/>
          <w:szCs w:val="24"/>
          <w:u w:val="single"/>
        </w:rPr>
        <w:t xml:space="preserve"> </w:t>
      </w:r>
      <w:r>
        <w:rPr>
          <w:rFonts w:hint="eastAsia" w:ascii="宋体" w:hAnsi="宋体"/>
          <w:sz w:val="24"/>
          <w:szCs w:val="24"/>
        </w:rPr>
        <w:t xml:space="preserve">万元。</w:t>
      </w:r>
      <w:r/>
    </w:p>
    <w:tbl>
      <w:tblPr>
        <w:tblStyle w:val="802"/>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3052"/>
        <w:gridCol w:w="1712"/>
        <w:gridCol w:w="1757"/>
        <w:gridCol w:w="1565"/>
      </w:tblGrid>
      <w:tr>
        <w:trPr>
          <w:trHeight w:val="600"/>
        </w:trPr>
        <w:tc>
          <w:tcPr>
            <w:tcW w:w="250"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包号</w:t>
            </w:r>
            <w:r/>
          </w:p>
        </w:tc>
        <w:tc>
          <w:tcPr>
            <w:tcW w:w="1792" w:type="pct"/>
            <w:vAlign w:val="center"/>
            <w:textDirection w:val="lrTb"/>
            <w:noWrap w:val="false"/>
          </w:tcPr>
          <w:p>
            <w:pPr>
              <w:jc w:val="center"/>
              <w:spacing w:line="360" w:lineRule="auto"/>
              <w:widowControl/>
              <w:rPr>
                <w:rFonts w:hint="eastAsia" w:ascii="宋体" w:hAnsi="宋体" w:cs="宋体"/>
                <w:lang w:bidi="ar"/>
              </w:rPr>
            </w:pPr>
            <w:r>
              <w:rPr>
                <w:bCs/>
              </w:rPr>
              <w:t xml:space="preserve">标的名称</w:t>
            </w:r>
            <w:r/>
          </w:p>
        </w:tc>
        <w:tc>
          <w:tcPr>
            <w:tcW w:w="1005" w:type="pct"/>
            <w:vAlign w:val="center"/>
            <w:textDirection w:val="lrTb"/>
            <w:noWrap/>
          </w:tcPr>
          <w:p>
            <w:pPr>
              <w:jc w:val="center"/>
              <w:spacing w:line="360" w:lineRule="auto"/>
              <w:rPr>
                <w:bCs/>
              </w:rPr>
            </w:pPr>
            <w:r>
              <w:rPr>
                <w:bCs/>
              </w:rPr>
              <w:t xml:space="preserve">采购包预算金额</w:t>
            </w:r>
            <w:r/>
          </w:p>
          <w:p>
            <w:pPr>
              <w:jc w:val="center"/>
              <w:spacing w:line="360" w:lineRule="auto"/>
              <w:widowControl/>
              <w:rPr>
                <w:rFonts w:hint="eastAsia" w:ascii="宋体" w:hAnsi="宋体" w:cs="宋体"/>
                <w:lang w:bidi="ar"/>
              </w:rPr>
            </w:pPr>
            <w:r>
              <w:rPr>
                <w:bCs/>
              </w:rPr>
              <w:t xml:space="preserve">（万元）</w:t>
            </w:r>
            <w:r/>
          </w:p>
        </w:tc>
        <w:tc>
          <w:tcPr>
            <w:tcW w:w="1032" w:type="pct"/>
            <w:vAlign w:val="center"/>
            <w:textDirection w:val="lrTb"/>
            <w:noWrap/>
          </w:tcPr>
          <w:p>
            <w:pPr>
              <w:jc w:val="center"/>
              <w:spacing w:line="360" w:lineRule="auto"/>
              <w:widowControl/>
              <w:rPr>
                <w:rFonts w:hint="eastAsia" w:ascii="宋体" w:hAnsi="宋体" w:cs="宋体"/>
                <w:lang w:bidi="ar"/>
              </w:rPr>
            </w:pPr>
            <w:r>
              <w:rPr>
                <w:bCs/>
              </w:rPr>
              <w:t xml:space="preserve">采购包</w:t>
            </w:r>
            <w:r>
              <w:rPr>
                <w:rFonts w:hint="eastAsia" w:ascii="宋体" w:hAnsi="宋体" w:cs="宋体"/>
                <w:lang w:bidi="ar"/>
              </w:rPr>
              <w:t xml:space="preserve">最高限额</w:t>
            </w:r>
            <w:r/>
          </w:p>
          <w:p>
            <w:pPr>
              <w:jc w:val="center"/>
              <w:spacing w:line="360" w:lineRule="auto"/>
              <w:widowControl/>
              <w:rPr>
                <w:rFonts w:hint="eastAsia" w:ascii="宋体" w:hAnsi="宋体" w:cs="宋体"/>
                <w:lang w:bidi="ar"/>
              </w:rPr>
            </w:pPr>
            <w:r>
              <w:rPr>
                <w:rFonts w:hint="eastAsia" w:ascii="宋体" w:hAnsi="宋体" w:cs="宋体"/>
                <w:lang w:bidi="ar"/>
              </w:rPr>
              <w:t xml:space="preserve">（万元）</w:t>
            </w:r>
            <w:r/>
          </w:p>
        </w:tc>
        <w:tc>
          <w:tcPr>
            <w:tcW w:w="919" w:type="pct"/>
            <w:vAlign w:val="center"/>
            <w:textDirection w:val="lrTb"/>
            <w:noWrap/>
          </w:tcPr>
          <w:p>
            <w:pPr>
              <w:jc w:val="center"/>
              <w:spacing w:line="360" w:lineRule="auto"/>
              <w:widowControl/>
              <w:rPr>
                <w:rFonts w:hint="eastAsia" w:ascii="宋体" w:hAnsi="宋体" w:cs="宋体"/>
                <w:lang w:bidi="ar"/>
              </w:rPr>
            </w:pPr>
            <w:r>
              <w:rPr>
                <w:rFonts w:hint="eastAsia" w:ascii="宋体" w:hAnsi="宋体" w:cs="宋体"/>
                <w:lang w:bidi="ar"/>
              </w:rPr>
              <w:t xml:space="preserve">简要技术需求或服务要求</w:t>
            </w:r>
            <w:r/>
          </w:p>
        </w:tc>
      </w:tr>
      <w:tr>
        <w:trPr>
          <w:trHeight w:val="600"/>
        </w:trPr>
        <w:tc>
          <w:tcPr>
            <w:tcW w:w="250"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1</w:t>
            </w:r>
            <w:r/>
          </w:p>
        </w:tc>
        <w:tc>
          <w:tcPr>
            <w:tcW w:w="1792" w:type="pct"/>
            <w:vAlign w:val="center"/>
            <w:textDirection w:val="lrTb"/>
            <w:noWrap w:val="false"/>
          </w:tcPr>
          <w:p>
            <w:pPr>
              <w:jc w:val="center"/>
              <w:spacing w:line="360" w:lineRule="auto"/>
              <w:rPr>
                <w:rFonts w:hint="eastAsia" w:asciiTheme="minorEastAsia" w:hAnsiTheme="minorEastAsia" w:eastAsiaTheme="minorEastAsia" w:cstheme="minorEastAsia"/>
                <w:color w:val="0000ff"/>
              </w:rPr>
            </w:pPr>
            <w:r>
              <w:rPr>
                <w:rFonts w:hint="eastAsia" w:asciiTheme="minorEastAsia" w:hAnsiTheme="minorEastAsia" w:eastAsiaTheme="minorEastAsia" w:cstheme="minorEastAsia"/>
              </w:rPr>
              <w:t xml:space="preserve">常州刘国钧高等职业技术学校一期区域光网（以太）建设</w:t>
            </w:r>
            <w:r/>
          </w:p>
        </w:tc>
        <w:tc>
          <w:tcPr>
            <w:tcW w:w="1005"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351.05</w:t>
            </w:r>
            <w:r/>
          </w:p>
        </w:tc>
        <w:tc>
          <w:tcPr>
            <w:tcW w:w="1032"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351.05</w:t>
            </w:r>
            <w:r/>
          </w:p>
        </w:tc>
        <w:tc>
          <w:tcPr>
            <w:tcW w:w="919" w:type="pct"/>
            <w:vAlign w:val="center"/>
            <w:textDirection w:val="lrTb"/>
            <w:noWrap/>
          </w:tcPr>
          <w:p>
            <w:pPr>
              <w:jc w:val="center"/>
              <w:spacing w:line="360" w:lineRule="auto"/>
              <w:widowControl/>
              <w:rPr>
                <w:rFonts w:hint="eastAsia" w:ascii="宋体" w:hAnsi="宋体" w:cs="宋体"/>
                <w:lang w:bidi="ar"/>
              </w:rPr>
            </w:pPr>
            <w:r>
              <w:rPr>
                <w:rFonts w:hint="eastAsia"/>
              </w:rPr>
              <w:t xml:space="preserve">详见“第四章 采购需求”</w:t>
            </w:r>
            <w:r/>
          </w:p>
        </w:tc>
      </w:tr>
    </w:tbl>
    <w:p>
      <w:pPr>
        <w:pStyle w:val="806"/>
        <w:rPr>
          <w:rFonts w:hint="eastAsia"/>
        </w:rPr>
      </w:pPr>
      <w:r>
        <w:t xml:space="preserve">注：</w:t>
      </w:r>
      <w:r/>
    </w:p>
    <w:p>
      <w:pPr>
        <w:pStyle w:val="806"/>
        <w:numPr>
          <w:ilvl w:val="0"/>
          <w:numId w:val="4"/>
        </w:numPr>
        <w:rPr>
          <w:rFonts w:hint="eastAsia"/>
          <w:b/>
          <w:bCs/>
        </w:rPr>
      </w:pPr>
      <w:r>
        <w:rPr>
          <w:b/>
          <w:bCs/>
        </w:rPr>
        <w:t xml:space="preserve">采购包报价不得超过预算金额</w:t>
      </w:r>
      <w:r>
        <w:rPr>
          <w:rFonts w:hint="eastAsia"/>
          <w:b/>
          <w:bCs/>
        </w:rPr>
        <w:t xml:space="preserve">和最高限额</w:t>
      </w:r>
      <w:r>
        <w:rPr>
          <w:b/>
          <w:bCs/>
        </w:rPr>
        <w:t xml:space="preserve">，否则作无效</w:t>
      </w:r>
      <w:r>
        <w:rPr>
          <w:rFonts w:hint="eastAsia"/>
          <w:b/>
          <w:bCs/>
        </w:rPr>
        <w:t xml:space="preserve">投标</w:t>
      </w:r>
      <w:r>
        <w:rPr>
          <w:b/>
          <w:bCs/>
        </w:rPr>
        <w:t xml:space="preserve">处理。</w:t>
      </w:r>
      <w:r/>
    </w:p>
    <w:p>
      <w:pPr>
        <w:pStyle w:val="806"/>
        <w:numPr>
          <w:ilvl w:val="0"/>
          <w:numId w:val="4"/>
        </w:numPr>
        <w:rPr>
          <w:rFonts w:hint="eastAsia"/>
          <w:b/>
          <w:bCs/>
        </w:rPr>
      </w:pPr>
      <w:r>
        <w:rPr>
          <w:rFonts w:hint="eastAsia"/>
          <w:b/>
          <w:bCs/>
        </w:rPr>
        <w:t xml:space="preserve">凡是框架协议采购的设备不在本次报价范围内。</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u w:val="single"/>
        </w:rPr>
      </w:pPr>
      <w:r>
        <w:rPr>
          <w:rFonts w:hint="eastAsia" w:ascii="宋体" w:hAnsi="宋体"/>
          <w:sz w:val="24"/>
          <w:szCs w:val="24"/>
        </w:rPr>
        <w:t xml:space="preserve">5.采购需求（简介）： 常州刘国钧高等职业技术学校一期区域光网（以太）建设，包括综合布线、设备安装调试、网络结构调整、管理优化提升及项目集成。（详细内容见本招标文件第四章） </w:t>
      </w:r>
      <w:r>
        <w:rPr>
          <w:rFonts w:hint="eastAsia" w:ascii="宋体" w:hAnsi="宋体" w:cs="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b/>
          <w:bCs/>
          <w:sz w:val="24"/>
          <w:szCs w:val="24"/>
        </w:rPr>
        <w:t xml:space="preserve">自合同签订生效之日</w:t>
      </w:r>
      <w:r>
        <w:rPr>
          <w:rFonts w:hint="eastAsia" w:ascii="宋体" w:hAnsi="宋体"/>
          <w:sz w:val="24"/>
          <w:szCs w:val="24"/>
        </w:rPr>
        <w:t xml:space="preserve">起、项目验收合格之日止。</w:t>
      </w:r>
      <w:r/>
    </w:p>
    <w:p>
      <w:pPr>
        <w:ind w:firstLine="480"/>
        <w:spacing w:line="360" w:lineRule="auto"/>
        <w:rPr>
          <w:rFonts w:hint="default" w:eastAsia="宋体"/>
          <w:lang w:val="en-US" w:eastAsia="zh-CN"/>
        </w:rPr>
      </w:pPr>
      <w:r>
        <w:rPr>
          <w:rFonts w:hint="eastAsia" w:ascii="宋体" w:hAnsi="宋体" w:eastAsia="宋体"/>
          <w:b/>
          <w:bCs/>
          <w:sz w:val="24"/>
          <w:szCs w:val="24"/>
          <w:lang w:val="en-US" w:eastAsia="zh-CN"/>
        </w:rPr>
        <w:t xml:space="preserve">7.关于符合本国产品标准的声明函不作为废标项。</w:t>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二、申请人的资格要求：</w:t>
      </w:r>
      <w:bookmarkEnd w:id="15"/>
      <w:r/>
      <w:bookmarkEnd w:id="16"/>
      <w:r/>
      <w:bookmarkEnd w:id="17"/>
      <w:r/>
      <w:bookmarkEnd w:id="18"/>
      <w:r/>
      <w:bookmarkEnd w:id="19"/>
      <w:r/>
      <w:r/>
    </w:p>
    <w:p>
      <w:pPr>
        <w:ind w:firstLine="480"/>
        <w:spacing w:line="360" w:lineRule="auto"/>
        <w:rPr>
          <w:rFonts w:hint="eastAsia" w:asciiTheme="minorEastAsia" w:hAnsiTheme="minorEastAsia" w:eastAsiaTheme="minorEastAsia" w:cstheme="minorEastAsia"/>
          <w:sz w:val="24"/>
          <w:szCs w:val="24"/>
        </w:rPr>
      </w:pPr>
      <w:r/>
      <w:bookmarkStart w:id="20" w:name="_Toc28359081"/>
      <w:r/>
      <w:bookmarkStart w:id="21" w:name="_Toc38985265"/>
      <w:r/>
      <w:bookmarkStart w:id="22" w:name="_Toc35393623"/>
      <w:r/>
      <w:bookmarkStart w:id="23" w:name="_Toc28359004"/>
      <w:r/>
      <w:bookmarkStart w:id="24" w:name="_Toc35393792"/>
      <w:r>
        <w:rPr>
          <w:rFonts w:hint="eastAsia" w:asciiTheme="minorEastAsia" w:hAnsiTheme="minorEastAsia" w:eastAsiaTheme="minorEastAsia" w:cstheme="minorEastAsia"/>
          <w:sz w:val="24"/>
          <w:szCs w:val="24"/>
        </w:rPr>
        <w:t xml:space="preserve">（一）通用资格要求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1.满足《中华人民共和国政府采购法》第二十二条规定，并提供投标人资格声明函。</w:t>
      </w:r>
      <w:r/>
    </w:p>
    <w:p>
      <w:pPr>
        <w:ind w:firstLine="480"/>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4.本项目不接受联合体投标。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三、获取招标文件</w:t>
      </w:r>
      <w:bookmarkEnd w:id="20"/>
      <w:r/>
      <w:bookmarkEnd w:id="21"/>
      <w:r/>
      <w:bookmarkEnd w:id="22"/>
      <w:r/>
      <w:bookmarkEnd w:id="23"/>
      <w:r/>
      <w:bookmarkEnd w:id="24"/>
      <w:r/>
      <w:r/>
    </w:p>
    <w:p>
      <w:pPr>
        <w:ind w:firstLine="540"/>
        <w:spacing w:line="360" w:lineRule="auto"/>
        <w:rPr>
          <w:rFonts w:hint="eastAsia" w:asciiTheme="minorEastAsia" w:hAnsiTheme="minorEastAsia" w:eastAsiaTheme="minorEastAsia" w:cstheme="minorEastAsia"/>
          <w:sz w:val="24"/>
          <w:szCs w:val="24"/>
        </w:rPr>
      </w:pPr>
      <w:r/>
      <w:bookmarkStart w:id="25" w:name="_Toc38985266"/>
      <w:r/>
      <w:bookmarkStart w:id="26" w:name="_Toc28359082"/>
      <w:r/>
      <w:bookmarkStart w:id="27" w:name="_Toc35393793"/>
      <w:r/>
      <w:bookmarkStart w:id="28" w:name="_Toc35393624"/>
      <w:r/>
      <w:bookmarkStart w:id="29" w:name="_Toc28359005"/>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2.方式：在“江苏政府采购网”、“常州市政府采购网”自行免费下载招标文件。</w:t>
      </w:r>
      <w:bookmarkEnd w:id="25"/>
      <w:r/>
      <w:bookmarkEnd w:id="26"/>
      <w:r/>
      <w:bookmarkEnd w:id="27"/>
      <w:r/>
      <w:bookmarkEnd w:id="28"/>
      <w:r/>
      <w:bookmarkEnd w:id="29"/>
      <w:r/>
      <w:r/>
    </w:p>
    <w:p>
      <w:pPr>
        <w:pStyle w:val="1000"/>
        <w:ind w:firstLine="498"/>
        <w:spacing w:before="156" w:after="156" w:line="360" w:lineRule="auto"/>
        <w:rPr>
          <w:rFonts w:hint="eastAsia" w:asciiTheme="minorEastAsia" w:hAnsiTheme="minorEastAsia" w:eastAsiaTheme="minorEastAsia" w:cstheme="minorEastAsia"/>
        </w:rPr>
      </w:pPr>
      <w:r/>
      <w:bookmarkStart w:id="30" w:name="_Toc35393625"/>
      <w:r/>
      <w:bookmarkStart w:id="31" w:name="_Toc38985267"/>
      <w:r/>
      <w:bookmarkStart w:id="32" w:name="_Toc28359084"/>
      <w:r/>
      <w:bookmarkStart w:id="33" w:name="_Toc28359007"/>
      <w:r/>
      <w:bookmarkStart w:id="34" w:name="_Toc35393794"/>
      <w:r>
        <w:rPr>
          <w:rFonts w:hint="eastAsia" w:asciiTheme="minorEastAsia" w:hAnsiTheme="minorEastAsia" w:eastAsiaTheme="minorEastAsia" w:cstheme="minorEastAsia"/>
        </w:rPr>
        <w:t xml:space="preserve">四、投标文件提交</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2.地点：苏采云政府采购一体化平台</w:t>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五、公告期限</w:t>
      </w:r>
      <w:bookmarkEnd w:id="30"/>
      <w:r/>
      <w:bookmarkEnd w:id="31"/>
      <w:r/>
      <w:bookmarkEnd w:id="32"/>
      <w:r/>
      <w:bookmarkEnd w:id="33"/>
      <w:r/>
      <w:bookmarkEnd w:id="34"/>
      <w:r/>
      <w:r/>
    </w:p>
    <w:p>
      <w:pPr>
        <w:ind w:firstLine="480"/>
        <w:rPr>
          <w:rFonts w:hint="eastAsia" w:asciiTheme="minorEastAsia" w:hAnsiTheme="minorEastAsia" w:eastAsiaTheme="minorEastAsia" w:cstheme="minorEastAsia"/>
          <w:sz w:val="24"/>
          <w:szCs w:val="24"/>
        </w:rPr>
      </w:pPr>
      <w:r/>
      <w:bookmarkStart w:id="35" w:name="_Toc35393795"/>
      <w:r/>
      <w:bookmarkStart w:id="36" w:name="_Toc38985268"/>
      <w:r/>
      <w:bookmarkStart w:id="37" w:name="_Toc35393626"/>
      <w:r>
        <w:rPr>
          <w:rFonts w:hint="eastAsia" w:asciiTheme="minorEastAsia" w:hAnsiTheme="minorEastAsia" w:eastAsiaTheme="minorEastAsia" w:cstheme="minorEastAsia"/>
          <w:sz w:val="24"/>
          <w:szCs w:val="24"/>
        </w:rPr>
        <w:t xml:space="preserve">招标公告及招标文件公告期限为自本公告发布之日起5个工作日。</w:t>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六、其他补充事宜</w:t>
      </w:r>
      <w:bookmarkEnd w:id="35"/>
      <w:r/>
      <w:bookmarkEnd w:id="36"/>
      <w:r/>
      <w:bookmarkEnd w:id="37"/>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1000"/>
        <w:ind w:firstLine="498"/>
        <w:spacing w:before="156" w:after="156" w:line="360" w:lineRule="auto"/>
      </w:pPr>
      <w:r/>
      <w:bookmarkStart w:id="38" w:name="_Toc35393627"/>
      <w:r/>
      <w:bookmarkStart w:id="39" w:name="_Toc28359085"/>
      <w:r/>
      <w:bookmarkStart w:id="40" w:name="_Toc28359008"/>
      <w:r/>
      <w:bookmarkStart w:id="41" w:name="_Toc38985269"/>
      <w:r/>
      <w:bookmarkStart w:id="42" w:name="_Toc35393796"/>
      <w:r/>
      <w:bookmarkStart w:id="43" w:name="_Toc28359087"/>
      <w:r/>
      <w:bookmarkStart w:id="44" w:name="_Toc28359010"/>
      <w:r>
        <w:rPr>
          <w:rFonts w:hint="eastAsia"/>
        </w:rPr>
        <w:t xml:space="preserve">七、本次招标联系方式</w:t>
      </w:r>
      <w:bookmarkEnd w:id="38"/>
      <w:r/>
      <w:bookmarkEnd w:id="39"/>
      <w:r/>
      <w:bookmarkEnd w:id="40"/>
      <w:r/>
      <w:bookmarkEnd w:id="41"/>
      <w:r/>
      <w:bookmarkEnd w:id="42"/>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名  称：常州刘国钧高等职业技术学校</w:t>
      </w:r>
      <w:r>
        <w:rPr>
          <w:rFonts w:hint="eastAsia" w:ascii="宋体" w:hAnsi="宋体" w:cs="宋体"/>
          <w:sz w:val="24"/>
          <w:szCs w:val="24"/>
        </w:rPr>
        <w:tab/>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址：常州市常州经济开发区富民路296号</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联系人： 张先生</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联系方式：0519-68785271</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址：常州市钟楼区新市路9号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采购文件相关联系人：彭先生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话：0519-81098176</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开标评审相关联系人：周先生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话：0519-86607039</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电子化招投标技术支持电话：0519-85588210</w:t>
      </w:r>
      <w:r/>
    </w:p>
    <w:p>
      <w:pPr>
        <w:ind w:firstLine="7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bookmarkEnd w:id="43"/>
      <w:r/>
      <w:bookmarkEnd w:id="44"/>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八、其他</w:t>
      </w:r>
      <w:r/>
    </w:p>
    <w:p>
      <w:pPr>
        <w:ind w:firstLine="480"/>
        <w:jc w:val="left"/>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szCs w:val="24"/>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bCs/>
          <w:sz w:val="24"/>
          <w:szCs w:val="24"/>
        </w:rPr>
        <w:t xml:space="preserve">发布的更正公告。</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
      <w:r/>
      <w:bookmarkEnd w:id="3"/>
      <w:r/>
      <w:bookmarkEnd w:id="4"/>
      <w:r/>
      <w:bookmarkEnd w:id="5"/>
      <w:r/>
      <w:bookmarkEnd w:id="6"/>
      <w:r/>
      <w:r/>
    </w:p>
    <w:p>
      <w:pPr>
        <w:pStyle w:val="996"/>
        <w:ind w:firstLine="2429"/>
        <w:jc w:val="both"/>
        <w:rPr>
          <w:rFonts w:hint="eastAsia" w:asciiTheme="minorEastAsia" w:hAnsiTheme="minorEastAsia" w:eastAsiaTheme="minorEastAsia" w:cstheme="minorEastAsia"/>
          <w:b w:val="0"/>
          <w:bCs w:val="0"/>
        </w:rPr>
        <w:outlineLvl w:val="0"/>
      </w:pPr>
      <w:r/>
      <w:bookmarkStart w:id="45" w:name="_Toc120614211"/>
      <w:r/>
      <w:bookmarkStart w:id="46" w:name="_Toc6429"/>
      <w:r/>
      <w:bookmarkStart w:id="47" w:name="_Toc120614221"/>
      <w:r/>
      <w:bookmarkStart w:id="48" w:name="_Toc20823314"/>
      <w:r/>
      <w:bookmarkStart w:id="49" w:name="_Toc16938558"/>
      <w:r/>
      <w:bookmarkStart w:id="50" w:name="_Toc513029242"/>
      <w:r/>
      <w:bookmarkStart w:id="51" w:name="_Toc479757207"/>
      <w:r>
        <w:rPr>
          <w:rFonts w:hint="eastAsia" w:asciiTheme="minorEastAsia" w:hAnsiTheme="minorEastAsia" w:eastAsiaTheme="minorEastAsia" w:cstheme="minorEastAsia"/>
        </w:rPr>
        <w:t xml:space="preserve">第二章  </w:t>
      </w:r>
      <w:bookmarkEnd w:id="45"/>
      <w:r/>
      <w:bookmarkStart w:id="52" w:name="_Toc513029202"/>
      <w:r/>
      <w:bookmarkStart w:id="53" w:name="_Toc120614213"/>
      <w:r/>
      <w:bookmarkStart w:id="54" w:name="_Toc16938518"/>
      <w:r/>
      <w:bookmarkStart w:id="55" w:name="_Toc20823274"/>
      <w:r>
        <w:rPr>
          <w:rFonts w:hint="eastAsia" w:asciiTheme="minorEastAsia" w:hAnsiTheme="minorEastAsia" w:eastAsiaTheme="minorEastAsia" w:cstheme="minorEastAsia"/>
        </w:rPr>
        <w:t xml:space="preserve">投标人须知</w:t>
      </w:r>
      <w:bookmarkEnd w:id="46"/>
      <w:r/>
      <w:bookmarkEnd w:id="52"/>
      <w:r/>
      <w:bookmarkEnd w:id="53"/>
      <w:r/>
      <w:bookmarkEnd w:id="54"/>
      <w:r/>
      <w:bookmarkEnd w:id="55"/>
      <w:r/>
      <w:r/>
    </w:p>
    <w:p>
      <w:pPr>
        <w:pStyle w:val="1000"/>
        <w:ind w:firstLine="498"/>
        <w:spacing w:before="156" w:after="156" w:line="360" w:lineRule="auto"/>
        <w:rPr>
          <w:rFonts w:hint="eastAsia" w:asciiTheme="minorEastAsia" w:hAnsiTheme="minorEastAsia" w:eastAsiaTheme="minorEastAsia" w:cstheme="minorEastAsia"/>
        </w:rPr>
      </w:pPr>
      <w:r/>
      <w:bookmarkStart w:id="56" w:name="_Toc16938519"/>
      <w:r/>
      <w:bookmarkStart w:id="57" w:name="_Toc20823275"/>
      <w:r/>
      <w:bookmarkStart w:id="58" w:name="_Toc120614214"/>
      <w:r/>
      <w:bookmarkStart w:id="59" w:name="_Toc513029203"/>
      <w:r>
        <w:rPr>
          <w:rFonts w:hint="eastAsia" w:asciiTheme="minorEastAsia" w:hAnsiTheme="minorEastAsia" w:eastAsiaTheme="minorEastAsia" w:cstheme="minorEastAsia"/>
        </w:rPr>
        <w:t xml:space="preserve">一、总则</w:t>
      </w:r>
      <w:bookmarkEnd w:id="56"/>
      <w:r/>
      <w:bookmarkEnd w:id="57"/>
      <w:r/>
      <w:bookmarkEnd w:id="58"/>
      <w:r/>
      <w:bookmarkEnd w:id="59"/>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60" w:name="_Hlt16619475"/>
      <w:r/>
      <w:bookmarkEnd w:id="60"/>
      <w:r/>
      <w:bookmarkStart w:id="61" w:name="_Toc458694821"/>
      <w:r/>
      <w:bookmarkStart w:id="62" w:name="_Toc20823276"/>
      <w:r/>
      <w:bookmarkStart w:id="63" w:name="_Toc513029204"/>
      <w:r/>
      <w:bookmarkStart w:id="64" w:name="_Toc16938520"/>
      <w:r>
        <w:rPr>
          <w:rFonts w:hint="eastAsia" w:asciiTheme="minorEastAsia" w:hAnsiTheme="minorEastAsia" w:eastAsiaTheme="minorEastAsia" w:cstheme="minorEastAsia"/>
          <w:b w:val="0"/>
          <w:bCs w:val="0"/>
        </w:rPr>
        <w:t xml:space="preserve">1</w:t>
      </w:r>
      <w:bookmarkEnd w:id="61"/>
      <w:r>
        <w:rPr>
          <w:rFonts w:hint="eastAsia" w:asciiTheme="minorEastAsia" w:hAnsiTheme="minorEastAsia" w:eastAsiaTheme="minorEastAsia" w:cstheme="minorEastAsia"/>
          <w:b w:val="0"/>
          <w:bCs w:val="0"/>
        </w:rPr>
        <w:t xml:space="preserve">、招标方式</w:t>
      </w:r>
      <w:bookmarkEnd w:id="62"/>
      <w:r/>
      <w:bookmarkEnd w:id="63"/>
      <w:r/>
      <w:bookmarkEnd w:id="6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65" w:name="_Toc16938521"/>
      <w:r/>
      <w:bookmarkStart w:id="66" w:name="_Toc513029205"/>
      <w:r/>
      <w:bookmarkStart w:id="67" w:name="_Toc20823277"/>
      <w:r>
        <w:rPr>
          <w:rFonts w:hint="eastAsia" w:asciiTheme="minorEastAsia" w:hAnsiTheme="minorEastAsia" w:eastAsiaTheme="minorEastAsia" w:cstheme="minorEastAsia"/>
          <w:b w:val="0"/>
          <w:bCs w:val="0"/>
        </w:rPr>
        <w:t xml:space="preserve">2、合格的投标人</w:t>
      </w:r>
      <w:bookmarkEnd w:id="65"/>
      <w:r/>
      <w:bookmarkEnd w:id="66"/>
      <w:r/>
      <w:bookmarkEnd w:id="67"/>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满足本文件实质性要求和条件的规定。</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68" w:name="_Toc20823278"/>
      <w:r/>
      <w:bookmarkStart w:id="69" w:name="_Toc513029206"/>
      <w:r/>
      <w:bookmarkStart w:id="70" w:name="_Toc16938522"/>
      <w:r>
        <w:rPr>
          <w:rFonts w:hint="eastAsia" w:asciiTheme="minorEastAsia" w:hAnsiTheme="minorEastAsia" w:eastAsiaTheme="minorEastAsia" w:cstheme="minorEastAsia"/>
          <w:b w:val="0"/>
          <w:bCs w:val="0"/>
        </w:rPr>
        <w:t xml:space="preserve">3、适用法律</w:t>
      </w:r>
      <w:bookmarkEnd w:id="68"/>
      <w:r/>
      <w:bookmarkEnd w:id="69"/>
      <w:r/>
      <w:bookmarkEnd w:id="70"/>
      <w:r>
        <w:rPr>
          <w:rFonts w:hint="eastAsia" w:asciiTheme="minorEastAsia" w:hAnsiTheme="minorEastAsia" w:eastAsiaTheme="minorEastAsia" w:cstheme="minorEastAsia"/>
          <w:b w:val="0"/>
          <w:bCs w:val="0"/>
        </w:rPr>
        <w:t xml:space="preserve">和标准</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在本项目政府采购活动过程中，如果所执行的标准有更新的，按照最新标准执行。</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71" w:name="_Toc513029207"/>
      <w:r/>
      <w:bookmarkStart w:id="72" w:name="_Toc16938523"/>
      <w:r/>
      <w:bookmarkStart w:id="73" w:name="_Toc462564067"/>
      <w:r/>
      <w:bookmarkStart w:id="74" w:name="_Toc20823279"/>
      <w:r>
        <w:rPr>
          <w:rFonts w:hint="eastAsia" w:asciiTheme="minorEastAsia" w:hAnsiTheme="minorEastAsia" w:eastAsiaTheme="minorEastAsia" w:cstheme="minorEastAsia"/>
          <w:b w:val="0"/>
          <w:bCs w:val="0"/>
        </w:rPr>
        <w:t xml:space="preserve">4、投标费用</w:t>
      </w:r>
      <w:bookmarkEnd w:id="71"/>
      <w:r/>
      <w:bookmarkEnd w:id="72"/>
      <w:r/>
      <w:bookmarkEnd w:id="73"/>
      <w:r/>
      <w:bookmarkEnd w:id="7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4.1</w:t>
      </w:r>
      <w:r>
        <w:rPr>
          <w:rFonts w:hint="eastAsia" w:asciiTheme="minorEastAsia" w:hAnsiTheme="minorEastAsia" w:eastAsiaTheme="minorEastAsia" w:cstheme="minorEastAsia"/>
          <w:sz w:val="24"/>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4.2本次招标建装中心和采购人不收取标书工本费与中标服务费。</w:t>
      </w:r>
      <w:r/>
    </w:p>
    <w:p>
      <w:pPr>
        <w:pStyle w:val="1002"/>
        <w:ind w:firstLine="602"/>
        <w:spacing w:before="0" w:after="0" w:line="48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rPr>
        <w:t xml:space="preserve">招标文件的约束力</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1000"/>
        <w:ind w:firstLine="321"/>
        <w:spacing w:before="156" w:after="156" w:line="360" w:lineRule="auto"/>
        <w:rPr>
          <w:rFonts w:hint="eastAsia" w:asciiTheme="minorEastAsia" w:hAnsiTheme="minorEastAsia" w:eastAsiaTheme="minorEastAsia" w:cstheme="minorEastAsia"/>
        </w:rPr>
      </w:pPr>
      <w:r/>
      <w:bookmarkStart w:id="75" w:name="_Toc120614215"/>
      <w:r/>
      <w:bookmarkStart w:id="76" w:name="_Toc16938525"/>
      <w:r/>
      <w:bookmarkStart w:id="77" w:name="_Toc513029209"/>
      <w:r/>
      <w:bookmarkStart w:id="78" w:name="_Toc20823281"/>
      <w:r>
        <w:rPr>
          <w:rFonts w:hint="eastAsia" w:asciiTheme="minorEastAsia" w:hAnsiTheme="minorEastAsia" w:eastAsiaTheme="minorEastAsia" w:cstheme="minorEastAsia"/>
        </w:rPr>
        <w:t xml:space="preserve">二、招标文件</w:t>
      </w:r>
      <w:bookmarkEnd w:id="75"/>
      <w:r/>
      <w:bookmarkEnd w:id="76"/>
      <w:r/>
      <w:bookmarkEnd w:id="77"/>
      <w:r/>
      <w:bookmarkEnd w:id="78"/>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79" w:name="_Toc20823282"/>
      <w:r/>
      <w:bookmarkStart w:id="80" w:name="_Toc16938526"/>
      <w:r/>
      <w:bookmarkStart w:id="81" w:name="_Toc513029210"/>
      <w:r>
        <w:rPr>
          <w:rFonts w:hint="eastAsia" w:asciiTheme="minorEastAsia" w:hAnsiTheme="minorEastAsia" w:eastAsiaTheme="minorEastAsia" w:cstheme="minorEastAsia"/>
          <w:b w:val="0"/>
          <w:bCs w:val="0"/>
        </w:rPr>
        <w:t xml:space="preserve">6、招标文件构成</w:t>
      </w:r>
      <w:bookmarkEnd w:id="79"/>
      <w:r/>
      <w:bookmarkEnd w:id="80"/>
      <w:r/>
      <w:bookmarkEnd w:id="81"/>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请仔细检查招标文件是否齐全，如有缺漏请立即与建装中心联系解决。</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2"/>
        <w:ind w:firstLine="560"/>
        <w:spacing w:before="0" w:after="0" w:line="240" w:lineRule="auto"/>
        <w:rPr>
          <w:rFonts w:hint="eastAsia" w:asciiTheme="minorEastAsia" w:hAnsiTheme="minorEastAsia" w:eastAsiaTheme="minorEastAsia" w:cstheme="minorEastAsia"/>
          <w:b w:val="0"/>
          <w:bCs w:val="0"/>
        </w:rPr>
      </w:pPr>
      <w:r/>
      <w:bookmarkStart w:id="82" w:name="_Toc513029211"/>
      <w:r/>
      <w:bookmarkStart w:id="83" w:name="_Toc20823283"/>
      <w:r/>
      <w:bookmarkStart w:id="84" w:name="_Toc16938527"/>
      <w:r/>
      <w:bookmarkStart w:id="85" w:name="_Toc462564070"/>
      <w:r>
        <w:rPr>
          <w:rFonts w:hint="eastAsia" w:asciiTheme="minorEastAsia" w:hAnsiTheme="minorEastAsia" w:eastAsiaTheme="minorEastAsia" w:cstheme="minorEastAsia"/>
          <w:b w:val="0"/>
          <w:bCs w:val="0"/>
        </w:rPr>
        <w:t xml:space="preserve">7、招标文件的澄清</w:t>
      </w:r>
      <w:bookmarkEnd w:id="82"/>
      <w:r/>
      <w:bookmarkEnd w:id="83"/>
      <w:r/>
      <w:bookmarkEnd w:id="84"/>
      <w:r/>
      <w:bookmarkEnd w:id="8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按招标公告中的通讯地址，以书面形式通知建装中心。</w:t>
      </w:r>
      <w:r/>
    </w:p>
    <w:p>
      <w:pPr>
        <w:pStyle w:val="1002"/>
        <w:ind w:firstLine="560"/>
        <w:spacing w:before="0" w:after="0" w:line="240" w:lineRule="auto"/>
        <w:rPr>
          <w:rFonts w:hint="eastAsia" w:asciiTheme="minorEastAsia" w:hAnsiTheme="minorEastAsia" w:eastAsiaTheme="minorEastAsia" w:cstheme="minorEastAsia"/>
          <w:b w:val="0"/>
          <w:bCs w:val="0"/>
        </w:rPr>
      </w:pPr>
      <w:r/>
      <w:bookmarkStart w:id="86" w:name="_Toc513029212"/>
      <w:r/>
      <w:bookmarkStart w:id="87" w:name="_Toc462564071"/>
      <w:r/>
      <w:bookmarkStart w:id="88" w:name="_Toc16938528"/>
      <w:r/>
      <w:bookmarkStart w:id="89" w:name="_Toc20823284"/>
      <w:r>
        <w:rPr>
          <w:rFonts w:hint="eastAsia" w:asciiTheme="minorEastAsia" w:hAnsiTheme="minorEastAsia" w:eastAsiaTheme="minorEastAsia" w:cstheme="minorEastAsia"/>
          <w:b w:val="0"/>
          <w:bCs w:val="0"/>
        </w:rPr>
        <w:t xml:space="preserve">8、招标文件的修改</w:t>
      </w:r>
      <w:bookmarkEnd w:id="86"/>
      <w:r/>
      <w:bookmarkEnd w:id="87"/>
      <w:r/>
      <w:bookmarkEnd w:id="88"/>
      <w:r/>
      <w:bookmarkEnd w:id="89"/>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在投标截止时间前，建装中心可以对招标文件进行修改。</w:t>
      </w:r>
      <w:r/>
    </w:p>
    <w:p>
      <w:pPr>
        <w:ind w:firstLine="480"/>
        <w:spacing w:line="5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Cs/>
          <w:sz w:val="24"/>
        </w:rPr>
        <w:t xml:space="preserve">8.2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有权按照法定的要求</w:t>
      </w:r>
      <w:r>
        <w:rPr>
          <w:rFonts w:hint="eastAsia" w:asciiTheme="minorEastAsia" w:hAnsiTheme="minorEastAsia" w:eastAsiaTheme="minorEastAsia" w:cstheme="minorEastAsia"/>
          <w:sz w:val="24"/>
        </w:rPr>
        <w:t xml:space="preserve">推迟投标截止日期和开标日期。</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8.3 </w:t>
      </w:r>
      <w:r>
        <w:rPr>
          <w:rFonts w:hint="eastAsia" w:asciiTheme="minorEastAsia" w:hAnsiTheme="minorEastAsia" w:eastAsiaTheme="minorEastAsia" w:cstheme="minorEastAsia"/>
          <w:sz w:val="24"/>
        </w:rPr>
        <w:t xml:space="preserve">招标文件的修改将在江苏政府采购网、常州市政府采购网公布，</w:t>
      </w:r>
      <w:r>
        <w:rPr>
          <w:rFonts w:hint="eastAsia" w:asciiTheme="minorEastAsia" w:hAnsiTheme="minorEastAsia" w:eastAsiaTheme="minorEastAsia" w:cstheme="minorEastAsia"/>
          <w:sz w:val="24"/>
          <w:szCs w:val="24"/>
        </w:rPr>
        <w:t xml:space="preserve">补充文件将作为招标文件的组成部分，</w:t>
      </w:r>
      <w:r>
        <w:rPr>
          <w:rFonts w:hint="eastAsia" w:asciiTheme="minorEastAsia" w:hAnsiTheme="minorEastAsia" w:eastAsiaTheme="minorEastAsia" w:cstheme="minorEastAsia"/>
          <w:sz w:val="24"/>
        </w:rPr>
        <w:t xml:space="preserve">并对投标人具有约束力。</w:t>
      </w:r>
      <w:r/>
    </w:p>
    <w:p>
      <w:pPr>
        <w:pStyle w:val="1000"/>
        <w:ind w:firstLine="482"/>
        <w:spacing w:before="156" w:after="156" w:line="360" w:lineRule="auto"/>
        <w:rPr>
          <w:rFonts w:hint="eastAsia" w:asciiTheme="minorEastAsia" w:hAnsiTheme="minorEastAsia" w:eastAsiaTheme="minorEastAsia" w:cstheme="minorEastAsia"/>
        </w:rPr>
      </w:pPr>
      <w:r/>
      <w:bookmarkStart w:id="90" w:name="_Toc120614216"/>
      <w:r/>
      <w:bookmarkStart w:id="91" w:name="_Toc20823285"/>
      <w:r/>
      <w:bookmarkStart w:id="92" w:name="_Toc462564072"/>
      <w:r/>
      <w:bookmarkStart w:id="93" w:name="_Toc513029213"/>
      <w:r/>
      <w:bookmarkStart w:id="94" w:name="_Toc16938529"/>
      <w:r>
        <w:rPr>
          <w:rFonts w:hint="eastAsia" w:asciiTheme="minorEastAsia" w:hAnsiTheme="minorEastAsia" w:eastAsiaTheme="minorEastAsia" w:cstheme="minorEastAsia"/>
        </w:rPr>
        <w:t xml:space="preserve">三、投标文件的编制</w:t>
      </w:r>
      <w:bookmarkEnd w:id="90"/>
      <w:r/>
      <w:bookmarkEnd w:id="91"/>
      <w:r/>
      <w:bookmarkEnd w:id="92"/>
      <w:r/>
      <w:bookmarkEnd w:id="93"/>
      <w:r/>
      <w:bookmarkEnd w:id="94"/>
      <w:r/>
      <w:r/>
    </w:p>
    <w:p>
      <w:pPr>
        <w:pStyle w:val="1002"/>
        <w:ind w:firstLine="560"/>
        <w:spacing w:before="0" w:after="0" w:line="240" w:lineRule="auto"/>
        <w:rPr>
          <w:rFonts w:hint="eastAsia" w:asciiTheme="minorEastAsia" w:hAnsiTheme="minorEastAsia" w:eastAsiaTheme="minorEastAsia" w:cstheme="minorEastAsia"/>
          <w:bCs w:val="0"/>
        </w:rPr>
      </w:pPr>
      <w:r/>
      <w:bookmarkStart w:id="95" w:name="_Toc462564073"/>
      <w:r/>
      <w:bookmarkStart w:id="96" w:name="_Toc16938530"/>
      <w:r/>
      <w:bookmarkStart w:id="97" w:name="_Toc513029214"/>
      <w:r/>
      <w:bookmarkStart w:id="98" w:name="_Toc20823286"/>
      <w:r>
        <w:rPr>
          <w:rFonts w:hint="eastAsia" w:asciiTheme="minorEastAsia" w:hAnsiTheme="minorEastAsia" w:eastAsiaTheme="minorEastAsia" w:cstheme="minorEastAsia"/>
          <w:b w:val="0"/>
          <w:bCs w:val="0"/>
        </w:rPr>
        <w:t xml:space="preserve">9、投标文件的语言及度量衡单位</w:t>
      </w:r>
      <w:bookmarkEnd w:id="95"/>
      <w:r/>
      <w:bookmarkEnd w:id="96"/>
      <w:r/>
      <w:bookmarkEnd w:id="97"/>
      <w:r/>
      <w:bookmarkEnd w:id="98"/>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99" w:name="_Toc16938531"/>
      <w:r/>
      <w:bookmarkStart w:id="100" w:name="_Toc20823287"/>
      <w:r/>
      <w:bookmarkStart w:id="101" w:name="_Toc462564074"/>
      <w:r/>
      <w:bookmarkStart w:id="102" w:name="_Toc513029215"/>
      <w:r>
        <w:rPr>
          <w:rFonts w:hint="eastAsia" w:asciiTheme="minorEastAsia" w:hAnsiTheme="minorEastAsia" w:eastAsiaTheme="minorEastAsia" w:cstheme="minorEastAsia"/>
          <w:b w:val="0"/>
          <w:bCs w:val="0"/>
        </w:rPr>
        <w:t xml:space="preserve">10、投标文件构成</w:t>
      </w:r>
      <w:bookmarkEnd w:id="99"/>
      <w:r/>
      <w:bookmarkEnd w:id="100"/>
      <w:r/>
      <w:bookmarkEnd w:id="101"/>
      <w:r/>
      <w:bookmarkEnd w:id="102"/>
      <w:r/>
      <w:r/>
    </w:p>
    <w:p>
      <w:pPr>
        <w:ind w:firstLine="480"/>
        <w:spacing w:line="360" w:lineRule="auto"/>
        <w:tabs>
          <w:tab w:val="left" w:pos="1080" w:leader="none"/>
          <w:tab w:val="left" w:pos="1589" w:leader="none"/>
          <w:tab w:val="left" w:pos="2014"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10.3如标书制作工具中格式和内容与“江苏政府采购网”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发布的招标文件不一致，请以“江苏政府采购网”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发布的招标文件为准。</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03" w:name="_Hlt26954838"/>
      <w:r/>
      <w:bookmarkEnd w:id="103"/>
      <w:r/>
      <w:bookmarkStart w:id="104" w:name="_Hlt26668975"/>
      <w:r/>
      <w:bookmarkEnd w:id="104"/>
      <w:r/>
      <w:bookmarkStart w:id="105" w:name="_Hlt26670360"/>
      <w:r/>
      <w:bookmarkEnd w:id="105"/>
      <w:r/>
      <w:bookmarkStart w:id="106" w:name="_Toc513029219"/>
      <w:r/>
      <w:bookmarkStart w:id="107" w:name="_Toc14577357"/>
      <w:r/>
      <w:bookmarkStart w:id="108" w:name="_Toc49090509"/>
      <w:r/>
      <w:bookmarkStart w:id="109" w:name="_Toc14577354"/>
      <w:r/>
      <w:bookmarkStart w:id="110" w:name="_Toc49090507"/>
      <w:r/>
      <w:bookmarkStart w:id="111" w:name="_Toc513029216"/>
      <w:r>
        <w:rPr>
          <w:rFonts w:hint="eastAsia" w:asciiTheme="minorEastAsia" w:hAnsiTheme="minorEastAsia" w:eastAsiaTheme="minorEastAsia" w:cstheme="minorEastAsia"/>
          <w:b w:val="0"/>
          <w:bCs w:val="0"/>
        </w:rPr>
        <w:t xml:space="preserve">11、证明投标人及投标标的符合招标文件规定的文件</w:t>
      </w:r>
      <w:bookmarkEnd w:id="106"/>
      <w:r/>
      <w:bookmarkEnd w:id="107"/>
      <w:r/>
      <w:bookmarkEnd w:id="108"/>
      <w:r/>
      <w:bookmarkEnd w:id="109"/>
      <w:r/>
      <w:bookmarkEnd w:id="110"/>
      <w:r/>
      <w:bookmarkEnd w:id="111"/>
      <w:r/>
      <w:r/>
    </w:p>
    <w:p>
      <w:pPr>
        <w:spacing w:line="480" w:lineRule="exact"/>
        <w:rPr>
          <w:rFonts w:hint="eastAsia" w:asciiTheme="minorEastAsia" w:hAnsiTheme="minorEastAsia" w:eastAsiaTheme="minorEastAsia" w:cstheme="minorEastAsia"/>
          <w:sz w:val="24"/>
          <w:szCs w:val="24"/>
        </w:rPr>
      </w:pPr>
      <w:r/>
      <w:bookmarkStart w:id="112" w:name="_Toc14577355"/>
      <w:r/>
      <w:bookmarkStart w:id="113"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1002"/>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12、投标分项报价</w:t>
      </w:r>
      <w:bookmarkEnd w:id="112"/>
      <w:r/>
      <w:bookmarkStart w:id="114" w:name="_Hlt26670373"/>
      <w:r/>
      <w:bookmarkEnd w:id="114"/>
      <w:r>
        <w:rPr>
          <w:rFonts w:hint="eastAsia" w:asciiTheme="minorEastAsia" w:hAnsiTheme="minorEastAsia" w:eastAsiaTheme="minorEastAsia" w:cstheme="minorEastAsia"/>
          <w:b w:val="0"/>
          <w:bCs w:val="0"/>
        </w:rPr>
        <w:t xml:space="preserve">表</w:t>
      </w:r>
      <w:bookmarkEnd w:id="113"/>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5" w:name="_Hlt26954840"/>
      <w:r/>
      <w:bookmarkEnd w:id="115"/>
      <w:r>
        <w:rPr>
          <w:rFonts w:hint="eastAsia" w:asciiTheme="minorEastAsia" w:hAnsiTheme="minorEastAsia" w:eastAsiaTheme="minorEastAsia" w:cstheme="minorEastAsia"/>
          <w:sz w:val="24"/>
        </w:rPr>
        <w:t xml:space="preserve">标人应按照招标文件规定格式填报投标分项报价表</w:t>
      </w:r>
      <w:bookmarkStart w:id="116" w:name="_Hlt26670399"/>
      <w:r/>
      <w:bookmarkEnd w:id="116"/>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17" w:name="_Hlt26954846"/>
      <w:r/>
      <w:bookmarkEnd w:id="117"/>
      <w:r/>
      <w:bookmarkStart w:id="118" w:name="_Hlt26670425"/>
      <w:r/>
      <w:bookmarkEnd w:id="118"/>
      <w:r/>
      <w:bookmarkStart w:id="119" w:name="_Hlt26954844"/>
      <w:r/>
      <w:bookmarkEnd w:id="119"/>
      <w:r/>
      <w:bookmarkStart w:id="120" w:name="_Hlt26668983"/>
      <w:r/>
      <w:bookmarkEnd w:id="120"/>
      <w:r/>
      <w:bookmarkStart w:id="121" w:name="_Hlt26954848"/>
      <w:r/>
      <w:bookmarkEnd w:id="121"/>
      <w:r/>
      <w:bookmarkStart w:id="122" w:name="_Hlt26670482"/>
      <w:r/>
      <w:bookmarkEnd w:id="122"/>
      <w:r/>
      <w:bookmarkStart w:id="123" w:name="_Hlt26670486"/>
      <w:r/>
      <w:bookmarkEnd w:id="123"/>
      <w:r/>
      <w:bookmarkStart w:id="124" w:name="_Hlt26954842"/>
      <w:r/>
      <w:bookmarkEnd w:id="124"/>
      <w:r/>
      <w:bookmarkStart w:id="125" w:name="_Hlt26670403"/>
      <w:r/>
      <w:bookmarkEnd w:id="125"/>
      <w:r/>
      <w:bookmarkStart w:id="126" w:name="_Hlt26954731"/>
      <w:r/>
      <w:bookmarkEnd w:id="126"/>
      <w:r>
        <w:rPr>
          <w:rFonts w:hint="eastAsia" w:asciiTheme="minorEastAsia" w:hAnsiTheme="minorEastAsia" w:eastAsiaTheme="minorEastAsia" w:cstheme="minorEastAsia"/>
          <w:b w:val="0"/>
          <w:bCs w:val="0"/>
        </w:rPr>
        <w:t xml:space="preserve">13.1、技术要求响应及偏离表、商务要求响应及偏离表</w:t>
      </w:r>
      <w:r/>
    </w:p>
    <w:p>
      <w:pPr>
        <w:ind w:firstLine="480"/>
        <w:spacing w:line="50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keepLines/>
        <w:keepNext/>
        <w:rPr>
          <w:rFonts w:hint="eastAsia"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13.1.2 投标人可在投标文件中提供认为需要的其他技术文件或说明。</w:t>
      </w:r>
      <w:r/>
    </w:p>
    <w:p>
      <w:pPr>
        <w:ind w:firstLine="420"/>
        <w:keepLines/>
        <w:keepNex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13.2、服务承诺、培训计划、人员安排及其他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2 投标人需根据招标文件要求提供培训计划。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ind w:firstLine="480"/>
        <w:spacing w:line="500" w:lineRule="exact"/>
        <w:tabs>
          <w:tab w:val="left" w:pos="103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27" w:name="_Toc49090510"/>
      <w:r/>
      <w:bookmarkStart w:id="128" w:name="_Toc14577359"/>
      <w:r>
        <w:rPr>
          <w:rFonts w:hint="eastAsia" w:asciiTheme="minorEastAsia" w:hAnsiTheme="minorEastAsia" w:eastAsiaTheme="minorEastAsia" w:cstheme="minorEastAsia"/>
          <w:b w:val="0"/>
          <w:bCs w:val="0"/>
        </w:rPr>
        <w:t xml:space="preserve">14、投标函和开标一览表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7"/>
      <w:r/>
      <w:bookmarkEnd w:id="128"/>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asciiTheme="minorEastAsia" w:hAnsiTheme="minorEastAsia" w:eastAsiaTheme="minorEastAsia" w:cstheme="minorEastAsia"/>
          <w:b w:val="0"/>
          <w:bCs w:val="0"/>
        </w:rPr>
        <w:t xml:space="preserve">15、投标有效期</w:t>
      </w:r>
      <w:bookmarkEnd w:id="132"/>
      <w:r/>
      <w:bookmarkEnd w:id="133"/>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w:t>
      </w:r>
      <w:r>
        <w:rPr>
          <w:rFonts w:hint="eastAsia" w:asciiTheme="minorEastAsia" w:hAnsiTheme="minorEastAsia" w:eastAsiaTheme="minorEastAsia" w:cstheme="minorEastAsia"/>
          <w:bCs/>
          <w:sz w:val="24"/>
        </w:rPr>
        <w:t xml:space="preserve"> 投标有效期为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投标有效期比规定短的将被视为未实质性响应招标文件而予以拒绝。</w:t>
      </w:r>
      <w:r/>
    </w:p>
    <w:p>
      <w:pPr>
        <w:pStyle w:val="1002"/>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16、投标有效期的延长</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在特殊情况下，</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pStyle w:val="1000"/>
        <w:ind w:firstLine="482"/>
        <w:spacing w:before="156" w:after="156" w:line="360" w:lineRule="auto"/>
        <w:rPr>
          <w:rFonts w:hint="eastAsia" w:asciiTheme="minorEastAsia" w:hAnsiTheme="minorEastAsia" w:eastAsiaTheme="minorEastAsia" w:cstheme="minorEastAsia"/>
        </w:rPr>
      </w:pPr>
      <w:r/>
      <w:bookmarkStart w:id="134" w:name="_Hlt26954739"/>
      <w:r/>
      <w:bookmarkEnd w:id="134"/>
      <w:r/>
      <w:bookmarkStart w:id="135" w:name="_Hlt26954852"/>
      <w:r/>
      <w:bookmarkEnd w:id="135"/>
      <w:r/>
      <w:bookmarkStart w:id="136" w:name="_Toc513029224"/>
      <w:r/>
      <w:bookmarkStart w:id="137" w:name="_Toc120614217"/>
      <w:r/>
      <w:bookmarkStart w:id="138" w:name="_Toc16938540"/>
      <w:r/>
      <w:bookmarkStart w:id="139" w:name="_Toc20823296"/>
      <w:r>
        <w:rPr>
          <w:rFonts w:hint="eastAsia" w:asciiTheme="minorEastAsia" w:hAnsiTheme="minorEastAsia" w:eastAsiaTheme="minorEastAsia" w:cstheme="minorEastAsia"/>
        </w:rPr>
        <w:t xml:space="preserve">四、投标文件的递交</w:t>
      </w:r>
      <w:bookmarkEnd w:id="136"/>
      <w:r/>
      <w:bookmarkEnd w:id="137"/>
      <w:r/>
      <w:bookmarkEnd w:id="138"/>
      <w:r/>
      <w:bookmarkEnd w:id="139"/>
      <w:r/>
      <w:r/>
    </w:p>
    <w:p>
      <w:pPr>
        <w:pStyle w:val="1002"/>
        <w:ind w:firstLine="560"/>
        <w:spacing w:before="0" w:after="0" w:line="240" w:lineRule="auto"/>
        <w:rPr>
          <w:rFonts w:hint="eastAsia" w:asciiTheme="minorEastAsia" w:hAnsiTheme="minorEastAsia" w:eastAsiaTheme="minorEastAsia" w:cstheme="minorEastAsia"/>
          <w:b w:val="0"/>
          <w:bCs w:val="0"/>
        </w:rPr>
      </w:pPr>
      <w:r/>
      <w:bookmarkStart w:id="140" w:name="_Toc462564084"/>
      <w:r/>
      <w:bookmarkStart w:id="141" w:name="_Toc513029225"/>
      <w:r/>
      <w:bookmarkStart w:id="142" w:name="_Toc16938541"/>
      <w:r/>
      <w:bookmarkStart w:id="143" w:name="_Toc20823297"/>
      <w:r>
        <w:rPr>
          <w:rFonts w:hint="eastAsia" w:asciiTheme="minorEastAsia" w:hAnsiTheme="minorEastAsia" w:eastAsiaTheme="minorEastAsia" w:cstheme="minorEastAsia"/>
          <w:b w:val="0"/>
          <w:bCs w:val="0"/>
        </w:rPr>
        <w:t xml:space="preserve">17、投标文件</w:t>
      </w:r>
      <w:bookmarkEnd w:id="140"/>
      <w:r/>
      <w:bookmarkEnd w:id="141"/>
      <w:r/>
      <w:bookmarkEnd w:id="142"/>
      <w:r/>
      <w:bookmarkEnd w:id="143"/>
      <w:r>
        <w:rPr>
          <w:rFonts w:hint="eastAsia" w:asciiTheme="minorEastAsia" w:hAnsiTheme="minorEastAsia" w:eastAsiaTheme="minorEastAsia" w:cstheme="minorEastAsia"/>
          <w:b w:val="0"/>
          <w:bCs w:val="0"/>
        </w:rPr>
        <w:t xml:space="preserve">的递交</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电子投标文件的递交</w:t>
      </w:r>
      <w:r/>
    </w:p>
    <w:p>
      <w:pPr>
        <w:pStyle w:val="1105"/>
        <w:ind w:left="525"/>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投标人应当按照《操作手册》规定，在投标截止时间前制作并上传电子投标文件。</w:t>
      </w:r>
      <w:bookmarkStart w:id="144" w:name="_Toc20823298"/>
      <w:r/>
      <w:bookmarkStart w:id="145" w:name="_Toc513029226"/>
      <w:r/>
      <w:bookmarkStart w:id="146" w:name="_Toc16938542"/>
      <w:r/>
      <w:r/>
    </w:p>
    <w:p>
      <w:pPr>
        <w:pStyle w:val="1002"/>
        <w:ind w:firstLine="420"/>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18、投标截止</w:t>
      </w:r>
      <w:bookmarkEnd w:id="144"/>
      <w:r/>
      <w:bookmarkEnd w:id="145"/>
      <w:r/>
      <w:bookmarkEnd w:id="146"/>
      <w:r>
        <w:rPr>
          <w:rFonts w:hint="eastAsia" w:asciiTheme="minorEastAsia" w:hAnsiTheme="minorEastAsia" w:eastAsiaTheme="minorEastAsia" w:cstheme="minorEastAsia"/>
          <w:b w:val="0"/>
        </w:rPr>
        <w:t xml:space="preserve">时间</w:t>
      </w:r>
      <w:r/>
    </w:p>
    <w:p>
      <w:pPr>
        <w:ind w:firstLine="480"/>
        <w:spacing w:line="50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i/>
          <w:sz w:val="24"/>
          <w:u w:val="single"/>
        </w:rPr>
        <w:t xml:space="preserve">18.1</w:t>
      </w:r>
      <w:r>
        <w:rPr>
          <w:rFonts w:hint="eastAsia" w:asciiTheme="minorEastAsia" w:hAnsiTheme="minorEastAsia" w:eastAsiaTheme="minorEastAsia" w:cstheme="minorEastAsia"/>
          <w:bCs/>
          <w:i/>
          <w:sz w:val="24"/>
          <w:u w:val="single"/>
        </w:rPr>
        <w:t xml:space="preserve"> 投标人上传电子投标文件的时间不得迟于招标公告中规定的投标截止时间。</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18.2</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可以按照规定，通过修改招标文件酌情延长投标截止时间，在此情况下，投标人的所有权利和义务以及投标人受制的截止时间均应以延长后新的截止时间为准。</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47" w:name="_Toc16938543"/>
      <w:r/>
      <w:bookmarkStart w:id="148" w:name="_Toc513029227"/>
      <w:r/>
      <w:bookmarkStart w:id="149" w:name="_Toc20823299"/>
      <w:r>
        <w:rPr>
          <w:rFonts w:hint="eastAsia" w:asciiTheme="minorEastAsia" w:hAnsiTheme="minorEastAsia" w:eastAsiaTheme="minorEastAsia" w:cstheme="minorEastAsia"/>
          <w:b w:val="0"/>
          <w:bCs w:val="0"/>
        </w:rPr>
        <w:t xml:space="preserve">19、投标文件</w:t>
      </w:r>
      <w:bookmarkEnd w:id="147"/>
      <w:r/>
      <w:bookmarkEnd w:id="148"/>
      <w:r/>
      <w:bookmarkEnd w:id="149"/>
      <w:r>
        <w:rPr>
          <w:rFonts w:hint="eastAsia" w:asciiTheme="minorEastAsia" w:hAnsiTheme="minorEastAsia" w:eastAsiaTheme="minorEastAsia" w:cstheme="minorEastAsia"/>
          <w:b w:val="0"/>
          <w:bCs w:val="0"/>
        </w:rPr>
        <w:t xml:space="preserve">的拒收</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19.1建装中心</w:t>
      </w:r>
      <w:r>
        <w:rPr>
          <w:rFonts w:hint="eastAsia" w:asciiTheme="minorEastAsia" w:hAnsiTheme="minorEastAsia" w:eastAsiaTheme="minorEastAsia" w:cstheme="minorEastAsia"/>
          <w:bCs/>
          <w:sz w:val="24"/>
        </w:rPr>
        <w:t xml:space="preserve">拒绝接收在其规定的投标截止时间后上传的任何投标文件。</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50" w:name="_Toc16938544"/>
      <w:r/>
      <w:bookmarkStart w:id="151" w:name="_Toc513029228"/>
      <w:r/>
      <w:bookmarkStart w:id="152" w:name="_Toc20823300"/>
      <w:r>
        <w:rPr>
          <w:rFonts w:hint="eastAsia" w:asciiTheme="minorEastAsia" w:hAnsiTheme="minorEastAsia" w:eastAsiaTheme="minorEastAsia" w:cstheme="minorEastAsia"/>
          <w:b w:val="0"/>
          <w:bCs w:val="0"/>
        </w:rPr>
        <w:t xml:space="preserve">20、投标文件的撤回和修改</w:t>
      </w:r>
      <w:bookmarkEnd w:id="150"/>
      <w:r/>
      <w:bookmarkEnd w:id="151"/>
      <w:r/>
      <w:bookmarkEnd w:id="152"/>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 电子投标文件的撤回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20.1.2 投标人撤回电子投标文件，则认为其不再参与本项目投标活动。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投标文件的修改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1000"/>
        <w:ind w:firstLine="482"/>
        <w:spacing w:before="156" w:after="156" w:line="360" w:lineRule="auto"/>
        <w:rPr>
          <w:rFonts w:hint="eastAsia" w:asciiTheme="minorEastAsia" w:hAnsiTheme="minorEastAsia" w:eastAsiaTheme="minorEastAsia" w:cstheme="minorEastAsia"/>
        </w:rPr>
      </w:pPr>
      <w:r/>
      <w:bookmarkStart w:id="153" w:name="_Toc16938545"/>
      <w:r/>
      <w:bookmarkStart w:id="154" w:name="_Toc513029229"/>
      <w:r/>
      <w:bookmarkStart w:id="155" w:name="_Toc20823301"/>
      <w:r/>
      <w:bookmarkStart w:id="156" w:name="_Toc120614218"/>
      <w:r>
        <w:rPr>
          <w:rFonts w:hint="eastAsia" w:asciiTheme="minorEastAsia" w:hAnsiTheme="minorEastAsia" w:eastAsiaTheme="minorEastAsia" w:cstheme="minorEastAsia"/>
        </w:rPr>
        <w:t xml:space="preserve">五、开标与评标</w:t>
      </w:r>
      <w:bookmarkEnd w:id="153"/>
      <w:r/>
      <w:bookmarkEnd w:id="154"/>
      <w:r/>
      <w:bookmarkEnd w:id="155"/>
      <w:r/>
      <w:bookmarkEnd w:id="156"/>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57" w:name="_Toc513029230"/>
      <w:r/>
      <w:bookmarkStart w:id="158" w:name="_Toc16938546"/>
      <w:r/>
      <w:bookmarkStart w:id="159" w:name="_Toc20823302"/>
      <w:r>
        <w:rPr>
          <w:rFonts w:hint="eastAsia" w:asciiTheme="minorEastAsia" w:hAnsiTheme="minorEastAsia" w:eastAsiaTheme="minorEastAsia" w:cstheme="minorEastAsia"/>
          <w:b w:val="0"/>
          <w:bCs w:val="0"/>
        </w:rPr>
        <w:t xml:space="preserve">21、开标</w:t>
      </w:r>
      <w:bookmarkEnd w:id="157"/>
      <w:r/>
      <w:bookmarkEnd w:id="158"/>
      <w:r/>
      <w:bookmarkEnd w:id="159"/>
      <w:r/>
      <w:r/>
    </w:p>
    <w:p>
      <w:pPr>
        <w:ind w:firstLine="36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21.1</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将在招标公告中规定的时间和地点组织公开开标</w:t>
      </w:r>
      <w:r>
        <w:rPr>
          <w:rFonts w:hint="eastAsia" w:asciiTheme="minorEastAsia" w:hAnsiTheme="minorEastAsia" w:eastAsiaTheme="minorEastAsia" w:cstheme="minorEastAsia"/>
          <w:sz w:val="24"/>
          <w:szCs w:val="24"/>
        </w:rPr>
        <w:t xml:space="preserve">。投标人应当按照《操作手册》规定，参加开标活动和在苏采云系统规定的时间内对投标文件进行解密。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21.2</w:t>
      </w:r>
      <w:r>
        <w:rPr>
          <w:rFonts w:hint="eastAsia" w:asciiTheme="minorEastAsia" w:hAnsiTheme="minorEastAsia" w:eastAsiaTheme="minorEastAsia" w:cstheme="minorEastAsia"/>
          <w:sz w:val="24"/>
          <w:szCs w:val="24"/>
        </w:rPr>
        <w:t xml:space="preserve">开标仪式由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组织。苏采云系统将自动对项目进行开标，并宣布各投标人名称和投标价格。</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21.3投标人在开标过程中涉及到的投标文件解密、开标结果确认等工作，应按照《操作手册》规定执行。</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21.4投标人如果对开标过程和开标记录有疑义，应当根据《操作手册》规定提出，如 苏采云系统中《开标记录表》宣布后5分钟内未提出的，视同认可开标结果。</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60" w:name="_Toc513029231"/>
      <w:r/>
      <w:bookmarkStart w:id="161" w:name="_Toc16938547"/>
      <w:r/>
      <w:bookmarkStart w:id="162" w:name="_Toc20823303"/>
      <w:r>
        <w:rPr>
          <w:rFonts w:hint="eastAsia" w:asciiTheme="minorEastAsia" w:hAnsiTheme="minorEastAsia" w:eastAsiaTheme="minorEastAsia" w:cstheme="minorEastAsia"/>
          <w:b w:val="0"/>
          <w:bCs w:val="0"/>
        </w:rPr>
        <w:t xml:space="preserve">22、评标委员会</w:t>
      </w:r>
      <w:r/>
    </w:p>
    <w:p>
      <w:pPr>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将立即组织评标委员会（以下简称评委会）进行评标。</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22.2 评委会由采购人代表和有关技术、经济等方面的专家组成，且人员构成符合政府采购有关规定。</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22.3评委会独立工作，负责评审所有投标文件并确定中标侯选人。</w:t>
      </w:r>
      <w:r/>
    </w:p>
    <w:p>
      <w:pPr>
        <w:pStyle w:val="1002"/>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23、评标过程的保密与公正</w:t>
      </w:r>
      <w:bookmarkEnd w:id="160"/>
      <w:r/>
      <w:bookmarkEnd w:id="161"/>
      <w:r/>
      <w:bookmarkEnd w:id="162"/>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23.1</w:t>
      </w:r>
      <w:r>
        <w:rPr>
          <w:rFonts w:hint="eastAsia" w:asciiTheme="minorEastAsia" w:hAnsiTheme="minorEastAsia" w:eastAsiaTheme="minorEastAsia" w:cstheme="minorEastAsia"/>
          <w:bCs/>
          <w:sz w:val="24"/>
        </w:rPr>
        <w:t xml:space="preserve">凡是与审查、澄清、评价和比较投标的有关资料以及授标建议等，采购人、评委、</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均不得向投标人或与评标无关的其他人员透露。</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和评标委员会不向未中标的投标人解释未中标原因，也不公布评标过程中的相关细节。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 采用综合评分法的项目，未中标的投标人可于中标结果公告期限届满之日起通过苏采云系统查看自己的评审得分及排序情况。</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63" w:name="_Toc513029232"/>
      <w:r/>
      <w:bookmarkStart w:id="164" w:name="_Toc20823304"/>
      <w:r/>
      <w:bookmarkStart w:id="165" w:name="_Toc16938548"/>
      <w:r>
        <w:rPr>
          <w:rFonts w:hint="eastAsia" w:asciiTheme="minorEastAsia" w:hAnsiTheme="minorEastAsia" w:eastAsiaTheme="minorEastAsia" w:cstheme="minorEastAsia"/>
          <w:b w:val="0"/>
          <w:bCs w:val="0"/>
        </w:rPr>
        <w:t xml:space="preserve">24、投标文件的澄清</w:t>
      </w:r>
      <w:bookmarkEnd w:id="163"/>
      <w:r/>
      <w:bookmarkEnd w:id="164"/>
      <w:r/>
      <w:bookmarkEnd w:id="16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24.3 接到评委会澄清、说明和补正要求的投标人如未按规定做出澄清、说明和补正，其风险由投标人自行承担。</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66" w:name="_Toc16938549"/>
      <w:r/>
      <w:bookmarkStart w:id="167" w:name="_Toc20823305"/>
      <w:r/>
      <w:bookmarkStart w:id="168" w:name="_Toc513029233"/>
      <w:r>
        <w:rPr>
          <w:rFonts w:hint="eastAsia" w:asciiTheme="minorEastAsia" w:hAnsiTheme="minorEastAsia" w:eastAsiaTheme="minorEastAsia" w:cstheme="minorEastAsia"/>
          <w:b w:val="0"/>
          <w:bCs w:val="0"/>
        </w:rPr>
        <w:t xml:space="preserve">25、对投标文件的初审</w:t>
      </w:r>
      <w:bookmarkEnd w:id="166"/>
      <w:r/>
      <w:bookmarkEnd w:id="167"/>
      <w:r/>
      <w:bookmarkEnd w:id="168"/>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25.1.3 未通过资格审查或符合性审查的投标人，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中告知未通过资格审查或符合性审查的原因，评标结束后，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将不再告知未通过资格审查和符合性审查的原因。</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25.5 </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25.6 评审委员会启动异常低价投标（响应）审查的情形和具体要求</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25.6.1根据财政部《关于推动解决政府采购异常低价问题的通知》财库〔2026〕2号，评审过程中出现下列情形之一的，评审委员会应当启动异常低价投标（响应）审查程序：</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25.6.1.1 投标（响应）报价低于全部通过符合性审查供应商投标（响应）报价平均值50%的，即投标（响应）报价&lt;全部通过符合性审查供应商投标（响应）报价平均值×50%；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25.6.1.2 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25.6.1.3 投标（响应）报价低于采购项目最高限价45%的，即投标（响应）报价&lt;采购项目最高限价×45%；</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25.6.1.4评审委员会基于专业判断，认为供应商报价过低，有可能影响产品质量或者不能诚信履约的其他情形。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sz w:val="24"/>
        </w:rPr>
        <w:t xml:space="preserve">其中，属于第3项情形，供应商已随投标（响应）文件一并提交相关书面说明及必要的证明材料的，在评审现场可不再重复提交。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非单一产品采购项目，招标文件中将载明其中的核心产品。多家投标人提供的核心产品品牌相同的，按前两款规定处理。</w:t>
      </w:r>
      <w:r/>
    </w:p>
    <w:p>
      <w:pPr>
        <w:ind w:firstLine="420"/>
        <w:spacing w:line="460" w:lineRule="exact"/>
        <w:rPr>
          <w:rFonts w:hint="eastAsia" w:asciiTheme="minorEastAsia" w:hAnsiTheme="minorEastAsia" w:eastAsiaTheme="minorEastAsia" w:cstheme="minorEastAsia"/>
          <w:sz w:val="24"/>
        </w:rPr>
      </w:pPr>
      <w:r/>
      <w:bookmarkStart w:id="169" w:name="_Toc20823306"/>
      <w:r/>
      <w:bookmarkStart w:id="170" w:name="_Toc16938550"/>
      <w:r/>
      <w:bookmarkStart w:id="171" w:name="_Toc513029234"/>
      <w:r>
        <w:rPr>
          <w:rFonts w:hint="eastAsia" w:asciiTheme="minorEastAsia" w:hAnsiTheme="minorEastAsia" w:eastAsiaTheme="minorEastAsia" w:cstheme="minorEastAsia"/>
          <w:sz w:val="24"/>
        </w:rPr>
        <w:t xml:space="preserve">25.8投标人在开、评标全过程中应保持通讯畅通，及时登录</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查阅、答复相关信息，并安排专人与建装中心及评标委员会联系。</w:t>
      </w:r>
      <w:r/>
    </w:p>
    <w:p>
      <w:pPr>
        <w:pStyle w:val="1002"/>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26、</w:t>
      </w:r>
      <w:bookmarkEnd w:id="169"/>
      <w:r/>
      <w:bookmarkEnd w:id="170"/>
      <w:r/>
      <w:bookmarkEnd w:id="171"/>
      <w:r>
        <w:rPr>
          <w:rFonts w:hint="eastAsia" w:asciiTheme="minorEastAsia" w:hAnsiTheme="minorEastAsia" w:eastAsiaTheme="minorEastAsia" w:cstheme="minorEastAsia"/>
          <w:b w:val="0"/>
          <w:bCs w:val="0"/>
        </w:rPr>
        <w:t xml:space="preserve">无效投标条款和废标条款</w:t>
      </w:r>
      <w:r/>
    </w:p>
    <w:p>
      <w:pPr>
        <w:ind w:left="479"/>
        <w:spacing w:line="440" w:lineRule="exact"/>
        <w:rPr>
          <w:rFonts w:hint="eastAsia" w:asciiTheme="minorEastAsia" w:hAnsiTheme="minorEastAsia" w:eastAsiaTheme="minorEastAsia" w:cstheme="minorEastAsia"/>
          <w:bCs/>
          <w:sz w:val="24"/>
        </w:rPr>
      </w:pPr>
      <w:r/>
      <w:bookmarkStart w:id="172" w:name="_Toc16938551"/>
      <w:r/>
      <w:bookmarkStart w:id="173" w:name="_Toc513029235"/>
      <w:r/>
      <w:bookmarkStart w:id="174" w:name="_Toc20823307"/>
      <w:r>
        <w:rPr>
          <w:rFonts w:hint="eastAsia" w:asciiTheme="minorEastAsia" w:hAnsiTheme="minorEastAsia" w:eastAsiaTheme="minorEastAsia" w:cstheme="minorEastAsia"/>
          <w:bCs/>
          <w:sz w:val="24"/>
        </w:rPr>
        <w:t xml:space="preserve">26.1无效投标条款</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26</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投标人未按照招标文件要求上传电子投标文件的。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26.1.3同一投标人提交两个（含两个）以上不同的投标报价的。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26.1.4投标人不具备招标文件中规定资格要求的。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26.1.5投标人的报价超过了采购预算或最高限价的。</w:t>
      </w:r>
      <w:r/>
    </w:p>
    <w:p>
      <w:pPr>
        <w:ind w:firstLine="48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26.1.6未通过符合性审查的。</w:t>
      </w:r>
      <w:r/>
    </w:p>
    <w:p>
      <w:pPr>
        <w:ind w:firstLine="36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 26.1.7不符合招标文件中规定的实质性要求和条件的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本招标文件加“★”号的内容为实质性要求和条件）。</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26.1.9 投标文件含有采购人不能接受的附加条件的。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26.1.10评标委员会按照本招标文件规定对投标人进行异常低价投标审查后，认为投标人不能证明其报价合理性的。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26.1.12 投标文件未按照招标文件要求加盖CA电子公章的。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26.1.13 投标人所投标产品不符合招标文件中所列国家强制性标准的。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26.1.14其他法律、法规及本招标文件规定的属无效投标的情形。</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26.2废标条款</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26.2.1符合专业条件的供应商或者对招标文件作实质响应的供应商不足三家的。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26.2.2出现影响采购公正的违法、违规行为的。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26.2.3因重大变故，采购任务取消的。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26.2.4评标委员会认定招标文件存在歧义、重大缺陷导致评审工作无法进行。</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 投标截止时间结束后参加投标的供应商不足三家的处理：</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26.3.1如出现投标截止时间结束后参加投标的供应商或者在评标期间对招标文件做出实质响应的供应商不足三家情况，按政府采购相关规定执行。</w:t>
      </w:r>
      <w:r/>
    </w:p>
    <w:p>
      <w:pPr>
        <w:pStyle w:val="1000"/>
        <w:ind w:firstLine="482"/>
        <w:spacing w:before="156" w:after="156" w:line="360" w:lineRule="auto"/>
        <w:rPr>
          <w:rFonts w:hint="eastAsia" w:asciiTheme="minorEastAsia" w:hAnsiTheme="minorEastAsia" w:eastAsiaTheme="minorEastAsia" w:cstheme="minorEastAsia"/>
        </w:rPr>
      </w:pPr>
      <w:r/>
      <w:bookmarkStart w:id="175" w:name="_Toc120614219"/>
      <w:r>
        <w:rPr>
          <w:rFonts w:hint="eastAsia" w:asciiTheme="minorEastAsia" w:hAnsiTheme="minorEastAsia" w:eastAsiaTheme="minorEastAsia" w:cstheme="minorEastAsia"/>
        </w:rPr>
        <w:t xml:space="preserve">六、</w:t>
      </w:r>
      <w:bookmarkEnd w:id="172"/>
      <w:r/>
      <w:bookmarkEnd w:id="173"/>
      <w:r/>
      <w:bookmarkEnd w:id="174"/>
      <w:r>
        <w:rPr>
          <w:rFonts w:hint="eastAsia" w:asciiTheme="minorEastAsia" w:hAnsiTheme="minorEastAsia" w:eastAsiaTheme="minorEastAsia" w:cstheme="minorEastAsia"/>
        </w:rPr>
        <w:t xml:space="preserve">定标</w:t>
      </w:r>
      <w:bookmarkEnd w:id="175"/>
      <w:r/>
      <w:r/>
    </w:p>
    <w:p>
      <w:pPr>
        <w:pStyle w:val="1002"/>
        <w:ind w:firstLine="600"/>
        <w:spacing w:before="0" w:after="0" w:line="240" w:lineRule="auto"/>
        <w:rPr>
          <w:rFonts w:hint="eastAsia" w:asciiTheme="minorEastAsia" w:hAnsiTheme="minorEastAsia" w:eastAsiaTheme="minorEastAsia" w:cstheme="minorEastAsia"/>
          <w:b w:val="0"/>
          <w:sz w:val="30"/>
          <w:szCs w:val="30"/>
        </w:rPr>
      </w:pPr>
      <w:r/>
      <w:bookmarkStart w:id="176" w:name="_Toc513029238"/>
      <w:r/>
      <w:bookmarkStart w:id="177" w:name="_Toc16938554"/>
      <w:r/>
      <w:bookmarkStart w:id="178" w:name="_Toc20823310"/>
      <w:r>
        <w:rPr>
          <w:rFonts w:hint="eastAsia" w:asciiTheme="minorEastAsia" w:hAnsiTheme="minorEastAsia" w:eastAsiaTheme="minorEastAsia" w:cstheme="minorEastAsia"/>
          <w:b w:val="0"/>
          <w:sz w:val="30"/>
          <w:szCs w:val="30"/>
        </w:rPr>
        <w:t xml:space="preserve">27、</w:t>
      </w:r>
      <w:bookmarkEnd w:id="176"/>
      <w:r>
        <w:rPr>
          <w:rFonts w:hint="eastAsia" w:asciiTheme="minorEastAsia" w:hAnsiTheme="minorEastAsia" w:eastAsiaTheme="minorEastAsia" w:cstheme="minorEastAsia"/>
          <w:b w:val="0"/>
          <w:sz w:val="30"/>
          <w:szCs w:val="30"/>
        </w:rPr>
        <w:t xml:space="preserve">确定</w:t>
      </w:r>
      <w:bookmarkEnd w:id="177"/>
      <w:r/>
      <w:bookmarkEnd w:id="178"/>
      <w:r>
        <w:rPr>
          <w:rFonts w:hint="eastAsia" w:asciiTheme="minorEastAsia" w:hAnsiTheme="minorEastAsia" w:eastAsiaTheme="minorEastAsia" w:cstheme="minorEastAsia"/>
          <w:b w:val="0"/>
          <w:sz w:val="30"/>
          <w:szCs w:val="30"/>
        </w:rPr>
        <w:t xml:space="preserve">中标单位</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27.1中标候选人的选取原则和数量见招标文件第五章规定。 </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 采购人应根据评委会推荐的中标候选人按顺序确定中标人，中标候选人并列的，由采购人依法确定。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27.3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将在“江苏政府采购网、常州市政府采购网”发布中标公告，公告期限为1个工作日。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  若有充分证据证明，中标人出现下列情况之一的，一经查实，将被取消中标资格：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27.4.1提供虚假材料谋取中标的。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27.4.2向采购人、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行贿或者提供其他不正当利益的。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27.4.3属于本文件规定的无效条件，但在评标过程中又未被评委会发现的。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27.4.4与采购人或者其他供应商恶意串通的。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27.4.5采取不正当手段诋毁、排挤其他供应商的。</w:t>
      </w:r>
      <w:r/>
    </w:p>
    <w:p>
      <w:pPr>
        <w:ind w:firstLine="480"/>
        <w:spacing w:line="480" w:lineRule="exact"/>
        <w:rPr>
          <w:rFonts w:hint="eastAsia" w:asciiTheme="minorEastAsia" w:hAnsiTheme="minorEastAsia" w:eastAsiaTheme="minorEastAsia" w:cstheme="minorEastAsia"/>
          <w:sz w:val="24"/>
          <w:szCs w:val="24"/>
        </w:rPr>
      </w:pPr>
      <w:r/>
      <w:bookmarkStart w:id="179" w:name="_Toc200451960"/>
      <w:r>
        <w:rPr>
          <w:rFonts w:hint="eastAsia" w:asciiTheme="minorEastAsia" w:hAnsiTheme="minorEastAsia" w:eastAsiaTheme="minorEastAsia" w:cstheme="minorEastAsia"/>
          <w:sz w:val="24"/>
          <w:szCs w:val="24"/>
        </w:rPr>
        <w:t xml:space="preserve">27.5 有下列情形之一的，视为投标人串通投标，投标无效：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27.5.1不同投标人的投标文件由同一单位或者个人编制。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27.5.2不同投标人委托同一单位或者个人办理投标事宜。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27.5.3 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27.5.4不同投标人的投标文件异常一致或者投标报价呈规律性差异。</w:t>
      </w:r>
      <w:r/>
    </w:p>
    <w:p>
      <w:pPr>
        <w:pStyle w:val="1002"/>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28、质疑处理</w:t>
      </w:r>
      <w:bookmarkEnd w:id="179"/>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或采购人提出质疑。上述应知其权益受到损害之日，是指：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28.2.1对可以质疑的采购文件提出质疑的，为收到采购文件之日或者采购文件公告期限届满之日；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28.2.2对采购过程提出质疑的，为各采购程序环节结束之日；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28.2.3对中标或者成交结果提出质疑的，为中标或者成交结果公告期限届满之日。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、采购人将只对供应商第一次质疑作出答复。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28.4</w:t>
      </w:r>
      <w:r>
        <w:rPr>
          <w:rFonts w:hint="eastAsia" w:asciiTheme="minorEastAsia" w:hAnsiTheme="minorEastAsia" w:eastAsiaTheme="minorEastAsia" w:cstheme="minorEastAsia"/>
          <w:b/>
          <w:bCs/>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sz w:val="24"/>
          <w:szCs w:val="24"/>
        </w:rPr>
        <w:t xml:space="preserve">供应商对除上述事项以外其他事项的询问、质疑请向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提出，由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负责答复。</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采购人及</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不接受未填写快递运单的快件）。</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采购人质疑接收部门及联系方式见第一章投标邀请。建装中心质疑接收部门为项目管理科（快递运单上的收件人填写“项目管理科”即可），联系地址：常州市新市路9号，联系电话：0519-86802236。</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28.5 以下情形的质疑不予受理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 内容不符合《政府采购质疑和投诉办法》第十二条规定的质疑。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 超出政府采购法定期限的质疑。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以传真、电子邮件等方式递交的非原件形式的质疑。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 未参加投标活动的供应商或在投标活动中自身权益未受到损害的供应商所提出的质疑。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28.5.5供应商组成联合体参加投标，联合体中任何一方或多方未按要求签字、盖章、加盖公章的质疑。</w:t>
      </w:r>
      <w:r/>
    </w:p>
    <w:p>
      <w:pPr>
        <w:ind w:firstLine="468"/>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有权依据政府采购的有关规定，报请政府采购监管部门对该供应商进行相应的行政处罚和记录该供应商的失信信息。</w:t>
      </w:r>
      <w:r/>
    </w:p>
    <w:p>
      <w:pPr>
        <w:pStyle w:val="1002"/>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29、中标通知书</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将向中标人发出中标通知书。请中标人在</w:t>
      </w:r>
      <w:r>
        <w:rPr>
          <w:rFonts w:hint="eastAsia" w:asciiTheme="minorEastAsia" w:hAnsiTheme="minorEastAsia" w:eastAsiaTheme="minorEastAsia" w:cstheme="minorEastAsia"/>
          <w:sz w:val="24"/>
        </w:rPr>
        <w:t xml:space="preserve">中标结果公告届满之日起30日内</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000"/>
        <w:spacing w:before="156" w:after="156" w:line="360" w:lineRule="auto"/>
        <w:rPr>
          <w:rFonts w:hint="eastAsia" w:asciiTheme="minorEastAsia" w:hAnsiTheme="minorEastAsia" w:eastAsiaTheme="minorEastAsia" w:cstheme="minorEastAsia"/>
        </w:rPr>
      </w:pPr>
      <w:r/>
      <w:bookmarkStart w:id="180" w:name="_Toc120614220"/>
      <w:r/>
      <w:bookmarkStart w:id="181" w:name="_Toc16938552"/>
      <w:r/>
      <w:bookmarkStart w:id="182" w:name="_Toc513029236"/>
      <w:r/>
      <w:bookmarkStart w:id="183" w:name="_Toc20823308"/>
      <w:r>
        <w:rPr>
          <w:rFonts w:hint="eastAsia" w:asciiTheme="minorEastAsia" w:hAnsiTheme="minorEastAsia" w:eastAsiaTheme="minorEastAsia" w:cstheme="minorEastAsia"/>
        </w:rPr>
        <w:t xml:space="preserve">七、授予合同</w:t>
      </w:r>
      <w:bookmarkEnd w:id="180"/>
      <w:r/>
      <w:bookmarkEnd w:id="181"/>
      <w:r/>
      <w:bookmarkEnd w:id="182"/>
      <w:r/>
      <w:bookmarkEnd w:id="183"/>
      <w:r/>
      <w:r/>
    </w:p>
    <w:p>
      <w:pPr>
        <w:pStyle w:val="1002"/>
        <w:ind w:firstLine="600"/>
        <w:spacing w:before="0" w:after="0" w:line="240" w:lineRule="auto"/>
        <w:rPr>
          <w:rFonts w:hint="eastAsia" w:asciiTheme="minorEastAsia" w:hAnsiTheme="minorEastAsia" w:eastAsiaTheme="minorEastAsia" w:cstheme="minorEastAsia"/>
          <w:b w:val="0"/>
          <w:sz w:val="30"/>
          <w:szCs w:val="30"/>
        </w:rPr>
      </w:pPr>
      <w:r/>
      <w:bookmarkStart w:id="184" w:name="_Toc513029237"/>
      <w:r/>
      <w:bookmarkStart w:id="185" w:name="_Toc16938553"/>
      <w:r/>
      <w:bookmarkStart w:id="186" w:name="_Toc20823309"/>
      <w:r>
        <w:rPr>
          <w:rFonts w:hint="eastAsia" w:asciiTheme="minorEastAsia" w:hAnsiTheme="minorEastAsia" w:eastAsiaTheme="minorEastAsia" w:cstheme="minorEastAsia"/>
          <w:b w:val="0"/>
          <w:sz w:val="30"/>
          <w:szCs w:val="30"/>
        </w:rPr>
        <w:t xml:space="preserve">30. 签订合同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w:t>
      </w:r>
      <w:r>
        <w:rPr>
          <w:rFonts w:hint="eastAsia" w:asciiTheme="minorEastAsia" w:hAnsiTheme="minorEastAsia" w:eastAsiaTheme="minorEastAsia" w:cstheme="minorEastAsia"/>
          <w:sz w:val="24"/>
          <w:szCs w:val="24"/>
        </w:rPr>
        <w:t xml:space="preserve">.l</w:t>
      </w:r>
      <w:r>
        <w:rPr>
          <w:rFonts w:hint="eastAsia" w:asciiTheme="minorEastAsia" w:hAnsiTheme="minorEastAsia" w:eastAsiaTheme="minorEastAsia" w:cstheme="minorEastAsia"/>
          <w:sz w:val="24"/>
        </w:rPr>
        <w:t xml:space="preserve">中标人应当在中标通知书发出之日起三十日内</w:t>
      </w:r>
      <w:r>
        <w:rPr>
          <w:rFonts w:hint="eastAsia" w:asciiTheme="minorEastAsia" w:hAnsiTheme="minorEastAsia" w:eastAsiaTheme="minorEastAsia" w:cstheme="minorEastAsia"/>
          <w:sz w:val="24"/>
          <w:szCs w:val="24"/>
        </w:rPr>
        <w:t xml:space="preserve">，按照招标文件确定的事项与采购人签订政府采购合同。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w:t>
      </w:r>
      <w:r>
        <w:rPr>
          <w:rFonts w:hint="eastAsia" w:asciiTheme="minorEastAsia" w:hAnsiTheme="minorEastAsia" w:eastAsiaTheme="minorEastAsia" w:cstheme="minorEastAsia"/>
          <w:i/>
          <w:sz w:val="24"/>
          <w:szCs w:val="24"/>
          <w:u w:val="single"/>
        </w:rPr>
        <w:t xml:space="preserve">中标人不得将合同标的进行转包</w:t>
      </w:r>
      <w:r>
        <w:rPr>
          <w:rFonts w:hint="eastAsia" w:asciiTheme="minorEastAsia" w:hAnsiTheme="minorEastAsia" w:eastAsiaTheme="minorEastAsia" w:cstheme="minorEastAsia"/>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rPr>
          <w:rFonts w:hint="eastAsia"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sz w:val="24"/>
          <w:szCs w:val="24"/>
        </w:rPr>
        <w:t xml:space="preserve">31</w:t>
      </w:r>
      <w:r>
        <w:rPr>
          <w:rFonts w:hint="eastAsia" w:asciiTheme="minorEastAsia" w:hAnsiTheme="minorEastAsia" w:eastAsiaTheme="minorEastAsia" w:cstheme="minorEastAsia"/>
          <w:bCs/>
          <w:sz w:val="24"/>
          <w:szCs w:val="24"/>
        </w:rPr>
        <w:t xml:space="preserve">、货物（包含与货物相关的服务）的追加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1002"/>
        <w:ind w:firstLine="600"/>
        <w:spacing w:before="0" w:after="0" w:line="240" w:lineRule="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32、需要执行的政府采购政策（包括但不限于）</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32.1履约资金扶持政策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32.2进口产品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32.3中小企业、监狱企业及残疾人福利性单位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32.3.1中小企业定义：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中小企业是</w:t>
      </w:r>
      <w:r>
        <w:rPr>
          <w:rFonts w:hint="eastAsia" w:asciiTheme="minorEastAsia" w:hAnsiTheme="minorEastAsia" w:eastAsiaTheme="minorEastAsia" w:cstheme="minorEastAsia"/>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32.3.2供应商提供的货物、工程或者服务符合下列情形的，享受中小企业扶持政策：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32.3.2.1</w:t>
      </w: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32.3.2.2在工程采购项目中，工程由中小企业承建，即工程施工单位为中小企业；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32.3.6残疾人福利单位定义：享受政府采购支持政策的残疾人福利性单位应当同时满足以下条件：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32.3.6.1安置的残疾人占本单位在职职工人数的比例不低于25%（含25%），并且安置的残疾人人数不少于10 人（含10 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32.3.6.2依法与安置的每位残疾人签订了一年以上（含一年）的劳动合同或服务协议；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32.3.7本项目是否专门面向中小企业预留采购份额见第一章《投标邀请》。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32.3.8采购标的对应的中小企业划分标准所属行业见第四章《采购需求》。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32.3.9小微企业价格评审优惠的政策调整：见第五章《评标方法和评标标准》。</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32.4政府采购节能产品、环境标志产品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32.4.2采购人拟采购的产品属于品目清单范围的，采购人及其委托的采购代理机构</w:t>
      </w:r>
      <w:r>
        <w:rPr>
          <w:rFonts w:hint="eastAsia" w:asciiTheme="minorEastAsia" w:hAnsiTheme="minorEastAsia" w:eastAsiaTheme="minorEastAsia" w:cstheme="minorEastAsia"/>
          <w:sz w:val="24"/>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sz w:val="24"/>
          <w:szCs w:val="24"/>
        </w:rPr>
        <w:t xml:space="preserve">。关于政府采购节能产品、环境标志产品的相关规定依据《关于调整优化节能产品、环境标志产品政府采购执行机制的通知》（财库〔2019〕9号）。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32.4.3</w:t>
      </w:r>
      <w:r>
        <w:rPr>
          <w:rFonts w:hint="eastAsia" w:asciiTheme="minorEastAsia" w:hAnsiTheme="minorEastAsia" w:eastAsiaTheme="minorEastAsia" w:cstheme="minorEastAsia"/>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32.4.4非政府强制采购的节能产品或环境标志产品，依据品目清单和认证证书实施政府优先采购。优先采购的具体规定见第五章《评标方法和评标标准》（如涉及）。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32.5绿色包装</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32.6支持乡村产业振兴管理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32.7正版软件</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sz w:val="24"/>
          <w:szCs w:val="24"/>
        </w:rPr>
        <w:t xml:space="preserve">其中，国家有特殊信息安全要求的项目必须采购认证产品，否则投标无效。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sz w:val="24"/>
        </w:rPr>
        <w:t xml:space="preserve">已预装正版操作系统软件</w:t>
      </w:r>
      <w:r>
        <w:rPr>
          <w:rFonts w:hint="eastAsia" w:asciiTheme="minorEastAsia" w:hAnsiTheme="minorEastAsia" w:eastAsiaTheme="minorEastAsia" w:cstheme="minorEastAsia"/>
          <w:sz w:val="24"/>
          <w:szCs w:val="24"/>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32.8政府采购创新产品政策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sz w:val="24"/>
        </w:rPr>
        <w:t xml:space="preserve">有效期内的创新产品、创新服务、首台套、首购首用等《目录》的创新产品</w:t>
      </w:r>
      <w:r>
        <w:rPr>
          <w:rFonts w:hint="eastAsia" w:asciiTheme="minorEastAsia" w:hAnsiTheme="minorEastAsia" w:eastAsiaTheme="minorEastAsia" w:cstheme="minorEastAsia"/>
          <w:sz w:val="24"/>
          <w:szCs w:val="24"/>
        </w:rPr>
        <w:t xml:space="preserve">，上述《目录》内创新产品，</w:t>
      </w:r>
      <w:r>
        <w:rPr>
          <w:rFonts w:hint="eastAsia" w:asciiTheme="minorEastAsia" w:hAnsiTheme="minorEastAsia" w:eastAsiaTheme="minorEastAsia" w:cstheme="minorEastAsia"/>
          <w:sz w:val="24"/>
        </w:rPr>
        <w:t xml:space="preserve">自认定之日起2年内视同已具备相应销售业绩，参加政府采购活动时业绩分值为满分。</w:t>
      </w:r>
      <w:r>
        <w:rPr>
          <w:rFonts w:hint="eastAsia" w:asciiTheme="minorEastAsia" w:hAnsiTheme="minorEastAsia" w:eastAsiaTheme="minorEastAsia" w:cstheme="minorEastAsia"/>
          <w:sz w:val="24"/>
          <w:szCs w:val="24"/>
        </w:rPr>
        <w:t xml:space="preserve">（如涉及）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32.9绿色数据中心政策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sz w:val="24"/>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sz w:val="24"/>
          <w:szCs w:val="24"/>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z w:val="24"/>
          <w:szCs w:val="24"/>
        </w:rPr>
        <w:t xml:space="preserve">32.10履约保证金相关政策</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pStyle w:val="997"/>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47"/>
      <w:r/>
      <w:bookmarkEnd w:id="48"/>
      <w:r/>
      <w:bookmarkEnd w:id="49"/>
      <w:r/>
      <w:bookmarkEnd w:id="50"/>
      <w:r/>
      <w:bookmarkEnd w:id="51"/>
      <w:r/>
      <w:r/>
    </w:p>
    <w:p>
      <w:pPr>
        <w:jc w:val="center"/>
        <w:keepNext/>
        <w:rPr>
          <w:rFonts w:hint="eastAsia" w:asciiTheme="minorEastAsia" w:hAnsiTheme="minorEastAsia" w:eastAsiaTheme="minorEastAsia" w:cstheme="minorEastAsia"/>
          <w:bCs/>
          <w:sz w:val="44"/>
          <w:szCs w:val="28"/>
        </w:rPr>
        <w:outlineLvl w:val="0"/>
      </w:pPr>
      <w:r/>
      <w:bookmarkStart w:id="187" w:name="_Toc513029243"/>
      <w:r/>
      <w:bookmarkStart w:id="188" w:name="_Toc16938559"/>
      <w:r/>
      <w:bookmarkStart w:id="189" w:name="_Toc20823315"/>
      <w:r>
        <w:rPr>
          <w:rFonts w:hint="eastAsia" w:asciiTheme="minorEastAsia" w:hAnsiTheme="minorEastAsia" w:eastAsiaTheme="minorEastAsia" w:cstheme="minorEastAsia"/>
          <w:bCs/>
          <w:sz w:val="44"/>
          <w:szCs w:val="28"/>
        </w:rPr>
        <w:t xml:space="preserve">第三章  合同文本</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以下为中标后签定本项目合同的通用条款，中标人不得提出实质性的修改。</w:t>
      </w:r>
      <w:r/>
    </w:p>
    <w:p>
      <w:pPr>
        <w:jc w:val="center"/>
        <w:spacing w:before="120" w:after="120"/>
        <w:rPr>
          <w:rFonts w:hint="eastAsia" w:asciiTheme="minorEastAsia" w:hAnsiTheme="minorEastAsia" w:eastAsiaTheme="minorEastAsia" w:cstheme="minorEastAsia"/>
          <w:b/>
          <w:bCs/>
          <w:sz w:val="30"/>
          <w:szCs w:val="20"/>
        </w:rPr>
        <w:outlineLvl w:val="0"/>
      </w:pPr>
      <w:r>
        <w:rPr>
          <w:rFonts w:hint="eastAsia" w:asciiTheme="minorEastAsia" w:hAnsiTheme="minorEastAsia" w:eastAsiaTheme="minorEastAsia" w:cstheme="minorEastAsia"/>
          <w:b/>
          <w:sz w:val="30"/>
        </w:rPr>
        <w:t xml:space="preserve">江苏省政府采购合同（货物）（合同编号）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项目编号：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甲方：（买方）_________</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乙方：（卖方）_________</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甲、乙双方根据江苏省政府采购中心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标的名称：</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标的质量：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标的数量（规模）：</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履行时间（期限）：</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履行地点：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履行方式：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包装方式：</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本合同金额为（大写）：_______圆（___元）人民币或其他币种。</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四、知识产权</w:t>
      </w:r>
      <w:r/>
    </w:p>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4.1乙</w:t>
      </w:r>
      <w:r>
        <w:rPr>
          <w:rFonts w:hint="eastAsia" w:asciiTheme="minorEastAsia" w:hAnsiTheme="minorEastAsia" w:eastAsiaTheme="minorEastAsia" w:cstheme="minorEastAsia"/>
          <w:sz w:val="24"/>
        </w:rPr>
        <w:t xml:space="preserve">方应保证甲方在使用、接受本合同货物</w:t>
      </w:r>
      <w:r>
        <w:rPr>
          <w:rFonts w:hint="eastAsia" w:asciiTheme="minorEastAsia" w:hAnsiTheme="minorEastAsia" w:eastAsiaTheme="minorEastAsia" w:cstheme="minorEastAsia"/>
          <w:sz w:val="24"/>
          <w:szCs w:val="24"/>
        </w:rPr>
        <w:t xml:space="preserve">（包含与货物相关的服务）</w:t>
      </w:r>
      <w:r>
        <w:rPr>
          <w:rFonts w:hint="eastAsia" w:asciiTheme="minorEastAsia" w:hAnsiTheme="minorEastAsia" w:eastAsiaTheme="minorEastAsia" w:cstheme="minorEastAsia"/>
          <w:sz w:val="24"/>
        </w:rPr>
        <w:t xml:space="preserve">或其任何一部分时不受第三方提出侵犯其专利权、版权、商标权和工业设计权等知识产权的起诉。一旦出现侵权，由乙方负全部责任。</w:t>
      </w:r>
      <w:r/>
    </w:p>
    <w:p>
      <w:pPr>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ind w:left="410" w:hanging="410"/>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left="408"/>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七、合同转包或分包</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八、合同款项支付</w:t>
      </w:r>
      <w:r/>
    </w:p>
    <w:p>
      <w:pPr>
        <w:spacing w:before="120" w:after="1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8.1合同款项的支付方式及进度安排：本合同货物在规定的时间内供货，验收合格，自验收合格之日起十个工作日内一次性付清。</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九、税费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ind w:left="412" w:hanging="412"/>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十、质量保修范围和保修期及售后服务</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乙方应按招标文件规定的货物性能、技术要求、质量标准向甲方提供未经使用的全新产品。</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⑴更换：由乙方承担所发生的全部费用。</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⑵贬值处理：由甲乙双方合议定价。</w:t>
      </w:r>
      <w:r/>
    </w:p>
    <w:p>
      <w:pPr>
        <w:ind w:left="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⑶退货处理：乙方应退还甲方支付的合同款，同时应承担该货物的直接费用（运输、保险、检验、货款利息及银行手续费等）。</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如在使用过程中发生质量问题，乙方在接到甲方通知后在_________小时内到达甲方现场。</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在质保期内，乙方应对货物出现的质量及安全问题负责处理解决并承担一切费用。</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10.5上述的货物免费保修期为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年（自交货验收合格之日起计），因人为因素出现的故障不在免费保修范围内。超过保修期的机器设备，终生维修，维修时只收部件成本费。</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十一、项目验收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甲方依法组织履约验收工作。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对于实际使用人和甲方分离的项目，甲方邀请实际使用人参与验收。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十二、货物的包装、发运及运输</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使用说明书、质量检验证明书、随配附件和工具以及清单一并附于货物内。</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乙方在货物发运手续办理完毕后24小时内或货到甲方48小时前通知甲方，以准备接货。</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货物在交付甲方前发生的风险均由乙方负责。</w:t>
      </w:r>
      <w:r/>
    </w:p>
    <w:p>
      <w:pPr>
        <w:ind w:left="480" w:right="26" w:hanging="480"/>
        <w:spacing w:before="156" w:after="15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货物在规定的交付期限内由乙方送达甲方指定的地点视为交付，乙方同时需通知甲方货物已送达。</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十三、违约责任</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甲方无正当理由拒收货物的，甲方向乙方偿付拒收货款总值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甲方无故逾期验收和办理货款支付手续的,甲方应按逾期付款总额每日</w:t>
      </w:r>
      <w:r>
        <w:rPr>
          <w:rFonts w:hint="eastAsia" w:ascii="宋体" w:hAnsi="宋体" w:cs="Courier New"/>
          <w:color w:val="auto"/>
          <w:sz w:val="24"/>
          <w:szCs w:val="24"/>
          <w:u w:val="single"/>
          <w:lang w:val="en-US" w:eastAsia="zh-CN"/>
        </w:rPr>
        <w:t xml:space="preserve"> ‌6‰‌</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向乙方支付违约金。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 </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十四、不可抗力事件处理</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在合同有效期内，任何一方因不可抗力事件导致不能履行合同，则合同履行期可延长，其延长期与不可抗力影响期相同。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不可抗力事件发生后，应立即通知对方，并寄送有关权威机构出具的证明。</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不可抗力事件延续120天以上，双方应通过友好协商，确定是否继续履行合同。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十五、解决争议的方法</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15.1甲乙双方因合同签订、履行而发生的一切争议，应通过友好协商解决。如协商不成由甲方住所地人民法院管辖。</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十六、合同生效及其它</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合同经双方法定代表人或授权委托代表人签字并加盖单位公章后生效。</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16.2本合同未尽事宜，遵照《民法典》、《政府采购法》有关条文执行。</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 本合同正本一式两份，具有同等法律效力，甲方、乙方各执一份。</w:t>
      </w:r>
      <w:r/>
    </w:p>
    <w:p>
      <w:pPr>
        <w:ind w:left="480" w:hanging="480"/>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                        乙方：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地址：                        地址：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法定代表人或授权代表：        法定代表人或授权代表：</w:t>
      </w:r>
      <w:r/>
    </w:p>
    <w:p>
      <w:pPr>
        <w:ind w:firstLine="240"/>
        <w:spacing w:before="120" w:after="12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联系电话：                    联系电话：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szCs w:val="24"/>
        </w:rPr>
        <w:t xml:space="preserve">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sz w:val="24"/>
          <w:szCs w:val="24"/>
        </w:rPr>
        <w:t xml:space="preserve">                    签订日期：      年    月   日</w:t>
      </w:r>
      <w:bookmarkStart w:id="190" w:name="_Hlt16619369"/>
      <w:r/>
      <w:bookmarkEnd w:id="190"/>
      <w:r>
        <w:rPr>
          <w:rFonts w:hint="eastAsia" w:asciiTheme="minorEastAsia" w:hAnsiTheme="minorEastAsia" w:eastAsiaTheme="minorEastAsia" w:cstheme="minorEastAsia"/>
          <w:bCs/>
          <w:sz w:val="44"/>
        </w:rPr>
        <w:br w:type="page" w:clear="all"/>
      </w:r>
      <w:bookmarkEnd w:id="187"/>
      <w:r/>
      <w:bookmarkEnd w:id="188"/>
      <w:r/>
      <w:bookmarkEnd w:id="189"/>
      <w:r/>
      <w:r/>
    </w:p>
    <w:p>
      <w:pPr>
        <w:pStyle w:val="994"/>
        <w:rPr>
          <w:rFonts w:hint="eastAsia" w:asciiTheme="minorEastAsia" w:hAnsiTheme="minorEastAsia" w:eastAsiaTheme="minorEastAsia" w:cstheme="minorEastAsia"/>
          <w:b/>
          <w:bCs/>
          <w:sz w:val="44"/>
        </w:rPr>
      </w:pPr>
      <w:r/>
      <w:bookmarkStart w:id="191" w:name="_Toc17950"/>
      <w:r/>
      <w:bookmarkStart w:id="192" w:name="_Toc120614281"/>
      <w:r/>
      <w:bookmarkStart w:id="193" w:name="_Toc26554093"/>
      <w:r/>
      <w:bookmarkStart w:id="194" w:name="_Toc49090575"/>
      <w:r/>
      <w:bookmarkStart w:id="195" w:name="_Toc462564139"/>
      <w:r/>
      <w:bookmarkStart w:id="196" w:name="_Toc479757211"/>
      <w:r>
        <w:rPr>
          <w:rFonts w:hint="eastAsia" w:asciiTheme="minorEastAsia" w:hAnsiTheme="minorEastAsia" w:eastAsiaTheme="minorEastAsia" w:cstheme="minorEastAsia"/>
          <w:b/>
          <w:bCs/>
          <w:sz w:val="44"/>
        </w:rPr>
        <w:t xml:space="preserve">第四章 采购需求</w:t>
      </w:r>
      <w:bookmarkEnd w:id="191"/>
      <w:r/>
      <w:r/>
    </w:p>
    <w:p>
      <w:pPr>
        <w:pStyle w:val="1084"/>
        <w:numPr>
          <w:ilvl w:val="0"/>
          <w:numId w:val="5"/>
        </w:numPr>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采购标的</w:t>
      </w:r>
      <w:r/>
    </w:p>
    <w:p>
      <w:pPr>
        <w:spacing w:line="360" w:lineRule="auto"/>
        <w:rPr>
          <w:rFonts w:hint="eastAsia" w:ascii="宋体" w:hAnsi="宋体"/>
          <w:sz w:val="24"/>
          <w:szCs w:val="24"/>
        </w:rPr>
      </w:pPr>
      <w:r>
        <w:rPr>
          <w:rFonts w:ascii="宋体" w:hAnsi="宋体"/>
          <w:bCs/>
          <w:sz w:val="24"/>
          <w:szCs w:val="24"/>
        </w:rPr>
        <w:t xml:space="preserve">1.</w:t>
      </w:r>
      <w:r>
        <w:rPr>
          <w:rFonts w:hint="eastAsia" w:ascii="宋体" w:hAnsi="宋体"/>
          <w:bCs/>
          <w:sz w:val="24"/>
          <w:szCs w:val="24"/>
        </w:rPr>
        <w:t xml:space="preserve">项目名称：</w:t>
      </w:r>
      <w:r>
        <w:rPr>
          <w:rFonts w:hint="eastAsia" w:ascii="宋体" w:hAnsi="宋体"/>
          <w:sz w:val="24"/>
          <w:szCs w:val="24"/>
        </w:rPr>
        <w:t xml:space="preserve">常州刘国钧高等职业技术学校一期区域光网（以太）建设</w:t>
      </w:r>
      <w:r/>
    </w:p>
    <w:p>
      <w:pPr>
        <w:spacing w:line="360" w:lineRule="auto"/>
        <w:rPr>
          <w:rFonts w:hint="eastAsia" w:ascii="宋体" w:hAnsi="宋体"/>
          <w:sz w:val="24"/>
          <w:szCs w:val="24"/>
        </w:rPr>
      </w:pPr>
      <w:r>
        <w:rPr>
          <w:rFonts w:hint="eastAsia" w:ascii="宋体" w:hAnsi="宋体"/>
          <w:sz w:val="24"/>
          <w:szCs w:val="24"/>
        </w:rPr>
        <w:t xml:space="preserve">2.预算金额：</w:t>
      </w:r>
      <w:r>
        <w:rPr>
          <w:rFonts w:hint="eastAsia" w:ascii="宋体" w:hAnsi="宋体"/>
          <w:sz w:val="24"/>
          <w:szCs w:val="24"/>
          <w:lang w:val="en-US" w:eastAsia="zh-CN"/>
        </w:rPr>
        <w:t xml:space="preserve">351.05</w:t>
      </w:r>
      <w:r>
        <w:rPr>
          <w:rFonts w:hint="eastAsia" w:ascii="宋体" w:hAnsi="宋体"/>
          <w:sz w:val="24"/>
          <w:szCs w:val="24"/>
        </w:rPr>
        <w:t xml:space="preserve"> 万元</w:t>
      </w:r>
      <w:r/>
    </w:p>
    <w:tbl>
      <w:tblPr>
        <w:tblStyle w:val="802"/>
        <w:tblW w:w="42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51"/>
        <w:gridCol w:w="1711"/>
        <w:gridCol w:w="1755"/>
      </w:tblGrid>
      <w:tr>
        <w:trPr>
          <w:jc w:val="center"/>
          <w:trHeight w:val="600"/>
        </w:trPr>
        <w:tc>
          <w:tcPr>
            <w:tcW w:w="459"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包号</w:t>
            </w:r>
            <w:r/>
          </w:p>
        </w:tc>
        <w:tc>
          <w:tcPr>
            <w:tcW w:w="2125" w:type="pct"/>
            <w:vAlign w:val="center"/>
            <w:textDirection w:val="lrTb"/>
            <w:noWrap w:val="false"/>
          </w:tcPr>
          <w:p>
            <w:pPr>
              <w:jc w:val="center"/>
              <w:spacing w:line="360" w:lineRule="auto"/>
              <w:widowControl/>
              <w:rPr>
                <w:rFonts w:hint="eastAsia" w:ascii="宋体" w:hAnsi="宋体" w:cs="宋体"/>
                <w:lang w:bidi="ar"/>
              </w:rPr>
            </w:pPr>
            <w:r>
              <w:rPr>
                <w:bCs/>
              </w:rPr>
              <w:t xml:space="preserve">标的名称</w:t>
            </w:r>
            <w:r/>
          </w:p>
        </w:tc>
        <w:tc>
          <w:tcPr>
            <w:tcW w:w="1192" w:type="pct"/>
            <w:vAlign w:val="center"/>
            <w:textDirection w:val="lrTb"/>
            <w:noWrap/>
          </w:tcPr>
          <w:p>
            <w:pPr>
              <w:jc w:val="center"/>
              <w:spacing w:line="360" w:lineRule="auto"/>
              <w:rPr>
                <w:bCs/>
              </w:rPr>
            </w:pPr>
            <w:r>
              <w:rPr>
                <w:bCs/>
              </w:rPr>
              <w:t xml:space="preserve">采购包预算金额</w:t>
            </w:r>
            <w:r/>
          </w:p>
          <w:p>
            <w:pPr>
              <w:jc w:val="center"/>
              <w:spacing w:line="360" w:lineRule="auto"/>
              <w:widowControl/>
              <w:rPr>
                <w:rFonts w:hint="eastAsia" w:ascii="宋体" w:hAnsi="宋体" w:cs="宋体"/>
                <w:lang w:bidi="ar"/>
              </w:rPr>
            </w:pPr>
            <w:r>
              <w:rPr>
                <w:bCs/>
              </w:rPr>
              <w:t xml:space="preserve">（万元）</w:t>
            </w:r>
            <w:r/>
          </w:p>
        </w:tc>
        <w:tc>
          <w:tcPr>
            <w:tcW w:w="1222" w:type="pct"/>
            <w:vAlign w:val="center"/>
            <w:textDirection w:val="lrTb"/>
            <w:noWrap/>
          </w:tcPr>
          <w:p>
            <w:pPr>
              <w:jc w:val="center"/>
              <w:spacing w:line="360" w:lineRule="auto"/>
              <w:widowControl/>
              <w:rPr>
                <w:rFonts w:hint="eastAsia" w:ascii="宋体" w:hAnsi="宋体" w:cs="宋体"/>
                <w:lang w:bidi="ar"/>
              </w:rPr>
            </w:pPr>
            <w:r>
              <w:rPr>
                <w:bCs/>
              </w:rPr>
              <w:t xml:space="preserve">采购包</w:t>
            </w:r>
            <w:r>
              <w:rPr>
                <w:rFonts w:hint="eastAsia" w:ascii="宋体" w:hAnsi="宋体" w:cs="宋体"/>
                <w:lang w:bidi="ar"/>
              </w:rPr>
              <w:t xml:space="preserve">最高限额</w:t>
            </w:r>
            <w:r/>
          </w:p>
          <w:p>
            <w:pPr>
              <w:jc w:val="center"/>
              <w:spacing w:line="360" w:lineRule="auto"/>
              <w:widowControl/>
              <w:rPr>
                <w:rFonts w:hint="eastAsia" w:ascii="宋体" w:hAnsi="宋体" w:cs="宋体"/>
                <w:lang w:bidi="ar"/>
              </w:rPr>
            </w:pPr>
            <w:r>
              <w:rPr>
                <w:rFonts w:hint="eastAsia" w:ascii="宋体" w:hAnsi="宋体" w:cs="宋体"/>
                <w:lang w:bidi="ar"/>
              </w:rPr>
              <w:t xml:space="preserve">（万元）</w:t>
            </w:r>
            <w:r/>
          </w:p>
        </w:tc>
      </w:tr>
      <w:tr>
        <w:trPr>
          <w:jc w:val="center"/>
          <w:trHeight w:val="600"/>
        </w:trPr>
        <w:tc>
          <w:tcPr>
            <w:tcW w:w="459"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1</w:t>
            </w:r>
            <w:r/>
          </w:p>
        </w:tc>
        <w:tc>
          <w:tcPr>
            <w:tcW w:w="2125" w:type="pct"/>
            <w:vAlign w:val="center"/>
            <w:textDirection w:val="lrTb"/>
            <w:noWrap w:val="false"/>
          </w:tcPr>
          <w:p>
            <w:pPr>
              <w:jc w:val="center"/>
              <w:spacing w:line="360" w:lineRule="auto"/>
              <w:rPr>
                <w:rFonts w:hint="eastAsia" w:asciiTheme="minorEastAsia" w:hAnsiTheme="minorEastAsia" w:eastAsiaTheme="minorEastAsia" w:cstheme="minorEastAsia"/>
                <w:color w:val="0000ff"/>
              </w:rPr>
            </w:pPr>
            <w:r>
              <w:rPr>
                <w:rFonts w:hint="eastAsia" w:asciiTheme="minorEastAsia" w:hAnsiTheme="minorEastAsia" w:eastAsiaTheme="minorEastAsia" w:cstheme="minorEastAsia"/>
              </w:rPr>
              <w:t xml:space="preserve">常州刘国钧高等职业技术学校一期区域光网（以太）建设</w:t>
            </w:r>
            <w:r/>
          </w:p>
        </w:tc>
        <w:tc>
          <w:tcPr>
            <w:tcW w:w="1192"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351.05</w:t>
            </w:r>
            <w:r/>
          </w:p>
        </w:tc>
        <w:tc>
          <w:tcPr>
            <w:tcW w:w="1222"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351.05</w:t>
            </w:r>
            <w:r/>
          </w:p>
        </w:tc>
      </w:tr>
    </w:tbl>
    <w:p>
      <w:pPr>
        <w:pStyle w:val="803"/>
      </w:pPr>
      <w:r/>
      <w:r/>
    </w:p>
    <w:p>
      <w:pPr>
        <w:numPr>
          <w:ilvl w:val="0"/>
          <w:numId w:val="6"/>
        </w:numPr>
        <w:spacing w:line="360" w:lineRule="auto"/>
        <w:rPr>
          <w:rFonts w:hint="eastAsia" w:ascii="宋体" w:hAnsi="宋体"/>
          <w:sz w:val="24"/>
          <w:szCs w:val="24"/>
        </w:rPr>
      </w:pPr>
      <w:r>
        <w:rPr>
          <w:rFonts w:hint="eastAsia" w:ascii="宋体" w:hAnsi="宋体"/>
          <w:sz w:val="24"/>
          <w:szCs w:val="24"/>
        </w:rPr>
        <w:t xml:space="preserve">采购项目概况（简介）：</w:t>
      </w:r>
      <w:r/>
    </w:p>
    <w:p>
      <w:pPr>
        <w:ind w:firstLine="480"/>
        <w:spacing w:line="360" w:lineRule="auto"/>
        <w:rPr>
          <w:rFonts w:hint="eastAsia" w:ascii="宋体" w:hAnsi="宋体"/>
          <w:sz w:val="24"/>
          <w:szCs w:val="24"/>
        </w:rPr>
      </w:pPr>
      <w:r>
        <w:rPr>
          <w:rFonts w:hint="eastAsia" w:ascii="宋体" w:hAnsi="宋体"/>
          <w:sz w:val="24"/>
          <w:szCs w:val="24"/>
        </w:rPr>
        <w:t xml:space="preserve">常州刘国钧高等职业技术学校一期区域光网（以太）项目，采用全光建设形成一张多业务万兆有线承载网。通过光入室的方式，在教学办公楼宇每个房间安装接入设备。有线网络根据每房间类型、用途、人数进行合理化点位部署，为建设区域提供有线网络覆盖。项目包括综合布线、设备安装调试、网络结构调整、管理优化提升及项目集成。</w:t>
      </w:r>
      <w:r/>
    </w:p>
    <w:p>
      <w:pPr>
        <w:spacing w:line="360" w:lineRule="auto"/>
        <w:rPr>
          <w:rFonts w:hint="eastAsia" w:ascii="宋体" w:hAnsi="宋体"/>
          <w:sz w:val="24"/>
          <w:szCs w:val="24"/>
        </w:rPr>
      </w:pPr>
      <w:r>
        <w:rPr>
          <w:rFonts w:hint="eastAsia" w:ascii="宋体" w:hAnsi="宋体"/>
          <w:sz w:val="24"/>
          <w:szCs w:val="24"/>
        </w:rPr>
        <w:t xml:space="preserve">4.合同履行期限：自合同签订生效之日起、项目验收合格之日止；</w:t>
      </w:r>
      <w:r/>
    </w:p>
    <w:p>
      <w:pPr>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rPr>
        <w:t xml:space="preserve">是/否接受联合体投标： 否  ；</w:t>
      </w:r>
      <w:r/>
    </w:p>
    <w:p>
      <w:pPr>
        <w:spacing w:line="360" w:lineRule="auto"/>
        <w:rPr>
          <w:rFonts w:hint="eastAsia" w:ascii="宋体" w:hAnsi="宋体"/>
          <w:bCs/>
          <w:sz w:val="24"/>
          <w:szCs w:val="24"/>
        </w:rPr>
      </w:pPr>
      <w:r>
        <w:rPr>
          <w:rFonts w:hint="eastAsia" w:ascii="宋体" w:hAnsi="宋体"/>
          <w:sz w:val="24"/>
          <w:szCs w:val="24"/>
        </w:rPr>
        <w:t xml:space="preserve">6.</w:t>
      </w:r>
      <w:r>
        <w:rPr>
          <w:sz w:val="24"/>
        </w:rPr>
        <w:t xml:space="preserve">是</w:t>
      </w:r>
      <w:r>
        <w:rPr>
          <w:rFonts w:hint="eastAsia"/>
          <w:sz w:val="24"/>
        </w:rPr>
        <w:t xml:space="preserve">/</w:t>
      </w:r>
      <w:r>
        <w:rPr>
          <w:sz w:val="24"/>
        </w:rPr>
        <w:t xml:space="preserve">否接受分支机构参与响应</w:t>
      </w:r>
      <w:r>
        <w:rPr>
          <w:rFonts w:ascii="宋体" w:hAnsi="宋体"/>
          <w:sz w:val="24"/>
          <w:szCs w:val="24"/>
        </w:rPr>
        <w:t xml:space="preserve">：</w:t>
      </w:r>
      <w:r>
        <w:rPr>
          <w:rFonts w:ascii="宋体" w:hAnsi="宋体"/>
          <w:bCs/>
          <w:sz w:val="24"/>
          <w:szCs w:val="24"/>
        </w:rPr>
        <w:t xml:space="preserve">否</w:t>
      </w:r>
      <w:r>
        <w:rPr>
          <w:rFonts w:hint="eastAsia" w:ascii="宋体" w:hAnsi="宋体"/>
          <w:bCs/>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7.</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ascii="宋体" w:hAnsi="宋体"/>
          <w:sz w:val="24"/>
          <w:szCs w:val="24"/>
        </w:rPr>
        <w:t xml:space="preserve">：</w:t>
      </w:r>
      <w:r>
        <w:rPr>
          <w:rFonts w:hint="eastAsia" w:ascii="宋体" w:hAnsi="宋体"/>
          <w:sz w:val="24"/>
          <w:szCs w:val="24"/>
        </w:rPr>
        <w:t xml:space="preserve">否；</w:t>
      </w:r>
      <w:r/>
    </w:p>
    <w:p>
      <w:pPr>
        <w:spacing w:line="360" w:lineRule="auto"/>
        <w:rPr>
          <w:rFonts w:hint="eastAsia" w:ascii="宋体" w:hAnsi="宋体"/>
          <w:sz w:val="24"/>
          <w:szCs w:val="24"/>
        </w:rPr>
      </w:pPr>
      <w:r>
        <w:rPr>
          <w:rFonts w:hint="eastAsia" w:ascii="宋体" w:hAnsi="宋体"/>
          <w:sz w:val="24"/>
          <w:szCs w:val="24"/>
        </w:rPr>
        <w:t xml:space="preserve">8.</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w:t>
      </w:r>
      <w:r>
        <w:rPr>
          <w:rFonts w:ascii="宋体" w:hAnsi="宋体"/>
          <w:sz w:val="24"/>
          <w:szCs w:val="24"/>
        </w:rPr>
        <w:t xml:space="preserve">否</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9.</w:t>
      </w:r>
      <w:r>
        <w:rPr>
          <w:rFonts w:hint="eastAsia"/>
          <w:sz w:val="24"/>
        </w:rPr>
        <w:t xml:space="preserve">是/否</w:t>
      </w:r>
      <w:r>
        <w:rPr>
          <w:sz w:val="24"/>
        </w:rPr>
        <w:t xml:space="preserve">专门面向中小企业预留采购份额</w:t>
      </w:r>
      <w:r>
        <w:rPr>
          <w:rFonts w:hint="eastAsia" w:ascii="宋体" w:hAnsi="宋体"/>
          <w:sz w:val="24"/>
          <w:szCs w:val="24"/>
        </w:rPr>
        <w:t xml:space="preserve">：否；</w:t>
      </w:r>
      <w:r/>
    </w:p>
    <w:p>
      <w:pPr>
        <w:spacing w:line="360" w:lineRule="auto"/>
        <w:rPr>
          <w:sz w:val="24"/>
        </w:rPr>
      </w:pPr>
      <w:r>
        <w:rPr>
          <w:rFonts w:hint="eastAsia"/>
          <w:sz w:val="24"/>
        </w:rPr>
        <w:t xml:space="preserve">10.本项目的特定资格要求：无；</w:t>
      </w:r>
      <w:r/>
    </w:p>
    <w:p>
      <w:pPr>
        <w:spacing w:line="360" w:lineRule="auto"/>
        <w:rPr>
          <w:sz w:val="24"/>
        </w:rPr>
      </w:pPr>
      <w:r>
        <w:rPr>
          <w:rFonts w:hint="eastAsia"/>
          <w:sz w:val="24"/>
        </w:rPr>
        <w:t xml:space="preserve">11.项目类别：货物类；</w:t>
      </w:r>
      <w:r/>
    </w:p>
    <w:p>
      <w:pPr>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12.其他，统一安排现场踏勘，时间：2026年 </w:t>
      </w:r>
      <w:r>
        <w:rPr>
          <w:rFonts w:hint="eastAsia" w:asciiTheme="minorEastAsia" w:hAnsiTheme="minorEastAsia" w:eastAsiaTheme="minorEastAsia" w:cstheme="minorEastAsia"/>
          <w:b/>
          <w:bCs/>
          <w:sz w:val="24"/>
          <w:lang w:val="en-US" w:eastAsia="zh-CN"/>
        </w:rPr>
        <w:t xml:space="preserve">6</w:t>
      </w:r>
      <w:r>
        <w:rPr>
          <w:rFonts w:hint="eastAsia" w:asciiTheme="minorEastAsia" w:hAnsiTheme="minorEastAsia" w:eastAsiaTheme="minorEastAsia" w:cstheme="minorEastAsia"/>
          <w:b/>
          <w:bCs/>
          <w:sz w:val="24"/>
        </w:rPr>
        <w:t xml:space="preserve">月</w:t>
      </w:r>
      <w:r>
        <w:rPr>
          <w:rFonts w:hint="eastAsia" w:asciiTheme="minorEastAsia" w:hAnsiTheme="minorEastAsia" w:eastAsiaTheme="minorEastAsia" w:cstheme="minorEastAsia"/>
          <w:b/>
          <w:bCs/>
          <w:sz w:val="24"/>
          <w:lang w:val="en-US" w:eastAsia="zh-CN"/>
        </w:rPr>
        <w:t xml:space="preserve">2</w:t>
      </w:r>
      <w:r>
        <w:rPr>
          <w:rFonts w:hint="eastAsia" w:asciiTheme="minorEastAsia" w:hAnsiTheme="minorEastAsia" w:eastAsiaTheme="minorEastAsia" w:cstheme="minorEastAsia"/>
          <w:b/>
          <w:bCs/>
          <w:sz w:val="24"/>
        </w:rPr>
        <w:t xml:space="preserve"> 日  8点00分-16点00分，采购单位联系人见（联系方式见采购文件第一章）。</w:t>
      </w:r>
      <w:r/>
    </w:p>
    <w:p>
      <w:pPr>
        <w:pStyle w:val="1084"/>
        <w:numPr>
          <w:ilvl w:val="0"/>
          <w:numId w:val="5"/>
        </w:numPr>
        <w:jc w:val="both"/>
        <w:spacing w:line="400" w:lineRule="exact"/>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政府采购中实施本国产品标准及相关政策</w:t>
      </w:r>
      <w:r/>
    </w:p>
    <w:p>
      <w:pPr>
        <w:pStyle w:val="1084"/>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1.本项目对采购本国产品给予政策支持，具体内容见招标文件“第五章 评标方法与评标标准”。</w:t>
      </w:r>
      <w:r/>
    </w:p>
    <w:p>
      <w:pPr>
        <w:pStyle w:val="1084"/>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4"/>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4"/>
        <w:numPr>
          <w:ilvl w:val="0"/>
          <w:numId w:val="5"/>
        </w:numPr>
        <w:jc w:val="both"/>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商务要求（本部分内容所有条款均为实质性要求）</w:t>
      </w:r>
      <w:r/>
    </w:p>
    <w:tbl>
      <w:tblPr>
        <w:tblStyle w:val="8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合同主体</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宋体" w:hAnsi="宋体" w:cs="宋体"/>
              </w:rPr>
              <w:t xml:space="preserve">本项目合同主体与付款单位为：</w:t>
            </w:r>
            <w:r>
              <w:rPr>
                <w:rFonts w:hint="eastAsia" w:asciiTheme="minorEastAsia" w:hAnsiTheme="minorEastAsia" w:eastAsiaTheme="minorEastAsia" w:cstheme="minorEastAsia"/>
              </w:rPr>
              <w:t xml:space="preserve">常州刘国钧高等职业技术学校</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项目免费质保期：自验收合格之日起至少三年原厂质保，签订合同前应将下列材料送达采购人（联系方式见采购文件第一章）：</w:t>
            </w:r>
            <w:r>
              <w:rPr>
                <w:rFonts w:hint="eastAsia"/>
              </w:rPr>
              <w:t xml:space="preserve">（1）</w:t>
            </w:r>
            <w:r>
              <w:rPr>
                <w:rFonts w:hint="eastAsia"/>
                <w:color w:val="auto"/>
              </w:rPr>
              <w:t xml:space="preserve">提供</w:t>
            </w:r>
            <w:r>
              <w:rPr>
                <w:rFonts w:hint="eastAsia"/>
                <w:color w:val="auto"/>
                <w:lang w:val="en-US" w:eastAsia="zh-CN"/>
              </w:rPr>
              <w:t xml:space="preserve">指定</w:t>
            </w:r>
            <w:r>
              <w:rPr>
                <w:rFonts w:hint="eastAsia"/>
                <w:color w:val="auto"/>
              </w:rPr>
              <w:t xml:space="preserve">所投产品</w:t>
            </w:r>
            <w:r>
              <w:rPr>
                <w:rFonts w:hint="eastAsia" w:ascii="宋体" w:hAnsi="宋体" w:cs="宋体"/>
                <w:b/>
                <w:bCs/>
                <w:color w:val="auto"/>
              </w:rPr>
              <w:t xml:space="preserve">质保函原件</w:t>
            </w:r>
            <w:r>
              <w:rPr>
                <w:rFonts w:hint="eastAsia"/>
                <w:color w:val="auto"/>
              </w:rPr>
              <w:t xml:space="preserve">(加盖原厂鲜章，同时应提供原厂联系人姓名和联系电话，</w:t>
            </w:r>
            <w:r>
              <w:rPr>
                <w:rFonts w:hint="eastAsia"/>
                <w:color w:val="auto"/>
                <w:lang w:val="en-US" w:eastAsia="zh-CN"/>
              </w:rPr>
              <w:t xml:space="preserve">刘国钧高职校的所有网络设备及</w:t>
            </w:r>
            <w:r>
              <w:rPr>
                <w:rFonts w:hint="eastAsia" w:ascii="宋体" w:hAnsi="宋体" w:eastAsia="宋体" w:cs="宋体"/>
                <w:color w:val="auto"/>
                <w:sz w:val="21"/>
                <w:szCs w:val="21"/>
                <w:highlight w:val="none"/>
                <w:lang w:val="en-US" w:eastAsia="zh-CN"/>
              </w:rPr>
              <w:t xml:space="preserve">六类双绞线、所有光缆、</w:t>
            </w:r>
            <w:r>
              <w:rPr>
                <w:rFonts w:hint="eastAsia" w:ascii="宋体" w:hAnsi="宋体" w:eastAsia="宋体" w:cs="宋体"/>
                <w:i w:val="0"/>
                <w:iCs w:val="0"/>
                <w:color w:val="auto"/>
                <w:sz w:val="21"/>
                <w:szCs w:val="21"/>
                <w:highlight w:val="none"/>
                <w:u w:val="none"/>
                <w:lang w:val="en-US" w:eastAsia="zh-CN" w:bidi="ar"/>
              </w:rPr>
              <w:t xml:space="preserve">光纤尾纤、跳线、所有机柜</w:t>
            </w:r>
            <w:r>
              <w:rPr>
                <w:rFonts w:hint="eastAsia"/>
                <w:color w:val="auto"/>
              </w:rPr>
              <w:t xml:space="preserve">)。</w:t>
            </w:r>
            <w:r>
              <w:rPr>
                <w:rFonts w:hint="eastAsia" w:asciiTheme="minorEastAsia" w:hAnsiTheme="minorEastAsia" w:eastAsiaTheme="minorEastAsia" w:cstheme="minorEastAsia"/>
              </w:rPr>
              <w:t xml:space="preserve">（2）国家相关标准另有规定的从其规定。</w:t>
            </w:r>
            <w:r/>
          </w:p>
          <w:p>
            <w:pPr>
              <w:spacing w:line="400" w:lineRule="exact"/>
              <w:rPr>
                <w:rFonts w:hint="eastAsia" w:ascii="宋体" w:hAnsi="宋体" w:cs="宋体"/>
                <w:b/>
                <w:bCs/>
              </w:rPr>
            </w:pPr>
            <w:r>
              <w:rPr>
                <w:rFonts w:hint="eastAsia" w:ascii="宋体" w:hAnsi="宋体" w:cs="宋体"/>
                <w:b/>
                <w:bCs/>
              </w:rPr>
              <w:t xml:space="preserve">若在合同签订前核查发现供应商未按要求提供材料，或所提供材料存在以下情形之一的，视为不具备履约能力，采购人应及时报相关部门处置。</w:t>
            </w:r>
            <w:r/>
          </w:p>
          <w:p>
            <w:pPr>
              <w:spacing w:line="400" w:lineRule="exact"/>
              <w:rPr>
                <w:rFonts w:hint="eastAsia" w:ascii="宋体" w:hAnsi="宋体" w:cs="宋体"/>
                <w:b/>
                <w:bCs/>
              </w:rPr>
            </w:pPr>
            <w:r>
              <w:rPr>
                <w:rFonts w:hint="eastAsia" w:ascii="宋体" w:hAnsi="宋体" w:cs="宋体"/>
                <w:b/>
                <w:bCs/>
              </w:rPr>
              <w:t xml:space="preserve">① 材料形式有瑕疵，但内容真实、可补正的，采购人书面通知供应商在法定签订合同截止时间前一次性补正，逾期未补正或补正仍不符合要求的。</w:t>
            </w:r>
            <w:r/>
          </w:p>
          <w:p>
            <w:pPr>
              <w:spacing w:line="400" w:lineRule="exact"/>
              <w:rPr>
                <w:rFonts w:hint="eastAsia" w:asciiTheme="minorEastAsia" w:hAnsiTheme="minorEastAsia" w:eastAsiaTheme="minorEastAsia" w:cstheme="minorEastAsia"/>
              </w:rPr>
            </w:pPr>
            <w:r>
              <w:rPr>
                <w:rFonts w:hint="eastAsia" w:ascii="宋体" w:hAnsi="宋体" w:cs="宋体"/>
                <w:b/>
                <w:bCs/>
              </w:rPr>
              <w:t xml:space="preserve">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质保条款：</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（1）项目质保期内所有产品第一个月出现故障整机更换；</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（2）原厂质保期内提供免费返厂维修服务；</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（3）项目质保期内提供设备定期巡检、维护等服务（提供每月一次电话回访，每学期至少一次免费巡检服务，发现问题及时解决）；</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自合同签订生效之日起、截止</w:t>
            </w:r>
            <w:r>
              <w:rPr>
                <w:rFonts w:hint="eastAsia" w:asciiTheme="minorEastAsia" w:hAnsiTheme="minorEastAsia" w:eastAsiaTheme="minorEastAsia" w:cstheme="minorEastAsia"/>
                <w:color w:val="ff0000"/>
              </w:rPr>
              <w:t xml:space="preserve">2026年 7月 30 日前</w:t>
            </w:r>
            <w:r>
              <w:rPr>
                <w:rFonts w:hint="eastAsia" w:asciiTheme="minorEastAsia" w:hAnsiTheme="minorEastAsia" w:eastAsiaTheme="minorEastAsia" w:cstheme="minorEastAsia"/>
              </w:rPr>
              <w:t xml:space="preserve">完成设备安装和调试。安装调试完进行为期不少于一个月的试运行时间，试运行各项功能正常后提请验收。因采购方或其他承包商原因导致工期延误的，经书面确认后工期顺延，不追究供应商责任。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 中标供应商负责将货物运到采购人指定地点，由中标供应商负责办理运输和装卸等，费用由中标供应商负责。</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由采购人指定的实际安装的学校按国家及行业相关标准及采购文件验收条款组织验收，检验不合格或不符合质量要求，中标供应商除无条件退货、返工外，还应承担采购人的一切损失。</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 中标供应商所提供的货物开箱后，如采购人发现有任何质量问题（如外观损伤、功能不齐全、无法正常使用等），中标供应商必须立即以同样型号的设备在与采购人商定的时间内更换，确保其使用。</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 如因不可抗力无法在规定时间内提供成交货物，中标供应商应提前15天书面告知采购人。</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全生命周期内的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1.安装辅材：采购清单以外的安装所需辅材由乙方提供，不另外收费。</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2.中标供应商负责在采购人指定现场进行设备的卸货、安装与调试，并自备设备安装所需器材、器件。</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3.中标供应商应对进场施工人员进行技术、安全、思想和法规教育，教育施工人员树立“质量第一，安全第一”的正确思想，使其遵守有关施工和安全的技术法规等。</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必须切实做好安全工作，加强安装作业时的安全保障，在任何情况下都要注意安全。涉及安全问题的必须用醒目的标志加以提醒，一切安全事故均由中标供应商自行负责，与采购人均无关。项目结束后按采购人要求将现场的垃圾、残余材料运送至指定位置，保证现场环境整洁。</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设备验收在中标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中标供应商负责解决，由此产生的一切费用由中标供应商承担。实物验收合格后，双方在实物验收单上签字。</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验收内容包含产品参数、技术与采购文件及投标文件相符，外观完好，安装牢固美观。有无按采购人要求安装在指定位置。各项功能使用是否流畅、精准，合格率达100%为验收合格，验收不合格产品由中标供应商负责调换，因此产生的全部费用由中标供应商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7.验收时对所有的货物进行验收，做好验收记录，对验收合格的内容，参加验收的人员应在验收记录上签字确认。</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8.所供货物必须是全新的，原装正品，提供出厂合格证。</w:t>
            </w:r>
            <w:r>
              <w:rPr>
                <w:rFonts w:hint="eastAsia" w:asciiTheme="minorEastAsia" w:hAnsiTheme="minorEastAsia" w:eastAsiaTheme="minorEastAsia" w:cstheme="minorEastAsia"/>
              </w:rPr>
              <w:t xml:space="preserve">因产品质量或安装不当导致验收不合格，应及时处理直至验收合格，因此产生的一切费用由中标方承担。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9.验收时采购人可以邀请第三方进行联合验收、可以进行随机抽样检测。</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10.若验收不合格，则由中标供应商承担所有验收产生的检测费用。</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11.验收前一般应不少于1个月的试运行周期。</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12.按照关于印发《江苏省政府采购履约验收管理办法》的通知（苏财规〔2024〕7号）进行验收，详见验收要求。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付款方式：验收合格，提供采购人签字盖章的验收材料，全款付清。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7"/>
              </w:num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本项目为包干制（含各类人工、材料、脚手架、登高设备、安全设备、必备工具、测试等），投标人报价为完成本项目的总报价，不再另外收取任何费用。</w:t>
            </w:r>
            <w:r/>
          </w:p>
          <w:p>
            <w:pPr>
              <w:spacing w:line="400" w:lineRule="exact"/>
              <w:widowControl/>
              <w:rPr>
                <w:rFonts w:hint="eastAsia" w:ascii="宋体" w:hAnsi="宋体" w:cs="宋体"/>
              </w:rPr>
            </w:pPr>
            <w:r>
              <w:rPr>
                <w:rFonts w:hint="eastAsia" w:ascii="宋体" w:hAnsi="宋体" w:cs="宋体"/>
              </w:rPr>
              <w:t xml:space="preserve">2.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IEC、ITU）等。</w:t>
            </w:r>
            <w:r>
              <w:rPr>
                <w:rFonts w:hint="eastAsia" w:ascii="宋体" w:hAnsi="宋体" w:cs="宋体"/>
                <w:b/>
                <w:bCs/>
              </w:rPr>
              <w:t xml:space="preserve">投标时须同步提供：① 检测报告原件扫描件加盖公章。② 检测机构有效CMA资质证书扫描件。</w:t>
            </w:r>
            <w:r>
              <w:rPr>
                <w:rFonts w:hint="eastAsia" w:ascii="微软雅黑" w:hAnsi="微软雅黑" w:eastAsia="微软雅黑" w:cs="微软雅黑"/>
                <w:b/>
                <w:bCs/>
              </w:rPr>
              <w:t xml:space="preserve">③</w:t>
            </w:r>
            <w:r>
              <w:rPr>
                <w:rFonts w:hint="eastAsia" w:ascii="宋体" w:hAnsi="宋体" w:cs="宋体"/>
                <w:b/>
                <w:bCs/>
              </w:rPr>
              <w:t xml:space="preserve">检测机构与所涉检测项目的检测能力证明：检测机构对应《资质认定能力附表》所在页的扫描件、或全国市场监督管理总局网站（全国认证认可信息服务平台）对应截图并加盖投标人公章、或省级市场监督管理局网站对应截图并加盖投标人公章。</w:t>
            </w:r>
            <w:r>
              <w:rPr>
                <w:rFonts w:hint="eastAsia" w:ascii="微软雅黑" w:hAnsi="微软雅黑" w:eastAsia="微软雅黑" w:cs="微软雅黑"/>
                <w:b/>
                <w:bCs/>
              </w:rPr>
              <w:t xml:space="preserve">④检</w:t>
            </w:r>
            <w:r>
              <w:rPr>
                <w:rFonts w:hint="eastAsia" w:ascii="宋体" w:hAnsi="宋体" w:cs="宋体"/>
                <w:b/>
                <w:bCs/>
              </w:rPr>
              <w:t xml:space="preserve">测报告含CMA认定标志页面。</w:t>
            </w:r>
            <w:r/>
          </w:p>
          <w:p>
            <w:pPr>
              <w:spacing w:line="400" w:lineRule="exact"/>
              <w:widowControl/>
              <w:rPr>
                <w:rFonts w:hint="eastAsia" w:ascii="宋体" w:hAnsi="宋体" w:cs="宋体"/>
              </w:rPr>
            </w:pPr>
            <w:r>
              <w:rPr>
                <w:rFonts w:hint="eastAsia" w:ascii="宋体" w:hAnsi="宋体" w:cs="宋体"/>
              </w:rPr>
              <w:t xml:space="preserve">未按要求提供上述材料的，相关检测报告视为无效佐证材料。</w:t>
            </w:r>
            <w:r/>
          </w:p>
          <w:p>
            <w:pPr>
              <w:spacing w:line="400" w:lineRule="exact"/>
              <w:widowControl/>
              <w:rPr>
                <w:rFonts w:hint="eastAsia" w:ascii="宋体" w:hAnsi="宋体" w:cs="宋体"/>
              </w:rPr>
            </w:pPr>
            <w:r>
              <w:rPr>
                <w:rFonts w:hint="eastAsia" w:ascii="宋体" w:hAnsi="宋体" w:cs="宋体"/>
                <w:b/>
                <w:bCs/>
              </w:rPr>
              <w:t xml:space="preserve">3.中标公告发布后五个工作日内</w:t>
            </w:r>
            <w:r>
              <w:rPr>
                <w:rFonts w:hint="eastAsia" w:ascii="宋体" w:hAnsi="宋体" w:cs="宋体"/>
              </w:rPr>
              <w:t xml:space="preserve">，中标候选供应商应将下列材料送达采购人：采购文件中要求投标时提供的</w:t>
            </w:r>
            <w:r>
              <w:rPr>
                <w:rFonts w:hint="eastAsia" w:ascii="宋体" w:hAnsi="宋体" w:cs="宋体"/>
                <w:b/>
                <w:bCs/>
              </w:rPr>
              <w:t xml:space="preserve">全文检测报告</w:t>
            </w:r>
            <w:r>
              <w:rPr>
                <w:rFonts w:hint="eastAsia" w:ascii="宋体" w:hAnsi="宋体" w:cs="宋体"/>
              </w:rPr>
              <w:t xml:space="preserve">及相关证明材料复印件并</w:t>
            </w:r>
            <w:r>
              <w:rPr>
                <w:rFonts w:hint="eastAsia" w:ascii="宋体" w:hAnsi="宋体" w:cs="宋体"/>
                <w:b/>
                <w:bCs/>
              </w:rPr>
              <w:t xml:space="preserve">加盖所投品牌原厂鲜章（同时应提供原厂联系人姓名和联系电话）</w:t>
            </w:r>
            <w:r>
              <w:rPr>
                <w:rFonts w:hint="eastAsia" w:ascii="宋体" w:hAnsi="宋体" w:cs="宋体"/>
              </w:rPr>
              <w:t xml:space="preserve">。若提交的材料不符合要求的，应在三个工作日内进行补正。采购人按以下流程进行核查：</w:t>
            </w:r>
            <w:r>
              <w:rPr>
                <w:rFonts w:hint="eastAsia" w:ascii="宋体" w:hAnsi="宋体" w:cs="宋体"/>
              </w:rPr>
              <w:tab/>
            </w:r>
            <w:r/>
          </w:p>
          <w:p>
            <w:pPr>
              <w:numPr>
                <w:ilvl w:val="1"/>
                <w:numId w:val="7"/>
              </w:numPr>
              <w:spacing w:line="400" w:lineRule="exact"/>
              <w:widowControl/>
              <w:rPr>
                <w:rFonts w:hint="eastAsia" w:ascii="宋体" w:hAnsi="宋体" w:cs="宋体"/>
              </w:rPr>
            </w:pPr>
            <w:r>
              <w:rPr>
                <w:rFonts w:hint="eastAsia" w:ascii="宋体" w:hAnsi="宋体" w:cs="宋体"/>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numPr>
                <w:ilvl w:val="1"/>
                <w:numId w:val="7"/>
              </w:numPr>
              <w:spacing w:line="400" w:lineRule="exact"/>
              <w:widowControl/>
              <w:rPr>
                <w:rFonts w:hint="eastAsia" w:ascii="宋体" w:hAnsi="宋体" w:cs="宋体"/>
              </w:rPr>
            </w:pPr>
            <w:r>
              <w:rPr>
                <w:rFonts w:hint="eastAsia" w:ascii="宋体" w:hAnsi="宋体" w:cs="宋体"/>
              </w:rPr>
              <w:t xml:space="preserve">验证。扫描检测报告首页或封面带有 CMA 标志二维码、电话咨询发证机关，或提请本地市场监管部门协助验证。</w:t>
            </w:r>
            <w:r/>
          </w:p>
          <w:p>
            <w:pPr>
              <w:numPr>
                <w:ilvl w:val="1"/>
                <w:numId w:val="7"/>
              </w:numPr>
              <w:spacing w:line="400" w:lineRule="exact"/>
              <w:widowControl/>
              <w:rPr>
                <w:rFonts w:hint="eastAsia" w:ascii="宋体" w:hAnsi="宋体" w:cs="宋体"/>
              </w:rPr>
            </w:pPr>
            <w:r>
              <w:rPr>
                <w:rFonts w:hint="eastAsia" w:ascii="宋体" w:hAnsi="宋体" w:cs="宋体"/>
              </w:rPr>
              <w:t xml:space="preserve">协查。当采购人发现检测报告超出检测机构检测能力范围，或怀疑假检测报告真实性，及时向本地市场监管部门提供线索并请求协查，并获得协查结果。</w:t>
            </w:r>
            <w:r/>
          </w:p>
          <w:p>
            <w:pPr>
              <w:ind w:firstLine="420"/>
              <w:spacing w:line="400" w:lineRule="exact"/>
              <w:widowControl/>
              <w:rPr>
                <w:rFonts w:hint="eastAsia" w:ascii="宋体" w:hAnsi="宋体" w:cs="宋体"/>
              </w:rPr>
            </w:pPr>
            <w:r>
              <w:rPr>
                <w:rFonts w:hint="eastAsia" w:ascii="宋体" w:hAnsi="宋体" w:cs="宋体"/>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p>
          <w:p>
            <w:pPr>
              <w:ind w:firstLine="420"/>
              <w:spacing w:line="400" w:lineRule="exact"/>
              <w:widowControl/>
              <w:rPr>
                <w:rFonts w:hint="eastAsia" w:ascii="宋体" w:hAnsi="宋体" w:cs="宋体"/>
              </w:rPr>
            </w:pPr>
            <w:r>
              <w:rPr>
                <w:rFonts w:hint="eastAsia" w:ascii="宋体" w:hAnsi="宋体" w:cs="宋体"/>
              </w:rPr>
              <w:t xml:space="preserve">补正内容不能超出投标文件所提供材料的范围。检验检测机构已注销，但检测机构有效期内出具的有效检测报告应认定为有效。</w:t>
            </w:r>
            <w:r/>
          </w:p>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4.中标供应商应将电子</w:t>
            </w:r>
            <w:r>
              <w:rPr>
                <w:rFonts w:hint="eastAsia" w:asciiTheme="minorEastAsia" w:hAnsiTheme="minorEastAsia" w:eastAsiaTheme="minorEastAsia" w:cstheme="minorEastAsia"/>
                <w:lang w:val="en-US" w:eastAsia="zh-CN"/>
              </w:rPr>
              <w:t xml:space="preserve">投标</w:t>
            </w:r>
            <w:r>
              <w:rPr>
                <w:rFonts w:hint="eastAsia" w:asciiTheme="minorEastAsia" w:hAnsiTheme="minorEastAsia" w:eastAsiaTheme="minorEastAsia" w:cstheme="minorEastAsia"/>
              </w:rPr>
              <w:t xml:space="preserve">文件打印成纸质稿（编制页码打印并胶装），一式两份，分别递交至代理机构和采购人处（邮寄或当面送达)。未及时提供纸质</w:t>
            </w:r>
            <w:r>
              <w:rPr>
                <w:rFonts w:hint="eastAsia" w:asciiTheme="minorEastAsia" w:hAnsiTheme="minorEastAsia" w:eastAsiaTheme="minorEastAsia" w:cstheme="minorEastAsia"/>
                <w:lang w:eastAsia="zh-CN"/>
              </w:rPr>
              <w:t xml:space="preserve">投标</w:t>
            </w:r>
            <w:r>
              <w:rPr>
                <w:rFonts w:hint="eastAsia" w:asciiTheme="minorEastAsia" w:hAnsiTheme="minorEastAsia" w:eastAsiaTheme="minorEastAsia" w:cstheme="minorEastAsia"/>
              </w:rPr>
              <w:t xml:space="preserve">文件将可能影响合同签订，由此造成的后果及损失供应商自行负责。</w:t>
            </w:r>
            <w:r/>
          </w:p>
        </w:tc>
      </w:tr>
    </w:tbl>
    <w:p>
      <w:pPr>
        <w:rPr>
          <w:rFonts w:hint="eastAsia" w:asciiTheme="minorEastAsia" w:hAnsiTheme="minorEastAsia" w:eastAsiaTheme="minorEastAsia" w:cstheme="minorEastAsia"/>
          <w:b/>
          <w:i/>
          <w:sz w:val="24"/>
        </w:rPr>
      </w:pPr>
      <w:r>
        <w:rPr>
          <w:rFonts w:hint="eastAsia" w:asciiTheme="minorEastAsia" w:hAnsiTheme="minorEastAsia" w:eastAsiaTheme="minorEastAsia" w:cstheme="minorEastAsia"/>
          <w:b/>
          <w:i/>
          <w:sz w:val="24"/>
        </w:rPr>
      </w:r>
      <w:r/>
    </w:p>
    <w:p>
      <w:pPr>
        <w:pStyle w:val="1084"/>
        <w:numPr>
          <w:ilvl w:val="0"/>
          <w:numId w:val="5"/>
        </w:numPr>
        <w:ind w:left="0"/>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lang w:eastAsia="zh-CN"/>
        </w:rPr>
        <w:t xml:space="preserve">建设实施要求</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核心区域改造</w:t>
      </w:r>
      <w:r/>
    </w:p>
    <w:p>
      <w:pPr>
        <w:pStyle w:val="806"/>
        <w:ind w:firstLine="480"/>
        <w:spacing w:before="0" w:line="400" w:lineRule="exact"/>
        <w:rPr>
          <w:rFonts w:hint="eastAsia"/>
          <w:sz w:val="21"/>
        </w:rPr>
      </w:pPr>
      <w:r>
        <w:rPr>
          <w:sz w:val="21"/>
        </w:rPr>
        <w:t xml:space="preserve">为最大化利用现网资源、降低改造成本，同时解决网络故障节点多、业务干扰等问题。</w:t>
      </w:r>
      <w:r/>
    </w:p>
    <w:p>
      <w:pPr>
        <w:pStyle w:val="799"/>
        <w:numPr>
          <w:ilvl w:val="2"/>
          <w:numId w:val="8"/>
        </w:numPr>
        <w:spacing w:before="0" w:after="0" w:line="400" w:lineRule="exact"/>
        <w:rPr>
          <w:b w:val="0"/>
          <w:bCs/>
          <w:sz w:val="21"/>
          <w:szCs w:val="21"/>
          <w:u w:val="none"/>
        </w:rPr>
      </w:pPr>
      <w:r>
        <w:rPr>
          <w:b w:val="0"/>
          <w:bCs/>
          <w:sz w:val="21"/>
          <w:szCs w:val="21"/>
          <w:u w:val="none"/>
        </w:rPr>
        <w:t xml:space="preserve">现网设备复用与改造：复用现有核心交换机、BRAS等设备作为有线承载网基础架构，重点对现有BRAS设备进行部署调整，原核心交换机主要承载</w:t>
      </w:r>
      <w:r>
        <w:rPr>
          <w:rFonts w:hint="eastAsia"/>
          <w:b w:val="0"/>
          <w:bCs/>
          <w:sz w:val="21"/>
          <w:szCs w:val="21"/>
          <w:u w:val="none"/>
        </w:rPr>
        <w:t xml:space="preserve">除</w:t>
      </w:r>
      <w:r>
        <w:rPr>
          <w:b w:val="0"/>
          <w:bCs/>
          <w:sz w:val="21"/>
          <w:szCs w:val="21"/>
          <w:u w:val="none"/>
        </w:rPr>
        <w:t xml:space="preserve">教学和办公业务</w:t>
      </w:r>
      <w:r>
        <w:rPr>
          <w:rFonts w:hint="eastAsia"/>
          <w:b w:val="0"/>
          <w:bCs/>
          <w:sz w:val="21"/>
          <w:szCs w:val="21"/>
          <w:u w:val="none"/>
        </w:rPr>
        <w:t xml:space="preserve">外的其它</w:t>
      </w:r>
      <w:r>
        <w:rPr>
          <w:b w:val="0"/>
          <w:bCs/>
          <w:sz w:val="21"/>
          <w:szCs w:val="21"/>
          <w:u w:val="none"/>
        </w:rPr>
        <w:t xml:space="preserve">流量的转发。</w:t>
      </w:r>
      <w:r/>
    </w:p>
    <w:p>
      <w:pPr>
        <w:pStyle w:val="1116"/>
        <w:spacing w:before="0" w:after="0" w:line="400" w:lineRule="exact"/>
        <w:rPr>
          <w:sz w:val="21"/>
          <w:szCs w:val="21"/>
        </w:rPr>
      </w:pPr>
      <w:r>
        <w:rPr>
          <w:sz w:val="21"/>
          <w:szCs w:val="21"/>
        </w:rPr>
        <w:t xml:space="preserve">网络设备利旧清单</w:t>
      </w:r>
      <w:r/>
    </w:p>
    <w:tbl>
      <w:tblPr>
        <w:tblStyle w:val="802"/>
        <w:tblW w:w="5619" w:type="dxa"/>
        <w:jc w:val="center"/>
        <w:tblCellSpacing w:w="11" w:type="dxa"/>
        <w:tblLayout w:type="fixed"/>
        <w:tblCellMar>
          <w:left w:w="108" w:type="dxa"/>
          <w:top w:w="0" w:type="dxa"/>
          <w:right w:w="108" w:type="dxa"/>
          <w:bottom w:w="0" w:type="dxa"/>
        </w:tblCellMar>
        <w:tblLook w:val="04A0" w:firstRow="1" w:lastRow="0" w:firstColumn="1" w:lastColumn="0" w:noHBand="0" w:noVBand="1"/>
      </w:tblPr>
      <w:tblGrid>
        <w:gridCol w:w="982"/>
        <w:gridCol w:w="1843"/>
        <w:gridCol w:w="1802"/>
        <w:gridCol w:w="992"/>
      </w:tblGrid>
      <w:tr>
        <w:trPr>
          <w:cantSplit/>
          <w:jc w:val="center"/>
          <w:tblCellSpacing w:w="11" w:type="dxa"/>
          <w:trHeight w:val="2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行次</w:t>
            </w:r>
            <w:r/>
          </w:p>
        </w:tc>
        <w:tc>
          <w:tcPr>
            <w:tcBorders>
              <w:top w:val="single" w:color="000000" w:sz="4" w:space="0"/>
              <w:left w:val="none" w:color="000000" w:sz="4" w:space="0"/>
              <w:bottom w:val="single" w:color="000000" w:sz="4" w:space="0"/>
              <w:right w:val="single" w:color="000000" w:sz="4" w:space="0"/>
            </w:tcBorders>
            <w:tcW w:w="1821"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资产名称</w:t>
            </w:r>
            <w:r/>
          </w:p>
        </w:tc>
        <w:tc>
          <w:tcPr>
            <w:tcBorders>
              <w:top w:val="single" w:color="000000" w:sz="4" w:space="0"/>
              <w:left w:val="none" w:color="000000" w:sz="4" w:space="0"/>
              <w:bottom w:val="single" w:color="000000" w:sz="4" w:space="0"/>
              <w:right w:val="single" w:color="000000" w:sz="4" w:space="0"/>
            </w:tcBorders>
            <w:tcW w:w="178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规格</w:t>
            </w:r>
            <w:r/>
          </w:p>
        </w:tc>
        <w:tc>
          <w:tcPr>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数量</w:t>
            </w:r>
            <w:r/>
          </w:p>
        </w:tc>
      </w:tr>
      <w:tr>
        <w:trPr>
          <w:cantSplit/>
          <w:jc w:val="center"/>
          <w:tblCellSpacing w:w="11" w:type="dxa"/>
          <w:trHeight w:val="20"/>
        </w:trPr>
        <w:tc>
          <w:tcPr>
            <w:tcBorders>
              <w:top w:val="none" w:color="000000" w:sz="4" w:space="0"/>
              <w:left w:val="single" w:color="000000" w:sz="4" w:space="0"/>
              <w:bottom w:val="single" w:color="000000" w:sz="4" w:space="0"/>
              <w:right w:val="single" w:color="000000" w:sz="4" w:space="0"/>
            </w:tcBorders>
            <w:tcW w:w="94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核心交换机</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华为1</w:t>
            </w:r>
            <w:r>
              <w:rPr>
                <w:rFonts w:ascii="宋体" w:hAnsi="宋体" w:cs="宋体"/>
              </w:rPr>
              <w:t xml:space="preserve">2708</w:t>
            </w:r>
            <w:r/>
          </w:p>
        </w:tc>
        <w:tc>
          <w:tcPr>
            <w:tcBorders>
              <w:top w:val="none" w:color="000000" w:sz="4" w:space="0"/>
              <w:left w:val="none" w:color="000000" w:sz="4" w:space="0"/>
              <w:bottom w:val="single" w:color="000000" w:sz="4" w:space="0"/>
              <w:right w:val="single" w:color="000000" w:sz="4" w:space="0"/>
            </w:tcBorders>
            <w:tcW w:w="95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2</w:t>
            </w:r>
            <w:r/>
          </w:p>
        </w:tc>
      </w:tr>
      <w:tr>
        <w:trPr>
          <w:cantSplit/>
          <w:jc w:val="center"/>
          <w:tblCellSpacing w:w="11" w:type="dxa"/>
          <w:trHeight w:val="20"/>
        </w:trPr>
        <w:tc>
          <w:tcPr>
            <w:tcBorders>
              <w:top w:val="none" w:color="000000" w:sz="4" w:space="0"/>
              <w:left w:val="single" w:color="000000" w:sz="4" w:space="0"/>
              <w:bottom w:val="single" w:color="000000" w:sz="4" w:space="0"/>
              <w:right w:val="single" w:color="000000" w:sz="4" w:space="0"/>
            </w:tcBorders>
            <w:tcW w:w="94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2</w:t>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多业务网网关</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ME</w:t>
            </w:r>
            <w:r>
              <w:rPr>
                <w:rFonts w:ascii="宋体" w:hAnsi="宋体" w:cs="宋体"/>
              </w:rPr>
              <w:t xml:space="preserve">60</w:t>
            </w:r>
            <w:r/>
          </w:p>
        </w:tc>
        <w:tc>
          <w:tcPr>
            <w:tcBorders>
              <w:top w:val="none" w:color="000000" w:sz="4" w:space="0"/>
              <w:left w:val="none" w:color="000000" w:sz="4" w:space="0"/>
              <w:bottom w:val="single" w:color="000000" w:sz="4" w:space="0"/>
              <w:right w:val="single" w:color="000000" w:sz="4" w:space="0"/>
            </w:tcBorders>
            <w:tcW w:w="95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2</w:t>
            </w:r>
            <w:r/>
          </w:p>
        </w:tc>
      </w:tr>
      <w:tr>
        <w:trPr>
          <w:cantSplit/>
          <w:jc w:val="center"/>
          <w:tblCellSpacing w:w="11" w:type="dxa"/>
          <w:trHeight w:val="20"/>
        </w:trPr>
        <w:tc>
          <w:tcPr>
            <w:tcBorders>
              <w:top w:val="none" w:color="000000" w:sz="4" w:space="0"/>
              <w:left w:val="single" w:color="000000" w:sz="4" w:space="0"/>
              <w:bottom w:val="single" w:color="000000" w:sz="4" w:space="0"/>
              <w:right w:val="single" w:color="000000" w:sz="4" w:space="0"/>
            </w:tcBorders>
            <w:tcW w:w="94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3</w:t>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汇聚交换机</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华为S</w:t>
            </w:r>
            <w:r>
              <w:rPr>
                <w:rFonts w:ascii="宋体" w:hAnsi="宋体" w:cs="宋体"/>
              </w:rPr>
              <w:t xml:space="preserve">5720</w:t>
            </w:r>
            <w:r/>
          </w:p>
        </w:tc>
        <w:tc>
          <w:tcPr>
            <w:tcBorders>
              <w:top w:val="none" w:color="000000" w:sz="4" w:space="0"/>
              <w:left w:val="none" w:color="000000" w:sz="4" w:space="0"/>
              <w:bottom w:val="single" w:color="000000" w:sz="4" w:space="0"/>
              <w:right w:val="single" w:color="000000" w:sz="4" w:space="0"/>
            </w:tcBorders>
            <w:tcW w:w="95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8</w:t>
            </w:r>
            <w:r/>
          </w:p>
        </w:tc>
      </w:tr>
      <w:tr>
        <w:trPr>
          <w:cantSplit/>
          <w:jc w:val="center"/>
          <w:tblCellSpacing w:w="11" w:type="dxa"/>
          <w:trHeight w:val="20"/>
        </w:trPr>
        <w:tc>
          <w:tcPr>
            <w:tcBorders>
              <w:top w:val="none" w:color="000000" w:sz="4" w:space="0"/>
              <w:left w:val="single" w:color="000000" w:sz="4" w:space="0"/>
              <w:bottom w:val="single" w:color="000000" w:sz="4" w:space="0"/>
              <w:right w:val="single" w:color="000000" w:sz="4" w:space="0"/>
            </w:tcBorders>
            <w:tcW w:w="94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4</w:t>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无线控制器</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H3</w:t>
            </w:r>
            <w:r>
              <w:rPr>
                <w:rFonts w:ascii="宋体" w:hAnsi="宋体" w:cs="宋体"/>
              </w:rPr>
              <w:t xml:space="preserve">C WX3540</w:t>
            </w:r>
            <w:r/>
          </w:p>
        </w:tc>
        <w:tc>
          <w:tcPr>
            <w:tcBorders>
              <w:top w:val="none" w:color="000000" w:sz="4" w:space="0"/>
              <w:left w:val="none" w:color="000000" w:sz="4" w:space="0"/>
              <w:bottom w:val="single" w:color="000000" w:sz="4" w:space="0"/>
              <w:right w:val="single" w:color="000000" w:sz="4" w:space="0"/>
            </w:tcBorders>
            <w:tcW w:w="95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2</w:t>
            </w:r>
            <w:r/>
          </w:p>
        </w:tc>
      </w:tr>
    </w:tbl>
    <w:p>
      <w:pPr>
        <w:ind w:firstLine="420"/>
        <w:spacing w:line="400" w:lineRule="exact"/>
        <w:rPr>
          <w:rFonts w:hint="eastAsia" w:ascii="宋体" w:hAnsi="宋体" w:cs="宋体"/>
        </w:rPr>
      </w:pPr>
      <w:r>
        <w:rPr>
          <w:rFonts w:hint="eastAsia" w:ascii="宋体" w:hAnsi="宋体" w:cs="宋体"/>
        </w:rPr>
      </w:r>
      <w:r/>
    </w:p>
    <w:p>
      <w:pPr>
        <w:pStyle w:val="799"/>
        <w:numPr>
          <w:ilvl w:val="2"/>
          <w:numId w:val="8"/>
        </w:numPr>
        <w:spacing w:before="0" w:after="0" w:line="400" w:lineRule="exact"/>
        <w:rPr>
          <w:b w:val="0"/>
          <w:bCs/>
          <w:sz w:val="21"/>
          <w:szCs w:val="21"/>
          <w:u w:val="none"/>
        </w:rPr>
      </w:pPr>
      <w:r>
        <w:rPr>
          <w:b w:val="0"/>
          <w:bCs/>
          <w:sz w:val="21"/>
          <w:szCs w:val="21"/>
          <w:u w:val="none"/>
        </w:rPr>
        <w:t xml:space="preserve">核心区域冗余建设：本次项目针对改造区域部署高性能光核心设备，确保教学、办公两个场景的业务流量高速转发无瓶颈，且互不干扰。</w:t>
      </w:r>
      <w:r/>
    </w:p>
    <w:p>
      <w:pPr>
        <w:pStyle w:val="799"/>
        <w:numPr>
          <w:ilvl w:val="2"/>
          <w:numId w:val="8"/>
        </w:numPr>
        <w:spacing w:before="0" w:after="0" w:line="400" w:lineRule="exact"/>
        <w:rPr>
          <w:b w:val="0"/>
          <w:bCs/>
          <w:sz w:val="21"/>
          <w:szCs w:val="21"/>
          <w:u w:val="none"/>
        </w:rPr>
      </w:pPr>
      <w:r/>
      <w:bookmarkStart w:id="197" w:name="OLE_LINK27"/>
      <w:r>
        <w:rPr>
          <w:b w:val="0"/>
          <w:bCs/>
          <w:sz w:val="21"/>
          <w:szCs w:val="21"/>
          <w:u w:val="none"/>
        </w:rPr>
        <w:t xml:space="preserve">管理优化提升</w:t>
      </w:r>
      <w:bookmarkEnd w:id="197"/>
      <w:r>
        <w:rPr>
          <w:b w:val="0"/>
          <w:bCs/>
          <w:sz w:val="21"/>
          <w:szCs w:val="21"/>
          <w:u w:val="none"/>
        </w:rPr>
        <w:t xml:space="preserve">建设：配套设备链路综合运维与安全管理（包括：1、网络设备运维与日志分析；2、光链路可视管理；3、哑终端安全使用管理）提升网络监控与可视化、智能化管理能力。</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接入改造原则</w:t>
      </w:r>
      <w:r/>
    </w:p>
    <w:p>
      <w:pPr>
        <w:pStyle w:val="806"/>
        <w:ind w:firstLine="480"/>
        <w:spacing w:before="0" w:line="400" w:lineRule="exact"/>
        <w:rPr>
          <w:rFonts w:hint="eastAsia"/>
          <w:sz w:val="21"/>
        </w:rPr>
      </w:pPr>
      <w:r>
        <w:rPr>
          <w:sz w:val="21"/>
        </w:rPr>
        <w:t xml:space="preserve">接入场景改造建设：采用万兆光网络建设有线综合承载网，组网架构简化架构，直接承载以太网业务，无需额外协议转换。</w:t>
      </w:r>
      <w:r/>
    </w:p>
    <w:p>
      <w:pPr>
        <w:pStyle w:val="799"/>
        <w:numPr>
          <w:ilvl w:val="2"/>
          <w:numId w:val="8"/>
        </w:numPr>
        <w:spacing w:before="0" w:after="0" w:line="400" w:lineRule="exact"/>
        <w:rPr>
          <w:sz w:val="21"/>
          <w:szCs w:val="21"/>
          <w:u w:val="none"/>
        </w:rPr>
      </w:pPr>
      <w:r>
        <w:rPr>
          <w:sz w:val="21"/>
          <w:szCs w:val="21"/>
          <w:u w:val="none"/>
        </w:rPr>
        <w:t xml:space="preserve">办公场景组网原则</w:t>
      </w:r>
      <w:r/>
    </w:p>
    <w:p>
      <w:pPr>
        <w:pStyle w:val="806"/>
        <w:numPr>
          <w:ilvl w:val="0"/>
          <w:numId w:val="9"/>
        </w:numPr>
        <w:ind w:firstLine="480"/>
        <w:spacing w:before="0" w:line="400" w:lineRule="exact"/>
        <w:rPr>
          <w:rFonts w:hint="eastAsia" w:cs="宋体"/>
          <w:sz w:val="21"/>
        </w:rPr>
      </w:pPr>
      <w:r>
        <w:rPr>
          <w:sz w:val="21"/>
        </w:rPr>
        <w:t xml:space="preserve">采用8口设备作为光接入端设备。可以满足多种业务接入，为用户提供高速宽带等多种业务。支持壁挂安装。光接入端设备上行10G端口连接分光器(无源汇聚)、下行千兆端口可接入有线网络设备。</w:t>
      </w:r>
      <w:r/>
    </w:p>
    <w:p>
      <w:pPr>
        <w:pStyle w:val="806"/>
        <w:numPr>
          <w:ilvl w:val="0"/>
          <w:numId w:val="9"/>
        </w:numPr>
        <w:ind w:firstLine="480"/>
        <w:spacing w:before="0" w:line="400" w:lineRule="exact"/>
        <w:rPr>
          <w:rFonts w:hint="eastAsia"/>
          <w:sz w:val="21"/>
        </w:rPr>
      </w:pPr>
      <w:r>
        <w:rPr>
          <w:sz w:val="21"/>
        </w:rPr>
        <w:t xml:space="preserve">整体设计为一级分光模式，分光器(无源汇聚)下行口通过桥架和管道将光缆延伸至多媒体箱连接入户设备10G端口，连接入户以太光设备。分光器(无源汇聚)上行口通过主干光缆互联至办公光核心40G端口。</w:t>
      </w:r>
      <w:r/>
    </w:p>
    <w:p>
      <w:pPr>
        <w:pStyle w:val="799"/>
        <w:numPr>
          <w:ilvl w:val="2"/>
          <w:numId w:val="8"/>
        </w:numPr>
        <w:spacing w:before="0" w:after="0" w:line="400" w:lineRule="exact"/>
        <w:rPr>
          <w:sz w:val="21"/>
          <w:szCs w:val="21"/>
          <w:u w:val="none"/>
        </w:rPr>
      </w:pPr>
      <w:r>
        <w:rPr>
          <w:sz w:val="21"/>
          <w:szCs w:val="21"/>
          <w:u w:val="none"/>
        </w:rPr>
        <w:t xml:space="preserve">教学场景组网原则</w:t>
      </w:r>
      <w:r/>
    </w:p>
    <w:p>
      <w:pPr>
        <w:pStyle w:val="806"/>
        <w:numPr>
          <w:ilvl w:val="0"/>
          <w:numId w:val="10"/>
        </w:numPr>
        <w:ind w:firstLine="480"/>
        <w:spacing w:before="0" w:line="400" w:lineRule="exact"/>
        <w:rPr>
          <w:rFonts w:hint="eastAsia"/>
          <w:sz w:val="21"/>
        </w:rPr>
      </w:pPr>
      <w:r>
        <w:rPr>
          <w:sz w:val="21"/>
        </w:rPr>
        <w:t xml:space="preserve">采用8口设备作为光接入端设备。可以满足多种业务接入，为用户提供高速宽带等多种业务。支持壁挂安装。光接入端设备上行10G端口连接、下行千兆端口可接入有线网络设备。</w:t>
      </w:r>
      <w:r/>
    </w:p>
    <w:p>
      <w:pPr>
        <w:pStyle w:val="806"/>
        <w:numPr>
          <w:ilvl w:val="0"/>
          <w:numId w:val="10"/>
        </w:numPr>
        <w:ind w:firstLine="480"/>
        <w:spacing w:before="0" w:line="400" w:lineRule="exact"/>
        <w:rPr>
          <w:rFonts w:hint="eastAsia"/>
          <w:sz w:val="21"/>
        </w:rPr>
      </w:pPr>
      <w:r>
        <w:rPr>
          <w:sz w:val="21"/>
        </w:rPr>
        <w:t xml:space="preserve">8口光接入设备支持POE功能，充分考虑未来诸如录播摄像头、无线AP等设备接入的需要，未来教室内多媒体业务终端（需具备DHCP功能）接入网中可实现对地址的可管可控，实现资产的全生命周期管理。</w:t>
      </w:r>
      <w:r/>
    </w:p>
    <w:p>
      <w:pPr>
        <w:pStyle w:val="806"/>
        <w:numPr>
          <w:ilvl w:val="0"/>
          <w:numId w:val="10"/>
        </w:numPr>
        <w:ind w:firstLine="480"/>
        <w:spacing w:before="0" w:line="400" w:lineRule="exact"/>
        <w:rPr>
          <w:rFonts w:hint="eastAsia"/>
          <w:sz w:val="21"/>
        </w:rPr>
      </w:pPr>
      <w:r>
        <w:rPr>
          <w:sz w:val="21"/>
        </w:rPr>
        <w:t xml:space="preserve">整体设计为一级分光模式，分光器(无源汇聚)下行口通过桥架和管道将光缆延伸至多媒体箱连接入户设备10G端口，连接入户以太光设备。分光器(无源汇聚)上行口通过主干光缆互联至教学光核心端口。</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点位数量设计</w:t>
      </w:r>
      <w:r/>
    </w:p>
    <w:p>
      <w:pPr>
        <w:pStyle w:val="806"/>
        <w:ind w:firstLine="480"/>
        <w:spacing w:before="0" w:line="400" w:lineRule="exact"/>
        <w:rPr>
          <w:rFonts w:hint="eastAsia"/>
          <w:sz w:val="21"/>
        </w:rPr>
      </w:pPr>
      <w:r>
        <w:rPr>
          <w:sz w:val="21"/>
        </w:rPr>
        <w:t xml:space="preserve">本次改造涉及：教学楼1、教学楼2、教学楼3、财经综合楼、北门西、图书馆、图书馆前面配电间、体育馆、西门、看台、食堂、北门东、培训综合楼、机电楼、东门、机电边配电间、动漫楼外、动漫楼、汽车楼、超市、洗衣房、锅炉房、学生宿舍15、学生宿舍17、学生宿舍21、学生宿舍23、宿舍区配电间。</w:t>
      </w:r>
      <w:r/>
    </w:p>
    <w:tbl>
      <w:tblPr>
        <w:tblStyle w:val="802"/>
        <w:tblW w:w="7020" w:type="dxa"/>
        <w:jc w:val="center"/>
        <w:tblLayout w:type="autofit"/>
        <w:tblCellMar>
          <w:left w:w="108" w:type="dxa"/>
          <w:top w:w="0" w:type="dxa"/>
          <w:right w:w="108" w:type="dxa"/>
          <w:bottom w:w="0" w:type="dxa"/>
        </w:tblCellMar>
        <w:tblLook w:val="04A0" w:firstRow="1" w:lastRow="0" w:firstColumn="1" w:lastColumn="0" w:noHBand="0" w:noVBand="1"/>
      </w:tblPr>
      <w:tblGrid>
        <w:gridCol w:w="1950"/>
        <w:gridCol w:w="1692"/>
        <w:gridCol w:w="1710"/>
        <w:gridCol w:w="1692"/>
      </w:tblGrid>
      <w:tr>
        <w:trPr>
          <w:jc w:val="center"/>
          <w:trHeight w:val="340" w:hRule="exact"/>
        </w:trPr>
        <w:tc>
          <w:tcPr>
            <w:tcBorders>
              <w:top w:val="single" w:color="000000" w:sz="4" w:space="0"/>
              <w:left w:val="single" w:color="000000" w:sz="4" w:space="0"/>
              <w:bottom w:val="single" w:color="000000" w:sz="4" w:space="0"/>
              <w:right w:val="single" w:color="000000" w:sz="4" w:space="0"/>
            </w:tcBorders>
            <w:tcW w:w="1950" w:type="dxa"/>
            <w:vAlign w:val="center"/>
            <w:vMerge w:val="restart"/>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楼宇</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教学办公区</w:t>
            </w:r>
            <w:r/>
          </w:p>
        </w:tc>
        <w:tc>
          <w:tcPr>
            <w:tcBorders>
              <w:top w:val="single" w:color="000000" w:sz="4" w:space="0"/>
              <w:left w:val="single" w:color="000000" w:sz="4" w:space="0"/>
              <w:bottom w:val="single" w:color="000000" w:sz="4" w:space="0"/>
              <w:right w:val="single" w:color="000000" w:sz="4" w:space="0"/>
            </w:tcBorders>
            <w:tcW w:w="1710" w:type="dxa"/>
            <w:vAlign w:val="center"/>
            <w:vMerge w:val="restart"/>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楼宇</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教学办公区</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1950" w:type="dxa"/>
            <w:vAlign w:val="center"/>
            <w:vMerge w:val="continue"/>
            <w:textDirection w:val="lrTb"/>
            <w:noWrap/>
          </w:tcPr>
          <w:p>
            <w:pPr>
              <w:jc w:val="center"/>
              <w:spacing w:after="100" w:afterAutospacing="1" w:line="240" w:lineRule="atLeast"/>
              <w:rPr>
                <w:rFonts w:hint="eastAsia" w:cs="宋体" w:asciiTheme="minorEastAsia" w:hAnsiTheme="minorEastAsia" w:eastAsiaTheme="minorEastAsia"/>
                <w:b/>
                <w:bCs/>
              </w:rPr>
            </w:pPr>
            <w:r>
              <w:rPr>
                <w:rFonts w:hint="eastAsia" w:cs="宋体" w:asciiTheme="minorEastAsia" w:hAnsiTheme="minorEastAsia" w:eastAsiaTheme="minorEastAsia"/>
                <w:b/>
                <w:bC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办公8口以太光</w:t>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tcPr>
          <w:p>
            <w:pPr>
              <w:jc w:val="center"/>
              <w:spacing w:after="100" w:afterAutospacing="1" w:line="240" w:lineRule="atLeast"/>
              <w:rPr>
                <w:rFonts w:hint="eastAsia" w:cs="宋体" w:asciiTheme="minorEastAsia" w:hAnsiTheme="minorEastAsia" w:eastAsiaTheme="minorEastAsia"/>
                <w:b/>
                <w:bCs/>
              </w:rPr>
            </w:pPr>
            <w:r>
              <w:rPr>
                <w:rFonts w:hint="eastAsia" w:cs="宋体" w:asciiTheme="minorEastAsia" w:hAnsiTheme="minorEastAsia" w:eastAsiaTheme="minorEastAsia"/>
                <w:b/>
                <w:bC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办公8口以太光</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教学楼1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东门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教学楼2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机电楼边配电间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教学楼3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动漫楼外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财经综合楼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动漫楼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43</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大门西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机电楼B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16</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大门东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超市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图书馆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洗衣房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图书馆前面配电间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锅炉房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体育馆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学生宿舍15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西门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学生宿舍17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看台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学生宿舍21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食堂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学生宿舍23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华夏楼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宿舍区配电间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机电楼A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after="100" w:afterAutospacing="1" w:line="240" w:lineRule="atLeast"/>
              <w:rPr>
                <w:rFonts w:hint="eastAsia" w:cs="宋体" w:asciiTheme="minorEastAsia" w:hAnsiTheme="minorEastAsia" w:eastAsiaTheme="minorEastAsia"/>
              </w:rPr>
            </w:pPr>
            <w:r>
              <w:rPr>
                <w:rFonts w:hint="eastAsia" w:cs="宋体"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after="100" w:afterAutospacing="1" w:line="240" w:lineRule="atLeast"/>
              <w:rPr>
                <w:rFonts w:hint="eastAsia" w:cs="宋体" w:asciiTheme="minorEastAsia" w:hAnsiTheme="minorEastAsia" w:eastAsiaTheme="minorEastAsia"/>
              </w:rPr>
            </w:pPr>
            <w:r>
              <w:rPr>
                <w:rFonts w:hint="eastAsia" w:cs="宋体" w:asciiTheme="minorEastAsia" w:hAnsiTheme="minorEastAsia" w:eastAsiaTheme="minorEastAsia"/>
              </w:rPr>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合计</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461</w:t>
            </w:r>
            <w:r/>
          </w:p>
        </w:tc>
      </w:tr>
    </w:tbl>
    <w:p>
      <w:pPr>
        <w:pStyle w:val="803"/>
        <w:ind w:firstLine="0"/>
        <w:jc w:val="center"/>
        <w:spacing w:line="400" w:lineRule="exact"/>
        <w:rPr>
          <w:sz w:val="21"/>
          <w:szCs w:val="21"/>
        </w:rPr>
      </w:pPr>
      <w:r>
        <w:rPr>
          <w:sz w:val="21"/>
          <w:szCs w:val="21"/>
        </w:rPr>
      </w:r>
      <w:r/>
    </w:p>
    <w:p>
      <w:pPr>
        <w:pStyle w:val="806"/>
        <w:ind w:firstLine="480"/>
        <w:spacing w:before="0" w:line="400" w:lineRule="exact"/>
        <w:rPr>
          <w:rFonts w:hint="eastAsia"/>
          <w:sz w:val="21"/>
        </w:rPr>
      </w:pPr>
      <w:r>
        <w:rPr>
          <w:sz w:val="21"/>
        </w:rPr>
        <w:t xml:space="preserve">注：请投标人自行到校做现场详细勘察，仔细核对核算。</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设备安装及其它施工要求</w:t>
      </w:r>
      <w:r/>
    </w:p>
    <w:p>
      <w:pPr>
        <w:pStyle w:val="806"/>
        <w:ind w:firstLine="480"/>
        <w:spacing w:before="0" w:line="400" w:lineRule="exact"/>
        <w:rPr>
          <w:rFonts w:hint="eastAsia"/>
          <w:sz w:val="21"/>
        </w:rPr>
      </w:pPr>
      <w:r>
        <w:rPr>
          <w:sz w:val="21"/>
        </w:rPr>
        <w:t xml:space="preserve">供应商须提供专业的设备安装服务，包括设备的通信组网、调试及开通。本项目在实施过程中，要求成交供应商提供每栋楼宇所有接入设备点位数量表及深化设计点位图纸，提交用户方认可后方可进场，具体要求如下：</w:t>
      </w:r>
      <w:r/>
    </w:p>
    <w:p>
      <w:pPr>
        <w:pStyle w:val="799"/>
        <w:numPr>
          <w:ilvl w:val="2"/>
          <w:numId w:val="8"/>
        </w:numPr>
        <w:spacing w:before="0" w:after="0" w:line="400" w:lineRule="exact"/>
        <w:rPr>
          <w:b w:val="0"/>
          <w:bCs/>
          <w:sz w:val="21"/>
          <w:szCs w:val="21"/>
          <w:u w:val="none"/>
        </w:rPr>
      </w:pPr>
      <w:r>
        <w:rPr>
          <w:b w:val="0"/>
          <w:bCs/>
          <w:sz w:val="21"/>
          <w:szCs w:val="21"/>
          <w:u w:val="none"/>
        </w:rPr>
        <w:t xml:space="preserve">有线信息点网线须采用国标六类非屏蔽双绞线缆。</w:t>
      </w:r>
      <w:r/>
    </w:p>
    <w:p>
      <w:pPr>
        <w:pStyle w:val="799"/>
        <w:numPr>
          <w:ilvl w:val="2"/>
          <w:numId w:val="8"/>
        </w:numPr>
        <w:spacing w:before="0" w:after="0" w:line="400" w:lineRule="exact"/>
        <w:rPr>
          <w:b w:val="0"/>
          <w:bCs/>
          <w:sz w:val="21"/>
          <w:szCs w:val="21"/>
          <w:u w:val="none"/>
        </w:rPr>
      </w:pPr>
      <w:r>
        <w:rPr>
          <w:b w:val="0"/>
          <w:bCs/>
          <w:sz w:val="21"/>
          <w:szCs w:val="21"/>
          <w:u w:val="none"/>
        </w:rPr>
        <w:t xml:space="preserve">室内光接入设备点位上联采用软铠装室内光缆，螺旋钢带铠装保护层。单开门箱体设计采用4芯软铠装光缆；双开门箱体设计采用4芯软铠装光缆。</w:t>
      </w:r>
      <w:r/>
    </w:p>
    <w:p>
      <w:pPr>
        <w:pStyle w:val="799"/>
        <w:numPr>
          <w:ilvl w:val="2"/>
          <w:numId w:val="8"/>
        </w:numPr>
        <w:spacing w:before="0" w:after="0" w:line="400" w:lineRule="exact"/>
        <w:rPr>
          <w:b w:val="0"/>
          <w:bCs/>
          <w:sz w:val="21"/>
          <w:szCs w:val="21"/>
          <w:u w:val="none"/>
        </w:rPr>
      </w:pPr>
      <w:r>
        <w:rPr>
          <w:b w:val="0"/>
          <w:bCs/>
          <w:sz w:val="21"/>
          <w:szCs w:val="21"/>
          <w:u w:val="none"/>
        </w:rPr>
        <w:t xml:space="preserve">本项目核心机房内、楼宇光纤汇聚点的光纤跳线，均需使用可寻线类型的跳线，无需单独对线缆张贴纸质标签，但需提供核心机房内本次项目所建设设备的互联拓扑及互联描述文档。</w:t>
      </w:r>
      <w:r/>
    </w:p>
    <w:p>
      <w:pPr>
        <w:pStyle w:val="799"/>
        <w:numPr>
          <w:ilvl w:val="2"/>
          <w:numId w:val="8"/>
        </w:numPr>
        <w:spacing w:before="0" w:after="0" w:line="400" w:lineRule="exact"/>
        <w:rPr>
          <w:b w:val="0"/>
          <w:bCs/>
          <w:sz w:val="21"/>
          <w:szCs w:val="21"/>
          <w:u w:val="none"/>
        </w:rPr>
      </w:pPr>
      <w:r>
        <w:rPr>
          <w:b w:val="0"/>
          <w:bCs/>
          <w:sz w:val="21"/>
          <w:szCs w:val="21"/>
          <w:u w:val="none"/>
        </w:rPr>
        <w:t xml:space="preserve">多媒体箱内连接光接入设备的水晶头需添加水晶头护套</w:t>
      </w:r>
      <w:r/>
    </w:p>
    <w:p>
      <w:pPr>
        <w:pStyle w:val="799"/>
        <w:numPr>
          <w:ilvl w:val="2"/>
          <w:numId w:val="8"/>
        </w:numPr>
        <w:spacing w:before="0" w:after="0" w:line="400" w:lineRule="exact"/>
        <w:rPr>
          <w:b w:val="0"/>
          <w:bCs/>
          <w:sz w:val="21"/>
          <w:szCs w:val="21"/>
          <w:u w:val="none"/>
        </w:rPr>
      </w:pPr>
      <w:r>
        <w:rPr>
          <w:b w:val="0"/>
          <w:bCs/>
          <w:sz w:val="21"/>
          <w:szCs w:val="21"/>
          <w:u w:val="none"/>
        </w:rPr>
        <w:t xml:space="preserve">本项目所涉及箱体及柜体须使用快速查询方式进行标注及管理(便于手持终端现场快速查询)。</w:t>
      </w:r>
      <w:r/>
    </w:p>
    <w:p>
      <w:pPr>
        <w:pStyle w:val="799"/>
        <w:numPr>
          <w:ilvl w:val="2"/>
          <w:numId w:val="8"/>
        </w:numPr>
        <w:spacing w:before="0" w:after="0" w:line="400" w:lineRule="exact"/>
        <w:rPr>
          <w:b w:val="0"/>
          <w:bCs/>
          <w:sz w:val="21"/>
          <w:szCs w:val="21"/>
          <w:u w:val="none"/>
        </w:rPr>
      </w:pPr>
      <w:r>
        <w:rPr>
          <w:b w:val="0"/>
          <w:bCs/>
          <w:sz w:val="21"/>
          <w:szCs w:val="21"/>
          <w:u w:val="none"/>
        </w:rPr>
        <w:t xml:space="preserve">成交供应商在设备安装过程中如需进行打孔、切割、进户等有较大噪音及需要采购人现场配合的工作时，必须考虑招标人的实际情况，只能在事先约定的时间进场安装。</w:t>
      </w:r>
      <w:r/>
    </w:p>
    <w:p>
      <w:pPr>
        <w:pStyle w:val="799"/>
        <w:numPr>
          <w:ilvl w:val="2"/>
          <w:numId w:val="8"/>
        </w:numPr>
        <w:spacing w:before="0" w:after="0" w:line="400" w:lineRule="exact"/>
        <w:rPr>
          <w:b w:val="0"/>
          <w:bCs/>
          <w:sz w:val="21"/>
          <w:szCs w:val="21"/>
          <w:u w:val="none"/>
        </w:rPr>
      </w:pPr>
      <w:r>
        <w:rPr>
          <w:b w:val="0"/>
          <w:bCs/>
          <w:sz w:val="21"/>
          <w:szCs w:val="21"/>
          <w:u w:val="none"/>
        </w:rPr>
        <w:t xml:space="preserve">PVC管及线缆敷设：</w:t>
      </w:r>
      <w:r/>
    </w:p>
    <w:p>
      <w:pPr>
        <w:pStyle w:val="806"/>
        <w:numPr>
          <w:ilvl w:val="0"/>
          <w:numId w:val="11"/>
        </w:numPr>
        <w:ind w:firstLine="480"/>
        <w:spacing w:before="0" w:line="400" w:lineRule="exact"/>
        <w:rPr>
          <w:rFonts w:hint="eastAsia"/>
          <w:sz w:val="21"/>
        </w:rPr>
      </w:pPr>
      <w:r>
        <w:rPr>
          <w:sz w:val="21"/>
        </w:rPr>
        <w:t xml:space="preserve">每个点布放的线缆种类，数</w:t>
      </w:r>
      <w:r>
        <w:rPr>
          <w:color w:val="auto"/>
          <w:sz w:val="21"/>
        </w:rPr>
        <w:t xml:space="preserve">量必须严格按照</w:t>
      </w:r>
      <w:r>
        <w:rPr>
          <w:rFonts w:hint="eastAsia"/>
          <w:color w:val="auto"/>
          <w:sz w:val="21"/>
        </w:rPr>
        <w:t xml:space="preserve">投标供应商深化并经甲方确认后的</w:t>
      </w:r>
      <w:r>
        <w:rPr>
          <w:color w:val="auto"/>
          <w:sz w:val="21"/>
        </w:rPr>
        <w:t xml:space="preserve">设计图纸的要求执行；所有敷设的线缆两头要求进行标记，线缆长度必须留足，并要有一定的余量。</w:t>
      </w:r>
      <w:r/>
    </w:p>
    <w:p>
      <w:pPr>
        <w:pStyle w:val="806"/>
        <w:numPr>
          <w:ilvl w:val="0"/>
          <w:numId w:val="11"/>
        </w:numPr>
        <w:ind w:firstLine="480"/>
        <w:spacing w:before="0" w:line="400" w:lineRule="exact"/>
        <w:rPr>
          <w:rFonts w:hint="eastAsia"/>
          <w:sz w:val="21"/>
        </w:rPr>
      </w:pPr>
      <w:r>
        <w:rPr>
          <w:sz w:val="21"/>
        </w:rPr>
        <w:t xml:space="preserve">避免线缆弯曲超过90度；避免过紧的缠绕线缆；不可损坏线缆的外皮；不可切坏缆内的各单芯护套及芯线；对线缆的接续分接头或修理均不容许；损坏的或破裂的线缆必须除去；垂直干线如光缆敷设时,每隔1.5～2米用线扎固定在桥架内壁上，避免线缆自重损坏线缆；在牵引和绑扎线缆时，要求清除线缆上的应力，不要过紧的绑扎线缆。</w:t>
      </w:r>
      <w:r/>
    </w:p>
    <w:p>
      <w:pPr>
        <w:pStyle w:val="806"/>
        <w:ind w:firstLine="480"/>
        <w:spacing w:before="0" w:line="400" w:lineRule="exact"/>
        <w:rPr>
          <w:rFonts w:hint="eastAsia"/>
          <w:sz w:val="21"/>
        </w:rPr>
      </w:pPr>
      <w:r>
        <w:rPr>
          <w:sz w:val="21"/>
        </w:rPr>
        <w:t xml:space="preserve">除以上说明外，需按照国家GB/T50312-2000规范和相关的电气安装规范进行安装。</w:t>
      </w:r>
      <w:r/>
    </w:p>
    <w:p>
      <w:pPr>
        <w:pStyle w:val="799"/>
        <w:numPr>
          <w:ilvl w:val="2"/>
          <w:numId w:val="8"/>
        </w:numPr>
        <w:spacing w:before="0" w:after="0" w:line="400" w:lineRule="exact"/>
        <w:rPr>
          <w:b w:val="0"/>
          <w:bCs/>
          <w:sz w:val="21"/>
          <w:szCs w:val="21"/>
          <w:u w:val="none"/>
        </w:rPr>
      </w:pPr>
      <w:r>
        <w:rPr>
          <w:b w:val="0"/>
          <w:bCs/>
          <w:sz w:val="21"/>
          <w:szCs w:val="21"/>
          <w:u w:val="none"/>
        </w:rPr>
        <w:t xml:space="preserve">安装结束后，必须及时完成楼宇现场的恢复清理，确保墙面、楼道等整洁美观。</w:t>
      </w:r>
      <w:r/>
    </w:p>
    <w:p>
      <w:pPr>
        <w:pStyle w:val="799"/>
        <w:numPr>
          <w:ilvl w:val="2"/>
          <w:numId w:val="8"/>
        </w:numPr>
        <w:spacing w:before="0" w:after="0" w:line="400" w:lineRule="exact"/>
        <w:rPr>
          <w:b w:val="0"/>
          <w:bCs/>
          <w:sz w:val="21"/>
          <w:szCs w:val="21"/>
          <w:u w:val="none"/>
        </w:rPr>
      </w:pPr>
      <w:r>
        <w:rPr>
          <w:b w:val="0"/>
          <w:bCs/>
          <w:sz w:val="21"/>
          <w:szCs w:val="21"/>
          <w:u w:val="none"/>
        </w:rPr>
        <w:t xml:space="preserve">项目验收前，成交供应商须提供项目建设的完整文档资料，包括所有接入设备的安装部署图纸、整体拓扑结构、所有设备IP地址表、项目调试配置文档、线缆点位数据表，以便今后的管理和维护。</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室外光缆建设</w:t>
      </w:r>
      <w:r/>
    </w:p>
    <w:p>
      <w:pPr>
        <w:pStyle w:val="806"/>
        <w:ind w:firstLine="480"/>
        <w:spacing w:before="0" w:line="400" w:lineRule="exact"/>
        <w:rPr>
          <w:rFonts w:hint="eastAsia"/>
          <w:sz w:val="21"/>
        </w:rPr>
      </w:pPr>
      <w:r>
        <w:rPr>
          <w:sz w:val="21"/>
        </w:rPr>
        <w:t xml:space="preserve">本次项目需完成楼宇主干光缆建设以满足此次项目使用所需。相关需求如下：</w:t>
      </w:r>
      <w:r/>
    </w:p>
    <w:p>
      <w:pPr>
        <w:pStyle w:val="799"/>
        <w:numPr>
          <w:ilvl w:val="2"/>
          <w:numId w:val="8"/>
        </w:numPr>
        <w:spacing w:before="0" w:after="0" w:line="400" w:lineRule="exact"/>
        <w:rPr>
          <w:b w:val="0"/>
          <w:bCs/>
          <w:sz w:val="21"/>
          <w:szCs w:val="21"/>
          <w:u w:val="none"/>
        </w:rPr>
      </w:pPr>
      <w:r>
        <w:rPr>
          <w:b w:val="0"/>
          <w:bCs/>
          <w:sz w:val="21"/>
          <w:szCs w:val="21"/>
          <w:u w:val="none"/>
        </w:rPr>
        <w:t xml:space="preserve">汇聚点设置：光缆中心汇聚点为图文楼2楼中心机房，144芯*2到图文楼7楼中心机房；</w:t>
      </w:r>
      <w:r/>
    </w:p>
    <w:p>
      <w:pPr>
        <w:pStyle w:val="799"/>
        <w:numPr>
          <w:ilvl w:val="2"/>
          <w:numId w:val="8"/>
        </w:numPr>
        <w:spacing w:before="0" w:after="0" w:line="400" w:lineRule="exact"/>
        <w:rPr>
          <w:sz w:val="21"/>
        </w:rPr>
      </w:pPr>
      <w:r>
        <w:rPr>
          <w:b w:val="0"/>
          <w:bCs/>
          <w:sz w:val="21"/>
          <w:szCs w:val="21"/>
          <w:u w:val="none"/>
        </w:rPr>
        <w:t xml:space="preserve">区域汇聚点：根据学校要求和地勘情况设置，</w:t>
      </w:r>
      <w:r>
        <w:rPr>
          <w:rFonts w:hint="eastAsia"/>
          <w:b w:val="0"/>
          <w:bCs/>
          <w:sz w:val="21"/>
          <w:szCs w:val="21"/>
          <w:u w:val="none"/>
        </w:rPr>
        <w:t xml:space="preserve">教学楼汇聚和宿舍汇聚</w:t>
      </w:r>
      <w:r>
        <w:rPr>
          <w:b w:val="0"/>
          <w:bCs/>
          <w:sz w:val="21"/>
          <w:szCs w:val="21"/>
          <w:u w:val="none"/>
        </w:rPr>
        <w:t xml:space="preserve">144芯</w:t>
      </w:r>
      <w:r>
        <w:rPr>
          <w:rFonts w:hint="eastAsia"/>
          <w:b w:val="0"/>
          <w:bCs/>
          <w:sz w:val="21"/>
          <w:szCs w:val="21"/>
          <w:u w:val="none"/>
        </w:rPr>
        <w:t xml:space="preserve">、其它</w:t>
      </w:r>
      <w:r>
        <w:rPr>
          <w:b w:val="0"/>
          <w:bCs/>
          <w:sz w:val="21"/>
          <w:szCs w:val="21"/>
          <w:u w:val="none"/>
        </w:rPr>
        <w:t xml:space="preserve">汇聚</w:t>
      </w:r>
      <w:r>
        <w:rPr>
          <w:rFonts w:hint="eastAsia"/>
          <w:b w:val="0"/>
          <w:bCs/>
          <w:sz w:val="21"/>
          <w:szCs w:val="21"/>
          <w:u w:val="none"/>
        </w:rPr>
        <w:t xml:space="preserve">4</w:t>
      </w:r>
      <w:r>
        <w:rPr>
          <w:b w:val="0"/>
          <w:bCs/>
          <w:sz w:val="21"/>
          <w:szCs w:val="21"/>
          <w:u w:val="none"/>
        </w:rPr>
        <w:t xml:space="preserve">8芯到图文楼2楼；</w:t>
      </w:r>
      <w:r/>
    </w:p>
    <w:p>
      <w:pPr>
        <w:pStyle w:val="799"/>
        <w:numPr>
          <w:ilvl w:val="2"/>
          <w:numId w:val="8"/>
        </w:numPr>
        <w:spacing w:before="0" w:after="0" w:line="400" w:lineRule="exact"/>
        <w:rPr>
          <w:b w:val="0"/>
          <w:bCs/>
          <w:color w:val="auto"/>
          <w:sz w:val="21"/>
          <w:u w:val="none"/>
        </w:rPr>
      </w:pPr>
      <w:r>
        <w:rPr>
          <w:b w:val="0"/>
          <w:bCs/>
          <w:sz w:val="21"/>
          <w:u w:val="none"/>
        </w:rPr>
        <w:t xml:space="preserve">设计楼宇清单：到以下楼宇采用48芯室外光缆，图文楼、教学楼1号楼、教学楼2号楼、教学楼3号楼、学生宿舍15号楼、学生宿舍17号楼、学生宿舍21号楼、学生宿舍23号楼、师生公寓</w:t>
      </w:r>
      <w:r>
        <w:rPr>
          <w:b w:val="0"/>
          <w:bCs/>
          <w:color w:val="auto"/>
          <w:sz w:val="21"/>
          <w:u w:val="none"/>
        </w:rPr>
        <w:t xml:space="preserve">、华夏楼、财经综合楼、机电楼A、机电楼B、动漫楼、动漫楼外围、体育、后勤楼、食堂、看台、超市、洗衣房、锅炉房、大门-西侧、西门、宿舍区配电间、图书馆北面配电间、大门-东侧、东门、机电边配电间</w:t>
      </w:r>
      <w:r>
        <w:rPr>
          <w:rFonts w:hint="eastAsia"/>
          <w:b w:val="0"/>
          <w:bCs/>
          <w:color w:val="auto"/>
          <w:sz w:val="21"/>
          <w:u w:val="none"/>
        </w:rPr>
        <w:t xml:space="preserve">。</w:t>
      </w:r>
      <w:r/>
    </w:p>
    <w:p>
      <w:pPr>
        <w:pStyle w:val="799"/>
        <w:numPr>
          <w:ilvl w:val="1"/>
          <w:numId w:val="8"/>
        </w:numPr>
        <w:spacing w:before="0" w:after="0" w:line="400" w:lineRule="exact"/>
        <w:rPr>
          <w:rFonts w:hint="eastAsia" w:ascii="黑体" w:hAnsi="黑体" w:cs="黑体"/>
          <w:color w:val="auto"/>
          <w:sz w:val="21"/>
          <w:szCs w:val="21"/>
          <w:u w:val="none"/>
        </w:rPr>
      </w:pPr>
      <w:r>
        <w:rPr>
          <w:color w:val="auto"/>
          <w:sz w:val="21"/>
          <w:szCs w:val="21"/>
          <w:u w:val="none"/>
        </w:rPr>
        <w:t xml:space="preserve">管理功能提升建设</w:t>
      </w:r>
      <w:r/>
    </w:p>
    <w:p>
      <w:pPr>
        <w:pStyle w:val="806"/>
        <w:ind w:firstLine="480"/>
        <w:spacing w:before="0" w:line="400" w:lineRule="exact"/>
        <w:rPr>
          <w:rFonts w:hint="eastAsia"/>
          <w:color w:val="auto"/>
          <w:sz w:val="21"/>
        </w:rPr>
      </w:pPr>
      <w:r>
        <w:rPr>
          <w:color w:val="auto"/>
          <w:sz w:val="21"/>
        </w:rPr>
        <w:t xml:space="preserve">本次项目对现网及改造楼宇需要实现提升网络监控与可视化、智能化管理能力，配套设备链路综合运维与安全管理（包括：1、网络设备运维与日志分析；2、光链路可视管理；3、哑终端安全使用管理）。具体要求如下：</w:t>
      </w:r>
      <w:r/>
    </w:p>
    <w:p>
      <w:pPr>
        <w:pStyle w:val="806"/>
        <w:numPr>
          <w:ilvl w:val="0"/>
          <w:numId w:val="12"/>
        </w:numPr>
        <w:ind w:firstLine="480"/>
        <w:spacing w:before="0" w:line="400" w:lineRule="exact"/>
        <w:rPr>
          <w:rFonts w:hAnsi="Times New Roman"/>
          <w:bCs/>
          <w:sz w:val="21"/>
        </w:rPr>
      </w:pPr>
      <w:r>
        <w:rPr>
          <w:rFonts w:hAnsi="Times New Roman"/>
          <w:bCs/>
          <w:color w:val="auto"/>
          <w:sz w:val="21"/>
        </w:rPr>
        <w:t xml:space="preserve">可实现对网络维护工作起到督促作</w:t>
      </w:r>
      <w:r>
        <w:rPr>
          <w:rFonts w:hAnsi="Times New Roman"/>
          <w:bCs/>
          <w:sz w:val="21"/>
        </w:rPr>
        <w:t xml:space="preserve">用，支持对出口流量、核心网络、无线网络、光网络的可视化快速巡检。</w:t>
      </w:r>
      <w:r/>
    </w:p>
    <w:p>
      <w:pPr>
        <w:pStyle w:val="806"/>
        <w:numPr>
          <w:ilvl w:val="0"/>
          <w:numId w:val="12"/>
        </w:numPr>
        <w:ind w:firstLine="480"/>
        <w:spacing w:before="0" w:line="400" w:lineRule="exact"/>
        <w:rPr>
          <w:rFonts w:hint="eastAsia"/>
          <w:bCs/>
          <w:sz w:val="21"/>
        </w:rPr>
      </w:pPr>
      <w:r>
        <w:rPr>
          <w:bCs/>
          <w:sz w:val="21"/>
        </w:rPr>
        <w:t xml:space="preserve">可实现对网络建设工作起到检查作用，支持对光网设备分布情况的可视化展现，支持对设备的在线/离线状态及时间的展现，设备端口光衰数据的展现。</w:t>
      </w:r>
      <w:r/>
    </w:p>
    <w:p>
      <w:pPr>
        <w:pStyle w:val="806"/>
        <w:numPr>
          <w:ilvl w:val="0"/>
          <w:numId w:val="12"/>
        </w:numPr>
        <w:ind w:firstLine="480"/>
        <w:spacing w:before="0" w:line="400" w:lineRule="exact"/>
        <w:rPr>
          <w:rFonts w:hint="eastAsia"/>
          <w:bCs/>
          <w:sz w:val="21"/>
        </w:rPr>
      </w:pPr>
      <w:r>
        <w:rPr>
          <w:bCs/>
          <w:sz w:val="21"/>
        </w:rPr>
        <w:t xml:space="preserve">可实现对用户使用网络起到监督作用，支持记录用户入网连接位置信息、连接时长，快速展现入网感知。</w:t>
      </w:r>
      <w:r/>
    </w:p>
    <w:p>
      <w:pPr>
        <w:pStyle w:val="806"/>
        <w:numPr>
          <w:ilvl w:val="0"/>
          <w:numId w:val="12"/>
        </w:numPr>
        <w:ind w:firstLine="480"/>
        <w:spacing w:before="0" w:line="400" w:lineRule="exact"/>
        <w:rPr>
          <w:rFonts w:hint="eastAsia"/>
          <w:bCs/>
          <w:sz w:val="21"/>
        </w:rPr>
      </w:pPr>
      <w:r>
        <w:rPr>
          <w:bCs/>
          <w:sz w:val="21"/>
        </w:rPr>
        <w:t xml:space="preserve">实现通过快速查询方式(便于手持终端现场快速查询)，自动化采集并登记端口及互联信息，包括但不限于项目名称、设备基础参数、链路连接关系、端口使用状态等。</w:t>
      </w:r>
      <w:r/>
    </w:p>
    <w:p>
      <w:pPr>
        <w:pStyle w:val="806"/>
        <w:numPr>
          <w:ilvl w:val="0"/>
          <w:numId w:val="12"/>
        </w:numPr>
        <w:ind w:firstLine="480"/>
        <w:spacing w:before="0" w:line="400" w:lineRule="exact"/>
        <w:rPr>
          <w:rFonts w:hint="eastAsia"/>
          <w:bCs/>
          <w:sz w:val="21"/>
        </w:rPr>
      </w:pPr>
      <w:r>
        <w:rPr>
          <w:bCs/>
          <w:sz w:val="21"/>
        </w:rPr>
        <w:t xml:space="preserve">可实现快速查询方式，实时、准确展现机柜内设备基本信息，包含设备品牌、型号、规格、硬件配置等。</w:t>
      </w:r>
      <w:r/>
    </w:p>
    <w:p>
      <w:pPr>
        <w:pStyle w:val="806"/>
        <w:numPr>
          <w:ilvl w:val="0"/>
          <w:numId w:val="12"/>
        </w:numPr>
        <w:ind w:firstLine="480"/>
        <w:spacing w:before="0" w:line="400" w:lineRule="exact"/>
        <w:rPr>
          <w:rFonts w:hint="eastAsia"/>
          <w:bCs/>
          <w:sz w:val="21"/>
        </w:rPr>
      </w:pPr>
      <w:r>
        <w:rPr>
          <w:bCs/>
          <w:sz w:val="21"/>
        </w:rPr>
        <w:t xml:space="preserve">可实现多媒体箱使用快速查询方式 (便于手持终端现场快速查询)，展现该多媒体箱内接入设备名称、序列号、MAC 地址、设备所在楼宇、安装位置等基本信息。</w:t>
      </w:r>
      <w:r/>
    </w:p>
    <w:p>
      <w:pPr>
        <w:pStyle w:val="806"/>
        <w:numPr>
          <w:ilvl w:val="0"/>
          <w:numId w:val="12"/>
        </w:numPr>
        <w:ind w:firstLine="480"/>
        <w:spacing w:before="0" w:line="400" w:lineRule="exact"/>
        <w:rPr>
          <w:rFonts w:hint="eastAsia"/>
          <w:bCs/>
          <w:sz w:val="21"/>
        </w:rPr>
      </w:pPr>
      <w:r>
        <w:rPr>
          <w:bCs/>
          <w:sz w:val="21"/>
        </w:rPr>
        <w:t xml:space="preserve">可实现所有在线设备自动发现设备的端口使用情况，实现所有设备的可视化。</w:t>
      </w:r>
      <w:r/>
    </w:p>
    <w:p>
      <w:pPr>
        <w:pStyle w:val="806"/>
        <w:numPr>
          <w:ilvl w:val="0"/>
          <w:numId w:val="12"/>
        </w:numPr>
        <w:ind w:firstLine="480"/>
        <w:spacing w:before="0" w:line="400" w:lineRule="exact"/>
        <w:rPr>
          <w:rFonts w:hint="eastAsia"/>
          <w:bCs/>
          <w:sz w:val="21"/>
        </w:rPr>
      </w:pPr>
      <w:r>
        <w:rPr>
          <w:bCs/>
          <w:sz w:val="21"/>
        </w:rPr>
        <w:t xml:space="preserve">可实现光纤使用的记录可视化，使用电子配线架同时可以实现光路的自动检测光纤端口的使用情况。</w:t>
      </w:r>
      <w:r/>
    </w:p>
    <w:p>
      <w:pPr>
        <w:pStyle w:val="806"/>
        <w:numPr>
          <w:ilvl w:val="0"/>
          <w:numId w:val="12"/>
        </w:numPr>
        <w:ind w:firstLine="480"/>
        <w:spacing w:before="0" w:line="400" w:lineRule="exact"/>
        <w:rPr>
          <w:rFonts w:hint="eastAsia"/>
          <w:bCs/>
          <w:sz w:val="21"/>
        </w:rPr>
      </w:pPr>
      <w:r>
        <w:rPr>
          <w:bCs/>
          <w:sz w:val="21"/>
        </w:rPr>
        <w:t xml:space="preserve">可实现资产使用的可视化统计，并且为后期学校的数字化建设提供底层数据。</w:t>
      </w:r>
      <w:r/>
    </w:p>
    <w:p>
      <w:pPr>
        <w:pStyle w:val="806"/>
        <w:numPr>
          <w:ilvl w:val="0"/>
          <w:numId w:val="12"/>
        </w:numPr>
        <w:ind w:firstLine="480"/>
        <w:spacing w:before="0" w:line="400" w:lineRule="exact"/>
        <w:rPr>
          <w:rFonts w:hint="eastAsia"/>
          <w:sz w:val="21"/>
        </w:rPr>
      </w:pPr>
      <w:r>
        <w:rPr>
          <w:bCs/>
          <w:sz w:val="21"/>
        </w:rPr>
        <w:t xml:space="preserve">可实现对哑终端类设备地址分配、绑定或白名单等功能，实现安全管理。</w:t>
      </w:r>
      <w:r/>
    </w:p>
    <w:p>
      <w:pPr>
        <w:pStyle w:val="1084"/>
        <w:numPr>
          <w:ilvl w:val="0"/>
          <w:numId w:val="5"/>
        </w:numPr>
        <w:jc w:val="both"/>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技术要求</w:t>
      </w:r>
      <w:r/>
    </w:p>
    <w:p>
      <w:pPr>
        <w:numPr>
          <w:ilvl w:val="0"/>
          <w:numId w:val="13"/>
        </w:numPr>
        <w:spacing w:line="276"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基本要求：</w:t>
      </w:r>
      <w:r/>
    </w:p>
    <w:tbl>
      <w:tblPr>
        <w:tblStyle w:val="802"/>
        <w:tblW w:w="8282" w:type="dxa"/>
        <w:tblInd w:w="100" w:type="dxa"/>
        <w:tblLayout w:type="fixed"/>
        <w:tblCellMar>
          <w:left w:w="108" w:type="dxa"/>
          <w:top w:w="0" w:type="dxa"/>
          <w:right w:w="108" w:type="dxa"/>
          <w:bottom w:w="0" w:type="dxa"/>
        </w:tblCellMar>
        <w:tblLook w:val="04A0" w:firstRow="1" w:lastRow="0" w:firstColumn="1" w:lastColumn="0" w:noHBand="0" w:noVBand="1"/>
      </w:tblPr>
      <w:tblGrid>
        <w:gridCol w:w="878"/>
        <w:gridCol w:w="5016"/>
        <w:gridCol w:w="1143"/>
        <w:gridCol w:w="1245"/>
      </w:tblGrid>
      <w:tr>
        <w:trPr>
          <w:trHeight w:val="90"/>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jc w:val="center"/>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bidi="ar"/>
              </w:rPr>
              <w:t xml:space="preserve">数量</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以太光汇聚交换机（核心产品）</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套</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8口光接入设备</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480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台</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24口光接入设备</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台</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光模块</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配套全光网络、万兆</w:t>
            </w:r>
            <w:r>
              <w:rPr>
                <w:rFonts w:hint="eastAsia" w:asciiTheme="minorEastAsia" w:hAnsiTheme="minorEastAsia" w:eastAsiaTheme="minorEastAsia" w:cstheme="minorEastAsia"/>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528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bookmarkStart w:id="198" w:name="OLE_LINK5"/>
            <w:r/>
            <w:bookmarkStart w:id="199" w:name="OLE_LINK4"/>
            <w:r>
              <w:rPr>
                <w:rFonts w:hint="eastAsia" w:asciiTheme="minorEastAsia" w:hAnsiTheme="minorEastAsia" w:eastAsiaTheme="minorEastAsia" w:cstheme="minorEastAsia"/>
                <w:highlight w:val="none"/>
              </w:rPr>
              <w:t xml:space="preserve">单模万兆光模块</w:t>
            </w:r>
            <w:bookmarkEnd w:id="198"/>
            <w:r/>
            <w:bookmarkEnd w:id="199"/>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设备链路综合运维与安全管理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套</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台</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台</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4芯单模软铠装室内光缆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37000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单开门多媒体箱</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237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双开门多媒体箱</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228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4口熔接盒</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461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法兰盘</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3688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15</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单芯尾纤</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3688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16</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LC-LC-60公分-单模光纤跳线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461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17</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LC-LC-1米-单模光纤跳线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590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18</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LC-LC-5米-单模光纤跳线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19</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LC-LC-10米-单模光纤跳线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20</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六类网线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箱</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六类水晶头</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1153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22</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阴阳式衰减器</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23</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单口面板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987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24</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双口面板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25</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六类模块</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1153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26</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明装配电箱</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27</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RVV3*1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9000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28</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C32/断路器/D</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29</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C16/断路器/D</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30</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86明盒</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1070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31</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辅材线槽</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6500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32</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48芯室外单模光缆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6800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33</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144芯室外单模光缆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34</w:t>
            </w:r>
            <w:r/>
          </w:p>
        </w:tc>
        <w:tc>
          <w:tcPr>
            <w:tcBorders>
              <w:top w:val="single" w:color="000000" w:sz="4" w:space="0"/>
              <w:left w:val="single" w:color="000000" w:sz="4" w:space="0"/>
              <w:bottom w:val="single" w:color="000000" w:sz="4" w:space="0"/>
              <w:right w:val="single" w:color="000000" w:sz="4" w:space="0"/>
            </w:tcBorders>
            <w:tcW w:w="5016" w:type="dxa"/>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LC单芯尾纤</w:t>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1728</w:t>
            </w:r>
            <w:r/>
          </w:p>
        </w:tc>
        <w:tc>
          <w:tcPr>
            <w:tcBorders>
              <w:top w:val="single" w:color="000000" w:sz="4" w:space="0"/>
              <w:left w:val="single" w:color="000000" w:sz="4" w:space="0"/>
              <w:bottom w:val="single" w:color="000000" w:sz="4" w:space="0"/>
              <w:right w:val="single" w:color="000000" w:sz="4" w:space="0"/>
            </w:tcBorders>
            <w:tcW w:w="1245"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90"/>
        </w:trPr>
        <w:tc>
          <w:tcPr>
            <w:tcBorders>
              <w:top w:val="single" w:color="000000" w:sz="4" w:space="0"/>
              <w:left w:val="single" w:color="000000" w:sz="4" w:space="0"/>
              <w:bottom w:val="single" w:color="000000" w:sz="4" w:space="0"/>
              <w:right w:val="single" w:color="000000" w:sz="4" w:space="0"/>
            </w:tcBorders>
            <w:tcW w:w="878" w:type="dxa"/>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35</w:t>
            </w:r>
            <w:r/>
          </w:p>
        </w:tc>
        <w:tc>
          <w:tcPr>
            <w:tcBorders>
              <w:top w:val="single" w:color="000000" w:sz="4" w:space="0"/>
              <w:left w:val="single" w:color="000000" w:sz="4" w:space="0"/>
              <w:bottom w:val="single" w:color="000000" w:sz="4" w:space="0"/>
              <w:right w:val="single" w:color="000000" w:sz="4" w:space="0"/>
            </w:tcBorders>
            <w:tcW w:w="5016" w:type="dxa"/>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LC-LC-5米-单模光纤跳线</w:t>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110</w:t>
            </w:r>
            <w:r/>
          </w:p>
        </w:tc>
        <w:tc>
          <w:tcPr>
            <w:tcBorders>
              <w:top w:val="single" w:color="000000" w:sz="4" w:space="0"/>
              <w:left w:val="single" w:color="000000" w:sz="4" w:space="0"/>
              <w:bottom w:val="single" w:color="000000" w:sz="4" w:space="0"/>
              <w:right w:val="single" w:color="000000" w:sz="4" w:space="0"/>
            </w:tcBorders>
            <w:tcW w:w="1245"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36</w:t>
            </w:r>
            <w:r/>
          </w:p>
        </w:tc>
        <w:tc>
          <w:tcPr>
            <w:tcBorders>
              <w:top w:val="single" w:color="000000" w:sz="4" w:space="0"/>
              <w:left w:val="single" w:color="000000" w:sz="4" w:space="0"/>
              <w:bottom w:val="single" w:color="000000" w:sz="4" w:space="0"/>
              <w:right w:val="single" w:color="000000" w:sz="4" w:space="0"/>
            </w:tcBorders>
            <w:tcW w:w="5016" w:type="dxa"/>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桥架线管</w:t>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3245</w:t>
            </w:r>
            <w:r/>
          </w:p>
        </w:tc>
        <w:tc>
          <w:tcPr>
            <w:tcBorders>
              <w:top w:val="single" w:color="000000" w:sz="4" w:space="0"/>
              <w:left w:val="single" w:color="000000" w:sz="4" w:space="0"/>
              <w:bottom w:val="single" w:color="000000" w:sz="4" w:space="0"/>
              <w:right w:val="single" w:color="000000" w:sz="4" w:space="0"/>
            </w:tcBorders>
            <w:tcW w:w="1245"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37</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设备拆除</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38</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光纤链路测试</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39</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铜缆链路测试</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1153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40</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光纤熔接</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5416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点</w:t>
            </w:r>
            <w:r/>
          </w:p>
        </w:tc>
      </w:tr>
    </w:tbl>
    <w:p>
      <w:pPr>
        <w:ind w:left="420"/>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2.服务内容及要求/货物技术要求：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下表所列技术参数中打“★”项为实质性技术参数，打“▲”参数为重要参数，其余为一般性技术参数。</w:t>
      </w:r>
      <w:r/>
    </w:p>
    <w:tbl>
      <w:tblPr>
        <w:tblStyle w:val="802"/>
        <w:tblW w:w="8771" w:type="dxa"/>
        <w:jc w:val="center"/>
        <w:tblLayout w:type="fixed"/>
        <w:tblCellMar>
          <w:left w:w="108" w:type="dxa"/>
          <w:top w:w="0" w:type="dxa"/>
          <w:right w:w="108" w:type="dxa"/>
          <w:bottom w:w="0" w:type="dxa"/>
        </w:tblCellMar>
        <w:tblLook w:val="04A0" w:firstRow="1" w:lastRow="0" w:firstColumn="1" w:lastColumn="0" w:noHBand="0" w:noVBand="1"/>
      </w:tblPr>
      <w:tblGrid>
        <w:gridCol w:w="642"/>
        <w:gridCol w:w="1571"/>
        <w:gridCol w:w="6558"/>
      </w:tblGrid>
      <w:tr>
        <w:trPr>
          <w:jc w:val="center"/>
          <w:trHeight w:val="255"/>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宋体" w:hAnsi="宋体" w:cs="宋体"/>
                <w:b/>
                <w:bCs/>
              </w:rPr>
            </w:pPr>
            <w:r/>
            <w:bookmarkStart w:id="200" w:name="_Toc23334"/>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宋体" w:hAnsi="宋体" w:cs="宋体"/>
                <w:b/>
                <w:bCs/>
              </w:rPr>
            </w:pPr>
            <w:r>
              <w:rPr>
                <w:rFonts w:hint="eastAsia" w:ascii="宋体" w:hAnsi="宋体" w:cs="宋体"/>
                <w:b/>
                <w:bCs/>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center"/>
              <w:spacing w:line="400" w:lineRule="exact"/>
              <w:widowControl/>
              <w:rPr>
                <w:rFonts w:hint="eastAsia" w:ascii="宋体" w:hAnsi="宋体" w:cs="宋体"/>
                <w:b/>
                <w:bCs/>
              </w:rPr>
            </w:pPr>
            <w:r>
              <w:rPr>
                <w:rFonts w:hint="eastAsia" w:ascii="宋体" w:hAnsi="宋体" w:cs="宋体"/>
                <w:b/>
                <w:bCs/>
                <w:lang w:bidi="ar"/>
              </w:rPr>
              <w:t xml:space="preserve">规格参数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rPr>
              <w:t xml:space="preserve">以太光汇聚交换机（核心产品）</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color w:val="auto"/>
              </w:rPr>
              <w:t xml:space="preserve">★1.性能要求：</w:t>
            </w:r>
            <w:bookmarkStart w:id="201" w:name="OLE_LINK20"/>
            <w:r/>
            <w:bookmarkStart w:id="202" w:name="OLE_LINK19"/>
            <w:r>
              <w:rPr>
                <w:rFonts w:hint="eastAsia" w:ascii="宋体" w:hAnsi="宋体" w:cs="宋体"/>
                <w:color w:val="auto"/>
              </w:rPr>
              <w:t xml:space="preserve">总包转发率</w:t>
            </w:r>
            <w:bookmarkEnd w:id="201"/>
            <w:r/>
            <w:bookmarkEnd w:id="202"/>
            <w:r>
              <w:rPr>
                <w:rFonts w:hint="eastAsia" w:ascii="宋体" w:hAnsi="宋体" w:cs="宋体"/>
                <w:color w:val="auto"/>
              </w:rPr>
              <w:t xml:space="preserve">≧21600（或7200*3）Mpps，</w:t>
            </w:r>
            <w:bookmarkStart w:id="203" w:name="OLE_LINK21"/>
            <w:r/>
            <w:bookmarkStart w:id="204" w:name="OLE_LINK22"/>
            <w:r>
              <w:rPr>
                <w:rFonts w:hint="eastAsia" w:ascii="宋体" w:hAnsi="宋体" w:cs="宋体"/>
                <w:color w:val="auto"/>
              </w:rPr>
              <w:t xml:space="preserve">总交换容量</w:t>
            </w:r>
            <w:bookmarkEnd w:id="203"/>
            <w:r/>
            <w:bookmarkEnd w:id="204"/>
            <w:r>
              <w:rPr>
                <w:rFonts w:hint="eastAsia" w:ascii="宋体" w:hAnsi="宋体" w:cs="宋体"/>
                <w:color w:val="auto"/>
              </w:rPr>
              <w:t xml:space="preserve">≧114（或38*3）Tbps。</w:t>
            </w:r>
            <w:r>
              <w:rPr>
                <w:rFonts w:hint="eastAsia" w:ascii="宋体" w:hAnsi="宋体" w:cs="宋体"/>
                <w:color w:val="000000"/>
              </w:rPr>
              <w:t xml:space="preserve">（提供官网截图或者产品彩页或者检测报告原件扫描件，检测报告需提供检测机构有效CMA资质证书及与所涉检测项目对应《资质认定能力附表》所在页的扫描件，材料需并加盖投标人公章）</w:t>
            </w:r>
            <w:r/>
          </w:p>
          <w:p>
            <w:pPr>
              <w:jc w:val="left"/>
              <w:spacing w:line="400" w:lineRule="exact"/>
              <w:widowControl/>
              <w:rPr>
                <w:rFonts w:hint="eastAsia" w:ascii="宋体" w:hAnsi="宋体" w:cs="宋体"/>
              </w:rPr>
            </w:pPr>
            <w:r>
              <w:rPr>
                <w:rFonts w:hint="eastAsia" w:ascii="宋体" w:hAnsi="宋体" w:cs="宋体"/>
              </w:rPr>
              <w:t xml:space="preserve">★2.配置要求：满配电源、满配风扇，万兆光接口≥</w:t>
            </w:r>
            <w:r>
              <w:rPr>
                <w:rFonts w:ascii="宋体" w:hAnsi="宋体" w:cs="宋体"/>
              </w:rPr>
              <w:t xml:space="preserve">12</w:t>
            </w:r>
            <w:r>
              <w:rPr>
                <w:rFonts w:hint="eastAsia" w:ascii="宋体" w:hAnsi="宋体" w:cs="宋体"/>
              </w:rPr>
              <w:t xml:space="preserve">，配置分光后≥288个10G光接入设备的连接能力（含模块，LC接口），满足接入端264台交换机接入需求（提供承诺函并加盖供应商公章并加盖供应商公章）</w:t>
            </w:r>
            <w:r/>
          </w:p>
          <w:p>
            <w:pPr>
              <w:jc w:val="left"/>
              <w:spacing w:line="400" w:lineRule="exact"/>
              <w:widowControl/>
              <w:rPr>
                <w:rFonts w:hint="eastAsia" w:ascii="宋体" w:hAnsi="宋体" w:cs="宋体"/>
              </w:rPr>
            </w:pPr>
            <w:r/>
            <w:bookmarkStart w:id="205" w:name="OLE_LINK33"/>
            <w:r/>
            <w:bookmarkStart w:id="206" w:name="OLE_LINK34"/>
            <w:r>
              <w:rPr>
                <w:rFonts w:hint="eastAsia" w:ascii="宋体" w:hAnsi="宋体" w:cs="宋体"/>
              </w:rPr>
              <w:t xml:space="preserve">3.汇聚设备双上行至双核心；确保能与学校现有核心交换机（华为12708）使用标准协议互联，提供承诺函并加盖供应商公章。</w:t>
            </w:r>
            <w:bookmarkEnd w:id="205"/>
            <w:r/>
            <w:bookmarkEnd w:id="206"/>
            <w:r/>
            <w:r/>
          </w:p>
          <w:p>
            <w:pPr>
              <w:jc w:val="left"/>
              <w:spacing w:line="400" w:lineRule="exact"/>
              <w:widowControl/>
              <w:rPr>
                <w:rFonts w:hint="eastAsia" w:ascii="宋体" w:hAnsi="宋体" w:cs="宋体"/>
              </w:rPr>
            </w:pPr>
            <w:r>
              <w:rPr>
                <w:rFonts w:hint="eastAsia" w:ascii="宋体" w:hAnsi="宋体" w:cs="宋体"/>
              </w:rPr>
              <w:t xml:space="preserve">4.支持IPv4/IPv6双协议栈；支持IPv6静态路由、RIPng、OSPFv3、BGP+、IPv6 IS-IS。</w:t>
            </w:r>
            <w:r/>
          </w:p>
          <w:p>
            <w:pPr>
              <w:jc w:val="left"/>
              <w:spacing w:line="400" w:lineRule="exact"/>
              <w:widowControl/>
              <w:rPr>
                <w:rFonts w:hint="eastAsia" w:ascii="宋体" w:hAnsi="宋体" w:cs="宋体"/>
                <w:color w:val="auto"/>
              </w:rPr>
            </w:pPr>
            <w:r>
              <w:rPr>
                <w:rFonts w:hint="eastAsia" w:ascii="宋体" w:hAnsi="宋体" w:cs="宋体"/>
              </w:rPr>
              <w:t xml:space="preserve">5</w:t>
            </w:r>
            <w:r>
              <w:rPr>
                <w:rFonts w:hint="eastAsia" w:ascii="宋体" w:hAnsi="宋体" w:cs="宋体"/>
                <w:color w:val="auto"/>
              </w:rPr>
              <w:t xml:space="preserve">.支持MAC地址认证、802.1X认证。</w:t>
            </w:r>
            <w:r/>
          </w:p>
          <w:p>
            <w:pPr>
              <w:pStyle w:val="803"/>
              <w:ind w:firstLine="0"/>
              <w:rPr>
                <w:rFonts w:hint="eastAsia" w:ascii="宋体" w:hAnsi="宋体" w:cs="宋体"/>
                <w:color w:val="auto"/>
                <w:sz w:val="21"/>
                <w:szCs w:val="21"/>
              </w:rPr>
            </w:pPr>
            <w:r/>
            <w:bookmarkStart w:id="207" w:name="OLE_LINK16"/>
            <w:r/>
            <w:bookmarkStart w:id="208" w:name="OLE_LINK15"/>
            <w:r>
              <w:rPr>
                <w:rFonts w:hint="eastAsia" w:ascii="宋体" w:hAnsi="宋体" w:cs="宋体"/>
                <w:color w:val="auto"/>
                <w:sz w:val="21"/>
                <w:szCs w:val="21"/>
              </w:rPr>
              <w:t xml:space="preserve">▲</w:t>
            </w:r>
            <w:bookmarkEnd w:id="207"/>
            <w:r/>
            <w:bookmarkEnd w:id="208"/>
            <w:r>
              <w:rPr>
                <w:rFonts w:hint="eastAsia" w:ascii="宋体" w:hAnsi="宋体" w:cs="宋体"/>
                <w:color w:val="auto"/>
                <w:sz w:val="21"/>
                <w:szCs w:val="21"/>
              </w:rPr>
              <w:t xml:space="preserve">6.采用CLOS交换架构。提供原厂白皮书或者产品画册或者（产品官网链接和截图）证明材料并加盖投标人公章。</w:t>
            </w:r>
            <w:r/>
          </w:p>
          <w:p>
            <w:pPr>
              <w:pStyle w:val="803"/>
              <w:ind w:firstLine="0"/>
              <w:rPr>
                <w:rFonts w:hint="eastAsia"/>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8口光接入设备</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color w:val="000000"/>
              </w:rPr>
            </w:pPr>
            <w:r>
              <w:rPr>
                <w:rFonts w:hint="eastAsia" w:ascii="宋体" w:hAnsi="宋体" w:cs="宋体"/>
              </w:rPr>
              <w:t xml:space="preserve">★1.整机要求：千兆电口≥8，万兆光口≥1；支持POE、POE+，整机POE供电功率≥120W；无风扇设计；包转发率≥105Mpps，交换容量≥6.72Tbps。</w:t>
            </w:r>
            <w:r>
              <w:rPr>
                <w:rFonts w:hint="eastAsia" w:ascii="宋体" w:hAnsi="宋体" w:cs="宋体"/>
                <w:color w:val="000000"/>
              </w:rPr>
              <w:t xml:space="preserve">（提供官网截图或者产品彩页或者检测报告原件扫描件，检测报告需提供检测机构有效CMA资质证书及与所涉检测项目对应《资质认定能力附表》所在页的扫描件，材料需并加盖投标人公章）</w:t>
            </w:r>
            <w:r/>
          </w:p>
          <w:p>
            <w:pPr>
              <w:jc w:val="left"/>
              <w:spacing w:line="400" w:lineRule="exact"/>
              <w:widowControl/>
              <w:rPr>
                <w:rFonts w:hint="eastAsia" w:ascii="宋体" w:hAnsi="宋体" w:cs="宋体"/>
              </w:rPr>
            </w:pPr>
            <w:r>
              <w:rPr>
                <w:rFonts w:hint="eastAsia" w:ascii="宋体" w:hAnsi="宋体" w:cs="宋体"/>
              </w:rPr>
              <w:t xml:space="preserve">2.无风扇静音设计，自然散热；</w:t>
            </w:r>
            <w:r/>
          </w:p>
          <w:p>
            <w:pPr>
              <w:jc w:val="left"/>
              <w:spacing w:line="400" w:lineRule="exact"/>
              <w:widowControl/>
              <w:rPr>
                <w:rFonts w:hint="eastAsia" w:ascii="宋体" w:hAnsi="宋体" w:cs="宋体"/>
              </w:rPr>
            </w:pPr>
            <w:r>
              <w:rPr>
                <w:rFonts w:hint="eastAsia" w:ascii="宋体" w:hAnsi="宋体" w:cs="宋体"/>
              </w:rPr>
              <w:t xml:space="preserve">3.支持静态MAC地址、支持MAC地址过滤；</w:t>
            </w:r>
            <w:r/>
          </w:p>
          <w:p>
            <w:pPr>
              <w:jc w:val="left"/>
              <w:spacing w:line="400" w:lineRule="exact"/>
              <w:widowControl/>
              <w:rPr>
                <w:rFonts w:hint="eastAsia" w:ascii="宋体" w:hAnsi="宋体" w:cs="宋体"/>
              </w:rPr>
            </w:pPr>
            <w:r>
              <w:rPr>
                <w:rFonts w:hint="eastAsia" w:ascii="宋体" w:hAnsi="宋体" w:cs="宋体"/>
              </w:rPr>
              <w:t xml:space="preserve">4.支持QinQ；</w:t>
            </w:r>
            <w:r/>
          </w:p>
          <w:p>
            <w:pPr>
              <w:jc w:val="left"/>
              <w:spacing w:line="400" w:lineRule="exact"/>
              <w:widowControl/>
              <w:rPr>
                <w:rFonts w:hint="eastAsia" w:ascii="宋体" w:hAnsi="宋体" w:cs="宋体"/>
              </w:rPr>
            </w:pPr>
            <w:r>
              <w:rPr>
                <w:rFonts w:hint="eastAsia" w:ascii="宋体" w:hAnsi="宋体" w:cs="宋体"/>
              </w:rPr>
              <w:t xml:space="preserve">5.支持DHCP Server；静态路由、RIP、RIPng、OSPF、OSPFv3协议。</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24口光接入设备</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★1.整机要求：包转发率≥171Mpps，交换容量≥6.72Tbps。（提供官网截图或者产品彩页，材料需并加盖投标人公章）</w:t>
            </w:r>
            <w:r/>
          </w:p>
          <w:p>
            <w:pPr>
              <w:jc w:val="left"/>
              <w:spacing w:line="400" w:lineRule="exact"/>
              <w:widowControl/>
              <w:rPr>
                <w:rFonts w:hint="eastAsia" w:ascii="宋体" w:hAnsi="宋体" w:cs="宋体"/>
              </w:rPr>
            </w:pPr>
            <w:r>
              <w:rPr>
                <w:rFonts w:hint="eastAsia" w:ascii="宋体" w:hAnsi="宋体" w:cs="宋体"/>
              </w:rPr>
              <w:t xml:space="preserve">2.支持千兆电口≥24，万兆光口≥4</w:t>
            </w:r>
            <w:r/>
          </w:p>
          <w:p>
            <w:pPr>
              <w:jc w:val="left"/>
              <w:spacing w:line="400" w:lineRule="exact"/>
              <w:widowControl/>
              <w:rPr>
                <w:rFonts w:hint="eastAsia" w:ascii="宋体" w:hAnsi="宋体" w:cs="宋体"/>
              </w:rPr>
            </w:pPr>
            <w:r>
              <w:rPr>
                <w:rFonts w:hint="eastAsia" w:ascii="宋体" w:hAnsi="宋体" w:cs="宋体"/>
              </w:rPr>
              <w:t xml:space="preserve">★3.支持PoE+供电，整机PoE功率≥370W（提供官网截图或者产品彩页，材料需并加盖投标人公章）</w:t>
            </w:r>
            <w:r/>
          </w:p>
          <w:p>
            <w:pPr>
              <w:jc w:val="left"/>
              <w:spacing w:line="400" w:lineRule="exact"/>
              <w:widowControl/>
              <w:rPr>
                <w:rFonts w:hint="eastAsia" w:ascii="宋体" w:hAnsi="宋体" w:cs="宋体"/>
              </w:rPr>
            </w:pPr>
            <w:r>
              <w:rPr>
                <w:rFonts w:hint="eastAsia" w:ascii="宋体" w:hAnsi="宋体" w:cs="宋体"/>
              </w:rPr>
              <w:t xml:space="preserve">4.支持802.1Q VLAN；支持静态MAC地址、支持MAC地址过滤；支持QinQ；</w:t>
            </w:r>
            <w:r>
              <w:rPr>
                <w:rFonts w:ascii="宋体" w:hAnsi="宋体" w:cs="宋体"/>
              </w:rPr>
              <w:t xml:space="preserve"> </w:t>
            </w:r>
            <w:r/>
          </w:p>
          <w:p>
            <w:pPr>
              <w:jc w:val="left"/>
              <w:spacing w:line="400" w:lineRule="exact"/>
              <w:widowControl/>
              <w:rPr>
                <w:rFonts w:hint="eastAsia" w:ascii="宋体" w:hAnsi="宋体" w:cs="宋体"/>
              </w:rPr>
            </w:pPr>
            <w:r>
              <w:rPr>
                <w:rFonts w:hint="eastAsia" w:ascii="宋体" w:hAnsi="宋体" w:cs="宋体"/>
              </w:rPr>
              <w:t xml:space="preserve">5.支持DHCP Server；静态路由、RIP、RIPng、OSPF、OSPFv3协议。</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 xml:space="preserve">光模块</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配套全光网络、万兆</w:t>
            </w:r>
            <w:r>
              <w:rPr>
                <w:rFonts w:hint="eastAsia" w:asciiTheme="minorEastAsia" w:hAnsiTheme="minorEastAsia" w:eastAsiaTheme="minorEastAsia" w:cstheme="minorEastAsia"/>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color w:val="auto"/>
              </w:rPr>
            </w:pPr>
            <w:r>
              <w:rPr>
                <w:rFonts w:hint="eastAsia" w:ascii="宋体" w:hAnsi="宋体" w:cs="宋体"/>
                <w:color w:val="auto"/>
              </w:rPr>
              <w:t xml:space="preserve">1.与汇聚交换机的聚合模块配套使用，分光器(无源汇聚)放置在楼栋侧；</w:t>
            </w:r>
            <w:r/>
          </w:p>
          <w:p>
            <w:pPr>
              <w:jc w:val="left"/>
              <w:spacing w:line="400" w:lineRule="exact"/>
              <w:widowControl/>
              <w:rPr>
                <w:rFonts w:hint="eastAsia" w:ascii="宋体" w:hAnsi="宋体" w:cs="宋体"/>
                <w:color w:val="auto"/>
              </w:rPr>
            </w:pPr>
            <w:r>
              <w:rPr>
                <w:rFonts w:hint="eastAsia" w:ascii="宋体" w:hAnsi="宋体" w:cs="宋体"/>
                <w:color w:val="auto"/>
              </w:rPr>
              <w:t xml:space="preserve">2.10G LC单模光模块，传输距离≥</w:t>
            </w:r>
            <w:r>
              <w:rPr>
                <w:rFonts w:ascii="宋体" w:hAnsi="宋体" w:cs="宋体"/>
                <w:color w:val="auto"/>
              </w:rPr>
              <w:t xml:space="preserve">8</w:t>
            </w:r>
            <w:r>
              <w:rPr>
                <w:rFonts w:hint="eastAsia" w:ascii="宋体" w:hAnsi="宋体" w:cs="宋体"/>
                <w:color w:val="auto"/>
              </w:rPr>
              <w:t xml:space="preserve">km。</w:t>
            </w:r>
            <w:r/>
          </w:p>
          <w:p>
            <w:pPr>
              <w:jc w:val="left"/>
              <w:spacing w:line="400" w:lineRule="exact"/>
              <w:widowControl/>
              <w:rPr>
                <w:rFonts w:hint="eastAsia"/>
              </w:rPr>
            </w:pP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光模块序列号官网可查。</w:t>
            </w:r>
            <w:r>
              <w:rPr>
                <w:rFonts w:hint="eastAsia" w:ascii="宋体" w:hAnsi="宋体" w:cs="宋体"/>
                <w:b/>
                <w:bCs/>
                <w:color w:val="auto"/>
              </w:rPr>
              <w:t xml:space="preserve">光模块序列号官网或者400或邮件方式可查,提供官网查询截图（含链接地址）或400电话号码或邮件地址。</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单模万兆光模块</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Theme="minorEastAsia" w:hAnsiTheme="minorEastAsia" w:eastAsiaTheme="minorEastAsia" w:cstheme="minorEastAsia"/>
                <w:color w:val="auto"/>
                <w:lang w:bidi="ar"/>
              </w:rPr>
              <w:t xml:space="preserve">★光收发一体模块SFP+ 万兆模块(1310nm、10km、LC)，光模块序列号官网可查。</w:t>
            </w:r>
            <w:r>
              <w:rPr>
                <w:rFonts w:hint="eastAsia" w:asciiTheme="minorEastAsia" w:hAnsiTheme="minorEastAsia" w:eastAsiaTheme="minorEastAsia" w:cstheme="minorEastAsia"/>
                <w:b/>
                <w:bCs/>
                <w:color w:val="auto"/>
                <w:lang w:bidi="ar"/>
              </w:rPr>
              <w:t xml:space="preserve">光模块序列号官网或者400或邮件方式可查,提供官网查询截图（含链接地址）或400电话号码或邮件地址。</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设备链路综合运维与安全管理</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1.采用B/S架构，客户端无需安装任何插件，可随时随地访问。</w:t>
            </w:r>
            <w:r/>
          </w:p>
          <w:p>
            <w:pPr>
              <w:jc w:val="left"/>
              <w:spacing w:line="400" w:lineRule="exact"/>
              <w:widowControl/>
              <w:rPr>
                <w:rFonts w:hint="eastAsia" w:ascii="宋体" w:hAnsi="宋体" w:cs="宋体"/>
              </w:rPr>
            </w:pPr>
            <w:r>
              <w:rPr>
                <w:rFonts w:hint="eastAsia" w:ascii="宋体" w:hAnsi="宋体" w:cs="宋体"/>
              </w:rPr>
              <w:t xml:space="preserve">2.实现全校资源的统一监控，</w:t>
            </w:r>
            <w:r>
              <w:rPr>
                <w:rFonts w:hint="eastAsia"/>
              </w:rPr>
              <w:t xml:space="preserve">支持对主流网络设备（有线、无线）和</w:t>
            </w:r>
            <w:r>
              <w:rPr>
                <w:rFonts w:hint="eastAsia" w:ascii="宋体" w:hAnsi="宋体" w:cs="宋体"/>
              </w:rPr>
              <w:t xml:space="preserve">哑终端</w:t>
            </w:r>
            <w:r>
              <w:rPr>
                <w:rFonts w:hint="eastAsia"/>
              </w:rPr>
              <w:t xml:space="preserve">的可视化管理</w:t>
            </w:r>
            <w:r>
              <w:rPr>
                <w:rFonts w:hint="eastAsia" w:ascii="宋体" w:hAnsi="宋体" w:cs="宋体"/>
              </w:rPr>
              <w:t xml:space="preserve">。</w:t>
            </w:r>
            <w:r/>
          </w:p>
          <w:p>
            <w:pPr>
              <w:jc w:val="left"/>
              <w:spacing w:line="400" w:lineRule="exact"/>
              <w:widowControl/>
              <w:rPr>
                <w:rFonts w:hint="eastAsia" w:ascii="宋体" w:hAnsi="宋体" w:cs="宋体"/>
              </w:rPr>
            </w:pPr>
            <w:r>
              <w:rPr>
                <w:rFonts w:hint="eastAsia" w:ascii="宋体" w:hAnsi="宋体" w:cs="宋体"/>
              </w:rPr>
              <w:t xml:space="preserve">3.能实现拓扑自动发现，实时同步展示设备状态、（光）链路状态，实现可视化管理。</w:t>
            </w:r>
            <w:r/>
          </w:p>
          <w:p>
            <w:pPr>
              <w:jc w:val="left"/>
              <w:spacing w:line="400" w:lineRule="exact"/>
              <w:widowControl/>
              <w:rPr>
                <w:rFonts w:hint="eastAsia" w:ascii="宋体" w:hAnsi="宋体" w:cs="宋体"/>
              </w:rPr>
            </w:pPr>
            <w:r>
              <w:rPr>
                <w:rFonts w:hint="eastAsia" w:ascii="宋体" w:hAnsi="宋体" w:cs="宋体"/>
              </w:rPr>
              <w:t xml:space="preserve">4.能通过MAC地址绑定或白名单配置，实现校内哑终端设备的安全管理。</w:t>
            </w:r>
            <w:r/>
          </w:p>
          <w:p>
            <w:pPr>
              <w:jc w:val="left"/>
              <w:spacing w:line="400" w:lineRule="exact"/>
              <w:widowControl/>
              <w:rPr>
                <w:rFonts w:hint="eastAsia" w:ascii="宋体" w:hAnsi="宋体" w:cs="宋体"/>
              </w:rPr>
            </w:pPr>
            <w:r>
              <w:rPr>
                <w:rFonts w:hint="eastAsia" w:ascii="宋体" w:hAnsi="宋体" w:cs="宋体"/>
              </w:rPr>
              <w:t xml:space="preserve">5.能实现主动预防，智能故障分析，自动溯源故障路径以及故障根因，提升诊断效率。</w:t>
            </w:r>
            <w:r/>
          </w:p>
          <w:p>
            <w:pPr>
              <w:jc w:val="left"/>
              <w:spacing w:line="400" w:lineRule="exact"/>
              <w:widowControl/>
              <w:rPr>
                <w:rFonts w:hint="eastAsia" w:ascii="宋体" w:hAnsi="宋体" w:cs="宋体"/>
              </w:rPr>
            </w:pPr>
            <w:r>
              <w:rPr>
                <w:rFonts w:hint="eastAsia" w:ascii="宋体" w:hAnsi="宋体" w:cs="宋体"/>
              </w:rPr>
              <w:t xml:space="preserve">★6.网络设备管理需提供授权不少于1250（有线设备720台、无线设备530台）个，哑终端授权不少于100个。现有设备和今后新增设备能接入平台。（提供承诺函并加盖供应商公章）</w:t>
            </w:r>
            <w:r/>
          </w:p>
          <w:p>
            <w:pPr>
              <w:jc w:val="left"/>
              <w:spacing w:line="400" w:lineRule="exact"/>
              <w:widowControl/>
              <w:rPr>
                <w:rFonts w:hint="eastAsia" w:ascii="宋体" w:hAnsi="宋体" w:cs="宋体"/>
              </w:rPr>
            </w:pPr>
            <w:r>
              <w:rPr>
                <w:rFonts w:hint="eastAsia" w:ascii="宋体" w:hAnsi="宋体" w:cs="宋体"/>
                <w:color w:val="auto"/>
              </w:rPr>
              <w:t xml:space="preserve">★7.平台需能够运行在国产化服务器上，</w:t>
            </w:r>
            <w:r>
              <w:rPr>
                <w:rFonts w:hint="eastAsia" w:ascii="宋体" w:hAnsi="宋体" w:cs="宋体"/>
                <w:color w:val="auto"/>
                <w:lang w:val="en-US" w:eastAsia="zh-CN"/>
              </w:rPr>
              <w:t xml:space="preserve">实配</w:t>
            </w:r>
            <w:r>
              <w:rPr>
                <w:rFonts w:hint="eastAsia" w:asciiTheme="minorEastAsia" w:hAnsiTheme="minorEastAsia" w:eastAsiaTheme="minorEastAsia" w:cstheme="minorEastAsia"/>
                <w:color w:val="auto"/>
                <w:lang w:bidi="ar"/>
              </w:rPr>
              <w:t xml:space="preserve">符合信创要求的</w:t>
            </w:r>
            <w:r>
              <w:rPr>
                <w:rFonts w:hint="eastAsia" w:asciiTheme="minorEastAsia" w:hAnsiTheme="minorEastAsia" w:eastAsiaTheme="minorEastAsia" w:cstheme="minorEastAsia"/>
                <w:color w:val="auto"/>
                <w:lang w:val="en-US" w:eastAsia="zh-CN" w:bidi="ar"/>
              </w:rPr>
              <w:t xml:space="preserve">正版软件</w:t>
            </w:r>
            <w:r>
              <w:rPr>
                <w:rFonts w:hint="eastAsia" w:ascii="宋体" w:hAnsi="宋体" w:cs="宋体"/>
                <w:color w:val="auto"/>
              </w:rPr>
              <w:t xml:space="preserve">。（提供承诺函并加盖供应商公章）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color w:val="auto"/>
              </w:rPr>
            </w:pPr>
            <w:r>
              <w:rPr>
                <w:rFonts w:hint="eastAsia" w:ascii="宋体" w:hAnsi="宋体" w:cs="宋体"/>
                <w:color w:val="auto"/>
              </w:rPr>
              <w:t xml:space="preserve">整机CPU≥24核，≥2.0GHZ主频；内存≥64G；硬盘≥2*480G SSD+3*6T SATA HDD；网口≥2个千兆电口+2个万兆光口，双电源</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color w:val="auto"/>
              </w:rPr>
            </w:pPr>
            <w:r>
              <w:rPr>
                <w:rFonts w:hint="eastAsia" w:ascii="宋体" w:hAnsi="宋体" w:cs="宋体"/>
                <w:color w:val="auto"/>
              </w:rPr>
              <w:t xml:space="preserve">整机CPU≥24核，≥2.0GHZ主频；内存≥64G；硬盘≥2*480G SSD+3*6T SATA HDD；网口≥2个千兆电口+2个万兆光口，双电源</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4芯单模软铠装室内光缆</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1.光纤类型：G.652.D/B1.3单模光纤（9/125μm），支持1310nm和1550nm窗口。</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2.规格及结构：芯数范围4芯，单芯子缆分支光缆；结构：铠装。</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▲3.提供所投产品以下技术参数的检测报告：光缆光纤特性 、光缆机械性能、光缆衰减温度特性（光缆温度特性）</w:t>
            </w:r>
            <w:r>
              <w:rPr>
                <w:rFonts w:hint="eastAsia" w:ascii="宋体" w:hAnsi="宋体" w:cs="宋体"/>
                <w:b/>
                <w:bCs/>
                <w:color w:val="auto"/>
              </w:rPr>
              <w:t xml:space="preserve">或者</w:t>
            </w:r>
            <w:r>
              <w:rPr>
                <w:rFonts w:hint="eastAsia" w:ascii="宋体" w:hAnsi="宋体" w:cs="宋体"/>
                <w:color w:val="auto"/>
              </w:rPr>
              <w:t xml:space="preserve">衰减系数、光缆护套性能等。提供所投</w:t>
            </w:r>
            <w:r>
              <w:rPr>
                <w:rFonts w:hint="eastAsia" w:ascii="宋体" w:hAnsi="宋体" w:cs="宋体"/>
                <w:color w:val="auto"/>
                <w:lang w:bidi="ar"/>
              </w:rPr>
              <w:t xml:space="preserve">室内单模光缆</w:t>
            </w:r>
            <w:r>
              <w:rPr>
                <w:rFonts w:hint="eastAsia" w:ascii="宋体" w:hAnsi="宋体" w:cs="宋体"/>
                <w:color w:val="auto"/>
              </w:rPr>
              <w:t xml:space="preserve">产品第三方检测机构出具且具有CMA标志的符合GB/T 9771.3-2020或YD/T1258.4-2019或（ANSI/TIA-568-3.D-2016、ANSI/TIA-568-C.3-2008）等现行国家或行业标准的全文</w:t>
            </w:r>
            <w:r>
              <w:rPr>
                <w:rFonts w:hint="eastAsia" w:ascii="宋体" w:hAnsi="宋体" w:cs="宋体"/>
                <w:b/>
                <w:bCs/>
                <w:color w:val="auto"/>
              </w:rPr>
              <w:t xml:space="preserve">检测报告</w:t>
            </w:r>
            <w:r>
              <w:rPr>
                <w:rFonts w:hint="eastAsia" w:ascii="宋体" w:hAnsi="宋体" w:cs="宋体"/>
                <w:color w:val="auto"/>
              </w:rPr>
              <w:t xml:space="preserve">扫描件</w:t>
            </w:r>
            <w:r>
              <w:rPr>
                <w:rFonts w:hint="eastAsia" w:ascii="宋体" w:hAnsi="宋体" w:cs="宋体"/>
                <w:b/>
                <w:bCs/>
                <w:color w:val="auto"/>
              </w:rPr>
              <w:t xml:space="preserve">（芯数不限）</w:t>
            </w:r>
            <w:r>
              <w:rPr>
                <w:rFonts w:hint="eastAsia" w:ascii="宋体" w:hAnsi="宋体" w:cs="宋体"/>
                <w:color w:val="auto"/>
              </w:rPr>
              <w:t xml:space="preserve">。检测报告中须体现检测依据以及是否通过检测的结论。</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4.护套材料：采用低烟无卤阻燃材料。</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▲5.燃烧性能要求：所投</w:t>
            </w:r>
            <w:r>
              <w:rPr>
                <w:rFonts w:hint="eastAsia" w:ascii="宋体" w:hAnsi="宋体" w:cs="宋体"/>
                <w:color w:val="auto"/>
                <w:lang w:bidi="ar"/>
              </w:rPr>
              <w:t xml:space="preserve">室内单模光缆</w:t>
            </w:r>
            <w:r>
              <w:rPr>
                <w:rFonts w:hint="eastAsia" w:ascii="宋体" w:hAnsi="宋体" w:cs="宋体"/>
                <w:color w:val="auto"/>
              </w:rPr>
              <w:t xml:space="preserve">产品至少达到单根电缆火焰垂直蔓延试验要求。提供所投产品具有CMA标志的、由第三方检测机构出具的、符合GB/T 18380.12-2022或GB/T 18380.22-2008或IEC 60332-1-2：2015标准中的单根电缆火焰垂直蔓延试验的全文</w:t>
            </w:r>
            <w:r>
              <w:rPr>
                <w:rFonts w:hint="eastAsia" w:ascii="宋体" w:hAnsi="宋体" w:cs="宋体"/>
                <w:b/>
                <w:bCs/>
                <w:color w:val="auto"/>
              </w:rPr>
              <w:t xml:space="preserve">检测报告</w:t>
            </w:r>
            <w:r>
              <w:rPr>
                <w:rFonts w:hint="eastAsia" w:ascii="宋体" w:hAnsi="宋体" w:cs="宋体"/>
                <w:color w:val="auto"/>
              </w:rPr>
              <w:t xml:space="preserve">扫描件。检测报告中须体现检测依据以及是否通过检测的结论。</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6.烟密度：透光率应不小于50%。</w:t>
            </w:r>
            <w:r/>
          </w:p>
          <w:p>
            <w:pPr>
              <w:jc w:val="left"/>
              <w:spacing w:line="400" w:lineRule="exact"/>
              <w:widowControl/>
              <w:rPr>
                <w:rFonts w:hint="eastAsia" w:ascii="宋体" w:hAnsi="宋体" w:cs="宋体"/>
                <w:color w:val="auto"/>
              </w:rPr>
            </w:pPr>
            <w:r>
              <w:rPr>
                <w:rFonts w:hint="eastAsia" w:ascii="宋体" w:hAnsi="宋体" w:cs="宋体"/>
                <w:color w:val="auto"/>
              </w:rPr>
              <w:t xml:space="preserve">★7.提供承诺函，承诺所投产品符合GB/T 9771.3-2020或YD/T1258.4-2019或（ANSI/TIA-568-3.D-2016、ANSI/TIA-568-C.3-2008）等现行国家或行业标准针对室内光纤的要求，格式自拟。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单开门多媒体箱</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eastAsia="宋体" w:cs="宋体"/>
                <w:lang w:eastAsia="zh-CN"/>
              </w:rPr>
            </w:pPr>
            <w:r>
              <w:rPr>
                <w:rFonts w:hint="eastAsia" w:ascii="宋体" w:hAnsi="宋体" w:cs="宋体"/>
              </w:rPr>
              <w:t xml:space="preserve">1.尺寸≤420*420*100mm （高*宽*深）；钢板壁厚≥1.2mm；配置锁芯、插排等配件；采用优质钣金材质，表面静电喷涂，有较好的机械强度；箱体采用强、弱电分离的进线方式;箱体内配备背板，支持设备端口向下壁挂安装于多媒体箱内部;箱体底部具备观察孔，无需开箱即可观察设备运行指示灯；满足光纤弯曲半径大于30mm，具有安全可靠的光纤接续</w:t>
            </w:r>
            <w:r>
              <w:rPr>
                <w:rFonts w:hint="eastAsia" w:ascii="宋体" w:hAnsi="宋体" w:cs="宋体"/>
                <w:lang w:eastAsia="zh-CN"/>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双开门多媒体箱</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1.尺寸≤450*660*110mm （高*宽*深）；钢板壁厚≥1.2mm,配置锁芯、插排等配件；采用优质钣金材质，表面静电喷涂，有较好的机械强度；箱体采用强、弱电分离的进线方式；箱体内配备背板，支持2台设备端口向下壁挂安装于多媒体箱内部；箱体底部具备观察孔，无需开箱即可观察设备运行指示灯；满足光纤弯曲半径大于30mm，具有安全可靠的光纤接续；</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机柜</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numPr>
                <w:ilvl w:val="0"/>
                <w:numId w:val="14"/>
              </w:numPr>
              <w:jc w:val="left"/>
              <w:spacing w:line="400" w:lineRule="exact"/>
              <w:widowControl/>
              <w:rPr>
                <w:rFonts w:hint="eastAsia" w:ascii="宋体" w:hAnsi="宋体" w:cs="宋体"/>
                <w:lang w:bidi="ar"/>
              </w:rPr>
            </w:pPr>
            <w:r>
              <w:rPr>
                <w:rFonts w:hint="eastAsia" w:ascii="宋体" w:hAnsi="宋体" w:cs="宋体"/>
                <w:lang w:bidi="ar"/>
              </w:rPr>
              <w:t xml:space="preserve">规格：宽600mm*深600mm*高1200mm 22U网络机柜。</w:t>
            </w:r>
            <w:r>
              <w:rPr>
                <w:rFonts w:hint="eastAsia" w:ascii="宋体" w:hAnsi="宋体" w:cs="宋体"/>
                <w:lang w:bidi="ar"/>
              </w:rPr>
              <w:br/>
            </w:r>
            <w:r>
              <w:rPr>
                <w:rFonts w:hint="eastAsia" w:ascii="宋体" w:hAnsi="宋体" w:cs="宋体"/>
                <w:lang w:bidi="ar"/>
              </w:rPr>
              <w:t xml:space="preserve">2.标准：符合现行国家或行业标准。</w:t>
            </w:r>
            <w:r>
              <w:rPr>
                <w:rFonts w:hint="eastAsia" w:ascii="宋体" w:hAnsi="宋体" w:cs="宋体"/>
                <w:lang w:bidi="ar"/>
              </w:rPr>
              <w:br/>
            </w:r>
            <w:r>
              <w:rPr>
                <w:rFonts w:hint="eastAsia" w:ascii="宋体" w:hAnsi="宋体" w:cs="宋体"/>
                <w:lang w:bidi="ar"/>
              </w:rPr>
              <w:t xml:space="preserve">3.结构：前门为带条形通风孔边框，不低于5mm厚无色透明钢化玻璃门，后门为高密度六角通风孔钢板门，快开式侧板,预留对地安装孔和接地柱，装≥2个风扇。</w:t>
            </w:r>
            <w:r>
              <w:rPr>
                <w:rFonts w:hint="eastAsia" w:ascii="宋体" w:hAnsi="宋体" w:cs="宋体"/>
                <w:lang w:bidi="ar"/>
              </w:rPr>
              <w:br/>
            </w:r>
            <w:r>
              <w:rPr>
                <w:rFonts w:hint="eastAsia" w:ascii="宋体" w:hAnsi="宋体" w:cs="宋体"/>
                <w:lang w:bidi="ar"/>
              </w:rPr>
              <w:t xml:space="preserve">4.材料：优质冷轧钢板。</w:t>
            </w:r>
            <w:r>
              <w:rPr>
                <w:rFonts w:hint="eastAsia" w:ascii="宋体" w:hAnsi="宋体" w:cs="宋体"/>
                <w:lang w:bidi="ar"/>
              </w:rPr>
              <w:br/>
            </w:r>
            <w:r>
              <w:rPr>
                <w:rFonts w:hint="eastAsia" w:ascii="宋体" w:hAnsi="宋体" w:cs="宋体"/>
                <w:lang w:bidi="ar"/>
              </w:rPr>
              <w:t xml:space="preserve">5.机柜表面处理：机柜的脱脂、防锈磷化、静电喷涂处理。</w:t>
            </w:r>
            <w:r/>
          </w:p>
          <w:p>
            <w:pPr>
              <w:jc w:val="left"/>
              <w:spacing w:line="400" w:lineRule="exact"/>
              <w:widowControl/>
              <w:rPr>
                <w:rFonts w:hint="eastAsia" w:ascii="宋体" w:hAnsi="宋体" w:cs="宋体"/>
              </w:rPr>
            </w:pPr>
            <w:r>
              <w:rPr>
                <w:rFonts w:hint="eastAsia" w:ascii="宋体" w:hAnsi="宋体" w:cs="宋体"/>
                <w:lang w:bidi="ar"/>
              </w:rPr>
              <w:t xml:space="preserve">6.含8位10A PDU。</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4口熔接盒</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端口数：4口，尺寸≤120*70*35mm(长宽厚)，采用优质钣金表面静电喷涂</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法兰盘</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LC双工法兰盘；材料：陶瓷套管，插入损耗(含重复性)≤0.2dB，重复性≥500次，互换性≤0.2dB。</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单芯尾纤</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lang w:bidi="ar"/>
              </w:rPr>
            </w:pPr>
            <w:r>
              <w:rPr>
                <w:rFonts w:hint="eastAsia" w:ascii="宋体" w:hAnsi="宋体" w:cs="宋体"/>
                <w:lang w:bidi="ar"/>
              </w:rPr>
              <w:t xml:space="preserve">1.单工单模尾纤，9/125，光纤尾纤用于光纤线路的灵活跳接或熔接，插入损耗低，回波损耗高，性能满足国家或行业规范标准要求。</w:t>
            </w:r>
            <w:r/>
          </w:p>
          <w:p>
            <w:pPr>
              <w:jc w:val="left"/>
              <w:spacing w:line="400" w:lineRule="exact"/>
              <w:widowControl/>
              <w:rPr>
                <w:rFonts w:hint="eastAsia" w:ascii="宋体" w:hAnsi="宋体" w:cs="宋体"/>
                <w:lang w:bidi="ar"/>
              </w:rPr>
            </w:pPr>
            <w:r>
              <w:rPr>
                <w:rFonts w:hint="eastAsia" w:ascii="宋体" w:hAnsi="宋体" w:cs="宋体"/>
                <w:lang w:bidi="ar"/>
              </w:rPr>
              <w:t xml:space="preserve">2.护套材料采用LSZH低烟无卤，具有良好的阻燃性能。</w:t>
            </w:r>
            <w:r/>
          </w:p>
          <w:p>
            <w:pPr>
              <w:jc w:val="left"/>
              <w:spacing w:line="400" w:lineRule="exact"/>
              <w:widowControl/>
              <w:rPr>
                <w:rFonts w:hint="eastAsia" w:ascii="宋体" w:hAnsi="宋体" w:cs="宋体"/>
              </w:rPr>
            </w:pPr>
            <w:r>
              <w:rPr>
                <w:rFonts w:hint="eastAsia" w:ascii="宋体" w:hAnsi="宋体" w:cs="宋体"/>
                <w:lang w:bidi="ar"/>
              </w:rPr>
              <w:t xml:space="preserve">3.技术规范：回拨损耗：单模＞50dB ，插入损耗：最大值0.5dB，典型值0.2dB。</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LC-LC-60公分-单模光纤跳线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2.长度规格≥0.6米。</w:t>
            </w:r>
            <w:r/>
          </w:p>
          <w:p>
            <w:pPr>
              <w:jc w:val="left"/>
              <w:spacing w:line="400" w:lineRule="exact"/>
              <w:widowControl/>
              <w:rPr>
                <w:rFonts w:hint="eastAsia" w:ascii="宋体" w:hAnsi="宋体" w:cs="宋体"/>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LC-LC-1米-单模光纤跳线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2.长度规格≥1米。</w:t>
            </w:r>
            <w:r/>
          </w:p>
          <w:p>
            <w:pPr>
              <w:jc w:val="left"/>
              <w:spacing w:line="400" w:lineRule="exact"/>
              <w:widowControl/>
              <w:rPr>
                <w:rFonts w:hint="eastAsia" w:ascii="宋体" w:hAnsi="宋体" w:cs="宋体"/>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LC-LC-5米-单模光纤跳线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2.长度规格≥5米。</w:t>
            </w:r>
            <w:r/>
          </w:p>
          <w:p>
            <w:pPr>
              <w:jc w:val="left"/>
              <w:spacing w:line="400" w:lineRule="exact"/>
              <w:widowControl/>
              <w:rPr>
                <w:rFonts w:hint="eastAsia" w:ascii="宋体" w:hAnsi="宋体" w:cs="宋体"/>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LC-LC-10米-单模光纤跳线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2.长度规格≥10米。</w:t>
            </w:r>
            <w:r/>
          </w:p>
          <w:p>
            <w:pPr>
              <w:jc w:val="left"/>
              <w:spacing w:line="400" w:lineRule="exact"/>
              <w:widowControl/>
              <w:rPr>
                <w:rFonts w:hint="eastAsia" w:ascii="宋体" w:hAnsi="宋体" w:cs="宋体"/>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六类网线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Theme="minorEastAsia" w:hAnsiTheme="minorEastAsia" w:eastAsiaTheme="minorEastAsia" w:cstheme="minorEastAsia"/>
                <w:b/>
                <w:bCs/>
                <w:lang w:bidi="ar"/>
              </w:rPr>
            </w:pPr>
            <w:r>
              <w:rPr>
                <w:rFonts w:hint="eastAsia" w:asciiTheme="minorEastAsia" w:hAnsiTheme="minorEastAsia" w:eastAsiaTheme="minorEastAsia" w:cstheme="minorEastAsia"/>
                <w:lang w:bidi="ar"/>
              </w:rPr>
              <w:t xml:space="preserve">★1.线规：6类电缆（250MHz），23AWG、导体材料为纯度不低于99.9%实心无氧铜（OFC），线芯：带十字芯骨架。</w:t>
            </w:r>
            <w:r>
              <w:rPr>
                <w:rFonts w:hint="eastAsia" w:asciiTheme="minorEastAsia" w:hAnsiTheme="minorEastAsia" w:eastAsiaTheme="minorEastAsia" w:cstheme="minorEastAsia"/>
                <w:b/>
                <w:bCs/>
                <w:lang w:bidi="ar"/>
              </w:rPr>
              <w:t xml:space="preserve">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rPr>
                <w:rFonts w:hint="eastAsia" w:asciiTheme="minorEastAsia" w:hAnsiTheme="minorEastAsia" w:eastAsiaTheme="minorEastAsia" w:cstheme="minorEastAsia"/>
                <w:b/>
                <w:bCs/>
                <w:lang w:bidi="ar"/>
              </w:rPr>
              <w:br/>
            </w:r>
            <w:r>
              <w:rPr>
                <w:rFonts w:hint="eastAsia" w:asciiTheme="minorEastAsia" w:hAnsiTheme="minorEastAsia" w:eastAsiaTheme="minorEastAsia" w:cstheme="minorEastAsia"/>
                <w:lang w:bidi="ar"/>
              </w:rPr>
              <w:t xml:space="preserve">2.导体直径：≥0.57mm，绝缘材料：聚烯烃或聚全氟乙丙烯树脂(FEP)；外护套：LSZH低烟无卤阻燃聚烯烃。</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3.提供所投六类非屏蔽低烟无卤双绞线不少于以下技术参数的检测报告：单根导体直流电阻、近端串音衰减(NEXT)、近端串音衰减功率和（PSNEXT）、衰减远端串音比功率和(PSACR-F)、特性阻抗(Zm)、回波损耗（ReturnLoss）。</w:t>
            </w:r>
            <w:r>
              <w:rPr>
                <w:rFonts w:hint="eastAsia" w:asciiTheme="minorEastAsia" w:hAnsiTheme="minorEastAsia" w:eastAsiaTheme="minorEastAsia" w:cstheme="minorEastAsia"/>
                <w:b/>
                <w:bCs/>
                <w:lang w:bidi="ar"/>
              </w:rPr>
              <w:t xml:space="preserve">提供所投产品的检测报告原件扫描件（依据YD/T1019-2023等现行国家或行业标准），检测报告数量不作要求；按第四章商务要求（其他要求的第2条）中明确的要求、提供相关佐证材料。</w:t>
            </w:r>
            <w:r>
              <w:rPr>
                <w:rFonts w:hint="eastAsia" w:asciiTheme="minorEastAsia" w:hAnsiTheme="minorEastAsia" w:eastAsiaTheme="minorEastAsia" w:cstheme="minorEastAsia"/>
                <w:b/>
                <w:bCs/>
                <w:lang w:bidi="ar"/>
              </w:rPr>
              <w:br/>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lang w:bidi="ar"/>
              </w:rPr>
              <w:t xml:space="preserve">4.燃烧性能要求：所投六类非屏蔽低烟无卤双绞线至少达到单根电缆火焰垂直蔓延试验要求。</w:t>
            </w:r>
            <w:r>
              <w:rPr>
                <w:rFonts w:hint="eastAsia" w:asciiTheme="minorEastAsia" w:hAnsiTheme="minorEastAsia" w:eastAsiaTheme="minorEastAsia" w:cstheme="minorEastAsia"/>
                <w:b/>
                <w:bCs/>
                <w:lang w:bidi="ar"/>
              </w:rPr>
              <w:t xml:space="preserve">提供所投产品检测报告原件扫描件（符合GB/T18380.12-2022或IEC60332-1-2：2015标准中的单根电缆火焰垂直蔓延试验要求）；按第四章商务要求（其他要求的第2条）中明确的要求、提供相关佐证材料。</w:t>
            </w:r>
            <w:r>
              <w:rPr>
                <w:rFonts w:hint="eastAsia" w:asciiTheme="minorEastAsia" w:hAnsiTheme="minorEastAsia" w:eastAsiaTheme="minorEastAsia" w:cstheme="minorEastAsia"/>
                <w:b/>
                <w:bCs/>
                <w:lang w:bidi="ar"/>
              </w:rPr>
              <w:br/>
            </w:r>
            <w:r>
              <w:rPr>
                <w:rFonts w:hint="eastAsia" w:asciiTheme="minorEastAsia" w:hAnsiTheme="minorEastAsia" w:eastAsiaTheme="minorEastAsia" w:cstheme="minorEastAsia"/>
                <w:lang w:bidi="ar"/>
              </w:rPr>
              <w:t xml:space="preserve">5.烟密度：透光率应不小于50%。</w:t>
            </w:r>
            <w:r>
              <w:rPr>
                <w:rFonts w:hint="eastAsia" w:asciiTheme="minorEastAsia" w:hAnsiTheme="minorEastAsia" w:eastAsiaTheme="minorEastAsia" w:cstheme="minorEastAsia"/>
                <w:b/>
                <w:bCs/>
                <w:lang w:bidi="ar"/>
              </w:rPr>
              <w:t xml:space="preserve">提供所投产品的检测报告原件关键页扫描件（符合GB/T17651.2-2021或IEC61034-2:2019标准）；按第四章商务要求（其他要求的第2条）中明确的要求、提供相关佐证材料。</w:t>
            </w:r>
            <w:r>
              <w:rPr>
                <w:rFonts w:hint="eastAsia" w:asciiTheme="minorEastAsia" w:hAnsiTheme="minorEastAsia" w:eastAsiaTheme="minorEastAsia" w:cstheme="minorEastAsia"/>
                <w:b/>
                <w:bCs/>
                <w:lang w:bidi="ar"/>
              </w:rPr>
              <w:br/>
            </w:r>
            <w:r>
              <w:rPr>
                <w:rFonts w:hint="eastAsia" w:asciiTheme="minorEastAsia" w:hAnsiTheme="minorEastAsia" w:eastAsiaTheme="minorEastAsia" w:cstheme="minorEastAsia"/>
                <w:lang w:bidi="ar"/>
              </w:rPr>
              <w:t xml:space="preserve">★6.提供承诺函，承诺所投产品符合YD/T1019-2023等现行国家或行业标准针对双绞多芯对称电缆的要求，格式自拟。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六类水晶头</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六类非屏蔽水晶头</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阴阳式衰减器</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1.衰减值：1~30dB（常见为 3、5、10、15、20dB）；</w:t>
            </w:r>
            <w:r/>
          </w:p>
          <w:p>
            <w:pPr>
              <w:jc w:val="left"/>
              <w:spacing w:line="400" w:lineRule="exact"/>
              <w:widowControl/>
              <w:rPr>
                <w:rFonts w:hint="eastAsia" w:ascii="宋体" w:hAnsi="宋体" w:cs="宋体"/>
              </w:rPr>
            </w:pPr>
            <w:r>
              <w:rPr>
                <w:rFonts w:hint="eastAsia" w:ascii="宋体" w:hAnsi="宋体" w:cs="宋体"/>
              </w:rPr>
              <w:t xml:space="preserve">2.精度：低衰减（≤10dB）±0.5dB；高衰减（&gt;10dB）±1.0dB；</w:t>
            </w:r>
            <w:r/>
          </w:p>
          <w:p>
            <w:pPr>
              <w:jc w:val="left"/>
              <w:spacing w:line="400" w:lineRule="exact"/>
              <w:widowControl/>
              <w:rPr>
                <w:rFonts w:hint="eastAsia" w:ascii="宋体" w:hAnsi="宋体" w:cs="宋体"/>
              </w:rPr>
            </w:pPr>
            <w:r>
              <w:rPr>
                <w:rFonts w:hint="eastAsia" w:ascii="宋体" w:hAnsi="宋体" w:cs="宋体"/>
              </w:rPr>
              <w:t xml:space="preserve">3.工作波长：1310nm / 1550nm（单模）；</w:t>
            </w:r>
            <w:r/>
          </w:p>
          <w:p>
            <w:pPr>
              <w:jc w:val="left"/>
              <w:spacing w:line="400" w:lineRule="exact"/>
              <w:widowControl/>
              <w:rPr>
                <w:rFonts w:hint="eastAsia" w:ascii="宋体" w:hAnsi="宋体" w:cs="宋体"/>
              </w:rPr>
            </w:pPr>
            <w:r>
              <w:rPr>
                <w:rFonts w:hint="eastAsia" w:ascii="宋体" w:hAnsi="宋体" w:cs="宋体"/>
              </w:rPr>
              <w:t xml:space="preserve">4.回波损耗：UPC ≥55dB；APC ≥65dB；</w:t>
            </w:r>
            <w:r/>
          </w:p>
          <w:p>
            <w:pPr>
              <w:jc w:val="left"/>
              <w:spacing w:line="400" w:lineRule="exact"/>
              <w:widowControl/>
              <w:rPr>
                <w:rFonts w:hint="eastAsia" w:ascii="宋体" w:hAnsi="宋体" w:cs="宋体"/>
              </w:rPr>
            </w:pPr>
            <w:r>
              <w:rPr>
                <w:rFonts w:hint="eastAsia" w:ascii="宋体" w:hAnsi="宋体" w:cs="宋体"/>
              </w:rPr>
              <w:t xml:space="preserve">5.接口类型：LC。</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单口面板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Theme="minorEastAsia" w:hAnsiTheme="minorEastAsia" w:eastAsiaTheme="minorEastAsia" w:cstheme="minorEastAsia"/>
                <w:lang w:bidi="ar"/>
              </w:rPr>
              <w:t xml:space="preserve">规格：86墙上单口面板。</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2.材料：ABS材质,乳白色，抗老化，低烟无卤。</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3.带防尘盖，带电话、电脑标记，带有透明标识系统。</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w:t>
            </w:r>
            <w:r>
              <w:rPr>
                <w:rFonts w:hint="eastAsia" w:asciiTheme="minorEastAsia" w:hAnsiTheme="minorEastAsia" w:eastAsiaTheme="minorEastAsia" w:cstheme="minorEastAsia"/>
                <w:b/>
                <w:bCs/>
                <w:lang w:bidi="ar"/>
              </w:rPr>
              <w:t xml:space="preserve">4.所投产品符合GB 20286-2006公共场所阻燃制品及组件燃烧性能要求和标识规定的不低于FV-1级要求。提供检测报告，检测依据应符合相关标准（依据标准GB/T2408-2021，检测垂直燃烧试验的面板单体）并按第四章商务要求（其他要求的第2条）中明确的要求、提供相关佐证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双口面板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Theme="minorEastAsia" w:hAnsiTheme="minorEastAsia" w:eastAsiaTheme="minorEastAsia" w:cstheme="minorEastAsia"/>
                <w:lang w:bidi="ar"/>
              </w:rPr>
              <w:t xml:space="preserve">规格：86墙上双口面板。</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2.材料：ABS材质,乳白色，抗老化，低烟无卤。</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3.带防尘盖，带电话、电脑标记，带有透明标识系统。</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w:t>
            </w:r>
            <w:r>
              <w:rPr>
                <w:rFonts w:hint="eastAsia" w:asciiTheme="minorEastAsia" w:hAnsiTheme="minorEastAsia" w:eastAsiaTheme="minorEastAsia" w:cstheme="minorEastAsia"/>
                <w:b/>
                <w:bCs/>
                <w:lang w:bidi="ar"/>
              </w:rPr>
              <w:t xml:space="preserve">4.所投产品符合GB 20286-2006公共场所阻燃制品及组件燃烧性能要求和标识规定的不低于FV-1级要求。提供检测报告，检测依据应符合相关标准（依据标准GB/T2408-2021，检测垂直燃烧试验的面板单体）并按第四章商务要求（其他要求的第2条）中明确的要求、提供相关佐证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rPr>
              <w:t xml:space="preserve">六类模块</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pStyle w:val="803"/>
              <w:ind w:firstLine="0"/>
              <w:rPr>
                <w:rFonts w:hint="eastAsia"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sz w:val="21"/>
                <w:szCs w:val="21"/>
                <w:lang w:bidi="ar"/>
              </w:rPr>
              <w:t xml:space="preserve">1.主体采用耐冲击及耐燃ABS材料。</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2.接触针为铜再覆上≥50µ镀金。</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3.传输带宽支持250MHz。</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4.最小插拔寿命750次。</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5.电介值承受功率:1000VACRMS@60Hz/min。</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★6.与6类非屏蔽双绞线所组成的永久链路，其电气性能应符合GB/T50312-2016或ANSI/TIA-568.2-D:2018或TIA/EIA-568.2-D:2018或ISO/IEC11801-1现行国家或行业标准的规定。</w:t>
            </w:r>
            <w:r>
              <w:rPr>
                <w:rFonts w:hint="eastAsia" w:asciiTheme="minorEastAsia" w:hAnsiTheme="minorEastAsia" w:eastAsiaTheme="minorEastAsia" w:cstheme="minorEastAsia"/>
                <w:b/>
                <w:bCs/>
                <w:sz w:val="21"/>
                <w:szCs w:val="21"/>
                <w:lang w:bidi="ar"/>
              </w:rPr>
              <w:t xml:space="preserve">所投产品应符合相关标准（GB/T50312-2016或ANSI/TIA-568.2-D:2018或TIA/EIA-568.2-D:2018或ISO/IEC11801-1标准），提供检测报告或承诺函（格式自拟）。提供检测报告的，检测依据应符合相关标准（GB/T50312-2016或ANSI/TIA-568.2-D:2018或TIA/EIA-568.2-D:2018或ISO/IEC11801-1标准）并按第四章商务要求（其他要求的第2条）中明确的要求、提供相关佐证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明装配电箱</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1.回路数：4 回路；</w:t>
            </w:r>
            <w:r/>
          </w:p>
          <w:p>
            <w:pPr>
              <w:jc w:val="left"/>
              <w:spacing w:line="400" w:lineRule="exact"/>
              <w:widowControl/>
              <w:rPr>
                <w:rFonts w:hint="eastAsia" w:ascii="宋体" w:hAnsi="宋体" w:cs="宋体"/>
              </w:rPr>
            </w:pPr>
            <w:r>
              <w:rPr>
                <w:rFonts w:hint="eastAsia" w:ascii="宋体" w:hAnsi="宋体" w:cs="宋体"/>
              </w:rPr>
              <w:t xml:space="preserve">2.安装方式：明装壁挂式；</w:t>
            </w:r>
            <w:r/>
          </w:p>
          <w:p>
            <w:pPr>
              <w:jc w:val="left"/>
              <w:spacing w:line="400" w:lineRule="exact"/>
              <w:widowControl/>
              <w:rPr>
                <w:rFonts w:hint="eastAsia" w:ascii="宋体" w:hAnsi="宋体" w:cs="宋体"/>
              </w:rPr>
            </w:pPr>
            <w:r>
              <w:rPr>
                <w:rFonts w:hint="eastAsia" w:ascii="宋体" w:hAnsi="宋体" w:cs="宋体"/>
              </w:rPr>
              <w:t xml:space="preserve">3.额定电压：AC 230V/400V（50Hz）；</w:t>
            </w:r>
            <w:r/>
          </w:p>
          <w:p>
            <w:pPr>
              <w:jc w:val="left"/>
              <w:spacing w:line="400" w:lineRule="exact"/>
              <w:widowControl/>
              <w:rPr>
                <w:rFonts w:hint="eastAsia" w:ascii="宋体" w:hAnsi="宋体" w:cs="宋体"/>
              </w:rPr>
            </w:pPr>
            <w:r>
              <w:rPr>
                <w:rFonts w:hint="eastAsia" w:ascii="宋体" w:hAnsi="宋体" w:cs="宋体"/>
              </w:rPr>
              <w:t xml:space="preserve">4.额定电流：总输入≤63A，单回路≤32A；</w:t>
            </w:r>
            <w:r/>
          </w:p>
          <w:p>
            <w:pPr>
              <w:jc w:val="left"/>
              <w:spacing w:line="400" w:lineRule="exact"/>
              <w:widowControl/>
              <w:rPr>
                <w:rFonts w:hint="eastAsia" w:ascii="宋体" w:hAnsi="宋体" w:cs="宋体"/>
              </w:rPr>
            </w:pPr>
            <w:r>
              <w:rPr>
                <w:rFonts w:hint="eastAsia" w:ascii="宋体" w:hAnsi="宋体" w:cs="宋体"/>
              </w:rPr>
              <w:t xml:space="preserve">5.材质：箱体采用 优质冷轧钢板。</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RVV3*1</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电源线RVV3*1含施工</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C32/断路器/D</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C32/断路器/D</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C16/断路器/D</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C16/断路器/D</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86明盒</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86明盒</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辅材线槽</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辅材线槽</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48芯室外单模光缆</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1.光纤类型：G.652.D单模光纤（9/125μm），支持1310nm和1550nm窗口。</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2.规格及类型：芯数范围48芯，结构类型：GYTZS。</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3.提供所投产品以下技术参数的检测报告：光缆中光纤的特性（衰减系数或者插入损耗）、光缆衰减温度特性、光缆的护套的性能（抗拉强度、断裂伸长率）。提供所投室外单模光缆产品由第三方检测机构出具且具有CMA标志的符合YD/T 901-2018等现行国家或行业标准的全文</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lang w:bidi="ar"/>
              </w:rPr>
              <w:t xml:space="preserve">（芯数不限）</w:t>
            </w:r>
            <w:r>
              <w:rPr>
                <w:rFonts w:hint="eastAsia" w:ascii="宋体" w:hAnsi="宋体" w:cs="宋体"/>
                <w:lang w:bidi="ar"/>
              </w:rPr>
              <w:t xml:space="preserve">。检测报告中须体现检测依据以及是否通过检测的结论。</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4.燃烧性能要求：所投室外单模光缆产品至少达到单根电缆火焰垂直蔓延试验要求。提供所投产品具有CMA标志的、由第三方检测机构出具的、符合GB/T 18380.12-2022</w:t>
            </w:r>
            <w:r>
              <w:rPr>
                <w:rFonts w:hint="eastAsia" w:ascii="宋体" w:hAnsi="宋体" w:cs="宋体"/>
              </w:rPr>
              <w:t xml:space="preserve">或GB/T 18380.22-2008</w:t>
            </w:r>
            <w:r>
              <w:rPr>
                <w:rFonts w:hint="eastAsia" w:ascii="宋体" w:hAnsi="宋体" w:cs="宋体"/>
                <w:lang w:bidi="ar"/>
              </w:rPr>
              <w:t xml:space="preserve">或IEC 60332-1-2：2015标准中的单根电缆火焰垂直蔓延试验的全文</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lang w:bidi="ar"/>
              </w:rPr>
              <w:t xml:space="preserve">（芯数不限）</w:t>
            </w:r>
            <w:r>
              <w:rPr>
                <w:rFonts w:hint="eastAsia" w:ascii="宋体" w:hAnsi="宋体" w:cs="宋体"/>
                <w:lang w:bidi="ar"/>
              </w:rPr>
              <w:t xml:space="preserve">。检测报告中须体现检测依据以及是否通过检测的结论。</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5.外护套材料：无卤素、低烟、阻燃，黑色高密度聚乙烯（HDPE）或抗紫外线PE。</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6.阻水性能，纵向阻水（阻水带+填充油膏）。符合YD/T 901-2018等现行国家标准，提供第三方检测机构出具的</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rPr>
              <w:t xml:space="preserve">或者</w:t>
            </w:r>
            <w:r>
              <w:rPr>
                <w:rFonts w:hint="eastAsia" w:ascii="宋体" w:hAnsi="宋体" w:cs="宋体"/>
                <w:lang w:bidi="ar"/>
              </w:rPr>
              <w:t xml:space="preserve">提供25年产品质量质保函加盖原厂鲜章扫描件</w:t>
            </w:r>
            <w:r>
              <w:rPr>
                <w:rFonts w:hint="eastAsia" w:ascii="宋体" w:hAnsi="宋体" w:cs="宋体"/>
                <w:b/>
                <w:bCs/>
                <w:lang w:bidi="ar"/>
              </w:rPr>
              <w:t xml:space="preserve">或者</w:t>
            </w:r>
            <w:r>
              <w:rPr>
                <w:rFonts w:hint="eastAsia" w:ascii="宋体" w:hAnsi="宋体" w:cs="宋体"/>
                <w:lang w:bidi="ar"/>
              </w:rPr>
              <w:t xml:space="preserve">产品技术规格书。</w:t>
            </w:r>
            <w:r/>
          </w:p>
          <w:p>
            <w:pPr>
              <w:numPr>
                <w:ilvl w:val="1"/>
                <w:numId w:val="0"/>
              </w:numPr>
              <w:jc w:val="left"/>
              <w:spacing w:line="400" w:lineRule="exact"/>
            </w:pPr>
            <w:r>
              <w:rPr>
                <w:rFonts w:hint="eastAsia" w:ascii="宋体" w:hAnsi="宋体" w:cs="宋体"/>
                <w:lang w:bidi="ar"/>
              </w:rPr>
              <w:t xml:space="preserve">★7.提供承诺函，承诺所投产品符合YD/T 901-2018等现行国家或行业标准针对室外光纤的要求，格式自拟。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144芯室外单模光缆</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1.光纤类型：G.652.D单模光纤（9/125μm），支持1310nm和1550nm窗口。</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2.规格及类型：芯数范围144芯，结构类型：GYTZS。</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3.提供所投产品以下技术参数的检测报告：光缆中光纤的特性（衰减系数或者插入损耗）、光缆衰减温度特性、光缆的护套的性能（抗拉强度、断裂伸长率）。提供所投室外单模光缆产品由第三方检测机构出具且具有CMA标志的符合YD/T 901-2018等现行国家或行业标准的全文</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lang w:bidi="ar"/>
              </w:rPr>
              <w:t xml:space="preserve">（芯数不限）</w:t>
            </w:r>
            <w:r>
              <w:rPr>
                <w:rFonts w:hint="eastAsia" w:ascii="宋体" w:hAnsi="宋体" w:cs="宋体"/>
                <w:lang w:bidi="ar"/>
              </w:rPr>
              <w:t xml:space="preserve">。检测报告中须体现检测依据以及是否通过检测的结论。</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4.燃烧性能要求：所投室外单模光缆产品至少达到单根电缆火焰垂直蔓延试验要求。提供所投产品具有CMA标志的、由第三方检测机构出具的、符合GB/T 18380.12-2022</w:t>
            </w:r>
            <w:r>
              <w:rPr>
                <w:rFonts w:hint="eastAsia" w:ascii="宋体" w:hAnsi="宋体" w:cs="宋体"/>
              </w:rPr>
              <w:t xml:space="preserve">或GB/T 18380.22-2008</w:t>
            </w:r>
            <w:r>
              <w:rPr>
                <w:rFonts w:hint="eastAsia" w:ascii="宋体" w:hAnsi="宋体" w:cs="宋体"/>
                <w:lang w:bidi="ar"/>
              </w:rPr>
              <w:t xml:space="preserve">或IEC 60332-1-2：2015标准中的单根电缆火焰垂直蔓延试验的全文</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lang w:bidi="ar"/>
              </w:rPr>
              <w:t xml:space="preserve">（芯数不限）</w:t>
            </w:r>
            <w:r>
              <w:rPr>
                <w:rFonts w:hint="eastAsia" w:ascii="宋体" w:hAnsi="宋体" w:cs="宋体"/>
                <w:lang w:bidi="ar"/>
              </w:rPr>
              <w:t xml:space="preserve">。检测报告中须体现检测依据以及是否通过检测的结论。</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5.外护套材料：无卤素、低烟、阻燃，黑色高密度聚乙烯（HDPE）或抗紫外线PE。</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6.阻水性能，纵向阻水（阻水带+填充油膏）。符合YD/T 901-2018等现行国家标准，提供第三方检测机构出具的</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rPr>
              <w:t xml:space="preserve">或者</w:t>
            </w:r>
            <w:r>
              <w:rPr>
                <w:rFonts w:hint="eastAsia" w:ascii="宋体" w:hAnsi="宋体" w:cs="宋体"/>
                <w:lang w:bidi="ar"/>
              </w:rPr>
              <w:t xml:space="preserve">提供25年产品质量质保函加盖原厂鲜章扫描件</w:t>
            </w:r>
            <w:r>
              <w:rPr>
                <w:rFonts w:hint="eastAsia" w:ascii="宋体" w:hAnsi="宋体" w:cs="宋体"/>
                <w:b/>
                <w:bCs/>
                <w:lang w:bidi="ar"/>
              </w:rPr>
              <w:t xml:space="preserve">或者</w:t>
            </w:r>
            <w:r>
              <w:rPr>
                <w:rFonts w:hint="eastAsia" w:ascii="宋体" w:hAnsi="宋体" w:cs="宋体"/>
                <w:lang w:bidi="ar"/>
              </w:rPr>
              <w:t xml:space="preserve">产品技术规格书。</w:t>
            </w:r>
            <w:r/>
          </w:p>
          <w:p>
            <w:pPr>
              <w:jc w:val="left"/>
              <w:spacing w:line="400" w:lineRule="exact"/>
              <w:widowControl/>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LC单芯尾纤</w:t>
            </w:r>
            <w:r/>
          </w:p>
        </w:tc>
        <w:tc>
          <w:tcPr>
            <w:tcBorders>
              <w:top w:val="single" w:color="000000" w:sz="4" w:space="0"/>
              <w:left w:val="single" w:color="000000" w:sz="4" w:space="0"/>
              <w:bottom w:val="single" w:color="000000" w:sz="4" w:space="0"/>
              <w:right w:val="single" w:color="000000" w:sz="4" w:space="0"/>
            </w:tcBorders>
            <w:tcW w:w="6558" w:type="dxa"/>
            <w:textDirection w:val="lrTb"/>
            <w:noWrap w:val="false"/>
          </w:tcPr>
          <w:p>
            <w:pPr>
              <w:jc w:val="left"/>
              <w:spacing w:line="400" w:lineRule="exact"/>
              <w:widowControl/>
              <w:rPr>
                <w:rFonts w:hint="eastAsia" w:ascii="宋体" w:hAnsi="宋体" w:cs="宋体"/>
                <w:lang w:bidi="ar"/>
              </w:rPr>
            </w:pPr>
            <w:r>
              <w:rPr>
                <w:rFonts w:hint="eastAsia" w:ascii="宋体" w:hAnsi="宋体" w:cs="宋体"/>
                <w:lang w:bidi="ar"/>
              </w:rPr>
              <w:t xml:space="preserve">1.单工单模尾纤，9/125，光纤尾纤用于光纤线路的灵活跳接或熔接，插入损耗低，回波损耗高，性能满足国家或行业规范标准要求。</w:t>
            </w:r>
            <w:r/>
          </w:p>
          <w:p>
            <w:pPr>
              <w:jc w:val="left"/>
              <w:spacing w:line="400" w:lineRule="exact"/>
              <w:widowControl/>
              <w:rPr>
                <w:rFonts w:hint="eastAsia" w:ascii="宋体" w:hAnsi="宋体" w:cs="宋体"/>
                <w:lang w:bidi="ar"/>
              </w:rPr>
            </w:pPr>
            <w:r>
              <w:rPr>
                <w:rFonts w:hint="eastAsia" w:ascii="宋体" w:hAnsi="宋体" w:cs="宋体"/>
                <w:lang w:bidi="ar"/>
              </w:rPr>
              <w:t xml:space="preserve">2.护套材料采用LSZH低烟无卤，具有良好的阻燃性能。</w:t>
            </w:r>
            <w:r/>
          </w:p>
          <w:p>
            <w:pPr>
              <w:jc w:val="left"/>
              <w:spacing w:line="400" w:lineRule="exact"/>
              <w:widowControl/>
              <w:rPr>
                <w:rFonts w:hint="eastAsia" w:ascii="宋体" w:hAnsi="宋体" w:cs="宋体"/>
              </w:rPr>
            </w:pPr>
            <w:r>
              <w:rPr>
                <w:rFonts w:hint="eastAsia" w:ascii="宋体" w:hAnsi="宋体" w:cs="宋体"/>
                <w:lang w:bidi="ar"/>
              </w:rPr>
              <w:t xml:space="preserve">3.技术规范：回拨损耗：单模＞50dB ，插入损耗：最大值0.5dB，典型值0.2dB。</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LC-LC-5米-单模光纤跳线</w:t>
            </w:r>
            <w:r/>
          </w:p>
        </w:tc>
        <w:tc>
          <w:tcPr>
            <w:tcBorders>
              <w:top w:val="single" w:color="000000" w:sz="4" w:space="0"/>
              <w:left w:val="single" w:color="000000" w:sz="4" w:space="0"/>
              <w:bottom w:val="single" w:color="000000" w:sz="4" w:space="0"/>
              <w:right w:val="single" w:color="000000" w:sz="4" w:space="0"/>
            </w:tcBorders>
            <w:tcW w:w="6558" w:type="dxa"/>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2.长度规格≥5米。</w:t>
            </w:r>
            <w:r/>
          </w:p>
          <w:p>
            <w:pPr>
              <w:pStyle w:val="803"/>
              <w:ind w:firstLine="0"/>
            </w:pPr>
            <w:r>
              <w:rPr>
                <w:rFonts w:hint="eastAsia" w:ascii="宋体" w:hAnsi="宋体" w:cs="宋体"/>
                <w:sz w:val="21"/>
                <w:szCs w:val="21"/>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桥架线管</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100*50镀锌线管含施工</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设备拆除</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原有网络设备拆除及线路整理</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光纤链路测试</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宋体" w:hAnsi="宋体" w:cs="宋体"/>
              </w:rPr>
              <w:t xml:space="preserve">FLUKE光纤链路测试，测试指标应符合现行国家或行业标准。</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铜缆链路测试</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宋体" w:hAnsi="宋体" w:cs="宋体"/>
              </w:rPr>
              <w:t xml:space="preserve">FLUKE（UL III级精度），按GB 50312-2016标准进行链路级模型检测（永久链路测试）通过性测试的报告。</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光纤熔接</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lang w:bidi="ar"/>
              </w:rPr>
              <w:t xml:space="preserve">定制，熔接后的特性指标应符合现行国家或行业标准。</w:t>
            </w:r>
            <w:bookmarkEnd w:id="200"/>
            <w:r/>
            <w:r/>
          </w:p>
        </w:tc>
      </w:tr>
    </w:tbl>
    <w:p>
      <w:r/>
      <w:r/>
    </w:p>
    <w:p>
      <w:pPr>
        <w:spacing w:line="360" w:lineRule="auto"/>
        <w:rPr>
          <w:rFonts w:hint="eastAsia" w:ascii="宋体" w:hAnsi="宋体"/>
          <w:b/>
          <w:bCs/>
          <w:sz w:val="24"/>
          <w:szCs w:val="24"/>
        </w:rPr>
      </w:pPr>
      <w:r>
        <w:rPr>
          <w:rFonts w:hint="eastAsia" w:ascii="宋体" w:hAnsi="宋体"/>
          <w:b/>
          <w:bCs/>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说明：系统CAD建筑图与采购单位联系人联系获取。在施工过程中如果涉及到装饰的拆除与修复，一切费用由中标方负责。</w:t>
      </w:r>
      <w:r/>
    </w:p>
    <w:p>
      <w:pPr>
        <w:pStyle w:val="838"/>
        <w:keepLines w:val="0"/>
        <w:spacing w:line="440" w:lineRule="exact"/>
        <w:tabs>
          <w:tab w:val="left" w:pos="0" w:leader="none"/>
        </w:tabs>
        <w:rPr>
          <w:rFonts w:hint="eastAsia" w:asciiTheme="minorEastAsia" w:hAnsiTheme="minorEastAsia" w:eastAsiaTheme="minorEastAsia" w:cstheme="minorEastAsia"/>
        </w:rPr>
      </w:pPr>
      <w:r>
        <w:rPr>
          <w:rFonts w:hint="eastAsia" w:ascii="Times New Roman" w:hAnsi="Times New Roman" w:eastAsia="宋体" w:cs="Times New Roman"/>
          <w:b/>
          <w:bCs/>
          <w:color w:val="auto"/>
          <w:sz w:val="21"/>
          <w:szCs w:val="21"/>
        </w:rPr>
        <w:t xml:space="preserve">★注：供应商所投核心</w:t>
      </w:r>
      <w:r>
        <w:rPr>
          <w:rFonts w:hint="eastAsia" w:ascii="Times New Roman" w:hAnsi="Times New Roman" w:eastAsia="宋体" w:cs="Times New Roman"/>
          <w:b/>
          <w:bCs/>
          <w:color w:val="auto"/>
          <w:sz w:val="21"/>
          <w:szCs w:val="21"/>
        </w:rPr>
        <w:t xml:space="preserve">交换机应执行《网络关键设备和网络安全专用产品目录》（2023年第2号）和《关于调整网络安全专用产品安全管理有关事项的公告》（2023年第1号）的要求，按照《信息安全技术 网络安全专用产品安全技术要求》等相关国家标准的强制性要求。提供由具备资格的机构出具的安全认证合格或者安全检测符合要求证明材料。其中，“网络关键设备和网络安全专用产品安全认证和安全检测结果发布”（以最新发布的为准），所投产品提供中央网络安全与信息化委员会办公室（中央网信办）网站“网络关键设备和网络安全专用产品安全认证和安全检测结果 ”的截图。</w:t>
      </w:r>
      <w:r/>
    </w:p>
    <w:p>
      <w:pPr>
        <w:pStyle w:val="1107"/>
        <w:ind w:hanging="432"/>
        <w:spacing w:line="400" w:lineRule="exact"/>
        <w:tabs>
          <w:tab w:val="left" w:pos="0" w:leader="none"/>
        </w:tabs>
        <w:rPr>
          <w:rFonts w:ascii="Times New Roman" w:hAnsi="Times New Roman"/>
          <w:b w:val="0"/>
          <w:sz w:val="24"/>
          <w:szCs w:val="21"/>
        </w:rPr>
      </w:pPr>
      <w:r>
        <w:rPr>
          <w:rFonts w:hint="eastAsia" w:ascii="Times New Roman" w:hAnsi="Times New Roman"/>
          <w:b w:val="0"/>
          <w:sz w:val="24"/>
          <w:szCs w:val="21"/>
        </w:rPr>
        <w:tab/>
      </w:r>
      <w:r>
        <w:rPr>
          <w:rFonts w:hint="eastAsia" w:ascii="Times New Roman" w:hAnsi="Times New Roman"/>
          <w:b w:val="0"/>
          <w:sz w:val="24"/>
          <w:szCs w:val="21"/>
        </w:rPr>
        <w:t xml:space="preserve">3.</w:t>
      </w:r>
      <w:r>
        <w:rPr>
          <w:rFonts w:ascii="Times New Roman" w:hAnsi="Times New Roman"/>
          <w:b w:val="0"/>
          <w:sz w:val="24"/>
          <w:szCs w:val="21"/>
        </w:rPr>
        <w:t xml:space="preserve">验收标准</w:t>
      </w:r>
      <w:r/>
    </w:p>
    <w:p>
      <w:pPr>
        <w:ind w:firstLine="482"/>
        <w:spacing w:line="400" w:lineRule="exact"/>
        <w:widowControl/>
        <w:rPr>
          <w:rFonts w:hint="eastAsia" w:ascii="宋体" w:hAnsi="宋体"/>
          <w:sz w:val="24"/>
          <w:szCs w:val="24"/>
        </w:rPr>
      </w:pPr>
      <w:r>
        <w:rPr>
          <w:rFonts w:hint="eastAsia" w:ascii="宋体" w:hAnsi="宋体"/>
          <w:sz w:val="24"/>
          <w:szCs w:val="24"/>
        </w:rPr>
        <w:t xml:space="preserve">严格按照关于印发《江苏省政府采购履约验收管理办法》的通知（苏财规〔2024〕7号）进行验收。必要时委托依法取得检测、认证资质的机构进行检测、认证，对于供应商未按合同约定履约的，采购人依法追究其违约责任。</w:t>
      </w:r>
      <w:r/>
    </w:p>
    <w:p>
      <w:pPr>
        <w:ind w:firstLine="482"/>
        <w:spacing w:line="400" w:lineRule="exact"/>
        <w:widowControl/>
        <w:rPr>
          <w:rFonts w:hint="eastAsia" w:ascii="宋体" w:hAnsi="宋体"/>
          <w:sz w:val="24"/>
          <w:szCs w:val="24"/>
        </w:rPr>
      </w:pPr>
      <w:r>
        <w:rPr>
          <w:rFonts w:hint="eastAsia" w:ascii="宋体" w:hAnsi="宋体"/>
          <w:sz w:val="24"/>
          <w:szCs w:val="24"/>
        </w:rPr>
        <w:t xml:space="preserve">提供本项目的验收附件或者直接明确验收的要求，其中综合布线的验收要求参见如下描述：</w:t>
      </w:r>
      <w:r/>
    </w:p>
    <w:p>
      <w:pPr>
        <w:ind w:firstLine="482"/>
        <w:spacing w:line="400" w:lineRule="exact"/>
        <w:widowControl/>
        <w:rPr>
          <w:rFonts w:hint="eastAsia" w:ascii="宋体" w:hAnsi="宋体"/>
          <w:sz w:val="24"/>
          <w:szCs w:val="24"/>
        </w:rPr>
      </w:pPr>
      <w:r>
        <w:rPr>
          <w:rFonts w:hint="eastAsia" w:ascii="宋体" w:hAnsi="宋体"/>
          <w:sz w:val="24"/>
          <w:szCs w:val="24"/>
        </w:rPr>
        <w:t xml:space="preserve">综合布线工程验收前应进行自检测试和竣工验收测试工作。</w:t>
      </w:r>
      <w:r/>
    </w:p>
    <w:p>
      <w:pPr>
        <w:ind w:firstLine="480"/>
        <w:spacing w:line="360" w:lineRule="auto"/>
        <w:rPr>
          <w:rFonts w:hint="eastAsia" w:ascii="宋体" w:hAnsi="宋体"/>
          <w:sz w:val="24"/>
          <w:szCs w:val="24"/>
        </w:rPr>
      </w:pPr>
      <w:r>
        <w:rPr>
          <w:rFonts w:hint="eastAsia" w:ascii="宋体" w:hAnsi="宋体"/>
          <w:sz w:val="24"/>
          <w:szCs w:val="24"/>
        </w:rPr>
        <w:t xml:space="preserve">（1）工程竣工以后，施工单位在工程验收前要提供的材料：</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1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①</w:t>
      </w:r>
      <w:r>
        <w:rPr>
          <w:rFonts w:ascii="宋体" w:hAnsi="宋体"/>
          <w:sz w:val="24"/>
          <w:szCs w:val="24"/>
        </w:rPr>
        <w:fldChar w:fldCharType="end"/>
      </w:r>
      <w:r>
        <w:rPr>
          <w:rFonts w:hint="eastAsia" w:ascii="宋体" w:hAnsi="宋体"/>
          <w:sz w:val="24"/>
          <w:szCs w:val="24"/>
        </w:rPr>
        <w:t xml:space="preserve">一套完整的通过审核的</w:t>
      </w:r>
      <w:r>
        <w:rPr>
          <w:rFonts w:ascii="宋体" w:hAnsi="宋体"/>
          <w:sz w:val="24"/>
          <w:szCs w:val="24"/>
        </w:rPr>
        <w:t xml:space="preserve">竣工图纸</w:t>
      </w:r>
      <w:r>
        <w:rPr>
          <w:rFonts w:hint="eastAsia" w:ascii="宋体" w:hAnsi="宋体"/>
          <w:sz w:val="24"/>
          <w:szCs w:val="24"/>
        </w:rPr>
        <w:t xml:space="preserve">（</w:t>
      </w:r>
      <w:r>
        <w:rPr>
          <w:rFonts w:ascii="宋体" w:hAnsi="宋体"/>
          <w:sz w:val="24"/>
          <w:szCs w:val="24"/>
        </w:rPr>
        <w:t xml:space="preserve">施工中更改后的施工设计图</w:t>
      </w:r>
      <w:r>
        <w:rPr>
          <w:rFonts w:hint="eastAsia" w:ascii="宋体" w:hAnsi="宋体"/>
          <w:sz w:val="24"/>
          <w:szCs w:val="24"/>
        </w:rPr>
        <w:t xml:space="preserve">）给采购单位，两份纸质稿及一份电子稿。</w:t>
      </w:r>
      <w:r/>
    </w:p>
    <w:p>
      <w:pPr>
        <w:ind w:firstLine="480"/>
        <w:spacing w:line="360" w:lineRule="auto"/>
        <w:rPr>
          <w:rFonts w:hint="eastAsia" w:ascii="宋体" w:hAnsi="宋体"/>
          <w:sz w:val="24"/>
          <w:szCs w:val="24"/>
        </w:rPr>
      </w:pPr>
      <w:r>
        <w:rPr>
          <w:rFonts w:hint="eastAsia" w:ascii="宋体" w:hAnsi="宋体"/>
          <w:sz w:val="24"/>
          <w:szCs w:val="24"/>
        </w:rPr>
        <w:t xml:space="preserve">综合布线的竣工图纸应包括说明、设计系统图及反映各部分设备安装情况的施工图。竣工图纸应表示以下内容：</w:t>
      </w:r>
      <w:r/>
    </w:p>
    <w:p>
      <w:pPr>
        <w:pStyle w:val="803"/>
        <w:numPr>
          <w:ilvl w:val="0"/>
          <w:numId w:val="15"/>
        </w:numPr>
        <w:rPr>
          <w:rFonts w:hint="eastAsia" w:ascii="宋体" w:hAnsi="宋体"/>
        </w:rPr>
      </w:pPr>
      <w:r>
        <w:rPr>
          <w:rFonts w:hint="eastAsia" w:ascii="宋体" w:hAnsi="宋体"/>
        </w:rPr>
        <w:t xml:space="preserve">安装场地和布线管道的位置、尺寸、标识符等；</w:t>
      </w:r>
      <w:r/>
    </w:p>
    <w:p>
      <w:pPr>
        <w:pStyle w:val="803"/>
        <w:numPr>
          <w:ilvl w:val="0"/>
          <w:numId w:val="15"/>
        </w:numPr>
        <w:rPr>
          <w:rFonts w:hint="eastAsia" w:ascii="宋体" w:hAnsi="宋体"/>
        </w:rPr>
      </w:pPr>
      <w:r>
        <w:rPr>
          <w:rFonts w:hint="eastAsia" w:ascii="宋体" w:hAnsi="宋体"/>
        </w:rPr>
        <w:t xml:space="preserve">设备间、电信间、进线间等安装场地的平面图或剖面图及信息插座模块安装位置；</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2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②</w:t>
      </w:r>
      <w:r>
        <w:rPr>
          <w:rFonts w:ascii="宋体" w:hAnsi="宋体"/>
          <w:sz w:val="24"/>
          <w:szCs w:val="24"/>
        </w:rPr>
        <w:fldChar w:fldCharType="end"/>
      </w:r>
      <w:r>
        <w:rPr>
          <w:rFonts w:hint="eastAsia" w:ascii="宋体" w:hAnsi="宋体"/>
          <w:sz w:val="24"/>
          <w:szCs w:val="24"/>
        </w:rPr>
        <w:t xml:space="preserve">设备材料进场检验记录及开箱检验记录</w:t>
      </w:r>
      <w:r>
        <w:rPr>
          <w:rFonts w:hint="eastAsia" w:ascii="宋体" w:hAnsi="宋体"/>
          <w:b/>
          <w:bCs/>
          <w:sz w:val="24"/>
          <w:szCs w:val="24"/>
        </w:rPr>
        <w:t xml:space="preserve">（尤其是要对各类铜缆的导体直径抽检）</w:t>
      </w:r>
      <w:r>
        <w:rPr>
          <w:rFonts w:hint="eastAsia" w:ascii="宋体" w:hAnsi="宋体"/>
          <w:sz w:val="24"/>
          <w:szCs w:val="24"/>
        </w:rPr>
        <w:t xml:space="preserve">，各类线材进校验收、签字记录。</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3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③</w:t>
      </w:r>
      <w:r>
        <w:rPr>
          <w:rFonts w:ascii="宋体" w:hAnsi="宋体"/>
          <w:sz w:val="24"/>
          <w:szCs w:val="24"/>
        </w:rPr>
        <w:fldChar w:fldCharType="end"/>
      </w:r>
      <w:r>
        <w:rPr>
          <w:rFonts w:hint="eastAsia" w:ascii="宋体" w:hAnsi="宋体"/>
          <w:sz w:val="24"/>
          <w:szCs w:val="24"/>
        </w:rPr>
        <w:t xml:space="preserve">隐蔽工程验收记录及签证。隐蔽工程要做好时间、施工情况记录，现场拍照存档。要有学校相关人员签字。如有信息化工程监理，要由监理按流程处理并签字确认。</w:t>
      </w:r>
      <w:r/>
    </w:p>
    <w:p>
      <w:pPr>
        <w:ind w:firstLine="480"/>
        <w:spacing w:line="360" w:lineRule="auto"/>
        <w:rPr>
          <w:rFonts w:hint="eastAsia" w:ascii="宋体" w:hAnsi="宋体"/>
          <w:sz w:val="24"/>
          <w:szCs w:val="24"/>
          <w:u w:val="single"/>
        </w:rPr>
      </w:pPr>
      <w:r>
        <w:rPr>
          <w:rFonts w:ascii="宋体" w:hAnsi="宋体"/>
          <w:sz w:val="24"/>
          <w:szCs w:val="24"/>
          <w:u w:val="single"/>
        </w:rPr>
        <w:fldChar w:fldCharType="begin"/>
      </w:r>
      <w:r>
        <w:rPr>
          <w:rFonts w:ascii="宋体" w:hAnsi="宋体"/>
          <w:sz w:val="24"/>
          <w:szCs w:val="24"/>
          <w:u w:val="single"/>
        </w:rPr>
        <w:instrText xml:space="preserve"> </w:instrText>
      </w:r>
      <w:r>
        <w:rPr>
          <w:rFonts w:hint="eastAsia" w:ascii="宋体" w:hAnsi="宋体"/>
          <w:sz w:val="24"/>
          <w:szCs w:val="24"/>
          <w:u w:val="single"/>
        </w:rPr>
        <w:instrText xml:space="preserve">= 4 \* GB3</w:instrText>
      </w:r>
      <w:r>
        <w:rPr>
          <w:rFonts w:ascii="宋体" w:hAnsi="宋体"/>
          <w:sz w:val="24"/>
          <w:szCs w:val="24"/>
          <w:u w:val="single"/>
        </w:rPr>
        <w:instrText xml:space="preserve"> </w:instrText>
      </w:r>
      <w:r>
        <w:rPr>
          <w:rFonts w:ascii="宋体" w:hAnsi="宋体"/>
          <w:sz w:val="24"/>
          <w:szCs w:val="24"/>
          <w:u w:val="single"/>
        </w:rPr>
        <w:fldChar w:fldCharType="separate"/>
      </w:r>
      <w:r>
        <w:rPr>
          <w:rFonts w:hint="eastAsia" w:ascii="宋体" w:hAnsi="宋体"/>
          <w:sz w:val="24"/>
          <w:szCs w:val="24"/>
          <w:u w:val="single"/>
        </w:rPr>
        <w:t xml:space="preserve">④</w:t>
      </w:r>
      <w:r>
        <w:rPr>
          <w:rFonts w:ascii="宋体" w:hAnsi="宋体"/>
          <w:sz w:val="24"/>
          <w:szCs w:val="24"/>
          <w:u w:val="single"/>
        </w:rPr>
        <w:fldChar w:fldCharType="end"/>
      </w:r>
      <w:r>
        <w:rPr>
          <w:rFonts w:hint="eastAsia" w:ascii="宋体" w:hAnsi="宋体"/>
          <w:sz w:val="24"/>
          <w:szCs w:val="24"/>
          <w:u w:val="single"/>
        </w:rPr>
        <w:t xml:space="preserve">系统中文检测报告及中文测试</w:t>
      </w:r>
      <w:r>
        <w:rPr>
          <w:rFonts w:ascii="宋体" w:hAnsi="宋体"/>
          <w:sz w:val="24"/>
          <w:szCs w:val="24"/>
          <w:u w:val="single"/>
        </w:rPr>
        <w:t xml:space="preserve">记录</w:t>
      </w:r>
      <w:r>
        <w:rPr>
          <w:rFonts w:hint="eastAsia" w:ascii="宋体" w:hAnsi="宋体"/>
          <w:sz w:val="24"/>
          <w:szCs w:val="24"/>
          <w:u w:val="single"/>
        </w:rPr>
        <w:t xml:space="preserve">：用FLUKE、OTDR等设备对所有点位进行测试，提供通过率为100%的测试报告；其中永久链路超过90米的不纳入测试范围，但必须保证能正常使用（比如PING不丢包等）。模拟广播的音箱线必须做通断和对地电阻测试，提供测试报告。</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应事先对工程中需要使用的仪表和工具进行测试或检查，测试仪精度应定期检测，每次现场测试前应出示仪表厂家或者是检测机构出具有效期内的测试仪的精度证明，缆线测试仪应附有检测机构的证明文件。</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检测须由持相关测试仪厂家出具的有效期内认证证明的人员操作或委托有相关人员和设备资质的第三方测试。</w:t>
      </w:r>
      <w:r/>
    </w:p>
    <w:p>
      <w:pPr>
        <w:ind w:firstLine="480"/>
        <w:spacing w:line="360" w:lineRule="auto"/>
        <w:rPr>
          <w:rFonts w:hint="eastAsia" w:ascii="宋体" w:hAnsi="宋体"/>
          <w:sz w:val="24"/>
          <w:szCs w:val="24"/>
        </w:rPr>
      </w:pPr>
      <w:r>
        <w:rPr>
          <w:rFonts w:hint="eastAsia" w:ascii="宋体" w:hAnsi="宋体"/>
          <w:sz w:val="24"/>
          <w:szCs w:val="24"/>
        </w:rPr>
        <w:t xml:space="preserve">应根据《综合布线工程验收规范》（GB</w:t>
      </w:r>
      <w:r>
        <w:rPr>
          <w:rFonts w:ascii="宋体" w:hAnsi="宋体"/>
          <w:sz w:val="24"/>
          <w:szCs w:val="24"/>
        </w:rPr>
        <w:t xml:space="preserve">/T </w:t>
      </w:r>
      <w:r>
        <w:rPr>
          <w:rFonts w:hint="eastAsia" w:ascii="宋体" w:hAnsi="宋体"/>
          <w:sz w:val="24"/>
          <w:szCs w:val="24"/>
        </w:rPr>
        <w:t xml:space="preserve">50312-2016）要求进行工程电气测试，布线系统各项测试结果应有详细记录，并应作为竣工资料的一部分。测试内容应按本规范附录A、附录B、附录C的规定，测试记录可采用自制表格、电子表格或仪表自动生成的报告文件等记录形式。其中双绞线布系统系统采用永久链路测试不低于规范明确的13个指标，光纤信息及链路测试采用等级2测试模型及方法；并填写综合布线系统工程电缆性能指标测试记录、综合布线工程光纤性能指标测试记录，形成综合布线系统工程电缆性能指标测试汇总表、综合布线工程光纤性能指标测试汇总表。</w:t>
      </w:r>
      <w:r/>
    </w:p>
    <w:p>
      <w:pPr>
        <w:ind w:firstLine="480"/>
        <w:spacing w:line="360" w:lineRule="auto"/>
        <w:rPr>
          <w:rFonts w:hint="eastAsia" w:ascii="宋体" w:hAnsi="宋体"/>
          <w:sz w:val="24"/>
          <w:szCs w:val="24"/>
        </w:rPr>
      </w:pPr>
      <w:r>
        <w:rPr>
          <w:rFonts w:hint="eastAsia" w:ascii="宋体" w:hAnsi="宋体"/>
          <w:sz w:val="24"/>
          <w:szCs w:val="24"/>
        </w:rPr>
        <w:t xml:space="preserve">系统性能检测单项合格判定和竣工检测综合合格判定应符合《综合布线工程验收规范》（GB</w:t>
      </w:r>
      <w:r>
        <w:rPr>
          <w:rFonts w:ascii="宋体" w:hAnsi="宋体"/>
          <w:sz w:val="24"/>
          <w:szCs w:val="24"/>
        </w:rPr>
        <w:t xml:space="preserve">/T </w:t>
      </w:r>
      <w:r>
        <w:rPr>
          <w:rFonts w:hint="eastAsia" w:ascii="宋体" w:hAnsi="宋体"/>
          <w:sz w:val="24"/>
          <w:szCs w:val="24"/>
        </w:rPr>
        <w:t xml:space="preserve">50312-2016）工程验收的规定。</w:t>
      </w:r>
      <w:r/>
    </w:p>
    <w:p>
      <w:pPr>
        <w:pStyle w:val="803"/>
        <w:ind w:firstLine="420"/>
        <w:rPr>
          <w:rFonts w:hint="eastAsia" w:ascii="宋体" w:hAnsi="宋体" w:cs="宋体"/>
        </w:rPr>
      </w:pPr>
      <w:r>
        <w:rPr>
          <w:rFonts w:hint="eastAsia" w:ascii="宋体" w:hAnsi="宋体" w:cs="宋体"/>
        </w:rPr>
        <w:t xml:space="preserve">⑤培训记录及培训资料。</w:t>
      </w:r>
      <w:r/>
    </w:p>
    <w:p>
      <w:pPr>
        <w:ind w:firstLine="480"/>
        <w:spacing w:line="360" w:lineRule="auto"/>
        <w:rPr>
          <w:rFonts w:hint="eastAsia" w:ascii="宋体" w:hAnsi="宋体"/>
          <w:sz w:val="24"/>
          <w:szCs w:val="24"/>
        </w:rPr>
      </w:pPr>
      <w:r>
        <w:rPr>
          <w:rFonts w:hint="eastAsia" w:ascii="宋体" w:hAnsi="宋体"/>
          <w:sz w:val="24"/>
          <w:szCs w:val="24"/>
        </w:rPr>
        <w:t xml:space="preserve">以上材料要保证质量，做到外观整洁、内容齐全、数据准确。</w:t>
      </w:r>
      <w:r/>
    </w:p>
    <w:p>
      <w:pPr>
        <w:ind w:firstLine="480"/>
        <w:spacing w:line="360" w:lineRule="auto"/>
        <w:rPr>
          <w:rFonts w:hint="eastAsia" w:ascii="宋体" w:hAnsi="宋体"/>
          <w:sz w:val="24"/>
          <w:szCs w:val="24"/>
        </w:rPr>
      </w:pPr>
      <w:r>
        <w:rPr>
          <w:rFonts w:hint="eastAsia" w:ascii="宋体" w:hAnsi="宋体"/>
          <w:sz w:val="24"/>
          <w:szCs w:val="24"/>
        </w:rPr>
        <w:t xml:space="preserve">（2）根据施工单位提供的</w:t>
      </w:r>
      <w:r>
        <w:rPr>
          <w:rFonts w:ascii="宋体" w:hAnsi="宋体"/>
          <w:sz w:val="24"/>
          <w:szCs w:val="24"/>
        </w:rPr>
        <w:t xml:space="preserve">测试</w:t>
      </w:r>
      <w:r>
        <w:rPr>
          <w:rFonts w:hint="eastAsia" w:ascii="宋体" w:hAnsi="宋体"/>
          <w:sz w:val="24"/>
          <w:szCs w:val="24"/>
        </w:rPr>
        <w:t xml:space="preserve">报告，</w:t>
      </w:r>
      <w:r>
        <w:rPr>
          <w:rFonts w:hint="eastAsia" w:ascii="宋体" w:hAnsi="宋体"/>
          <w:b/>
          <w:bCs/>
          <w:sz w:val="24"/>
          <w:szCs w:val="24"/>
        </w:rPr>
        <w:t xml:space="preserve">采购单位应进行的抽样复测（可以通过第三方进行复测）</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复测验证方法：抽样比例不低于10%，抽样点应包括最远布线点，通过率≥99%。对双绞电缆抽样检测时，被抽样检测点（线对）不合格比例不大于被测总数的1%，应为抽样检测通过，不合格的点（线对应予以修复并复检）。被抽样检测点（线对）不合格比例如果大于1%,应为一次抽样检测未通过，应进行加倍抽样，加倍抽样不合格比例不大于1%，应为抽样检测通过。当不合格比例仍大于1%，应为抽样检测不通过，应进行全部检测，并按全部检测要求进行判定。建议复测在设备试运行前进行。</w:t>
      </w:r>
      <w:r/>
    </w:p>
    <w:p>
      <w:pPr>
        <w:ind w:firstLine="420"/>
        <w:spacing w:line="360" w:lineRule="auto"/>
        <w:rPr>
          <w:rFonts w:hint="eastAsia" w:ascii="宋体" w:hAnsi="宋体"/>
          <w:b/>
          <w:bCs/>
          <w:sz w:val="24"/>
          <w:szCs w:val="24"/>
        </w:rPr>
      </w:pPr>
      <w:r>
        <w:rPr>
          <w:rFonts w:hint="eastAsia" w:ascii="宋体" w:hAnsi="宋体"/>
          <w:b/>
          <w:bCs/>
          <w:sz w:val="24"/>
          <w:szCs w:val="24"/>
        </w:rPr>
        <w:t xml:space="preserve">复测的费用由中标供应商承担。</w:t>
      </w:r>
      <w:r/>
    </w:p>
    <w:p>
      <w:pPr>
        <w:ind w:firstLine="420"/>
        <w:spacing w:line="360" w:lineRule="auto"/>
        <w:rPr>
          <w:rFonts w:hint="eastAsia" w:ascii="宋体" w:hAnsi="宋体"/>
          <w:b/>
          <w:bCs/>
          <w:sz w:val="24"/>
          <w:szCs w:val="24"/>
        </w:rPr>
      </w:pPr>
      <w:r>
        <w:rPr>
          <w:rFonts w:hint="eastAsia" w:ascii="宋体" w:hAnsi="宋体"/>
          <w:b/>
          <w:bCs/>
          <w:sz w:val="24"/>
          <w:szCs w:val="24"/>
        </w:rPr>
        <w:t xml:space="preserve">若发现施工单位在测试报告中弄虚作假，</w:t>
      </w:r>
      <w:r>
        <w:rPr>
          <w:rFonts w:hint="eastAsia"/>
          <w:b/>
          <w:bCs/>
          <w:sz w:val="24"/>
          <w:szCs w:val="24"/>
        </w:rPr>
        <w:t xml:space="preserve">招标代理机构按流程向财政部门要求对其</w:t>
      </w:r>
      <w:r>
        <w:rPr>
          <w:rFonts w:hint="eastAsia" w:ascii="宋体" w:hAnsi="宋体"/>
          <w:b/>
          <w:bCs/>
          <w:sz w:val="24"/>
          <w:szCs w:val="24"/>
        </w:rPr>
        <w:t xml:space="preserve">进行处罚（列入供应商不诚信行为）。</w:t>
      </w:r>
      <w:r/>
    </w:p>
    <w:p>
      <w:pPr>
        <w:ind w:firstLine="480"/>
        <w:spacing w:line="360" w:lineRule="auto"/>
        <w:rPr>
          <w:rFonts w:hint="eastAsia" w:ascii="宋体" w:hAnsi="宋体"/>
          <w:color w:val="auto"/>
          <w:sz w:val="24"/>
          <w:szCs w:val="24"/>
        </w:rPr>
      </w:pPr>
      <w:r>
        <w:rPr>
          <w:rFonts w:hint="eastAsia" w:ascii="宋体" w:hAnsi="宋体"/>
          <w:sz w:val="24"/>
          <w:szCs w:val="24"/>
        </w:rPr>
        <w:t xml:space="preserve">（4）验收应遵循的国家现行有关规范或标准，包含但不只限于《综合布线工程验收规范（GB/T 50312-2016）》《通信管道工程施工及验收规范GB50374》《通信线路工程验收规范YD 5121》和《常州市教育局局属单位信息化工程重大项目验收规范》《校园网络环境系统项目建设指南》《校园广播系统项目建</w:t>
      </w:r>
      <w:r>
        <w:rPr>
          <w:rFonts w:hint="eastAsia" w:ascii="宋体" w:hAnsi="宋体"/>
          <w:color w:val="auto"/>
          <w:sz w:val="24"/>
          <w:szCs w:val="24"/>
        </w:rPr>
        <w:t xml:space="preserve">设指南》《校园安防系统项目建设指南》《常州市中小学校园公共广播系统建设标准指导意见》等规定的要求对施工质量进行验收。</w:t>
      </w:r>
      <w:r/>
    </w:p>
    <w:p>
      <w:pPr>
        <w:ind w:firstLine="480"/>
        <w:spacing w:line="400" w:lineRule="exact"/>
        <w:rPr>
          <w:rFonts w:hint="eastAsia" w:ascii="宋体" w:hAnsi="宋体" w:eastAsia="宋体"/>
          <w:b/>
          <w:bCs/>
          <w:color w:val="auto"/>
          <w:sz w:val="24"/>
          <w:szCs w:val="24"/>
          <w:lang w:eastAsia="zh-CN"/>
        </w:rPr>
      </w:pPr>
      <w:r>
        <w:rPr>
          <w:rFonts w:hint="eastAsia" w:ascii="宋体" w:hAnsi="宋体"/>
          <w:b/>
          <w:bCs/>
          <w:color w:val="auto"/>
          <w:sz w:val="24"/>
          <w:szCs w:val="24"/>
          <w:lang w:val="en-US" w:eastAsia="zh-CN"/>
        </w:rPr>
        <w:t xml:space="preserve">其他</w:t>
      </w:r>
      <w:r>
        <w:rPr>
          <w:rFonts w:hint="eastAsia" w:ascii="宋体" w:hAnsi="宋体"/>
          <w:b/>
          <w:bCs/>
          <w:color w:val="auto"/>
          <w:sz w:val="24"/>
          <w:szCs w:val="24"/>
        </w:rPr>
        <w:t xml:space="preserve">验收要求</w:t>
      </w:r>
      <w:r>
        <w:rPr>
          <w:rFonts w:hint="eastAsia" w:ascii="宋体" w:hAnsi="宋体"/>
          <w:b/>
          <w:bCs/>
          <w:color w:val="auto"/>
          <w:sz w:val="24"/>
          <w:szCs w:val="24"/>
          <w:lang w:val="en-US" w:eastAsia="zh-CN"/>
        </w:rPr>
        <w:t xml:space="preserve">另</w:t>
      </w:r>
      <w:r>
        <w:rPr>
          <w:rFonts w:hint="eastAsia" w:ascii="宋体" w:hAnsi="宋体"/>
          <w:b/>
          <w:bCs/>
          <w:color w:val="auto"/>
          <w:sz w:val="24"/>
          <w:szCs w:val="24"/>
        </w:rPr>
        <w:t xml:space="preserve">见附件</w:t>
      </w:r>
      <w:r>
        <w:rPr>
          <w:rFonts w:hint="eastAsia" w:ascii="宋体" w:hAnsi="宋体"/>
          <w:b/>
          <w:bCs/>
          <w:color w:val="auto"/>
          <w:sz w:val="24"/>
          <w:szCs w:val="24"/>
          <w:lang w:eastAsia="zh-CN"/>
        </w:rPr>
        <w:t xml:space="preserve">。</w:t>
      </w:r>
      <w:r/>
    </w:p>
    <w:p>
      <w:pPr>
        <w:ind w:firstLine="482"/>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6"/>
        </w:numPr>
        <w:spacing w:line="276" w:lineRule="auto"/>
        <w:tabs>
          <w:tab w:val="clear" w:pos="312"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实质性要求  </w:t>
      </w:r>
      <w:r/>
    </w:p>
    <w:tbl>
      <w:tblPr>
        <w:tblStyle w:val="8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699"/>
        <w:gridCol w:w="3240"/>
        <w:gridCol w:w="2997"/>
      </w:tblGrid>
      <w:tr>
        <w:trPr/>
        <w:tc>
          <w:tcPr>
            <w:tcW w:w="0" w:type="auto"/>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序号</w:t>
            </w:r>
            <w:r/>
          </w:p>
        </w:tc>
        <w:tc>
          <w:tcPr>
            <w:tcW w:w="1699"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设备名称或其它</w:t>
            </w:r>
            <w:r/>
          </w:p>
        </w:tc>
        <w:tc>
          <w:tcPr>
            <w:tcW w:w="3240"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技术参数或要求</w:t>
            </w:r>
            <w:r/>
          </w:p>
        </w:tc>
        <w:tc>
          <w:tcPr>
            <w:tcW w:w="2997"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证明材料</w:t>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1</w:t>
            </w:r>
            <w:r/>
          </w:p>
        </w:tc>
        <w:tc>
          <w:tcPr>
            <w:tcW w:w="1699" w:type="dxa"/>
            <w:vAlign w:val="center"/>
            <w:vMerge w:val="restart"/>
            <w:textDirection w:val="lrTb"/>
            <w:noWrap w:val="false"/>
          </w:tcPr>
          <w:p>
            <w:pPr>
              <w:jc w:val="left"/>
              <w:spacing w:line="320" w:lineRule="exact"/>
              <w:widowControl/>
              <w:rPr>
                <w:rFonts w:hint="eastAsia" w:ascii="宋体" w:hAnsi="宋体" w:cs="宋体"/>
                <w:color w:val="auto"/>
              </w:rPr>
            </w:pPr>
            <w:r>
              <w:rPr>
                <w:rFonts w:hint="eastAsia" w:asciiTheme="minorEastAsia" w:hAnsiTheme="minorEastAsia" w:eastAsiaTheme="minorEastAsia" w:cstheme="minorEastAsia"/>
                <w:color w:val="auto"/>
              </w:rPr>
              <w:t xml:space="preserve">以太光汇聚交换机机（核心产品）</w:t>
            </w:r>
            <w:r/>
          </w:p>
        </w:tc>
        <w:tc>
          <w:tcPr>
            <w:tcW w:w="3240" w:type="dxa"/>
            <w:vAlign w:val="center"/>
            <w:textDirection w:val="lrTb"/>
            <w:noWrap w:val="false"/>
          </w:tcPr>
          <w:p>
            <w:pPr>
              <w:jc w:val="left"/>
              <w:spacing w:line="400" w:lineRule="exact"/>
              <w:widowControl/>
              <w:rPr>
                <w:rFonts w:hint="eastAsia" w:ascii="宋体" w:hAnsi="宋体" w:cs="宋体"/>
                <w:color w:val="auto"/>
              </w:rPr>
            </w:pPr>
            <w:r>
              <w:rPr>
                <w:rFonts w:hint="eastAsia" w:ascii="宋体" w:hAnsi="宋体" w:cs="宋体"/>
                <w:color w:val="auto"/>
              </w:rPr>
              <w:t xml:space="preserve">★1.性能要求：总包转发率≧21600（或7200*3）Mpps，总交换容量≧114（或38*3）Tbps。</w:t>
            </w:r>
            <w:r/>
          </w:p>
          <w:p>
            <w:pPr>
              <w:jc w:val="left"/>
              <w:spacing w:line="320" w:lineRule="exact"/>
              <w:widowControl/>
              <w:rPr>
                <w:rFonts w:hint="eastAsia" w:ascii="宋体" w:hAnsi="宋体" w:cs="宋体"/>
                <w:color w:val="auto"/>
              </w:rPr>
            </w:pPr>
            <w:r>
              <w:rPr>
                <w:rFonts w:hint="eastAsia" w:ascii="宋体" w:hAnsi="宋体" w:cs="宋体"/>
                <w:color w:val="auto"/>
              </w:rPr>
            </w:r>
            <w:r/>
          </w:p>
        </w:tc>
        <w:tc>
          <w:tcPr>
            <w:tcW w:w="2997"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color w:val="000000"/>
              </w:rPr>
              <w:t xml:space="preserve">提供官网截图或者产品彩页或者检测报告原件扫描件，检测报告需提供检测机构有效CMA资质证书及与所涉检测项目对应《资质认定能力附表》所在页的扫描件，材料需并加盖投标人公章</w:t>
            </w:r>
            <w:r>
              <w:rPr>
                <w:rFonts w:hint="eastAsia" w:ascii="宋体" w:hAnsi="宋体" w:cs="宋体"/>
                <w:color w:val="000000"/>
                <w:lang w:eastAsia="zh-CN"/>
              </w:rPr>
              <w:t xml:space="preserve">。</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★2.配置要求：满配电源、满配风扇，万兆光接口≥</w:t>
            </w:r>
            <w:r>
              <w:rPr>
                <w:rFonts w:ascii="宋体" w:hAnsi="宋体" w:cs="宋体"/>
              </w:rPr>
              <w:t xml:space="preserve">12</w:t>
            </w:r>
            <w:r>
              <w:rPr>
                <w:rFonts w:hint="eastAsia" w:ascii="宋体" w:hAnsi="宋体" w:cs="宋体"/>
              </w:rPr>
              <w:t xml:space="preserve">，配置分光后≥288个10G光接入设备的连接能力（含模块，LC接口），满足接入端264台交换机接入需求</w:t>
            </w:r>
            <w:r>
              <w:rPr>
                <w:rFonts w:hint="eastAsia" w:ascii="宋体" w:hAnsi="宋体" w:cs="宋体"/>
                <w:lang w:eastAsia="zh-CN"/>
              </w:rPr>
              <w:t xml:space="preserve">。</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（提供承诺函并加盖供应商公章并加盖供应商公章）</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color w:val="auto"/>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bidi="ar"/>
              </w:rPr>
              <w:t xml:space="preserve">。</w:t>
            </w:r>
            <w:r/>
          </w:p>
        </w:tc>
        <w:tc>
          <w:tcPr>
            <w:tcW w:w="2997" w:type="dxa"/>
            <w:vAlign w:val="center"/>
            <w:textDirection w:val="lrTb"/>
            <w:noWrap w:val="false"/>
          </w:tcPr>
          <w:p>
            <w:pPr>
              <w:spacing w:line="320" w:lineRule="exact"/>
              <w:rPr>
                <w:rFonts w:hint="eastAsia" w:ascii="宋体" w:hAnsi="宋体" w:cs="宋体" w:eastAsiaTheme="minorEastAsia"/>
                <w:color w:val="auto"/>
                <w:lang w:eastAsia="zh-CN"/>
              </w:rPr>
            </w:pPr>
            <w:r>
              <w:rPr>
                <w:rFonts w:hint="eastAsia" w:asciiTheme="minorEastAsia" w:hAnsiTheme="minorEastAsia" w:eastAsiaTheme="minorEastAsia" w:cstheme="minorEastAsia"/>
                <w:color w:val="auto"/>
                <w:sz w:val="21"/>
                <w:szCs w:val="21"/>
                <w:lang w:bidi="ar"/>
              </w:rPr>
              <w:t xml:space="preserve">提供：进网许可证清晰扫描件；工信部官网查询结果截图，显示设备型号、生产企业、许可证编号及状态为“有效”</w:t>
            </w:r>
            <w:r>
              <w:rPr>
                <w:rFonts w:hint="eastAsia" w:asciiTheme="minorEastAsia" w:hAnsiTheme="minorEastAsia" w:eastAsiaTheme="minorEastAsia" w:cstheme="minorEastAsia"/>
                <w:color w:val="auto"/>
                <w:sz w:val="21"/>
                <w:szCs w:val="21"/>
                <w:lang w:eastAsia="zh-CN" w:bidi="ar"/>
              </w:rPr>
              <w:t xml:space="preserve">。</w:t>
            </w:r>
            <w:r/>
          </w:p>
        </w:tc>
      </w:tr>
      <w:tr>
        <w:trPr/>
        <w:tc>
          <w:tcPr>
            <w:tcW w:w="0" w:type="auto"/>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2</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8口光接入设备</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★1.整机要求：千兆电口≥8，万兆光口≥1；支持POE、POE+，整机POE供电功率≥120W；无风扇设计；包转发率≧105Mpps，交换容量≧6.72Tbps。</w:t>
            </w:r>
            <w:r/>
          </w:p>
        </w:tc>
        <w:tc>
          <w:tcPr>
            <w:tcW w:w="2997" w:type="dxa"/>
            <w:vAlign w:val="center"/>
            <w:textDirection w:val="lrTb"/>
            <w:noWrap w:val="false"/>
          </w:tcPr>
          <w:p>
            <w:pPr>
              <w:spacing w:line="320" w:lineRule="exact"/>
              <w:rPr>
                <w:rFonts w:hint="eastAsia" w:ascii="宋体" w:hAnsi="宋体" w:eastAsia="宋体" w:cs="宋体"/>
                <w:lang w:eastAsia="zh-CN"/>
              </w:rPr>
            </w:pPr>
            <w:r>
              <w:rPr>
                <w:rFonts w:hint="eastAsia" w:ascii="宋体" w:hAnsi="宋体" w:cs="宋体"/>
                <w:color w:val="000000"/>
              </w:rPr>
              <w:t xml:space="preserve">提供官网截图或者产品彩页或者检测报告原件扫描件，检测报告需提供检测机构有效CMA资质证书及与所涉检测项目对应《资质认定能力附表》所在页的扫描件，材料需并加盖投标人公章</w:t>
            </w:r>
            <w:r>
              <w:rPr>
                <w:rFonts w:hint="eastAsia" w:ascii="宋体" w:hAnsi="宋体" w:cs="宋体"/>
                <w:color w:val="000000"/>
                <w:lang w:eastAsia="zh-CN"/>
              </w:rPr>
              <w:t xml:space="preserve">。</w:t>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3</w:t>
            </w:r>
            <w:r/>
          </w:p>
        </w:tc>
        <w:tc>
          <w:tcPr>
            <w:tcW w:w="1699" w:type="dxa"/>
            <w:vAlign w:val="center"/>
            <w:vMerge w:val="restart"/>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24口光光接入设备</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★1.整机要求：包转发率≧171Mpps，交换容量≧6.72Tbps。</w:t>
            </w:r>
            <w:r/>
          </w:p>
        </w:tc>
        <w:tc>
          <w:tcPr>
            <w:tcW w:w="2997"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（提供官网截图或者产品彩页，材料需并加盖投标人公章）</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★3.支持PoE+供电，整机PoE功率≥370W</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（提供官网截图或者产品彩页，材料需并加盖投标人公章）</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rPr>
              <w:t xml:space="preserve">4</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auto"/>
              </w:rPr>
              <w:t xml:space="preserve">光模块</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配套全光网络、万兆</w:t>
            </w:r>
            <w:r>
              <w:rPr>
                <w:rFonts w:hint="eastAsia" w:asciiTheme="minorEastAsia" w:hAnsiTheme="minorEastAsia" w:eastAsiaTheme="minorEastAsia" w:cstheme="minorEastAsia"/>
                <w:color w:val="auto"/>
                <w:lang w:eastAsia="zh-CN"/>
              </w:rPr>
              <w:t xml:space="preserve">）</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光模块序列号官网可查。</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b/>
                <w:bCs/>
                <w:color w:val="auto"/>
              </w:rPr>
              <w:t xml:space="preserve">光模块序列号官网或者400或邮件方式可查,提供官网查询截图（含链接地址）或400电话号码或邮件地址。</w:t>
            </w:r>
            <w:r/>
          </w:p>
        </w:tc>
      </w:tr>
      <w:tr>
        <w:trPr/>
        <w:tc>
          <w:tcPr>
            <w:tcW w:w="586"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W w:w="169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rPr>
              <w:t xml:space="preserve">单模万兆光模块</w:t>
            </w:r>
            <w:r/>
          </w:p>
        </w:tc>
        <w:tc>
          <w:tcPr>
            <w:tcW w:w="3240" w:type="dxa"/>
            <w:vAlign w:val="center"/>
            <w:textDirection w:val="lrTb"/>
            <w:noWrap w:val="false"/>
          </w:tcPr>
          <w:p>
            <w:pPr>
              <w:jc w:val="left"/>
              <w:spacing w:line="400" w:lineRule="exact"/>
              <w:widowControl/>
              <w:rPr>
                <w:rFonts w:hint="eastAsia" w:ascii="宋体" w:hAnsi="宋体" w:cs="宋体"/>
                <w:color w:val="auto"/>
              </w:rPr>
            </w:pPr>
            <w:r>
              <w:rPr>
                <w:rFonts w:hint="eastAsia" w:asciiTheme="minorEastAsia" w:hAnsiTheme="minorEastAsia" w:eastAsiaTheme="minorEastAsia" w:cstheme="minorEastAsia"/>
                <w:color w:val="auto"/>
                <w:lang w:bidi="ar"/>
              </w:rPr>
              <w:t xml:space="preserve">★光收发一体模块SFP+ 万兆模块(1310nm、10km、LC)，光模块序列号官网可查。</w:t>
            </w:r>
            <w:r/>
          </w:p>
        </w:tc>
        <w:tc>
          <w:tcPr>
            <w:tcW w:w="2997" w:type="dxa"/>
            <w:vAlign w:val="center"/>
            <w:textDirection w:val="lrTb"/>
            <w:noWrap w:val="false"/>
          </w:tcPr>
          <w:p>
            <w:pPr>
              <w:spacing w:line="320" w:lineRule="exact"/>
              <w:rPr>
                <w:rFonts w:hint="eastAsia" w:ascii="宋体" w:hAnsi="宋体" w:cs="宋体"/>
                <w:b/>
                <w:bCs/>
                <w:color w:val="auto"/>
              </w:rPr>
            </w:pPr>
            <w:r>
              <w:rPr>
                <w:rFonts w:hint="eastAsia" w:asciiTheme="minorEastAsia" w:hAnsiTheme="minorEastAsia" w:eastAsiaTheme="minorEastAsia" w:cstheme="minorEastAsia"/>
                <w:b/>
                <w:bCs/>
                <w:color w:val="auto"/>
                <w:lang w:bidi="ar"/>
              </w:rPr>
              <w:t xml:space="preserve">光模块序列号官网或者400或邮件方式可查,提供官网查询截图（含链接地址）或400电话号码或邮件地址。</w:t>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6</w:t>
            </w:r>
            <w:r/>
          </w:p>
        </w:tc>
        <w:tc>
          <w:tcPr>
            <w:tcW w:w="1699" w:type="dxa"/>
            <w:vAlign w:val="center"/>
            <w:vMerge w:val="restart"/>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设备链路综合运维与安全管理</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★6.网络设备管理需提供授权不少于1250（有线设备720台、无线设备530台）个，哑终端授权不少于100个。现有设备和今后新增设备能接入平台。</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提供承诺函并加盖供应商公章</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color w:val="auto"/>
              </w:rPr>
              <w:t xml:space="preserve">★7.平台需能够运行在国产化服务器上，</w:t>
            </w:r>
            <w:r>
              <w:rPr>
                <w:rFonts w:hint="eastAsia" w:ascii="宋体" w:hAnsi="宋体" w:cs="宋体"/>
                <w:color w:val="auto"/>
                <w:lang w:val="en-US" w:eastAsia="zh-CN"/>
              </w:rPr>
              <w:t xml:space="preserve">实配</w:t>
            </w:r>
            <w:r>
              <w:rPr>
                <w:rFonts w:hint="eastAsia" w:asciiTheme="minorEastAsia" w:hAnsiTheme="minorEastAsia" w:eastAsiaTheme="minorEastAsia" w:cstheme="minorEastAsia"/>
                <w:color w:val="auto"/>
                <w:lang w:bidi="ar"/>
              </w:rPr>
              <w:t xml:space="preserve">符合信创要求的</w:t>
            </w:r>
            <w:r>
              <w:rPr>
                <w:rFonts w:hint="eastAsia" w:asciiTheme="minorEastAsia" w:hAnsiTheme="minorEastAsia" w:eastAsiaTheme="minorEastAsia" w:cstheme="minorEastAsia"/>
                <w:color w:val="auto"/>
                <w:lang w:val="en-US" w:eastAsia="zh-CN" w:bidi="ar"/>
              </w:rPr>
              <w:t xml:space="preserve">正版软件</w:t>
            </w:r>
            <w:r>
              <w:rPr>
                <w:rFonts w:hint="eastAsia" w:ascii="宋体" w:hAnsi="宋体" w:cs="宋体"/>
                <w:color w:val="auto"/>
              </w:rPr>
              <w:t xml:space="preserve">。</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提供承诺函并加盖供应商公章</w:t>
            </w:r>
            <w:r/>
          </w:p>
        </w:tc>
      </w:tr>
      <w:tr>
        <w:trPr/>
        <w:tc>
          <w:tcPr>
            <w:tcW w:w="0" w:type="auto"/>
            <w:vAlign w:val="center"/>
            <w:textDirection w:val="lrTb"/>
            <w:noWrap w:val="false"/>
          </w:tcPr>
          <w:p>
            <w:pPr>
              <w:jc w:val="center"/>
              <w:spacing w:line="320" w:lineRule="exact"/>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9</w:t>
            </w:r>
            <w:r/>
          </w:p>
        </w:tc>
        <w:tc>
          <w:tcPr>
            <w:tcW w:w="1699" w:type="dxa"/>
            <w:vAlign w:val="center"/>
            <w:textDirection w:val="lrTb"/>
            <w:noWrap w:val="false"/>
          </w:tcPr>
          <w:p>
            <w:pPr>
              <w:jc w:val="left"/>
              <w:spacing w:line="320" w:lineRule="exact"/>
              <w:widowControl/>
              <w:rPr>
                <w:rFonts w:hint="eastAsia" w:ascii="宋体" w:hAnsi="宋体" w:cs="宋体"/>
                <w:color w:val="auto"/>
              </w:rPr>
            </w:pPr>
            <w:r>
              <w:rPr>
                <w:rFonts w:hint="eastAsia" w:asciiTheme="minorEastAsia" w:hAnsiTheme="minorEastAsia" w:eastAsiaTheme="minorEastAsia" w:cstheme="minorEastAsia"/>
                <w:color w:val="auto"/>
              </w:rPr>
              <w:t xml:space="preserve">4芯单模软铠装室内光缆</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t xml:space="preserve">★7.提供承诺函，承诺所投产品符合GB/T 9771.3-2020或YD/T1258.4-2019或（ANSI/TIA-568-3.D-2016、ANSI/TIA-568-C.3-2008）等现行国家或行业标准针对室内光纤的要求，格式自拟。</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★7.提供承诺函，承诺所投产品符合GB/T 9771.3-2020或YD/T1258.4-2019或（ANSI/TIA-568-3.D-2016、ANSI/TIA-568-C.3-2008）等现行国家或行业标准针对室内光纤的要求，格式自拟。</w:t>
            </w:r>
            <w:r/>
          </w:p>
        </w:tc>
      </w:tr>
      <w:tr>
        <w:trPr/>
        <w:tc>
          <w:tcPr>
            <w:tcW w:w="586" w:type="dxa"/>
            <w:vAlign w:val="center"/>
            <w:vMerge w:val="restart"/>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20</w:t>
            </w:r>
            <w:r/>
          </w:p>
        </w:tc>
        <w:tc>
          <w:tcPr>
            <w:tcW w:w="1699" w:type="dxa"/>
            <w:vAlign w:val="center"/>
            <w:vMerge w:val="restart"/>
            <w:textDirection w:val="lrTb"/>
            <w:noWrap w:val="false"/>
          </w:tcPr>
          <w:p>
            <w:pPr>
              <w:jc w:val="center"/>
              <w:spacing w:line="320" w:lineRule="exact"/>
              <w:widowControl/>
              <w:rPr>
                <w:rFonts w:hint="eastAsia" w:ascii="宋体" w:hAnsi="宋体" w:cs="宋体"/>
              </w:rPr>
            </w:pPr>
            <w:r>
              <w:rPr>
                <w:rFonts w:hint="eastAsia" w:asciiTheme="minorEastAsia" w:hAnsiTheme="minorEastAsia" w:eastAsiaTheme="minorEastAsia" w:cstheme="minorEastAsia"/>
              </w:rPr>
              <w:t xml:space="preserve">六类网线</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★1.线规：6类电缆（250MHz），23AWG、导体材料为纯度不低于99.9%实心无氧铜（OFC），线芯：带十字芯骨架。</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lang w:bidi="ar"/>
              </w:rPr>
              <w:t xml:space="preserve">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3.提供所投六类非屏蔽低烟无卤双绞线不少于以下技术参数的检测报告：单根导体直流电阻、近端串音衰减(NEXT)、近端串音衰减功率和（PSNEXT）、衰减远端串音比功率和(PSACR-F)、特性阻抗(Zm)、回波损耗（ReturnLoss）。</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lang w:bidi="ar"/>
              </w:rPr>
              <w:t xml:space="preserve">提供所投产品的检测报告原件扫描件（依据YD/T1019-2023等现行国家或行业标准），检测报告数量不作要求；按第四章商务要求（其他要求的第2条）中明确的要求、提供相关佐证材料。</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★6.提供承诺函，承诺所投产品符合YD/T1019-2023等现行国家或行业标准针对双绞多芯对称电缆的要求，格式自拟。</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lang w:bidi="ar"/>
              </w:rPr>
              <w:t xml:space="preserve">★6.提供承诺函，承诺所投产品符合YD/T1019-2023等现行国家或行业标准针对双绞多芯对称电缆的要求，格式自拟。</w:t>
            </w:r>
            <w:r/>
          </w:p>
        </w:tc>
      </w:tr>
      <w:tr>
        <w:trPr/>
        <w:tc>
          <w:tcPr>
            <w:tcW w:w="0" w:type="auto"/>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23</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单口面板</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w:t>
            </w:r>
            <w:r>
              <w:rPr>
                <w:rFonts w:hint="eastAsia" w:asciiTheme="minorEastAsia" w:hAnsiTheme="minorEastAsia" w:eastAsiaTheme="minorEastAsia" w:cstheme="minorEastAsia"/>
                <w:b/>
                <w:bCs/>
                <w:lang w:bidi="ar"/>
              </w:rPr>
              <w:t xml:space="preserve">4.所投产品符合GB 20286-2006公共场所阻燃制品及组件燃烧性能要求和标识规定的不低于FV-1级要求。</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lang w:bidi="ar"/>
              </w:rPr>
              <w:t xml:space="preserve">提供检测报告，检测依据应符合相关标准（依据标准GB/T2408-2021，检测垂直燃烧试验的面板单体）并按第四章商务要求（其他要求的第2条）中明确的要求、提供相关佐证材料。</w:t>
            </w:r>
            <w:r/>
          </w:p>
        </w:tc>
      </w:tr>
      <w:tr>
        <w:trPr/>
        <w:tc>
          <w:tcPr>
            <w:tcW w:w="0" w:type="auto"/>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24</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双口面板</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w:t>
            </w:r>
            <w:r>
              <w:rPr>
                <w:rFonts w:hint="eastAsia" w:asciiTheme="minorEastAsia" w:hAnsiTheme="minorEastAsia" w:eastAsiaTheme="minorEastAsia" w:cstheme="minorEastAsia"/>
                <w:b/>
                <w:bCs/>
                <w:lang w:bidi="ar"/>
              </w:rPr>
              <w:t xml:space="preserve">4.所投产品符合GB 20286-2006公共场所阻燃制品及组件燃烧性能要求和标识规定的不低于FV-1级要求。</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lang w:bidi="ar"/>
              </w:rPr>
              <w:t xml:space="preserve">提供检测报告，检测依据应符合相关标准（依据标准GB/T2408-2021，检测垂直燃烧试验的面板单体）并按第四章商务要求（其他要求的第2条）中明确的要求、提供相关佐证材料。</w:t>
            </w:r>
            <w:r/>
          </w:p>
        </w:tc>
      </w:tr>
      <w:tr>
        <w:trPr/>
        <w:tc>
          <w:tcPr>
            <w:tcW w:w="0" w:type="auto"/>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9</w:t>
            </w:r>
            <w:r/>
          </w:p>
        </w:tc>
        <w:tc>
          <w:tcPr>
            <w:tcW w:w="1699" w:type="dxa"/>
            <w:vAlign w:val="center"/>
            <w:textDirection w:val="lrTb"/>
            <w:noWrap w:val="false"/>
          </w:tcPr>
          <w:p>
            <w:pPr>
              <w:jc w:val="center"/>
              <w:spacing w:line="320" w:lineRule="exact"/>
              <w:widowControl/>
              <w:rPr>
                <w:rFonts w:hint="eastAsia" w:ascii="宋体" w:hAnsi="宋体" w:cs="宋体"/>
                <w:color w:val="auto"/>
              </w:rPr>
            </w:pPr>
            <w:r>
              <w:rPr>
                <w:rFonts w:hint="eastAsia" w:asciiTheme="minorEastAsia" w:hAnsiTheme="minorEastAsia" w:eastAsiaTheme="minorEastAsia" w:cstheme="minorEastAsia"/>
                <w:color w:val="auto"/>
              </w:rPr>
              <w:t xml:space="preserve">六类模块</w:t>
            </w:r>
            <w:r/>
          </w:p>
        </w:tc>
        <w:tc>
          <w:tcPr>
            <w:tcW w:w="3240" w:type="dxa"/>
            <w:vAlign w:val="center"/>
            <w:textDirection w:val="lrTb"/>
            <w:noWrap w:val="false"/>
          </w:tcPr>
          <w:p>
            <w:pPr>
              <w:jc w:val="left"/>
              <w:spacing w:line="320" w:lineRule="exact"/>
              <w:widowControl/>
              <w:rPr>
                <w:rFonts w:hint="eastAsia" w:ascii="宋体" w:hAnsi="宋体" w:cs="宋体"/>
                <w:color w:val="auto"/>
              </w:rPr>
            </w:pPr>
            <w:r>
              <w:rPr>
                <w:rFonts w:hint="eastAsia" w:asciiTheme="minorEastAsia" w:hAnsiTheme="minorEastAsia" w:eastAsiaTheme="minorEastAsia" w:cstheme="minorEastAsia"/>
                <w:color w:val="auto"/>
                <w:sz w:val="21"/>
                <w:szCs w:val="21"/>
                <w:lang w:bidi="ar"/>
              </w:rPr>
              <w:t xml:space="preserve">★6.与6类非屏蔽双绞线所组成的永久链路，其电气性能应符合GB/T50312-2016或ANSI/TIA-568.2-D:2018或TIA/EIA-568.2-D:2018或ISO/IEC11801-1现行国家或行业标准的规定。</w:t>
            </w:r>
            <w:r/>
          </w:p>
        </w:tc>
        <w:tc>
          <w:tcPr>
            <w:tcW w:w="2997" w:type="dxa"/>
            <w:vAlign w:val="center"/>
            <w:textDirection w:val="lrTb"/>
            <w:noWrap w:val="false"/>
          </w:tcPr>
          <w:p>
            <w:pPr>
              <w:spacing w:line="320" w:lineRule="exact"/>
              <w:rPr>
                <w:rFonts w:hint="eastAsia" w:ascii="宋体" w:hAnsi="宋体" w:cs="宋体"/>
                <w:color w:val="auto"/>
              </w:rPr>
            </w:pPr>
            <w:r>
              <w:rPr>
                <w:rFonts w:hint="eastAsia" w:asciiTheme="minorEastAsia" w:hAnsiTheme="minorEastAsia" w:eastAsiaTheme="minorEastAsia" w:cstheme="minorEastAsia"/>
                <w:b/>
                <w:bCs/>
                <w:color w:val="auto"/>
                <w:sz w:val="21"/>
                <w:szCs w:val="21"/>
                <w:lang w:bidi="ar"/>
              </w:rPr>
              <w:t xml:space="preserve">所投产品应符合相关标准（GB/T50312-2016或ANSI/TIA-568.2-D:2018或TIA/EIA-568.2-D:2018或ISO/IEC11801-1标准），提供检测报告或承诺函（格式自拟）。提供检测报告的，检测依据应符合相关标准（GB/T50312-2016或ANSI/TIA-568.2-D:2018或TIA/EIA-568.2-D:2018或ISO/IEC11801-1标准）并按第四章商务要求（其他要求的第2条）中明确的要求、提供相关佐证材料。</w:t>
            </w:r>
            <w:r/>
          </w:p>
        </w:tc>
      </w:tr>
      <w:tr>
        <w:trPr/>
        <w:tc>
          <w:tcPr>
            <w:tcW w:w="0" w:type="auto"/>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32</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48芯室外单模光缆</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r>
      <w:tr>
        <w:trPr/>
        <w:tc>
          <w:tcPr>
            <w:tcW w:w="0" w:type="auto"/>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33</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144芯室外单模光缆</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r>
      <w:tr>
        <w:trPr/>
        <w:tc>
          <w:tcPr>
            <w:tcW w:w="586" w:type="dxa"/>
            <w:vAlign w:val="center"/>
            <w:textDirection w:val="lrTb"/>
            <w:noWrap w:val="false"/>
          </w:tcPr>
          <w:p>
            <w:pPr>
              <w:jc w:val="center"/>
              <w:spacing w:line="320" w:lineRule="exact"/>
              <w:widowControl/>
              <w:rPr>
                <w:rFonts w:hint="default" w:asciiTheme="minorEastAsia" w:hAnsiTheme="minorEastAsia" w:eastAsiaTheme="minorEastAsia" w:cstheme="minorEastAsia"/>
                <w:lang w:val="en-US" w:eastAsia="zh-CN" w:bidi="ar"/>
              </w:rPr>
            </w:pPr>
            <w:r>
              <w:rPr>
                <w:rFonts w:hint="default" w:asciiTheme="minorEastAsia" w:hAnsiTheme="minorEastAsia" w:eastAsiaTheme="minorEastAsia" w:cstheme="minorEastAsia"/>
                <w:lang w:val="en-US" w:eastAsia="zh-CN" w:bidi="ar"/>
              </w:rPr>
            </w:r>
            <w:r/>
          </w:p>
        </w:tc>
        <w:tc>
          <w:tcPr>
            <w:tcW w:w="1699" w:type="dxa"/>
            <w:vAlign w:val="center"/>
            <w:textDirection w:val="lrTb"/>
            <w:noWrap w:val="false"/>
          </w:tcPr>
          <w:p>
            <w:pPr>
              <w:jc w:val="left"/>
              <w:spacing w:line="320" w:lineRule="exact"/>
              <w:widowControl/>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检测报告要求</w:t>
            </w:r>
            <w:r/>
          </w:p>
        </w:tc>
        <w:tc>
          <w:tcPr>
            <w:tcW w:w="3240" w:type="dxa"/>
            <w:vAlign w:val="center"/>
            <w:textDirection w:val="lrTb"/>
            <w:noWrap w:val="false"/>
          </w:tcPr>
          <w:p>
            <w:pPr>
              <w:spacing w:line="320" w:lineRule="exact"/>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投标人关于检测报告合规性的承诺函</w:t>
            </w:r>
            <w:r/>
          </w:p>
        </w:tc>
        <w:tc>
          <w:tcPr>
            <w:tcW w:w="2997" w:type="dxa"/>
            <w:vAlign w:val="center"/>
            <w:textDirection w:val="lrTb"/>
            <w:noWrap w:val="false"/>
          </w:tcPr>
          <w:p>
            <w:pPr>
              <w:spacing w:line="320" w:lineRule="exact"/>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提供投标人关于检测报告合规性的承诺函（实质性格式，格式详见附件）</w:t>
            </w:r>
            <w:r/>
          </w:p>
        </w:tc>
      </w:tr>
    </w:tbl>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6"/>
        </w:num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样品及演示要求：</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6"/>
        </w:numPr>
        <w:spacing w:line="276" w:lineRule="auto"/>
        <w:rPr>
          <w:rFonts w:hint="eastAsia" w:asciiTheme="minorEastAsia" w:hAnsiTheme="minorEastAsia" w:eastAsiaTheme="minorEastAsia" w:cstheme="minorEastAsia"/>
          <w:b/>
          <w:bCs/>
          <w:sz w:val="24"/>
        </w:rPr>
      </w:pPr>
      <w:r/>
      <w:bookmarkStart w:id="209" w:name="_Toc7880"/>
      <w:r>
        <w:rPr>
          <w:rFonts w:hint="eastAsia" w:asciiTheme="minorEastAsia" w:hAnsiTheme="minorEastAsia" w:eastAsiaTheme="minorEastAsia" w:cstheme="minorEastAsia"/>
          <w:b/>
          <w:bCs/>
          <w:sz w:val="24"/>
        </w:rPr>
        <w:t xml:space="preserve">采购标的对应的中小企业划分标准所属行业一览表</w:t>
      </w:r>
      <w:r/>
    </w:p>
    <w:tbl>
      <w:tblPr>
        <w:tblStyle w:val="802"/>
        <w:tblW w:w="8319" w:type="dxa"/>
        <w:tblInd w:w="102" w:type="dxa"/>
        <w:tblLayout w:type="autofit"/>
        <w:tblCellMar>
          <w:left w:w="108" w:type="dxa"/>
          <w:top w:w="0" w:type="dxa"/>
          <w:right w:w="108" w:type="dxa"/>
          <w:bottom w:w="0" w:type="dxa"/>
        </w:tblCellMar>
        <w:tblLook w:val="04A0" w:firstRow="1" w:lastRow="0" w:firstColumn="1" w:lastColumn="0" w:noHBand="0" w:noVBand="1"/>
      </w:tblPr>
      <w:tblGrid>
        <w:gridCol w:w="878"/>
        <w:gridCol w:w="5046"/>
        <w:gridCol w:w="2395"/>
      </w:tblGrid>
      <w:tr>
        <w:trPr>
          <w:trHeight w:val="340"/>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5046" w:type="dxa"/>
            <w:vAlign w:val="center"/>
            <w:textDirection w:val="lrTb"/>
            <w:noWrap w:val="false"/>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采购标的</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对应中小企业划分标准所属行业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bookmarkStart w:id="210" w:name="_Hlk227664755"/>
            <w:r>
              <w:rPr>
                <w:rFonts w:hint="eastAsia" w:asciiTheme="minorEastAsia" w:hAnsiTheme="minorEastAsia" w:eastAsiaTheme="minorEastAsia" w:cstheme="minorEastAsia"/>
                <w:color w:val="auto"/>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以太光汇聚交换机机（核心产品）</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8口光接入设备</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24口光光接入设备</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光模块</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单模万兆光模块</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bookmarkEnd w:id="210"/>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设备链路综合运维与安全管理</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软件和信息技术服务业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4芯单模软铠装室内光缆</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单开门多媒体箱</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双开门多媒体箱</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机柜</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4口熔接盒</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法兰盘</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单芯尾纤</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LC-LC-60公分-普通-单模光纤跳线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LC-LC-1米-可寻线-单模光纤跳线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LC-LC-5米-可寻线-单模光纤跳线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LC-LC-10米-可寻线-单模光纤跳线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六类网线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六类水晶头</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阴阳式衰减器</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单口面板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双口面板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六类模块</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明装配电箱</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RVV3*1</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C32/断路器/D</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C16/断路器/D</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86明盒</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辅材线槽</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48芯室外单模铠装光缆</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144芯室外单模铠装光缆</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34</w:t>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LC单芯尾纤</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35</w:t>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LC-LC-5米-可寻线-单模光纤跳线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36</w:t>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桥架线管</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设备拆除</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光纤链路测试</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rPr>
                <w:rFonts w:hint="eastAsia" w:asciiTheme="minorEastAsia" w:hAnsiTheme="minorEastAsia" w:eastAsiaTheme="minorEastAsia" w:cstheme="minorEastAsia"/>
                <w:color w:val="auto"/>
              </w:rPr>
            </w:pPr>
            <w:r>
              <w:rPr>
                <w:rFonts w:hint="eastAsia" w:ascii="宋体" w:hAnsi="宋体" w:cs="宋体"/>
                <w:color w:val="auto"/>
              </w:rPr>
              <w:t xml:space="preserve">其他未列明行业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铜缆链路测试</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宋体" w:hAnsi="宋体" w:cs="宋体"/>
                <w:color w:val="auto"/>
              </w:rPr>
              <w:t xml:space="preserve">其他未列明行业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光纤熔接</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宋体" w:hAnsi="宋体" w:cs="宋体"/>
                <w:color w:val="auto"/>
              </w:rPr>
              <w:t xml:space="preserve">其他未列明行业</w:t>
            </w:r>
            <w:r/>
          </w:p>
        </w:tc>
      </w:tr>
    </w:tbl>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第五章  </w:t>
      </w:r>
      <w:r>
        <w:rPr>
          <w:rFonts w:hint="eastAsia" w:asciiTheme="minorEastAsia" w:hAnsiTheme="minorEastAsia" w:eastAsiaTheme="minorEastAsia" w:cstheme="minorEastAsia"/>
          <w:b/>
          <w:bCs/>
          <w:sz w:val="44"/>
        </w:rPr>
        <w:t xml:space="preserve">评标方法与评标标准</w:t>
      </w:r>
      <w:bookmarkEnd w:id="209"/>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43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79"/>
        <w:ind w:firstLine="441"/>
        <w:spacing w:line="4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政府采购政策功能落实</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1、小微型企业价格扣除</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（1）本项目对全部采用小型和微型企业产品投标的给予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的扣除价格，用扣除后的价格参与评审。如果供应商提供的货物既有小、微企业制造货物，也有大、中型企业制造货物的，不享受小微型企业价格扣除政策。</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（2）供应商需按照采购文件的要求提供相应的《小微企业声明函》。</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（3）企业标准请参照《关于印发中小企业划型标准规定的通知》（工信部联企业[2011]300号）文件规定自行填写。</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2、残疾人福利单位价格扣除</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（1）本项目对残疾人福利性单位视同小型、微型企业，给予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（2）残疾人福利单位需按照采购文件的要求提供《残疾人福利性单位声明函》。</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（3）残疾人福利单位标准请参照《关于促进残疾人就业政府采购政策的通知》（财库〔2017〕141号）。</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3、监狱和戒毒企业价格扣除</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（1）本项目对监狱和戒毒企业（简称监狱企业）视同小型、微型企业，给予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（3）监狱企业标准请参照《关于政府采购支持监狱企业发展有关问题的通知》（财库[2014]68号）。</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4、残疾人福利单位、监狱企业属于小型、微型企业的，不重复享受政策。</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5、采购本国产品的支持政策</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 本项目政府采购活动中既有本国产品又有非本国产品参与竞争的，依法对本国产品给予价格评审优惠，对本国产品的报价给予 20%的价格扣除，用扣除后的价格参与评审。</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 供应商需按照招标文件的要求提供《关于符合本国产品标准的声明函》（以下简称《声明函》），如不提供将不享受本国产品价格评审优惠。</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211" w:name="OLE_LINK1"/>
      <w:r/>
      <w:bookmarkStart w:id="212" w:name="OLE_LINK2"/>
      <w:r/>
      <w:bookmarkEnd w:id="211"/>
      <w:r/>
      <w:bookmarkEnd w:id="212"/>
      <w:r/>
      <w:r/>
    </w:p>
    <w:p>
      <w:pPr>
        <w:pStyle w:val="1079"/>
        <w:spacing w:line="0" w:lineRule="atLeas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评标方法与评标标准</w:t>
      </w:r>
      <w:r/>
    </w:p>
    <w:tbl>
      <w:tblPr>
        <w:tblStyle w:val="80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0"/>
        <w:gridCol w:w="1348"/>
        <w:gridCol w:w="3773"/>
        <w:gridCol w:w="687"/>
        <w:gridCol w:w="687"/>
        <w:gridCol w:w="687"/>
        <w:gridCol w:w="687"/>
      </w:tblGrid>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bookmarkStart w:id="213" w:name="_Toc3874"/>
            <w:r/>
            <w:bookmarkStart w:id="250" w:name="_GoBack"/>
            <w:r>
              <w:rPr>
                <w:rFonts w:hint="eastAsia" w:asciiTheme="minorEastAsia" w:hAnsiTheme="minorEastAsia" w:eastAsiaTheme="minorEastAsia" w:cs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最低分值</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最高分值</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asciiTheme="minorEastAsia" w:hAnsiTheme="minorEastAsia" w:eastAsiaTheme="minorEastAsia" w:cstheme="minorEastAsia"/>
                <w:b/>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asciiTheme="minorEastAsia" w:hAnsiTheme="minorEastAsia" w:eastAsiaTheme="minorEastAsia" w:cstheme="minorEastAsia"/>
                <w:b/>
              </w:rPr>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lang w:bidi="ar"/>
              </w:rPr>
              <w:t xml:space="preserve">采用低价优先法计算，即满足招标文件要求且投标价格最低的投标报价为评标基准价，其价格分为满分。其他投标人的价格分统一按照下列公式计算：</w:t>
            </w:r>
            <w:bookmarkStart w:id="214" w:name="OLE_LINK36"/>
            <w:r/>
            <w:bookmarkStart w:id="215" w:name="OLE_LINK35"/>
            <w:r>
              <w:rPr>
                <w:rFonts w:hint="eastAsia" w:asciiTheme="minorEastAsia" w:hAnsiTheme="minorEastAsia" w:eastAsiaTheme="minorEastAsia" w:cstheme="minorEastAsia"/>
                <w:lang w:bidi="ar"/>
              </w:rPr>
              <w:t xml:space="preserve">投标报价得分=(评标基准价／投标报价)×价格权值×100</w:t>
            </w:r>
            <w:bookmarkEnd w:id="214"/>
            <w:r/>
            <w:bookmarkEnd w:id="215"/>
            <w:r>
              <w:rPr>
                <w:rFonts w:hint="eastAsia" w:asciiTheme="minorEastAsia" w:hAnsiTheme="minorEastAsia" w:eastAsiaTheme="minorEastAsia" w:cstheme="minorEastAsia"/>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35</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最低分值</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最高分值</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是否暗标评审</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技术分</w:t>
            </w:r>
            <w:r/>
          </w:p>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下列（2.1，2.2，2.3</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en-US" w:eastAsia="zh-CN"/>
              </w:rPr>
              <w:t xml:space="preserve">2.4</w:t>
            </w:r>
            <w:r>
              <w:rPr>
                <w:rFonts w:hint="eastAsia" w:asciiTheme="minorEastAsia" w:hAnsiTheme="minorEastAsia" w:eastAsiaTheme="minorEastAsia" w:cstheme="minorEastAsia"/>
                <w:b/>
                <w:bCs/>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asciiTheme="minorEastAsia" w:hAnsiTheme="minorEastAsia" w:eastAsiaTheme="minorEastAsia" w:cstheme="minorEastAsia"/>
                <w:b/>
                <w:bCs/>
              </w:rPr>
              <w:t xml:space="preserve">1</w:t>
            </w:r>
            <w:r>
              <w:rPr>
                <w:rFonts w:hint="eastAsia" w:asciiTheme="minorEastAsia" w:hAnsiTheme="minorEastAsia" w:eastAsiaTheme="minorEastAsia" w:cstheme="minorEastAsia"/>
                <w:b/>
                <w:bCs/>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lang w:bidi="ar"/>
              </w:rPr>
              <w:t xml:space="preserve">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根据本项目的特点，提供详细方案，包含：①</w:t>
            </w:r>
            <w:bookmarkStart w:id="216" w:name="OLE_LINK37"/>
            <w:r/>
            <w:bookmarkStart w:id="217" w:name="OLE_LINK31"/>
            <w:r>
              <w:rPr>
                <w:rFonts w:hint="eastAsia" w:asciiTheme="minorEastAsia" w:hAnsiTheme="minorEastAsia" w:eastAsiaTheme="minorEastAsia" w:cstheme="minorEastAsia"/>
              </w:rPr>
              <w:t xml:space="preserve">现场勘察报告</w:t>
            </w:r>
            <w:bookmarkEnd w:id="216"/>
            <w:r/>
            <w:bookmarkEnd w:id="217"/>
            <w:r>
              <w:rPr>
                <w:rFonts w:hint="eastAsia" w:asciiTheme="minorEastAsia" w:hAnsiTheme="minorEastAsia" w:eastAsiaTheme="minorEastAsia" w:cstheme="minorEastAsia"/>
              </w:rPr>
              <w:t xml:space="preserve">；②网络技术方案；③网络改造拓扑图；④现有核心交换机、华为</w:t>
            </w:r>
            <w:r>
              <w:rPr>
                <w:rFonts w:asciiTheme="minorEastAsia" w:hAnsiTheme="minorEastAsia" w:eastAsiaTheme="minorEastAsia" w:cstheme="minorEastAsia"/>
              </w:rPr>
              <w:t xml:space="preserve">ME60</w:t>
            </w:r>
            <w:r>
              <w:rPr>
                <w:rFonts w:hint="eastAsia" w:asciiTheme="minorEastAsia" w:hAnsiTheme="minorEastAsia" w:eastAsiaTheme="minorEastAsia" w:cstheme="minorEastAsia"/>
              </w:rPr>
              <w:t xml:space="preserve">等设备利旧方案及调试策略配置；⑤整体网络割接五个方面，</w:t>
            </w:r>
            <w:r>
              <w:rPr>
                <w:rFonts w:hAnsi="宋体" w:cs="宋体"/>
              </w:rPr>
              <w:t xml:space="preserve">结合以上要求，分为以下</w:t>
            </w:r>
            <w:r>
              <w:rPr>
                <w:rFonts w:hint="eastAsia" w:hAnsi="宋体" w:cs="宋体"/>
              </w:rPr>
              <w:t xml:space="preserve">三</w:t>
            </w:r>
            <w:r>
              <w:rPr>
                <w:rFonts w:hAnsi="宋体" w:cs="宋体"/>
              </w:rPr>
              <w:t xml:space="preserve">个等级：</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1.技术方案完整，现场勘察报告详细掌握学校真实环境，</w:t>
            </w:r>
            <w:r>
              <w:rPr>
                <w:rFonts w:hint="eastAsia" w:ascii="宋体" w:hAnsi="宋体" w:cs="宋体"/>
              </w:rPr>
              <w:t xml:space="preserve">对项目中的特点、重点和难点有详细阐述，</w:t>
            </w:r>
            <w:r>
              <w:rPr>
                <w:rFonts w:hint="eastAsia" w:asciiTheme="minorEastAsia" w:hAnsiTheme="minorEastAsia" w:eastAsiaTheme="minorEastAsia" w:cstheme="minorEastAsia"/>
              </w:rPr>
              <w:t xml:space="preserve">针对性强，细节完善，得</w:t>
            </w:r>
            <w:r>
              <w:rPr>
                <w:rFonts w:asciiTheme="minorEastAsia" w:hAnsiTheme="minorEastAsia" w:eastAsiaTheme="minorEastAsia" w:cstheme="minorEastAsia"/>
              </w:rPr>
              <w:t xml:space="preserve">5</w:t>
            </w:r>
            <w:r>
              <w:rPr>
                <w:rFonts w:hint="eastAsia" w:asciiTheme="minorEastAsia" w:hAnsiTheme="minorEastAsia" w:eastAsiaTheme="minorEastAsia" w:cstheme="minorEastAsia"/>
              </w:rPr>
              <w:t xml:space="preserve">-</w:t>
            </w:r>
            <w:r>
              <w:rPr>
                <w:rFonts w:asciiTheme="minorEastAsia" w:hAnsiTheme="minorEastAsia" w:eastAsiaTheme="minorEastAsia" w:cstheme="minorEastAsia"/>
              </w:rPr>
              <w:t xml:space="preserve">6</w:t>
            </w:r>
            <w:r>
              <w:rPr>
                <w:rFonts w:hint="eastAsia" w:asciiTheme="minorEastAsia" w:hAnsiTheme="minorEastAsia" w:eastAsiaTheme="minorEastAsia" w:cstheme="minorEastAsia"/>
              </w:rPr>
              <w:t xml:space="preserve">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bookmarkStart w:id="218" w:name="OLE_LINK32"/>
            <w:r>
              <w:rPr>
                <w:rFonts w:hint="eastAsia" w:asciiTheme="minorEastAsia" w:hAnsiTheme="minorEastAsia" w:eastAsiaTheme="minorEastAsia" w:cstheme="minorEastAsia"/>
              </w:rPr>
              <w:t xml:space="preserve">技术方案完整，细节简单，基本符合项目需求，得</w:t>
            </w:r>
            <w:r>
              <w:rPr>
                <w:rFonts w:asciiTheme="minorEastAsia" w:hAnsiTheme="minorEastAsia" w:eastAsiaTheme="minorEastAsia" w:cstheme="minorEastAsia"/>
              </w:rPr>
              <w:t xml:space="preserve">3</w:t>
            </w:r>
            <w:r>
              <w:rPr>
                <w:rFonts w:hint="eastAsia" w:asciiTheme="minorEastAsia" w:hAnsiTheme="minorEastAsia" w:eastAsiaTheme="minorEastAsia" w:cstheme="minorEastAsia"/>
              </w:rPr>
              <w:t xml:space="preserve">-</w:t>
            </w:r>
            <w:r>
              <w:rPr>
                <w:rFonts w:asciiTheme="minorEastAsia" w:hAnsiTheme="minorEastAsia" w:eastAsiaTheme="minorEastAsia" w:cstheme="minorEastAsia"/>
              </w:rPr>
              <w:t xml:space="preserve">4</w:t>
            </w:r>
            <w:r>
              <w:rPr>
                <w:rFonts w:hint="eastAsia" w:asciiTheme="minorEastAsia" w:hAnsiTheme="minorEastAsia" w:eastAsiaTheme="minorEastAsia" w:cstheme="minorEastAsia"/>
              </w:rPr>
              <w:t xml:space="preserve">分；</w:t>
            </w:r>
            <w:bookmarkEnd w:id="218"/>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3. 技术方案不完整，针对性一般，得1-2分；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未提供不得分。</w:t>
            </w:r>
            <w:r>
              <w:rPr>
                <w:rFonts w:asciiTheme="minorEastAsia" w:hAnsiTheme="minorEastAsia" w:eastAsiaTheme="minorEastAsia" w:cstheme="minorEastAsi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6</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cstheme="minorEastAsia"/>
              </w:rPr>
            </w:pPr>
            <w:r>
              <w:rPr>
                <w:rFonts w:hint="eastAsia" w:ascii="宋体" w:hAnsi="宋体" w:cs="宋体"/>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根据招标文件的要求，详细说明在每一个环节中具体做法，</w:t>
            </w:r>
            <w:r>
              <w:rPr>
                <w:rFonts w:hint="eastAsia" w:asciiTheme="minorEastAsia" w:hAnsiTheme="minorEastAsia" w:eastAsiaTheme="minorEastAsia" w:cstheme="minorEastAsia"/>
                <w:color w:val="auto"/>
              </w:rPr>
              <w:t xml:space="preserve">包含①楼宇设备点位图（需包含设备点位位置、主干光纤点位及弱电间位置等）</w:t>
            </w:r>
            <w:r>
              <w:rPr>
                <w:rFonts w:hint="eastAsia" w:asciiTheme="minorEastAsia" w:hAnsiTheme="minorEastAsia" w:eastAsiaTheme="minorEastAsia" w:cstheme="minorEastAsia"/>
              </w:rPr>
              <w:t xml:space="preserve">；②工作进度计划和</w:t>
            </w:r>
            <w:r>
              <w:rPr>
                <w:rFonts w:hAnsi="宋体" w:cs="宋体"/>
              </w:rPr>
              <w:t xml:space="preserve">人员的合理配备</w:t>
            </w:r>
            <w:r>
              <w:rPr>
                <w:rFonts w:hint="eastAsia" w:asciiTheme="minorEastAsia" w:hAnsiTheme="minorEastAsia" w:eastAsiaTheme="minorEastAsia" w:cstheme="minorEastAsia"/>
              </w:rPr>
              <w:t xml:space="preserve">；③项目进度质量保证措施；④</w:t>
            </w:r>
            <w:bookmarkStart w:id="219" w:name="OLE_LINK14"/>
            <w:r/>
            <w:bookmarkStart w:id="220" w:name="OLE_LINK8"/>
            <w:r>
              <w:rPr>
                <w:rFonts w:hint="eastAsia" w:asciiTheme="minorEastAsia" w:hAnsiTheme="minorEastAsia" w:eastAsiaTheme="minorEastAsia" w:cstheme="minorEastAsia"/>
              </w:rPr>
              <w:t xml:space="preserve">提供</w:t>
            </w:r>
            <w:bookmarkStart w:id="221" w:name="OLE_LINK42"/>
            <w:r/>
            <w:bookmarkStart w:id="222" w:name="OLE_LINK41"/>
            <w:r>
              <w:rPr>
                <w:rFonts w:hint="eastAsia" w:asciiTheme="minorEastAsia" w:hAnsiTheme="minorEastAsia" w:eastAsiaTheme="minorEastAsia" w:cstheme="minorEastAsia"/>
              </w:rPr>
              <w:t xml:space="preserve">典型场景施工方案</w:t>
            </w:r>
            <w:bookmarkEnd w:id="221"/>
            <w:r/>
            <w:bookmarkEnd w:id="222"/>
            <w:r>
              <w:rPr>
                <w:rFonts w:hint="eastAsia" w:asciiTheme="minorEastAsia" w:hAnsiTheme="minorEastAsia" w:eastAsiaTheme="minorEastAsia" w:cstheme="minorEastAsia"/>
              </w:rPr>
              <w:t xml:space="preserve">及点位示意图</w:t>
            </w:r>
            <w:bookmarkEnd w:id="219"/>
            <w:r/>
            <w:bookmarkEnd w:id="220"/>
            <w:r>
              <w:rPr>
                <w:rFonts w:hint="eastAsia" w:asciiTheme="minorEastAsia" w:hAnsiTheme="minorEastAsia" w:eastAsiaTheme="minorEastAsia" w:cstheme="minorEastAsia"/>
              </w:rPr>
              <w:t xml:space="preserve">；⑤对不可预见因素的预测及解决方案五个方面，</w:t>
            </w:r>
            <w:r>
              <w:rPr>
                <w:rFonts w:hAnsi="宋体" w:cs="宋体"/>
              </w:rPr>
              <w:t xml:space="preserve">结合以上要求，分为以下</w:t>
            </w:r>
            <w:r>
              <w:rPr>
                <w:rFonts w:hint="eastAsia" w:hAnsi="宋体" w:cs="宋体"/>
              </w:rPr>
              <w:t xml:space="preserve">三</w:t>
            </w:r>
            <w:r>
              <w:rPr>
                <w:rFonts w:hAnsi="宋体" w:cs="宋体"/>
              </w:rPr>
              <w:t xml:space="preserve">个等级</w:t>
            </w:r>
            <w:r>
              <w:rPr>
                <w:rFonts w:hint="eastAsia" w:hAnsi="宋体" w:cs="宋体"/>
              </w:rPr>
              <w:t xml:space="preserve">：</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1.实施方案完整合理，针对性强，细节完善，</w:t>
            </w:r>
            <w:r>
              <w:rPr>
                <w:rFonts w:hint="eastAsia" w:ascii="宋体" w:hAnsi="宋体" w:cs="宋体"/>
              </w:rPr>
              <w:t xml:space="preserve">对项目中的特点、重点和难点有详细阐述，</w:t>
            </w:r>
            <w:r>
              <w:rPr>
                <w:rFonts w:hint="eastAsia" w:asciiTheme="minorEastAsia" w:hAnsiTheme="minorEastAsia" w:eastAsiaTheme="minorEastAsia" w:cstheme="minorEastAsia"/>
              </w:rPr>
              <w:t xml:space="preserve">楼宇设备点位图（需包含设备点位位置、主干光纤点位及弱电间位置等）准确无误，</w:t>
            </w:r>
            <w:r>
              <w:rPr>
                <w:rFonts w:hint="eastAsia" w:ascii="宋体" w:hAnsi="宋体" w:cs="宋体"/>
              </w:rPr>
              <w:t xml:space="preserve">施工过程规范，人员配备合理，有严格完备的质量监控程序，</w:t>
            </w:r>
            <w:r>
              <w:rPr>
                <w:rFonts w:hint="eastAsia" w:asciiTheme="minorEastAsia" w:hAnsiTheme="minorEastAsia" w:eastAsiaTheme="minorEastAsia" w:cstheme="minorEastAsia"/>
              </w:rPr>
              <w:t xml:space="preserve">得</w:t>
            </w:r>
            <w:r>
              <w:rPr>
                <w:rFonts w:asciiTheme="minorEastAsia" w:hAnsiTheme="minorEastAsia" w:eastAsiaTheme="minorEastAsia" w:cstheme="minorEastAsia"/>
              </w:rPr>
              <w:t xml:space="preserve">5</w:t>
            </w:r>
            <w:r>
              <w:rPr>
                <w:rFonts w:hint="eastAsia" w:asciiTheme="minorEastAsia" w:hAnsiTheme="minorEastAsia" w:eastAsiaTheme="minorEastAsia" w:cstheme="minorEastAsia"/>
              </w:rPr>
              <w:t xml:space="preserve">-</w:t>
            </w:r>
            <w:r>
              <w:rPr>
                <w:rFonts w:asciiTheme="minorEastAsia" w:hAnsiTheme="minorEastAsia" w:eastAsiaTheme="minorEastAsia" w:cstheme="minorEastAsia"/>
              </w:rPr>
              <w:t xml:space="preserve">6</w:t>
            </w:r>
            <w:r>
              <w:rPr>
                <w:rFonts w:hint="eastAsia" w:asciiTheme="minorEastAsia" w:hAnsiTheme="minorEastAsia" w:eastAsiaTheme="minorEastAsia" w:cstheme="minorEastAsia"/>
              </w:rPr>
              <w:t xml:space="preserve">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2.实施方案完整，楼宇设备点位图（需包含设备点位位置、主干光纤点位及弱电间位置等）大致准确，</w:t>
            </w:r>
            <w:r>
              <w:rPr>
                <w:rFonts w:hint="eastAsia" w:ascii="宋体" w:hAnsi="宋体" w:cs="宋体"/>
              </w:rPr>
              <w:t xml:space="preserve">对项目中的特点、重点和难点阐述粗略，施工过程规范性、人员配备合理性、质量监控程序严格性一般，</w:t>
            </w:r>
            <w:r>
              <w:rPr>
                <w:rFonts w:hint="eastAsia" w:asciiTheme="minorEastAsia" w:hAnsiTheme="minorEastAsia" w:eastAsiaTheme="minorEastAsia" w:cstheme="minorEastAsia"/>
              </w:rPr>
              <w:t xml:space="preserve">得3-</w:t>
            </w:r>
            <w:r>
              <w:rPr>
                <w:rFonts w:asciiTheme="minorEastAsia" w:hAnsiTheme="minorEastAsia" w:eastAsiaTheme="minorEastAsia" w:cstheme="minorEastAsia"/>
              </w:rPr>
              <w:t xml:space="preserve">4</w:t>
            </w:r>
            <w:r>
              <w:rPr>
                <w:rFonts w:hint="eastAsia" w:asciiTheme="minorEastAsia" w:hAnsiTheme="minorEastAsia" w:eastAsiaTheme="minorEastAsia" w:cstheme="minorEastAsia"/>
              </w:rPr>
              <w:t xml:space="preserve">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3.实施方案不完整，方案简单，楼宇设备点位图（需包含设备点位位置、主干光纤点位及弱电间位置等）</w:t>
            </w:r>
            <w:r>
              <w:rPr>
                <w:rFonts w:hint="eastAsia" w:asciiTheme="minorEastAsia" w:hAnsiTheme="minorEastAsia" w:eastAsiaTheme="minorEastAsia" w:cstheme="minorEastAsia"/>
                <w:lang w:val="en-US" w:eastAsia="zh-CN"/>
              </w:rPr>
              <w:t xml:space="preserve">误差大</w:t>
            </w:r>
            <w:r>
              <w:rPr>
                <w:rFonts w:hint="eastAsia" w:asciiTheme="minorEastAsia" w:hAnsiTheme="minorEastAsia" w:eastAsiaTheme="minorEastAsia" w:cstheme="minorEastAsia"/>
              </w:rPr>
              <w:t xml:space="preserve">，</w:t>
            </w:r>
            <w:r>
              <w:rPr>
                <w:rFonts w:hint="eastAsia" w:ascii="宋体" w:hAnsi="宋体" w:cs="宋体"/>
              </w:rPr>
              <w:t xml:space="preserve">对项目中的特点、重点和难点没有阐述，施工过程规范性不合理，人员配备不合理，没有质量监控程序，</w:t>
            </w:r>
            <w:r>
              <w:rPr>
                <w:rFonts w:hint="eastAsia" w:asciiTheme="minorEastAsia" w:hAnsiTheme="minorEastAsia" w:eastAsiaTheme="minorEastAsia" w:cstheme="minorEastAsia"/>
              </w:rPr>
              <w:t xml:space="preserve">得1-2分；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6</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培训方案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提供完善的产品培训方案，从师资情况、时间安排、培训内容及教材等方面:</w:t>
            </w:r>
            <w:r/>
          </w:p>
          <w:p>
            <w:pPr>
              <w:jc w:val="left"/>
              <w:keepLines w:val="0"/>
              <w:keepNext w:val="0"/>
              <w:pageBreakBefore w:val="0"/>
              <w:spacing w:line="360" w:lineRule="exact"/>
              <w:widowControl/>
              <w:rPr>
                <w:rFonts w:ascii="宋体" w:hAnsi="宋体" w:cs="宋体"/>
                <w:highlight w:val="none"/>
              </w:rPr>
            </w:pPr>
            <w:r>
              <w:rPr>
                <w:rFonts w:hint="eastAsia" w:ascii="宋体" w:hAnsi="宋体" w:cs="宋体"/>
                <w:highlight w:val="none"/>
              </w:rPr>
              <w:t xml:space="preserve">1.方案科学详细，完善可行，得1</w:t>
            </w:r>
            <w:r>
              <w:rPr>
                <w:rFonts w:hint="eastAsia" w:ascii="宋体" w:hAnsi="宋体" w:cs="宋体"/>
                <w:highlight w:val="none"/>
                <w:lang w:val="en-US" w:eastAsia="zh-CN"/>
              </w:rPr>
              <w:t xml:space="preserve">分</w:t>
            </w:r>
            <w:r>
              <w:rPr>
                <w:rFonts w:hint="eastAsia" w:ascii="宋体" w:hAnsi="宋体" w:cs="宋体"/>
                <w:highlight w:val="none"/>
              </w:rPr>
              <w:t xml:space="preserve">。</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
              </w:rPr>
            </w:pPr>
            <w:r>
              <w:rPr>
                <w:rFonts w:hint="eastAsia" w:ascii="宋体" w:hAnsi="宋体" w:cs="宋体"/>
                <w:highlight w:val="none"/>
              </w:rPr>
              <w:t xml:space="preserve">2.方案过于简单或者不提供方案不得分。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宋体" w:hAnsi="宋体" w:cs="宋体"/>
                <w:color w:val="auto"/>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color w:val="auto"/>
                <w:highlight w:val="none"/>
              </w:rPr>
              <w:t xml:space="preserve">投标人提供详细的售后服务方案。</w:t>
            </w:r>
            <w:r/>
          </w:p>
          <w:p>
            <w:pPr>
              <w:jc w:val="left"/>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color w:val="auto"/>
                <w:highlight w:val="none"/>
              </w:rPr>
              <w:t xml:space="preserve">评委根据投标人售后人员配置、技术能力和时间</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保障等方面综合考量投标人的综合服务能力，分两个等级：</w:t>
            </w:r>
            <w:r/>
          </w:p>
          <w:p>
            <w:pPr>
              <w:pStyle w:val="809"/>
              <w:jc w:val="left"/>
              <w:keepLines w:val="0"/>
              <w:keepNext w:val="0"/>
              <w:pageBreakBefore w:val="0"/>
              <w:spacing w:line="360" w:lineRule="exact"/>
              <w:rPr>
                <w:rFonts w:hAnsi="宋体" w:cs="宋体"/>
                <w:color w:val="auto"/>
                <w:szCs w:val="21"/>
                <w:highlight w:val="none"/>
              </w:rPr>
            </w:pPr>
            <w:r>
              <w:rPr>
                <w:rFonts w:hAnsi="宋体" w:cs="宋体"/>
                <w:color w:val="auto"/>
                <w:szCs w:val="21"/>
                <w:highlight w:val="none"/>
              </w:rPr>
              <w:t xml:space="preserve">A.能够提供真实在使用的截图服务工单（包含工单号、报修单位（用户单位）、故障现象、任务单状态、处理人等），服务方案详细可行，能为用户提供完善的维护维修和技术保障服务，得2分；</w:t>
            </w:r>
            <w:r/>
          </w:p>
          <w:p>
            <w:pPr>
              <w:jc w:val="left"/>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color w:val="auto"/>
                <w:highlight w:val="none"/>
              </w:rPr>
              <w:t xml:space="preserve">B.服务方案简单，仅能为用户提供有限的售后服务，得1分；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宋体" w:hAnsi="宋体" w:cs="宋体"/>
                <w:color w:val="auto"/>
                <w:highlight w:val="none"/>
              </w:rPr>
              <w:t xml:space="preserve">C.</w:t>
            </w:r>
            <w:r>
              <w:rPr>
                <w:rFonts w:hint="eastAsia" w:ascii="宋体" w:hAnsi="宋体" w:cs="宋体"/>
                <w:color w:val="auto"/>
                <w:highlight w:val="none"/>
                <w:lang w:bidi="ar"/>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宋体" w:hAnsi="宋体" w:cs="宋体"/>
                <w:b/>
                <w:bCs/>
                <w:color w:val="auto"/>
                <w:highlight w:val="none"/>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宋体" w:hAnsi="宋体" w:cs="宋体"/>
                <w:b/>
                <w:bCs/>
                <w:color w:val="auto"/>
                <w:highlight w:val="none"/>
              </w:rPr>
              <w:t xml:space="preserve">2</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宋体" w:hAnsi="宋体" w:cs="宋体"/>
                <w:b/>
                <w:bCs/>
                <w:color w:val="auto"/>
                <w:highlight w:val="none"/>
              </w:rPr>
              <w:t xml:space="preserve">是</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宋体" w:hAnsi="宋体" w:cs="宋体"/>
                <w:b/>
                <w:bCs/>
                <w:color w:val="auto"/>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5" w:type="pct"/>
            <w:vAlign w:val="center"/>
            <w:textDirection w:val="lrTb"/>
            <w:noWrap w:val="false"/>
          </w:tcPr>
          <w:p>
            <w:pPr>
              <w:jc w:val="both"/>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商务分（客观分）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asciiTheme="minorEastAsia" w:hAnsiTheme="minorEastAsia" w:eastAsiaTheme="minorEastAsia" w:cstheme="minorEastAsia"/>
                <w:b/>
                <w:bCs/>
              </w:rPr>
              <w:t xml:space="preserve">5</w:t>
            </w:r>
            <w:r>
              <w:rPr>
                <w:rFonts w:hint="eastAsia" w:asciiTheme="minorEastAsia" w:hAnsiTheme="minorEastAsia" w:eastAsiaTheme="minorEastAsia" w:cstheme="minorEastAsia"/>
                <w:b/>
                <w:bCs/>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r>
      <w:tr>
        <w:trPr>
          <w:trHeight w:val="689"/>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rPr>
              <w:t xml:space="preserve">技术分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rPr>
              <w:t xml:space="preserve">根据投标单位技术偏离表中对本招标文件中产品技术指标（参数）的响应程度</w:t>
            </w:r>
            <w:r>
              <w:rPr>
                <w:rFonts w:hint="eastAsia" w:asciiTheme="minorEastAsia" w:hAnsiTheme="minorEastAsia" w:eastAsiaTheme="minorEastAsia" w:cstheme="minorEastAsia"/>
                <w:b/>
                <w:bCs/>
                <w:color w:val="auto"/>
              </w:rPr>
              <w:t xml:space="preserve">打分，所投产品全部满足招标文件技术参数要求得</w:t>
            </w:r>
            <w:r>
              <w:rPr>
                <w:rFonts w:hint="eastAsia" w:asciiTheme="minorEastAsia" w:hAnsiTheme="minorEastAsia" w:eastAsiaTheme="minorEastAsia" w:cstheme="minorEastAsia"/>
                <w:b/>
                <w:bCs/>
                <w:color w:val="auto"/>
                <w:lang w:val="en-US" w:eastAsia="zh-CN"/>
              </w:rPr>
              <w:t xml:space="preserve">27</w:t>
            </w:r>
            <w:r>
              <w:rPr>
                <w:rFonts w:hint="eastAsia" w:asciiTheme="minorEastAsia" w:hAnsiTheme="minorEastAsia" w:eastAsiaTheme="minorEastAsia" w:cstheme="minorEastAsia"/>
                <w:b/>
                <w:bCs/>
                <w:color w:val="auto"/>
              </w:rPr>
              <w:t xml:space="preserve">分。</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u w:val="single"/>
              </w:rPr>
              <w:t xml:space="preserve">1.带▲项为重要参数，出现一项负偏离扣</w:t>
            </w:r>
            <w:r>
              <w:rPr>
                <w:rFonts w:asciiTheme="minorEastAsia" w:hAnsiTheme="minorEastAsia" w:eastAsiaTheme="minorEastAsia" w:cstheme="minorEastAsia"/>
                <w:color w:val="auto"/>
                <w:u w:val="single"/>
              </w:rPr>
              <w:t xml:space="preserve">1</w:t>
            </w:r>
            <w:r>
              <w:rPr>
                <w:rFonts w:hint="eastAsia" w:asciiTheme="minorEastAsia" w:hAnsiTheme="minorEastAsia" w:eastAsiaTheme="minorEastAsia" w:cstheme="minorEastAsia"/>
                <w:color w:val="auto"/>
                <w:u w:val="single"/>
              </w:rPr>
              <w:t xml:space="preserve">分；2.其他参数为一般参数，出现一项负偏离扣</w:t>
            </w:r>
            <w:r>
              <w:rPr>
                <w:rFonts w:asciiTheme="minorEastAsia" w:hAnsiTheme="minorEastAsia" w:eastAsiaTheme="minorEastAsia" w:cstheme="minorEastAsia"/>
                <w:color w:val="auto"/>
                <w:u w:val="single"/>
              </w:rPr>
              <w:t xml:space="preserve">0.5</w:t>
            </w:r>
            <w:r>
              <w:rPr>
                <w:rFonts w:hint="eastAsia" w:asciiTheme="minorEastAsia" w:hAnsiTheme="minorEastAsia" w:eastAsiaTheme="minorEastAsia" w:cstheme="minorEastAsia"/>
                <w:color w:val="auto"/>
                <w:u w:val="single"/>
              </w:rPr>
              <w:t xml:space="preserve">分，扣完为止。</w:t>
            </w:r>
            <w:r>
              <w:rPr>
                <w:rFonts w:hint="eastAsia" w:asciiTheme="minorEastAsia" w:hAnsiTheme="minorEastAsia" w:eastAsiaTheme="minorEastAsia" w:cstheme="minorEastAsia"/>
                <w:color w:val="auto"/>
              </w:rPr>
              <w:t xml:space="preserve">打“★”项如有负偏离作为无效投标。如有提供虚假技术参数的，一经发现作无效投标处理。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注：1、为便于评审，投标人在偏离表中逐条列出相关技术参数证明材料所在页码。投标人需如实填写所投产品参数。2、同一产品按参数点得分或扣分，不重复扣分。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default"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27</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r>
      <w:tr>
        <w:trPr>
          <w:trHeight w:val="689"/>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default"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1"/>
                <w:szCs w:val="21"/>
                <w:lang w:val="en-US" w:eastAsia="zh-CN" w:bidi="ar-SA"/>
              </w:rPr>
            </w:pPr>
            <w:r>
              <w:rPr>
                <w:rFonts w:hint="eastAsia" w:ascii="宋体" w:hAnsi="宋体" w:cs="宋体"/>
              </w:rPr>
              <w:t xml:space="preserve">案例</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根据投标单位提供的2023年5月1日以来签订的、</w:t>
            </w:r>
            <w:r>
              <w:rPr>
                <w:rFonts w:hint="eastAsia" w:ascii="宋体" w:hAnsi="宋体" w:cs="宋体"/>
                <w:b/>
                <w:bCs/>
              </w:rPr>
              <w:t xml:space="preserve">与本采购项目技术特点和需求类似的业绩，提供合同</w:t>
            </w:r>
            <w:r>
              <w:rPr>
                <w:rFonts w:hint="eastAsia" w:ascii="宋体" w:hAnsi="宋体" w:cs="宋体"/>
              </w:rPr>
              <w:t xml:space="preserve">（提供合同全文扫描件）</w:t>
            </w:r>
            <w:r>
              <w:rPr>
                <w:rFonts w:hint="eastAsia" w:ascii="宋体" w:hAnsi="宋体" w:cs="宋体"/>
                <w:b/>
                <w:bCs/>
              </w:rPr>
              <w:t xml:space="preserve">、验收报告</w:t>
            </w:r>
            <w:r>
              <w:rPr>
                <w:rFonts w:hint="eastAsia" w:ascii="宋体" w:hAnsi="宋体" w:cs="宋体"/>
                <w:b/>
                <w:bCs/>
                <w:color w:val="ff0000"/>
                <w:lang w:val="en-US" w:eastAsia="zh-CN"/>
              </w:rPr>
              <w:t xml:space="preserve">和</w:t>
            </w:r>
            <w:r>
              <w:rPr>
                <w:rFonts w:hint="eastAsia" w:ascii="宋体" w:hAnsi="宋体" w:cs="宋体"/>
                <w:b/>
                <w:bCs/>
              </w:rPr>
              <w:t xml:space="preserve">结算发票作为证明材料</w:t>
            </w:r>
            <w:r>
              <w:rPr>
                <w:rFonts w:hint="eastAsia" w:ascii="宋体" w:hAnsi="宋体" w:cs="宋体"/>
              </w:rPr>
              <w:t xml:space="preserve">（提供项目验收报告</w:t>
            </w:r>
            <w:r>
              <w:rPr>
                <w:rFonts w:hint="eastAsia" w:ascii="宋体" w:hAnsi="宋体" w:cs="宋体"/>
                <w:color w:val="ff0000"/>
                <w:lang w:val="en-US" w:eastAsia="zh-CN"/>
              </w:rPr>
              <w:t xml:space="preserve">和</w:t>
            </w:r>
            <w:r>
              <w:rPr>
                <w:rFonts w:hint="eastAsia" w:ascii="宋体" w:hAnsi="宋体" w:cs="宋体"/>
              </w:rPr>
              <w:t xml:space="preserve">结算发票扫描件）进行评价，合同需符合下述要求：</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 合同时间以签订日期为准。</w:t>
            </w:r>
            <w:r/>
          </w:p>
          <w:p>
            <w:pPr>
              <w:jc w:val="left"/>
              <w:keepLines w:val="0"/>
              <w:keepNext w:val="0"/>
              <w:pageBreakBefore w:val="0"/>
              <w:spacing w:line="360" w:lineRule="exact"/>
              <w:widowControl/>
              <w:rPr>
                <w:rFonts w:hint="eastAsia" w:ascii="宋体" w:hAnsi="宋体" w:eastAsia="宋体" w:cs="宋体"/>
                <w:sz w:val="21"/>
                <w:szCs w:val="21"/>
                <w:lang w:val="en-US" w:eastAsia="zh-CN" w:bidi="ar-SA"/>
              </w:rPr>
            </w:pPr>
            <w:r>
              <w:rPr>
                <w:rFonts w:hint="eastAsia" w:ascii="宋体" w:hAnsi="宋体" w:cs="宋体"/>
              </w:rPr>
              <w:t xml:space="preserve">2. 每提供1份得1分，最高得2分。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rPr>
              <w:t xml:space="preserve">是</w:t>
            </w:r>
            <w:r/>
          </w:p>
        </w:tc>
      </w:tr>
      <w:tr>
        <w:trPr>
          <w:trHeight w:val="418"/>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rPr>
              <w:t xml:space="preserve">3.</w:t>
            </w:r>
            <w:r>
              <w:rPr>
                <w:rFonts w:hint="eastAsia" w:asciiTheme="minorEastAsia" w:hAnsiTheme="minorEastAsia" w:eastAsiaTheme="minorEastAsia" w:cstheme="minorEastAsia"/>
                <w:b/>
                <w:bCs/>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产品实力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numPr>
                <w:ilvl w:val="0"/>
                <w:numId w:val="17"/>
              </w:numPr>
              <w:jc w:val="left"/>
              <w:keepLines w:val="0"/>
              <w:keepNext w:val="0"/>
              <w:pageBreakBefore w:val="0"/>
              <w:spacing w:line="360" w:lineRule="exact"/>
              <w:rPr>
                <w:rFonts w:hint="eastAsia" w:ascii="宋体" w:hAnsi="宋体" w:cs="宋体"/>
                <w:color w:val="auto"/>
              </w:rPr>
            </w:pPr>
            <w:r>
              <w:rPr>
                <w:rFonts w:hint="eastAsia" w:ascii="宋体" w:hAnsi="宋体" w:cs="宋体"/>
                <w:color w:val="auto"/>
              </w:rPr>
              <w:t xml:space="preserve">为保证设备兼容稳定性、维护的统一性和便捷性，以太光汇聚交换机、8口光接入设备、24口光光接入设备、光模块</w:t>
            </w:r>
            <w:r>
              <w:rPr>
                <w:rFonts w:hint="eastAsia" w:ascii="宋体" w:hAnsi="宋体" w:cs="宋体"/>
                <w:color w:val="auto"/>
                <w:lang w:eastAsia="zh-CN"/>
              </w:rPr>
              <w:t xml:space="preserve">（</w:t>
            </w:r>
            <w:r>
              <w:rPr>
                <w:rFonts w:hint="eastAsia" w:ascii="宋体" w:hAnsi="宋体" w:cs="宋体"/>
                <w:color w:val="auto"/>
                <w:lang w:val="en-US" w:eastAsia="zh-CN"/>
              </w:rPr>
              <w:t xml:space="preserve">配套全光网、万兆</w:t>
            </w:r>
            <w:r>
              <w:rPr>
                <w:rFonts w:hint="eastAsia" w:ascii="宋体" w:hAnsi="宋体" w:cs="宋体"/>
                <w:color w:val="auto"/>
                <w:lang w:eastAsia="zh-CN"/>
              </w:rPr>
              <w:t xml:space="preserve">）</w:t>
            </w:r>
            <w:r>
              <w:rPr>
                <w:rFonts w:hint="eastAsia" w:ascii="宋体" w:hAnsi="宋体" w:cs="宋体"/>
                <w:color w:val="auto"/>
              </w:rPr>
              <w:t xml:space="preserve">、单模万兆光模块，供应商所投以上所有产品为同一品牌的得</w:t>
            </w:r>
            <w:r>
              <w:rPr>
                <w:rFonts w:hint="eastAsia" w:ascii="宋体" w:hAnsi="宋体" w:cs="宋体"/>
                <w:color w:val="auto"/>
                <w:lang w:val="en-US" w:eastAsia="zh-CN"/>
              </w:rPr>
              <w:t xml:space="preserve">2</w:t>
            </w:r>
            <w:r>
              <w:rPr>
                <w:rFonts w:hint="eastAsia" w:ascii="宋体" w:hAnsi="宋体" w:cs="宋体"/>
                <w:color w:val="auto"/>
              </w:rPr>
              <w:t xml:space="preserve">分，有一项不同品牌则不得分。</w:t>
            </w:r>
            <w:r/>
          </w:p>
          <w:p>
            <w:pPr>
              <w:numPr>
                <w:ilvl w:val="0"/>
                <w:numId w:val="17"/>
              </w:numPr>
              <w:jc w:val="left"/>
              <w:keepLines w:val="0"/>
              <w:keepNext w:val="0"/>
              <w:pageBreakBefore w:val="0"/>
              <w:spacing w:line="360" w:lineRule="exact"/>
              <w:rPr>
                <w:rFonts w:hint="eastAsia" w:ascii="宋体" w:hAnsi="宋体" w:cs="宋体"/>
                <w:color w:val="auto"/>
                <w:lang w:val="en-US" w:eastAsia="zh-CN"/>
              </w:rPr>
            </w:pPr>
            <w:r>
              <w:rPr>
                <w:rFonts w:hint="eastAsia" w:ascii="宋体" w:hAnsi="宋体" w:cs="宋体"/>
                <w:color w:val="auto"/>
                <w:lang w:val="en-US" w:eastAsia="zh-CN"/>
              </w:rPr>
              <w:t xml:space="preserve">所投六类线及光纤等所有布线产品提供产品对应生产企业具有有效期内的ISO9001质量认证,满足得1分。</w:t>
            </w:r>
            <w:r/>
          </w:p>
          <w:p>
            <w:pPr>
              <w:pStyle w:val="803"/>
              <w:numPr>
                <w:ilvl w:val="0"/>
                <w:numId w:val="0"/>
              </w:numPr>
              <w:keepLines w:val="0"/>
              <w:keepNext w:val="0"/>
              <w:pageBreakBefore w:val="0"/>
              <w:spacing w:line="36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z w:val="21"/>
                <w:szCs w:val="21"/>
                <w:lang w:val="en-US" w:eastAsia="zh-CN"/>
              </w:rPr>
              <w:t xml:space="preserve">注：提供相关证明材料扫描件，不提供不得分。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否</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rPr>
              <w:t xml:space="preserve">3.</w:t>
            </w:r>
            <w:r>
              <w:rPr>
                <w:rFonts w:hint="eastAsia" w:asciiTheme="minorEastAsia" w:hAnsiTheme="minorEastAsia" w:eastAsiaTheme="minorEastAsia" w:cstheme="minorEastAsia"/>
                <w:b/>
                <w:bCs/>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keepLines w:val="0"/>
              <w:keepNext w:val="0"/>
              <w:pageBreakBefore w:val="0"/>
              <w:spacing w:line="360" w:lineRule="exact"/>
              <w:rPr>
                <w:rFonts w:ascii="宋体" w:hAnsi="宋体" w:cs="宋体"/>
              </w:rPr>
            </w:pPr>
            <w:r>
              <w:rPr>
                <w:rFonts w:hint="eastAsia" w:ascii="宋体" w:hAnsi="宋体" w:cs="宋体"/>
              </w:rPr>
              <w:t xml:space="preserve">1. 投标人具备《建筑业企业资质证书》电子与智能化工程专业承包资质二级及以上资质，得</w:t>
            </w:r>
            <w:r>
              <w:rPr>
                <w:rFonts w:ascii="宋体" w:hAnsi="宋体" w:cs="宋体"/>
              </w:rPr>
              <w:t xml:space="preserve">2</w:t>
            </w:r>
            <w:r>
              <w:rPr>
                <w:rFonts w:hint="eastAsia" w:ascii="宋体" w:hAnsi="宋体" w:cs="宋体"/>
              </w:rPr>
              <w:t xml:space="preserve">分。</w:t>
            </w:r>
            <w:r/>
          </w:p>
          <w:p>
            <w:pPr>
              <w:keepLines w:val="0"/>
              <w:keepNext w:val="0"/>
              <w:pageBreakBefore w:val="0"/>
              <w:spacing w:line="360" w:lineRule="exact"/>
              <w:rPr>
                <w:rFonts w:ascii="宋体" w:hAnsi="宋体" w:cs="宋体"/>
              </w:rPr>
            </w:pPr>
            <w:r>
              <w:rPr>
                <w:rFonts w:hint="eastAsia" w:ascii="宋体" w:hAnsi="宋体" w:cs="宋体"/>
              </w:rPr>
              <w:t xml:space="preserve">2.投标人具备ITSS（信息技术服务运行维护标准）符合性证书，成熟度等级（通用标准三级及以上），得1分。</w:t>
            </w:r>
            <w:r/>
          </w:p>
          <w:p>
            <w:pPr>
              <w:keepLines w:val="0"/>
              <w:keepNext w:val="0"/>
              <w:pageBreakBefore w:val="0"/>
              <w:spacing w:line="360" w:lineRule="exact"/>
              <w:rPr>
                <w:rFonts w:ascii="宋体" w:hAnsi="宋体" w:cs="宋体"/>
                <w:color w:val="auto"/>
              </w:rPr>
            </w:pPr>
            <w:r>
              <w:rPr>
                <w:rFonts w:hint="eastAsia" w:ascii="宋体" w:hAnsi="宋体" w:cs="宋体"/>
                <w:color w:val="auto"/>
              </w:rPr>
              <w:t xml:space="preserve">3.投标人具备有效期内的质量管理体系认证证书</w:t>
            </w:r>
            <w:r>
              <w:rPr>
                <w:rFonts w:hint="eastAsia" w:asciiTheme="minorEastAsia" w:hAnsiTheme="minorEastAsia" w:eastAsiaTheme="minorEastAsia" w:cstheme="minorEastAsia"/>
                <w:color w:val="auto"/>
              </w:rPr>
              <w:t xml:space="preserve">（GB/T19001-2016/ISO 9001:2015）</w:t>
            </w:r>
            <w:r>
              <w:rPr>
                <w:rFonts w:hint="eastAsia" w:ascii="宋体" w:hAnsi="宋体" w:cs="宋体"/>
                <w:color w:val="auto"/>
              </w:rPr>
              <w:t xml:space="preserve">、信息安全管理体系认证证书(GB/T 22080-2025 / ISO/IEC 27001:2022，认证范围包含计算机信息系统集成及运维)、信息技术服务管理体系认证证书（GB/T 24405.1或ISO/IEC20000-1:2018）、隐私信息管理体系认证证书(ISO/IEC 27701 或GB/T 22080/22081扩展，认证范围包含计算机信息系统集成及运维),每个得1分，最高4分。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宋体" w:hAnsi="宋体" w:cs="宋体"/>
                <w:color w:val="auto"/>
              </w:rPr>
              <w:t xml:space="preserve">提供有效证书扫描件加盖公章，否则不得分。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7</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rPr>
              <w:t xml:space="preserve">3</w:t>
            </w:r>
            <w:r>
              <w:rPr>
                <w:rFonts w:asciiTheme="minorEastAsia" w:hAnsiTheme="minorEastAsia" w:eastAsiaTheme="minorEastAsia" w:cstheme="minorEastAsia"/>
                <w:b/>
                <w:bCs/>
              </w:rPr>
              <w:t xml:space="preserve">.</w:t>
            </w:r>
            <w:r>
              <w:rPr>
                <w:rFonts w:hint="eastAsia" w:asciiTheme="minorEastAsia" w:hAnsiTheme="minorEastAsia" w:eastAsiaTheme="minorEastAsia" w:cstheme="minorEastAsia"/>
                <w:b/>
                <w:bCs/>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宋体" w:hAnsi="宋体" w:cs="宋体"/>
              </w:rPr>
              <w:t xml:space="preserve">项目组成员实力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keepLines w:val="0"/>
              <w:keepNext w:val="0"/>
              <w:pageBreakBefore w:val="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投标人提供的《参加本项目小组成员一览表》中配备人员包含以下资质的，每项1分，不提供不得分，最高得7分。</w:t>
            </w:r>
            <w:r/>
          </w:p>
          <w:p>
            <w:pPr>
              <w:keepLines w:val="0"/>
              <w:keepNext w:val="0"/>
              <w:pageBreakBefore w:val="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1、拟派项目负责人1名，</w:t>
            </w:r>
            <w:r>
              <w:rPr>
                <w:rFonts w:hint="eastAsia" w:ascii="宋体" w:hAnsi="宋体" w:eastAsia="宋体" w:cs="宋体"/>
                <w:color w:val="auto"/>
                <w:sz w:val="21"/>
                <w:szCs w:val="21"/>
              </w:rPr>
              <w:t xml:space="preserve">信息系统</w:t>
            </w:r>
            <w:r>
              <w:rPr>
                <w:rFonts w:hint="eastAsia" w:ascii="宋体" w:hAnsi="宋体" w:eastAsia="宋体" w:cs="宋体"/>
                <w:color w:val="auto"/>
                <w:sz w:val="21"/>
                <w:szCs w:val="21"/>
                <w:lang w:val="en-US" w:eastAsia="zh-CN"/>
              </w:rPr>
              <w:t xml:space="preserve">项目管理师（</w:t>
            </w:r>
            <w:r>
              <w:rPr>
                <w:rFonts w:hint="eastAsia" w:ascii="宋体" w:hAnsi="宋体" w:eastAsia="宋体" w:cs="宋体"/>
                <w:color w:val="auto"/>
                <w:sz w:val="21"/>
                <w:szCs w:val="21"/>
              </w:rPr>
              <w:t xml:space="preserve">高级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lang w:val="en-US" w:eastAsia="zh-CN"/>
              </w:rPr>
              <w:t xml:space="preserve">电子信息专业高级工程师</w:t>
            </w:r>
            <w:r>
              <w:rPr>
                <w:rFonts w:hint="eastAsia" w:asciiTheme="minorEastAsia" w:hAnsiTheme="minorEastAsia" w:eastAsiaTheme="minorEastAsia" w:cstheme="minorEastAsia"/>
              </w:rPr>
              <w:t xml:space="preserve">、IT服务项目经理（ITSS），每提供一个得1分。本项最高得2分。</w:t>
            </w:r>
            <w:r/>
          </w:p>
          <w:p>
            <w:pPr>
              <w:keepLines w:val="0"/>
              <w:keepNext w:val="0"/>
              <w:pageBreakBefore w:val="0"/>
              <w:spacing w:line="3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2、拟派技术负责人1名，一级注册建造师（通信与广电工程</w:t>
            </w:r>
            <w:r>
              <w:rPr>
                <w:rFonts w:hint="eastAsia" w:asciiTheme="minorEastAsia" w:hAnsiTheme="minorEastAsia" w:eastAsiaTheme="minorEastAsia" w:cstheme="minorEastAsia"/>
                <w:lang w:val="en-US" w:eastAsia="zh-CN"/>
              </w:rPr>
              <w:t xml:space="preserve">或机电工程</w:t>
            </w:r>
            <w:r>
              <w:rPr>
                <w:rFonts w:hint="eastAsia" w:asciiTheme="minorEastAsia" w:hAnsiTheme="minorEastAsia" w:eastAsiaTheme="minorEastAsia" w:cstheme="minorEastAsia"/>
              </w:rPr>
              <w:t xml:space="preserve">）、布线测试认证工程师，</w:t>
            </w:r>
            <w:bookmarkStart w:id="223" w:name="OLE_LINK52"/>
            <w:r/>
            <w:bookmarkStart w:id="224" w:name="OLE_LINK51"/>
            <w:r>
              <w:rPr>
                <w:rFonts w:hint="eastAsia" w:asciiTheme="minorEastAsia" w:hAnsiTheme="minorEastAsia" w:eastAsiaTheme="minorEastAsia" w:cstheme="minorEastAsia"/>
              </w:rPr>
              <w:t xml:space="preserve">每提供一个得1分。本项最高得2分。</w:t>
            </w:r>
            <w:bookmarkEnd w:id="223"/>
            <w:r/>
            <w:bookmarkEnd w:id="224"/>
            <w:r/>
            <w:r/>
          </w:p>
          <w:p>
            <w:pPr>
              <w:keepLines w:val="0"/>
              <w:keepNext w:val="0"/>
              <w:pageBreakBefore w:val="0"/>
              <w:spacing w:line="360" w:lineRule="exact"/>
              <w:rPr>
                <w:rFonts w:hint="default"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highlight w:val="none"/>
              </w:rPr>
              <w:t xml:space="preserve">3、项目组成员</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具备</w:t>
            </w:r>
            <w:r>
              <w:rPr>
                <w:rFonts w:hint="eastAsia" w:ascii="宋体" w:hAnsi="宋体" w:eastAsia="宋体" w:cs="宋体"/>
                <w:color w:val="auto"/>
                <w:sz w:val="21"/>
                <w:szCs w:val="21"/>
                <w:highlight w:val="none"/>
                <w:lang w:val="en-US" w:eastAsia="zh-CN"/>
              </w:rPr>
              <w:t xml:space="preserve">工信、人社等国家相关职能部门认定的</w:t>
            </w:r>
            <w:r>
              <w:rPr>
                <w:rFonts w:hint="eastAsia" w:asciiTheme="minorEastAsia" w:hAnsiTheme="minorEastAsia" w:eastAsiaTheme="minorEastAsia" w:cstheme="minorEastAsia"/>
                <w:color w:val="auto"/>
                <w:highlight w:val="none"/>
              </w:rPr>
              <w:t xml:space="preserve">高级网络和信息安全工程师</w:t>
            </w:r>
            <w:r>
              <w:rPr>
                <w:rFonts w:hint="eastAsia" w:asciiTheme="minorEastAsia" w:hAnsiTheme="minorEastAsia" w:eastAsiaTheme="minorEastAsia" w:cstheme="minorEastAsia"/>
                <w:color w:val="auto"/>
                <w:highlight w:val="none"/>
                <w:lang w:val="en-US" w:eastAsia="zh-CN"/>
              </w:rPr>
              <w:t xml:space="preserve">或</w:t>
            </w:r>
            <w:r>
              <w:rPr>
                <w:rFonts w:hint="eastAsia" w:asciiTheme="minorEastAsia" w:hAnsiTheme="minorEastAsia" w:eastAsiaTheme="minorEastAsia" w:cstheme="minorEastAsia"/>
                <w:color w:val="auto"/>
                <w:highlight w:val="none"/>
              </w:rPr>
              <w:t xml:space="preserve">注册信息安全专业人员（CISP</w:t>
            </w:r>
            <w:r>
              <w:rPr>
                <w:rFonts w:hint="eastAsia" w:asciiTheme="minorEastAsia" w:hAnsiTheme="minorEastAsia" w:eastAsiaTheme="minorEastAsia" w:cstheme="minorEastAsia"/>
                <w:color w:val="auto"/>
                <w:highlight w:val="none"/>
                <w:lang w:val="en-US" w:eastAsia="zh-CN"/>
              </w:rPr>
              <w:t xml:space="preserve">及以上</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或信息安全保障人员认证证书(CISAW)得1分；（2）</w:t>
            </w:r>
            <w:r>
              <w:rPr>
                <w:rFonts w:hint="eastAsia" w:asciiTheme="minorEastAsia" w:hAnsiTheme="minorEastAsia" w:eastAsiaTheme="minorEastAsia" w:cstheme="minorEastAsia"/>
                <w:color w:val="auto"/>
                <w:highlight w:val="none"/>
              </w:rPr>
              <w:t xml:space="preserve">所投产品品牌的或工信、人社等国家相关职能部门认定的相应中级以上网络认证证书（</w:t>
            </w:r>
            <w:r>
              <w:rPr>
                <w:rFonts w:hint="eastAsia" w:asciiTheme="minorEastAsia" w:hAnsiTheme="minorEastAsia" w:eastAsiaTheme="minorEastAsia" w:cstheme="minorEastAsia"/>
                <w:color w:val="auto"/>
                <w:highlight w:val="none"/>
                <w:lang w:val="en-US" w:eastAsia="zh-CN"/>
              </w:rPr>
              <w:t xml:space="preserve">网络方向</w:t>
            </w:r>
            <w:r>
              <w:rPr>
                <w:rFonts w:hint="eastAsia" w:asciiTheme="minorEastAsia" w:hAnsiTheme="minorEastAsia" w:eastAsiaTheme="minorEastAsia" w:cstheme="minorEastAsia"/>
                <w:color w:val="auto"/>
                <w:highlight w:val="none"/>
              </w:rPr>
              <w:t xml:space="preserve">、安全</w:t>
            </w:r>
            <w:r>
              <w:rPr>
                <w:rFonts w:hint="eastAsia" w:asciiTheme="minorEastAsia" w:hAnsiTheme="minorEastAsia" w:eastAsiaTheme="minorEastAsia" w:cstheme="minorEastAsia"/>
                <w:color w:val="auto"/>
                <w:highlight w:val="none"/>
                <w:lang w:val="en-US" w:eastAsia="zh-CN"/>
              </w:rPr>
              <w:t xml:space="preserve">方向</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满足1个证书</w:t>
            </w:r>
            <w:r>
              <w:rPr>
                <w:rFonts w:hint="eastAsia" w:asciiTheme="minorEastAsia" w:hAnsiTheme="minorEastAsia" w:eastAsiaTheme="minorEastAsia" w:cstheme="minorEastAsia"/>
                <w:color w:val="auto"/>
                <w:highlight w:val="none"/>
              </w:rPr>
              <w:t xml:space="preserve">得</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合计得2分；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3）团队中至少有1人具备网络迁移或旧设备替换项目经验（须提供项目合同或验收报告等证明材料，并标注该成员为参与人），得1分。本项最高得3分。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注：</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①同一资质（如同一证书、同一经验证明）由团队多人具备的，不重复计分。</w:t>
            </w:r>
            <w:r/>
          </w:p>
          <w:p>
            <w:pPr>
              <w:jc w:val="left"/>
              <w:keepLines w:val="0"/>
              <w:keepNext w:val="0"/>
              <w:pageBreakBefore w:val="0"/>
              <w:spacing w:line="360" w:lineRule="exact"/>
              <w:widowControl/>
              <w:rPr>
                <w:rFonts w:hint="default" w:ascii="宋体" w:hAnsi="宋体" w:cs="宋体"/>
                <w:highlight w:val="none"/>
                <w:lang w:val="en-US" w:eastAsia="zh-CN"/>
              </w:rPr>
            </w:pPr>
            <w:r>
              <w:rPr>
                <w:rFonts w:hint="eastAsia" w:ascii="宋体" w:hAnsi="宋体" w:cs="宋体"/>
                <w:highlight w:val="none"/>
              </w:rPr>
              <w:t xml:space="preserve">②</w:t>
            </w:r>
            <w:r>
              <w:rPr>
                <w:rFonts w:hint="eastAsia" w:ascii="宋体" w:hAnsi="宋体" w:cs="宋体"/>
                <w:highlight w:val="none"/>
                <w:lang w:val="en-US" w:eastAsia="zh-CN"/>
              </w:rPr>
              <w:t xml:space="preserve">项目负责人、技术负责人、团队成员不能一人兼任。</w:t>
            </w:r>
            <w:r/>
          </w:p>
          <w:p>
            <w:pPr>
              <w:keepLines w:val="0"/>
              <w:keepNext w:val="0"/>
              <w:pageBreakBefore w:val="0"/>
              <w:spacing w:line="360" w:lineRule="exact"/>
              <w:rPr>
                <w:rFonts w:ascii="宋体" w:hAnsi="宋体" w:cs="宋体"/>
              </w:rPr>
            </w:pPr>
            <w:r>
              <w:rPr>
                <w:rFonts w:hint="default" w:ascii="宋体" w:hAnsi="宋体" w:cs="宋体"/>
                <w:highlight w:val="none"/>
              </w:rPr>
              <w:t xml:space="preserve">③</w:t>
            </w:r>
            <w:r>
              <w:rPr>
                <w:rFonts w:hint="eastAsia" w:ascii="宋体" w:hAnsi="宋体" w:cs="宋体"/>
                <w:highlight w:val="none"/>
              </w:rPr>
              <w:t xml:space="preserve">所有证书须在有效期内，并提供证书扫描件及投标人为其缴纳的近三个月中任意一个月的社保证明。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7</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rPr>
              <w:t xml:space="preserve">3.</w:t>
            </w:r>
            <w:r>
              <w:rPr>
                <w:rFonts w:hint="eastAsia" w:asciiTheme="minorEastAsia" w:hAnsiTheme="minorEastAsia" w:eastAsiaTheme="minorEastAsia" w:cstheme="minorEastAsia"/>
                <w:b/>
                <w:bCs/>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质保要求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整体原厂免费质保三年基础上，网络设备（以太光汇聚交换机、8口光接入设备、24口光光接入设备、光模块、单模万兆光模块）原厂整体质保、其它设备</w:t>
            </w:r>
            <w:r>
              <w:rPr>
                <w:rFonts w:hint="eastAsia" w:ascii="宋体" w:hAnsi="宋体" w:cs="宋体"/>
                <w:color w:val="auto"/>
              </w:rPr>
              <w:t xml:space="preserve">供应商整体质保，每延长一年</w:t>
            </w:r>
            <w:r>
              <w:rPr>
                <w:rFonts w:hint="eastAsia" w:asciiTheme="minorEastAsia" w:hAnsiTheme="minorEastAsia" w:eastAsiaTheme="minorEastAsia" w:cstheme="minorEastAsia"/>
                <w:color w:val="auto"/>
              </w:rPr>
              <w:t xml:space="preserve">得1分，最高得3分；</w:t>
            </w:r>
            <w:r>
              <w:rPr>
                <w:rFonts w:hint="eastAsia" w:ascii="宋体" w:hAnsi="宋体" w:cs="宋体"/>
                <w:color w:val="auto"/>
              </w:rPr>
              <w:t xml:space="preserve">所有设备</w:t>
            </w:r>
            <w:r>
              <w:rPr>
                <w:rFonts w:hint="eastAsia" w:asciiTheme="minorEastAsia" w:hAnsiTheme="minorEastAsia" w:eastAsiaTheme="minorEastAsia" w:cstheme="minorEastAsia"/>
                <w:color w:val="auto"/>
              </w:rPr>
              <w:t xml:space="preserve">供应商提供备件先行替换服务：故障报修后</w:t>
            </w:r>
            <w:r>
              <w:rPr>
                <w:rFonts w:asciiTheme="minorEastAsia" w:hAnsiTheme="minorEastAsia" w:eastAsiaTheme="minorEastAsia" w:cstheme="minorEastAsia"/>
                <w:color w:val="auto"/>
              </w:rPr>
              <w:t xml:space="preserve">48</w:t>
            </w:r>
            <w:r>
              <w:rPr>
                <w:rFonts w:hint="eastAsia" w:asciiTheme="minorEastAsia" w:hAnsiTheme="minorEastAsia" w:eastAsiaTheme="minorEastAsia" w:cstheme="minorEastAsia"/>
                <w:color w:val="auto"/>
              </w:rPr>
              <w:t xml:space="preserve">小时内免费提供完好备件至用户现场更换服务后,再进行故障件回收，得1分；本项最高得4分。</w:t>
            </w:r>
            <w:r>
              <w:rPr>
                <w:rFonts w:hint="eastAsia" w:asciiTheme="minorEastAsia" w:hAnsiTheme="minorEastAsia" w:eastAsiaTheme="minorEastAsia" w:cstheme="minorEastAsia"/>
                <w:b/>
                <w:bCs/>
                <w:color w:val="auto"/>
              </w:rPr>
              <w:t xml:space="preserve">提供投标商承诺函</w:t>
            </w:r>
            <w:r>
              <w:rPr>
                <w:rFonts w:hint="eastAsia" w:ascii="宋体" w:hAnsi="宋体" w:cs="宋体"/>
                <w:b/>
                <w:bCs/>
                <w:color w:val="auto"/>
              </w:rPr>
              <w:t xml:space="preserve">加盖公章</w:t>
            </w:r>
            <w:r>
              <w:rPr>
                <w:rFonts w:hint="eastAsia" w:asciiTheme="minorEastAsia" w:hAnsiTheme="minorEastAsia" w:eastAsiaTheme="minorEastAsia" w:cstheme="minorEastAsia"/>
                <w:b/>
                <w:bCs/>
                <w:color w:val="auto"/>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asciiTheme="minorEastAsia" w:hAnsiTheme="minorEastAsia" w:eastAsiaTheme="minorEastAsia" w:cstheme="minorEastAsia"/>
                <w:b/>
                <w:bCs/>
                <w:color w:val="auto"/>
              </w:rPr>
              <w:t xml:space="preserve">4</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否</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是</w:t>
            </w:r>
            <w:bookmarkEnd w:id="250"/>
            <w:r/>
            <w:r/>
          </w:p>
        </w:tc>
      </w:tr>
    </w:tbl>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投标</w:t>
      </w:r>
      <w:bookmarkEnd w:id="192"/>
      <w:r/>
      <w:bookmarkEnd w:id="193"/>
      <w:r/>
      <w:bookmarkEnd w:id="194"/>
      <w:r>
        <w:rPr>
          <w:rFonts w:hint="eastAsia" w:asciiTheme="minorEastAsia" w:hAnsiTheme="minorEastAsia" w:eastAsiaTheme="minorEastAsia" w:cstheme="minorEastAsia"/>
          <w:bCs/>
          <w:sz w:val="44"/>
        </w:rPr>
        <w:t xml:space="preserve">文件格式</w:t>
      </w:r>
      <w:bookmarkEnd w:id="213"/>
      <w:r>
        <w:rPr>
          <w:rFonts w:hint="eastAsia" w:asciiTheme="minorEastAsia" w:hAnsiTheme="minorEastAsia" w:eastAsiaTheme="minorEastAsia" w:cstheme="minorEastAsia"/>
          <w:bCs/>
          <w:sz w:val="44"/>
        </w:rPr>
        <w:t xml:space="preserve"> </w:t>
      </w:r>
      <w:r/>
    </w:p>
    <w:p>
      <w:pPr>
        <w:jc w:val="center"/>
        <w:rPr>
          <w:rFonts w:hint="eastAsia" w:asciiTheme="minorEastAsia" w:hAnsiTheme="minorEastAsia" w:eastAsiaTheme="minorEastAsia" w:cstheme="minorEastAsia"/>
          <w:b/>
          <w:sz w:val="72"/>
        </w:rPr>
      </w:pPr>
      <w:r/>
      <w:bookmarkStart w:id="225" w:name="_Hlt26671244"/>
      <w:r/>
      <w:bookmarkEnd w:id="225"/>
      <w:r/>
      <w:bookmarkStart w:id="226" w:name="_Hlt26955039"/>
      <w:r/>
      <w:bookmarkEnd w:id="226"/>
      <w:r/>
      <w:bookmarkStart w:id="227" w:name="_Toc26554094"/>
      <w:r/>
      <w:bookmarkStart w:id="228" w:name="_Toc120614282"/>
      <w:r/>
      <w:bookmarkStart w:id="229" w:name="_Toc49090576"/>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投标文件主要格式目录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一、投标人资格声明函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二、特定资格要求的证明文件（如果本项目设置特定资格要求，则需要提供）</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三、法定代表人资格证明书（实质性格式）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四、法人授权书</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五、投标函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六、政府采购供应商信用承诺书（实质性格式）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七、小微企业声明函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八、残疾人福利性单位声明函或监狱企业证明</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九、关于符合本国产品标准的声明函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十、投标分项报价表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十一、技术要求响应及偏离表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十二、合同及商务条款偏离表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十三、开标一览表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十四、投标人关于检测报告合规性的承诺函（实质性格式）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十五、投标文件通用模版编制和评审要求</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227"/>
      <w:r/>
      <w:bookmarkEnd w:id="228"/>
      <w:r/>
      <w:bookmarkEnd w:id="229"/>
      <w:r/>
      <w:r/>
    </w:p>
    <w:p>
      <w:pPr>
        <w:rPr>
          <w:rFonts w:hint="eastAsia" w:asciiTheme="minorEastAsia" w:hAnsiTheme="minorEastAsia" w:eastAsiaTheme="minorEastAsia" w:cstheme="minorEastAsia"/>
          <w:i/>
          <w:sz w:val="32"/>
          <w:szCs w:val="32"/>
          <w:u w:val="single"/>
        </w:rPr>
      </w:pPr>
      <w:r/>
      <w:bookmarkStart w:id="230" w:name="_Toc120614284"/>
      <w:r>
        <w:rPr>
          <w:rFonts w:hint="eastAsia" w:asciiTheme="minorEastAsia" w:hAnsiTheme="minorEastAsia" w:eastAsiaTheme="minorEastAsia" w:cstheme="minorEastAsia"/>
          <w:i/>
          <w:sz w:val="32"/>
          <w:szCs w:val="32"/>
          <w:u w:val="single"/>
        </w:rPr>
        <w:t xml:space="preserve">一、投标人资格声明函</w:t>
      </w:r>
      <w:r/>
    </w:p>
    <w:p>
      <w:pPr>
        <w:jc w:val="center"/>
        <w:spacing w:before="156"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before="156"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8"/>
          <w:szCs w:val="28"/>
        </w:rPr>
        <w:t xml:space="preserve">投标人资格声明函</w:t>
      </w:r>
      <w:r>
        <w:rPr>
          <w:rFonts w:hint="eastAsia" w:asciiTheme="minorEastAsia" w:hAnsiTheme="minorEastAsia" w:eastAsiaTheme="minorEastAsia" w:cstheme="minorEastAsia"/>
        </w:rPr>
        <w:t xml:space="preserve">（实质性格式）</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致：常州市教育基本建设与装备管理中心</w:t>
      </w:r>
      <w:r/>
    </w:p>
    <w:p>
      <w:pPr>
        <w:pStyle w:val="997"/>
        <w:ind w:firstLine="840"/>
        <w:spacing w:line="460" w:lineRule="exac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（采购人名称）</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按照《中华人民共和国政府采购法》第二十二条和招标文件的规定，我单位郑重声明如下：</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一、我单位是按照中华人民共和国法律规定登记注册的，注册地点为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，全称为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，统一社会信用代码为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，法定代表人（单位负责人）为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，具有独立承担民事责任的能力</w:t>
      </w:r>
      <w:r>
        <w:rPr>
          <w:rFonts w:hint="eastAsia" w:asciiTheme="minorEastAsia" w:hAnsiTheme="minorEastAsia" w:eastAsiaTheme="minorEastAsia" w:cstheme="minorEastAsia"/>
          <w:b/>
          <w:i/>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rPr>
        <w:t xml:space="preserve">。</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二、我单位具有良好的商业信誉（指投标人经营状况良好，无本资格声明第九条情形）和健全的财务会计制度。</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三、我单位依法进行纳税和社会保险申报并实际履行了义务。</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四、我单位具有履行本项目采购合同所必需的设备和专业技术能力，并具有履行合同的良好记录。为履行本项采购合同我单位具备如下主要设备和主要专业技术能力:</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主要设备有：</w:t>
      </w:r>
      <w:r>
        <w:rPr>
          <w:rFonts w:hint="eastAsia" w:asciiTheme="minorEastAsia" w:hAnsiTheme="minorEastAsia" w:eastAsiaTheme="minorEastAsia" w:cstheme="minorEastAsia"/>
          <w:u w:val="single"/>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主要专业技术能力有</w:t>
      </w:r>
      <w:r>
        <w:rPr>
          <w:rFonts w:hint="eastAsia" w:asciiTheme="minorEastAsia" w:hAnsiTheme="minorEastAsia" w:eastAsiaTheme="minorEastAsia" w:cstheme="minorEastAsia"/>
          <w:u w:val="single"/>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六、我单位具备法律、行政法规规定的其他条件。</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七、与我单位存在“单位负责人为同一人或者存在直接控股、管理关系”的其他单位信息如下（如无此情形的，填写“无”）：</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1、与我单位的法定代表人（单位负责人）为同一人的其他单位如下：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2、我单位直接控股的其他单位如下：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3、与我单位存在管理关系的其他单位如下：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八、我单位不属于为本项目提供整体设计、规范编制或者项目管理、监理、检测等服务的投标人。</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九、我单位无以下不良信用记录情形：</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1、在“信用中国”网站被列入失信被执行人和重大税收违法案件当事人名单；</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2、在“中国政府采购网”网站被列入政府采购严重违法失信行为记录名单；</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3、不符合《政府采购法》第二十二条规定的条件。</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我单位保证上述声明的事项都是真实的，如有虚假，我单位愿意承担相应的法律责任，并承担因此所造成的一切损失。</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投标人：（加盖公章）</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法定代表人（或单位负责人）签字或盖章：</w:t>
      </w:r>
      <w:r/>
    </w:p>
    <w:p>
      <w:pPr>
        <w:pStyle w:val="997"/>
        <w:ind w:firstLine="4305"/>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Theme="minorEastAsia" w:hAnsiTheme="minorEastAsia" w:eastAsiaTheme="minorEastAsia" w:cstheme="minorEastAsia"/>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三、法定代表人资格证明书（实质性格式）</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法定代表人资格证明书</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     性别:       年龄:      职务: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 xml:space="preserve">（投标人名称）</w:t>
      </w:r>
      <w:r>
        <w:rPr>
          <w:rFonts w:hint="eastAsia" w:asciiTheme="minorEastAsia" w:hAnsiTheme="minorEastAsia" w:eastAsiaTheme="minorEastAsia" w:cstheme="minorEastAsia"/>
          <w:sz w:val="24"/>
        </w:rPr>
        <w:t xml:space="preserve">的法定代表人。为参与</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的政府采购活动，</w:t>
      </w:r>
      <w:r>
        <w:rPr>
          <w:rFonts w:hint="eastAsia" w:asciiTheme="minorEastAsia" w:hAnsiTheme="minorEastAsia" w:eastAsiaTheme="minorEastAsia" w:cstheme="minorEastAsia"/>
          <w:sz w:val="24"/>
          <w:szCs w:val="20"/>
        </w:rPr>
        <w:t xml:space="preserve">签署、澄清确认、递交、撤回、修改</w:t>
      </w:r>
      <w:r>
        <w:rPr>
          <w:rFonts w:hint="eastAsia" w:asciiTheme="minorEastAsia" w:hAnsiTheme="minorEastAsia" w:eastAsiaTheme="minorEastAsia" w:cstheme="minorEastAsia"/>
          <w:sz w:val="24"/>
        </w:rPr>
        <w:t xml:space="preserve">上述项目的投标文件、进行合同磋商、签署合同和处理与之有关的一切事务。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806"/>
        <w:ind w:right="-46"/>
        <w:spacing w:line="583" w:lineRule="auto"/>
        <w:rPr>
          <w:rFonts w:hint="eastAsia" w:asciiTheme="minorEastAsia" w:hAnsiTheme="minorEastAsia" w:eastAsiaTheme="minorEastAsia" w:cstheme="minorEastAsia"/>
          <w:spacing w:val="-3"/>
        </w:rPr>
      </w:pPr>
      <w:r>
        <w:rPr>
          <w:rFonts w:hint="eastAsia" w:asciiTheme="minorEastAsia" w:hAnsiTheme="minorEastAsia" w:eastAsiaTheme="minorEastAsia" w:cstheme="minorEastAsia"/>
        </w:rPr>
        <w:t xml:space="preserve">附：</w:t>
      </w:r>
      <w:r>
        <w:rPr>
          <w:rFonts w:hint="eastAsia" w:asciiTheme="minorEastAsia" w:hAnsiTheme="minorEastAsia" w:eastAsiaTheme="minorEastAsia" w:cstheme="minorEastAsia"/>
          <w:spacing w:val="-3"/>
        </w:rPr>
        <w:t xml:space="preserve">法</w:t>
      </w:r>
      <w:r>
        <w:rPr>
          <w:rFonts w:hint="eastAsia" w:asciiTheme="minorEastAsia" w:hAnsiTheme="minorEastAsia" w:eastAsiaTheme="minorEastAsia" w:cstheme="minorEastAsia"/>
        </w:rPr>
        <w:t xml:space="preserve">定</w:t>
      </w:r>
      <w:r>
        <w:rPr>
          <w:rFonts w:hint="eastAsia" w:asciiTheme="minorEastAsia" w:hAnsiTheme="minorEastAsia" w:eastAsiaTheme="minorEastAsia" w:cstheme="minorEastAsia"/>
          <w:spacing w:val="-3"/>
        </w:rPr>
        <w:t xml:space="preserve">代</w:t>
      </w:r>
      <w:r>
        <w:rPr>
          <w:rFonts w:hint="eastAsia" w:asciiTheme="minorEastAsia" w:hAnsiTheme="minorEastAsia" w:eastAsiaTheme="minorEastAsia" w:cstheme="minorEastAsia"/>
        </w:rPr>
        <w:t xml:space="preserve">表</w:t>
      </w:r>
      <w:r>
        <w:rPr>
          <w:rFonts w:hint="eastAsia" w:asciiTheme="minorEastAsia" w:hAnsiTheme="minorEastAsia" w:eastAsiaTheme="minorEastAsia" w:cstheme="minorEastAsia"/>
          <w:spacing w:val="-3"/>
        </w:rPr>
        <w:t xml:space="preserve">人</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pacing w:val="-3"/>
        </w:rPr>
        <w:t xml:space="preserve">单</w:t>
      </w:r>
      <w:r>
        <w:rPr>
          <w:rFonts w:hint="eastAsia" w:asciiTheme="minorEastAsia" w:hAnsiTheme="minorEastAsia" w:eastAsiaTheme="minorEastAsia" w:cstheme="minorEastAsia"/>
        </w:rPr>
        <w:t xml:space="preserve">位</w:t>
      </w:r>
      <w:r>
        <w:rPr>
          <w:rFonts w:hint="eastAsia" w:asciiTheme="minorEastAsia" w:hAnsiTheme="minorEastAsia" w:eastAsiaTheme="minorEastAsia" w:cstheme="minorEastAsia"/>
          <w:spacing w:val="-3"/>
        </w:rPr>
        <w:t xml:space="preserve">负</w:t>
      </w:r>
      <w:r>
        <w:rPr>
          <w:rFonts w:hint="eastAsia" w:asciiTheme="minorEastAsia" w:hAnsiTheme="minorEastAsia" w:eastAsiaTheme="minorEastAsia" w:cstheme="minorEastAsia"/>
        </w:rPr>
        <w:t xml:space="preserve">责人</w:t>
      </w:r>
      <w:r>
        <w:rPr>
          <w:rFonts w:hint="eastAsia" w:asciiTheme="minorEastAsia" w:hAnsiTheme="minorEastAsia" w:eastAsiaTheme="minorEastAsia" w:cstheme="minorEastAsia"/>
          <w:spacing w:val="-3"/>
        </w:rPr>
        <w:t xml:space="preserve">）有效期内的身份证正反面电子件。</w:t>
      </w:r>
      <w:r/>
    </w:p>
    <w:tbl>
      <w:tblPr>
        <w:tblStyle w:val="80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W w:w="4536"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bl>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投标人：（加盖公章）</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w:t>
      </w:r>
      <w:r>
        <w:rPr>
          <w:rFonts w:hint="eastAsia" w:asciiTheme="minorEastAsia" w:hAnsiTheme="minorEastAsia" w:eastAsiaTheme="minorEastAsia" w:cstheme="minorEastAsia"/>
          <w:sz w:val="24"/>
          <w:szCs w:val="20"/>
        </w:rPr>
        <w:t xml:space="preserve">签字、签章或印鉴</w:t>
      </w:r>
      <w:r>
        <w:rPr>
          <w:rFonts w:hint="eastAsia" w:asciiTheme="minorEastAsia" w:hAnsiTheme="minorEastAsia" w:eastAsiaTheme="minorEastAsia" w:cstheme="minorEastAsia"/>
          <w:sz w:val="24"/>
        </w:rPr>
        <w:t xml:space="preserve">：</w:t>
      </w:r>
      <w:r/>
    </w:p>
    <w:p>
      <w:pPr>
        <w:ind w:firstLine="432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说明：</w:t>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Theme="minorEastAsia" w:hAnsiTheme="minorEastAsia" w:eastAsiaTheme="minorEastAsia" w:cstheme="minorEastAsia"/>
          <w:i/>
          <w:sz w:val="24"/>
          <w:szCs w:val="20"/>
          <w:u w:val="single"/>
        </w:rPr>
      </w:pPr>
      <w:r>
        <w:rPr>
          <w:rFonts w:hint="eastAsia" w:asciiTheme="minorEastAsia" w:hAnsiTheme="minorEastAsia" w:eastAsiaTheme="minorEastAsia" w:cstheme="minorEastAsia"/>
          <w:sz w:val="24"/>
          <w:szCs w:val="20"/>
        </w:rPr>
        <w:t xml:space="preserve">2.投标人为自然人的情形，可不提供本《授权委托书》。</w:t>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四、法人授权书</w:t>
      </w:r>
      <w:r/>
    </w:p>
    <w:p>
      <w:pPr>
        <w:pStyle w:val="1077"/>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77"/>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77"/>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77"/>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77"/>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77"/>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77"/>
        <w:ind w:firstLine="120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77"/>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77"/>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31" w:name="_Hlt26955070"/>
      <w:r/>
      <w:bookmarkEnd w:id="231"/>
      <w:r/>
      <w:bookmarkStart w:id="232" w:name="_格式3__银行出具的资信证明"/>
      <w:r/>
      <w:bookmarkEnd w:id="232"/>
      <w:r/>
      <w:bookmarkStart w:id="233" w:name="_Hlt26671380"/>
      <w:r/>
      <w:bookmarkEnd w:id="233"/>
      <w:r>
        <w:rPr>
          <w:rFonts w:hint="eastAsia" w:asciiTheme="minorEastAsia" w:hAnsiTheme="minorEastAsia" w:eastAsiaTheme="minorEastAsia" w:cstheme="minorEastAsia"/>
          <w:sz w:val="24"/>
          <w:szCs w:val="24"/>
          <w:u w:val="single"/>
        </w:rPr>
        <w:t xml:space="preserve">                                         </w:t>
      </w:r>
      <w:r/>
    </w:p>
    <w:p>
      <w:pPr>
        <w:pStyle w:val="997"/>
        <w:spacing w:line="360" w:lineRule="auto"/>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pStyle w:val="997"/>
        <w:ind w:firstLine="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Cs/>
          <w:i/>
          <w:u w:val="single"/>
        </w:rPr>
      </w:pPr>
      <w:r>
        <w:rPr>
          <w:rFonts w:hint="eastAsia" w:asciiTheme="minorEastAsia" w:hAnsiTheme="minorEastAsia" w:eastAsiaTheme="minorEastAsia" w:cstheme="minorEastAsia"/>
          <w:bCs/>
          <w:sz w:val="24"/>
        </w:rPr>
        <w:br w:type="page" w:clear="all"/>
      </w:r>
      <w:r>
        <w:rPr>
          <w:rFonts w:hint="eastAsia" w:asciiTheme="minorEastAsia" w:hAnsiTheme="minorEastAsia" w:eastAsiaTheme="minorEastAsia" w:cstheme="minorEastAsia"/>
          <w:i/>
          <w:sz w:val="32"/>
          <w:szCs w:val="32"/>
          <w:u w:val="single"/>
        </w:rPr>
        <w:t xml:space="preserve">五、投标函</w:t>
      </w:r>
      <w:r/>
    </w:p>
    <w:p>
      <w:pPr>
        <w:pStyle w:val="1079"/>
        <w:ind w:firstLine="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致：常州市教育基本建设与装备管理中心</w:t>
      </w:r>
      <w:r/>
    </w:p>
    <w:p>
      <w:pPr>
        <w:pStyle w:val="1079"/>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根据贵方的JSZC-*_____________号招标文件，正式授权下述签字人______(姓名)代表我方______________（投标人的名称），全权处理本次项目投标的有关事宜。</w:t>
      </w:r>
      <w:r/>
    </w:p>
    <w:p>
      <w:pPr>
        <w:pStyle w:val="1079"/>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据此函，__________签字人兹宣布同意如下：</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6.一旦我方中标,我方将根据招标文件的规定，严格履行合同的责任和义务,并保证在招标文件规定的时间完成项目，交付买方验收、使用。</w:t>
      </w:r>
      <w:r/>
    </w:p>
    <w:p>
      <w:pPr>
        <w:pStyle w:val="1079"/>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7.除采购文件第四章采购需求中关于实质性要求需要提供证明材料的之外、与国家相关部门对供应商的响应产品有强制性规定或者有要求的，我方承诺完全满足。</w:t>
      </w:r>
      <w:r/>
    </w:p>
    <w:p>
      <w:pPr>
        <w:pStyle w:val="1079"/>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7.与本投标有关的正式通讯地址为：</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          编：</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投标人开户行：</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 </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期：________年____月____日</w:t>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六、政府采购供应商信用承诺书（实质性格式）</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政府采购供应商信用承诺书</w:t>
      </w:r>
      <w:r/>
    </w:p>
    <w:p>
      <w:pPr>
        <w:ind w:firstLine="64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五、承诺本单位自觉接受行政管理部门、行业组织、社会公众、新闻舆论的监督。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七、承诺本单位在信用中国（江苏）网站中无违法违规、较重或严重失信记录。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八、承诺本单位提出政府采购质疑和投诉坚持依法依规、诚实信用原则。</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九、根据政府采购相关法律法规的规定需要作出的其他承诺。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十一、承诺本单位同意将以上承诺事项上网公示，违背承诺约定行为将作为失信信息，记录到常州市公共信用信息系统，并予以公开。</w:t>
      </w:r>
      <w:r/>
    </w:p>
    <w:p>
      <w:pPr>
        <w:pStyle w:val="1112"/>
        <w:ind w:right="1050" w:firstLine="2880"/>
        <w:jc w:val="both"/>
        <w:spacing w:line="276" w:lineRule="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投标人名称（加盖公章）</w:t>
      </w:r>
      <w:r>
        <w:rPr>
          <w:rFonts w:hint="eastAsia" w:asciiTheme="minorEastAsia" w:hAnsiTheme="minorEastAsia" w:eastAsiaTheme="minorEastAsia" w:cstheme="minorEastAsia"/>
          <w:sz w:val="24"/>
          <w:lang w:val="zh-CN"/>
        </w:rPr>
        <w:t xml:space="preserve">：____________</w:t>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日期：_____年______月______日   </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七、小微企业声明函（货物）（分包号：）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采购编号为</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（项目名称）（分包号：）</w:t>
      </w:r>
      <w:r>
        <w:rPr>
          <w:rFonts w:hint="eastAsia" w:asciiTheme="minorEastAsia" w:hAnsiTheme="minorEastAsia" w:eastAsiaTheme="minorEastAsia" w:cstheme="minorEastAsia"/>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jc w:val="left"/>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54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备注2：供应商如不提供此声明函，价格将不做相应扣除。</w:t>
      </w:r>
      <w:r>
        <w:rPr>
          <w:rFonts w:hint="eastAsia" w:asciiTheme="minorEastAsia" w:hAnsiTheme="minorEastAsia" w:eastAsiaTheme="minorEastAsia" w:cstheme="minorEastAsia"/>
          <w:sz w:val="24"/>
        </w:rPr>
        <w:t xml:space="preserve">中标人为小微企业的，此声明函将随中标结果同时公告，接受社会监督。</w:t>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八、残疾人福利性单位声明函（分包号：）</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30"/>
          <w:szCs w:val="30"/>
        </w:rPr>
        <w:t xml:space="preserve">             </w:t>
      </w:r>
      <w:r>
        <w:rPr>
          <w:rFonts w:hint="eastAsia" w:asciiTheme="minorEastAsia" w:hAnsiTheme="minorEastAsia" w:eastAsiaTheme="minorEastAsia" w:cstheme="minorEastAsia"/>
          <w:sz w:val="24"/>
        </w:rPr>
        <w:t xml:space="preserve">         供应商全称（加盖CA电子公章）：</w:t>
      </w:r>
      <w:r/>
    </w:p>
    <w:p>
      <w:pPr>
        <w:ind w:right="1560" w:firstLine="480"/>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643"/>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32"/>
          <w:szCs w:val="32"/>
        </w:rPr>
        <w:t xml:space="preserve">监狱企业证明文件。</w:t>
      </w:r>
      <w:r>
        <w:rPr>
          <w:rFonts w:hint="eastAsia" w:asciiTheme="minorEastAsia" w:hAnsiTheme="minorEastAsia" w:eastAsiaTheme="minorEastAsia" w:cstheme="minorEastAsia"/>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sz w:val="24"/>
          <w:szCs w:val="24"/>
        </w:rPr>
        <w:t xml:space="preserve">资格审查不予通过，作为无效投标。</w:t>
      </w:r>
      <w:r>
        <w:rPr>
          <w:rFonts w:hint="eastAsia" w:asciiTheme="minorEastAsia" w:hAnsiTheme="minorEastAsia" w:eastAsiaTheme="minorEastAsia" w:cstheme="minorEastAsia"/>
          <w:sz w:val="24"/>
        </w:rPr>
        <w:t xml:space="preserve">）</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8"/>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关于符合本国产品标准的声明函（采购包号：**）</w:t>
      </w:r>
      <w:r/>
    </w:p>
    <w:p>
      <w:pPr>
        <w:pStyle w:val="823"/>
        <w:ind w:firstLine="420"/>
        <w:spacing w:beforeAutospacing="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23"/>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3"/>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2451100</wp:posOffset>
                </wp:positionH>
                <wp:positionV relativeFrom="paragraph">
                  <wp:posOffset>606425</wp:posOffset>
                </wp:positionV>
                <wp:extent cx="816610" cy="147320"/>
                <wp:effectExtent l="635" t="4445" r="1905" b="1968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93.0pt;mso-position-horizontal:absolute;mso-position-vertical-relative:text;margin-top:4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1294130</wp:posOffset>
                </wp:positionH>
                <wp:positionV relativeFrom="paragraph">
                  <wp:posOffset>617855</wp:posOffset>
                </wp:positionV>
                <wp:extent cx="876300" cy="120015"/>
                <wp:effectExtent l="635" t="4445" r="18415" b="88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01.9pt;mso-position-horizontal:absolute;mso-position-vertical-relative:text;margin-top:48.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3645535</wp:posOffset>
                </wp:positionH>
                <wp:positionV relativeFrom="paragraph">
                  <wp:posOffset>335915</wp:posOffset>
                </wp:positionV>
                <wp:extent cx="816610" cy="103505"/>
                <wp:effectExtent l="635" t="4445" r="1905" b="635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87.1pt;mso-position-horizontal:absolute;mso-position-vertical-relative:text;margin-top:26.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2454910</wp:posOffset>
                </wp:positionH>
                <wp:positionV relativeFrom="paragraph">
                  <wp:posOffset>368300</wp:posOffset>
                </wp:positionV>
                <wp:extent cx="816610" cy="76200"/>
                <wp:effectExtent l="635" t="4445" r="1905" b="14604"/>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93.3pt;mso-position-horizontal:absolute;mso-position-vertical-relative:text;margin-top:29.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6.2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828"/>
          <w:rFonts w:hint="eastAsia" w:ascii="方正魏碑_GBK" w:hAnsi="方正魏碑_GBK" w:eastAsia="方正魏碑_GBK" w:cs="方正魏碑_GBK"/>
          <w:i w:val="0"/>
          <w:u w:val="single"/>
          <w:shd w:val="clear" w:color="auto" w:fill="ffffff"/>
        </w:rPr>
        <w:t xml:space="preserve">（产品名称1）</w:t>
      </w:r>
      <w:r>
        <w:rPr>
          <w:rStyle w:val="828"/>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28"/>
          <w:rFonts w:hint="eastAsia" w:ascii="方正魏碑_GBK" w:hAnsi="方正魏碑_GBK" w:eastAsia="方正魏碑_GBK" w:cs="方正魏碑_GBK"/>
          <w:i w:val="0"/>
          <w:u w:val="single"/>
          <w:shd w:val="clear" w:color="auto" w:fill="ffffff"/>
        </w:rPr>
        <w:t xml:space="preserve">（厂名）</w:t>
      </w:r>
      <w:r>
        <w:rPr>
          <w:rStyle w:val="828"/>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2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28"/>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28"/>
          <w:rFonts w:hint="eastAsia" w:ascii="方正魏碑_GBK" w:hAnsi="方正魏碑_GBK" w:eastAsia="方正魏碑_GBK" w:cs="方正魏碑_GBK"/>
          <w:i w:val="0"/>
          <w:u w:val="single"/>
          <w:shd w:val="clear" w:color="auto" w:fill="ffffff"/>
        </w:rPr>
        <w:t xml:space="preserve">（规定</w:t>
      </w:r>
      <w:r>
        <w:rPr>
          <w:rStyle w:val="828"/>
          <w:rFonts w:ascii="方正魏碑_GBK" w:hAnsi="方正魏碑_GBK" w:eastAsia="方正魏碑_GBK" w:cs="方正魏碑_GBK"/>
          <w:i w:val="0"/>
          <w:u w:val="single"/>
          <w:shd w:val="clear" w:color="auto" w:fill="ffffff"/>
        </w:rPr>
        <w:t xml:space="preserve">比例</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（关键</w:t>
      </w:r>
      <w:r>
        <w:rPr>
          <w:rStyle w:val="828"/>
          <w:rFonts w:ascii="方正魏碑_GBK" w:hAnsi="方正魏碑_GBK" w:eastAsia="方正魏碑_GBK" w:cs="方正魏碑_GBK"/>
          <w:i w:val="0"/>
          <w:u w:val="single"/>
          <w:shd w:val="clear" w:color="auto" w:fill="ffffff"/>
        </w:rPr>
        <w:t xml:space="preserve">组件</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2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（关键工序）</w:t>
      </w:r>
      <w:r>
        <w:rPr>
          <w:rStyle w:val="828"/>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23"/>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988060</wp:posOffset>
                </wp:positionH>
                <wp:positionV relativeFrom="paragraph">
                  <wp:posOffset>626110</wp:posOffset>
                </wp:positionV>
                <wp:extent cx="908685" cy="140970"/>
                <wp:effectExtent l="635" t="4445" r="5080" b="698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77.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2207260</wp:posOffset>
                </wp:positionH>
                <wp:positionV relativeFrom="paragraph">
                  <wp:posOffset>622935</wp:posOffset>
                </wp:positionV>
                <wp:extent cx="821690" cy="102870"/>
                <wp:effectExtent l="635" t="4445" r="15875" b="698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3.8pt;mso-position-horizontal:absolute;mso-position-vertical-relative:text;margin-top:4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4685665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68.9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3481070</wp:posOffset>
                </wp:positionH>
                <wp:positionV relativeFrom="paragraph">
                  <wp:posOffset>293370</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74.1pt;mso-position-horizontal:absolute;mso-position-vertical-relative:text;margin-top:23.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2379980</wp:posOffset>
                </wp:positionH>
                <wp:positionV relativeFrom="paragraph">
                  <wp:posOffset>280035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7.4pt;mso-position-horizontal:absolute;mso-position-vertical-relative:text;margin-top:22.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82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28"/>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2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28"/>
          <w:rFonts w:hint="eastAsia" w:ascii="方正魏碑_GBK" w:hAnsi="方正魏碑_GBK" w:eastAsia="方正魏碑_GBK" w:cs="方正魏碑_GBK"/>
          <w:i w:val="0"/>
          <w:u w:val="single"/>
          <w:shd w:val="clear" w:color="auto" w:fill="ffffff"/>
        </w:rPr>
        <w:t xml:space="preserve">（规定</w:t>
      </w:r>
      <w:r>
        <w:rPr>
          <w:rStyle w:val="828"/>
          <w:rFonts w:ascii="方正魏碑_GBK" w:hAnsi="方正魏碑_GBK" w:eastAsia="方正魏碑_GBK" w:cs="方正魏碑_GBK"/>
          <w:i w:val="0"/>
          <w:u w:val="single"/>
          <w:shd w:val="clear" w:color="auto" w:fill="ffffff"/>
        </w:rPr>
        <w:t xml:space="preserve">比例</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（关键</w:t>
      </w:r>
      <w:r>
        <w:rPr>
          <w:rStyle w:val="828"/>
          <w:rFonts w:ascii="方正魏碑_GBK" w:hAnsi="方正魏碑_GBK" w:eastAsia="方正魏碑_GBK" w:cs="方正魏碑_GBK"/>
          <w:i w:val="0"/>
          <w:u w:val="single"/>
          <w:shd w:val="clear" w:color="auto" w:fill="ffffff"/>
        </w:rPr>
        <w:t xml:space="preserve">组件</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2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23"/>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23"/>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23"/>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23"/>
        <w:ind w:right="480" w:firstLine="37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823"/>
        <w:jc w:val="center"/>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23"/>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23"/>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23"/>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23"/>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23"/>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23"/>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23"/>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8"/>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投标分项报价表（分包号：）</w:t>
      </w:r>
      <w:r/>
    </w:p>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2"/>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823"/>
              <w:spacing w:beforeAutospacing="0" w:afterAutospacing="0" w:line="0" w:lineRule="atLeast"/>
            </w:pPr>
            <w:r>
              <w:rPr>
                <w:rFonts w:hint="eastAsia" w:ascii="方正魏碑_GBK" w:hAnsi="方正魏碑_GBK" w:eastAsia="方正魏碑_GBK" w:cs="方正魏碑_GBK"/>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Cs w:val="24"/>
                <w:u w:val="single"/>
              </w:rPr>
              <w:t xml:space="preserve">***</w:t>
            </w:r>
            <w:r>
              <w:rPr>
                <w:rFonts w:hint="eastAsia" w:ascii="方正魏碑_GBK" w:hAnsi="方正魏碑_GBK" w:eastAsia="方正魏碑_GBK" w:cs="方正魏碑_GBK"/>
                <w:szCs w:val="24"/>
              </w:rPr>
              <w:t xml:space="preserve">%。</w:t>
            </w:r>
            <w:r/>
          </w:p>
        </w:tc>
      </w:tr>
    </w:tbl>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numPr>
          <w:ilvl w:val="0"/>
          <w:numId w:val="18"/>
        </w:num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技术要求响应及偏离表（分包号：）</w:t>
      </w:r>
      <w:r/>
    </w:p>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对本项目技术要求条款的偏离情况（请进行勾选）：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71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52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9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技术要求响应及偏离表附件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19"/>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19"/>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numPr>
          <w:ilvl w:val="0"/>
          <w:numId w:val="19"/>
        </w:numPr>
        <w:spacing w:line="400" w:lineRule="exact"/>
        <w:rPr>
          <w:rFonts w:hint="eastAsia" w:asciiTheme="minorEastAsia" w:hAnsiTheme="minorEastAsia" w:eastAsiaTheme="minorEastAsia" w:cstheme="minorEastAsia"/>
          <w:sz w:val="24"/>
          <w:szCs w:val="24"/>
        </w:rPr>
      </w:pP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numPr>
          <w:ilvl w:val="0"/>
          <w:numId w:val="19"/>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为便于评审，投标人在偏离表中逐条列出相关技术参数证明材料所在页码。</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30"/>
      <w:r/>
      <w:r/>
    </w:p>
    <w:p>
      <w:pPr>
        <w:numPr>
          <w:ilvl w:val="0"/>
          <w:numId w:val="18"/>
        </w:numPr>
        <w:jc w:val="center"/>
        <w:rPr>
          <w:rFonts w:hint="eastAsia" w:asciiTheme="minorEastAsia" w:hAnsiTheme="minorEastAsia" w:eastAsiaTheme="minorEastAsia" w:cstheme="minorEastAsia"/>
          <w:b/>
          <w:sz w:val="32"/>
          <w:szCs w:val="32"/>
        </w:rPr>
      </w:pPr>
      <w:r/>
      <w:bookmarkStart w:id="234" w:name="_Hlt26955054"/>
      <w:r/>
      <w:bookmarkEnd w:id="234"/>
      <w:r>
        <w:rPr>
          <w:rFonts w:hint="eastAsia" w:asciiTheme="minorEastAsia" w:hAnsiTheme="minorEastAsia" w:eastAsiaTheme="minorEastAsia" w:cstheme="minorEastAsia"/>
          <w:b/>
          <w:sz w:val="32"/>
          <w:szCs w:val="32"/>
        </w:rPr>
        <w:t xml:space="preserve">合同及商务条款偏离表（分包号：）</w:t>
      </w:r>
      <w:r/>
    </w:p>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bookmarkStart w:id="235" w:name="_Hlt26580838"/>
            <w:r/>
            <w:bookmarkEnd w:id="235"/>
            <w:r/>
            <w:bookmarkStart w:id="236" w:name="_Hlt26782999"/>
            <w:r/>
            <w:bookmarkEnd w:id="236"/>
            <w:r/>
            <w:bookmarkStart w:id="237" w:name="_Hlt26955056"/>
            <w:r/>
            <w:bookmarkEnd w:id="237"/>
            <w:r/>
            <w:bookmarkStart w:id="238" w:name="_Hlt26671343"/>
            <w:r/>
            <w:bookmarkEnd w:id="238"/>
            <w:r/>
            <w:bookmarkStart w:id="239" w:name="_Hlt26671372"/>
            <w:r/>
            <w:bookmarkEnd w:id="239"/>
            <w:r/>
            <w:bookmarkStart w:id="240" w:name="_Hlt26955064"/>
            <w:r/>
            <w:bookmarkEnd w:id="240"/>
            <w:r/>
            <w:bookmarkStart w:id="241" w:name="_Hlt24879081"/>
            <w:r/>
            <w:bookmarkEnd w:id="241"/>
            <w:r/>
            <w:bookmarkStart w:id="242" w:name="_Hlt26609391"/>
            <w:r/>
            <w:bookmarkEnd w:id="242"/>
            <w:r>
              <w:rPr>
                <w:rFonts w:hint="eastAsia" w:asciiTheme="minorEastAsia" w:hAnsiTheme="minorEastAsia" w:eastAsiaTheme="minorEastAsia" w:cstheme="minorEastAsia"/>
                <w:b/>
                <w:sz w:val="24"/>
              </w:rPr>
              <w:t xml:space="preserve">对本项目商务要求条款的偏离情况（请进行勾选）：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85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41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9"/>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19"/>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3.如果招标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997"/>
        <w:ind w:firstLine="0"/>
        <w:rPr>
          <w:rFonts w:hint="eastAsia" w:asciiTheme="minorEastAsia" w:hAnsiTheme="minorEastAsia" w:eastAsiaTheme="minorEastAsia" w:cstheme="minorEastAsia"/>
          <w:sz w:val="24"/>
        </w:rPr>
      </w:pPr>
      <w:r/>
      <w:bookmarkStart w:id="243" w:name="_Hlt26671374"/>
      <w:r/>
      <w:bookmarkEnd w:id="243"/>
      <w:r/>
      <w:bookmarkStart w:id="244" w:name="_Hlt26955066"/>
      <w:r/>
      <w:bookmarkEnd w:id="244"/>
      <w:r/>
      <w:bookmarkStart w:id="245" w:name="_Hlt26609389"/>
      <w:r/>
      <w:bookmarkEnd w:id="245"/>
      <w:r/>
      <w:bookmarkStart w:id="246" w:name="_Toc462564146"/>
      <w:r/>
      <w:bookmarkEnd w:id="195"/>
      <w:r/>
      <w:bookmarkEnd w:id="196"/>
      <w:r/>
      <w:bookmarkEnd w:id="246"/>
      <w:r/>
      <w:r/>
    </w:p>
    <w:p>
      <w:pPr>
        <w:jc w:val="center"/>
        <w:rPr>
          <w:rFonts w:hint="eastAsia" w:asciiTheme="minorEastAsia" w:hAnsiTheme="minorEastAsia" w:eastAsiaTheme="minorEastAsia" w:cstheme="minorEastAsia"/>
          <w:b/>
          <w:sz w:val="32"/>
          <w:szCs w:val="32"/>
        </w:rPr>
      </w:pPr>
      <w:r/>
      <w:bookmarkStart w:id="247" w:name="_格式2__法定代表人授权书"/>
      <w:r/>
      <w:bookmarkEnd w:id="247"/>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b/>
          <w:i/>
          <w:sz w:val="32"/>
          <w:szCs w:val="32"/>
          <w:u w:val="single"/>
        </w:rPr>
        <w:t xml:space="preserve">十三、开标一览表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Style w:val="8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核心产品品牌</w:t>
            </w:r>
            <w:r/>
          </w:p>
        </w:tc>
        <w:tc>
          <w:tcPr>
            <w:tcW w:w="640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十四、投标人关于检测报告合规性的承诺函（实质性格式）</w:t>
      </w:r>
      <w:r/>
    </w:p>
    <w:p>
      <w:pPr>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13" name="矩形 6"/>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2" o:spid="_x0000_s12" o:spt="1" type="#_x0000_t1" style="position:absolute;z-index:251671552;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Theme="minorEastAsia" w:hAnsiTheme="minorEastAsia" w:eastAsiaTheme="minorEastAsia" w:cstheme="minorEastAsia"/>
          <w:sz w:val="24"/>
          <w:szCs w:val="24"/>
        </w:rPr>
        <w:t xml:space="preserve">（本承诺书须加盖投标人公章，随投标文件一并提交）</w:t>
      </w:r>
      <w:r/>
    </w:p>
    <w:p>
      <w:pPr>
        <w:pStyle w:val="806"/>
        <w:spacing w:before="17"/>
        <w:rPr>
          <w:rFonts w:hint="eastAsia" w:asciiTheme="minorEastAsia" w:hAnsiTheme="minorEastAsia" w:eastAsiaTheme="minorEastAsia" w:cstheme="minorEastAsia"/>
          <w:b/>
          <w:sz w:val="10"/>
        </w:rPr>
      </w:pPr>
      <w:r>
        <w:rPr>
          <w:rFonts w:hint="eastAsia" w:asciiTheme="minorEastAsia" w:hAnsiTheme="minorEastAsia" w:eastAsiaTheme="minorEastAsia" w:cstheme="minorEastAsia"/>
          <w:b/>
          <w:sz w:val="10"/>
        </w:rPr>
      </w:r>
      <w:r/>
    </w:p>
    <w:p>
      <w:pPr>
        <w:ind w:left="100"/>
        <w:jc w:val="center"/>
        <w:spacing w:before="201" w:line="400" w:lineRule="exact"/>
        <w:rPr>
          <w:rFonts w:hint="eastAsia" w:asciiTheme="minorEastAsia" w:hAnsiTheme="minorEastAsia" w:eastAsiaTheme="minorEastAsia" w:cstheme="minorEastAsia"/>
          <w:b/>
          <w:sz w:val="24"/>
          <w:szCs w:val="24"/>
        </w:rPr>
      </w:pPr>
      <w:r/>
      <w:bookmarkStart w:id="248" w:name="投标人关于检测报告合规性的承诺书"/>
      <w:r/>
      <w:bookmarkEnd w:id="248"/>
      <w:r>
        <w:rPr>
          <w:rFonts w:hint="eastAsia" w:asciiTheme="minorEastAsia" w:hAnsiTheme="minorEastAsia" w:eastAsiaTheme="minorEastAsia" w:cstheme="minorEastAsia"/>
          <w:b/>
          <w:sz w:val="24"/>
          <w:szCs w:val="24"/>
        </w:rPr>
        <w:t xml:space="preserve">投标人关于检测报告合规性的承诺函</w:t>
      </w:r>
      <w:r/>
    </w:p>
    <w:p>
      <w:pPr>
        <w:pStyle w:val="806"/>
        <w:ind w:left="100"/>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（采购人/采购代理机构）</w:t>
      </w:r>
      <w:r/>
    </w:p>
    <w:p>
      <w:pPr>
        <w:pStyle w:val="806"/>
        <w:ind w:left="100" w:firstLine="504"/>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我单位（投标人全称：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，统一社会信用代码：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）就参与贵单位组织的“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”项目（项目编号：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）投标（响应），现就所提交的检测报告及相关证明材料郑重承诺</w:t>
      </w:r>
      <w:r>
        <w:rPr>
          <w:rFonts w:hint="eastAsia" w:asciiTheme="minorEastAsia" w:hAnsiTheme="minorEastAsia" w:eastAsiaTheme="minorEastAsia" w:cstheme="minorEastAsia"/>
          <w:spacing w:val="-17"/>
          <w:szCs w:val="24"/>
        </w:rPr>
        <w:t xml:space="preserve">如</w:t>
      </w:r>
      <w:r>
        <w:rPr>
          <w:rFonts w:hint="eastAsia" w:asciiTheme="minorEastAsia" w:hAnsiTheme="minorEastAsia" w:eastAsiaTheme="minorEastAsia" w:cstheme="minorEastAsia"/>
          <w:szCs w:val="24"/>
        </w:rPr>
        <w:t xml:space="preserve">下：</w:t>
      </w:r>
      <w:r/>
    </w:p>
    <w:p>
      <w:pPr>
        <w:pStyle w:val="799"/>
        <w:numPr>
          <w:ilvl w:val="0"/>
          <w:numId w:val="20"/>
        </w:numPr>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检测报告真实性</w:t>
      </w:r>
      <w:r/>
    </w:p>
    <w:p>
      <w:pPr>
        <w:pStyle w:val="806"/>
        <w:ind w:right="180" w:firstLine="504"/>
        <w:spacing w:before="0" w:line="400" w:lineRule="exact"/>
        <w:tabs>
          <w:tab w:val="clear" w:pos="567" w:leader="none"/>
          <w:tab w:val="left" w:pos="4483"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我单位提交的检测报告（报告编号：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）系由具备有效CMA资质的检验检测机构依法出具，内容真实、完整</w:t>
      </w:r>
      <w:r>
        <w:rPr>
          <w:rFonts w:hint="eastAsia" w:asciiTheme="minorEastAsia" w:hAnsiTheme="minorEastAsia" w:eastAsiaTheme="minorEastAsia" w:cstheme="minorEastAsia"/>
          <w:spacing w:val="-17"/>
          <w:szCs w:val="24"/>
        </w:rPr>
        <w:t xml:space="preserve">， </w:t>
      </w:r>
      <w:r>
        <w:rPr>
          <w:rFonts w:hint="eastAsia" w:asciiTheme="minorEastAsia" w:hAnsiTheme="minorEastAsia" w:eastAsiaTheme="minorEastAsia" w:cstheme="minorEastAsia"/>
          <w:szCs w:val="24"/>
        </w:rPr>
        <w:t xml:space="preserve">未作任何篡改或伪造。</w:t>
      </w:r>
      <w:r/>
    </w:p>
    <w:p>
      <w:pPr>
        <w:pStyle w:val="799"/>
        <w:numPr>
          <w:ilvl w:val="0"/>
          <w:numId w:val="20"/>
        </w:numPr>
        <w:keepLines w:val="0"/>
        <w:keepNext w:val="0"/>
        <w:spacing w:before="4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检测机构资质有效性</w:t>
      </w:r>
      <w:r/>
    </w:p>
    <w:p>
      <w:pPr>
        <w:pStyle w:val="806"/>
        <w:ind w:right="308" w:firstLine="480"/>
        <w:spacing w:line="400" w:lineRule="exact"/>
        <w:tabs>
          <w:tab w:val="clear" w:pos="567" w:leader="none"/>
          <w:tab w:val="left" w:pos="773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出具机构持有有效的《检验检测机构资质认定证书》（CMA证书编号：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），且所检项目、依据标准及</w:t>
      </w:r>
      <w:r>
        <w:rPr>
          <w:rFonts w:hint="eastAsia" w:asciiTheme="minorEastAsia" w:hAnsiTheme="minorEastAsia" w:eastAsiaTheme="minorEastAsia" w:cstheme="minorEastAsia"/>
          <w:spacing w:val="-18"/>
          <w:szCs w:val="24"/>
        </w:rPr>
        <w:t xml:space="preserve">方</w:t>
      </w:r>
      <w:r>
        <w:rPr>
          <w:rFonts w:hint="eastAsia" w:asciiTheme="minorEastAsia" w:hAnsiTheme="minorEastAsia" w:eastAsiaTheme="minorEastAsia" w:cstheme="minorEastAsia"/>
          <w:szCs w:val="24"/>
        </w:rPr>
        <w:t xml:space="preserve">法均在其《资质认定能力附表》核准范围内。</w:t>
      </w:r>
      <w:r/>
    </w:p>
    <w:p>
      <w:pPr>
        <w:pStyle w:val="799"/>
        <w:numPr>
          <w:ilvl w:val="0"/>
          <w:numId w:val="20"/>
        </w:numPr>
        <w:keepLines w:val="0"/>
        <w:keepNext w:val="0"/>
        <w:spacing w:before="12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材料一致性</w:t>
      </w:r>
      <w:r/>
    </w:p>
    <w:p>
      <w:pPr>
        <w:pStyle w:val="806"/>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所投产品品牌、型号、技术参数与检测报告完全一致。</w:t>
      </w:r>
      <w:r/>
    </w:p>
    <w:p>
      <w:pPr>
        <w:pStyle w:val="799"/>
        <w:numPr>
          <w:ilvl w:val="0"/>
          <w:numId w:val="20"/>
        </w:numPr>
        <w:jc w:val="both"/>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法律责任承担</w:t>
      </w:r>
      <w:r/>
    </w:p>
    <w:p>
      <w:pPr>
        <w:pStyle w:val="806"/>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806"/>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806"/>
        <w:ind w:left="100"/>
        <w:spacing w:before="56"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本承诺函自签署之日起生效，具有法律约束力。</w:t>
      </w:r>
      <w:r/>
    </w:p>
    <w:p>
      <w:pPr>
        <w:pStyle w:val="806"/>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投标人（盖章）：</w:t>
      </w:r>
      <w:r/>
    </w:p>
    <w:p>
      <w:pPr>
        <w:pStyle w:val="806"/>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法定代表人或授权代表（签字）</w:t>
      </w:r>
      <w:r/>
    </w:p>
    <w:p>
      <w:pPr>
        <w:pStyle w:val="806"/>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806"/>
        <w:spacing w:before="18"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98"/>
        <w:spacing w:line="400" w:lineRule="exact"/>
        <w:rPr>
          <w:rFonts w:hint="eastAsia" w:asciiTheme="minorEastAsia" w:hAnsiTheme="minorEastAsia" w:eastAsiaTheme="minorEastAsia" w:cstheme="minorEastAsia"/>
          <w:sz w:val="24"/>
          <w:szCs w:val="24"/>
        </w:rPr>
      </w:pPr>
      <w:r/>
      <w:bookmarkStart w:id="249" w:name="使用说明："/>
      <w:r/>
      <w:bookmarkEnd w:id="249"/>
      <w:r>
        <w:rPr>
          <w:rFonts w:hint="eastAsia" w:asciiTheme="minorEastAsia" w:hAnsiTheme="minorEastAsia" w:eastAsiaTheme="minorEastAsia" w:cstheme="minorEastAsia"/>
          <w:sz w:val="24"/>
          <w:szCs w:val="24"/>
        </w:rPr>
        <w:t xml:space="preserve">使用说明：</w:t>
      </w:r>
      <w:r/>
    </w:p>
    <w:p>
      <w:pPr>
        <w:pStyle w:val="806"/>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本承诺函为强制性投标文件组成部分 ，未提供或未盖章视为未实质性响应采购要求； 采购人有权依据本承诺书启动核查程序，并作为后续处理依据。</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十五、投标文件通用模版编制和评审要求</w:t>
      </w:r>
      <w:r/>
    </w:p>
    <w:tbl>
      <w:tblPr>
        <w:tblStyle w:val="802"/>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类型</w:t>
            </w:r>
            <w:r/>
          </w:p>
        </w:tc>
        <w:tc>
          <w:tcPr>
            <w:tcW w:w="2946"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栏目名称</w:t>
            </w:r>
            <w:r/>
          </w:p>
        </w:tc>
        <w:tc>
          <w:tcPr>
            <w:tcW w:w="5311"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编制和评审要求</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投标文件封面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按照招标（采购）文件的规定格式。(格式见</w:t>
            </w:r>
            <w:r>
              <w:rPr>
                <w:rFonts w:hint="eastAsia" w:asciiTheme="minorEastAsia" w:hAnsiTheme="minorEastAsia" w:eastAsiaTheme="minorEastAsia" w:cstheme="minorEastAsia"/>
                <w:b/>
                <w:bCs/>
              </w:rPr>
              <w:t xml:space="preserve">《投标文件格式》</w:t>
            </w:r>
            <w:r>
              <w:rPr>
                <w:rFonts w:hint="eastAsia" w:asciiTheme="minorEastAsia" w:hAnsiTheme="minorEastAsia" w:eastAsiaTheme="minorEastAsia" w:cstheme="minorEastAsia"/>
              </w:rPr>
              <w:t xml:space="preserve">)</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开标一览表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《开标一览表》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《技术要求响应及偏离表》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商务要求响应及偏离表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《商务要求响应及偏离表》</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项目完整技术和实施方案</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投标人（供应商）资格声明函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《投标人（供应商）资格声明函》</w:t>
            </w:r>
            <w:r>
              <w:rPr>
                <w:rFonts w:hint="eastAsia" w:asciiTheme="minorEastAsia" w:hAnsiTheme="minorEastAsia" w:eastAsiaTheme="minorEastAsia" w:cstheme="minorEastAsia"/>
              </w:rPr>
              <w:t xml:space="preserve">。(格式见《投标文件格式》)</w:t>
            </w:r>
            <w:r/>
          </w:p>
        </w:tc>
      </w:tr>
      <w:tr>
        <w:trPr>
          <w:trHeight w:val="216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无需投标人（供应</w:t>
            </w:r>
            <w:r>
              <w:rPr>
                <w:rFonts w:hint="eastAsia" w:asciiTheme="minorEastAsia" w:hAnsiTheme="minorEastAsia" w:eastAsiaTheme="minorEastAsia" w:cstheme="minorEastAsia"/>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中小企业声明函等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《中小企业声明函》或者《残疾人福利性单位声明函》或者监狱企业证明文件</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其他落实政府采购政策的资格要求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是否接受联合体投标</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如是接受联合体投标，且投标人（供应商）组成联合体投标的必须提供</w:t>
            </w:r>
            <w:r>
              <w:rPr>
                <w:rFonts w:hint="eastAsia" w:asciiTheme="minorEastAsia" w:hAnsiTheme="minorEastAsia" w:eastAsiaTheme="minorEastAsia" w:cstheme="minorEastAsia"/>
                <w:b/>
                <w:bCs/>
              </w:rPr>
              <w:t xml:space="preserve">《联合体协议》</w:t>
            </w:r>
            <w:r>
              <w:rPr>
                <w:rFonts w:hint="eastAsia" w:asciiTheme="minorEastAsia" w:hAnsiTheme="minorEastAsia" w:eastAsiaTheme="minorEastAsia" w:cstheme="minorEastAsia"/>
              </w:rPr>
              <w:t xml:space="preserve">原件的电子件，格式见《投标文件格式》)，否则无需提供。</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本项目的特定资格要求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　</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政府采购供应商信用承诺书（实质性格式）</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《政府采购供应商信用承诺书（实质性格式）》</w:t>
            </w:r>
            <w:r>
              <w:rPr>
                <w:rFonts w:hint="eastAsia" w:asciiTheme="minorEastAsia" w:hAnsiTheme="minorEastAsia" w:eastAsiaTheme="minorEastAsia" w:cstheme="minorEastAsia"/>
              </w:rPr>
              <w:t xml:space="preserve">。(格式见《投标文件格式》)　</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法定代表人资格证明书、法人授权书、投标函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按招标（采购）文件要求提供</w:t>
            </w:r>
            <w:r>
              <w:rPr>
                <w:rFonts w:hint="eastAsia" w:asciiTheme="minorEastAsia" w:hAnsiTheme="minorEastAsia" w:eastAsiaTheme="minorEastAsia" w:cstheme="minorEastAsia"/>
                <w:b/>
                <w:bCs/>
              </w:rPr>
              <w:t xml:space="preserve">《法定代表人资格证明书》、《法人授权书》、《投标函》</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由评委审查，无需供应商提供材料。开标一览表、投标报价、未超过招标（采购）文件中规定的项目/采购包预算金额或者项目/采购包最高限价。</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报价唯一性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投标（响应）文件未出现可选择性或可调整的报价（招标（采购）文件另有规定的除外）；提供</w:t>
            </w:r>
            <w:r>
              <w:rPr>
                <w:rFonts w:hint="eastAsia" w:asciiTheme="minorEastAsia" w:hAnsiTheme="minorEastAsia" w:eastAsiaTheme="minorEastAsia" w:cstheme="minorEastAsia"/>
                <w:b/>
                <w:bCs/>
              </w:rPr>
              <w:t xml:space="preserve">《分项报价表》</w:t>
            </w:r>
            <w:r>
              <w:rPr>
                <w:rFonts w:hint="eastAsia" w:asciiTheme="minorEastAsia" w:hAnsiTheme="minorEastAsia" w:eastAsiaTheme="minorEastAsia" w:cstheme="minorEastAsia"/>
              </w:rPr>
              <w:t xml:space="preserve">。(格式见《投标文件格式》)</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报价合理性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报价的修正（如有）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由评委审查，无需供应商提供材料。不涉及报价修正，或投标（响应）文件报价出现前后不一致时，投标人（供应商）对修正后的报价予以确认。</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签署、加盖公章</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由评委审查，无需供应商提供材料。按照招标（采购）文件要求签署、加盖公章的。</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进口产品（如有）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投标完整性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由评委审查，无需供应商提供材料。投标人（供应商）未将一个采购包中的内容拆开投标。</w:t>
            </w:r>
            <w:r/>
          </w:p>
        </w:tc>
      </w:tr>
      <w:tr>
        <w:trPr>
          <w:trHeight w:val="135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公平竞争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国家有关部门对投标产品有强制性规定或要求的</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附加条件</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由评委审查，无需供应商提供材料。投标文件未含有采购人不能接受的附加条件的。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其他无效情形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实质性条款响应1</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实质性条款响应2</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实质性条款响应3</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实质性条款响应4</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实质性条款响应5</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其他实质性条款响应</w:t>
            </w:r>
            <w:r/>
          </w:p>
        </w:tc>
        <w:tc>
          <w:tcPr>
            <w:tcW w:w="5311"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价格折扣文件格式</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小微企业声明函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属于小微企业的提供符合招标（采购）文件要求的</w:t>
            </w:r>
            <w:r>
              <w:rPr>
                <w:rFonts w:hint="eastAsia" w:asciiTheme="minorEastAsia" w:hAnsiTheme="minorEastAsia" w:eastAsiaTheme="minorEastAsia" w:cstheme="minorEastAsia"/>
                <w:b/>
                <w:bCs/>
              </w:rPr>
              <w:t xml:space="preserve">《小微企业声明函》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《残疾人福利性单位声明函》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监狱企业证明文件</w:t>
            </w:r>
            <w:r>
              <w:rPr>
                <w:rFonts w:hint="eastAsia" w:asciiTheme="minorEastAsia" w:hAnsiTheme="minorEastAsia" w:eastAsiaTheme="minorEastAsia" w:cstheme="minorEastAsia"/>
              </w:rPr>
              <w:t xml:space="preserve">。(格式见《投标文件格式》)</w:t>
            </w:r>
            <w:r/>
          </w:p>
        </w:tc>
      </w:tr>
    </w:tbl>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03"/>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03"/>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03"/>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pPr>
    <w:r>
      <w:fldChar w:fldCharType="begin"/>
    </w:r>
    <w:r>
      <w:instrText xml:space="preserve">PAGE   \* MERGEFORMAT</w:instrText>
    </w:r>
    <w:r>
      <w:fldChar w:fldCharType="separate"/>
    </w:r>
    <w:r>
      <w:rPr>
        <w:lang w:val="zh-CN"/>
      </w:rPr>
      <w:t xml:space="preserve">58</w:t>
    </w:r>
    <w:r>
      <w:fldChar w:fldCharType="end"/>
    </w:r>
    <w:r/>
  </w:p>
  <w:p>
    <w:pPr>
      <w:pStyle w:val="104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pPr>
    <w:r>
      <w:fldChar w:fldCharType="begin"/>
    </w:r>
    <w:r>
      <w:instrText xml:space="preserve">PAGE   \* MERGEFORMAT</w:instrText>
    </w:r>
    <w:r>
      <w:fldChar w:fldCharType="separate"/>
    </w:r>
    <w:r>
      <w:rPr>
        <w:lang w:val="zh-CN"/>
      </w:rPr>
      <w:t xml:space="preserve">59</w:t>
    </w:r>
    <w:r>
      <w:fldChar w:fldCharType="end"/>
    </w:r>
    <w:r/>
  </w:p>
  <w:p>
    <w:pPr>
      <w:pStyle w:val="104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pPr>
    <w:r>
      <w:fldChar w:fldCharType="begin"/>
    </w:r>
    <w:r>
      <w:instrText xml:space="preserve">PAGE   \* MERGEFORMAT</w:instrText>
    </w:r>
    <w:r>
      <w:fldChar w:fldCharType="separate"/>
    </w:r>
    <w:r>
      <w:rPr>
        <w:lang w:val="zh-CN"/>
      </w:rPr>
      <w:t xml:space="preserve">61</w:t>
    </w:r>
    <w:r>
      <w:fldChar w:fldCharType="end"/>
    </w:r>
    <w:r/>
  </w:p>
  <w:p>
    <w:pPr>
      <w:pStyle w:val="1040"/>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p>
  <w:p>
    <w:pPr>
      <w:pStyle w:val="10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3）"/>
      <w:lvlJc w:val="left"/>
      <w:pPr>
        <w:ind w:left="0" w:firstLine="0"/>
      </w:pPr>
      <w:rPr>
        <w:rFonts w:hint="eastAsia"/>
      </w:rPr>
    </w:lvl>
    <w:lvl w:ilvl="3">
      <w:start w:val="1"/>
      <w:numFmt w:val="decimalEnclosedCircleChinese"/>
      <w:isLgl w:val="false"/>
      <w:suff w:val="nothing"/>
      <w:lvlText w:val="%4"/>
      <w:lvlJc w:val="left"/>
      <w:pPr>
        <w:ind w:left="0" w:firstLine="0"/>
      </w:pPr>
      <w:rPr>
        <w:rFonts w:hint="eastAsia"/>
      </w:rPr>
    </w:lvl>
    <w:lvl w:ilvl="4">
      <w:start w:val="1"/>
      <w:numFmt w:val="decimal"/>
      <w:isLgl w:val="false"/>
      <w:suff w:val="nothing"/>
      <w:lvlText w:val="%5）"/>
      <w:lvlJc w:val="left"/>
      <w:pPr>
        <w:ind w:left="0" w:firstLine="0"/>
      </w:pPr>
      <w:rPr>
        <w:rFonts w:hint="eastAsia"/>
      </w:rPr>
    </w:lvl>
    <w:lvl w:ilvl="5">
      <w:start w:val="1"/>
      <w:numFmt w:val="lowerLetter"/>
      <w:isLgl w:val="false"/>
      <w:suff w:val="nothing"/>
      <w:lvlText w:val="%6．"/>
      <w:lvlJc w:val="left"/>
      <w:pPr>
        <w:ind w:left="0" w:firstLine="0"/>
      </w:pPr>
      <w:rPr>
        <w:rFonts w:hint="eastAsia"/>
      </w:rPr>
    </w:lvl>
    <w:lvl w:ilvl="6">
      <w:start w:val="1"/>
      <w:numFmt w:val="lowerLetter"/>
      <w:isLgl w:val="false"/>
      <w:suff w:val="nothing"/>
      <w:lvlText w:val="%7）"/>
      <w:lvlJc w:val="left"/>
      <w:pPr>
        <w:ind w:left="0" w:firstLine="0"/>
      </w:pPr>
      <w:rPr>
        <w:rFonts w:hint="eastAsia"/>
      </w:rPr>
    </w:lvl>
    <w:lvl w:ilvl="7">
      <w:start w:val="1"/>
      <w:numFmt w:val="lowerRoman"/>
      <w:isLgl w:val="false"/>
      <w:suff w:val="nothing"/>
      <w:lvlText w:val="%8．"/>
      <w:lvlJc w:val="left"/>
      <w:pPr>
        <w:ind w:left="0" w:firstLine="0"/>
      </w:pPr>
      <w:rPr>
        <w:rFonts w:hint="eastAsia"/>
      </w:rPr>
    </w:lvl>
    <w:lvl w:ilvl="8">
      <w:start w:val="1"/>
      <w:numFmt w:val="lowerRoman"/>
      <w:isLgl w:val="false"/>
      <w:suff w:val="nothing"/>
      <w:lvlText w:val="%9）"/>
      <w:lvlJc w:val="left"/>
      <w:pPr>
        <w:ind w:left="0" w:firstLine="0"/>
      </w:pPr>
      <w:rPr>
        <w:rFonts w:hint="eastAsia"/>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0">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8"/>
      <w:isLgl w:val="false"/>
      <w:suff w:val="nothing"/>
      <w:lvlText w:val=""/>
      <w:lvlJc w:val="left"/>
      <w:pPr>
        <w:ind w:left="0" w:firstLine="0"/>
      </w:pPr>
      <w:rPr>
        <w:rFonts w:hint="eastAsia"/>
      </w:rPr>
    </w:lvl>
    <w:lvl w:ilvl="7">
      <w:start w:val="1"/>
      <w:numFmt w:val="decimal"/>
      <w:pStyle w:val="1010"/>
      <w:isLgl w:val="false"/>
      <w:suff w:val="nothing"/>
      <w:lvlText w:val=""/>
      <w:lvlJc w:val="left"/>
      <w:pPr>
        <w:ind w:left="0" w:firstLine="0"/>
      </w:pPr>
      <w:rPr>
        <w:rFonts w:hint="eastAsia"/>
      </w:rPr>
    </w:lvl>
    <w:lvl w:ilvl="8">
      <w:start w:val="1"/>
      <w:numFmt w:val="decimal"/>
      <w:pStyle w:val="1012"/>
      <w:isLgl w:val="false"/>
      <w:suff w:val="nothing"/>
      <w:lvlText w:val=""/>
      <w:lvlJc w:val="left"/>
      <w:pPr>
        <w:ind w:left="0" w:firstLine="0"/>
      </w:pPr>
      <w:rPr>
        <w:rFonts w:hint="eastAsia"/>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90" w:hanging="277"/>
      </w:pPr>
      <w:rPr>
        <w:rFonts w:hint="default" w:ascii="微软雅黑" w:hAnsi="微软雅黑" w:eastAsia="微软雅黑" w:cs="微软雅黑"/>
        <w:spacing w:val="-1"/>
        <w:sz w:val="19"/>
        <w:szCs w:val="19"/>
        <w:lang w:val="en-US" w:eastAsia="zh-CN" w:bidi="ar-SA"/>
      </w:rPr>
    </w:lvl>
    <w:lvl w:ilvl="1">
      <w:start w:val="0"/>
      <w:numFmt w:val="bullet"/>
      <w:isLgl w:val="false"/>
      <w:suff w:val="tab"/>
      <w:lvlText w:val="•"/>
      <w:lvlJc w:val="left"/>
      <w:pPr>
        <w:ind w:left="1528" w:hanging="277"/>
      </w:pPr>
      <w:rPr>
        <w:rFonts w:hint="default"/>
        <w:lang w:val="en-US" w:eastAsia="zh-CN" w:bidi="ar-SA"/>
      </w:rPr>
    </w:lvl>
    <w:lvl w:ilvl="2">
      <w:start w:val="0"/>
      <w:numFmt w:val="bullet"/>
      <w:isLgl w:val="false"/>
      <w:suff w:val="tab"/>
      <w:lvlText w:val="•"/>
      <w:lvlJc w:val="left"/>
      <w:pPr>
        <w:ind w:left="2556" w:hanging="277"/>
      </w:pPr>
      <w:rPr>
        <w:rFonts w:hint="default"/>
        <w:lang w:val="en-US" w:eastAsia="zh-CN" w:bidi="ar-SA"/>
      </w:rPr>
    </w:lvl>
    <w:lvl w:ilvl="3">
      <w:start w:val="0"/>
      <w:numFmt w:val="bullet"/>
      <w:isLgl w:val="false"/>
      <w:suff w:val="tab"/>
      <w:lvlText w:val="•"/>
      <w:lvlJc w:val="left"/>
      <w:pPr>
        <w:ind w:left="3584" w:hanging="277"/>
      </w:pPr>
      <w:rPr>
        <w:rFonts w:hint="default"/>
        <w:lang w:val="en-US" w:eastAsia="zh-CN" w:bidi="ar-SA"/>
      </w:rPr>
    </w:lvl>
    <w:lvl w:ilvl="4">
      <w:start w:val="0"/>
      <w:numFmt w:val="bullet"/>
      <w:isLgl w:val="false"/>
      <w:suff w:val="tab"/>
      <w:lvlText w:val="•"/>
      <w:lvlJc w:val="left"/>
      <w:pPr>
        <w:ind w:left="4612" w:hanging="277"/>
      </w:pPr>
      <w:rPr>
        <w:rFonts w:hint="default"/>
        <w:lang w:val="en-US" w:eastAsia="zh-CN" w:bidi="ar-SA"/>
      </w:rPr>
    </w:lvl>
    <w:lvl w:ilvl="5">
      <w:start w:val="0"/>
      <w:numFmt w:val="bullet"/>
      <w:isLgl w:val="false"/>
      <w:suff w:val="tab"/>
      <w:lvlText w:val="•"/>
      <w:lvlJc w:val="left"/>
      <w:pPr>
        <w:ind w:left="5640" w:hanging="277"/>
      </w:pPr>
      <w:rPr>
        <w:rFonts w:hint="default"/>
        <w:lang w:val="en-US" w:eastAsia="zh-CN" w:bidi="ar-SA"/>
      </w:rPr>
    </w:lvl>
    <w:lvl w:ilvl="6">
      <w:start w:val="0"/>
      <w:numFmt w:val="bullet"/>
      <w:isLgl w:val="false"/>
      <w:suff w:val="tab"/>
      <w:lvlText w:val="•"/>
      <w:lvlJc w:val="left"/>
      <w:pPr>
        <w:ind w:left="6668" w:hanging="277"/>
      </w:pPr>
      <w:rPr>
        <w:rFonts w:hint="default"/>
        <w:lang w:val="en-US" w:eastAsia="zh-CN" w:bidi="ar-SA"/>
      </w:rPr>
    </w:lvl>
    <w:lvl w:ilvl="7">
      <w:start w:val="0"/>
      <w:numFmt w:val="bullet"/>
      <w:isLgl w:val="false"/>
      <w:suff w:val="tab"/>
      <w:lvlText w:val="•"/>
      <w:lvlJc w:val="left"/>
      <w:pPr>
        <w:ind w:left="7696" w:hanging="277"/>
      </w:pPr>
      <w:rPr>
        <w:rFonts w:hint="default"/>
        <w:lang w:val="en-US" w:eastAsia="zh-CN" w:bidi="ar-SA"/>
      </w:rPr>
    </w:lvl>
    <w:lvl w:ilvl="8">
      <w:start w:val="0"/>
      <w:numFmt w:val="bullet"/>
      <w:isLgl w:val="false"/>
      <w:suff w:val="tab"/>
      <w:lvlText w:val="•"/>
      <w:lvlJc w:val="left"/>
      <w:pPr>
        <w:ind w:left="8724" w:hanging="277"/>
      </w:pPr>
      <w:rPr>
        <w:rFonts w:hint="default"/>
        <w:lang w:val="en-US" w:eastAsia="zh-CN" w:bidi="ar-SA"/>
      </w:rPr>
    </w:lvl>
  </w:abstractNum>
  <w:abstractNum w:abstractNumId="1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4"/>
  </w:num>
  <w:num w:numId="3">
    <w:abstractNumId w:val="10"/>
  </w:num>
  <w:num w:numId="4">
    <w:abstractNumId w:val="12"/>
  </w:num>
  <w:num w:numId="5">
    <w:abstractNumId w:val="6"/>
  </w:num>
  <w:num w:numId="6">
    <w:abstractNumId w:val="5"/>
  </w:num>
  <w:num w:numId="7">
    <w:abstractNumId w:val="0"/>
  </w:num>
  <w:num w:numId="8">
    <w:abstractNumId w:val="1"/>
  </w:num>
  <w:num w:numId="9">
    <w:abstractNumId w:val="16"/>
  </w:num>
  <w:num w:numId="10">
    <w:abstractNumId w:val="11"/>
  </w:num>
  <w:num w:numId="11">
    <w:abstractNumId w:val="3"/>
  </w:num>
  <w:num w:numId="12">
    <w:abstractNumId w:val="7"/>
  </w:num>
  <w:num w:numId="13">
    <w:abstractNumId w:val="9"/>
  </w:num>
  <w:num w:numId="14">
    <w:abstractNumId w:val="4"/>
  </w:num>
  <w:num w:numId="15">
    <w:abstractNumId w:val="8"/>
  </w:num>
  <w:num w:numId="16">
    <w:abstractNumId w:val="18"/>
  </w:num>
  <w:num w:numId="17">
    <w:abstractNumId w:val="19"/>
  </w:num>
  <w:num w:numId="18">
    <w:abstractNumId w:val="2"/>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797"/>
    <w:next w:val="797"/>
    <w:link w:val="839"/>
    <w:uiPriority w:val="9"/>
    <w:qFormat/>
    <w:pPr>
      <w:keepLines/>
      <w:keepNext/>
      <w:spacing w:before="480" w:after="200"/>
      <w:outlineLvl w:val="0"/>
    </w:pPr>
    <w:rPr>
      <w:rFonts w:ascii="Arial" w:hAnsi="Arial" w:eastAsia="Arial" w:cs="Arial"/>
      <w:sz w:val="40"/>
      <w:szCs w:val="40"/>
    </w:rPr>
  </w:style>
  <w:style w:type="paragraph" w:styleId="765">
    <w:name w:val="Heading 5"/>
    <w:basedOn w:val="797"/>
    <w:next w:val="797"/>
    <w:link w:val="847"/>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97"/>
    <w:next w:val="797"/>
    <w:link w:val="849"/>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97"/>
    <w:next w:val="797"/>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97"/>
    <w:next w:val="797"/>
    <w:link w:val="853"/>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97"/>
    <w:next w:val="797"/>
    <w:link w:val="855"/>
    <w:uiPriority w:val="9"/>
    <w:unhideWhenUsed/>
    <w:qFormat/>
    <w:pPr>
      <w:keepLines/>
      <w:keepNext/>
      <w:spacing w:before="320" w:after="200"/>
      <w:outlineLvl w:val="8"/>
    </w:pPr>
    <w:rPr>
      <w:rFonts w:ascii="Arial" w:hAnsi="Arial" w:eastAsia="Arial" w:cs="Arial"/>
      <w:i/>
      <w:iCs/>
      <w:sz w:val="21"/>
      <w:szCs w:val="21"/>
    </w:rPr>
  </w:style>
  <w:style w:type="character" w:styleId="770">
    <w:name w:val="Title Char"/>
    <w:basedOn w:val="801"/>
    <w:link w:val="824"/>
    <w:uiPriority w:val="10"/>
    <w:rPr>
      <w:sz w:val="48"/>
      <w:szCs w:val="48"/>
    </w:rPr>
  </w:style>
  <w:style w:type="character" w:styleId="771">
    <w:name w:val="Subtitle Char"/>
    <w:basedOn w:val="801"/>
    <w:link w:val="817"/>
    <w:uiPriority w:val="11"/>
    <w:rPr>
      <w:sz w:val="24"/>
      <w:szCs w:val="24"/>
    </w:rPr>
  </w:style>
  <w:style w:type="character" w:styleId="772">
    <w:name w:val="Quote Char"/>
    <w:link w:val="858"/>
    <w:uiPriority w:val="29"/>
    <w:rPr>
      <w:i/>
    </w:rPr>
  </w:style>
  <w:style w:type="character" w:styleId="773">
    <w:name w:val="Intense Quote Char"/>
    <w:link w:val="860"/>
    <w:uiPriority w:val="30"/>
    <w:rPr>
      <w:i/>
    </w:rPr>
  </w:style>
  <w:style w:type="paragraph" w:styleId="774">
    <w:name w:val="Caption"/>
    <w:basedOn w:val="797"/>
    <w:next w:val="797"/>
    <w:uiPriority w:val="35"/>
    <w:semiHidden/>
    <w:unhideWhenUsed/>
    <w:qFormat/>
    <w:pPr>
      <w:spacing w:line="276" w:lineRule="auto"/>
    </w:pPr>
    <w:rPr>
      <w:b/>
      <w:bCs/>
      <w:color w:val="4f81bd" w:themeColor="accent1"/>
      <w:sz w:val="18"/>
      <w:szCs w:val="18"/>
    </w:rPr>
  </w:style>
  <w:style w:type="table" w:styleId="775">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4">
    <w:name w:val="Footnote Text Char"/>
    <w:link w:val="818"/>
    <w:uiPriority w:val="99"/>
    <w:rPr>
      <w:sz w:val="18"/>
    </w:rPr>
  </w:style>
  <w:style w:type="character" w:styleId="795">
    <w:name w:val="Endnote Text Char"/>
    <w:link w:val="811"/>
    <w:uiPriority w:val="99"/>
    <w:rPr>
      <w:sz w:val="20"/>
    </w:rPr>
  </w:style>
  <w:style w:type="paragraph" w:styleId="796">
    <w:name w:val="TOC Heading"/>
    <w:uiPriority w:val="39"/>
    <w:unhideWhenUsed/>
  </w:style>
  <w:style w:type="paragraph" w:styleId="797" w:default="1">
    <w:name w:val="Normal"/>
    <w:next w:val="803"/>
    <w:uiPriority w:val="0"/>
    <w:qFormat/>
    <w:pPr>
      <w:jc w:val="both"/>
      <w:widowControl w:val="off"/>
    </w:pPr>
    <w:rPr>
      <w:rFonts w:ascii="Times New Roman" w:hAnsi="Times New Roman" w:eastAsia="宋体" w:cs="Times New Roman"/>
      <w:sz w:val="21"/>
      <w:szCs w:val="21"/>
      <w:lang w:val="en-US" w:eastAsia="zh-CN" w:bidi="ar-SA"/>
    </w:rPr>
  </w:style>
  <w:style w:type="paragraph" w:styleId="798">
    <w:name w:val="Heading 2"/>
    <w:basedOn w:val="797"/>
    <w:uiPriority w:val="1"/>
    <w:qFormat/>
    <w:pPr>
      <w:ind w:left="100"/>
      <w:spacing w:before="201"/>
      <w:outlineLvl w:val="1"/>
    </w:pPr>
    <w:rPr>
      <w:rFonts w:ascii="微软雅黑" w:hAnsi="微软雅黑" w:eastAsia="微软雅黑" w:cs="微软雅黑"/>
      <w:b/>
      <w:bCs/>
      <w:sz w:val="23"/>
      <w:szCs w:val="23"/>
    </w:rPr>
  </w:style>
  <w:style w:type="paragraph" w:styleId="799">
    <w:name w:val="Heading 3"/>
    <w:basedOn w:val="797"/>
    <w:uiPriority w:val="0"/>
    <w:qFormat/>
    <w:pPr>
      <w:jc w:val="left"/>
      <w:keepLines/>
      <w:keepNext/>
      <w:spacing w:before="360" w:after="120"/>
      <w:outlineLvl w:val="2"/>
    </w:pPr>
    <w:rPr>
      <w:rFonts w:ascii="宋体"/>
      <w:b/>
      <w:sz w:val="24"/>
      <w:szCs w:val="20"/>
      <w:u w:val="single"/>
    </w:rPr>
  </w:style>
  <w:style w:type="paragraph" w:styleId="800">
    <w:name w:val="Heading 4"/>
    <w:next w:val="797"/>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Indent"/>
    <w:basedOn w:val="797"/>
    <w:uiPriority w:val="0"/>
    <w:qFormat/>
    <w:pPr>
      <w:ind w:firstLine="570"/>
      <w:spacing w:line="360" w:lineRule="auto"/>
    </w:pPr>
    <w:rPr>
      <w:sz w:val="24"/>
      <w:szCs w:val="24"/>
    </w:rPr>
  </w:style>
  <w:style w:type="paragraph" w:styleId="804">
    <w:name w:val="toc 7"/>
    <w:basedOn w:val="797"/>
    <w:next w:val="797"/>
    <w:uiPriority w:val="39"/>
    <w:unhideWhenUsed/>
    <w:qFormat/>
    <w:pPr>
      <w:ind w:left="1701"/>
      <w:spacing w:after="57"/>
    </w:pPr>
  </w:style>
  <w:style w:type="paragraph" w:styleId="805">
    <w:name w:val="annotation text"/>
    <w:basedOn w:val="797"/>
    <w:uiPriority w:val="99"/>
    <w:unhideWhenUsed/>
    <w:qFormat/>
    <w:pPr>
      <w:jc w:val="left"/>
    </w:pPr>
  </w:style>
  <w:style w:type="paragraph" w:styleId="806">
    <w:name w:val="Body Text"/>
    <w:basedOn w:val="797"/>
    <w:next w:val="797"/>
    <w:uiPriority w:val="0"/>
    <w:qFormat/>
    <w:pPr>
      <w:spacing w:before="120" w:line="22" w:lineRule="atLeast"/>
      <w:tabs>
        <w:tab w:val="left" w:pos="567" w:leader="none"/>
      </w:tabs>
    </w:pPr>
    <w:rPr>
      <w:rFonts w:ascii="宋体" w:hAnsi="宋体"/>
      <w:sz w:val="24"/>
    </w:rPr>
  </w:style>
  <w:style w:type="paragraph" w:styleId="807">
    <w:name w:val="toc 5"/>
    <w:basedOn w:val="797"/>
    <w:next w:val="797"/>
    <w:uiPriority w:val="39"/>
    <w:unhideWhenUsed/>
    <w:qFormat/>
    <w:pPr>
      <w:ind w:left="1134"/>
      <w:spacing w:after="57"/>
    </w:pPr>
  </w:style>
  <w:style w:type="paragraph" w:styleId="808">
    <w:name w:val="toc 3"/>
    <w:basedOn w:val="797"/>
    <w:next w:val="797"/>
    <w:uiPriority w:val="39"/>
    <w:unhideWhenUsed/>
    <w:qFormat/>
    <w:pPr>
      <w:ind w:left="567"/>
      <w:spacing w:after="57"/>
    </w:pPr>
  </w:style>
  <w:style w:type="paragraph" w:styleId="809">
    <w:name w:val="Plain Text"/>
    <w:basedOn w:val="797"/>
    <w:uiPriority w:val="0"/>
    <w:qFormat/>
    <w:rPr>
      <w:rFonts w:hint="eastAsia" w:ascii="宋体" w:hAnsi="Courier New"/>
      <w:szCs w:val="20"/>
    </w:rPr>
  </w:style>
  <w:style w:type="paragraph" w:styleId="810">
    <w:name w:val="toc 8"/>
    <w:basedOn w:val="797"/>
    <w:next w:val="797"/>
    <w:uiPriority w:val="39"/>
    <w:unhideWhenUsed/>
    <w:qFormat/>
    <w:pPr>
      <w:ind w:left="1984"/>
      <w:spacing w:after="57"/>
    </w:pPr>
  </w:style>
  <w:style w:type="paragraph" w:styleId="811">
    <w:name w:val="endnote text"/>
    <w:basedOn w:val="797"/>
    <w:link w:val="832"/>
    <w:uiPriority w:val="99"/>
    <w:unhideWhenUsed/>
    <w:qFormat/>
    <w:rPr>
      <w:sz w:val="20"/>
    </w:rPr>
  </w:style>
  <w:style w:type="paragraph" w:styleId="812">
    <w:name w:val="Balloon Text"/>
    <w:basedOn w:val="797"/>
    <w:link w:val="1117"/>
    <w:uiPriority w:val="99"/>
    <w:semiHidden/>
    <w:unhideWhenUsed/>
    <w:qFormat/>
    <w:rPr>
      <w:sz w:val="18"/>
      <w:szCs w:val="18"/>
    </w:rPr>
  </w:style>
  <w:style w:type="paragraph" w:styleId="813">
    <w:name w:val="Footer"/>
    <w:basedOn w:val="797"/>
    <w:link w:val="833"/>
    <w:uiPriority w:val="99"/>
    <w:unhideWhenUsed/>
    <w:qFormat/>
    <w:pPr>
      <w:jc w:val="left"/>
      <w:tabs>
        <w:tab w:val="center" w:pos="4153" w:leader="none"/>
        <w:tab w:val="right" w:pos="8306" w:leader="none"/>
      </w:tabs>
    </w:pPr>
    <w:rPr>
      <w:sz w:val="18"/>
      <w:szCs w:val="18"/>
    </w:rPr>
  </w:style>
  <w:style w:type="paragraph" w:styleId="814">
    <w:name w:val="Header"/>
    <w:basedOn w:val="797"/>
    <w:link w:val="834"/>
    <w:uiPriority w:val="99"/>
    <w:unhideWhenUsed/>
    <w:qFormat/>
    <w:pPr>
      <w:jc w:val="center"/>
      <w:tabs>
        <w:tab w:val="center" w:pos="4153" w:leader="none"/>
        <w:tab w:val="right" w:pos="8306" w:leader="none"/>
      </w:tabs>
    </w:pPr>
    <w:rPr>
      <w:sz w:val="18"/>
      <w:szCs w:val="18"/>
    </w:rPr>
  </w:style>
  <w:style w:type="paragraph" w:styleId="815">
    <w:name w:val="toc 1"/>
    <w:basedOn w:val="797"/>
    <w:next w:val="797"/>
    <w:uiPriority w:val="39"/>
    <w:unhideWhenUsed/>
    <w:qFormat/>
    <w:pPr>
      <w:spacing w:after="57"/>
    </w:pPr>
  </w:style>
  <w:style w:type="paragraph" w:styleId="816">
    <w:name w:val="toc 4"/>
    <w:basedOn w:val="797"/>
    <w:next w:val="797"/>
    <w:uiPriority w:val="39"/>
    <w:unhideWhenUsed/>
    <w:qFormat/>
    <w:pPr>
      <w:ind w:left="850"/>
      <w:spacing w:after="57"/>
    </w:pPr>
  </w:style>
  <w:style w:type="paragraph" w:styleId="817">
    <w:name w:val="Subtitle"/>
    <w:basedOn w:val="797"/>
    <w:next w:val="797"/>
    <w:link w:val="835"/>
    <w:uiPriority w:val="11"/>
    <w:qFormat/>
    <w:pPr>
      <w:spacing w:before="200" w:after="200"/>
    </w:pPr>
    <w:rPr>
      <w:sz w:val="24"/>
      <w:szCs w:val="24"/>
    </w:rPr>
  </w:style>
  <w:style w:type="paragraph" w:styleId="818">
    <w:name w:val="footnote text"/>
    <w:basedOn w:val="797"/>
    <w:link w:val="836"/>
    <w:uiPriority w:val="99"/>
    <w:unhideWhenUsed/>
    <w:qFormat/>
    <w:pPr>
      <w:spacing w:after="40"/>
    </w:pPr>
    <w:rPr>
      <w:sz w:val="18"/>
    </w:rPr>
  </w:style>
  <w:style w:type="paragraph" w:styleId="819">
    <w:name w:val="toc 6"/>
    <w:basedOn w:val="797"/>
    <w:next w:val="797"/>
    <w:uiPriority w:val="39"/>
    <w:unhideWhenUsed/>
    <w:qFormat/>
    <w:pPr>
      <w:ind w:left="1417"/>
      <w:spacing w:after="57"/>
    </w:pPr>
  </w:style>
  <w:style w:type="paragraph" w:styleId="820">
    <w:name w:val="table of figures"/>
    <w:basedOn w:val="797"/>
    <w:next w:val="797"/>
    <w:uiPriority w:val="99"/>
    <w:unhideWhenUsed/>
    <w:qFormat/>
  </w:style>
  <w:style w:type="paragraph" w:styleId="821">
    <w:name w:val="toc 2"/>
    <w:basedOn w:val="797"/>
    <w:next w:val="797"/>
    <w:uiPriority w:val="39"/>
    <w:unhideWhenUsed/>
    <w:qFormat/>
    <w:pPr>
      <w:ind w:left="283"/>
      <w:spacing w:after="57"/>
    </w:pPr>
  </w:style>
  <w:style w:type="paragraph" w:styleId="822">
    <w:name w:val="toc 9"/>
    <w:basedOn w:val="797"/>
    <w:next w:val="797"/>
    <w:uiPriority w:val="39"/>
    <w:unhideWhenUsed/>
    <w:qFormat/>
    <w:pPr>
      <w:ind w:left="2268"/>
      <w:spacing w:after="57"/>
    </w:pPr>
  </w:style>
  <w:style w:type="paragraph" w:styleId="823">
    <w:name w:val="Normal (Web)"/>
    <w:basedOn w:val="797"/>
    <w:uiPriority w:val="0"/>
    <w:qFormat/>
    <w:pPr>
      <w:jc w:val="left"/>
      <w:spacing w:beforeAutospacing="1" w:afterAutospacing="1"/>
    </w:pPr>
    <w:rPr>
      <w:sz w:val="24"/>
    </w:rPr>
  </w:style>
  <w:style w:type="paragraph" w:styleId="824">
    <w:name w:val="Title"/>
    <w:basedOn w:val="797"/>
    <w:next w:val="797"/>
    <w:link w:val="837"/>
    <w:uiPriority w:val="10"/>
    <w:qFormat/>
    <w:pPr>
      <w:contextualSpacing/>
      <w:spacing w:before="300" w:after="200"/>
    </w:pPr>
    <w:rPr>
      <w:sz w:val="48"/>
      <w:szCs w:val="48"/>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801"/>
    <w:uiPriority w:val="22"/>
    <w:qFormat/>
    <w:rPr>
      <w:b/>
    </w:rPr>
  </w:style>
  <w:style w:type="character" w:styleId="827">
    <w:name w:val="endnote reference"/>
    <w:uiPriority w:val="99"/>
    <w:unhideWhenUsed/>
    <w:qFormat/>
    <w:rPr>
      <w:vertAlign w:val="superscript"/>
    </w:rPr>
  </w:style>
  <w:style w:type="character" w:styleId="828">
    <w:name w:val="Emphasis"/>
    <w:uiPriority w:val="0"/>
    <w:qFormat/>
    <w:rPr>
      <w:i/>
    </w:rPr>
  </w:style>
  <w:style w:type="character" w:styleId="829">
    <w:name w:val="Hyperlink"/>
    <w:uiPriority w:val="99"/>
    <w:unhideWhenUsed/>
    <w:qFormat/>
    <w:rPr>
      <w:color w:val="0000ff"/>
      <w:u w:val="single"/>
    </w:rPr>
  </w:style>
  <w:style w:type="character" w:styleId="830">
    <w:name w:val="annotation reference"/>
    <w:basedOn w:val="801"/>
    <w:uiPriority w:val="99"/>
    <w:semiHidden/>
    <w:unhideWhenUsed/>
    <w:qFormat/>
    <w:rPr>
      <w:sz w:val="21"/>
      <w:szCs w:val="21"/>
    </w:rPr>
  </w:style>
  <w:style w:type="character" w:styleId="831">
    <w:name w:val="footnote reference"/>
    <w:uiPriority w:val="99"/>
    <w:unhideWhenUsed/>
    <w:qFormat/>
    <w:rPr>
      <w:vertAlign w:val="superscript"/>
    </w:rPr>
  </w:style>
  <w:style w:type="character" w:styleId="832" w:customStyle="1">
    <w:name w:val="尾注文本 字符"/>
    <w:link w:val="811"/>
    <w:uiPriority w:val="99"/>
    <w:qFormat/>
    <w:rPr>
      <w:sz w:val="20"/>
    </w:rPr>
  </w:style>
  <w:style w:type="character" w:styleId="833" w:customStyle="1">
    <w:name w:val="页脚 字符1"/>
    <w:link w:val="813"/>
    <w:uiPriority w:val="99"/>
    <w:qFormat/>
    <w:rPr>
      <w:sz w:val="18"/>
      <w:szCs w:val="18"/>
    </w:rPr>
  </w:style>
  <w:style w:type="character" w:styleId="834" w:customStyle="1">
    <w:name w:val="页眉 字符1"/>
    <w:link w:val="814"/>
    <w:uiPriority w:val="99"/>
    <w:qFormat/>
    <w:rPr>
      <w:sz w:val="18"/>
      <w:szCs w:val="18"/>
    </w:rPr>
  </w:style>
  <w:style w:type="character" w:styleId="835" w:customStyle="1">
    <w:name w:val="副标题 字符"/>
    <w:link w:val="817"/>
    <w:uiPriority w:val="11"/>
    <w:qFormat/>
    <w:rPr>
      <w:sz w:val="24"/>
      <w:szCs w:val="24"/>
    </w:rPr>
  </w:style>
  <w:style w:type="character" w:styleId="836" w:customStyle="1">
    <w:name w:val="脚注文本 字符"/>
    <w:link w:val="818"/>
    <w:uiPriority w:val="99"/>
    <w:qFormat/>
    <w:rPr>
      <w:sz w:val="18"/>
    </w:rPr>
  </w:style>
  <w:style w:type="character" w:styleId="837" w:customStyle="1">
    <w:name w:val="标题 字符"/>
    <w:link w:val="824"/>
    <w:uiPriority w:val="10"/>
    <w:qFormat/>
    <w:rPr>
      <w:sz w:val="48"/>
      <w:szCs w:val="48"/>
    </w:rPr>
  </w:style>
  <w:style w:type="paragraph" w:styleId="838" w:customStyle="1">
    <w:name w:val="标题 11"/>
    <w:basedOn w:val="797"/>
    <w:next w:val="797"/>
    <w:link w:val="839"/>
    <w:uiPriority w:val="9"/>
    <w:qFormat/>
    <w:pPr>
      <w:keepLines/>
      <w:keepNext/>
      <w:spacing w:before="480" w:after="200"/>
      <w:outlineLvl w:val="0"/>
    </w:pPr>
    <w:rPr>
      <w:rFonts w:ascii="Arial" w:hAnsi="Arial" w:eastAsia="Arial" w:cs="Arial"/>
      <w:sz w:val="40"/>
      <w:szCs w:val="40"/>
    </w:rPr>
  </w:style>
  <w:style w:type="character" w:styleId="839" w:customStyle="1">
    <w:name w:val="Heading 1 Char"/>
    <w:link w:val="838"/>
    <w:uiPriority w:val="9"/>
    <w:qFormat/>
    <w:rPr>
      <w:rFonts w:ascii="Arial" w:hAnsi="Arial" w:eastAsia="Arial" w:cs="Arial"/>
      <w:sz w:val="40"/>
      <w:szCs w:val="40"/>
    </w:rPr>
  </w:style>
  <w:style w:type="paragraph" w:styleId="840" w:customStyle="1">
    <w:name w:val="标题 21"/>
    <w:basedOn w:val="797"/>
    <w:next w:val="797"/>
    <w:link w:val="841"/>
    <w:uiPriority w:val="9"/>
    <w:unhideWhenUsed/>
    <w:qFormat/>
    <w:pPr>
      <w:keepLines/>
      <w:keepNext/>
      <w:spacing w:before="360" w:after="200"/>
      <w:outlineLvl w:val="1"/>
    </w:pPr>
    <w:rPr>
      <w:rFonts w:ascii="Arial" w:hAnsi="Arial" w:eastAsia="Arial" w:cs="Arial"/>
      <w:sz w:val="34"/>
    </w:rPr>
  </w:style>
  <w:style w:type="character" w:styleId="841" w:customStyle="1">
    <w:name w:val="Heading 2 Char"/>
    <w:link w:val="840"/>
    <w:uiPriority w:val="9"/>
    <w:qFormat/>
    <w:rPr>
      <w:rFonts w:ascii="Arial" w:hAnsi="Arial" w:eastAsia="Arial" w:cs="Arial"/>
      <w:sz w:val="34"/>
    </w:rPr>
  </w:style>
  <w:style w:type="paragraph" w:styleId="842" w:customStyle="1">
    <w:name w:val="标题 31"/>
    <w:basedOn w:val="797"/>
    <w:next w:val="797"/>
    <w:link w:val="843"/>
    <w:uiPriority w:val="9"/>
    <w:unhideWhenUsed/>
    <w:qFormat/>
    <w:pPr>
      <w:keepLines/>
      <w:keepNext/>
      <w:spacing w:before="320" w:after="200"/>
      <w:outlineLvl w:val="2"/>
    </w:pPr>
    <w:rPr>
      <w:rFonts w:ascii="Arial" w:hAnsi="Arial" w:eastAsia="Arial" w:cs="Arial"/>
      <w:sz w:val="30"/>
      <w:szCs w:val="30"/>
    </w:rPr>
  </w:style>
  <w:style w:type="character" w:styleId="843" w:customStyle="1">
    <w:name w:val="Heading 3 Char"/>
    <w:link w:val="842"/>
    <w:uiPriority w:val="9"/>
    <w:qFormat/>
    <w:rPr>
      <w:rFonts w:ascii="Arial" w:hAnsi="Arial" w:eastAsia="Arial" w:cs="Arial"/>
      <w:sz w:val="30"/>
      <w:szCs w:val="30"/>
    </w:rPr>
  </w:style>
  <w:style w:type="paragraph" w:styleId="844" w:customStyle="1">
    <w:name w:val="标题 41"/>
    <w:basedOn w:val="797"/>
    <w:next w:val="797"/>
    <w:link w:val="845"/>
    <w:uiPriority w:val="9"/>
    <w:unhideWhenUsed/>
    <w:qFormat/>
    <w:pPr>
      <w:keepLines/>
      <w:keepNext/>
      <w:spacing w:before="320" w:after="200"/>
      <w:outlineLvl w:val="3"/>
    </w:pPr>
    <w:rPr>
      <w:rFonts w:ascii="Arial" w:hAnsi="Arial" w:eastAsia="Arial" w:cs="Arial"/>
      <w:b/>
      <w:bCs/>
      <w:sz w:val="26"/>
      <w:szCs w:val="26"/>
    </w:rPr>
  </w:style>
  <w:style w:type="character" w:styleId="845" w:customStyle="1">
    <w:name w:val="Heading 4 Char"/>
    <w:link w:val="844"/>
    <w:uiPriority w:val="9"/>
    <w:qFormat/>
    <w:rPr>
      <w:rFonts w:ascii="Arial" w:hAnsi="Arial" w:eastAsia="Arial" w:cs="Arial"/>
      <w:b/>
      <w:bCs/>
      <w:sz w:val="26"/>
      <w:szCs w:val="26"/>
    </w:rPr>
  </w:style>
  <w:style w:type="paragraph" w:styleId="846" w:customStyle="1">
    <w:name w:val="标题 51"/>
    <w:basedOn w:val="797"/>
    <w:next w:val="797"/>
    <w:link w:val="847"/>
    <w:uiPriority w:val="9"/>
    <w:unhideWhenUsed/>
    <w:qFormat/>
    <w:pPr>
      <w:keepLines/>
      <w:keepNext/>
      <w:spacing w:before="320" w:after="200"/>
      <w:outlineLvl w:val="4"/>
    </w:pPr>
    <w:rPr>
      <w:rFonts w:ascii="Arial" w:hAnsi="Arial" w:eastAsia="Arial" w:cs="Arial"/>
      <w:b/>
      <w:bCs/>
      <w:sz w:val="24"/>
      <w:szCs w:val="24"/>
    </w:rPr>
  </w:style>
  <w:style w:type="character" w:styleId="847" w:customStyle="1">
    <w:name w:val="Heading 5 Char"/>
    <w:link w:val="846"/>
    <w:uiPriority w:val="9"/>
    <w:qFormat/>
    <w:rPr>
      <w:rFonts w:ascii="Arial" w:hAnsi="Arial" w:eastAsia="Arial" w:cs="Arial"/>
      <w:b/>
      <w:bCs/>
      <w:sz w:val="24"/>
      <w:szCs w:val="24"/>
    </w:rPr>
  </w:style>
  <w:style w:type="paragraph" w:styleId="848" w:customStyle="1">
    <w:name w:val="标题 61"/>
    <w:basedOn w:val="797"/>
    <w:next w:val="797"/>
    <w:link w:val="849"/>
    <w:uiPriority w:val="9"/>
    <w:unhideWhenUsed/>
    <w:qFormat/>
    <w:pPr>
      <w:keepLines/>
      <w:keepNext/>
      <w:spacing w:before="320" w:after="200"/>
      <w:outlineLvl w:val="5"/>
    </w:pPr>
    <w:rPr>
      <w:rFonts w:ascii="Arial" w:hAnsi="Arial" w:eastAsia="Arial" w:cs="Arial"/>
      <w:b/>
      <w:bCs/>
      <w:sz w:val="22"/>
      <w:szCs w:val="22"/>
    </w:rPr>
  </w:style>
  <w:style w:type="character" w:styleId="849" w:customStyle="1">
    <w:name w:val="Heading 6 Char"/>
    <w:link w:val="848"/>
    <w:uiPriority w:val="9"/>
    <w:qFormat/>
    <w:rPr>
      <w:rFonts w:ascii="Arial" w:hAnsi="Arial" w:eastAsia="Arial" w:cs="Arial"/>
      <w:b/>
      <w:bCs/>
      <w:sz w:val="22"/>
      <w:szCs w:val="22"/>
    </w:rPr>
  </w:style>
  <w:style w:type="paragraph" w:styleId="850" w:customStyle="1">
    <w:name w:val="标题 71"/>
    <w:basedOn w:val="797"/>
    <w:next w:val="797"/>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customStyle="1">
    <w:name w:val="Heading 7 Char"/>
    <w:link w:val="850"/>
    <w:uiPriority w:val="9"/>
    <w:qFormat/>
    <w:rPr>
      <w:rFonts w:ascii="Arial" w:hAnsi="Arial" w:eastAsia="Arial" w:cs="Arial"/>
      <w:b/>
      <w:bCs/>
      <w:i/>
      <w:iCs/>
      <w:sz w:val="22"/>
      <w:szCs w:val="22"/>
    </w:rPr>
  </w:style>
  <w:style w:type="paragraph" w:styleId="852" w:customStyle="1">
    <w:name w:val="标题 81"/>
    <w:basedOn w:val="797"/>
    <w:next w:val="797"/>
    <w:link w:val="853"/>
    <w:uiPriority w:val="9"/>
    <w:unhideWhenUsed/>
    <w:qFormat/>
    <w:pPr>
      <w:keepLines/>
      <w:keepNext/>
      <w:spacing w:before="320" w:after="200"/>
      <w:outlineLvl w:val="7"/>
    </w:pPr>
    <w:rPr>
      <w:rFonts w:ascii="Arial" w:hAnsi="Arial" w:eastAsia="Arial" w:cs="Arial"/>
      <w:i/>
      <w:iCs/>
      <w:sz w:val="22"/>
      <w:szCs w:val="22"/>
    </w:rPr>
  </w:style>
  <w:style w:type="character" w:styleId="853" w:customStyle="1">
    <w:name w:val="Heading 8 Char"/>
    <w:link w:val="852"/>
    <w:uiPriority w:val="9"/>
    <w:qFormat/>
    <w:rPr>
      <w:rFonts w:ascii="Arial" w:hAnsi="Arial" w:eastAsia="Arial" w:cs="Arial"/>
      <w:i/>
      <w:iCs/>
      <w:sz w:val="22"/>
      <w:szCs w:val="22"/>
    </w:rPr>
  </w:style>
  <w:style w:type="paragraph" w:styleId="854" w:customStyle="1">
    <w:name w:val="标题 91"/>
    <w:basedOn w:val="797"/>
    <w:next w:val="797"/>
    <w:link w:val="855"/>
    <w:uiPriority w:val="9"/>
    <w:unhideWhenUsed/>
    <w:qFormat/>
    <w:pPr>
      <w:keepLines/>
      <w:keepNext/>
      <w:spacing w:before="320" w:after="200"/>
      <w:outlineLvl w:val="8"/>
    </w:pPr>
    <w:rPr>
      <w:rFonts w:ascii="Arial" w:hAnsi="Arial" w:eastAsia="Arial" w:cs="Arial"/>
      <w:i/>
      <w:iCs/>
    </w:rPr>
  </w:style>
  <w:style w:type="character" w:styleId="855" w:customStyle="1">
    <w:name w:val="Heading 9 Char"/>
    <w:link w:val="854"/>
    <w:uiPriority w:val="9"/>
    <w:qFormat/>
    <w:rPr>
      <w:rFonts w:ascii="Arial" w:hAnsi="Arial" w:eastAsia="Arial" w:cs="Arial"/>
      <w:i/>
      <w:iCs/>
      <w:sz w:val="21"/>
      <w:szCs w:val="21"/>
    </w:rPr>
  </w:style>
  <w:style w:type="paragraph" w:styleId="856">
    <w:name w:val="List Paragraph"/>
    <w:basedOn w:val="797"/>
    <w:uiPriority w:val="34"/>
    <w:qFormat/>
    <w:pPr>
      <w:contextualSpacing/>
      <w:ind w:left="720"/>
    </w:pPr>
  </w:style>
  <w:style w:type="paragraph" w:styleId="857">
    <w:name w:val="No Spacing"/>
    <w:uiPriority w:val="1"/>
    <w:qFormat/>
    <w:rPr>
      <w:rFonts w:ascii="Times New Roman" w:hAnsi="Times New Roman" w:eastAsia="宋体" w:cs="Times New Roman"/>
      <w:lang w:val="en-US" w:eastAsia="zh-CN" w:bidi="ar-SA"/>
    </w:rPr>
  </w:style>
  <w:style w:type="paragraph" w:styleId="858">
    <w:name w:val="Quote"/>
    <w:basedOn w:val="797"/>
    <w:next w:val="797"/>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97"/>
    <w:next w:val="797"/>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paragraph" w:styleId="862" w:customStyle="1">
    <w:name w:val="页眉1"/>
    <w:basedOn w:val="797"/>
    <w:link w:val="863"/>
    <w:uiPriority w:val="99"/>
    <w:unhideWhenUsed/>
    <w:qFormat/>
    <w:pPr>
      <w:tabs>
        <w:tab w:val="center" w:pos="7143" w:leader="none"/>
        <w:tab w:val="right" w:pos="14287" w:leader="none"/>
      </w:tabs>
    </w:pPr>
  </w:style>
  <w:style w:type="character" w:styleId="863" w:customStyle="1">
    <w:name w:val="Header Char"/>
    <w:link w:val="862"/>
    <w:uiPriority w:val="99"/>
    <w:qFormat/>
  </w:style>
  <w:style w:type="paragraph" w:styleId="864" w:customStyle="1">
    <w:name w:val="页脚1"/>
    <w:basedOn w:val="797"/>
    <w:link w:val="866"/>
    <w:uiPriority w:val="99"/>
    <w:unhideWhenUsed/>
    <w:qFormat/>
    <w:pPr>
      <w:tabs>
        <w:tab w:val="center" w:pos="7143" w:leader="none"/>
        <w:tab w:val="right" w:pos="14287" w:leader="none"/>
      </w:tabs>
    </w:pPr>
  </w:style>
  <w:style w:type="character" w:styleId="865" w:customStyle="1">
    <w:name w:val="Caption Char"/>
    <w:uiPriority w:val="99"/>
    <w:qFormat/>
  </w:style>
  <w:style w:type="character" w:styleId="866" w:customStyle="1">
    <w:name w:val="Footer Char"/>
    <w:link w:val="864"/>
    <w:uiPriority w:val="99"/>
    <w:qFormat/>
  </w:style>
  <w:style w:type="paragraph" w:styleId="867" w:customStyle="1">
    <w:name w:val="题注1"/>
    <w:basedOn w:val="797"/>
    <w:next w:val="797"/>
    <w:uiPriority w:val="35"/>
    <w:unhideWhenUsed/>
    <w:qFormat/>
    <w:pPr>
      <w:spacing w:line="276" w:lineRule="auto"/>
    </w:pPr>
    <w:rPr>
      <w:b/>
      <w:bCs/>
      <w:color w:val="4f81bd"/>
      <w:sz w:val="18"/>
      <w:szCs w:val="18"/>
    </w:rPr>
  </w:style>
  <w:style w:type="table" w:styleId="868"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customStyle="1">
    <w:name w:val="_Style 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customStyle="1">
    <w:name w:val="_Style 66"/>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871" w:customStyle="1">
    <w:name w:val="_Style 67"/>
    <w:uiPriority w:val="99"/>
    <w:qFormat/>
    <w:tblPr>
      <w:tblCellMar>
        <w:left w:w="0" w:type="dxa"/>
        <w:top w:w="0" w:type="dxa"/>
        <w:right w:w="0" w:type="dxa"/>
        <w:bottom w:w="0" w:type="dxa"/>
      </w:tblCellMar>
    </w:tblPr>
  </w:style>
  <w:style w:type="table" w:styleId="872" w:customStyle="1">
    <w:name w:val="_Style 68"/>
    <w:uiPriority w:val="99"/>
    <w:qFormat/>
    <w:tblPr>
      <w:tblCellMar>
        <w:left w:w="0" w:type="dxa"/>
        <w:top w:w="0" w:type="dxa"/>
        <w:right w:w="0" w:type="dxa"/>
        <w:bottom w:w="0" w:type="dxa"/>
      </w:tblCellMar>
    </w:tblPr>
  </w:style>
  <w:style w:type="table" w:styleId="873" w:customStyle="1">
    <w:name w:val="_Style 69"/>
    <w:uiPriority w:val="99"/>
    <w:qFormat/>
    <w:tblPr>
      <w:tblCellMar>
        <w:left w:w="0" w:type="dxa"/>
        <w:top w:w="0" w:type="dxa"/>
        <w:right w:w="0" w:type="dxa"/>
        <w:bottom w:w="0" w:type="dxa"/>
      </w:tblCellMar>
    </w:tblPr>
  </w:style>
  <w:style w:type="table" w:styleId="874" w:customStyle="1">
    <w:name w:val="_Style 7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5"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6"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7"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8"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9"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0"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1" w:customStyle="1">
    <w:name w:val="_Style 77"/>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2"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3"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4"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5"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6"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7"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8" w:customStyle="1">
    <w:name w:val="_Style 8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9"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0"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1"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2"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3"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4"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5" w:customStyle="1">
    <w:name w:val="_Style 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6"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7"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8"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9"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0"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1"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2" w:customStyle="1">
    <w:name w:val="_Style 9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3"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4"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5"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6"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7"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8"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9" w:customStyle="1">
    <w:name w:val="_Style 1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0"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1"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2"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3"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4"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5"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6" w:customStyle="1">
    <w:name w:val="_Style 11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7"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8"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9"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0"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1"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2"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3" w:customStyle="1">
    <w:name w:val="_Style 119"/>
    <w:uiPriority w:val="99"/>
    <w:qFormat/>
    <w:tblPr>
      <w:tblCellMar>
        <w:left w:w="0" w:type="dxa"/>
        <w:top w:w="0" w:type="dxa"/>
        <w:right w:w="0" w:type="dxa"/>
        <w:bottom w:w="0" w:type="dxa"/>
      </w:tblCellMar>
    </w:tblPr>
  </w:style>
  <w:style w:type="table" w:styleId="924" w:customStyle="1">
    <w:name w:val="List Table 1 Light - Accent 1"/>
    <w:uiPriority w:val="99"/>
    <w:qFormat/>
    <w:tblPr>
      <w:tblCellMar>
        <w:left w:w="0" w:type="dxa"/>
        <w:top w:w="0" w:type="dxa"/>
        <w:right w:w="0" w:type="dxa"/>
        <w:bottom w:w="0" w:type="dxa"/>
      </w:tblCellMar>
    </w:tblPr>
  </w:style>
  <w:style w:type="table" w:styleId="925" w:customStyle="1">
    <w:name w:val="List Table 1 Light - Accent 2"/>
    <w:uiPriority w:val="99"/>
    <w:qFormat/>
    <w:tblPr>
      <w:tblCellMar>
        <w:left w:w="0" w:type="dxa"/>
        <w:top w:w="0" w:type="dxa"/>
        <w:right w:w="0" w:type="dxa"/>
        <w:bottom w:w="0" w:type="dxa"/>
      </w:tblCellMar>
    </w:tblPr>
  </w:style>
  <w:style w:type="table" w:styleId="926" w:customStyle="1">
    <w:name w:val="List Table 1 Light - Accent 3"/>
    <w:uiPriority w:val="99"/>
    <w:qFormat/>
    <w:tblPr>
      <w:tblCellMar>
        <w:left w:w="0" w:type="dxa"/>
        <w:top w:w="0" w:type="dxa"/>
        <w:right w:w="0" w:type="dxa"/>
        <w:bottom w:w="0" w:type="dxa"/>
      </w:tblCellMar>
    </w:tblPr>
  </w:style>
  <w:style w:type="table" w:styleId="927" w:customStyle="1">
    <w:name w:val="List Table 1 Light - Accent 4"/>
    <w:uiPriority w:val="99"/>
    <w:qFormat/>
    <w:tblPr>
      <w:tblCellMar>
        <w:left w:w="0" w:type="dxa"/>
        <w:top w:w="0" w:type="dxa"/>
        <w:right w:w="0" w:type="dxa"/>
        <w:bottom w:w="0" w:type="dxa"/>
      </w:tblCellMar>
    </w:tblPr>
  </w:style>
  <w:style w:type="table" w:styleId="928" w:customStyle="1">
    <w:name w:val="List Table 1 Light - Accent 5"/>
    <w:uiPriority w:val="99"/>
    <w:qFormat/>
    <w:tblPr>
      <w:tblCellMar>
        <w:left w:w="0" w:type="dxa"/>
        <w:top w:w="0" w:type="dxa"/>
        <w:right w:w="0" w:type="dxa"/>
        <w:bottom w:w="0" w:type="dxa"/>
      </w:tblCellMar>
    </w:tblPr>
  </w:style>
  <w:style w:type="table" w:styleId="929" w:customStyle="1">
    <w:name w:val="List Table 1 Light - Accent 6"/>
    <w:uiPriority w:val="99"/>
    <w:qFormat/>
    <w:tblPr>
      <w:tblCellMar>
        <w:left w:w="0" w:type="dxa"/>
        <w:top w:w="0" w:type="dxa"/>
        <w:right w:w="0" w:type="dxa"/>
        <w:bottom w:w="0" w:type="dxa"/>
      </w:tblCellMar>
    </w:tblPr>
  </w:style>
  <w:style w:type="table" w:styleId="930" w:customStyle="1">
    <w:name w:val="_Style 12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1"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2"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3"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4"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5"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6"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7" w:customStyle="1">
    <w:name w:val="_Style 1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8"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9"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1"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2"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3"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4" w:customStyle="1">
    <w:name w:val="_Style 1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5"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6"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8"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9"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0"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1" w:customStyle="1">
    <w:name w:val="_Style 147"/>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2"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3"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4"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5"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6"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7"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8" w:customStyle="1">
    <w:name w:val="_Style 15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59"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0"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1"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2"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3"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4"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5" w:customStyle="1">
    <w:name w:val="_Style 161"/>
    <w:uiPriority w:val="99"/>
    <w:qFormat/>
    <w:tblPr>
      <w:tblBorders>
        <w:right w:val="single" w:color="000000" w:sz="4" w:space="0"/>
      </w:tblBorders>
      <w:tblCellMar>
        <w:left w:w="0" w:type="dxa"/>
        <w:top w:w="0" w:type="dxa"/>
        <w:right w:w="0" w:type="dxa"/>
        <w:bottom w:w="0" w:type="dxa"/>
      </w:tblCellMar>
    </w:tblPr>
  </w:style>
  <w:style w:type="table" w:styleId="966" w:customStyle="1">
    <w:name w:val="List Table 7 Colorful - Accent 1"/>
    <w:uiPriority w:val="99"/>
    <w:qFormat/>
    <w:tblPr>
      <w:tblBorders>
        <w:right w:val="single" w:color="000000" w:sz="4" w:space="0"/>
      </w:tblBorders>
      <w:tblCellMar>
        <w:left w:w="0" w:type="dxa"/>
        <w:top w:w="0" w:type="dxa"/>
        <w:right w:w="0" w:type="dxa"/>
        <w:bottom w:w="0" w:type="dxa"/>
      </w:tblCellMar>
    </w:tblPr>
  </w:style>
  <w:style w:type="table" w:styleId="967" w:customStyle="1">
    <w:name w:val="List Table 7 Colorful - Accent 2"/>
    <w:uiPriority w:val="99"/>
    <w:qFormat/>
    <w:tblPr>
      <w:tblBorders>
        <w:right w:val="single" w:color="000000" w:sz="4" w:space="0"/>
      </w:tblBorders>
      <w:tblCellMar>
        <w:left w:w="0" w:type="dxa"/>
        <w:top w:w="0" w:type="dxa"/>
        <w:right w:w="0" w:type="dxa"/>
        <w:bottom w:w="0" w:type="dxa"/>
      </w:tblCellMar>
    </w:tblPr>
  </w:style>
  <w:style w:type="table" w:styleId="968" w:customStyle="1">
    <w:name w:val="List Table 7 Colorful - Accent 3"/>
    <w:uiPriority w:val="99"/>
    <w:qFormat/>
    <w:tblPr>
      <w:tblBorders>
        <w:right w:val="single" w:color="000000" w:sz="4" w:space="0"/>
      </w:tblBorders>
      <w:tblCellMar>
        <w:left w:w="0" w:type="dxa"/>
        <w:top w:w="0" w:type="dxa"/>
        <w:right w:w="0" w:type="dxa"/>
        <w:bottom w:w="0" w:type="dxa"/>
      </w:tblCellMar>
    </w:tblPr>
  </w:style>
  <w:style w:type="table" w:styleId="969" w:customStyle="1">
    <w:name w:val="List Table 7 Colorful - Accent 4"/>
    <w:uiPriority w:val="99"/>
    <w:qFormat/>
    <w:tblPr>
      <w:tblBorders>
        <w:right w:val="single" w:color="000000" w:sz="4" w:space="0"/>
      </w:tblBorders>
      <w:tblCellMar>
        <w:left w:w="0" w:type="dxa"/>
        <w:top w:w="0" w:type="dxa"/>
        <w:right w:w="0" w:type="dxa"/>
        <w:bottom w:w="0" w:type="dxa"/>
      </w:tblCellMar>
    </w:tblPr>
  </w:style>
  <w:style w:type="table" w:styleId="970" w:customStyle="1">
    <w:name w:val="List Table 7 Colorful - Accent 5"/>
    <w:uiPriority w:val="99"/>
    <w:qFormat/>
    <w:tblPr>
      <w:tblBorders>
        <w:right w:val="single" w:color="000000" w:sz="4" w:space="0"/>
      </w:tblBorders>
      <w:tblCellMar>
        <w:left w:w="0" w:type="dxa"/>
        <w:top w:w="0" w:type="dxa"/>
        <w:right w:w="0" w:type="dxa"/>
        <w:bottom w:w="0" w:type="dxa"/>
      </w:tblCellMar>
    </w:tblPr>
  </w:style>
  <w:style w:type="table" w:styleId="971" w:customStyle="1">
    <w:name w:val="List Table 7 Colorful - Accent 6"/>
    <w:uiPriority w:val="99"/>
    <w:qFormat/>
    <w:tblPr>
      <w:tblBorders>
        <w:right w:val="single" w:color="000000" w:sz="4" w:space="0"/>
      </w:tblBorders>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0"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1"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2"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3"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4"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5"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6"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7"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8"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9"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0"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1"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2"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93" w:customStyle="1">
    <w:name w:val="_Style 189"/>
    <w:uiPriority w:val="39"/>
    <w:qFormat/>
    <w:rPr>
      <w:rFonts w:ascii="Times New Roman" w:hAnsi="Times New Roman" w:eastAsia="宋体" w:cs="Times New Roman"/>
      <w:lang w:val="en-US" w:eastAsia="zh-CN" w:bidi="ar-SA"/>
    </w:rPr>
  </w:style>
  <w:style w:type="paragraph" w:styleId="994" w:customStyle="1">
    <w:name w:val="标题 111"/>
    <w:basedOn w:val="797"/>
    <w:next w:val="797"/>
    <w:link w:val="995"/>
    <w:uiPriority w:val="0"/>
    <w:qFormat/>
    <w:pPr>
      <w:jc w:val="center"/>
      <w:keepNext/>
      <w:outlineLvl w:val="0"/>
    </w:pPr>
    <w:rPr>
      <w:rFonts w:ascii="楷体_GB2312" w:eastAsia="楷体_GB2312"/>
      <w:sz w:val="28"/>
      <w:szCs w:val="28"/>
    </w:rPr>
  </w:style>
  <w:style w:type="character" w:styleId="995" w:customStyle="1">
    <w:name w:val="标题 1 字符"/>
    <w:link w:val="994"/>
    <w:uiPriority w:val="0"/>
    <w:qFormat/>
    <w:rPr>
      <w:rFonts w:ascii="楷体_GB2312" w:hAnsi="Times New Roman" w:eastAsia="楷体_GB2312" w:cs="Times New Roman"/>
      <w:sz w:val="28"/>
      <w:szCs w:val="28"/>
    </w:rPr>
  </w:style>
  <w:style w:type="paragraph" w:styleId="996" w:customStyle="1">
    <w:name w:val="标题 211"/>
    <w:basedOn w:val="797"/>
    <w:next w:val="997"/>
    <w:link w:val="9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7" w:customStyle="1">
    <w:name w:val="正文缩进1"/>
    <w:basedOn w:val="797"/>
    <w:link w:val="999"/>
    <w:uiPriority w:val="99"/>
    <w:qFormat/>
    <w:pPr>
      <w:ind w:firstLine="420"/>
    </w:pPr>
  </w:style>
  <w:style w:type="character" w:styleId="998" w:customStyle="1">
    <w:name w:val="标题 2 字符"/>
    <w:link w:val="996"/>
    <w:uiPriority w:val="0"/>
    <w:qFormat/>
    <w:rPr>
      <w:rFonts w:ascii="Arial" w:hAnsi="Arial" w:eastAsia="幼圆" w:cs="Arial"/>
      <w:b/>
      <w:bCs/>
      <w:sz w:val="44"/>
      <w:szCs w:val="44"/>
    </w:rPr>
  </w:style>
  <w:style w:type="character" w:styleId="999" w:customStyle="1">
    <w:name w:val="正文缩进 字符"/>
    <w:link w:val="997"/>
    <w:uiPriority w:val="0"/>
    <w:qFormat/>
    <w:rPr>
      <w:rFonts w:ascii="Times New Roman" w:hAnsi="Times New Roman" w:eastAsia="宋体" w:cs="Times New Roman"/>
      <w:szCs w:val="21"/>
    </w:rPr>
  </w:style>
  <w:style w:type="paragraph" w:styleId="1000" w:customStyle="1">
    <w:name w:val="标题 311"/>
    <w:basedOn w:val="797"/>
    <w:next w:val="997"/>
    <w:link w:val="1001"/>
    <w:uiPriority w:val="0"/>
    <w:qFormat/>
    <w:pPr>
      <w:keepLines/>
      <w:keepNext/>
      <w:spacing w:before="260" w:after="260" w:line="416" w:lineRule="auto"/>
      <w:outlineLvl w:val="2"/>
    </w:pPr>
    <w:rPr>
      <w:b/>
      <w:bCs/>
      <w:sz w:val="32"/>
      <w:szCs w:val="32"/>
    </w:rPr>
  </w:style>
  <w:style w:type="character" w:styleId="1001" w:customStyle="1">
    <w:name w:val="标题 3 字符"/>
    <w:link w:val="1000"/>
    <w:uiPriority w:val="0"/>
    <w:qFormat/>
    <w:rPr>
      <w:rFonts w:ascii="Times New Roman" w:hAnsi="Times New Roman" w:eastAsia="宋体" w:cs="Times New Roman"/>
      <w:b/>
      <w:bCs/>
      <w:sz w:val="32"/>
      <w:szCs w:val="32"/>
    </w:rPr>
  </w:style>
  <w:style w:type="paragraph" w:styleId="1002" w:customStyle="1">
    <w:name w:val="标题 411"/>
    <w:basedOn w:val="797"/>
    <w:next w:val="997"/>
    <w:link w:val="1003"/>
    <w:uiPriority w:val="0"/>
    <w:qFormat/>
    <w:pPr>
      <w:keepLines/>
      <w:keepNext/>
      <w:spacing w:before="280" w:after="290" w:line="376" w:lineRule="auto"/>
      <w:outlineLvl w:val="3"/>
    </w:pPr>
    <w:rPr>
      <w:rFonts w:ascii="Arial" w:hAnsi="Arial" w:eastAsia="黑体" w:cs="Arial"/>
      <w:b/>
      <w:bCs/>
      <w:sz w:val="28"/>
      <w:szCs w:val="28"/>
    </w:rPr>
  </w:style>
  <w:style w:type="character" w:styleId="1003" w:customStyle="1">
    <w:name w:val="标题 4 字符"/>
    <w:link w:val="1002"/>
    <w:uiPriority w:val="0"/>
    <w:qFormat/>
    <w:rPr>
      <w:rFonts w:ascii="Arial" w:hAnsi="Arial" w:eastAsia="黑体" w:cs="Arial"/>
      <w:b/>
      <w:bCs/>
      <w:sz w:val="28"/>
      <w:szCs w:val="28"/>
    </w:rPr>
  </w:style>
  <w:style w:type="paragraph" w:styleId="1004" w:customStyle="1">
    <w:name w:val="标题 511"/>
    <w:basedOn w:val="797"/>
    <w:next w:val="997"/>
    <w:link w:val="1005"/>
    <w:uiPriority w:val="0"/>
    <w:qFormat/>
    <w:pPr>
      <w:keepNext/>
      <w:outlineLvl w:val="4"/>
    </w:pPr>
    <w:rPr>
      <w:rFonts w:ascii="宋体"/>
      <w:color w:val="000000"/>
      <w:sz w:val="28"/>
      <w:szCs w:val="28"/>
    </w:rPr>
  </w:style>
  <w:style w:type="character" w:styleId="1005" w:customStyle="1">
    <w:name w:val="标题 5 字符"/>
    <w:link w:val="1004"/>
    <w:uiPriority w:val="0"/>
    <w:qFormat/>
    <w:rPr>
      <w:rFonts w:ascii="宋体" w:hAnsi="Times New Roman" w:eastAsia="宋体" w:cs="Times New Roman"/>
      <w:color w:val="000000"/>
      <w:sz w:val="28"/>
      <w:szCs w:val="28"/>
    </w:rPr>
  </w:style>
  <w:style w:type="paragraph" w:styleId="1006" w:customStyle="1">
    <w:name w:val="标题 611"/>
    <w:basedOn w:val="797"/>
    <w:next w:val="797"/>
    <w:link w:val="100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07" w:customStyle="1">
    <w:name w:val="标题 6 字符"/>
    <w:link w:val="1006"/>
    <w:uiPriority w:val="0"/>
    <w:qFormat/>
    <w:rPr>
      <w:rFonts w:ascii="Arial" w:hAnsi="Arial" w:eastAsia="黑体" w:cs="Times New Roman"/>
      <w:b/>
      <w:bCs/>
      <w:sz w:val="24"/>
      <w:szCs w:val="24"/>
    </w:rPr>
  </w:style>
  <w:style w:type="paragraph" w:styleId="1008" w:customStyle="1">
    <w:name w:val="标题 711"/>
    <w:basedOn w:val="797"/>
    <w:next w:val="797"/>
    <w:link w:val="1009"/>
    <w:uiPriority w:val="0"/>
    <w:qFormat/>
    <w:pPr>
      <w:numPr>
        <w:ilvl w:val="6"/>
        <w:numId w:val="1"/>
      </w:numPr>
      <w:keepLines/>
      <w:keepNext/>
      <w:spacing w:before="240" w:after="64" w:line="320" w:lineRule="auto"/>
      <w:outlineLvl w:val="6"/>
    </w:pPr>
    <w:rPr>
      <w:b/>
      <w:bCs/>
      <w:sz w:val="24"/>
      <w:szCs w:val="24"/>
    </w:rPr>
  </w:style>
  <w:style w:type="character" w:styleId="1009" w:customStyle="1">
    <w:name w:val="标题 7 字符"/>
    <w:link w:val="1008"/>
    <w:uiPriority w:val="0"/>
    <w:qFormat/>
    <w:rPr>
      <w:rFonts w:ascii="Times New Roman" w:hAnsi="Times New Roman" w:eastAsia="宋体" w:cs="Times New Roman"/>
      <w:b/>
      <w:bCs/>
      <w:sz w:val="24"/>
      <w:szCs w:val="24"/>
    </w:rPr>
  </w:style>
  <w:style w:type="paragraph" w:styleId="1010" w:customStyle="1">
    <w:name w:val="标题 811"/>
    <w:basedOn w:val="797"/>
    <w:next w:val="797"/>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11" w:customStyle="1">
    <w:name w:val="标题 8 字符"/>
    <w:link w:val="1010"/>
    <w:uiPriority w:val="0"/>
    <w:qFormat/>
    <w:rPr>
      <w:rFonts w:ascii="Arial" w:hAnsi="Arial" w:eastAsia="黑体" w:cs="Times New Roman"/>
      <w:sz w:val="24"/>
      <w:szCs w:val="24"/>
    </w:rPr>
  </w:style>
  <w:style w:type="paragraph" w:styleId="1012" w:customStyle="1">
    <w:name w:val="标题 911"/>
    <w:basedOn w:val="797"/>
    <w:next w:val="797"/>
    <w:link w:val="1013"/>
    <w:uiPriority w:val="0"/>
    <w:qFormat/>
    <w:pPr>
      <w:numPr>
        <w:ilvl w:val="8"/>
        <w:numId w:val="1"/>
      </w:numPr>
      <w:keepLines/>
      <w:keepNext/>
      <w:spacing w:before="240" w:after="64" w:line="320" w:lineRule="auto"/>
      <w:outlineLvl w:val="8"/>
    </w:pPr>
    <w:rPr>
      <w:rFonts w:ascii="Arial" w:hAnsi="Arial" w:eastAsia="黑体"/>
    </w:rPr>
  </w:style>
  <w:style w:type="character" w:styleId="1013" w:customStyle="1">
    <w:name w:val="标题 9 字符"/>
    <w:link w:val="1012"/>
    <w:uiPriority w:val="0"/>
    <w:qFormat/>
    <w:rPr>
      <w:rFonts w:ascii="Arial" w:hAnsi="Arial" w:eastAsia="黑体" w:cs="Times New Roman"/>
      <w:szCs w:val="21"/>
    </w:rPr>
  </w:style>
  <w:style w:type="character" w:styleId="1014" w:customStyle="1">
    <w:name w:val="默认段落字体1"/>
    <w:uiPriority w:val="1"/>
    <w:unhideWhenUsed/>
    <w:qFormat/>
  </w:style>
  <w:style w:type="table" w:styleId="1015" w:customStyle="1">
    <w:name w:val="普通表格1"/>
    <w:uiPriority w:val="99"/>
    <w:unhideWhenUsed/>
    <w:qFormat/>
    <w:tblPr>
      <w:tblCellMar>
        <w:left w:w="0" w:type="dxa"/>
        <w:top w:w="0" w:type="dxa"/>
        <w:right w:w="0" w:type="dxa"/>
        <w:bottom w:w="0" w:type="dxa"/>
      </w:tblCellMar>
    </w:tblPr>
  </w:style>
  <w:style w:type="paragraph" w:styleId="1016" w:customStyle="1">
    <w:name w:val="列表 31"/>
    <w:basedOn w:val="797"/>
    <w:uiPriority w:val="0"/>
    <w:qFormat/>
    <w:pPr>
      <w:ind w:left="100" w:hanging="200"/>
    </w:pPr>
  </w:style>
  <w:style w:type="paragraph" w:styleId="1017" w:customStyle="1">
    <w:name w:val="目录 71"/>
    <w:basedOn w:val="797"/>
    <w:next w:val="797"/>
    <w:uiPriority w:val="0"/>
    <w:semiHidden/>
    <w:qFormat/>
    <w:pPr>
      <w:ind w:left="1260"/>
      <w:jc w:val="left"/>
    </w:pPr>
  </w:style>
  <w:style w:type="paragraph" w:styleId="1018" w:customStyle="1">
    <w:name w:val="文档结构图1"/>
    <w:basedOn w:val="797"/>
    <w:link w:val="1019"/>
    <w:uiPriority w:val="0"/>
    <w:semiHidden/>
    <w:qFormat/>
    <w:pPr>
      <w:shd w:val="clear" w:color="auto" w:fill="000080"/>
    </w:pPr>
  </w:style>
  <w:style w:type="character" w:styleId="1019" w:customStyle="1">
    <w:name w:val="文档结构图 字符"/>
    <w:link w:val="1018"/>
    <w:uiPriority w:val="0"/>
    <w:semiHidden/>
    <w:qFormat/>
    <w:rPr>
      <w:rFonts w:ascii="Times New Roman" w:hAnsi="Times New Roman" w:eastAsia="宋体" w:cs="Times New Roman"/>
      <w:szCs w:val="21"/>
      <w:shd w:val="clear" w:color="auto" w:fill="000080"/>
    </w:rPr>
  </w:style>
  <w:style w:type="paragraph" w:styleId="1020" w:customStyle="1">
    <w:name w:val="批注文字1"/>
    <w:basedOn w:val="797"/>
    <w:link w:val="1021"/>
    <w:uiPriority w:val="99"/>
    <w:qFormat/>
    <w:pPr>
      <w:jc w:val="left"/>
    </w:pPr>
  </w:style>
  <w:style w:type="character" w:styleId="1021" w:customStyle="1">
    <w:name w:val="批注文字 字符"/>
    <w:link w:val="1020"/>
    <w:uiPriority w:val="99"/>
    <w:qFormat/>
    <w:rPr>
      <w:rFonts w:ascii="Times New Roman" w:hAnsi="Times New Roman" w:eastAsia="宋体" w:cs="Times New Roman"/>
      <w:szCs w:val="21"/>
    </w:rPr>
  </w:style>
  <w:style w:type="paragraph" w:styleId="1022" w:customStyle="1">
    <w:name w:val="正文文本 31"/>
    <w:basedOn w:val="797"/>
    <w:link w:val="1023"/>
    <w:uiPriority w:val="0"/>
    <w:qFormat/>
    <w:rPr>
      <w:rFonts w:ascii="仿宋_GB2312" w:hAnsi="Arial" w:eastAsia="仿宋_GB2312"/>
      <w:sz w:val="32"/>
      <w:szCs w:val="32"/>
    </w:rPr>
  </w:style>
  <w:style w:type="character" w:styleId="1023" w:customStyle="1">
    <w:name w:val="正文文本 3 字符"/>
    <w:link w:val="1022"/>
    <w:uiPriority w:val="0"/>
    <w:qFormat/>
    <w:rPr>
      <w:rFonts w:ascii="仿宋_GB2312" w:hAnsi="Arial" w:eastAsia="仿宋_GB2312" w:cs="Times New Roman"/>
      <w:sz w:val="32"/>
      <w:szCs w:val="32"/>
    </w:rPr>
  </w:style>
  <w:style w:type="paragraph" w:styleId="1024" w:customStyle="1">
    <w:name w:val="正文文本1"/>
    <w:basedOn w:val="797"/>
    <w:link w:val="1025"/>
    <w:uiPriority w:val="0"/>
    <w:qFormat/>
    <w:rPr>
      <w:rFonts w:ascii="楷体_GB2312" w:hAnsi="Arial" w:eastAsia="楷体_GB2312"/>
      <w:sz w:val="28"/>
      <w:szCs w:val="28"/>
    </w:rPr>
  </w:style>
  <w:style w:type="character" w:styleId="1025" w:customStyle="1">
    <w:name w:val="正文文本 字符"/>
    <w:link w:val="1024"/>
    <w:uiPriority w:val="0"/>
    <w:qFormat/>
    <w:rPr>
      <w:rFonts w:ascii="楷体_GB2312" w:hAnsi="Arial" w:eastAsia="楷体_GB2312" w:cs="Times New Roman"/>
      <w:sz w:val="28"/>
      <w:szCs w:val="28"/>
    </w:rPr>
  </w:style>
  <w:style w:type="paragraph" w:styleId="1026" w:customStyle="1">
    <w:name w:val="正文文本缩进1"/>
    <w:basedOn w:val="797"/>
    <w:link w:val="1027"/>
    <w:uiPriority w:val="0"/>
    <w:qFormat/>
    <w:pPr>
      <w:ind w:firstLine="645"/>
    </w:pPr>
    <w:rPr>
      <w:rFonts w:ascii="楷体_GB2312" w:eastAsia="楷体_GB2312"/>
      <w:sz w:val="32"/>
      <w:szCs w:val="32"/>
    </w:rPr>
  </w:style>
  <w:style w:type="character" w:styleId="1027" w:customStyle="1">
    <w:name w:val="正文文本缩进 字符"/>
    <w:link w:val="1026"/>
    <w:uiPriority w:val="0"/>
    <w:qFormat/>
    <w:rPr>
      <w:rFonts w:ascii="楷体_GB2312" w:hAnsi="Times New Roman" w:eastAsia="楷体_GB2312" w:cs="Times New Roman"/>
      <w:sz w:val="32"/>
      <w:szCs w:val="32"/>
    </w:rPr>
  </w:style>
  <w:style w:type="paragraph" w:styleId="1028" w:customStyle="1">
    <w:name w:val="列表 21"/>
    <w:basedOn w:val="797"/>
    <w:uiPriority w:val="0"/>
    <w:qFormat/>
    <w:pPr>
      <w:ind w:left="100" w:hanging="200"/>
    </w:pPr>
  </w:style>
  <w:style w:type="paragraph" w:styleId="1029" w:customStyle="1">
    <w:name w:val="目录 51"/>
    <w:basedOn w:val="797"/>
    <w:next w:val="797"/>
    <w:uiPriority w:val="0"/>
    <w:semiHidden/>
    <w:qFormat/>
    <w:pPr>
      <w:ind w:left="840"/>
      <w:jc w:val="left"/>
    </w:pPr>
  </w:style>
  <w:style w:type="paragraph" w:styleId="1030" w:customStyle="1">
    <w:name w:val="目录 31"/>
    <w:basedOn w:val="797"/>
    <w:next w:val="797"/>
    <w:uiPriority w:val="0"/>
    <w:semiHidden/>
    <w:qFormat/>
    <w:pPr>
      <w:ind w:left="420"/>
      <w:jc w:val="left"/>
    </w:pPr>
    <w:rPr>
      <w:i/>
      <w:iCs/>
      <w:szCs w:val="24"/>
    </w:rPr>
  </w:style>
  <w:style w:type="paragraph" w:styleId="1031" w:customStyle="1">
    <w:name w:val="纯文本1"/>
    <w:basedOn w:val="797"/>
    <w:link w:val="1032"/>
    <w:uiPriority w:val="0"/>
    <w:qFormat/>
    <w:rPr>
      <w:rFonts w:ascii="宋体" w:hAnsi="Courier New" w:cs="Courier New"/>
    </w:rPr>
  </w:style>
  <w:style w:type="character" w:styleId="1032" w:customStyle="1">
    <w:name w:val="纯文本 字符"/>
    <w:link w:val="1031"/>
    <w:uiPriority w:val="0"/>
    <w:qFormat/>
    <w:rPr>
      <w:rFonts w:ascii="宋体" w:hAnsi="Courier New" w:eastAsia="宋体" w:cs="Courier New"/>
      <w:szCs w:val="21"/>
    </w:rPr>
  </w:style>
  <w:style w:type="paragraph" w:styleId="1033" w:customStyle="1">
    <w:name w:val="目录 81"/>
    <w:basedOn w:val="797"/>
    <w:next w:val="797"/>
    <w:uiPriority w:val="0"/>
    <w:semiHidden/>
    <w:qFormat/>
    <w:pPr>
      <w:ind w:left="1470"/>
      <w:jc w:val="left"/>
    </w:pPr>
  </w:style>
  <w:style w:type="paragraph" w:styleId="1034" w:customStyle="1">
    <w:name w:val="日期1"/>
    <w:basedOn w:val="797"/>
    <w:next w:val="797"/>
    <w:link w:val="1035"/>
    <w:uiPriority w:val="0"/>
    <w:qFormat/>
    <w:rPr>
      <w:sz w:val="24"/>
      <w:szCs w:val="24"/>
    </w:rPr>
  </w:style>
  <w:style w:type="character" w:styleId="1035" w:customStyle="1">
    <w:name w:val="日期 字符"/>
    <w:link w:val="1034"/>
    <w:uiPriority w:val="0"/>
    <w:qFormat/>
    <w:rPr>
      <w:rFonts w:ascii="Times New Roman" w:hAnsi="Times New Roman" w:eastAsia="宋体" w:cs="Times New Roman"/>
      <w:sz w:val="24"/>
      <w:szCs w:val="24"/>
    </w:rPr>
  </w:style>
  <w:style w:type="paragraph" w:styleId="1036" w:customStyle="1">
    <w:name w:val="正文文本缩进 21"/>
    <w:basedOn w:val="797"/>
    <w:link w:val="1037"/>
    <w:uiPriority w:val="0"/>
    <w:qFormat/>
    <w:pPr>
      <w:ind w:left="630" w:firstLine="645"/>
    </w:pPr>
    <w:rPr>
      <w:rFonts w:ascii="Arial" w:hAnsi="Arial" w:eastAsia="仿宋_GB2312" w:cs="Arial"/>
      <w:sz w:val="32"/>
      <w:szCs w:val="32"/>
    </w:rPr>
  </w:style>
  <w:style w:type="character" w:styleId="1037" w:customStyle="1">
    <w:name w:val="正文文本缩进 2 字符"/>
    <w:link w:val="1036"/>
    <w:uiPriority w:val="0"/>
    <w:qFormat/>
    <w:rPr>
      <w:rFonts w:ascii="Arial" w:hAnsi="Arial" w:eastAsia="仿宋_GB2312" w:cs="Arial"/>
      <w:sz w:val="32"/>
      <w:szCs w:val="32"/>
    </w:rPr>
  </w:style>
  <w:style w:type="paragraph" w:styleId="1038" w:customStyle="1">
    <w:name w:val="批注框文本1"/>
    <w:basedOn w:val="797"/>
    <w:link w:val="1039"/>
    <w:uiPriority w:val="0"/>
    <w:semiHidden/>
    <w:qFormat/>
    <w:rPr>
      <w:sz w:val="18"/>
      <w:szCs w:val="18"/>
    </w:rPr>
  </w:style>
  <w:style w:type="character" w:styleId="1039" w:customStyle="1">
    <w:name w:val="批注框文本 字符"/>
    <w:link w:val="1038"/>
    <w:uiPriority w:val="0"/>
    <w:semiHidden/>
    <w:qFormat/>
    <w:rPr>
      <w:rFonts w:ascii="Times New Roman" w:hAnsi="Times New Roman" w:eastAsia="宋体" w:cs="Times New Roman"/>
      <w:sz w:val="18"/>
      <w:szCs w:val="18"/>
    </w:rPr>
  </w:style>
  <w:style w:type="paragraph" w:styleId="1040" w:customStyle="1">
    <w:name w:val="页脚11"/>
    <w:basedOn w:val="797"/>
    <w:link w:val="1041"/>
    <w:uiPriority w:val="99"/>
    <w:qFormat/>
    <w:pPr>
      <w:jc w:val="left"/>
      <w:tabs>
        <w:tab w:val="center" w:pos="4153" w:leader="none"/>
        <w:tab w:val="right" w:pos="8306" w:leader="none"/>
      </w:tabs>
    </w:pPr>
    <w:rPr>
      <w:sz w:val="18"/>
      <w:szCs w:val="18"/>
    </w:rPr>
  </w:style>
  <w:style w:type="character" w:styleId="1041" w:customStyle="1">
    <w:name w:val="页脚 字符"/>
    <w:link w:val="1040"/>
    <w:uiPriority w:val="99"/>
    <w:qFormat/>
    <w:rPr>
      <w:rFonts w:ascii="Times New Roman" w:hAnsi="Times New Roman" w:eastAsia="宋体" w:cs="Times New Roman"/>
      <w:sz w:val="18"/>
      <w:szCs w:val="18"/>
    </w:rPr>
  </w:style>
  <w:style w:type="paragraph" w:styleId="1042" w:customStyle="1">
    <w:name w:val="页眉11"/>
    <w:basedOn w:val="797"/>
    <w:link w:val="1043"/>
    <w:uiPriority w:val="0"/>
    <w:qFormat/>
    <w:pPr>
      <w:jc w:val="center"/>
      <w:tabs>
        <w:tab w:val="center" w:pos="4153" w:leader="none"/>
        <w:tab w:val="right" w:pos="8306" w:leader="none"/>
      </w:tabs>
      <w:pBdr>
        <w:bottom w:val="single" w:color="000000" w:sz="6" w:space="1"/>
      </w:pBdr>
    </w:pPr>
    <w:rPr>
      <w:sz w:val="18"/>
      <w:szCs w:val="18"/>
    </w:rPr>
  </w:style>
  <w:style w:type="character" w:styleId="1043" w:customStyle="1">
    <w:name w:val="页眉 字符"/>
    <w:link w:val="1042"/>
    <w:uiPriority w:val="0"/>
    <w:qFormat/>
    <w:rPr>
      <w:rFonts w:ascii="Times New Roman" w:hAnsi="Times New Roman" w:eastAsia="宋体" w:cs="Times New Roman"/>
      <w:sz w:val="18"/>
      <w:szCs w:val="18"/>
    </w:rPr>
  </w:style>
  <w:style w:type="paragraph" w:styleId="1044" w:customStyle="1">
    <w:name w:val="目录 11"/>
    <w:basedOn w:val="797"/>
    <w:next w:val="797"/>
    <w:uiPriority w:val="0"/>
    <w:semiHidden/>
    <w:qFormat/>
    <w:pPr>
      <w:jc w:val="left"/>
      <w:spacing w:before="120" w:after="120" w:line="400" w:lineRule="exact"/>
      <w:tabs>
        <w:tab w:val="right" w:pos="8720" w:leader="dot"/>
      </w:tabs>
    </w:pPr>
    <w:rPr>
      <w:rFonts w:ascii="宋体" w:hAnsi="宋体"/>
      <w:caps/>
      <w:sz w:val="24"/>
      <w:szCs w:val="24"/>
    </w:rPr>
  </w:style>
  <w:style w:type="paragraph" w:styleId="1045" w:customStyle="1">
    <w:name w:val="目录 41"/>
    <w:basedOn w:val="797"/>
    <w:next w:val="797"/>
    <w:uiPriority w:val="0"/>
    <w:semiHidden/>
    <w:qFormat/>
    <w:pPr>
      <w:ind w:left="630"/>
      <w:jc w:val="left"/>
    </w:pPr>
  </w:style>
  <w:style w:type="paragraph" w:styleId="1046" w:customStyle="1">
    <w:name w:val="列表1"/>
    <w:basedOn w:val="797"/>
    <w:uiPriority w:val="0"/>
    <w:qFormat/>
    <w:pPr>
      <w:ind w:left="200" w:hanging="200"/>
    </w:pPr>
  </w:style>
  <w:style w:type="paragraph" w:styleId="1047" w:customStyle="1">
    <w:name w:val="目录 61"/>
    <w:basedOn w:val="797"/>
    <w:next w:val="797"/>
    <w:uiPriority w:val="0"/>
    <w:semiHidden/>
    <w:qFormat/>
    <w:pPr>
      <w:ind w:left="1050"/>
      <w:jc w:val="left"/>
    </w:pPr>
  </w:style>
  <w:style w:type="paragraph" w:styleId="1048" w:customStyle="1">
    <w:name w:val="正文文本缩进 31"/>
    <w:basedOn w:val="797"/>
    <w:link w:val="1049"/>
    <w:uiPriority w:val="0"/>
    <w:qFormat/>
    <w:pPr>
      <w:ind w:left="645" w:firstLine="645"/>
    </w:pPr>
    <w:rPr>
      <w:rFonts w:ascii="Arial" w:hAnsi="Arial" w:eastAsia="仿宋_GB2312" w:cs="Arial"/>
      <w:color w:val="ffff00"/>
      <w:sz w:val="32"/>
      <w:szCs w:val="32"/>
    </w:rPr>
  </w:style>
  <w:style w:type="character" w:styleId="1049" w:customStyle="1">
    <w:name w:val="正文文本缩进 3 字符"/>
    <w:link w:val="1048"/>
    <w:uiPriority w:val="0"/>
    <w:qFormat/>
    <w:rPr>
      <w:rFonts w:ascii="Arial" w:hAnsi="Arial" w:eastAsia="仿宋_GB2312" w:cs="Arial"/>
      <w:color w:val="ffff00"/>
      <w:sz w:val="32"/>
      <w:szCs w:val="32"/>
    </w:rPr>
  </w:style>
  <w:style w:type="paragraph" w:styleId="1050" w:customStyle="1">
    <w:name w:val="图表目录1"/>
    <w:basedOn w:val="797"/>
    <w:next w:val="797"/>
    <w:uiPriority w:val="0"/>
    <w:semiHidden/>
    <w:qFormat/>
    <w:pPr>
      <w:ind w:left="840" w:hanging="420"/>
    </w:pPr>
  </w:style>
  <w:style w:type="paragraph" w:styleId="1051" w:customStyle="1">
    <w:name w:val="目录 21"/>
    <w:basedOn w:val="797"/>
    <w:next w:val="797"/>
    <w:uiPriority w:val="0"/>
    <w:semiHidden/>
    <w:qFormat/>
    <w:pPr>
      <w:ind w:left="210"/>
      <w:jc w:val="left"/>
    </w:pPr>
    <w:rPr>
      <w:smallCaps/>
      <w:szCs w:val="24"/>
    </w:rPr>
  </w:style>
  <w:style w:type="paragraph" w:styleId="1052" w:customStyle="1">
    <w:name w:val="目录 91"/>
    <w:basedOn w:val="797"/>
    <w:next w:val="797"/>
    <w:uiPriority w:val="0"/>
    <w:semiHidden/>
    <w:qFormat/>
    <w:pPr>
      <w:ind w:left="1680"/>
      <w:jc w:val="left"/>
    </w:pPr>
  </w:style>
  <w:style w:type="paragraph" w:styleId="1053" w:customStyle="1">
    <w:name w:val="正文文本 21"/>
    <w:basedOn w:val="797"/>
    <w:link w:val="1054"/>
    <w:uiPriority w:val="0"/>
    <w:qFormat/>
    <w:pPr>
      <w:jc w:val="center"/>
      <w:widowControl/>
    </w:pPr>
    <w:rPr>
      <w:rFonts w:ascii="楷体_GB2312" w:eastAsia="楷体_GB2312"/>
      <w:sz w:val="28"/>
      <w:szCs w:val="28"/>
    </w:rPr>
  </w:style>
  <w:style w:type="character" w:styleId="1054" w:customStyle="1">
    <w:name w:val="正文文本 2 字符"/>
    <w:link w:val="1053"/>
    <w:uiPriority w:val="0"/>
    <w:qFormat/>
    <w:rPr>
      <w:rFonts w:ascii="楷体_GB2312" w:hAnsi="Times New Roman" w:eastAsia="楷体_GB2312" w:cs="Times New Roman"/>
      <w:sz w:val="28"/>
      <w:szCs w:val="28"/>
    </w:rPr>
  </w:style>
  <w:style w:type="paragraph" w:styleId="1055" w:customStyle="1">
    <w:name w:val="普通(网站)1"/>
    <w:basedOn w:val="797"/>
    <w:uiPriority w:val="99"/>
    <w:qFormat/>
    <w:pPr>
      <w:jc w:val="left"/>
      <w:spacing w:before="100" w:beforeAutospacing="1" w:after="100" w:afterAutospacing="1"/>
      <w:widowControl/>
    </w:pPr>
    <w:rPr>
      <w:rFonts w:ascii="宋体" w:hAnsi="宋体" w:cs="宋体"/>
      <w:sz w:val="24"/>
      <w:szCs w:val="24"/>
    </w:rPr>
  </w:style>
  <w:style w:type="paragraph" w:styleId="1056" w:customStyle="1">
    <w:name w:val="索引 11"/>
    <w:basedOn w:val="797"/>
    <w:next w:val="797"/>
    <w:uiPriority w:val="0"/>
    <w:semiHidden/>
    <w:qFormat/>
    <w:pPr>
      <w:spacing w:line="240" w:lineRule="atLeast"/>
    </w:pPr>
    <w:rPr>
      <w:b/>
      <w:bCs/>
    </w:rPr>
  </w:style>
  <w:style w:type="paragraph" w:styleId="1057" w:customStyle="1">
    <w:name w:val="批注主题1"/>
    <w:basedOn w:val="1020"/>
    <w:next w:val="1020"/>
    <w:link w:val="1058"/>
    <w:uiPriority w:val="0"/>
    <w:semiHidden/>
    <w:qFormat/>
    <w:rPr>
      <w:b/>
      <w:bCs/>
    </w:rPr>
  </w:style>
  <w:style w:type="character" w:styleId="1058" w:customStyle="1">
    <w:name w:val="批注主题 字符"/>
    <w:link w:val="1057"/>
    <w:uiPriority w:val="0"/>
    <w:semiHidden/>
    <w:qFormat/>
    <w:rPr>
      <w:rFonts w:ascii="Times New Roman" w:hAnsi="Times New Roman" w:eastAsia="宋体" w:cs="Times New Roman"/>
      <w:b/>
      <w:bCs/>
      <w:szCs w:val="21"/>
    </w:rPr>
  </w:style>
  <w:style w:type="paragraph" w:styleId="1059" w:customStyle="1">
    <w:name w:val="正文首行缩进1"/>
    <w:basedOn w:val="797"/>
    <w:link w:val="1060"/>
    <w:uiPriority w:val="0"/>
    <w:qFormat/>
    <w:pPr>
      <w:ind w:firstLine="200"/>
      <w:spacing w:line="360" w:lineRule="auto"/>
    </w:pPr>
    <w:rPr>
      <w:rFonts w:ascii="仿宋_GB2312" w:eastAsia="仿宋_GB2312"/>
      <w:sz w:val="30"/>
      <w:szCs w:val="30"/>
    </w:rPr>
  </w:style>
  <w:style w:type="character" w:styleId="1060" w:customStyle="1">
    <w:name w:val="正文文本首行缩进 字符"/>
    <w:link w:val="1059"/>
    <w:uiPriority w:val="0"/>
    <w:qFormat/>
    <w:rPr>
      <w:rFonts w:ascii="仿宋_GB2312" w:hAnsi="Times New Roman" w:eastAsia="仿宋_GB2312" w:cs="Times New Roman"/>
      <w:sz w:val="30"/>
      <w:szCs w:val="30"/>
    </w:rPr>
  </w:style>
  <w:style w:type="paragraph" w:styleId="1061" w:customStyle="1">
    <w:name w:val="正文首行缩进 21"/>
    <w:basedOn w:val="1026"/>
    <w:link w:val="1062"/>
    <w:uiPriority w:val="0"/>
    <w:qFormat/>
    <w:pPr>
      <w:ind w:firstLine="420"/>
      <w:spacing w:line="360" w:lineRule="auto"/>
    </w:pPr>
    <w:rPr>
      <w:rFonts w:ascii="宋体" w:hAnsi="宋体" w:eastAsia="宋体"/>
      <w:sz w:val="21"/>
      <w:szCs w:val="20"/>
    </w:rPr>
  </w:style>
  <w:style w:type="character" w:styleId="1062" w:customStyle="1">
    <w:name w:val="正文文本首行缩进 2 字符"/>
    <w:link w:val="1061"/>
    <w:uiPriority w:val="0"/>
    <w:qFormat/>
    <w:rPr>
      <w:rFonts w:ascii="宋体" w:hAnsi="宋体" w:eastAsia="宋体" w:cs="Times New Roman"/>
      <w:sz w:val="32"/>
      <w:szCs w:val="20"/>
    </w:rPr>
  </w:style>
  <w:style w:type="table" w:styleId="1063" w:customStyle="1">
    <w:name w:val="网格型1"/>
    <w:basedOn w:val="1015"/>
    <w:uiPriority w:val="0"/>
    <w:qFormat/>
    <w:pPr>
      <w:jc w:val="both"/>
      <w:widowControl w:val="off"/>
    </w:pPr>
    <w:tblPr/>
  </w:style>
  <w:style w:type="character" w:styleId="1064" w:customStyle="1">
    <w:name w:val="要点1"/>
    <w:uiPriority w:val="0"/>
    <w:qFormat/>
    <w:rPr>
      <w:b/>
      <w:bCs/>
    </w:rPr>
  </w:style>
  <w:style w:type="character" w:styleId="1065" w:customStyle="1">
    <w:name w:val="页码1"/>
    <w:uiPriority w:val="0"/>
    <w:qFormat/>
  </w:style>
  <w:style w:type="character" w:styleId="1066" w:customStyle="1">
    <w:name w:val="已访问的超链接1"/>
    <w:uiPriority w:val="0"/>
    <w:qFormat/>
    <w:rPr>
      <w:color w:val="800080"/>
      <w:u w:val="single"/>
    </w:rPr>
  </w:style>
  <w:style w:type="character" w:styleId="1067" w:customStyle="1">
    <w:name w:val="超链接1"/>
    <w:uiPriority w:val="0"/>
    <w:qFormat/>
    <w:rPr>
      <w:color w:val="0000ff"/>
      <w:u w:val="single"/>
    </w:rPr>
  </w:style>
  <w:style w:type="character" w:styleId="1068" w:customStyle="1">
    <w:name w:val="批注引用1"/>
    <w:uiPriority w:val="99"/>
    <w:qFormat/>
    <w:rPr>
      <w:sz w:val="21"/>
      <w:szCs w:val="21"/>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b/>
      <w:sz w:val="30"/>
      <w:szCs w:val="28"/>
    </w:rPr>
  </w:style>
  <w:style w:type="paragraph" w:styleId="1071" w:customStyle="1">
    <w:name w:val="二级目录"/>
    <w:next w:val="797"/>
    <w:link w:val="107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72" w:customStyle="1">
    <w:name w:val="列出段落 Char"/>
    <w:link w:val="1073"/>
    <w:uiPriority w:val="0"/>
    <w:qFormat/>
    <w:rPr>
      <w:rFonts w:ascii="Calibri" w:hAnsi="Calibri"/>
      <w:sz w:val="24"/>
      <w:szCs w:val="24"/>
      <w:lang w:eastAsia="en-US" w:bidi="en-US"/>
    </w:rPr>
  </w:style>
  <w:style w:type="paragraph" w:styleId="1073" w:customStyle="1">
    <w:name w:val="列出段落1"/>
    <w:basedOn w:val="797"/>
    <w:link w:val="1072"/>
    <w:uiPriority w:val="0"/>
    <w:qFormat/>
    <w:pPr>
      <w:contextualSpacing/>
      <w:ind w:left="720"/>
      <w:jc w:val="left"/>
      <w:widowControl/>
    </w:pPr>
    <w:rPr>
      <w:rFonts w:ascii="Calibri" w:hAnsi="Calibri"/>
      <w:sz w:val="24"/>
      <w:szCs w:val="24"/>
      <w:lang w:eastAsia="en-US" w:bidi="en-US"/>
    </w:rPr>
  </w:style>
  <w:style w:type="paragraph" w:styleId="1074" w:customStyle="1">
    <w:name w:val="Body Text(ch)"/>
    <w:basedOn w:val="797"/>
    <w:next w:val="1024"/>
    <w:uiPriority w:val="0"/>
    <w:qFormat/>
    <w:pPr>
      <w:spacing w:after="120"/>
    </w:pPr>
    <w:rPr>
      <w:rFonts w:ascii="宋体" w:hAnsi="Arial"/>
      <w:bCs/>
      <w:iCs/>
      <w:szCs w:val="24"/>
    </w:rPr>
  </w:style>
  <w:style w:type="paragraph" w:styleId="1075" w:customStyle="1">
    <w:name w:val="xl27"/>
    <w:basedOn w:val="7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w:basedOn w:val="797"/>
    <w:uiPriority w:val="0"/>
    <w:qFormat/>
    <w:pPr>
      <w:ind w:firstLine="200"/>
      <w:tabs>
        <w:tab w:val="left" w:pos="360" w:leader="none"/>
      </w:tabs>
    </w:pPr>
    <w:rPr>
      <w:sz w:val="28"/>
      <w:szCs w:val="30"/>
    </w:rPr>
  </w:style>
  <w:style w:type="paragraph" w:styleId="1078" w:customStyle="1">
    <w:name w:val="Char1"/>
    <w:basedOn w:val="1018"/>
    <w:uiPriority w:val="0"/>
    <w:qFormat/>
    <w:rPr>
      <w:rFonts w:ascii="Tahoma" w:hAnsi="Tahoma"/>
      <w:sz w:val="24"/>
      <w:szCs w:val="24"/>
    </w:rPr>
  </w:style>
  <w:style w:type="paragraph" w:styleId="1079" w:customStyle="1">
    <w:name w:val="普通正文"/>
    <w:basedOn w:val="797"/>
    <w:uiPriority w:val="0"/>
    <w:qFormat/>
    <w:pPr>
      <w:ind w:firstLine="480"/>
      <w:jc w:val="left"/>
      <w:spacing w:before="120" w:after="120" w:line="360" w:lineRule="auto"/>
    </w:pPr>
    <w:rPr>
      <w:rFonts w:ascii="Arial" w:hAnsi="Arial"/>
      <w:sz w:val="24"/>
      <w:szCs w:val="24"/>
    </w:rPr>
  </w:style>
  <w:style w:type="paragraph" w:styleId="1080" w:customStyle="1">
    <w:name w:val="table_lines"/>
    <w:basedOn w:val="797"/>
    <w:uiPriority w:val="0"/>
    <w:qFormat/>
    <w:pPr>
      <w:jc w:val="left"/>
      <w:widowControl/>
    </w:pPr>
    <w:rPr>
      <w:sz w:val="20"/>
      <w:szCs w:val="20"/>
      <w:lang w:val="de-DE" w:eastAsia="de-DE"/>
    </w:rPr>
  </w:style>
  <w:style w:type="paragraph" w:styleId="108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2" w:customStyle="1">
    <w:name w:val="font7"/>
    <w:basedOn w:val="797"/>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Char Char Char Char"/>
    <w:basedOn w:val="1018"/>
    <w:uiPriority w:val="0"/>
    <w:qFormat/>
    <w:pPr>
      <w:spacing w:line="360" w:lineRule="auto"/>
    </w:pPr>
    <w:rPr>
      <w:rFonts w:ascii="Tahoma" w:hAnsi="Tahoma"/>
      <w:sz w:val="24"/>
      <w:szCs w:val="24"/>
    </w:rPr>
  </w:style>
  <w:style w:type="paragraph" w:styleId="1084" w:customStyle="1">
    <w:name w:val="列表段落1"/>
    <w:basedOn w:val="797"/>
    <w:link w:val="1085"/>
    <w:uiPriority w:val="34"/>
    <w:qFormat/>
    <w:pPr>
      <w:contextualSpacing/>
      <w:ind w:left="720"/>
      <w:jc w:val="left"/>
      <w:widowControl/>
    </w:pPr>
    <w:rPr>
      <w:rFonts w:ascii="Calibri" w:hAnsi="Calibri"/>
      <w:sz w:val="24"/>
      <w:szCs w:val="24"/>
      <w:lang w:eastAsia="en-US" w:bidi="en-US"/>
    </w:rPr>
  </w:style>
  <w:style w:type="character" w:styleId="1085" w:customStyle="1">
    <w:name w:val="列表段落 字符"/>
    <w:link w:val="1084"/>
    <w:uiPriority w:val="34"/>
    <w:qFormat/>
    <w:rPr>
      <w:sz w:val="24"/>
      <w:szCs w:val="24"/>
      <w:lang w:eastAsia="en-US" w:bidi="en-US"/>
    </w:rPr>
  </w:style>
  <w:style w:type="paragraph" w:styleId="1086" w:customStyle="1">
    <w:name w:val="4"/>
    <w:basedOn w:val="797"/>
    <w:next w:val="1048"/>
    <w:uiPriority w:val="0"/>
    <w:qFormat/>
    <w:pPr>
      <w:ind w:firstLine="420"/>
      <w:spacing w:line="360" w:lineRule="auto"/>
    </w:pPr>
    <w:rPr>
      <w:color w:val="ff0000"/>
      <w:sz w:val="24"/>
      <w:szCs w:val="24"/>
    </w:rPr>
  </w:style>
  <w:style w:type="paragraph" w:styleId="1087" w:customStyle="1">
    <w:name w:val="普通 (Web)"/>
    <w:basedOn w:val="797"/>
    <w:uiPriority w:val="0"/>
    <w:qFormat/>
    <w:pPr>
      <w:jc w:val="left"/>
      <w:spacing w:before="100" w:beforeAutospacing="1" w:after="100" w:afterAutospacing="1"/>
      <w:widowControl/>
    </w:pPr>
    <w:rPr>
      <w:rFonts w:ascii="宋体" w:hAnsi="宋体"/>
      <w:sz w:val="24"/>
      <w:szCs w:val="24"/>
    </w:rPr>
  </w:style>
  <w:style w:type="paragraph" w:styleId="1088" w:customStyle="1">
    <w:name w:val="Char Char Char Char Char Char Char Char Char Char"/>
    <w:basedOn w:val="797"/>
    <w:uiPriority w:val="0"/>
    <w:qFormat/>
    <w:pPr>
      <w:spacing w:line="360" w:lineRule="auto"/>
    </w:pPr>
    <w:rPr>
      <w:sz w:val="24"/>
      <w:szCs w:val="20"/>
    </w:rPr>
  </w:style>
  <w:style w:type="paragraph" w:styleId="1089" w:customStyle="1">
    <w:name w:val="样式1"/>
    <w:basedOn w:val="797"/>
    <w:uiPriority w:val="0"/>
    <w:qFormat/>
    <w:pPr>
      <w:numPr>
        <w:ilvl w:val="0"/>
        <w:numId w:val="3"/>
      </w:numPr>
    </w:pPr>
    <w:rPr>
      <w:rFonts w:ascii="宋体" w:hAnsi="宋体"/>
    </w:rPr>
  </w:style>
  <w:style w:type="paragraph" w:styleId="1090" w:customStyle="1">
    <w:name w:val="font6"/>
    <w:basedOn w:val="797"/>
    <w:uiPriority w:val="0"/>
    <w:qFormat/>
    <w:pPr>
      <w:jc w:val="left"/>
      <w:spacing w:before="100" w:beforeAutospacing="1" w:after="100" w:afterAutospacing="1"/>
      <w:widowControl/>
    </w:pPr>
    <w:rPr>
      <w:rFonts w:hint="eastAsia" w:ascii="宋体" w:hAnsi="宋体"/>
      <w:sz w:val="28"/>
      <w:szCs w:val="28"/>
      <w:u w:val="single"/>
    </w:rPr>
  </w:style>
  <w:style w:type="paragraph" w:styleId="1091" w:customStyle="1">
    <w:name w:val="xl25"/>
    <w:basedOn w:val="7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customStyle="1">
    <w:name w:val="图标"/>
    <w:basedOn w:val="797"/>
    <w:next w:val="79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3" w:customStyle="1">
    <w:name w:val="标题3"/>
    <w:basedOn w:val="797"/>
    <w:next w:val="797"/>
    <w:uiPriority w:val="0"/>
    <w:qFormat/>
    <w:pPr>
      <w:ind w:firstLine="624"/>
      <w:spacing w:line="590" w:lineRule="atLeast"/>
    </w:pPr>
    <w:rPr>
      <w:rFonts w:ascii="方正黑体_GBK" w:eastAsia="方正黑体_GBK"/>
      <w:sz w:val="32"/>
      <w:szCs w:val="32"/>
    </w:rPr>
  </w:style>
  <w:style w:type="paragraph" w:styleId="1094" w:customStyle="1">
    <w:name w:val="xl24"/>
    <w:basedOn w:val="7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xl29"/>
    <w:basedOn w:val="79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6" w:customStyle="1">
    <w:name w:val="Char Char Char Char Char Char Char Char"/>
    <w:basedOn w:val="797"/>
    <w:uiPriority w:val="0"/>
    <w:qFormat/>
    <w:pPr>
      <w:jc w:val="left"/>
      <w:spacing w:after="160" w:line="240" w:lineRule="exact"/>
      <w:widowControl/>
    </w:pPr>
    <w:rPr>
      <w:rFonts w:ascii="Verdana" w:hAnsi="Verdana"/>
      <w:sz w:val="20"/>
      <w:szCs w:val="20"/>
      <w:lang w:eastAsia="en-US"/>
    </w:rPr>
  </w:style>
  <w:style w:type="paragraph" w:styleId="1097" w:customStyle="1">
    <w:name w:val="xl2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8" w:customStyle="1">
    <w:name w:val="Char Char Char Char Char Char Char Char1"/>
    <w:basedOn w:val="797"/>
    <w:uiPriority w:val="0"/>
    <w:qFormat/>
    <w:pPr>
      <w:jc w:val="left"/>
      <w:spacing w:after="160" w:line="240" w:lineRule="exact"/>
      <w:widowControl/>
    </w:pPr>
    <w:rPr>
      <w:rFonts w:ascii="Verdana" w:hAnsi="Verdana"/>
      <w:sz w:val="20"/>
      <w:szCs w:val="20"/>
      <w:lang w:eastAsia="en-US"/>
    </w:rPr>
  </w:style>
  <w:style w:type="paragraph" w:styleId="1099" w:customStyle="1">
    <w:name w:val="xl30"/>
    <w:basedOn w:val="797"/>
    <w:uiPriority w:val="0"/>
    <w:qFormat/>
    <w:pPr>
      <w:jc w:val="center"/>
      <w:spacing w:before="100" w:beforeAutospacing="1" w:after="100" w:afterAutospacing="1"/>
      <w:widowControl/>
    </w:pPr>
    <w:rPr>
      <w:rFonts w:ascii="宋体" w:hAnsi="宋体"/>
      <w:b/>
      <w:bCs/>
      <w:sz w:val="36"/>
      <w:szCs w:val="36"/>
    </w:rPr>
  </w:style>
  <w:style w:type="paragraph" w:styleId="1100" w:customStyle="1">
    <w:name w:val="Char Char Char Char1"/>
    <w:basedOn w:val="1018"/>
    <w:uiPriority w:val="0"/>
    <w:qFormat/>
    <w:pPr>
      <w:spacing w:line="360" w:lineRule="auto"/>
    </w:pPr>
    <w:rPr>
      <w:rFonts w:ascii="Tahoma" w:hAnsi="Tahoma"/>
      <w:sz w:val="24"/>
      <w:szCs w:val="24"/>
    </w:rPr>
  </w:style>
  <w:style w:type="paragraph" w:styleId="1101" w:customStyle="1">
    <w:name w:val="table_1stline"/>
    <w:basedOn w:val="797"/>
    <w:uiPriority w:val="0"/>
    <w:qFormat/>
    <w:pPr>
      <w:jc w:val="left"/>
      <w:spacing w:before="120"/>
      <w:widowControl/>
    </w:pPr>
    <w:rPr>
      <w:bCs/>
      <w:sz w:val="20"/>
      <w:szCs w:val="20"/>
      <w:lang w:val="de-DE" w:eastAsia="de-DE"/>
    </w:rPr>
  </w:style>
  <w:style w:type="paragraph" w:styleId="1102" w:customStyle="1">
    <w:name w:val="font5"/>
    <w:basedOn w:val="797"/>
    <w:uiPriority w:val="0"/>
    <w:qFormat/>
    <w:pPr>
      <w:jc w:val="left"/>
      <w:spacing w:before="100" w:beforeAutospacing="1" w:after="100" w:afterAutospacing="1"/>
      <w:widowControl/>
    </w:pPr>
    <w:rPr>
      <w:rFonts w:hint="eastAsia" w:ascii="宋体" w:hAnsi="宋体"/>
      <w:sz w:val="28"/>
      <w:szCs w:val="28"/>
    </w:rPr>
  </w:style>
  <w:style w:type="paragraph" w:styleId="1103" w:customStyle="1">
    <w:name w:val="标题1"/>
    <w:basedOn w:val="797"/>
    <w:next w:val="7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4" w:customStyle="1">
    <w:name w:val="_Style 300"/>
    <w:uiPriority w:val="99"/>
    <w:semiHidden/>
    <w:qFormat/>
    <w:rPr>
      <w:rFonts w:ascii="Times New Roman" w:hAnsi="Times New Roman" w:eastAsia="宋体" w:cs="Times New Roman"/>
      <w:sz w:val="21"/>
      <w:szCs w:val="21"/>
      <w:lang w:val="en-US" w:eastAsia="zh-CN" w:bidi="ar-SA"/>
    </w:rPr>
  </w:style>
  <w:style w:type="paragraph" w:styleId="110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7" w:customStyle="1">
    <w:name w:val="标题 112"/>
    <w:basedOn w:val="797"/>
    <w:next w:val="797"/>
    <w:uiPriority w:val="0"/>
    <w:qFormat/>
    <w:pPr>
      <w:jc w:val="left"/>
      <w:keepNext/>
      <w:outlineLvl w:val="0"/>
    </w:pPr>
    <w:rPr>
      <w:rFonts w:ascii="楷体_GB2312" w:hAnsi="楷体_GB2312"/>
      <w:b/>
      <w:sz w:val="32"/>
      <w:szCs w:val="28"/>
    </w:rPr>
  </w:style>
  <w:style w:type="paragraph" w:styleId="1108" w:customStyle="1">
    <w:name w:val="WPSOffice手动目录 1"/>
    <w:uiPriority w:val="0"/>
    <w:qFormat/>
    <w:rPr>
      <w:rFonts w:ascii="Times New Roman" w:hAnsi="Times New Roman" w:eastAsia="宋体" w:cs="Times New Roman"/>
      <w:lang w:val="en-US" w:eastAsia="zh-CN" w:bidi="ar-SA"/>
    </w:rPr>
  </w:style>
  <w:style w:type="character" w:styleId="1109" w:customStyle="1">
    <w:name w:val="正文文本缩进 字符1"/>
    <w:uiPriority w:val="99"/>
    <w:semiHidden/>
    <w:qFormat/>
    <w:rPr>
      <w:sz w:val="21"/>
      <w:szCs w:val="21"/>
    </w:rPr>
  </w:style>
  <w:style w:type="character" w:styleId="1110" w:customStyle="1">
    <w:name w:val="font41"/>
    <w:basedOn w:val="801"/>
    <w:uiPriority w:val="0"/>
    <w:qFormat/>
    <w:rPr>
      <w:rFonts w:hint="eastAsia" w:ascii="微软雅黑" w:hAnsi="微软雅黑" w:eastAsia="微软雅黑" w:cs="微软雅黑"/>
      <w:color w:val="000000"/>
      <w:sz w:val="18"/>
      <w:szCs w:val="18"/>
      <w:u w:val="none"/>
    </w:rPr>
  </w:style>
  <w:style w:type="character" w:styleId="1111" w:customStyle="1">
    <w:name w:val="font51"/>
    <w:basedOn w:val="801"/>
    <w:uiPriority w:val="0"/>
    <w:qFormat/>
    <w:rPr>
      <w:rFonts w:hint="eastAsia" w:ascii="微软雅黑" w:hAnsi="微软雅黑" w:eastAsia="微软雅黑" w:cs="微软雅黑"/>
      <w:color w:val="ff0000"/>
      <w:sz w:val="18"/>
      <w:szCs w:val="18"/>
      <w:u w:val="none"/>
    </w:rPr>
  </w:style>
  <w:style w:type="paragraph" w:styleId="1112" w:customStyle="1">
    <w:name w:val="成文日期"/>
    <w:basedOn w:val="797"/>
    <w:uiPriority w:val="0"/>
    <w:qFormat/>
    <w:pPr>
      <w:ind w:right="400" w:firstLine="200"/>
      <w:jc w:val="right"/>
      <w:spacing w:line="570" w:lineRule="exact"/>
    </w:pPr>
    <w:rPr>
      <w:rFonts w:ascii="仿宋_GB2312" w:eastAsia="仿宋_GB2312"/>
      <w:sz w:val="32"/>
      <w:szCs w:val="20"/>
    </w:rPr>
  </w:style>
  <w:style w:type="character" w:styleId="1113" w:customStyle="1">
    <w:name w:val="apple-style-span"/>
    <w:uiPriority w:val="0"/>
    <w:qFormat/>
    <w:rPr>
      <w:rFonts w:cs="Times New Roman"/>
    </w:rPr>
  </w:style>
  <w:style w:type="character" w:styleId="1114" w:customStyle="1">
    <w:name w:val="font11"/>
    <w:basedOn w:val="801"/>
    <w:uiPriority w:val="0"/>
    <w:qFormat/>
    <w:rPr>
      <w:rFonts w:hint="eastAsia" w:ascii="宋体" w:hAnsi="宋体" w:eastAsia="宋体" w:cs="宋体"/>
      <w:color w:val="000000"/>
      <w:sz w:val="20"/>
      <w:szCs w:val="20"/>
      <w:u w:val="none"/>
    </w:rPr>
  </w:style>
  <w:style w:type="character" w:styleId="1115" w:customStyle="1">
    <w:name w:val="font21"/>
    <w:basedOn w:val="801"/>
    <w:uiPriority w:val="0"/>
    <w:qFormat/>
    <w:rPr>
      <w:rFonts w:hint="eastAsia" w:ascii="宋体" w:hAnsi="宋体" w:eastAsia="宋体" w:cs="宋体"/>
      <w:color w:val="000000"/>
      <w:sz w:val="20"/>
      <w:szCs w:val="20"/>
      <w:u w:val="none"/>
    </w:rPr>
  </w:style>
  <w:style w:type="paragraph" w:styleId="1116" w:customStyle="1">
    <w:name w:val="题注11"/>
    <w:next w:val="797"/>
    <w:uiPriority w:val="35"/>
    <w:unhideWhenUsed/>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character" w:styleId="1117" w:customStyle="1">
    <w:name w:val="批注框文本 字符1"/>
    <w:basedOn w:val="801"/>
    <w:link w:val="812"/>
    <w:uiPriority w:val="99"/>
    <w:semiHidden/>
    <w:qFormat/>
    <w:rPr>
      <w:sz w:val="18"/>
      <w:szCs w:val="18"/>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12</cp:revision>
  <dcterms:created xsi:type="dcterms:W3CDTF">2026-05-11T04:44:00Z</dcterms:created>
  <dcterms:modified xsi:type="dcterms:W3CDTF">2026-06-09T02:37:34Z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3E2971C0E9DC4EA3919FD1F37E80739A_13</vt:lpwstr>
  </property>
  <property fmtid="{D5CDD505-2E9C-101B-9397-08002B2CF9AE}" pid="4" name="KSOTemplateDocerSaveRecord">
    <vt:lpwstr>eyJoZGlkIjoiZGJmNGVmOTkyYmRlYWVmNjNhMWY0NGViOTkzY2NlZDYiLCJ1c2VySWQiOiIxNjcxOTk3NTUzIn0=</vt:lpwstr>
  </property>
</Properties>
</file>