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eastAsia="宋体" w:cs="宋体"/>
          <w:b/>
          <w:bCs/>
          <w:sz w:val="44"/>
          <w:szCs w:val="44"/>
          <w:lang w:val="en-US" w:eastAsia="zh-CN"/>
        </w:rPr>
      </w:pPr>
      <w:r>
        <w:rPr>
          <w:rFonts w:hint="eastAsia" w:ascii="宋体" w:eastAsia="宋体" w:cs="宋体"/>
          <w:b/>
          <w:bCs/>
          <w:sz w:val="44"/>
          <w:szCs w:val="44"/>
          <w:lang w:val="en-US" w:eastAsia="zh-CN"/>
        </w:rPr>
      </w:r>
      <w:r/>
    </w:p>
    <w:p>
      <w:pPr>
        <w:jc w:val="center"/>
        <w:spacing w:line="360" w:lineRule="auto"/>
        <w:widowControl/>
        <w:rPr>
          <w:rFonts w:hint="eastAsia" w:ascii="宋体" w:eastAsia="宋体" w:cs="宋体"/>
          <w:b/>
          <w:bCs/>
          <w:sz w:val="44"/>
          <w:szCs w:val="44"/>
        </w:rPr>
      </w:pPr>
      <w:r>
        <w:rPr>
          <w:rFonts w:hint="eastAsia" w:ascii="宋体" w:eastAsia="宋体" w:cs="宋体"/>
          <w:b/>
          <w:bCs/>
          <w:sz w:val="44"/>
          <w:szCs w:val="44"/>
          <w:lang w:val="en-US" w:eastAsia="zh-CN"/>
        </w:rPr>
        <w:t xml:space="preserve">江苏食品药品职业技术</w:t>
      </w:r>
      <w:r>
        <w:rPr>
          <w:rFonts w:hint="eastAsia" w:ascii="宋体" w:eastAsia="宋体" w:cs="宋体"/>
          <w:b/>
          <w:bCs/>
          <w:sz w:val="44"/>
          <w:szCs w:val="44"/>
        </w:rPr>
        <w:t xml:space="preserve">学院</w:t>
      </w:r>
      <w:r/>
    </w:p>
    <w:p>
      <w:pPr>
        <w:jc w:val="center"/>
        <w:spacing w:line="360" w:lineRule="auto"/>
        <w:widowControl/>
        <w:rPr>
          <w:rFonts w:hint="eastAsia" w:ascii="Arial" w:hAnsi="Arial" w:eastAsia="黑体" w:cs="Arial"/>
          <w:b/>
          <w:bCs/>
          <w:color w:val="auto"/>
          <w:sz w:val="44"/>
          <w:szCs w:val="44"/>
          <w:highlight w:val="none"/>
          <w:lang w:eastAsia="zh-CN"/>
        </w:rPr>
      </w:pPr>
      <w:r>
        <w:rPr>
          <w:rFonts w:hint="eastAsia" w:ascii="宋体" w:eastAsia="宋体" w:cs="宋体"/>
          <w:b/>
          <w:bCs/>
          <w:sz w:val="44"/>
          <w:szCs w:val="44"/>
          <w:lang w:val="en-US" w:eastAsia="zh-CN"/>
        </w:rPr>
        <w:t xml:space="preserve">学生宿舍S4、S8家具采购</w:t>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招</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rPr>
        <w:t xml:space="preserve">项目编号：</w:t>
      </w:r>
      <w:r>
        <w:rPr>
          <w:rFonts w:hint="eastAsia" w:ascii="Arial" w:hAnsi="宋体" w:cs="Arial"/>
          <w:b/>
          <w:color w:val="auto"/>
          <w:sz w:val="36"/>
          <w:szCs w:val="36"/>
          <w:highlight w:val="none"/>
          <w:lang w:eastAsia="zh-CN"/>
        </w:rPr>
        <w:t xml:space="preserve">JSZC-320000-JCEC-G2026-0222</w:t>
      </w:r>
      <w:r>
        <w:rPr>
          <w:rFonts w:hint="eastAsia" w:ascii="Arial" w:hAnsi="宋体" w:cs="Arial"/>
          <w:b/>
          <w:color w:val="auto"/>
          <w:sz w:val="36"/>
          <w:szCs w:val="36"/>
          <w:highlight w:val="none"/>
          <w:lang w:val="en-US" w:eastAsia="zh-CN"/>
        </w:rPr>
        <w:t xml:space="preserve"> </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lang w:eastAsia="zh-CN"/>
        </w:rPr>
        <w:t xml:space="preserve">202</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年</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月</w:t>
      </w:r>
      <w:r/>
    </w:p>
    <w:p>
      <w:pPr>
        <w:pStyle w:val="1236"/>
        <w:jc w:val="center"/>
        <w:rPr>
          <w:rFonts w:ascii="Arial" w:hAnsi="宋体" w:cs="Arial"/>
          <w:color w:val="auto"/>
          <w:sz w:val="36"/>
          <w:szCs w:val="36"/>
          <w:highlight w:val="none"/>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highlight w:val="none"/>
          <w:lang w:val="zh-CN"/>
        </w:rPr>
      </w:r>
      <w:r/>
    </w:p>
    <w:sdt>
      <w:sdtPr>
        <w15:appearance w15:val="boundingBox"/>
        <w15:color w:val="dbdbdb"/>
        <w:id w:val="147465980"/>
        <w:docPartObj>
          <w:docPartGallery w:val="Table of Contents"/>
          <w:docPartUnique w:val="true"/>
        </w:docPartObj>
        <w:rPr>
          <w:rFonts w:ascii="宋体" w:hAnsi="宋体" w:eastAsia="宋体" w:cs="Times New Roman"/>
          <w:sz w:val="21"/>
          <w:szCs w:val="24"/>
          <w:highlight w:val="none"/>
          <w:lang w:val="en-US" w:eastAsia="zh-CN" w:bidi="ar-SA"/>
        </w:rPr>
      </w:sdtPr>
      <w:sdtContent>
        <w:p>
          <w:pPr>
            <w:ind w:left="0" w:right="0" w:firstLine="0"/>
            <w:jc w:val="center"/>
            <w:spacing w:before="0" w:after="0" w:line="360" w:lineRule="auto"/>
            <w:rPr>
              <w:sz w:val="36"/>
              <w:szCs w:val="36"/>
              <w:highlight w:val="none"/>
            </w:rPr>
          </w:pPr>
          <w:r>
            <w:rPr>
              <w:rFonts w:ascii="宋体" w:hAnsi="宋体" w:eastAsia="宋体"/>
              <w:sz w:val="36"/>
              <w:szCs w:val="36"/>
              <w:highlight w:val="none"/>
            </w:rPr>
            <w:t xml:space="preserve">目</w:t>
          </w:r>
          <w:r>
            <w:rPr>
              <w:rFonts w:hint="eastAsia" w:ascii="宋体" w:hAnsi="宋体"/>
              <w:sz w:val="36"/>
              <w:szCs w:val="36"/>
              <w:highlight w:val="none"/>
              <w:lang w:val="en-US" w:eastAsia="zh-CN"/>
            </w:rPr>
            <w:t xml:space="preserve">  </w:t>
          </w:r>
          <w:r>
            <w:rPr>
              <w:rFonts w:ascii="宋体" w:hAnsi="宋体" w:eastAsia="宋体"/>
              <w:sz w:val="36"/>
              <w:szCs w:val="36"/>
              <w:highlight w:val="none"/>
            </w:rPr>
            <w:t xml:space="preserve">录</w:t>
          </w:r>
          <w:r/>
        </w:p>
        <w:p>
          <w:pPr>
            <w:pStyle w:val="934"/>
            <w:spacing w:line="360" w:lineRule="auto"/>
            <w:tabs>
              <w:tab w:val="right" w:pos="8506" w:leader="dot"/>
            </w:tabs>
            <w:rPr>
              <w:highlight w:val="none"/>
            </w:rPr>
          </w:pPr>
          <w:r>
            <w:rPr>
              <w:rFonts w:ascii="Arial" w:hAnsi="Arial" w:cs="Arial"/>
              <w:b/>
              <w:color w:val="auto"/>
              <w:sz w:val="24"/>
              <w:szCs w:val="24"/>
              <w:highlight w:val="none"/>
            </w:rPr>
            <w:fldChar w:fldCharType="begin"/>
          </w:r>
          <w:r>
            <w:rPr>
              <w:rFonts w:ascii="Arial" w:hAnsi="Arial" w:cs="Arial"/>
              <w:b/>
              <w:color w:val="auto"/>
              <w:sz w:val="24"/>
              <w:szCs w:val="24"/>
              <w:highlight w:val="none"/>
            </w:rPr>
            <w:instrText xml:space="preserve">TOC \o "1-2" \h \u </w:instrText>
          </w:r>
          <w:r>
            <w:rPr>
              <w:rFonts w:ascii="Arial" w:hAnsi="Arial" w:cs="Arial"/>
              <w:b/>
              <w:color w:val="auto"/>
              <w:sz w:val="24"/>
              <w:szCs w:val="24"/>
              <w:highlight w:val="none"/>
            </w:rPr>
            <w:fldChar w:fldCharType="separate"/>
          </w:r>
          <w:r>
            <w:rPr>
              <w:rFonts w:ascii="Arial" w:hAnsi="Arial" w:cs="Arial"/>
              <w:color w:val="auto"/>
              <w:szCs w:val="24"/>
              <w:highlight w:val="none"/>
            </w:rPr>
            <w:fldChar w:fldCharType="begin"/>
          </w:r>
          <w:r>
            <w:rPr>
              <w:rFonts w:ascii="Arial" w:hAnsi="Arial" w:cs="Arial"/>
              <w:szCs w:val="24"/>
              <w:highlight w:val="none"/>
            </w:rPr>
            <w:instrText xml:space="preserve"> HYPERLINK \l _Toc10919 </w:instrText>
          </w:r>
          <w:r>
            <w:rPr>
              <w:rFonts w:ascii="Arial" w:hAnsi="Arial" w:cs="Arial"/>
              <w:szCs w:val="24"/>
              <w:highlight w:val="none"/>
            </w:rPr>
            <w:fldChar w:fldCharType="separate"/>
          </w:r>
          <w:r>
            <w:rPr>
              <w:rFonts w:hint="eastAsia" w:ascii="Arial" w:cs="Arial"/>
              <w:highlight w:val="none"/>
            </w:rPr>
            <w:t xml:space="preserve">第一章招标公告</w:t>
          </w:r>
          <w:r>
            <w:rPr>
              <w:highlight w:val="none"/>
            </w:rPr>
            <w:tab/>
          </w:r>
          <w:r>
            <w:rPr>
              <w:highlight w:val="none"/>
            </w:rPr>
            <w:fldChar w:fldCharType="begin"/>
          </w:r>
          <w:r>
            <w:rPr>
              <w:highlight w:val="none"/>
            </w:rPr>
            <w:instrText xml:space="preserve"> PAGEREF _Toc10919 \h </w:instrText>
          </w:r>
          <w:r>
            <w:rPr>
              <w:highlight w:val="none"/>
            </w:rPr>
            <w:fldChar w:fldCharType="separate"/>
          </w:r>
          <w:r>
            <w:rPr>
              <w:highlight w:val="none"/>
            </w:rPr>
            <w:t xml:space="preserve">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_Toc4854 </w:instrText>
          </w:r>
          <w:r>
            <w:rPr>
              <w:rFonts w:ascii="Arial" w:hAnsi="Arial" w:cs="Arial"/>
              <w:szCs w:val="24"/>
              <w:highlight w:val="none"/>
            </w:rPr>
            <w:fldChar w:fldCharType="separate"/>
          </w:r>
          <w:r>
            <w:rPr>
              <w:rFonts w:hint="eastAsia" w:ascii="Arial" w:cs="Arial"/>
              <w:bCs/>
              <w:szCs w:val="44"/>
              <w:highlight w:val="none"/>
            </w:rPr>
            <w:t xml:space="preserve">第二章投标人须知</w:t>
          </w:r>
          <w:r>
            <w:rPr>
              <w:highlight w:val="none"/>
            </w:rPr>
            <w:tab/>
          </w:r>
          <w:r>
            <w:rPr>
              <w:highlight w:val="none"/>
            </w:rPr>
            <w:fldChar w:fldCharType="begin"/>
          </w:r>
          <w:r>
            <w:rPr>
              <w:highlight w:val="none"/>
            </w:rPr>
            <w:instrText xml:space="preserve"> PAGEREF _Toc4854 \h </w:instrText>
          </w:r>
          <w:r>
            <w:rPr>
              <w:highlight w:val="none"/>
            </w:rPr>
            <w:fldChar w:fldCharType="separate"/>
          </w:r>
          <w:r>
            <w:rPr>
              <w:highlight w:val="none"/>
            </w:rPr>
            <w:t xml:space="preserve">5</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_Toc23781 </w:instrText>
          </w:r>
          <w:r>
            <w:rPr>
              <w:rFonts w:ascii="Arial" w:hAnsi="Arial" w:cs="Arial"/>
              <w:szCs w:val="24"/>
              <w:highlight w:val="none"/>
            </w:rPr>
            <w:fldChar w:fldCharType="separate"/>
          </w:r>
          <w:r>
            <w:rPr>
              <w:rFonts w:hint="eastAsia" w:ascii="Arial" w:hAnsi="Arial" w:cs="Arial"/>
              <w:highlight w:val="none"/>
            </w:rPr>
            <w:t xml:space="preserve">第三章评标标准</w:t>
          </w:r>
          <w:r>
            <w:rPr>
              <w:highlight w:val="none"/>
            </w:rPr>
            <w:tab/>
          </w:r>
          <w:r>
            <w:rPr>
              <w:highlight w:val="none"/>
            </w:rPr>
            <w:fldChar w:fldCharType="begin"/>
          </w:r>
          <w:r>
            <w:rPr>
              <w:highlight w:val="none"/>
            </w:rPr>
            <w:instrText xml:space="preserve"> PAGEREF _Toc23781 \h </w:instrText>
          </w:r>
          <w:r>
            <w:rPr>
              <w:highlight w:val="none"/>
            </w:rPr>
            <w:fldChar w:fldCharType="separate"/>
          </w:r>
          <w:r>
            <w:rPr>
              <w:highlight w:val="none"/>
            </w:rPr>
            <w:t xml:space="preserve">18</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_Toc8882 </w:instrText>
          </w:r>
          <w:r>
            <w:rPr>
              <w:rFonts w:ascii="Arial" w:hAnsi="Arial" w:cs="Arial"/>
              <w:szCs w:val="24"/>
              <w:highlight w:val="none"/>
            </w:rPr>
            <w:fldChar w:fldCharType="separate"/>
          </w:r>
          <w:r>
            <w:rPr>
              <w:rFonts w:hint="eastAsia" w:ascii="Arial" w:hAnsi="Arial" w:cs="Arial"/>
              <w:highlight w:val="none"/>
            </w:rPr>
            <w:t xml:space="preserve">第四章采购需求</w:t>
          </w:r>
          <w:r>
            <w:rPr>
              <w:highlight w:val="none"/>
            </w:rPr>
            <w:tab/>
          </w:r>
          <w:r>
            <w:rPr>
              <w:highlight w:val="none"/>
            </w:rPr>
            <w:fldChar w:fldCharType="begin"/>
          </w:r>
          <w:r>
            <w:rPr>
              <w:highlight w:val="none"/>
            </w:rPr>
            <w:instrText xml:space="preserve"> PAGEREF _Toc8882 \h </w:instrText>
          </w:r>
          <w:r>
            <w:rPr>
              <w:highlight w:val="none"/>
            </w:rPr>
            <w:fldChar w:fldCharType="separate"/>
          </w:r>
          <w:r>
            <w:rPr>
              <w:highlight w:val="none"/>
            </w:rPr>
            <w:t xml:space="preserve">22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_Toc8691 </w:instrText>
          </w:r>
          <w:r>
            <w:rPr>
              <w:rFonts w:ascii="Arial" w:hAnsi="Arial" w:cs="Arial"/>
              <w:szCs w:val="24"/>
              <w:highlight w:val="none"/>
            </w:rPr>
            <w:fldChar w:fldCharType="separate"/>
          </w:r>
          <w:r>
            <w:rPr>
              <w:rFonts w:hint="eastAsia"/>
              <w:highlight w:val="none"/>
            </w:rPr>
            <w:t xml:space="preserve">第五章</w:t>
          </w:r>
          <w:r>
            <w:rPr>
              <w:rFonts w:hint="eastAsia" w:ascii="宋体" w:hAnsi="宋体" w:cs="Arial"/>
              <w:highlight w:val="none"/>
            </w:rPr>
            <w:t xml:space="preserve">主要条款及格式</w:t>
          </w:r>
          <w:r>
            <w:rPr>
              <w:highlight w:val="none"/>
            </w:rPr>
            <w:tab/>
          </w:r>
          <w:r>
            <w:rPr>
              <w:highlight w:val="none"/>
            </w:rPr>
            <w:fldChar w:fldCharType="begin"/>
          </w:r>
          <w:r>
            <w:rPr>
              <w:highlight w:val="none"/>
            </w:rPr>
            <w:instrText xml:space="preserve"> PAGEREF _Toc8691 \h </w:instrText>
          </w:r>
          <w:r>
            <w:rPr>
              <w:highlight w:val="none"/>
            </w:rPr>
            <w:fldChar w:fldCharType="separate"/>
          </w:r>
          <w:r>
            <w:rPr>
              <w:highlight w:val="none"/>
            </w:rPr>
            <w:t xml:space="preserve">26</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_Toc16360 </w:instrText>
          </w:r>
          <w:r>
            <w:rPr>
              <w:rFonts w:ascii="Arial" w:hAnsi="Arial" w:cs="Arial"/>
              <w:szCs w:val="24"/>
              <w:highlight w:val="none"/>
            </w:rPr>
            <w:fldChar w:fldCharType="separate"/>
          </w:r>
          <w:r>
            <w:rPr>
              <w:rFonts w:hint="eastAsia" w:ascii="Arial" w:hAnsi="Arial" w:cs="Arial"/>
              <w:highlight w:val="none"/>
            </w:rPr>
            <w:t xml:space="preserve">第六章附件</w:t>
          </w:r>
          <w:r>
            <w:rPr>
              <w:highlight w:val="none"/>
            </w:rPr>
            <w:tab/>
          </w:r>
          <w:r>
            <w:rPr>
              <w:highlight w:val="none"/>
            </w:rPr>
            <w:fldChar w:fldCharType="begin"/>
          </w:r>
          <w:r>
            <w:rPr>
              <w:highlight w:val="none"/>
            </w:rPr>
            <w:instrText xml:space="preserve"> PAGEREF _Toc16360 \h </w:instrText>
          </w:r>
          <w:r>
            <w:rPr>
              <w:highlight w:val="none"/>
            </w:rPr>
            <w:fldChar w:fldCharType="separate"/>
          </w:r>
          <w:r>
            <w:rPr>
              <w:highlight w:val="none"/>
            </w:rPr>
            <w:t xml:space="preserve">36</w:t>
          </w:r>
          <w:r>
            <w:rPr>
              <w:highlight w:val="none"/>
            </w:rPr>
            <w:fldChar w:fldCharType="end"/>
          </w: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cs="Arial"/>
              <w:color w:val="auto"/>
              <w:szCs w:val="24"/>
              <w:highlight w:val="none"/>
            </w:rPr>
            <w:fldChar w:fldCharType="end"/>
          </w:r>
          <w:r/>
        </w:p>
      </w:sdtContent>
    </w:sdt>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eastAsia="宋体" w:cs="Arial"/>
          <w:color w:val="auto"/>
          <w:sz w:val="21"/>
          <w:szCs w:val="36"/>
          <w:highlight w:val="none"/>
          <w:lang w:val="en-US" w:eastAsia="zh-CN" w:bidi="ar-SA"/>
        </w:rPr>
      </w:r>
      <w:r/>
    </w:p>
    <w:p>
      <w:pPr>
        <w:jc w:val="left"/>
        <w:spacing w:line="576" w:lineRule="auto"/>
        <w:widowControl/>
        <w:rPr>
          <w:rFonts w:ascii="Arial" w:hAnsi="Arial" w:cs="Arial"/>
          <w:b/>
          <w:bCs/>
          <w:color w:val="auto"/>
          <w:sz w:val="32"/>
          <w:szCs w:val="21"/>
          <w:highlight w:val="none"/>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color w:val="auto"/>
          <w:sz w:val="32"/>
          <w:szCs w:val="21"/>
          <w:highlight w:val="none"/>
        </w:rPr>
      </w:r>
      <w:r/>
    </w:p>
    <w:p>
      <w:pPr>
        <w:pStyle w:val="901"/>
        <w:numPr>
          <w:ilvl w:val="0"/>
          <w:numId w:val="0"/>
        </w:numPr>
        <w:spacing w:line="578" w:lineRule="auto"/>
        <w:rPr>
          <w:rFonts w:ascii="Arial" w:hAnsi="Arial" w:cs="Arial"/>
          <w:color w:val="auto"/>
          <w:szCs w:val="21"/>
          <w:highlight w:val="none"/>
        </w:rPr>
      </w:pPr>
      <w:r/>
      <w:bookmarkStart w:id="0" w:name="_Toc10919"/>
      <w:r/>
      <w:bookmarkStart w:id="1" w:name="_Toc481057143"/>
      <w:r/>
      <w:bookmarkStart w:id="2" w:name="_Toc17771"/>
      <w:r>
        <w:rPr>
          <w:rFonts w:hint="eastAsia" w:ascii="Arial" w:cs="Arial"/>
          <w:color w:val="auto"/>
          <w:highlight w:val="none"/>
        </w:rPr>
        <w:t xml:space="preserve">第一章招标公告</w:t>
      </w:r>
      <w:bookmarkEnd w:id="0"/>
      <w:r/>
      <w:bookmarkEnd w:id="1"/>
      <w:r/>
      <w:bookmarkEnd w:id="2"/>
      <w:r/>
      <w:r/>
    </w:p>
    <w:tbl>
      <w:tblPr>
        <w:tblStyle w:val="950"/>
        <w:tblpPr w:horzAnchor="text" w:tblpX="16" w:vertAnchor="text" w:tblpY="148" w:leftFromText="180" w:topFromText="0" w:rightFromText="180" w:bottomFromText="0"/>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4"/>
      </w:tblGrid>
      <w:tr>
        <w:trPr>
          <w:trHeight w:val="1681"/>
        </w:trPr>
        <w:tc>
          <w:tcPr>
            <w:tcW w:w="8744" w:type="dxa"/>
            <w:textDirection w:val="lrTb"/>
            <w:noWrap w:val="false"/>
          </w:tcPr>
          <w:p>
            <w:pPr>
              <w:spacing w:line="360" w:lineRule="auto"/>
              <w:shd w:val="clear" w:color="auto" w:fill="ffffff"/>
              <w:widowControl/>
              <w:rPr>
                <w:rFonts w:ascii="Arial" w:hAnsi="Arial" w:cs="Arial"/>
                <w:color w:val="auto"/>
                <w:spacing w:val="8"/>
                <w:szCs w:val="21"/>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vertAlign w:val="baseline"/>
              </w:rPr>
              <w:pBdr>
                <w:top w:val="single" w:color="000000" w:sz="4" w:space="1"/>
                <w:left w:val="single" w:color="000000" w:sz="4" w:space="4"/>
                <w:bottom w:val="single" w:color="000000" w:sz="4" w:space="1"/>
                <w:right w:val="single" w:color="000000" w:sz="4" w:space="4"/>
              </w:pBdr>
            </w:pP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cs="Arial"/>
                <w:color w:val="auto"/>
                <w:spacing w:val="8"/>
                <w:szCs w:val="21"/>
                <w:highlight w:val="none"/>
              </w:rPr>
              <w:t xml:space="preserve">的潜在投标人应在江苏政府采购网获取招标文件，并于</w:t>
            </w:r>
            <w:r>
              <w:rPr>
                <w:rFonts w:hint="eastAsia" w:ascii="Arial" w:hAnsi="Arial" w:cs="Arial"/>
                <w:color w:val="auto"/>
                <w:spacing w:val="8"/>
                <w:szCs w:val="21"/>
                <w:highlight w:val="none"/>
                <w:lang w:eastAsia="zh-CN"/>
              </w:rPr>
              <w:t xml:space="preserve">202</w:t>
            </w:r>
            <w:r>
              <w:rPr>
                <w:rFonts w:hint="eastAsia" w:ascii="Arial" w:hAnsi="Arial" w:cs="Arial"/>
                <w:color w:val="auto"/>
                <w:spacing w:val="8"/>
                <w:szCs w:val="21"/>
                <w:highlight w:val="none"/>
                <w:lang w:val="en-US" w:eastAsia="zh-CN"/>
              </w:rPr>
              <w:t xml:space="preserve">6</w:t>
            </w:r>
            <w:r>
              <w:rPr>
                <w:rFonts w:hint="eastAsia" w:ascii="Arial" w:hAnsi="Arial" w:cs="Arial"/>
                <w:color w:val="auto"/>
                <w:spacing w:val="8"/>
                <w:szCs w:val="21"/>
                <w:highlight w:val="none"/>
                <w:lang w:eastAsia="zh-CN"/>
              </w:rPr>
              <w:t xml:space="preserve">年</w:t>
            </w:r>
            <w:r>
              <w:rPr>
                <w:rFonts w:hint="eastAsia" w:ascii="Arial" w:hAnsi="Arial" w:cs="Arial"/>
                <w:color w:val="auto"/>
                <w:spacing w:val="8"/>
                <w:szCs w:val="21"/>
                <w:highlight w:val="none"/>
                <w:lang w:val="en-US" w:eastAsia="zh-CN"/>
              </w:rPr>
              <w:t xml:space="preserve">7月20日14</w:t>
            </w:r>
            <w:r>
              <w:rPr>
                <w:rFonts w:hint="eastAsia" w:ascii="Arial" w:hAnsi="Arial" w:cs="Arial"/>
                <w:color w:val="auto"/>
                <w:spacing w:val="8"/>
                <w:szCs w:val="21"/>
                <w:highlight w:val="none"/>
                <w:lang w:eastAsia="zh-CN"/>
              </w:rPr>
              <w:t xml:space="preserve">点</w:t>
            </w:r>
            <w:r>
              <w:rPr>
                <w:rFonts w:hint="eastAsia" w:ascii="Arial" w:hAnsi="Arial" w:cs="Arial"/>
                <w:color w:val="auto"/>
                <w:spacing w:val="8"/>
                <w:szCs w:val="21"/>
                <w:highlight w:val="none"/>
                <w:lang w:val="en-US" w:eastAsia="zh-CN"/>
              </w:rPr>
              <w:t xml:space="preserve">3</w:t>
            </w:r>
            <w:r>
              <w:rPr>
                <w:rFonts w:hint="eastAsia" w:ascii="Arial" w:hAnsi="Arial" w:cs="Arial"/>
                <w:color w:val="auto"/>
                <w:spacing w:val="8"/>
                <w:szCs w:val="21"/>
                <w:highlight w:val="none"/>
                <w:lang w:eastAsia="zh-CN"/>
              </w:rPr>
              <w:t xml:space="preserve">0分</w:t>
            </w:r>
            <w:r>
              <w:rPr>
                <w:rFonts w:hint="eastAsia" w:ascii="Arial" w:hAnsi="Arial" w:cs="Arial"/>
                <w:color w:val="auto"/>
                <w:spacing w:val="8"/>
                <w:szCs w:val="21"/>
                <w:highlight w:val="none"/>
              </w:rPr>
              <w:t xml:space="preserve">（北京时间）前递交投标文件。</w:t>
            </w:r>
            <w:r/>
          </w:p>
        </w:tc>
      </w:tr>
    </w:tbl>
    <w:p>
      <w:pPr>
        <w:ind w:firstLine="369"/>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一、项目基本情况</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JSZC-320000-JCEC-G2026-0222</w:t>
      </w:r>
      <w:r>
        <w:rPr>
          <w:rFonts w:hint="eastAsia" w:ascii="Arial" w:hAnsi="Arial" w:cs="Arial"/>
          <w:color w:val="auto"/>
          <w:spacing w:val="8"/>
          <w:szCs w:val="21"/>
          <w:highlight w:val="none"/>
          <w:lang w:val="en-US" w:eastAsia="zh-CN"/>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w:t>
      </w:r>
      <w:r>
        <w:rPr>
          <w:rFonts w:hint="eastAsia" w:ascii="Arial" w:hAnsi="Arial" w:cs="Arial"/>
          <w:color w:val="auto"/>
          <w:spacing w:val="8"/>
          <w:szCs w:val="21"/>
          <w:highlight w:val="none"/>
        </w:rPr>
        <w:t xml:space="preserve">项目名称：</w:t>
      </w:r>
      <w:r>
        <w:rPr>
          <w:rFonts w:hint="eastAsia" w:ascii="Arial" w:hAnsi="Arial" w:cs="Arial"/>
          <w:color w:val="auto"/>
          <w:spacing w:val="8"/>
          <w:szCs w:val="21"/>
          <w:highlight w:val="none"/>
          <w:lang w:eastAsia="zh-CN"/>
        </w:rPr>
        <w:t xml:space="preserve">江苏食品药品职业技术学院学生宿舍S4、S8家具采购项目</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1.3采购方式：公开招标</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4预算金额：</w:t>
      </w:r>
      <w:r>
        <w:rPr>
          <w:rFonts w:hint="eastAsia" w:ascii="Arial" w:hAnsi="Arial" w:cs="Arial"/>
          <w:color w:val="auto"/>
          <w:spacing w:val="8"/>
          <w:szCs w:val="21"/>
          <w:highlight w:val="none"/>
          <w:lang w:val="en-US" w:eastAsia="zh-CN"/>
        </w:rPr>
        <w:t xml:space="preserve">350万元</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5最高限价：</w:t>
      </w:r>
      <w:r>
        <w:rPr>
          <w:rFonts w:hint="eastAsia" w:ascii="Arial" w:hAnsi="Arial" w:cs="Arial"/>
          <w:color w:val="auto"/>
          <w:spacing w:val="8"/>
          <w:szCs w:val="21"/>
          <w:highlight w:val="none"/>
          <w:lang w:val="en-US" w:eastAsia="zh-CN"/>
        </w:rPr>
        <w:t xml:space="preserve">349.38万元</w:t>
      </w:r>
      <w:r/>
    </w:p>
    <w:p>
      <w:pPr>
        <w:ind w:firstLine="452"/>
        <w:spacing w:line="360" w:lineRule="auto"/>
        <w:rPr>
          <w:rFonts w:hint="eastAsia" w:eastAsia="宋体"/>
          <w:color w:val="auto"/>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hint="eastAsia" w:ascii="Arial" w:hAnsi="Arial" w:eastAsia="宋体" w:cs="Arial"/>
          <w:color w:val="auto"/>
          <w:spacing w:val="8"/>
          <w:szCs w:val="21"/>
          <w:highlight w:val="none"/>
        </w:rPr>
        <w:t xml:space="preserve">项目概况：</w:t>
      </w: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eastAsia="宋体" w:cs="Arial"/>
          <w:color w:val="auto"/>
          <w:spacing w:val="8"/>
          <w:szCs w:val="21"/>
          <w:highlight w:val="none"/>
        </w:rPr>
        <w:t xml:space="preserve">，</w:t>
      </w:r>
      <w:r>
        <w:rPr>
          <w:rFonts w:hint="eastAsia" w:ascii="Arial" w:hAnsi="Arial" w:cs="Arial"/>
          <w:color w:val="auto"/>
          <w:spacing w:val="8"/>
          <w:szCs w:val="21"/>
          <w:highlight w:val="none"/>
          <w:lang w:val="en-US" w:eastAsia="zh-CN"/>
        </w:rPr>
        <w:t xml:space="preserve">具体采购需求</w:t>
      </w:r>
      <w:r>
        <w:rPr>
          <w:rFonts w:hint="eastAsia" w:ascii="Arial" w:hAnsi="Arial" w:eastAsia="宋体" w:cs="Arial"/>
          <w:color w:val="auto"/>
          <w:spacing w:val="8"/>
          <w:szCs w:val="21"/>
          <w:highlight w:val="none"/>
        </w:rPr>
        <w:t xml:space="preserve">详见招标文件要求</w:t>
      </w:r>
      <w:r>
        <w:rPr>
          <w:rFonts w:hint="eastAsia" w:ascii="Arial" w:hAnsi="Arial" w:eastAsia="宋体" w:cs="Arial"/>
          <w:color w:val="auto"/>
          <w:spacing w:val="8"/>
          <w:szCs w:val="21"/>
          <w:highlight w:val="none"/>
          <w:lang w:eastAsia="zh-CN"/>
        </w:rPr>
        <w:t xml:space="preserve">。</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1.7合同履行期限：</w:t>
      </w:r>
      <w:r>
        <w:rPr>
          <w:rFonts w:hint="eastAsia" w:ascii="宋体" w:eastAsia="宋体" w:cs="宋体"/>
          <w:sz w:val="21"/>
          <w:szCs w:val="21"/>
          <w:lang w:val="en-US" w:eastAsia="zh-CN"/>
        </w:rPr>
        <w:t xml:space="preserve">25</w:t>
      </w:r>
      <w:r>
        <w:rPr>
          <w:rFonts w:hint="eastAsia" w:ascii="宋体" w:eastAsia="宋体" w:cs="宋体"/>
          <w:sz w:val="21"/>
          <w:szCs w:val="21"/>
        </w:rPr>
        <w:t xml:space="preserve">个日历日</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1.8行业划分：</w:t>
      </w:r>
      <w:r>
        <w:rPr>
          <w:rFonts w:hint="eastAsia" w:ascii="Arial" w:hAnsi="Arial" w:cs="Arial"/>
          <w:spacing w:val="8"/>
          <w:szCs w:val="21"/>
        </w:rPr>
        <w:t xml:space="preserve">工业</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w:t>
      </w:r>
      <w:r>
        <w:rPr>
          <w:rFonts w:hint="eastAsia" w:ascii="宋体" w:hAnsi="宋体" w:cs="Arial"/>
          <w:color w:val="auto"/>
          <w:spacing w:val="8"/>
          <w:highlight w:val="none"/>
        </w:rPr>
        <w:t xml:space="preserve">本项目为</w:t>
      </w:r>
      <w:r>
        <w:rPr>
          <w:rFonts w:hint="eastAsia" w:ascii="宋体" w:hAnsi="宋体" w:cs="Arial"/>
          <w:color w:val="auto"/>
          <w:spacing w:val="8"/>
          <w:highlight w:val="none"/>
          <w:lang w:val="en-US" w:eastAsia="zh-CN"/>
        </w:rPr>
        <w:t xml:space="preserve">非</w:t>
      </w:r>
      <w:r>
        <w:rPr>
          <w:rFonts w:hint="eastAsia" w:ascii="宋体" w:hAnsi="宋体" w:cs="Arial"/>
          <w:color w:val="auto"/>
          <w:spacing w:val="8"/>
          <w:highlight w:val="none"/>
        </w:rPr>
        <w:t xml:space="preserve">专门面向中小企业（或监狱企业或残疾人福利性单位）采购</w:t>
      </w:r>
      <w:r/>
    </w:p>
    <w:p>
      <w:pPr>
        <w:ind w:firstLine="452"/>
        <w:spacing w:line="360" w:lineRule="auto"/>
        <w:shd w:val="clear" w:color="auto" w:fill="ffffff"/>
        <w:widowControl/>
        <w:rPr>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10</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接受联合体投标</w:t>
      </w:r>
      <w:r/>
    </w:p>
    <w:p>
      <w:pPr>
        <w:ind w:firstLine="452"/>
        <w:spacing w:line="360" w:lineRule="auto"/>
        <w:shd w:val="clear" w:color="auto" w:fill="ffffff"/>
        <w:widowControl/>
        <w:rPr>
          <w:rFonts w:hint="eastAsia" w:ascii="Arial" w:hAnsi="Arial" w:cs="Arial"/>
          <w:b/>
          <w:color w:val="auto"/>
          <w:spacing w:val="8"/>
          <w:sz w:val="24"/>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w:t>
      </w:r>
      <w:r>
        <w:rPr>
          <w:rFonts w:hint="eastAsia" w:ascii="Arial" w:hAnsi="Arial" w:cs="Arial"/>
          <w:color w:val="auto"/>
          <w:spacing w:val="8"/>
          <w:szCs w:val="21"/>
          <w:highlight w:val="none"/>
          <w:lang w:val="en-US" w:eastAsia="zh-CN"/>
        </w:rPr>
        <w:t xml:space="preserve">1</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w:t>
      </w:r>
      <w:r>
        <w:rPr>
          <w:rFonts w:hint="eastAsia" w:ascii="Arial" w:hAnsi="Arial" w:cs="Arial"/>
          <w:color w:val="auto"/>
          <w:spacing w:val="8"/>
          <w:szCs w:val="21"/>
          <w:highlight w:val="none"/>
          <w:lang w:val="en-US" w:eastAsia="zh-CN"/>
        </w:rPr>
        <w:t xml:space="preserve">进口产品</w:t>
      </w:r>
      <w:r>
        <w:rPr>
          <w:rFonts w:ascii="Arial" w:hAnsi="Arial" w:cs="Arial"/>
          <w:color w:val="auto"/>
          <w:spacing w:val="8"/>
          <w:szCs w:val="21"/>
          <w:highlight w:val="none"/>
        </w:rPr>
        <w:t xml:space="preserve">投标</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二、申请人的资格要求：</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2.1满足《中华人民共和国政府采购法》第二十二条规定；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（1）具有独立承担民事责任的能力（提供法人或者其他组织的营业执照；供应商为自然人的，提供其身份证）；</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（2）具有良好的商业信誉和健全的财务会计制度（提供2025年度财务报告，或投标截止时间前六个月内银行出具的资信证明）；</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（3）具有履行合同所必需的设备和专业技术能力（供应商根据履行采购项目合同需要，提供履行合同所必需的设备和专业技术能力的证明材料）；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（4）有依法缴纳税收和社会保障资金的良好记录（提供参加本次政府采购活动前半年内至少一个月：</w:t>
      </w:r>
      <w:r>
        <w:rPr>
          <w:rFonts w:hint="default" w:ascii="Arial" w:hAnsi="Arial" w:eastAsia="宋体" w:cs="Arial"/>
          <w:color w:val="auto"/>
          <w:spacing w:val="8"/>
          <w:szCs w:val="21"/>
          <w:highlight w:val="none"/>
        </w:rPr>
        <w:t xml:space="preserve">①</w:t>
      </w:r>
      <w:r>
        <w:rPr>
          <w:rFonts w:hint="eastAsia" w:ascii="Arial" w:hAnsi="Arial" w:eastAsia="宋体" w:cs="Arial"/>
          <w:color w:val="auto"/>
          <w:spacing w:val="8"/>
          <w:szCs w:val="21"/>
          <w:highlight w:val="none"/>
        </w:rPr>
        <w:t xml:space="preserve">提供缴纳税收的凭证；</w:t>
      </w:r>
      <w:r>
        <w:rPr>
          <w:rFonts w:hint="default" w:ascii="Arial" w:hAnsi="Arial" w:eastAsia="宋体" w:cs="Arial"/>
          <w:color w:val="auto"/>
          <w:spacing w:val="8"/>
          <w:szCs w:val="21"/>
          <w:highlight w:val="none"/>
        </w:rPr>
        <w:t xml:space="preserve">②</w:t>
      </w:r>
      <w:r>
        <w:rPr>
          <w:rFonts w:hint="eastAsia" w:ascii="Arial" w:hAnsi="Arial" w:eastAsia="宋体" w:cs="Arial"/>
          <w:color w:val="auto"/>
          <w:spacing w:val="8"/>
          <w:szCs w:val="21"/>
          <w:highlight w:val="none"/>
        </w:rPr>
        <w:t xml:space="preserve">提供缴纳社会保险的凭据，依法享受免缴、缓缴的，提供证明材料）；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（5）参加政府采购活动前三年内，在经营活动中没有重大违法记录（提供承诺书）；</w:t>
      </w:r>
      <w:r/>
    </w:p>
    <w:p>
      <w:pPr>
        <w:ind w:firstLine="711"/>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（6）法律、行政法规规定的其他条件：无。</w:t>
      </w:r>
      <w:r/>
    </w:p>
    <w:p>
      <w:pPr>
        <w:ind w:firstLine="370"/>
        <w:keepLines w:val="0"/>
        <w:keepNext w:val="0"/>
        <w:pageBreakBefore w:val="0"/>
        <w:spacing w:line="360" w:lineRule="auto"/>
        <w:shd w:val="clear" w:color="auto" w:fill="ffffff"/>
        <w:widowControl/>
        <w:rPr>
          <w:rFonts w:hint="eastAsia" w:ascii="Arial" w:hAnsi="Arial" w:eastAsia="宋体" w:cs="Arial"/>
          <w:color w:val="auto"/>
          <w:spacing w:val="8"/>
          <w:szCs w:val="21"/>
          <w:highlight w:val="none"/>
          <w:u w:val="single"/>
          <w:lang w:val="en-US" w:eastAsia="zh-CN"/>
        </w:rPr>
      </w:pPr>
      <w:r>
        <w:rPr>
          <w:rFonts w:ascii="Arial" w:hAnsi="Arial" w:cs="Arial"/>
          <w:b/>
          <w:color w:val="auto"/>
          <w:spacing w:val="8"/>
          <w:szCs w:val="21"/>
          <w:highlight w:val="none"/>
        </w:rPr>
        <w:t xml:space="preserve">2.2落实政府采购政策需满足的资格要求：</w:t>
      </w:r>
      <w:r>
        <w:rPr>
          <w:rFonts w:hint="eastAsia" w:ascii="Arial" w:hAnsi="Arial" w:cs="Arial"/>
          <w:b/>
          <w:color w:val="auto"/>
          <w:spacing w:val="8"/>
          <w:szCs w:val="21"/>
          <w:highlight w:val="none"/>
          <w:lang w:val="en-US" w:eastAsia="zh-CN"/>
        </w:rPr>
        <w:t xml:space="preserve">无。</w:t>
      </w:r>
      <w:r/>
    </w:p>
    <w:p>
      <w:pPr>
        <w:ind w:firstLine="370"/>
        <w:keepLines w:val="0"/>
        <w:keepNext w:val="0"/>
        <w:pageBreakBefore w:val="0"/>
        <w:spacing w:line="360" w:lineRule="auto"/>
        <w:shd w:val="clear" w:color="auto" w:fill="ffffff"/>
        <w:widowControl/>
        <w:rPr>
          <w:rFonts w:hint="eastAsia" w:ascii="Arial" w:hAnsi="Arial" w:cs="Arial"/>
          <w:b/>
          <w:color w:val="auto"/>
          <w:szCs w:val="21"/>
          <w:highlight w:val="none"/>
        </w:rPr>
      </w:pPr>
      <w:r>
        <w:rPr>
          <w:rFonts w:hint="eastAsia" w:ascii="Arial" w:hAnsi="Arial" w:cs="Arial"/>
          <w:b/>
          <w:color w:val="auto"/>
          <w:spacing w:val="8"/>
          <w:szCs w:val="21"/>
          <w:highlight w:val="none"/>
          <w:lang w:val="en-US" w:eastAsia="zh-CN"/>
        </w:rPr>
        <w:t xml:space="preserve">2.3</w:t>
      </w:r>
      <w:r>
        <w:rPr>
          <w:rFonts w:hint="eastAsia" w:ascii="Arial" w:hAnsi="Arial" w:cs="Arial"/>
          <w:b/>
          <w:color w:val="auto"/>
          <w:szCs w:val="21"/>
          <w:highlight w:val="none"/>
        </w:rPr>
        <w:t xml:space="preserve">采购人根据采购项目的特殊要求规定的特定条件，并提供符合特殊要求的证明材料或者情况说明：</w:t>
      </w:r>
      <w:r>
        <w:rPr>
          <w:rFonts w:hint="eastAsia" w:ascii="Arial" w:hAnsi="Arial" w:cs="Arial"/>
          <w:b/>
          <w:color w:val="auto"/>
          <w:spacing w:val="8"/>
          <w:szCs w:val="21"/>
          <w:highlight w:val="none"/>
          <w:lang w:val="en-US" w:eastAsia="zh-CN"/>
        </w:rPr>
        <w:t xml:space="preserve">无。</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2.4第2.1（5）条所称重大违法记录，是指供应商因违法经营受到刑事处罚或者责令停产停业、吊销许可证或者执照、较大数额罚款等行政处罚。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2.5 供应商在参加政府采购活动前3年内因违法经营被禁止在一定期限内参加政府采购活动，期限届满的，可以参加政府采购活动。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2.6单位负责人为同一人或者存在直接控股、管理关系的不同供应商，不得参加同一合同项下的政府采购活动。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2.7拒绝列入失信被执行人、重大税收违法失信主体、政府采购严重违法失信行为记录名单</w:t>
      </w:r>
      <w:r>
        <w:rPr>
          <w:rFonts w:hint="default" w:ascii="Arial" w:hAnsi="Arial" w:eastAsia="宋体" w:cs="Arial"/>
          <w:color w:val="auto"/>
          <w:spacing w:val="8"/>
          <w:szCs w:val="21"/>
          <w:highlight w:val="none"/>
        </w:rPr>
        <w:t xml:space="preserve">及其他不符合《中华人民共和国政府采购法》第二十二条规定条件的供应商</w:t>
      </w:r>
      <w:r>
        <w:rPr>
          <w:rFonts w:hint="eastAsia" w:ascii="Arial" w:hAnsi="Arial" w:eastAsia="宋体" w:cs="Arial"/>
          <w:color w:val="auto"/>
          <w:spacing w:val="8"/>
          <w:szCs w:val="21"/>
          <w:highlight w:val="none"/>
        </w:rPr>
        <w:t xml:space="preserve">参与政府采购活动。采购人或者采购代理机构</w:t>
      </w:r>
      <w:r>
        <w:rPr>
          <w:rFonts w:hint="eastAsia" w:ascii="Arial" w:hAnsi="Arial" w:eastAsia="宋体" w:cs="Arial"/>
          <w:color w:val="auto"/>
          <w:spacing w:val="8"/>
          <w:szCs w:val="21"/>
          <w:highlight w:val="none"/>
          <w:lang w:val="en-US" w:eastAsia="zh-CN"/>
        </w:rPr>
        <w:t xml:space="preserve">在进行资格审查的同时</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val="en-US" w:eastAsia="zh-CN"/>
        </w:rPr>
        <w:t xml:space="preserve">依法</w:t>
      </w:r>
      <w:r>
        <w:rPr>
          <w:rFonts w:hint="eastAsia" w:ascii="Arial" w:hAnsi="Arial" w:eastAsia="宋体" w:cs="Arial"/>
          <w:color w:val="auto"/>
          <w:spacing w:val="8"/>
          <w:szCs w:val="21"/>
          <w:highlight w:val="none"/>
        </w:rPr>
        <w:t xml:space="preserve">通过</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中国政府采购网</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信用中国</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网站等渠道查询投标人信用记录并保存。</w:t>
      </w:r>
      <w:r/>
    </w:p>
    <w:p>
      <w:pPr>
        <w:ind w:firstLine="456"/>
        <w:keepLines w:val="0"/>
        <w:keepNext w:val="0"/>
        <w:pageBreakBefore w:val="0"/>
        <w:spacing w:line="240" w:lineRule="auto"/>
        <w:rPr>
          <w:rFonts w:ascii="Arial" w:hAnsi="Arial" w:cs="Arial"/>
          <w:bCs/>
          <w:color w:val="auto"/>
          <w:szCs w:val="21"/>
          <w:highlight w:val="none"/>
        </w:rPr>
      </w:pPr>
      <w:r>
        <w:rPr>
          <w:rFonts w:ascii="Arial" w:hAnsi="Arial" w:cs="Arial"/>
          <w:bCs/>
          <w:color w:val="auto"/>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三、获取招标文件</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3.1</w:t>
      </w:r>
      <w:r>
        <w:rPr>
          <w:rFonts w:hint="eastAsia" w:ascii="宋体" w:hAnsi="宋体" w:cs="宋体"/>
          <w:bCs/>
          <w:color w:val="auto"/>
          <w:szCs w:val="21"/>
          <w:highlight w:val="none"/>
        </w:rPr>
        <w:t xml:space="preserve">时间：自招标文件公告发布之日起5个工作日。</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3.2</w:t>
      </w:r>
      <w:r>
        <w:rPr>
          <w:rFonts w:hint="eastAsia" w:ascii="宋体" w:hAnsi="宋体" w:cs="宋体"/>
          <w:bCs/>
          <w:color w:val="auto"/>
          <w:szCs w:val="21"/>
          <w:highlight w:val="none"/>
        </w:rPr>
        <w:t xml:space="preserve">地点：江苏政府采购网（http://www.ccgp-jiangsu.gov.cn/）。</w:t>
      </w:r>
      <w:r/>
    </w:p>
    <w:p>
      <w:pPr>
        <w:ind w:firstLine="452"/>
        <w:spacing w:line="360" w:lineRule="auto"/>
        <w:shd w:val="clear" w:color="auto" w:fill="ffffff"/>
        <w:widowControl/>
        <w:rPr>
          <w:rFonts w:hint="default" w:ascii="宋体" w:hAnsi="宋体" w:cs="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3.3</w:t>
      </w:r>
      <w:r>
        <w:rPr>
          <w:rFonts w:hint="eastAsia" w:ascii="宋体" w:hAnsi="宋体" w:cs="宋体"/>
          <w:bCs/>
          <w:color w:val="auto"/>
          <w:szCs w:val="21"/>
          <w:highlight w:val="none"/>
          <w:lang w:val="en-US" w:eastAsia="zh-CN"/>
        </w:rPr>
        <w:t xml:space="preserve">方式：网上下载</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四、提交投标文件截止时间、开标时间和地点</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4.1提交投标文件截止及开标时间：</w:t>
      </w:r>
      <w:r>
        <w:rPr>
          <w:rFonts w:hint="eastAsia" w:ascii="Arial" w:hAnsi="Arial" w:cs="Arial"/>
          <w:bCs/>
          <w:color w:val="auto"/>
          <w:szCs w:val="21"/>
          <w:highlight w:val="none"/>
          <w:lang w:eastAsia="zh-CN"/>
        </w:rPr>
        <w:t xml:space="preserve">202</w:t>
      </w:r>
      <w:r>
        <w:rPr>
          <w:rFonts w:hint="eastAsia" w:ascii="Arial" w:hAnsi="Arial" w:cs="Arial"/>
          <w:bCs/>
          <w:color w:val="auto"/>
          <w:szCs w:val="21"/>
          <w:highlight w:val="none"/>
          <w:lang w:val="en-US" w:eastAsia="zh-CN"/>
        </w:rPr>
        <w:t xml:space="preserve">6</w:t>
      </w:r>
      <w:r>
        <w:rPr>
          <w:rFonts w:hint="eastAsia" w:ascii="Arial" w:hAnsi="Arial" w:cs="Arial"/>
          <w:bCs/>
          <w:color w:val="auto"/>
          <w:szCs w:val="21"/>
          <w:highlight w:val="none"/>
          <w:lang w:eastAsia="zh-CN"/>
        </w:rPr>
        <w:t xml:space="preserve">年</w:t>
      </w:r>
      <w:r>
        <w:rPr>
          <w:rFonts w:hint="eastAsia" w:ascii="Arial" w:hAnsi="Arial" w:cs="Arial"/>
          <w:bCs/>
          <w:color w:val="auto"/>
          <w:szCs w:val="21"/>
          <w:highlight w:val="none"/>
          <w:lang w:val="en-US" w:eastAsia="zh-CN"/>
        </w:rPr>
        <w:t xml:space="preserve">7月20日14</w:t>
      </w:r>
      <w:r>
        <w:rPr>
          <w:rFonts w:hint="eastAsia" w:ascii="Arial" w:hAnsi="Arial" w:cs="Arial"/>
          <w:bCs/>
          <w:color w:val="auto"/>
          <w:szCs w:val="21"/>
          <w:highlight w:val="none"/>
          <w:lang w:eastAsia="zh-CN"/>
        </w:rPr>
        <w:t xml:space="preserve">点</w:t>
      </w:r>
      <w:r>
        <w:rPr>
          <w:rFonts w:hint="eastAsia" w:ascii="Arial" w:hAnsi="Arial" w:cs="Arial"/>
          <w:bCs/>
          <w:color w:val="auto"/>
          <w:szCs w:val="21"/>
          <w:highlight w:val="none"/>
          <w:lang w:val="en-US" w:eastAsia="zh-CN"/>
        </w:rPr>
        <w:t xml:space="preserve">3</w:t>
      </w:r>
      <w:r>
        <w:rPr>
          <w:rFonts w:hint="eastAsia" w:ascii="Arial" w:hAnsi="Arial" w:cs="Arial"/>
          <w:bCs/>
          <w:color w:val="auto"/>
          <w:szCs w:val="21"/>
          <w:highlight w:val="none"/>
          <w:lang w:eastAsia="zh-CN"/>
        </w:rPr>
        <w:t xml:space="preserve">0分</w:t>
      </w:r>
      <w:r>
        <w:rPr>
          <w:rFonts w:ascii="Arial" w:hAnsi="Arial" w:cs="Arial"/>
          <w:color w:val="auto"/>
          <w:spacing w:val="8"/>
          <w:szCs w:val="21"/>
          <w:highlight w:val="none"/>
        </w:rPr>
        <w:t xml:space="preserve">（北京时间）</w:t>
      </w:r>
      <w:r/>
    </w:p>
    <w:p>
      <w:pPr>
        <w:ind w:firstLine="452"/>
        <w:spacing w:line="360" w:lineRule="auto"/>
        <w:rPr>
          <w:rFonts w:ascii="Arial" w:hAnsi="Arial" w:cs="Arial"/>
          <w:color w:val="auto"/>
          <w:spacing w:val="8"/>
          <w:szCs w:val="21"/>
          <w:highlight w:val="none"/>
        </w:rPr>
      </w:pPr>
      <w:r>
        <w:rPr>
          <w:rFonts w:ascii="Arial" w:hAnsi="Arial" w:cs="Arial"/>
          <w:color w:val="auto"/>
          <w:spacing w:val="8"/>
          <w:szCs w:val="21"/>
          <w:highlight w:val="none"/>
        </w:rPr>
        <w:t xml:space="preserve">4.2提交投标文件地点：</w:t>
      </w:r>
      <w:r>
        <w:rPr>
          <w:rFonts w:ascii="Arial" w:hAnsi="Arial" w:cs="Arial"/>
          <w:color w:val="auto"/>
          <w:szCs w:val="21"/>
          <w:highlight w:val="none"/>
        </w:rPr>
        <w:t xml:space="preserve">江苏省政府采购管理交易系统</w:t>
      </w:r>
      <w:r>
        <w:rPr>
          <w:rFonts w:ascii="Arial" w:hAnsi="Arial" w:cs="Arial"/>
          <w:color w:val="auto"/>
          <w:spacing w:val="8"/>
          <w:szCs w:val="21"/>
          <w:highlight w:val="none"/>
        </w:rPr>
        <w:t xml:space="preserve">（苏采云）（网址：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55"/>
          <w:rFonts w:ascii="Arial" w:hAnsi="Arial" w:cs="Arial"/>
          <w:color w:val="auto"/>
          <w:spacing w:val="8"/>
          <w:szCs w:val="21"/>
          <w:highlight w:val="none"/>
        </w:rPr>
        <w:t xml:space="preserve">http://jszfcg.jsczt.cn/）</w:t>
      </w:r>
      <w:r>
        <w:rPr>
          <w:rStyle w:val="955"/>
          <w:rFonts w:ascii="Arial" w:hAnsi="Arial" w:cs="Arial"/>
          <w:color w:val="auto"/>
          <w:spacing w:val="8"/>
          <w:szCs w:val="21"/>
          <w:highlight w:val="none"/>
        </w:rPr>
        <w:fldChar w:fldCharType="end"/>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4.3开标地点：“苏采云”开标大厅</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五、公告期限</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自本公告发布之日起</w:t>
      </w:r>
      <w:r>
        <w:rPr>
          <w:rFonts w:ascii="Arial" w:hAnsi="Arial" w:cs="Arial"/>
          <w:color w:val="auto"/>
          <w:spacing w:val="8"/>
          <w:szCs w:val="21"/>
          <w:highlight w:val="none"/>
        </w:rPr>
        <w:t xml:space="preserve">5</w:t>
      </w:r>
      <w:r>
        <w:rPr>
          <w:rFonts w:hint="eastAsia" w:ascii="Arial" w:hAnsi="Arial" w:cs="Arial"/>
          <w:color w:val="auto"/>
          <w:spacing w:val="8"/>
          <w:szCs w:val="21"/>
          <w:highlight w:val="none"/>
        </w:rPr>
        <w:t xml:space="preserve">个工作日。</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六、其他补充事宜</w:t>
      </w:r>
      <w:r/>
    </w:p>
    <w:p>
      <w:pPr>
        <w:ind w:firstLine="452"/>
        <w:spacing w:line="360" w:lineRule="auto"/>
        <w:shd w:val="clear" w:color="auto" w:fill="ffffff"/>
        <w:widowControl/>
        <w:rPr>
          <w:rFonts w:ascii="Arial" w:hAnsi="Arial" w:eastAsia="宋体" w:cs="Arial"/>
          <w:color w:val="auto"/>
          <w:spacing w:val="8"/>
          <w:szCs w:val="21"/>
          <w:highlight w:val="none"/>
          <w:lang w:val="zh-CN"/>
        </w:rPr>
      </w:pPr>
      <w:r>
        <w:rPr>
          <w:rFonts w:ascii="Arial" w:hAnsi="Arial" w:eastAsia="宋体" w:cs="Arial"/>
          <w:color w:val="auto"/>
          <w:spacing w:val="8"/>
          <w:szCs w:val="21"/>
          <w:highlight w:val="none"/>
          <w:lang w:val="zh-CN"/>
        </w:rPr>
        <w:t xml:space="preserve">6.1本项目在江苏政府采购网网站发布公告。</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lang w:val="zh-CN"/>
        </w:rPr>
        <w:t xml:space="preserve">6.</w:t>
      </w:r>
      <w:r>
        <w:rPr>
          <w:rFonts w:ascii="Arial" w:hAnsi="Arial" w:eastAsia="宋体" w:cs="Arial"/>
          <w:color w:val="auto"/>
          <w:spacing w:val="8"/>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操作手册下载地址：http://www.ccgp-jiangsu.gov.cn/jiangsu/zlxz/ee/ee3a4bc5a3454aa2b0d9312230633ce9.html</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首次登录“苏采云”系统的新用户，登录网址后，点击“用户注册”--“新CA办理指南”--获取CA后绑定、登录系统--采购项目参与--下载采购文件（文件后缀名为“.kedt”）。</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“苏采云”南京地区客服热线025-83633744、025-83633743。</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有关本次招标的事项若存在变动或修改，请及时关注“江苏政府采购网”（www.ccgp-jiangsu.gov.cn）更正公告。</w:t>
      </w:r>
      <w:r/>
    </w:p>
    <w:p>
      <w:pPr>
        <w:ind w:firstLine="452"/>
        <w:spacing w:line="360" w:lineRule="auto"/>
        <w:shd w:val="clear" w:color="auto" w:fill="ffffff"/>
        <w:widowControl/>
        <w:rPr>
          <w:rFonts w:ascii="Arial" w:hAnsi="宋体" w:cs="Arial"/>
          <w:color w:val="auto"/>
          <w:szCs w:val="21"/>
          <w:highlight w:val="none"/>
        </w:rPr>
      </w:pPr>
      <w:r>
        <w:rPr>
          <w:rFonts w:ascii="Arial" w:hAnsi="Arial" w:eastAsia="宋体" w:cs="Arial"/>
          <w:color w:val="auto"/>
          <w:spacing w:val="8"/>
          <w:szCs w:val="21"/>
          <w:highlight w:val="none"/>
        </w:rPr>
        <w:t xml:space="preserve">6.</w:t>
      </w:r>
      <w:r>
        <w:rPr>
          <w:rFonts w:hint="eastAsia" w:ascii="Arial" w:hAnsi="Arial" w:eastAsia="宋体" w:cs="Arial"/>
          <w:color w:val="auto"/>
          <w:spacing w:val="8"/>
          <w:szCs w:val="21"/>
          <w:highlight w:val="none"/>
        </w:rPr>
        <w:t xml:space="preserve">3</w:t>
      </w:r>
      <w:r>
        <w:rPr>
          <w:rFonts w:ascii="Arial" w:hAnsi="Arial" w:eastAsia="宋体" w:cs="Arial"/>
          <w:color w:val="auto"/>
          <w:spacing w:val="8"/>
          <w:szCs w:val="21"/>
          <w:highlight w:val="none"/>
        </w:rPr>
        <w:t xml:space="preserve"> 勘察现场：</w:t>
      </w:r>
      <w:r>
        <w:rPr>
          <w:rFonts w:hint="eastAsia" w:ascii="Arial" w:hAnsi="Arial" w:eastAsia="宋体" w:cs="Arial"/>
          <w:color w:val="auto"/>
          <w:spacing w:val="8"/>
          <w:szCs w:val="21"/>
          <w:highlight w:val="none"/>
        </w:rPr>
        <w:t xml:space="preserve">无</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七、对本次招标提出询问，请按以下方式联系</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7.1采购人信息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名称：</w:t>
      </w:r>
      <w:r>
        <w:rPr>
          <w:rFonts w:hint="eastAsia" w:ascii="Arial" w:hAnsi="Arial" w:eastAsia="宋体" w:cs="Arial"/>
          <w:color w:val="auto"/>
          <w:spacing w:val="8"/>
          <w:szCs w:val="21"/>
          <w:highlight w:val="none"/>
          <w:lang w:val="zh-CN"/>
        </w:rPr>
        <w:t xml:space="preserve">江苏食品药品职业技术学院</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地址：淮安市清江浦区高教园区枚乘路4号</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联系人：</w:t>
      </w:r>
      <w:r>
        <w:rPr>
          <w:rFonts w:hint="eastAsia" w:ascii="Arial" w:hAnsi="Arial" w:eastAsia="宋体" w:cs="Arial"/>
          <w:color w:val="auto"/>
          <w:spacing w:val="8"/>
          <w:szCs w:val="21"/>
          <w:highlight w:val="none"/>
          <w:lang w:val="en-US" w:eastAsia="zh-CN"/>
        </w:rPr>
        <w:t xml:space="preserve">谢老师</w:t>
      </w:r>
      <w:r>
        <w:rPr>
          <w:rFonts w:hint="eastAsia" w:ascii="Arial" w:hAnsi="Arial" w:eastAsia="宋体" w:cs="Arial"/>
          <w:color w:val="auto"/>
          <w:spacing w:val="8"/>
          <w:szCs w:val="21"/>
          <w:highlight w:val="none"/>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电话：0517-87088771</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7.2采购代理机构信息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 称：江苏省设备成套股份有限公司</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地址：南京市清江南路18号鼓楼创新广场D栋</w:t>
      </w:r>
      <w:r>
        <w:rPr>
          <w:rFonts w:hint="eastAsia" w:ascii="Arial" w:hAnsi="Arial" w:cs="Arial"/>
          <w:color w:val="auto"/>
          <w:spacing w:val="8"/>
          <w:szCs w:val="21"/>
          <w:highlight w:val="none"/>
          <w:lang w:val="en-US" w:eastAsia="zh-CN"/>
        </w:rPr>
        <w:t xml:space="preserve">10楼</w:t>
      </w:r>
      <w:r>
        <w:rPr>
          <w:rFonts w:hint="eastAsia" w:ascii="Arial" w:hAnsi="Arial" w:eastAsia="宋体" w:cs="Arial"/>
          <w:color w:val="auto"/>
          <w:spacing w:val="8"/>
          <w:szCs w:val="21"/>
          <w:highlight w:val="none"/>
        </w:rPr>
        <w:t xml:space="preserve">1006室</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7.3项目联系方式</w:t>
      </w:r>
      <w:r/>
    </w:p>
    <w:p>
      <w:pPr>
        <w:ind w:firstLine="452"/>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项目联系人：</w:t>
      </w:r>
      <w:r>
        <w:rPr>
          <w:rFonts w:hint="eastAsia" w:ascii="Arial" w:hAnsi="Arial" w:eastAsia="宋体" w:cs="Arial"/>
          <w:color w:val="auto"/>
          <w:spacing w:val="8"/>
          <w:szCs w:val="21"/>
          <w:highlight w:val="none"/>
          <w:lang w:val="en-US" w:eastAsia="zh-CN"/>
        </w:rPr>
        <w:t xml:space="preserve">董星</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电　话：</w:t>
      </w:r>
      <w:r>
        <w:rPr>
          <w:rFonts w:hint="eastAsia" w:ascii="Arial" w:hAnsi="Arial" w:cs="Arial"/>
          <w:spacing w:val="8"/>
          <w:szCs w:val="21"/>
        </w:rPr>
        <w:t xml:space="preserve">13913031676</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电子邮箱：</w:t>
      </w:r>
      <w:r>
        <w:rPr>
          <w:rFonts w:hint="eastAsia" w:ascii="Arial" w:hAnsi="Arial" w:eastAsia="宋体" w:cs="Arial"/>
          <w:color w:val="auto"/>
          <w:spacing w:val="8"/>
          <w:szCs w:val="21"/>
          <w:highlight w:val="none"/>
          <w:lang w:val="en-US" w:eastAsia="zh-CN"/>
        </w:rPr>
        <w:t xml:space="preserve">dongx</w:t>
      </w:r>
      <w:r>
        <w:rPr>
          <w:rFonts w:hint="eastAsia" w:ascii="Arial" w:hAnsi="Arial" w:eastAsia="宋体" w:cs="Arial"/>
          <w:color w:val="auto"/>
          <w:spacing w:val="8"/>
          <w:szCs w:val="21"/>
          <w:highlight w:val="none"/>
        </w:rPr>
        <w:t xml:space="preserve">@jcec.cn</w:t>
      </w:r>
      <w:r/>
    </w:p>
    <w:p>
      <w:pPr>
        <w:ind w:firstLine="452"/>
        <w:spacing w:line="360" w:lineRule="auto"/>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br w:type="page" w:clear="all"/>
      </w:r>
      <w:bookmarkEnd w:id="3"/>
      <w:r/>
      <w:r/>
    </w:p>
    <w:p>
      <w:pPr>
        <w:ind w:firstLine="643"/>
        <w:jc w:val="center"/>
        <w:spacing w:line="360" w:lineRule="auto"/>
        <w:rPr>
          <w:rFonts w:ascii="Arial" w:cs="Arial"/>
          <w:b/>
          <w:bCs/>
          <w:color w:val="auto"/>
          <w:sz w:val="32"/>
          <w:szCs w:val="44"/>
          <w:highlight w:val="none"/>
        </w:rPr>
        <w:outlineLvl w:val="0"/>
      </w:pPr>
      <w:r/>
      <w:bookmarkStart w:id="4" w:name="_Toc4854"/>
      <w:r/>
      <w:bookmarkStart w:id="5" w:name="_Toc15050"/>
      <w:r>
        <w:rPr>
          <w:rFonts w:hint="eastAsia" w:ascii="Arial" w:cs="Arial"/>
          <w:b/>
          <w:bCs/>
          <w:color w:val="auto"/>
          <w:sz w:val="32"/>
          <w:szCs w:val="44"/>
          <w:highlight w:val="none"/>
        </w:rPr>
        <w:t xml:space="preserve">第二章</w:t>
      </w:r>
      <w:bookmarkStart w:id="6" w:name="_Toc452625218"/>
      <w:r>
        <w:rPr>
          <w:rFonts w:hint="eastAsia" w:ascii="Arial" w:cs="Arial"/>
          <w:b/>
          <w:bCs/>
          <w:color w:val="auto"/>
          <w:sz w:val="32"/>
          <w:szCs w:val="44"/>
          <w:highlight w:val="none"/>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p>
    <w:p>
      <w:pPr>
        <w:ind w:firstLine="420"/>
        <w:spacing w:line="360" w:lineRule="auto"/>
        <w:shd w:val="clear" w:color="auto" w:fill="ffffff"/>
        <w:widowControl/>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3.8 本国产品支持政策</w:t>
      </w:r>
      <w:r/>
    </w:p>
    <w:p>
      <w:pPr>
        <w:ind w:firstLine="420"/>
        <w:spacing w:line="360" w:lineRule="auto"/>
        <w:shd w:val="clear" w:color="auto" w:fill="ffffff"/>
        <w:widowControl/>
        <w:rPr>
          <w:highlight w:val="none"/>
        </w:rPr>
      </w:pPr>
      <w:r>
        <w:rPr>
          <w:rFonts w:hint="eastAsia" w:ascii="Arial" w:hAnsi="Arial" w:cs="Arial"/>
          <w:color w:val="000000"/>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。招标货物数量及技术要求中未分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的，投标人对要求提供的货物和服务不得部分投标；招标货物数量及技术要求中已经分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7</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8</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9</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11.2</w:t>
      </w:r>
      <w:r>
        <w:rPr>
          <w:rFonts w:ascii="Arial" w:hAnsi="宋体" w:cs="Arial"/>
          <w:color w:val="000000"/>
          <w:szCs w:val="21"/>
          <w:highlight w:val="none"/>
        </w:rPr>
        <w:t xml:space="preserve">报价应</w:t>
      </w:r>
      <w:r>
        <w:rPr>
          <w:rFonts w:hint="eastAsia" w:ascii="Arial" w:hAnsi="宋体" w:cs="Arial"/>
          <w:color w:val="000000"/>
          <w:szCs w:val="21"/>
          <w:highlight w:val="none"/>
        </w:rPr>
        <w:t xml:space="preserve">包含为履行本项目合同项下所有义务的全部含税</w:t>
      </w:r>
      <w:r>
        <w:rPr>
          <w:rFonts w:ascii="Arial" w:hAnsi="宋体" w:cs="Arial"/>
          <w:color w:val="000000"/>
          <w:szCs w:val="21"/>
          <w:highlight w:val="none"/>
        </w:rPr>
        <w:t xml:space="preserve">费用</w:t>
      </w:r>
      <w:r>
        <w:rPr>
          <w:rFonts w:hint="eastAsia" w:ascii="Arial" w:hAnsi="宋体" w:cs="Arial"/>
          <w:color w:val="000000"/>
          <w:szCs w:val="21"/>
          <w:highlight w:val="none"/>
        </w:rPr>
        <w:t xml:space="preserve">（包括但不限于</w:t>
      </w:r>
      <w:r>
        <w:rPr>
          <w:rFonts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highlight w:val="none"/>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及投标人认为需要的其他费用等</w:t>
      </w:r>
      <w:r>
        <w:rPr>
          <w:rFonts w:ascii="Arial" w:hAnsi="宋体" w:cs="Arial"/>
          <w:b/>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hint="eastAsia" w:ascii="Arial" w:hAnsi="Arial" w:cs="Arial"/>
          <w:b/>
          <w:color w:val="auto"/>
          <w:szCs w:val="21"/>
          <w:highlight w:val="none"/>
        </w:rPr>
        <w:t xml:space="preserve">招标代理服务费：本次招标，招标代理服务费</w:t>
      </w:r>
      <w:r>
        <w:rPr>
          <w:rFonts w:hint="eastAsia" w:ascii="Arial" w:hAnsi="Arial" w:cs="Arial"/>
          <w:b/>
          <w:color w:val="auto"/>
          <w:szCs w:val="21"/>
          <w:highlight w:val="none"/>
          <w:lang w:val="en-US" w:eastAsia="zh-CN"/>
        </w:rPr>
        <w:t xml:space="preserve">已考虑在项目预算内，</w:t>
      </w:r>
      <w:r>
        <w:rPr>
          <w:rFonts w:hint="eastAsia" w:ascii="Arial" w:hAnsi="Arial" w:cs="Arial"/>
          <w:b/>
          <w:color w:val="auto"/>
          <w:szCs w:val="21"/>
          <w:highlight w:val="none"/>
        </w:rPr>
        <w:t xml:space="preserve">中标人参照《招标代理服务费管理暂行办法》（国家发展计划委员会计价格【2002】1980号）招标收费基准费率</w:t>
      </w:r>
      <w:r>
        <w:rPr>
          <w:rFonts w:hint="eastAsia" w:ascii="Arial" w:hAnsi="Arial" w:cs="Arial"/>
          <w:b/>
          <w:color w:val="auto"/>
          <w:szCs w:val="21"/>
          <w:highlight w:val="none"/>
          <w:lang w:val="en-US" w:eastAsia="zh-CN"/>
        </w:rPr>
        <w:t xml:space="preserve">60</w:t>
      </w:r>
      <w:r>
        <w:rPr>
          <w:rFonts w:hint="eastAsia" w:ascii="Arial" w:hAnsi="Arial" w:cs="Arial"/>
          <w:b/>
          <w:color w:val="auto"/>
          <w:szCs w:val="21"/>
          <w:highlight w:val="none"/>
        </w:rPr>
        <w:t xml:space="preserve">%计算。中标人在领取中标通知书前向招标代理机构支付招标服务费。本项费用无需在投标报价表中单列。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left="0" w:firstLine="2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7" w:name="OLE_LINK3"/>
      <w:r/>
      <w:bookmarkStart w:id="8"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7"/>
      <w:r>
        <w:rPr>
          <w:rFonts w:ascii="Arial" w:hAnsi="Arial" w:cs="Arial"/>
          <w:b/>
          <w:color w:val="000000"/>
          <w:szCs w:val="21"/>
          <w:highlight w:val="none"/>
        </w:rPr>
        <w:t xml:space="preserve">。</w:t>
      </w:r>
      <w:bookmarkEnd w:id="8"/>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p>
    <w:p>
      <w:pPr>
        <w:ind w:firstLine="21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p>
    <w:p>
      <w:pPr>
        <w:pStyle w:val="949"/>
        <w:ind w:left="0" w:firstLine="420"/>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highlight w:val="none"/>
          <w:lang w:val="en-US" w:eastAsia="zh-CN"/>
        </w:rPr>
        <w:t xml:space="preserve">以书面形式向</w:t>
      </w:r>
      <w:r>
        <w:rPr>
          <w:rFonts w:ascii="Arial" w:hAnsi="Arial" w:cs="Arial"/>
          <w:color w:val="000000"/>
          <w:szCs w:val="21"/>
          <w:highlight w:val="none"/>
        </w:rPr>
        <w:t xml:space="preserve">采购人或采购代理机构</w:t>
      </w:r>
      <w:r>
        <w:rPr>
          <w:rFonts w:hint="eastAsia" w:ascii="Arial" w:hAnsi="Arial" w:cs="Arial"/>
          <w:color w:val="000000"/>
          <w:szCs w:val="21"/>
          <w:highlight w:val="none"/>
          <w:lang w:val="en-US" w:eastAsia="zh-CN"/>
        </w:rPr>
        <w:t xml:space="preserve">提出质疑</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63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highlight w:val="none"/>
          <w:lang w:val="en-US" w:eastAsia="zh-CN"/>
        </w:rPr>
        <w:t xml:space="preserve">财政部门将依法予以处罚</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59"/>
        <w:ind w:firstLine="0"/>
        <w:spacing w:line="360" w:lineRule="auto"/>
        <w:rPr>
          <w:color w:val="auto"/>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highlight w:val="none"/>
        </w:rPr>
      </w:pPr>
      <w:r>
        <w:rPr>
          <w:rFonts w:ascii="Arial" w:hAnsi="Arial" w:cs="Arial"/>
          <w:color w:val="auto"/>
          <w:highlight w:val="none"/>
        </w:rPr>
        <w:br w:type="page" w:clear="all"/>
      </w:r>
      <w:r/>
    </w:p>
    <w:p>
      <w:pPr>
        <w:pStyle w:val="901"/>
        <w:numPr>
          <w:ilvl w:val="0"/>
          <w:numId w:val="0"/>
        </w:numPr>
        <w:spacing w:before="0" w:after="0" w:line="240" w:lineRule="auto"/>
        <w:rPr>
          <w:rFonts w:hint="eastAsia" w:ascii="Arial" w:hAnsi="Arial" w:cs="Arial"/>
          <w:color w:val="auto"/>
          <w:highlight w:val="none"/>
        </w:rPr>
      </w:pPr>
      <w:r/>
      <w:bookmarkStart w:id="9" w:name="_Toc24664"/>
      <w:r/>
      <w:bookmarkStart w:id="10" w:name="_Toc23781"/>
      <w:r>
        <w:rPr>
          <w:rFonts w:ascii="Arial" w:hAnsi="Arial" w:cs="Arial"/>
          <w:color w:val="auto"/>
          <w:highlight w:val="none"/>
        </w:rPr>
        <w:t xml:space="preserve"> </w:t>
      </w:r>
      <w:bookmarkStart w:id="11" w:name="_Toc481057145"/>
      <w:r>
        <w:rPr>
          <w:rFonts w:hint="eastAsia" w:ascii="Arial" w:hAnsi="Arial" w:cs="Arial"/>
          <w:color w:val="auto"/>
          <w:highlight w:val="none"/>
        </w:rPr>
        <w:t xml:space="preserve">第三章评标标准</w:t>
      </w:r>
      <w:bookmarkEnd w:id="9"/>
      <w:r/>
      <w:bookmarkEnd w:id="10"/>
      <w:r/>
      <w:bookmarkEnd w:id="11"/>
      <w:r/>
      <w:r/>
    </w:p>
    <w:p>
      <w:pPr>
        <w:rPr>
          <w:highlight w:val="none"/>
        </w:rPr>
      </w:pPr>
      <w:r>
        <w:rPr>
          <w:highlight w:val="none"/>
        </w:rPr>
      </w:r>
      <w:r/>
    </w:p>
    <w:p>
      <w:pPr>
        <w:ind w:firstLine="420"/>
        <w:spacing w:line="420" w:lineRule="exact"/>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en-US"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911"/>
        <w:tblW w:w="51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35"/>
        <w:gridCol w:w="6331"/>
        <w:gridCol w:w="705"/>
      </w:tblGrid>
      <w:tr>
        <w:trPr>
          <w:trHeight w:val="490"/>
          <w:tblHeader/>
        </w:trPr>
        <w:tc>
          <w:tcPr>
            <w:tcW w:w="455"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631"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W w:w="3520"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392" w:type="pct"/>
            <w:vAlign w:val="center"/>
            <w:textDirection w:val="lrTb"/>
            <w:noWrap w:val="false"/>
          </w:tcPr>
          <w:p>
            <w:pPr>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分值</w:t>
            </w:r>
            <w:r/>
          </w:p>
        </w:tc>
      </w:tr>
      <w:tr>
        <w:trPr>
          <w:trHeight w:val="1343"/>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报价</w:t>
            </w:r>
            <w:r>
              <w:rPr>
                <w:rFonts w:hint="eastAsia" w:ascii="宋体" w:hAnsi="宋体" w:eastAsia="宋体" w:cs="宋体"/>
                <w:sz w:val="21"/>
                <w:szCs w:val="21"/>
              </w:rPr>
              <w:t xml:space="preserve">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报价得分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sz w:val="21"/>
                <w:szCs w:val="21"/>
              </w:rPr>
            </w:pPr>
            <w:r>
              <w:rPr>
                <w:rFonts w:hint="eastAsia" w:ascii="宋体" w:hAnsi="宋体" w:eastAsia="宋体" w:cs="宋体"/>
                <w:color w:val="000000"/>
                <w:sz w:val="21"/>
                <w:szCs w:val="21"/>
                <w:lang w:val="en-US" w:eastAsia="zh-CN"/>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p>
        </w:tc>
      </w:tr>
      <w:tr>
        <w:trPr>
          <w:trHeight w:val="2810"/>
        </w:trPr>
        <w:tc>
          <w:tcPr>
            <w:tcW w:w="455" w:type="pct"/>
            <w:vAlign w:val="center"/>
            <w:vMerge w:val="restart"/>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商务部分</w:t>
            </w:r>
            <w:r/>
          </w:p>
        </w:tc>
        <w:tc>
          <w:tcPr>
            <w:tcW w:w="63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管理体系认证证书（3分）</w:t>
            </w:r>
            <w:r/>
          </w:p>
        </w:tc>
        <w:tc>
          <w:tcPr>
            <w:tcW w:w="3520" w:type="pct"/>
            <w:vAlign w:val="center"/>
            <w:textDirection w:val="lrTb"/>
            <w:noWrap w:val="false"/>
          </w:tcPr>
          <w:p>
            <w:pPr>
              <w:spacing w:line="291"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 xml:space="preserve">投标人或</w:t>
            </w: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lang w:val="en-US" w:eastAsia="zh-CN"/>
              </w:rPr>
              <w:t xml:space="preserve">具有中国国家认证认可监督委员会认证机构颁发的有效期内的下列证书：</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（1）质量管理体系认证证书，（认证范围涵盖：公寓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（2）环境管理体系认证证书，（认证范围涵盖：公寓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（3）职业健康安全管理体系认证证书，（认证范围涵盖：公寓</w:t>
            </w:r>
            <w:r>
              <w:rPr>
                <w:rFonts w:hint="eastAsia" w:ascii="宋体" w:hAnsi="宋体" w:cs="宋体"/>
                <w:color w:val="auto"/>
                <w:sz w:val="21"/>
                <w:szCs w:val="21"/>
                <w:highlight w:val="none"/>
                <w:lang w:val="en-US" w:eastAsia="zh-CN"/>
              </w:rPr>
              <w:t xml:space="preserve">或教学</w:t>
            </w:r>
            <w:r>
              <w:rPr>
                <w:rFonts w:hint="eastAsia" w:ascii="宋体" w:hAnsi="宋体" w:eastAsia="宋体" w:cs="宋体"/>
                <w:color w:val="auto"/>
                <w:sz w:val="21"/>
                <w:szCs w:val="21"/>
                <w:highlight w:val="none"/>
                <w:lang w:val="en-US" w:eastAsia="zh-CN"/>
              </w:rPr>
              <w:t xml:space="preserve">家具），得1分。未提供不得分。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提供中国国家认证认可监督委员会官网查询截图。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 xml:space="preserve">履约</w:t>
            </w:r>
            <w:r>
              <w:rPr>
                <w:rFonts w:hint="eastAsia" w:ascii="宋体" w:hAnsi="宋体" w:eastAsia="宋体" w:cs="宋体"/>
                <w:color w:val="auto"/>
                <w:sz w:val="21"/>
                <w:szCs w:val="21"/>
              </w:rPr>
              <w:t xml:space="preserve">能力</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auto"/>
                <w:sz w:val="21"/>
                <w:szCs w:val="21"/>
              </w:rPr>
            </w:pPr>
            <w:r>
              <w:rPr>
                <w:rFonts w:hint="eastAsia" w:ascii="宋体" w:hAnsi="宋体" w:cs="宋体"/>
                <w:color w:val="auto"/>
                <w:sz w:val="21"/>
                <w:szCs w:val="21"/>
                <w:lang w:val="en-US" w:eastAsia="zh-CN"/>
              </w:rPr>
              <w:t xml:space="preserve">1、投标人或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具有完成本项目所必需的生产能力，提供与本项目有关的货物主要生产机械设备（</w:t>
            </w:r>
            <w:r>
              <w:rPr>
                <w:rFonts w:hint="eastAsia" w:ascii="宋体" w:hAnsi="宋体" w:cs="宋体"/>
                <w:color w:val="auto"/>
                <w:sz w:val="21"/>
                <w:szCs w:val="21"/>
                <w:lang w:val="en-US" w:eastAsia="zh-CN"/>
              </w:rPr>
              <w:t xml:space="preserve">如电子锯</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六面钻、加工中心、砂光机、拼板机等</w:t>
            </w:r>
            <w:r>
              <w:rPr>
                <w:rFonts w:hint="eastAsia" w:ascii="宋体" w:hAnsi="宋体" w:cs="宋体"/>
                <w:color w:val="auto"/>
                <w:sz w:val="21"/>
                <w:szCs w:val="21"/>
              </w:rPr>
              <w:t xml:space="preserve">），每提供一种设备得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多得5分，未提供不得分（提供主要生产设备购置发票、设备照片等有效证明材料）。如投标人提供设备名称与上述设备名称不一致但功能相同或更优的，投标人提供相关证明材料，经评标委员会认可后可得分。</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2、投标人或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具有有效期内中国绿色产品认证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3、投标人或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具有有效期内家具中有害物质限量认证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4、投标人或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具有有效期内低VOCs家具产品认证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eastAsia="宋体"/>
                <w:color w:val="auto"/>
                <w:lang w:val="en-US" w:eastAsia="zh-CN"/>
              </w:rPr>
            </w:pPr>
            <w:r>
              <w:rPr>
                <w:rFonts w:hint="eastAsia" w:ascii="宋体" w:hAnsi="宋体" w:cs="宋体"/>
                <w:color w:val="auto"/>
                <w:sz w:val="21"/>
                <w:szCs w:val="21"/>
                <w:lang w:val="en-US" w:eastAsia="zh-CN"/>
              </w:rPr>
              <w:t xml:space="preserve">5、投标人或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具有有效期内中国环境标志产品认证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color w:val="auto"/>
                <w:sz w:val="21"/>
                <w:szCs w:val="21"/>
              </w:rPr>
            </w:pPr>
            <w:r>
              <w:rPr>
                <w:rFonts w:hint="eastAsia" w:ascii="宋体" w:hAnsi="宋体" w:cs="宋体"/>
                <w:color w:val="auto"/>
                <w:sz w:val="21"/>
                <w:szCs w:val="21"/>
                <w:lang w:val="en-US" w:eastAsia="zh-CN"/>
              </w:rPr>
              <w:t xml:space="preserve">6、投标人或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w:t>
            </w:r>
            <w:r>
              <w:rPr>
                <w:rFonts w:hint="eastAsia" w:ascii="宋体" w:hAnsi="宋体" w:cs="宋体"/>
                <w:color w:val="auto"/>
                <w:sz w:val="21"/>
                <w:szCs w:val="21"/>
                <w:lang w:val="en-US" w:eastAsia="zh-CN"/>
              </w:rPr>
              <w:t xml:space="preserve">环保</w:t>
            </w:r>
            <w:r>
              <w:rPr>
                <w:rFonts w:hint="eastAsia" w:ascii="宋体" w:hAnsi="宋体" w:cs="宋体"/>
                <w:color w:val="auto"/>
                <w:sz w:val="21"/>
                <w:szCs w:val="21"/>
              </w:rPr>
              <w:t xml:space="preserve">产品认证</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CQC</w:t>
            </w:r>
            <w:r>
              <w:rPr>
                <w:rFonts w:hint="eastAsia" w:ascii="宋体" w:hAnsi="宋体" w:cs="宋体"/>
                <w:color w:val="auto"/>
                <w:sz w:val="21"/>
                <w:szCs w:val="21"/>
                <w:lang w:eastAsia="zh-CN"/>
              </w:rPr>
              <w:t xml:space="preserve">）</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w:t>
            </w:r>
            <w:r>
              <w:rPr>
                <w:rFonts w:hint="eastAsia" w:ascii="宋体" w:hAnsi="宋体" w:cs="宋体"/>
                <w:color w:val="auto"/>
                <w:sz w:val="21"/>
                <w:szCs w:val="21"/>
                <w:highlight w:val="none"/>
                <w:lang w:val="en-US" w:eastAsia="zh-CN"/>
              </w:rPr>
              <w:t xml:space="preserve">制（公寓或教学或办公等）家</w:t>
            </w:r>
            <w:r>
              <w:rPr>
                <w:rFonts w:hint="eastAsia" w:ascii="宋体" w:hAnsi="宋体" w:cs="宋体"/>
                <w:color w:val="auto"/>
                <w:sz w:val="21"/>
                <w:szCs w:val="21"/>
                <w:lang w:val="en-US" w:eastAsia="zh-CN"/>
              </w:rPr>
              <w:t xml:space="preserve">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15</w:t>
            </w:r>
            <w:r/>
          </w:p>
        </w:tc>
      </w:tr>
      <w:tr>
        <w:trPr>
          <w:trHeight w:val="2191"/>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w:t>
            </w:r>
            <w:r/>
          </w:p>
          <w:p>
            <w:pPr>
              <w:jc w:val="center"/>
              <w:rPr>
                <w:rFonts w:hint="eastAsia" w:ascii="宋体" w:hAnsi="宋体" w:eastAsia="宋体" w:cs="宋体"/>
                <w:sz w:val="21"/>
                <w:szCs w:val="21"/>
              </w:rPr>
            </w:pPr>
            <w:r>
              <w:rPr>
                <w:rFonts w:hint="eastAsia" w:ascii="宋体" w:hAnsi="宋体" w:eastAsia="宋体" w:cs="宋体"/>
                <w:sz w:val="21"/>
                <w:szCs w:val="21"/>
              </w:rPr>
              <w:t xml:space="preserve">方案</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b w:val="0"/>
                <w:bCs w:val="0"/>
                <w:sz w:val="21"/>
                <w:szCs w:val="21"/>
                <w:lang w:val="en-US" w:eastAsia="zh-CN"/>
              </w:rPr>
            </w:pPr>
            <w:r>
              <w:rPr>
                <w:rFonts w:hint="eastAsia" w:ascii="宋体" w:hAnsi="宋体" w:eastAsia="宋体" w:cs="宋体"/>
                <w:color w:val="000000"/>
                <w:sz w:val="21"/>
                <w:szCs w:val="21"/>
              </w:rPr>
              <w:t xml:space="preserve">评委对</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针对</w:t>
            </w:r>
            <w:r>
              <w:rPr>
                <w:rFonts w:hint="eastAsia" w:ascii="宋体" w:hAnsi="宋体" w:eastAsia="宋体" w:cs="宋体"/>
                <w:color w:val="000000"/>
                <w:sz w:val="21"/>
                <w:szCs w:val="21"/>
              </w:rPr>
              <w:t xml:space="preserve">本项目实施方案、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w:t>
            </w:r>
            <w:r>
              <w:rPr>
                <w:rFonts w:hint="eastAsia" w:ascii="宋体" w:hAnsi="宋体" w:eastAsia="宋体" w:cs="宋体"/>
                <w:color w:val="000000"/>
                <w:sz w:val="21"/>
                <w:szCs w:val="21"/>
                <w:lang w:val="en-US" w:eastAsia="zh-CN"/>
              </w:rPr>
              <w:t xml:space="preserve">生产车间展示、</w:t>
            </w:r>
            <w:r>
              <w:rPr>
                <w:rFonts w:hint="eastAsia" w:ascii="宋体" w:hAnsi="宋体" w:eastAsia="宋体" w:cs="宋体"/>
                <w:color w:val="000000"/>
                <w:sz w:val="21"/>
                <w:szCs w:val="21"/>
              </w:rPr>
              <w:t xml:space="preserve">项目进度安排、安装调试方案、验收方案、质量保证等描述清晰、详细周到、切实可行、针对性强的得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生产流程、项目进度安排、安装调试方案、验收方案、质量保证等描述较清晰、详细较周到、切实基本可行、针对性一般的得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生产流程、项目进度安排、安装调试方案、验收方案、质量保证等描述不清晰、详细不周到、切实不可行、针对性差的得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未提供方案的不得分。</w:t>
            </w:r>
            <w:r/>
          </w:p>
        </w:tc>
        <w:tc>
          <w:tcPr>
            <w:tcW w:w="392" w:type="pct"/>
            <w:vAlign w:val="center"/>
            <w:textDirection w:val="lrTb"/>
            <w:noWrap w:val="false"/>
          </w:tcPr>
          <w:p>
            <w:pPr>
              <w:jc w:val="center"/>
              <w:spacing w:line="291"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2325"/>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售后方案</w:t>
            </w:r>
            <w:r/>
          </w:p>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w:t>
            </w:r>
            <w:r/>
          </w:p>
        </w:tc>
        <w:tc>
          <w:tcPr>
            <w:tcW w:w="3520" w:type="pct"/>
            <w:vAlign w:val="center"/>
            <w:textDirection w:val="lrTb"/>
            <w:noWrap w:val="false"/>
          </w:tcPr>
          <w:p>
            <w:pPr>
              <w:spacing w:line="291" w:lineRule="auto"/>
              <w:rPr>
                <w:rFonts w:hint="default" w:ascii="宋体" w:hAnsi="宋体" w:eastAsia="宋体" w:cs="宋体"/>
                <w:color w:val="auto"/>
                <w:sz w:val="21"/>
                <w:szCs w:val="21"/>
                <w:lang w:val="en-US" w:eastAsia="zh-CN"/>
              </w:rPr>
            </w:pPr>
            <w:r>
              <w:rPr>
                <w:rFonts w:hint="default" w:ascii="宋体" w:hAnsi="宋体" w:eastAsia="宋体" w:cs="宋体"/>
                <w:color w:val="000000"/>
                <w:sz w:val="21"/>
                <w:szCs w:val="21"/>
                <w:lang w:val="en-US" w:eastAsia="zh-CN"/>
              </w:rPr>
              <w:t xml:space="preserve">根据投标人承诺的产品质量保证、服务保障体系、售后服务人员的技术水平及现场服务措施、故障解决能力、应急服务响应时间等情况综合评审：售后服务保障体系完善、售后服务响应时间快、故障解决能力强的得</w:t>
            </w:r>
            <w:r>
              <w:rPr>
                <w:rFonts w:hint="eastAsia" w:ascii="宋体" w:hAnsi="宋体" w:cs="宋体"/>
                <w:color w:val="000000"/>
                <w:sz w:val="21"/>
                <w:szCs w:val="21"/>
                <w:lang w:val="en-US" w:eastAsia="zh-CN"/>
              </w:rPr>
              <w:t xml:space="preserve">8</w:t>
            </w:r>
            <w:r>
              <w:rPr>
                <w:rFonts w:hint="default" w:ascii="宋体" w:hAnsi="宋体" w:eastAsia="宋体" w:cs="宋体"/>
                <w:color w:val="000000"/>
                <w:sz w:val="21"/>
                <w:szCs w:val="21"/>
                <w:lang w:val="en-US" w:eastAsia="zh-CN"/>
              </w:rPr>
              <w:t xml:space="preserve">分；售后服务保障体系一般、售后服务响应时间较快、故障解决能力一般的得</w:t>
            </w:r>
            <w:r>
              <w:rPr>
                <w:rFonts w:hint="eastAsia" w:ascii="宋体" w:hAnsi="宋体" w:cs="宋体"/>
                <w:color w:val="000000"/>
                <w:sz w:val="21"/>
                <w:szCs w:val="21"/>
                <w:lang w:val="en-US" w:eastAsia="zh-CN"/>
              </w:rPr>
              <w:t xml:space="preserve">5</w:t>
            </w:r>
            <w:r>
              <w:rPr>
                <w:rFonts w:hint="default" w:ascii="宋体" w:hAnsi="宋体" w:eastAsia="宋体" w:cs="宋体"/>
                <w:color w:val="000000"/>
                <w:sz w:val="21"/>
                <w:szCs w:val="21"/>
                <w:lang w:val="en-US" w:eastAsia="zh-CN"/>
              </w:rPr>
              <w:t xml:space="preserve">分；售后服务保障体系不够完善、售后服务响应时间慢、故障解决能力不足的得</w:t>
            </w:r>
            <w:r>
              <w:rPr>
                <w:rFonts w:hint="eastAsia" w:ascii="宋体" w:hAnsi="宋体" w:cs="宋体"/>
                <w:color w:val="000000"/>
                <w:sz w:val="21"/>
                <w:szCs w:val="21"/>
                <w:lang w:val="en-US" w:eastAsia="zh-CN"/>
              </w:rPr>
              <w:t xml:space="preserve">3</w:t>
            </w:r>
            <w:r>
              <w:rPr>
                <w:rFonts w:hint="default" w:ascii="宋体" w:hAnsi="宋体" w:eastAsia="宋体" w:cs="宋体"/>
                <w:color w:val="000000"/>
                <w:sz w:val="21"/>
                <w:szCs w:val="21"/>
                <w:lang w:val="en-US" w:eastAsia="zh-CN"/>
              </w:rPr>
              <w:t xml:space="preserve">分；未提供不得分。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质保期</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lang w:val="en-US" w:eastAsia="zh-CN"/>
              </w:rPr>
            </w:pPr>
            <w:r>
              <w:rPr>
                <w:rFonts w:hint="eastAsia" w:ascii="宋体" w:hAnsi="宋体" w:eastAsia="宋体" w:cs="宋体"/>
                <w:color w:val="000000"/>
                <w:sz w:val="21"/>
                <w:szCs w:val="21"/>
                <w:lang w:val="en-US" w:eastAsia="zh-CN"/>
              </w:rPr>
              <w:t xml:space="preserve">满足招标文件免费质保期2年要求后，每增加1年免费质保期得1分，最高得3分。（提供承诺书，格式及内容自拟）。</w:t>
            </w:r>
            <w:r/>
          </w:p>
        </w:tc>
        <w:tc>
          <w:tcPr>
            <w:tcW w:w="392" w:type="pct"/>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90"/>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类似</w:t>
            </w:r>
            <w:r>
              <w:rPr>
                <w:rFonts w:hint="eastAsia" w:ascii="宋体" w:hAnsi="宋体" w:eastAsia="宋体" w:cs="宋体"/>
                <w:sz w:val="21"/>
                <w:szCs w:val="21"/>
              </w:rPr>
              <w:t xml:space="preserve">业绩</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投标文件中提供</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w:t>
            </w:r>
            <w:r>
              <w:rPr>
                <w:rFonts w:hint="eastAsia" w:ascii="宋体" w:hAnsi="宋体" w:eastAsia="宋体" w:cs="宋体"/>
                <w:color w:val="auto"/>
                <w:sz w:val="21"/>
                <w:szCs w:val="21"/>
              </w:rPr>
              <w:t xml:space="preserve">担</w:t>
            </w:r>
            <w:r>
              <w:rPr>
                <w:rFonts w:hint="eastAsia" w:ascii="宋体" w:hAnsi="宋体" w:eastAsia="宋体" w:cs="宋体"/>
                <w:color w:val="000000"/>
                <w:sz w:val="21"/>
                <w:szCs w:val="21"/>
              </w:rPr>
              <w:t xml:space="preserve">过类成功案例的有效合同复印件（签订日期202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年1月1日以来，包含合同首页、合同金额所在页、签字盖章页、供货明细单及项目验收证明材料（或结算收款凭证）），每提供一份合同复印件的得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分，不提供不得分。</w:t>
            </w:r>
            <w:r/>
          </w:p>
        </w:tc>
        <w:tc>
          <w:tcPr>
            <w:tcW w:w="392" w:type="pct"/>
            <w:vAlign w:val="center"/>
            <w:textDirection w:val="lrTb"/>
            <w:noWrap w:val="false"/>
          </w:tcPr>
          <w:p>
            <w:pPr>
              <w:jc w:val="center"/>
              <w:spacing w:line="291"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1177"/>
        </w:trPr>
        <w:tc>
          <w:tcPr>
            <w:tcW w:w="455"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技术参数</w:t>
            </w:r>
            <w:r>
              <w:rPr>
                <w:rFonts w:hint="eastAsia" w:ascii="宋体" w:hAnsi="宋体" w:eastAsia="宋体" w:cs="宋体"/>
                <w:sz w:val="21"/>
                <w:szCs w:val="21"/>
                <w:lang w:val="en-US" w:eastAsia="zh-CN"/>
              </w:rPr>
              <w:t xml:space="preserve">及要求</w:t>
            </w:r>
            <w:r>
              <w:rPr>
                <w:rFonts w:hint="eastAsia" w:ascii="宋体" w:hAnsi="宋体" w:eastAsia="宋体" w:cs="宋体"/>
                <w:sz w:val="21"/>
                <w:szCs w:val="21"/>
              </w:rPr>
              <w:t xml:space="preserve">响应程度</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sz w:val="21"/>
                <w:szCs w:val="21"/>
              </w:rPr>
            </w:pPr>
            <w:r>
              <w:rPr>
                <w:rFonts w:hint="eastAsia" w:ascii="宋体" w:hAnsi="宋体" w:cs="宋体"/>
                <w:color w:val="000000"/>
                <w:sz w:val="21"/>
                <w:szCs w:val="21"/>
              </w:rPr>
              <w:t xml:space="preserve">针对采购文件“第四章、采购需求”中的“采购清单及参数要求”所列内容进行评分，所投产品技术参数完全满足或优于采购文件技术参数要求的得</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分，每有一项不满足扣0.5分。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12</w:t>
            </w:r>
            <w:r/>
          </w:p>
        </w:tc>
      </w:tr>
      <w:tr>
        <w:trPr>
          <w:trHeight w:val="3641"/>
        </w:trPr>
        <w:tc>
          <w:tcPr>
            <w:tcW w:w="455" w:type="pct"/>
            <w:vAlign w:val="center"/>
            <w:vMerge w:val="continue"/>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1"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原材料</w:t>
            </w:r>
            <w:r/>
          </w:p>
          <w:p>
            <w:pPr>
              <w:jc w:val="center"/>
              <w:rPr>
                <w:rFonts w:ascii="宋体" w:hAnsi="宋体" w:cs="宋体"/>
                <w:sz w:val="21"/>
                <w:szCs w:val="21"/>
              </w:rPr>
            </w:pPr>
            <w:r>
              <w:rPr>
                <w:rFonts w:hint="eastAsia" w:ascii="宋体" w:hAnsi="宋体" w:cs="宋体"/>
                <w:sz w:val="21"/>
                <w:szCs w:val="21"/>
              </w:rPr>
              <w:t xml:space="preserve">检测报告</w:t>
            </w:r>
            <w:r/>
          </w:p>
          <w:p>
            <w:pPr>
              <w:jc w:val="center"/>
              <w:rPr>
                <w:rFonts w:hint="eastAsia" w:ascii="宋体" w:hAnsi="宋体" w:eastAsia="宋体" w:cs="宋体"/>
                <w:sz w:val="21"/>
                <w:szCs w:val="21"/>
                <w:lang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rPr>
              <w:t xml:space="preserve">具有自202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年1月1日（以报告签发日期为准）以来，</w:t>
            </w:r>
            <w:r>
              <w:rPr>
                <w:rFonts w:hint="eastAsia" w:ascii="宋体" w:hAnsi="宋体" w:eastAsia="宋体" w:cs="宋体"/>
                <w:color w:val="auto"/>
                <w:sz w:val="21"/>
                <w:szCs w:val="21"/>
              </w:rPr>
              <w:t xml:space="preserve">提供检测机构具有CMA</w:t>
            </w:r>
            <w:r>
              <w:rPr>
                <w:rFonts w:hint="eastAsia" w:ascii="宋体" w:hAnsi="宋体" w:cs="宋体"/>
                <w:color w:val="auto"/>
                <w:sz w:val="21"/>
                <w:szCs w:val="21"/>
                <w:lang w:val="en-US" w:eastAsia="zh-CN"/>
              </w:rPr>
              <w:t xml:space="preserve">或</w:t>
            </w:r>
            <w:r>
              <w:rPr>
                <w:rFonts w:hint="eastAsia" w:ascii="宋体" w:hAnsi="宋体" w:eastAsia="宋体" w:cs="宋体"/>
                <w:color w:val="auto"/>
                <w:sz w:val="21"/>
                <w:szCs w:val="21"/>
                <w:lang w:val="en-US" w:eastAsia="zh-CN"/>
              </w:rPr>
              <w:t xml:space="preserve">CNAS</w:t>
            </w:r>
            <w:r>
              <w:rPr>
                <w:rFonts w:hint="eastAsia" w:ascii="宋体" w:hAnsi="宋体" w:eastAsia="宋体" w:cs="宋体"/>
                <w:color w:val="auto"/>
                <w:sz w:val="21"/>
                <w:szCs w:val="21"/>
              </w:rPr>
              <w:t xml:space="preserve">标识的原材料检测报告（注：检测报告原件签订合同时供采购人核验）：</w:t>
            </w:r>
            <w:r/>
          </w:p>
          <w:p>
            <w:pPr>
              <w:spacing w:line="291" w:lineRule="auto"/>
              <w:rPr>
                <w:rFonts w:hint="eastAsia" w:ascii="宋体" w:hAnsi="宋体" w:eastAsia="宋体" w:cs="宋体"/>
                <w:color w:val="auto"/>
                <w:sz w:val="21"/>
                <w:szCs w:val="21"/>
                <w:highlight w:val="yellow"/>
              </w:rPr>
            </w:pPr>
            <w:r>
              <w:rPr>
                <w:rFonts w:hint="eastAsia"/>
                <w:b/>
                <w:bCs/>
                <w:color w:val="auto"/>
                <w:sz w:val="21"/>
                <w:szCs w:val="21"/>
              </w:rPr>
              <w:t xml:space="preserve">1</w:t>
            </w:r>
            <w:r>
              <w:rPr>
                <w:b/>
                <w:bCs/>
                <w:color w:val="auto"/>
                <w:sz w:val="21"/>
                <w:szCs w:val="21"/>
              </w:rPr>
              <w:t xml:space="preserve">.</w:t>
            </w:r>
            <w:r>
              <w:rPr>
                <w:rFonts w:hint="eastAsia" w:cs="宋体"/>
                <w:b/>
                <w:bCs/>
                <w:color w:val="auto"/>
                <w:sz w:val="21"/>
                <w:szCs w:val="21"/>
              </w:rPr>
              <w:t xml:space="preserve">橡胶木指接板</w:t>
            </w:r>
            <w:r>
              <w:rPr>
                <w:rFonts w:hint="eastAsia"/>
                <w:color w:val="auto"/>
                <w:sz w:val="21"/>
                <w:szCs w:val="21"/>
                <w:lang w:eastAsia="zh-CN"/>
              </w:rPr>
              <w:t xml:space="preserve">：</w:t>
            </w:r>
            <w:r>
              <w:rPr>
                <w:rFonts w:hint="eastAsia" w:ascii="宋体" w:hAnsi="宋体" w:eastAsia="宋体" w:cs="宋体"/>
                <w:color w:val="auto"/>
                <w:sz w:val="21"/>
                <w:szCs w:val="21"/>
                <w:lang w:val="en-US" w:eastAsia="zh-CN"/>
              </w:rPr>
              <w:t xml:space="preserve">板材经烘干、杀菌、杀虫处理，保证材料不会变形生虫，不带有毒气体，达到国家标准。检查报告至少包含</w:t>
            </w:r>
            <w:r>
              <w:rPr>
                <w:rFonts w:hint="eastAsia"/>
                <w:color w:val="auto"/>
              </w:rPr>
              <w:t xml:space="preserve">含水率符合检测要求</w:t>
            </w:r>
            <w:r>
              <w:rPr>
                <w:rFonts w:hint="eastAsia"/>
                <w:color w:val="auto"/>
                <w:lang w:eastAsia="zh-CN"/>
              </w:rPr>
              <w:t xml:space="preserve">，</w:t>
            </w:r>
            <w:r>
              <w:rPr>
                <w:rFonts w:hint="eastAsia" w:ascii="宋体" w:hAnsi="宋体" w:eastAsia="宋体" w:cs="宋体"/>
                <w:color w:val="auto"/>
                <w:sz w:val="21"/>
                <w:szCs w:val="21"/>
              </w:rPr>
              <w:t xml:space="preserve">甲醛释放量≤0.</w:t>
            </w:r>
            <w:r>
              <w:rPr>
                <w:rFonts w:hint="eastAsia" w:ascii="宋体" w:hAnsi="宋体" w:cs="宋体"/>
                <w:color w:val="auto"/>
                <w:sz w:val="21"/>
                <w:szCs w:val="21"/>
                <w:lang w:val="en-US" w:eastAsia="zh-CN"/>
              </w:rPr>
              <w:t xml:space="preserve">05</w:t>
            </w:r>
            <w:r>
              <w:rPr>
                <w:rFonts w:hint="eastAsia" w:asciiTheme="minorEastAsia" w:hAnsiTheme="minorEastAsia" w:eastAsiaTheme="minorEastAsia" w:cstheme="minorEastAsia"/>
                <w:color w:val="auto"/>
                <w:sz w:val="21"/>
                <w:szCs w:val="21"/>
                <w:highlight w:val="none"/>
                <w:lang w:val="en-US" w:eastAsia="zh-CN"/>
              </w:rPr>
              <w:t xml:space="preserve">mg/m³</w:t>
            </w:r>
            <w:r>
              <w:rPr>
                <w:rFonts w:hint="eastAsia" w:ascii="宋体" w:hAnsi="宋体" w:eastAsia="宋体" w:cs="宋体"/>
                <w:color w:val="auto"/>
                <w:sz w:val="21"/>
                <w:szCs w:val="21"/>
              </w:rPr>
              <w:t xml:space="preserve">，</w:t>
            </w:r>
            <w:r>
              <w:rPr>
                <w:rFonts w:hint="eastAsia" w:ascii="宋体" w:hAnsi="宋体" w:eastAsia="宋体" w:cs="宋体"/>
                <w:color w:val="auto"/>
              </w:rPr>
              <w:t xml:space="preserve">苯、甲苯、二甲苯均为合格，总挥发性有机化合物（TVOC）合格</w:t>
            </w:r>
            <w:r>
              <w:rPr>
                <w:rFonts w:hint="eastAsia" w:ascii="宋体" w:hAnsi="宋体" w:eastAsia="宋体" w:cs="宋体"/>
                <w:color w:val="auto"/>
                <w:sz w:val="21"/>
                <w:szCs w:val="21"/>
              </w:rPr>
              <w:t xml:space="preserve">。</w:t>
            </w:r>
            <w:r/>
          </w:p>
          <w:p>
            <w:pPr>
              <w:numPr>
                <w:ilvl w:val="0"/>
                <w:numId w:val="0"/>
              </w:numPr>
              <w:jc w:val="left"/>
              <w:keepLines w:val="0"/>
              <w:keepNext w:val="0"/>
              <w:pageBreakBefore w:val="0"/>
              <w:spacing w:line="288" w:lineRule="auto"/>
              <w:widowControl w:val="off"/>
              <w:rPr>
                <w:rFonts w:hint="eastAsia"/>
                <w:b w:val="0"/>
                <w:bCs w:val="0"/>
                <w:color w:val="auto"/>
                <w:sz w:val="21"/>
                <w:szCs w:val="21"/>
                <w:lang w:val="en-US" w:eastAsia="zh-CN"/>
              </w:rPr>
            </w:pPr>
            <w:r>
              <w:rPr>
                <w:rFonts w:hint="eastAsia"/>
                <w:b/>
                <w:bCs/>
                <w:color w:val="auto"/>
                <w:sz w:val="21"/>
                <w:szCs w:val="21"/>
              </w:rPr>
              <w:t xml:space="preserve">2</w:t>
            </w:r>
            <w:r>
              <w:rPr>
                <w:b/>
                <w:bCs/>
                <w:color w:val="auto"/>
                <w:sz w:val="21"/>
                <w:szCs w:val="21"/>
              </w:rPr>
              <w:t xml:space="preserve">.</w:t>
            </w:r>
            <w:r>
              <w:rPr>
                <w:rFonts w:hint="eastAsia"/>
                <w:b/>
                <w:bCs/>
                <w:color w:val="auto"/>
                <w:sz w:val="21"/>
                <w:szCs w:val="21"/>
                <w:lang w:val="en-US" w:eastAsia="zh-CN"/>
              </w:rPr>
              <w:t xml:space="preserve">油漆</w:t>
            </w:r>
            <w:r>
              <w:rPr>
                <w:rFonts w:hint="eastAsia" w:ascii="Times New Roman" w:hAnsi="Times New Roman" w:eastAsia="宋体" w:cs="宋体"/>
                <w:b/>
                <w:bCs/>
                <w:color w:val="auto"/>
                <w:sz w:val="21"/>
                <w:szCs w:val="21"/>
                <w:lang w:val="en-US" w:eastAsia="zh-CN"/>
              </w:rPr>
              <w:t xml:space="preserve">工艺</w:t>
            </w:r>
            <w:r>
              <w:rPr>
                <w:rFonts w:hint="eastAsia" w:asciiTheme="minorEastAsia" w:hAnsiTheme="minorEastAsia" w:cstheme="minorEastAsia"/>
                <w:color w:val="auto"/>
                <w:sz w:val="21"/>
                <w:szCs w:val="21"/>
                <w:shd w:val="clear" w:color="auto" w:fill="auto"/>
                <w:vertAlign w:val="baseline"/>
                <w:lang w:val="en-US" w:eastAsia="zh-CN" w:bidi="ar-SA"/>
              </w:rPr>
              <w:t xml:space="preserve">：采用环保油漆喷涂，三底两面，表面纹理清晰无颗粒，无气泡，无渣点，颜色均匀。一是提供“水性面漆”检测报告，检验检测依据：GB 18581-2020，检测内容至少包含：①VOC含量≤30g/L，②甲醛含量≤20mg/kg；二是提供“水性底漆”检测报告，检验检测依据：GB 18581-2020，检测内容至少包含：①VOC含量≤30g/L，②甲醛含量≤20mg/kg。</w:t>
            </w:r>
            <w:r/>
          </w:p>
          <w:p>
            <w:pPr>
              <w:spacing w:line="291" w:lineRule="auto"/>
              <w:rPr>
                <w:rFonts w:hint="eastAsia" w:ascii="宋体" w:hAnsi="宋体" w:eastAsia="宋体" w:cs="宋体"/>
                <w:b w:val="0"/>
                <w:bCs w:val="0"/>
                <w:color w:val="auto"/>
                <w:sz w:val="21"/>
                <w:szCs w:val="21"/>
                <w:highlight w:val="none"/>
                <w:shd w:val="clear" w:color="auto" w:fill="auto"/>
                <w:lang w:val="en-US" w:eastAsia="zh-CN" w:bidi="ar"/>
              </w:rPr>
            </w:pPr>
            <w:r>
              <w:rPr>
                <w:rFonts w:hint="eastAsia"/>
                <w:b/>
                <w:bCs/>
                <w:color w:val="auto"/>
                <w:sz w:val="21"/>
                <w:szCs w:val="21"/>
                <w:lang w:val="en-US" w:eastAsia="zh-CN"/>
              </w:rPr>
              <w:t xml:space="preserve">3</w:t>
            </w:r>
            <w:r>
              <w:rPr>
                <w:b/>
                <w:bCs/>
                <w:color w:val="auto"/>
                <w:sz w:val="21"/>
                <w:szCs w:val="21"/>
              </w:rPr>
              <w:t xml:space="preserve">.</w:t>
            </w:r>
            <w:r>
              <w:rPr>
                <w:rFonts w:hint="eastAsia"/>
                <w:b/>
                <w:bCs/>
                <w:color w:val="auto"/>
                <w:sz w:val="21"/>
                <w:szCs w:val="21"/>
              </w:rPr>
              <w:t xml:space="preserve">静音导轨</w:t>
            </w:r>
            <w:r>
              <w:rPr>
                <w:rFonts w:hint="eastAsia"/>
                <w:b/>
                <w:bCs/>
                <w:color w:val="auto"/>
                <w:sz w:val="21"/>
                <w:szCs w:val="21"/>
                <w:lang w:val="en-US" w:eastAsia="zh-CN"/>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检测内容至少包含：①过载（垂直向下静载荷、水平侧向静载荷）符合要求；功能：耐久性（80000次）无缺陷、（垂直向下静载荷、水平侧向静载荷、拉出安全性、猛关或猛开）符合要求，</w:t>
            </w:r>
            <w:r>
              <w:rPr>
                <w:rFonts w:hint="eastAsia" w:ascii="宋体" w:hAnsi="宋体" w:eastAsia="宋体" w:cs="宋体"/>
                <w:b w:val="0"/>
                <w:bCs w:val="0"/>
                <w:color w:val="auto"/>
                <w:sz w:val="21"/>
                <w:szCs w:val="21"/>
                <w:highlight w:val="none"/>
                <w:shd w:val="clear" w:color="auto" w:fill="auto"/>
                <w:lang w:val="en-US" w:eastAsia="zh-CN" w:bidi="ar"/>
              </w:rPr>
              <w:t xml:space="preserve">耐腐蚀检验合格。</w:t>
            </w:r>
            <w:r/>
          </w:p>
          <w:p>
            <w:pPr>
              <w:spacing w:line="291" w:lineRule="auto"/>
              <w:rPr>
                <w:rFonts w:hint="default" w:asciiTheme="minorEastAsia" w:hAnsiTheme="minorEastAsia" w:eastAsiaTheme="minorEastAsia" w:cstheme="minorEastAsia"/>
                <w:color w:val="auto"/>
                <w:sz w:val="21"/>
                <w:szCs w:val="21"/>
                <w:highlight w:val="none"/>
                <w:lang w:val="en-US" w:eastAsia="zh-CN"/>
              </w:rPr>
            </w:pPr>
            <w:r>
              <w:rPr>
                <w:rFonts w:hint="eastAsia"/>
                <w:b/>
                <w:bCs/>
                <w:color w:val="auto"/>
                <w:sz w:val="21"/>
                <w:szCs w:val="21"/>
                <w:lang w:val="en-US" w:eastAsia="zh-CN"/>
              </w:rPr>
              <w:t xml:space="preserve">4.</w:t>
            </w:r>
            <w:r>
              <w:rPr>
                <w:rFonts w:hint="eastAsia" w:ascii="Times New Roman" w:hAnsi="Times New Roman" w:eastAsia="宋体" w:cs="Times New Roman"/>
                <w:b/>
                <w:bCs/>
                <w:color w:val="auto"/>
                <w:sz w:val="21"/>
                <w:szCs w:val="21"/>
              </w:rPr>
              <w:t xml:space="preserve">胶粘剂</w:t>
            </w:r>
            <w:r>
              <w:rPr>
                <w:rFonts w:hint="eastAsia" w:ascii="Times New Roman" w:hAnsi="Times New Roman" w:eastAsia="宋体" w:cs="Times New Roman"/>
                <w:b/>
                <w:bCs/>
                <w:color w:val="auto"/>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检测内容至少包含：</w:t>
            </w:r>
            <w:r>
              <w:rPr>
                <w:rFonts w:hint="default" w:asciiTheme="minorEastAsia" w:hAnsiTheme="minorEastAsia" w:eastAsiaTheme="minorEastAsia" w:cstheme="minorEastAsia"/>
                <w:color w:val="auto"/>
                <w:sz w:val="21"/>
                <w:szCs w:val="21"/>
                <w:highlight w:val="none"/>
                <w:lang w:val="en-US" w:eastAsia="zh-CN"/>
              </w:rPr>
              <w:t xml:space="preserve">①游离甲醛 ≤0.05g/kg；②苯 ≤0.2g/kg；③甲苯、二甲苯 ≤0.2g/kg；④总挥发性有机物 ≤20g/L。</w:t>
            </w:r>
            <w:r/>
          </w:p>
          <w:p>
            <w:pPr>
              <w:spacing w:line="291" w:lineRule="auto"/>
              <w:rPr>
                <w:rFonts w:hint="eastAsia"/>
                <w:color w:val="auto"/>
                <w:sz w:val="21"/>
                <w:szCs w:val="21"/>
                <w:lang w:val="en-US" w:eastAsia="zh-CN"/>
              </w:rPr>
            </w:pPr>
            <w:r>
              <w:rPr>
                <w:rFonts w:hint="eastAsia"/>
                <w:b/>
                <w:bCs/>
                <w:color w:val="auto"/>
                <w:sz w:val="21"/>
                <w:szCs w:val="21"/>
                <w:lang w:val="en-US" w:eastAsia="zh-CN"/>
              </w:rPr>
              <w:t xml:space="preserve">5</w:t>
            </w:r>
            <w:r>
              <w:rPr>
                <w:b/>
                <w:bCs/>
                <w:color w:val="auto"/>
                <w:sz w:val="21"/>
                <w:szCs w:val="21"/>
              </w:rPr>
              <w:t xml:space="preserve">.</w:t>
            </w:r>
            <w:r>
              <w:rPr>
                <w:rFonts w:hint="eastAsia"/>
                <w:b/>
                <w:bCs/>
                <w:color w:val="auto"/>
                <w:sz w:val="21"/>
                <w:szCs w:val="21"/>
              </w:rPr>
              <w:t xml:space="preserve">铰链</w:t>
            </w:r>
            <w:r>
              <w:rPr>
                <w:rFonts w:hint="eastAsia"/>
                <w:b/>
                <w:bCs/>
                <w:color w:val="auto"/>
                <w:sz w:val="21"/>
                <w:szCs w:val="21"/>
                <w:lang w:val="en-US" w:eastAsia="zh-CN"/>
              </w:rPr>
              <w:t xml:space="preserve">：</w:t>
            </w:r>
            <w:r>
              <w:rPr>
                <w:rFonts w:hint="eastAsia"/>
                <w:b w:val="0"/>
                <w:bCs w:val="0"/>
                <w:color w:val="auto"/>
                <w:sz w:val="21"/>
                <w:szCs w:val="21"/>
                <w:lang w:val="en-US" w:eastAsia="zh-CN"/>
              </w:rPr>
              <w:t xml:space="preserve">过载:垂直静载荷 (30KG，10 次)、水平静载荷(70N，10 次)、</w:t>
            </w:r>
            <w:r>
              <w:rPr>
                <w:rFonts w:hint="eastAsia"/>
                <w:color w:val="auto"/>
                <w:lang w:val="en-US" w:eastAsia="zh-CN"/>
              </w:rPr>
              <w:t xml:space="preserve">耐久性8万次无缺陷，操作力检验合格</w:t>
            </w:r>
            <w:r>
              <w:rPr>
                <w:rFonts w:hint="eastAsia"/>
                <w:color w:val="auto"/>
                <w:sz w:val="21"/>
                <w:szCs w:val="21"/>
                <w:lang w:val="en-US" w:eastAsia="zh-CN"/>
              </w:rPr>
              <w:t xml:space="preserve">。</w:t>
            </w:r>
            <w:r/>
          </w:p>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提供符合要求的每份检测报告得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分，本项满分</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分。</w:t>
            </w:r>
            <w:r/>
          </w:p>
          <w:p>
            <w:pPr>
              <w:spacing w:line="291"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2644"/>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样品</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000000"/>
                <w:sz w:val="21"/>
                <w:szCs w:val="21"/>
              </w:rPr>
            </w:pPr>
            <w:r>
              <w:rPr>
                <w:rFonts w:hint="eastAsia" w:ascii="宋体" w:hAnsi="宋体" w:cs="宋体"/>
                <w:color w:val="000000"/>
                <w:sz w:val="21"/>
                <w:szCs w:val="21"/>
              </w:rPr>
              <w:t xml:space="preserve">投标人须提供以下样品：</w:t>
            </w:r>
            <w:r/>
          </w:p>
          <w:p>
            <w:pPr>
              <w:spacing w:line="291" w:lineRule="auto"/>
              <w:rPr>
                <w:rFonts w:ascii="宋体" w:hAnsi="宋体" w:cs="宋体"/>
                <w:color w:val="000000"/>
                <w:sz w:val="21"/>
                <w:szCs w:val="21"/>
              </w:rPr>
            </w:pPr>
            <w:r>
              <w:rPr>
                <w:rFonts w:hint="eastAsia" w:ascii="宋体" w:hAnsi="宋体" w:cs="宋体"/>
                <w:color w:val="000000"/>
                <w:sz w:val="21"/>
                <w:szCs w:val="21"/>
              </w:rPr>
              <w:t xml:space="preserve">橡胶木指节板3</w:t>
            </w:r>
            <w:r>
              <w:rPr>
                <w:rFonts w:ascii="宋体" w:hAnsi="宋体" w:cs="宋体"/>
                <w:color w:val="000000"/>
                <w:sz w:val="21"/>
                <w:szCs w:val="21"/>
              </w:rPr>
              <w:t xml:space="preserve">00*300*18mm（油漆饰面）：</w:t>
            </w:r>
            <w:r>
              <w:rPr>
                <w:rFonts w:hint="eastAsia" w:ascii="宋体" w:hAnsi="宋体" w:cs="宋体"/>
                <w:color w:val="000000"/>
                <w:sz w:val="21"/>
                <w:szCs w:val="21"/>
              </w:rPr>
              <w:t xml:space="preserve">木材纹理细腻均匀，质感温润舒适，表面光滑无毛刺，无贯通裂缝、无蛀虫现象。</w:t>
            </w:r>
            <w:r>
              <w:rPr>
                <w:rFonts w:ascii="宋体" w:hAnsi="宋体" w:cs="宋体"/>
                <w:color w:val="000000"/>
                <w:sz w:val="21"/>
                <w:szCs w:val="21"/>
              </w:rPr>
              <w:t xml:space="preserve">外观、材质、工艺等方面优于采购文件要求的得</w:t>
            </w:r>
            <w:r>
              <w:rPr>
                <w:rFonts w:eastAsia="Times New Roman"/>
                <w:color w:val="000000"/>
                <w:sz w:val="21"/>
                <w:szCs w:val="21"/>
              </w:rPr>
              <w:t xml:space="preserve">5</w:t>
            </w:r>
            <w:r>
              <w:rPr>
                <w:rFonts w:ascii="宋体" w:hAnsi="宋体" w:cs="宋体"/>
                <w:color w:val="000000"/>
                <w:sz w:val="21"/>
                <w:szCs w:val="21"/>
              </w:rPr>
              <w:t xml:space="preserve">分，符合采购文件要求的得</w:t>
            </w:r>
            <w:r>
              <w:rPr>
                <w:rFonts w:hint="eastAsia" w:eastAsia="宋体"/>
                <w:color w:val="000000"/>
                <w:sz w:val="21"/>
                <w:szCs w:val="21"/>
                <w:lang w:val="en-US" w:eastAsia="zh-CN"/>
              </w:rPr>
              <w:t xml:space="preserve">3</w:t>
            </w:r>
            <w:r>
              <w:rPr>
                <w:rFonts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ascii="宋体" w:hAnsi="宋体" w:cs="宋体"/>
                <w:color w:val="000000"/>
                <w:sz w:val="21"/>
                <w:szCs w:val="21"/>
              </w:rPr>
              <w:t xml:space="preserve">未按要求提供样品的不得分。</w:t>
            </w:r>
            <w:r/>
          </w:p>
          <w:p>
            <w:pPr>
              <w:spacing w:line="291" w:lineRule="auto"/>
              <w:rPr>
                <w:rFonts w:hint="eastAsia" w:ascii="宋体" w:hAnsi="宋体" w:cs="宋体"/>
                <w:color w:val="000000"/>
                <w:sz w:val="21"/>
                <w:szCs w:val="21"/>
              </w:rPr>
            </w:pPr>
            <w:r>
              <w:rPr>
                <w:rFonts w:hint="eastAsia" w:ascii="宋体" w:hAnsi="宋体" w:cs="宋体"/>
                <w:color w:val="000000"/>
                <w:sz w:val="21"/>
                <w:szCs w:val="21"/>
              </w:rPr>
              <w:t xml:space="preserve">铰链、导轨：开合回弹顺畅，表面无瑕疵，安全稳定，经久耐用。外观、材质、工艺等方面优于采购文件要求的得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分，符合采购文件要求的得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cs="宋体"/>
                <w:color w:val="000000"/>
                <w:sz w:val="21"/>
                <w:szCs w:val="21"/>
              </w:rPr>
              <w:t xml:space="preserve">未按要求提供样品的不得分。</w:t>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8</w:t>
            </w:r>
            <w:r/>
          </w:p>
        </w:tc>
      </w:tr>
      <w:tr>
        <w:trPr>
          <w:trHeight w:val="539"/>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p>
        </w:tc>
        <w:tc>
          <w:tcPr>
            <w:tcW w:w="3520" w:type="pct"/>
            <w:vAlign w:val="center"/>
            <w:textDirection w:val="lrTb"/>
            <w:noWrap w:val="false"/>
          </w:tcPr>
          <w:p>
            <w:pPr>
              <w:keepLines w:val="0"/>
              <w:keepNext w:val="0"/>
              <w:pageBreakBefore w:val="0"/>
              <w:spacing w:line="240" w:lineRule="auto"/>
              <w:widowControl w:val="off"/>
              <w:rPr>
                <w:rFonts w:ascii="宋体" w:hAnsi="宋体" w:cs="宋体"/>
                <w:color w:val="000000"/>
                <w:sz w:val="21"/>
                <w:szCs w:val="21"/>
              </w:rPr>
              <w:outlineLvl w:val="9"/>
            </w:pPr>
            <w:r>
              <w:rPr>
                <w:rFonts w:ascii="宋体" w:hAnsi="宋体" w:cs="宋体"/>
                <w:color w:val="000000"/>
                <w:sz w:val="21"/>
                <w:szCs w:val="21"/>
              </w:rPr>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100</w:t>
            </w:r>
            <w:r/>
          </w:p>
        </w:tc>
      </w:tr>
    </w:tbl>
    <w:p>
      <w:pPr>
        <w:pStyle w:val="970"/>
        <w:ind w:left="0" w:firstLine="0"/>
        <w:rPr>
          <w:rFonts w:ascii="宋体" w:hAnsi="宋体" w:cs="宋体"/>
          <w:color w:val="auto"/>
          <w:spacing w:val="8"/>
          <w:szCs w:val="21"/>
          <w:highlight w:val="none"/>
        </w:rPr>
      </w:pPr>
      <w:r>
        <w:rPr>
          <w:rFonts w:ascii="宋体" w:hAnsi="宋体" w:cs="宋体"/>
          <w:color w:val="auto"/>
          <w:spacing w:val="8"/>
          <w:szCs w:val="21"/>
          <w:highlight w:val="none"/>
        </w:rPr>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说明：</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1.所有认证、证明和业绩均以有效清晰的证明文件的复印件为依据，原件备查。</w:t>
      </w:r>
      <w:r/>
    </w:p>
    <w:p>
      <w:pPr>
        <w:ind w:firstLine="210"/>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5.监狱企业、残疾人福利性单位属于小型、微型企业的，不重复享受政策。</w:t>
      </w:r>
      <w:r/>
    </w:p>
    <w:p>
      <w:pPr>
        <w:ind w:left="420" w:firstLine="0"/>
        <w:keepLines w:val="0"/>
        <w:keepNext w:val="0"/>
        <w:pageBreakBefore w:val="0"/>
        <w:spacing w:line="360" w:lineRule="auto"/>
        <w:widowControl w:val="off"/>
        <w:rPr>
          <w:rFonts w:hint="eastAsia" w:ascii="Arial" w:hAnsi="Arial" w:cs="Arial"/>
          <w:bCs/>
          <w:color w:val="auto"/>
          <w:highlight w:val="none"/>
        </w:rPr>
      </w:pPr>
      <w:r>
        <w:rPr>
          <w:rFonts w:hint="eastAsia" w:ascii="Arial" w:hAnsi="Arial" w:cs="Arial"/>
          <w:bCs/>
          <w:color w:val="auto"/>
          <w:highlight w:val="none"/>
        </w:rPr>
        <w:t xml:space="preserve">6.本国产品的价格扣除</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color w:val="auto"/>
          <w:sz w:val="32"/>
          <w:szCs w:val="44"/>
          <w:highlight w:val="none"/>
        </w:rPr>
      </w:pPr>
      <w:r>
        <w:rPr>
          <w:rFonts w:hint="eastAsia" w:ascii="Arial" w:hAnsi="Arial" w:cs="Arial"/>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color w:val="auto"/>
          <w:highlight w:val="none"/>
        </w:rPr>
        <w:br w:type="page" w:clear="all"/>
      </w:r>
      <w:r/>
    </w:p>
    <w:p>
      <w:pPr>
        <w:pStyle w:val="901"/>
        <w:numPr>
          <w:ilvl w:val="0"/>
          <w:numId w:val="0"/>
        </w:numPr>
        <w:spacing w:before="0" w:after="0"/>
        <w:rPr>
          <w:rFonts w:hint="eastAsia" w:ascii="Arial" w:hAnsi="Arial" w:cs="Arial"/>
          <w:color w:val="auto"/>
          <w:highlight w:val="none"/>
        </w:rPr>
      </w:pPr>
      <w:r/>
      <w:bookmarkStart w:id="12" w:name="_Toc8882"/>
      <w:r/>
      <w:bookmarkStart w:id="13" w:name="_Toc15774"/>
      <w:r>
        <w:rPr>
          <w:rFonts w:hint="eastAsia" w:ascii="Arial" w:hAnsi="Arial" w:cs="Arial"/>
          <w:color w:val="auto"/>
          <w:highlight w:val="none"/>
        </w:rPr>
        <w:t xml:space="preserve">第四章采购需求</w:t>
      </w:r>
      <w:bookmarkEnd w:id="12"/>
      <w:r/>
      <w:bookmarkEnd w:id="13"/>
      <w:r/>
      <w:bookmarkStart w:id="14" w:name="_Toc481057147"/>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、招标内容</w:t>
      </w:r>
      <w:r/>
    </w:p>
    <w:p>
      <w:pPr>
        <w:ind w:firstLine="420"/>
        <w:spacing w:line="360" w:lineRule="auto"/>
        <w:rPr>
          <w:rFonts w:hint="eastAsia" w:ascii="宋体" w:hAnsi="宋体" w:eastAsia="宋体" w:cs="Times New Roman"/>
          <w:szCs w:val="21"/>
        </w:rPr>
      </w:pPr>
      <w:r>
        <w:rPr>
          <w:rFonts w:ascii="宋体" w:hAnsi="宋体"/>
          <w:szCs w:val="21"/>
        </w:rPr>
        <w:t xml:space="preserve">本次</w:t>
      </w:r>
      <w:r>
        <w:rPr>
          <w:rFonts w:hint="eastAsia" w:ascii="宋体" w:hAnsi="宋体"/>
          <w:szCs w:val="21"/>
        </w:rPr>
        <w:t xml:space="preserve">采购</w:t>
      </w:r>
      <w:r>
        <w:rPr>
          <w:rFonts w:ascii="宋体" w:hAnsi="宋体"/>
          <w:szCs w:val="21"/>
        </w:rPr>
        <w:t xml:space="preserve">的是</w:t>
      </w:r>
      <w:r>
        <w:rPr>
          <w:rFonts w:hint="eastAsia" w:ascii="宋体" w:hAnsi="宋体" w:eastAsia="宋体" w:cs="Times New Roman"/>
          <w:szCs w:val="21"/>
          <w:lang w:val="en-US" w:eastAsia="zh-CN"/>
        </w:rPr>
        <w:t xml:space="preserve">江苏食品药品职业技术</w:t>
      </w:r>
      <w:r>
        <w:rPr>
          <w:rFonts w:hint="eastAsia" w:ascii="宋体" w:hAnsi="宋体" w:eastAsia="宋体" w:cs="Times New Roman"/>
          <w:szCs w:val="21"/>
        </w:rPr>
        <w:t xml:space="preserve">学院</w:t>
      </w:r>
      <w:r>
        <w:rPr>
          <w:rFonts w:hint="eastAsia" w:ascii="宋体" w:hAnsi="宋体" w:eastAsia="宋体" w:cs="Times New Roman"/>
          <w:szCs w:val="21"/>
          <w:lang w:val="en-US" w:eastAsia="zh-CN"/>
        </w:rPr>
        <w:t xml:space="preserve">学生宿舍S4、S8家具采购</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lang w:val="en-US" w:eastAsia="zh-CN"/>
        </w:rPr>
      </w:pPr>
      <w:r>
        <w:rPr>
          <w:rFonts w:hint="eastAsia" w:hAnsi="宋体"/>
          <w:szCs w:val="21"/>
        </w:rPr>
        <w:t xml:space="preserve">2</w:t>
      </w:r>
      <w:r>
        <w:rPr>
          <w:rFonts w:hAnsi="宋体"/>
          <w:szCs w:val="21"/>
        </w:rPr>
        <w:t xml:space="preserve">、交货期：</w:t>
      </w:r>
      <w:r>
        <w:rPr>
          <w:rFonts w:hint="eastAsia" w:ascii="宋体" w:hAnsi="宋体" w:eastAsia="宋体" w:cs="Times New Roman"/>
          <w:szCs w:val="21"/>
          <w:lang w:val="en-US" w:eastAsia="zh-CN"/>
        </w:rPr>
        <w:t xml:space="preserve">自合同签订之日起，25个日历日内供货安装到位。</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3、质保期：自项目验收合格之日起，质保期2年。</w:t>
      </w:r>
      <w:r/>
    </w:p>
    <w:p>
      <w:pPr>
        <w:ind w:firstLine="420"/>
        <w:spacing w:line="360" w:lineRule="auto"/>
        <w:rPr>
          <w:rFonts w:hint="eastAsia" w:ascii="Times New Roman" w:hAnsi="宋体" w:eastAsia="宋体" w:cs="Times New Roman"/>
          <w:szCs w:val="21"/>
        </w:rPr>
      </w:pPr>
      <w:r>
        <w:rPr>
          <w:rFonts w:hint="eastAsia" w:ascii="Times New Roman" w:hAnsi="宋体" w:eastAsia="宋体" w:cs="Times New Roman"/>
          <w:szCs w:val="21"/>
          <w:lang w:val="en-US" w:eastAsia="zh-CN"/>
        </w:rPr>
        <w:t xml:space="preserve">4、</w:t>
      </w:r>
      <w:r>
        <w:rPr>
          <w:rFonts w:hint="eastAsia" w:ascii="Times New Roman" w:hAnsi="宋体" w:eastAsia="宋体" w:cs="Times New Roman"/>
          <w:szCs w:val="21"/>
        </w:rPr>
        <w:t xml:space="preserve">验收标准：</w:t>
      </w:r>
      <w:r>
        <w:rPr>
          <w:rFonts w:hint="eastAsia" w:ascii="Times New Roman" w:hAnsi="宋体" w:eastAsia="宋体" w:cs="Times New Roman"/>
          <w:szCs w:val="21"/>
          <w:lang w:val="en-US" w:eastAsia="zh-CN"/>
        </w:rPr>
        <w:t xml:space="preserve">家具</w:t>
      </w:r>
      <w:r>
        <w:rPr>
          <w:rFonts w:hint="eastAsia" w:ascii="Times New Roman" w:hAnsi="宋体" w:eastAsia="宋体" w:cs="Times New Roman"/>
          <w:szCs w:val="21"/>
        </w:rPr>
        <w:t xml:space="preserve">安装好后，供应商向采购人培训完毕且移交完整的配套资料后，经现场验收，双方无异议视为合格。</w:t>
      </w:r>
      <w:r/>
    </w:p>
    <w:p>
      <w:pPr>
        <w:ind w:firstLine="420"/>
        <w:spacing w:line="360" w:lineRule="auto"/>
        <w:rPr>
          <w:rFonts w:hint="eastAsia" w:ascii="宋体" w:hAnsi="宋体" w:eastAsia="宋体" w:cs="Times New Roman"/>
          <w:szCs w:val="21"/>
          <w:lang w:val="en-US" w:eastAsia="zh-CN"/>
        </w:rPr>
      </w:pPr>
      <w:r>
        <w:rPr>
          <w:rFonts w:hint="eastAsia" w:ascii="Times New Roman" w:hAnsi="宋体" w:eastAsia="宋体" w:cs="Times New Roman"/>
          <w:szCs w:val="21"/>
          <w:lang w:val="en-US" w:eastAsia="zh-CN"/>
        </w:rPr>
        <w:t xml:space="preserve">5、</w:t>
      </w:r>
      <w:r>
        <w:rPr>
          <w:rFonts w:hint="eastAsia" w:ascii="Times New Roman" w:hAnsi="宋体" w:eastAsia="宋体" w:cs="Times New Roman"/>
          <w:szCs w:val="21"/>
        </w:rPr>
        <w:t xml:space="preserve">付款方式:供应商将符合项目要求的货物送至采购人指定位置后，安装并验收合格。开具增值税普通发票，采购人在收到发票后的</w:t>
      </w:r>
      <w:r>
        <w:rPr>
          <w:rFonts w:hint="eastAsia" w:ascii="Times New Roman" w:hAnsi="宋体" w:eastAsia="宋体" w:cs="Times New Roman"/>
          <w:szCs w:val="21"/>
          <w:lang w:val="en-US" w:eastAsia="zh-CN"/>
        </w:rPr>
        <w:t xml:space="preserve">3</w:t>
      </w:r>
      <w:r>
        <w:rPr>
          <w:rFonts w:hint="eastAsia" w:ascii="Times New Roman" w:hAnsi="宋体" w:eastAsia="宋体" w:cs="Times New Roman"/>
          <w:szCs w:val="21"/>
        </w:rPr>
        <w:t xml:space="preserve">0个工作日内支付合同全款。</w:t>
      </w:r>
      <w:r/>
    </w:p>
    <w:p>
      <w:pPr>
        <w:ind w:firstLine="420"/>
        <w:spacing w:line="360" w:lineRule="auto"/>
        <w:rPr>
          <w:rFonts w:hint="eastAsia" w:hAnsi="宋体"/>
          <w:szCs w:val="21"/>
        </w:rPr>
      </w:pPr>
      <w:r>
        <w:rPr>
          <w:rFonts w:hint="eastAsia" w:hAnsi="宋体"/>
          <w:szCs w:val="21"/>
          <w:lang w:val="en-US" w:eastAsia="zh-CN"/>
        </w:rPr>
        <w:t xml:space="preserve">6、货物清单：</w:t>
      </w:r>
      <w:r>
        <w:rPr>
          <w:rFonts w:hint="eastAsia" w:hAnsi="宋体"/>
          <w:szCs w:val="21"/>
        </w:rPr>
        <w:t xml:space="preserve">  </w:t>
      </w:r>
      <w:r/>
    </w:p>
    <w:tbl>
      <w:tblPr>
        <w:tblStyle w:val="911"/>
        <w:tblW w:w="8320"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873"/>
        <w:gridCol w:w="6045"/>
        <w:gridCol w:w="761"/>
      </w:tblGrid>
      <w:tr>
        <w:trPr>
          <w:trHeight w:val="90"/>
        </w:trPr>
        <w:tc>
          <w:tcPr>
            <w:tcW w:w="64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8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60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参数要求</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r>
      <w:tr>
        <w:trPr>
          <w:trHeight w:val="7713"/>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color w:val="000000"/>
                <w:sz w:val="21"/>
                <w:szCs w:val="21"/>
                <w:lang w:val="en-US"/>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规格：长1550*宽600*高2390mm</w:t>
            </w:r>
            <w:r>
              <w:rPr>
                <w:rFonts w:hint="eastAsia" w:ascii="宋体" w:hAnsi="宋体" w:eastAsia="宋体" w:cs="宋体"/>
                <w:color w:val="auto"/>
                <w:sz w:val="21"/>
                <w:szCs w:val="21"/>
              </w:rPr>
              <w:t xml:space="preserve">（尺寸按实际空间制作，不另行增减费用）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储物柜：规格1550*350*590（具体详细数字以现场测量为准）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柜体、背板材质采用16mm厚橡胶木指接板制作，柜门采用18mm厚橡胶木指接板，门芯板采用12mm橡胶木指接板制作；</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柜门拉手制作内嵌式造型，带学生锁扣；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油漆工艺采用环保滚涂五底三面UV透明漆；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柜体采用优质二合一扣件和三合一扣件链接，柜门采用优质液压铰链；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书架：规格1550*250*1050（具体详细数字以现场测量为准），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柜体、背板、层板材质采用16mm厚橡胶木指接板</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制作油漆工艺采用环保滚涂五底三面UV透明漆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柜体采用优质二合一扣件和三合一扣件链接；</w: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写字桌：规格1550（长）*600（宽）*750mm（高）（具体详细数字以现场测量为准），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主体材质采用16mm厚橡胶木指接板制作，桌面加厚至30mm，桌面离地高为750mm</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背板采用16mm厚橡胶木指接板；</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配2个抽屉，抽屉轨道采用三节轨道，抽屉拉手制作内嵌式造型，带学生锁扣</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桌子底部采用20mm高塑料脚钉，防止板材因受潮、水浸而变形腐烂；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油漆采用环保家具滚涂水性UV五底三面透明漆；</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374</w:t>
            </w:r>
            <w:r/>
          </w:p>
        </w:tc>
      </w:tr>
      <w:tr>
        <w:trPr>
          <w:trHeight w:val="9986"/>
        </w:trPr>
        <w:tc>
          <w:tcPr>
            <w:tcW w:w="641" w:type="dxa"/>
            <w:vAlign w:val="center"/>
            <w:textDirection w:val="lrTb"/>
            <w:noWrap w:val="false"/>
          </w:tcPr>
          <w:p>
            <w:pPr>
              <w:pStyle w:val="970"/>
              <w:numPr>
                <w:ilvl w:val="0"/>
                <w:numId w:val="0"/>
              </w:num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pStyle w:val="917"/>
              <w:numPr>
                <w:ilvl w:val="0"/>
                <w:numId w:val="0"/>
              </w:numPr>
              <w:ind w:firstLine="420"/>
              <w:jc w:val="both"/>
              <w:spacing w:line="240" w:lineRule="auto"/>
              <w:rPr>
                <w:sz w:val="21"/>
                <w:szCs w:val="21"/>
              </w:rPr>
            </w:pPr>
            <w:r>
              <w:rPr>
                <w:sz w:val="21"/>
                <w:szCs w:val="21"/>
              </w:rPr>
              <mc:AlternateContent>
                <mc:Choice Requires="wpg">
                  <w:drawing>
                    <wp:inline xmlns:wp="http://schemas.openxmlformats.org/drawingml/2006/wordprocessingDrawing" distT="0" distB="0" distL="0" distR="0">
                      <wp:extent cx="2877820" cy="3574415"/>
                      <wp:effectExtent l="0" t="0" r="1778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2877820" cy="357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6.6pt;height:281.4pt;mso-wrap-distance-left:0.0pt;mso-wrap-distance-top:0.0pt;mso-wrap-distance-right:0.0pt;mso-wrap-distance-bottom:0.0pt;" stroked="f">
                      <v:path textboxrect="0,0,0,0"/>
                      <v:imagedata r:id="rId19" o:title=""/>
                    </v:shape>
                  </w:pict>
                </mc:Fallback>
              </mc:AlternateContent>
            </w:r>
            <w:r/>
          </w:p>
          <w:p>
            <w:pPr>
              <w:pStyle w:val="917"/>
              <w:numPr>
                <w:ilvl w:val="0"/>
                <w:numId w:val="0"/>
              </w:numPr>
              <w:ind w:firstLine="420"/>
              <w:jc w:val="both"/>
              <w:spacing w:line="240" w:lineRule="auto"/>
              <w:rPr>
                <w:rFonts w:hint="default" w:eastAsia="宋体"/>
                <w:sz w:val="21"/>
                <w:szCs w:val="21"/>
                <w:lang w:val="en-US" w:eastAsia="zh-CN"/>
              </w:rPr>
            </w:pPr>
            <w:r>
              <w:rPr>
                <w:rFonts w:hint="eastAsia"/>
                <w:sz w:val="21"/>
                <w:szCs w:val="21"/>
                <w:lang w:val="en-US" w:eastAsia="zh-CN"/>
              </w:rPr>
              <w:t xml:space="preserve">三人位学习桌（上设书架+储物柜）图样</w:t>
            </w:r>
            <w:r/>
          </w:p>
          <w:p>
            <w:pPr>
              <w:pStyle w:val="917"/>
              <w:numPr>
                <w:ilvl w:val="0"/>
                <w:numId w:val="0"/>
              </w:numPr>
              <w:jc w:val="both"/>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9124"/>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pStyle w:val="923"/>
              <w:rPr>
                <w:rFonts w:hint="eastAsia"/>
                <w:sz w:val="21"/>
                <w:szCs w:val="21"/>
                <w:lang w:val="en-US" w:eastAsia="zh-CN"/>
              </w:rPr>
            </w:pPr>
            <w:r>
              <w:rPr>
                <w:rFonts w:hint="eastAsia"/>
                <w:sz w:val="21"/>
                <w:szCs w:val="21"/>
                <w:lang w:val="en-US" w:eastAsia="zh-CN"/>
              </w:rPr>
            </w:r>
            <w:r/>
          </w:p>
        </w:tc>
        <w:tc>
          <w:tcPr>
            <w:tcW w:w="604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规格：长1950*宽800*高1680mm</w:t>
            </w:r>
            <w:r>
              <w:rPr>
                <w:rFonts w:hint="eastAsia" w:ascii="宋体" w:hAnsi="宋体" w:eastAsia="宋体" w:cs="宋体"/>
                <w:color w:val="auto"/>
                <w:sz w:val="21"/>
                <w:szCs w:val="21"/>
              </w:rPr>
              <w:t xml:space="preserve">（尺寸按实际空间制作</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衣柜规格：800（长）*600（宽）*1680mm（高）（具体详细数字以现场测量为准）。（1）柜体、层板材质采用16mm厚橡胶木指接板制作，柜门采用18mm厚橡胶木指接板，门芯板采用12mm橡胶木指接板制作；（2）柜门拉手制作内嵌式造型，背板采用5mm厚指接板；（3）油漆工艺：采用环保家具滚涂水性VU三底二面透明漆。</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配件部分：（4）柜体采用优质二合一扣件和三合一扣件链接，柜门采用优质液压铰链，衣柜内配置一根19mm不锈钢挂衣杆，一块16mm厚层板，衣柜底部采用20mm高塑料脚钉，防止板材因受潮、水浸而变形腐烂。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写字桌规格：1150（长）*600（宽）*750mm（高）（写字桌边柜宽800mmm，具体详细数字以现场测量为准）。(5)主体材质采用16mm厚橡胶木指接板制作，桌面加厚至30mm，桌面离地高为750mm；(6)背板采用16mm厚橡胶木指接板；(7)柜门和抽屉拉手制作内嵌式造型；(8)油漆工艺：采用环保家具滚涂水性VU三底二面透明漆。</w:t>
            </w:r>
            <w:r/>
          </w:p>
          <w:p>
            <w:pPr>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配件部分：(9)主体采用优质二合一扣件和三合一扣件链接，柜门采用移门轨道、2个抽屉采用优质三节轨，抽屉带学生锁扣，</w:t>
            </w: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)桌子底部采用20mm高塑料脚钉，防止板材因受潮、水浸而变形腐烂。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2.3书架规格：1120（长）*250（宽）*930mm（高）（具体详细数字以现场测量为准）。(1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)主体材质采用16mm厚橡胶木指接板制作，背板采用16mm厚橡胶木指接板制作；(</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lang w:val="en-US" w:eastAsia="zh-CN"/>
              </w:rPr>
              <w:t xml:space="preserve">工艺：采用环保家具滚涂水性VU三底二面透明漆。</w:t>
            </w:r>
            <w:r/>
          </w:p>
          <w:p>
            <w:pPr>
              <w:jc w:val="both"/>
              <w:spacing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lang w:val="en-US" w:eastAsia="zh-CN"/>
              </w:rPr>
              <w:t xml:space="preserve">配件部分：主体采用优质二合一扣件和三合一扣件链接。</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828</w:t>
            </w:r>
            <w:r/>
          </w:p>
        </w:tc>
      </w:tr>
      <w:tr>
        <w:trPr>
          <w:trHeight w:val="2663"/>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6045"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sz w:val="21"/>
                <w:szCs w:val="21"/>
              </w:rPr>
              <mc:AlternateContent>
                <mc:Choice Requires="wpg">
                  <w:drawing>
                    <wp:inline xmlns:wp="http://schemas.openxmlformats.org/drawingml/2006/wordprocessingDrawing" distT="0" distB="0" distL="0" distR="0">
                      <wp:extent cx="3558540" cy="2825115"/>
                      <wp:effectExtent l="0" t="0" r="3810" b="1333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3558540" cy="2825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0.2pt;height:222.4pt;mso-wrap-distance-left:0.0pt;mso-wrap-distance-top:0.0pt;mso-wrap-distance-right:0.0pt;mso-wrap-distance-bottom:0.0pt;" stroked="f">
                      <v:path textboxrect="0,0,0,0"/>
                      <v:imagedata r:id="rId20" o:title=""/>
                    </v:shape>
                  </w:pict>
                </mc:Fallback>
              </mc:AlternateConten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组合柜（含衣柜、写字桌、书架）图样</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2395"/>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家具拆除</w:t>
            </w:r>
            <w:r/>
          </w:p>
        </w:tc>
        <w:tc>
          <w:tcPr>
            <w:tcW w:w="6045" w:type="dxa"/>
            <w:vAlign w:val="center"/>
            <w:textDirection w:val="lrTb"/>
            <w:noWrap w:val="false"/>
          </w:tcPr>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负责S4号楼</w:t>
            </w:r>
            <w:r>
              <w:rPr>
                <w:rFonts w:hint="eastAsia" w:ascii="宋体" w:hAnsi="宋体" w:eastAsia="宋体" w:cs="宋体"/>
                <w:color w:val="auto"/>
                <w:sz w:val="21"/>
                <w:szCs w:val="21"/>
                <w:lang w:val="en-US" w:eastAsia="zh-CN"/>
              </w:rPr>
              <w:t xml:space="preserve">A、B楼</w:t>
            </w:r>
            <w:r>
              <w:rPr>
                <w:rFonts w:hint="eastAsia" w:ascii="宋体" w:hAnsi="宋体" w:eastAsia="宋体" w:cs="宋体"/>
                <w:color w:val="auto"/>
                <w:sz w:val="21"/>
                <w:szCs w:val="21"/>
                <w:lang w:eastAsia="zh-CN"/>
              </w:rPr>
              <w:t xml:space="preserve">1122个单人位学习桌搬运任务，搬运至S4号楼（共五层，无电梯）下院子；</w:t>
            </w:r>
            <w:r/>
          </w:p>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负责S8号楼C楼（共五层，无电梯）828个学习柜拆除搬运工作，拆完搬至S8号楼楼下院中；</w:t>
            </w:r>
            <w:r/>
          </w:p>
          <w:p>
            <w:pPr>
              <w:pStyle w:val="917"/>
              <w:numPr>
                <w:ilvl w:val="0"/>
                <w:numId w:val="0"/>
              </w:num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两项拆除搬运费用均包含在中标价中，供应商需对搬运过程中造成物品及地面等设施损坏承担全部修复或赔偿费用，修复及赔偿标准由采购人根据市场价或原物价值核定。</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宋体" w:hAnsi="宋体" w:eastAsia="宋体" w:cs="宋体"/>
          <w:b/>
          <w:bCs/>
          <w:sz w:val="21"/>
          <w:szCs w:val="21"/>
        </w:rPr>
      </w:pPr>
      <w:r>
        <w:rPr>
          <w:rFonts w:hint="eastAsia" w:ascii="宋体" w:hAnsi="宋体" w:eastAsia="宋体" w:cs="宋体"/>
          <w:b/>
          <w:bCs/>
          <w:sz w:val="21"/>
          <w:szCs w:val="21"/>
        </w:rPr>
      </w:r>
      <w:r/>
    </w:p>
    <w:p>
      <w:pPr>
        <w:numPr>
          <w:ilvl w:val="0"/>
          <w:numId w:val="6"/>
        </w:num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样品</w:t>
      </w:r>
      <w:r>
        <w:rPr>
          <w:rFonts w:hint="eastAsia" w:ascii="宋体" w:hAnsi="宋体" w:cs="Times New Roman"/>
          <w:color w:val="auto"/>
          <w:szCs w:val="21"/>
          <w:highlight w:val="none"/>
          <w:lang w:val="en-US" w:eastAsia="zh-CN"/>
        </w:rPr>
        <w:t xml:space="preserve">（</w:t>
      </w:r>
      <w:r>
        <w:rPr>
          <w:rFonts w:hint="eastAsia" w:ascii="宋体" w:hAnsi="宋体" w:cs="宋体"/>
          <w:color w:val="auto"/>
          <w:sz w:val="21"/>
          <w:szCs w:val="21"/>
          <w:highlight w:val="none"/>
        </w:rPr>
        <w:t xml:space="preserve">橡胶木指节板3</w:t>
      </w:r>
      <w:r>
        <w:rPr>
          <w:rFonts w:ascii="宋体" w:hAnsi="宋体" w:cs="宋体"/>
          <w:color w:val="auto"/>
          <w:sz w:val="21"/>
          <w:szCs w:val="21"/>
          <w:highlight w:val="none"/>
        </w:rPr>
        <w:t xml:space="preserve">00*300*18mm（油漆饰面）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铰链、导轨</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（1）样品递交要求：样品必须</w:t>
      </w:r>
      <w:r>
        <w:rPr>
          <w:rFonts w:hint="eastAsia" w:ascii="宋体" w:hAnsi="宋体" w:eastAsia="宋体" w:cs="Times New Roman"/>
          <w:szCs w:val="21"/>
          <w:highlight w:val="none"/>
          <w:lang w:val="en-US" w:eastAsia="zh-CN"/>
        </w:rPr>
        <w:t xml:space="preserve">在2026年</w:t>
      </w:r>
      <w:r>
        <w:rPr>
          <w:rFonts w:hint="eastAsia" w:ascii="宋体" w:hAnsi="宋体" w:cs="Times New Roman"/>
          <w:szCs w:val="21"/>
          <w:highlight w:val="none"/>
          <w:lang w:val="en-US" w:eastAsia="zh-CN"/>
        </w:rPr>
        <w:t xml:space="preserve">7</w:t>
      </w:r>
      <w:r>
        <w:rPr>
          <w:rFonts w:hint="eastAsia" w:ascii="宋体" w:hAnsi="宋体" w:eastAsia="宋体" w:cs="Times New Roman"/>
          <w:szCs w:val="21"/>
          <w:highlight w:val="none"/>
          <w:lang w:val="en-US" w:eastAsia="zh-CN"/>
        </w:rPr>
        <w:t xml:space="preserve">月</w:t>
      </w:r>
      <w:r>
        <w:rPr>
          <w:rFonts w:hint="eastAsia" w:ascii="宋体" w:hAnsi="宋体" w:cs="Times New Roman"/>
          <w:szCs w:val="21"/>
          <w:highlight w:val="none"/>
          <w:lang w:val="en-US" w:eastAsia="zh-CN"/>
        </w:rPr>
        <w:t xml:space="preserve">20</w:t>
      </w:r>
      <w:r>
        <w:rPr>
          <w:rFonts w:hint="eastAsia" w:ascii="宋体" w:hAnsi="宋体" w:eastAsia="宋体" w:cs="Times New Roman"/>
          <w:szCs w:val="21"/>
          <w:highlight w:val="none"/>
          <w:lang w:val="en-US" w:eastAsia="zh-CN"/>
        </w:rPr>
        <w:t xml:space="preserve">日14</w:t>
      </w:r>
      <w:r>
        <w:rPr>
          <w:rFonts w:hint="eastAsia" w:ascii="宋体" w:hAnsi="宋体" w:eastAsia="宋体" w:cs="Times New Roman"/>
          <w:szCs w:val="21"/>
          <w:lang w:val="en-US" w:eastAsia="zh-CN"/>
        </w:rPr>
        <w:t xml:space="preserve">时</w:t>
      </w:r>
      <w:r>
        <w:rPr>
          <w:rFonts w:hint="eastAsia" w:ascii="宋体" w:hAnsi="宋体" w:cs="Times New Roman"/>
          <w:szCs w:val="21"/>
          <w:lang w:val="en-US" w:eastAsia="zh-CN"/>
        </w:rPr>
        <w:t xml:space="preserve">3</w:t>
      </w:r>
      <w:r>
        <w:rPr>
          <w:rFonts w:hint="eastAsia" w:ascii="宋体" w:hAnsi="宋体" w:eastAsia="宋体" w:cs="Times New Roman"/>
          <w:szCs w:val="21"/>
          <w:lang w:val="en-US" w:eastAsia="zh-CN"/>
        </w:rPr>
        <w:t xml:space="preserve">0分前送至江苏省设备成套股份有限公司（南京市清江南路18号鼓楼创新广场D栋10楼），并至1006室做好样品送达登记工作，联系人：董星，电话：13913031676，逾期将不予</w:t>
      </w:r>
      <w:bookmarkStart w:id="58" w:name="_GoBack"/>
      <w:r/>
      <w:bookmarkEnd w:id="58"/>
      <w:r>
        <w:rPr>
          <w:rFonts w:hint="eastAsia" w:ascii="宋体" w:hAnsi="宋体" w:eastAsia="宋体" w:cs="Times New Roman"/>
          <w:szCs w:val="21"/>
          <w:lang w:val="en-US" w:eastAsia="zh-CN"/>
        </w:rPr>
        <w:t xml:space="preserve">接收。</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（2）中标（成交）单位样品留样封存，未中标（成交）单位样品</w:t>
      </w:r>
      <w:r>
        <w:rPr>
          <w:rFonts w:hint="eastAsia" w:ascii="宋体" w:hAnsi="宋体" w:cs="Times New Roman"/>
          <w:szCs w:val="21"/>
          <w:lang w:val="en-US" w:eastAsia="zh-CN"/>
        </w:rPr>
        <w:t xml:space="preserve">接通知</w:t>
      </w:r>
      <w:r>
        <w:rPr>
          <w:rFonts w:hint="eastAsia" w:ascii="宋体" w:hAnsi="宋体" w:eastAsia="宋体" w:cs="Times New Roman"/>
          <w:szCs w:val="21"/>
          <w:lang w:val="en-US" w:eastAsia="zh-CN"/>
        </w:rPr>
        <w:t xml:space="preserve">起三天内由投标人运回。</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（3）样品需出现制造厂或投标人的标志、标记。</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（4）样品递交及退还必须出具投标人的授权委托书及被授权委托人身份证。</w:t>
      </w:r>
      <w:r/>
    </w:p>
    <w:p>
      <w:pPr>
        <w:ind w:firstLine="420"/>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（5）样品制作及运输费用由投标人自行承担。</w:t>
      </w:r>
      <w:r/>
    </w:p>
    <w:p>
      <w:pPr>
        <w:rPr>
          <w:rFonts w:hint="eastAsia"/>
          <w:color w:val="auto"/>
          <w:highlight w:val="none"/>
        </w:rPr>
      </w:pPr>
      <w:r>
        <w:rPr>
          <w:rFonts w:hint="eastAsia" w:ascii="宋体" w:hAnsi="宋体" w:eastAsia="宋体" w:cs="宋体"/>
          <w:b/>
          <w:bCs/>
          <w:sz w:val="21"/>
          <w:szCs w:val="21"/>
        </w:rPr>
        <w:br w:type="page" w:clear="all"/>
      </w:r>
      <w:bookmarkEnd w:id="14"/>
      <w:r/>
      <w:bookmarkStart w:id="15" w:name="_Toc8691"/>
      <w:r/>
      <w:bookmarkStart w:id="16" w:name="_Toc24367"/>
      <w:r/>
      <w:bookmarkStart w:id="17" w:name="_Toc15765"/>
      <w:r/>
      <w:bookmarkStart w:id="18" w:name="_Toc9411"/>
      <w:r/>
      <w:r/>
    </w:p>
    <w:p>
      <w:pPr>
        <w:pStyle w:val="901"/>
        <w:numPr>
          <w:ilvl w:val="0"/>
          <w:numId w:val="0"/>
        </w:numPr>
        <w:rPr>
          <w:rFonts w:ascii="仿宋" w:hAnsi="仿宋" w:eastAsia="仿宋"/>
          <w:sz w:val="28"/>
          <w:szCs w:val="28"/>
        </w:rPr>
      </w:pPr>
      <w:r>
        <w:rPr>
          <w:rFonts w:hint="eastAsia"/>
          <w:color w:val="auto"/>
          <w:highlight w:val="none"/>
        </w:rPr>
        <w:t xml:space="preserve">第五章</w:t>
      </w:r>
      <w:r>
        <w:rPr>
          <w:rFonts w:hint="eastAsia" w:ascii="宋体" w:hAnsi="宋体" w:cs="Arial"/>
          <w:color w:val="auto"/>
          <w:highlight w:val="none"/>
          <w:lang w:val="en-US" w:eastAsia="zh-CN"/>
        </w:rPr>
        <w:t xml:space="preserve">合同</w:t>
      </w:r>
      <w:r>
        <w:rPr>
          <w:rFonts w:hint="eastAsia" w:ascii="宋体" w:hAnsi="宋体" w:cs="Arial"/>
          <w:color w:val="auto"/>
          <w:highlight w:val="none"/>
        </w:rPr>
        <w:t xml:space="preserve">条款及格式</w:t>
      </w:r>
      <w:r/>
    </w:p>
    <w:p>
      <w:pPr>
        <w:jc w:val="left"/>
        <w:spacing w:line="52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甲方: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乙方:</w:t>
      </w:r>
      <w:r/>
    </w:p>
    <w:p>
      <w:pPr>
        <w:pStyle w:val="926"/>
        <w:ind w:firstLine="54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甲、乙双方根据项目编号</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的</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采购项目公开招标采购结果及招标文件的要求,经协商一致,达成如下购销合同:</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一、货物及数量</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本合同所提供的货物及数量详见“项目采购需求”。</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二、合同金额</w:t>
      </w:r>
      <w:r/>
    </w:p>
    <w:p>
      <w:pPr>
        <w:pStyle w:val="926"/>
        <w:ind w:firstLine="42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本合同的总金额(大写)为___________元人民币，分项价格详见乙方提交的投标报价明细表。</w:t>
      </w:r>
      <w:r/>
    </w:p>
    <w:p>
      <w:pPr>
        <w:pStyle w:val="926"/>
        <w:ind w:left="-359" w:firstLine="825"/>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三、</w:t>
      </w:r>
      <w:r>
        <w:rPr>
          <w:rFonts w:hint="eastAsia" w:ascii="新宋体" w:hAnsi="新宋体" w:eastAsia="新宋体" w:cs="新宋体"/>
          <w:sz w:val="24"/>
          <w:szCs w:val="24"/>
        </w:rPr>
        <w:t xml:space="preserve">供货时间和地点</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本合同供货时间和地点在招标文件中有明确规定。</w:t>
      </w:r>
      <w:r/>
    </w:p>
    <w:p>
      <w:pPr>
        <w:pStyle w:val="926"/>
        <w:ind w:left="-357"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四、付款</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本合同的付款条件在招标文件中有明确规定。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五、验收</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甲方按招标文件相关要求进行。如需委托第三方验收，第三方是指:</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，验收费用由甲方承担。因乙方交付的货物不符合标准导致甲方重复支出的验收费用，由乙方承担。</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六、履约保证金</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1、乙方应在中标通知书发出之前向采购单位交纳相当于中标总价1%的履约保证金。</w:t>
      </w:r>
      <w:r/>
    </w:p>
    <w:p>
      <w:pPr>
        <w:numPr>
          <w:ilvl w:val="0"/>
          <w:numId w:val="7"/>
        </w:numPr>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5、履约保证金在合同约定期间内不予退还或者应完全有效，履约保证金在项目验收合格后无息退还给乙方。</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七、合同纠纷处理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本合同执行过程中发生纠纷，由甲乙双方协商解决，若协商不成，作如下</w:t>
      </w:r>
      <w:r>
        <w:rPr>
          <w:rFonts w:hint="eastAsia" w:ascii="新宋体" w:hAnsi="新宋体" w:eastAsia="新宋体" w:cs="新宋体"/>
          <w:sz w:val="24"/>
          <w:szCs w:val="24"/>
          <w:u w:val="single"/>
        </w:rPr>
        <w:t xml:space="preserve"> 2</w:t>
      </w:r>
      <w:r>
        <w:rPr>
          <w:rFonts w:hint="eastAsia" w:ascii="新宋体" w:hAnsi="新宋体" w:eastAsia="新宋体" w:cs="新宋体"/>
          <w:sz w:val="24"/>
          <w:szCs w:val="24"/>
        </w:rPr>
        <w:t xml:space="preserve">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1、申请仲裁。选定仲裁机构为淮安仲裁委员会。</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2、提起诉讼。约定由采购人所在地法院管辖。</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八、合同生效及其它</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本合同经甲、乙双方加盖电子签章后生效。如有变动，必须经甲方、乙方协商一致，方可更改。</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九、组成本合同的文件包括</w:t>
      </w:r>
      <w:r/>
    </w:p>
    <w:p>
      <w:pPr>
        <w:ind w:firstLine="48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1、合同格式及条款；</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2、招标文件和乙方的投标文件；</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3、中标通知书；</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4、甲乙双方商定的其他必要文件。上述合同文件内容互为补充，如有不明确，由甲方负责解释。</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pStyle w:val="926"/>
        <w:spacing w:line="600" w:lineRule="exact"/>
        <w:rPr>
          <w:rFonts w:hint="eastAsia" w:ascii="新宋体" w:hAnsi="新宋体" w:eastAsia="新宋体" w:cs="新宋体"/>
          <w:color w:val="ff0000"/>
          <w:sz w:val="24"/>
          <w:szCs w:val="24"/>
        </w:rPr>
      </w:pPr>
      <w:r>
        <w:rPr>
          <w:rFonts w:hint="eastAsia" w:ascii="新宋体" w:hAnsi="新宋体" w:eastAsia="新宋体" w:cs="新宋体"/>
          <w:sz w:val="24"/>
          <w:szCs w:val="24"/>
        </w:rPr>
        <w:t xml:space="preserve">甲 方:                        乙 方:</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单位盖章:                     单位盖章:</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代表签字:                     代表签字:</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签定日期:                     签定日期:</w:t>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jc w:val="center"/>
        <w:spacing w:line="520" w:lineRule="exact"/>
        <w:tabs>
          <w:tab w:val="left" w:pos="1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二、合同条款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1.定义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本合同中下列术语应解释为:</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（2）“合同价”系指根据合同规定，乙方在完全履行合同义务后甲方应支付给乙方的价格。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（3）“货物（含软件及相关服务）”系指乙方按合同要求，须向甲方提供的一切设备、机械、仪表、备件、工具、技术及手册等有关材料。</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（4）“服务”系指根据合同规定乙方承担与供货有关的所有辅助服务，如运输、保险以及其它的服务，如安装、调试、提供技术援助、培训和其他类似的义务。</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（5）“甲方”系指购买货物（含软件及相关服务）的单位。</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（6）“乙方”系指根据合同规定提供货物（含软件及相关服务）和服务的投标人。</w:t>
      </w:r>
      <w:r/>
    </w:p>
    <w:p>
      <w:pPr>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2.技术规范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3.专利权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4.包装要求</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4.2每件包装箱内应附一份详细装箱单和质量合格证。</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5.装运标志</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5.1 乙方应在每一包装箱邻接的四侧用不褪色的油漆以醒目的中文字样做出下列标记: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（1）收货人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（3）装运标志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（4）收货人代号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（5）目的地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（6）货物（含软件及相关服务）名称、品目号和箱号</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（7）毛重／净重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（8）尺寸（长X宽X高，以厘米计）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5.3因缺少装运标志或者装运标志不明确导致货物在运输、装卸过程中产生的损失，乙方应承担相应的过错责任。</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6.付款方式</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6.1本合同以人民币付款。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（1）发票；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（2）制造厂家出具的质量检验证书等；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（3）装箱单；</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（4）验收合格证；</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（5）使用方加盖公章证明货物交付使用合格的验收表。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6.3甲方将按招标文件中规定的付款方式安排付款。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7.伴随服务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7.1乙方应按照国家有关规定和合同中所附的服务承诺提供服务。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7.2除第7.1条规定外，乙方还应提供下列服务: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（1）货物的现场安装和启动监督；</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（2）提供货物组装和维修所需的工具；</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（4）在项目交货现场就货物的安装、启动、运行、维护对甲方人员进行培训。</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7.3伴随服务的费用应含在合同价中，不单独进行支付。</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8.质量保证</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8.3 乙方在收到通知后三十天内应免费维修或更换有缺陷的货物（含软件及相关服务）或部件。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9.检验及安装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9.5 制造厂对所供货物（含软件及相关服务）进行机械运转试验和性能试验时，必须提前通知甲方。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9.6 货物（含软件及相关服务）的安装按招标文件要求进行。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10.索赔</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11.拖延交货</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11.1 乙方应按照合同专用条款中规定的交货期交货和提供服务。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11.2 如果乙方毫无理由地拖延交货，将受到以下制裁:没收履约保证金，加收违约损失赔偿</w:t>
      </w:r>
      <w:r>
        <w:rPr>
          <w:rFonts w:hint="eastAsia" w:ascii="新宋体" w:hAnsi="新宋体" w:eastAsia="新宋体" w:cs="新宋体"/>
          <w:sz w:val="24"/>
          <w:szCs w:val="24"/>
          <w:u w:val="single"/>
        </w:rPr>
        <w:t xml:space="preserve">和／或</w:t>
      </w:r>
      <w:r>
        <w:rPr>
          <w:rFonts w:hint="eastAsia" w:ascii="新宋体" w:hAnsi="新宋体" w:eastAsia="新宋体" w:cs="新宋体"/>
          <w:sz w:val="24"/>
          <w:szCs w:val="24"/>
        </w:rPr>
        <w:t xml:space="preserve">终止合同。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12.误期赔偿</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13.不可抗力</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14.税费</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14.1中国政府根据现行税法规定对甲方征收的与本合同有关的一切税费，均由甲方负担。</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14.2中国政府根据现行税法规定对乙方征收的与本合同有关的一切税费均由乙方负担。</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15.1乙方应在中标通知书发出之前向采购单位交纳相当于中标总价%的履约保证金。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15.2乙方提供的履约保证金可以是人民币形式（银行本票、汇票、支票、电汇），或银行保函、担保公司的保证担保或保险公司的保证保险等多种形式。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15.5履约保证金在合同约定期间内不予退还或者应完全有效，履约保证金在项目验收合格后无息退还给乙方。</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16.仲裁</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16.2 仲裁裁决应为终局裁决，对双方均具有约束力。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16.3 仲裁费除仲裁机构另有裁决外应由败诉方负担。</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16.4 在仲裁期间，除正在进行仲裁的部分外，合同其它部分继续执行。</w:t>
      </w:r>
      <w:r>
        <w:rPr>
          <w:rFonts w:hint="eastAsia" w:ascii="新宋体" w:hAnsi="新宋体" w:eastAsia="新宋体" w:cs="新宋体"/>
          <w:b/>
          <w:sz w:val="24"/>
          <w:szCs w:val="24"/>
        </w:rPr>
        <w:t xml:space="preserve">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17.违约终止合同</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（1）如果乙方未能在合同规定的期限或甲方同意延期的限期内提供全部或部分货物（含软件及相关服务）；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（2）如果乙方未能履行合同规定的其它义务。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18.破产中止合同</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18.1如果乙方破产或无清偿能力，甲方和见证方可在任何时候以书面形式通知乙方中止合同而不给乙方补偿。该中止合同将不损害或影响甲方和使用方已经采取或将要采取的任何行动或补救措施的权力。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19.转让</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19.1 除甲方和见证方事先书面同意外，乙方不得部分转让或全部转让其应履行的合同义务。</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20.合同生效及其它</w:t>
      </w:r>
      <w:r/>
    </w:p>
    <w:p>
      <w:pPr>
        <w:spacing w:line="520" w:lineRule="exact"/>
        <w:rPr>
          <w:rFonts w:hint="eastAsia" w:ascii="新宋体" w:hAnsi="新宋体" w:eastAsia="新宋体" w:cs="新宋体"/>
          <w:b/>
          <w:color w:val="000000"/>
          <w:sz w:val="24"/>
          <w:szCs w:val="24"/>
        </w:rPr>
      </w:pPr>
      <w:r>
        <w:rPr>
          <w:rFonts w:hint="eastAsia" w:ascii="新宋体" w:hAnsi="新宋体" w:eastAsia="新宋体" w:cs="新宋体"/>
          <w:sz w:val="24"/>
          <w:szCs w:val="24"/>
        </w:rPr>
        <w:t xml:space="preserve">     20.1</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  </w:t>
      </w:r>
      <w:r>
        <w:rPr>
          <w:rFonts w:hint="eastAsia" w:ascii="新宋体" w:hAnsi="新宋体" w:eastAsia="新宋体" w:cs="新宋体"/>
          <w:sz w:val="24"/>
          <w:szCs w:val="24"/>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20.2本合同经甲、乙双方加盖电子签章后生效。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20.3合同货物交付使用后所发生的合同纠纷，甲方与乙方进行处理。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20.4如需修改或补充合同内容，应经乙方、甲方协商，签署书面修改或补充协议。该协议将作为本合同不可分割的一部分。</w:t>
      </w:r>
      <w:r/>
    </w:p>
    <w:p>
      <w:pPr>
        <w:pStyle w:val="901"/>
        <w:numPr>
          <w:ilvl w:val="0"/>
          <w:numId w:val="0"/>
        </w:numPr>
        <w:ind w:firstLine="482"/>
        <w:jc w:val="both"/>
        <w:rPr>
          <w:rFonts w:hint="eastAsia" w:ascii="宋体" w:hAnsi="宋体" w:cs="Arial"/>
          <w:color w:val="auto"/>
          <w:highlight w:val="none"/>
        </w:rPr>
      </w:pPr>
      <w:r>
        <w:rPr>
          <w:rFonts w:hint="eastAsia" w:ascii="新宋体" w:hAnsi="新宋体" w:eastAsia="新宋体" w:cs="新宋体"/>
          <w:sz w:val="24"/>
          <w:szCs w:val="24"/>
        </w:rPr>
        <w:t xml:space="preserve">20.5本合同应按照中华人民共和国的现行法律进行解释。</w:t>
      </w:r>
      <w:bookmarkEnd w:id="15"/>
      <w:r/>
      <w:bookmarkEnd w:id="16"/>
      <w:r/>
      <w:bookmarkEnd w:id="17"/>
      <w:r/>
      <w:r/>
    </w:p>
    <w:p>
      <w:pPr>
        <w:rPr>
          <w:rFonts w:hint="eastAsia"/>
        </w:rPr>
      </w:pPr>
      <w:r>
        <w:rPr>
          <w:rFonts w:hint="eastAsia"/>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pStyle w:val="901"/>
        <w:numPr>
          <w:ilvl w:val="0"/>
          <w:numId w:val="0"/>
        </w:numPr>
        <w:spacing w:line="578" w:lineRule="auto"/>
        <w:rPr>
          <w:rFonts w:hint="eastAsia" w:ascii="Arial" w:hAnsi="Arial" w:cs="Arial"/>
          <w:color w:val="auto"/>
          <w:highlight w:val="none"/>
        </w:rPr>
      </w:pPr>
      <w:r/>
      <w:bookmarkStart w:id="19" w:name="_Toc16360"/>
      <w:r/>
      <w:r/>
    </w:p>
    <w:p>
      <w:pPr>
        <w:pStyle w:val="901"/>
        <w:numPr>
          <w:ilvl w:val="0"/>
          <w:numId w:val="0"/>
        </w:numPr>
        <w:spacing w:line="578" w:lineRule="auto"/>
        <w:rPr>
          <w:rFonts w:ascii="Arial" w:hAnsi="Arial" w:cs="Arial"/>
          <w:color w:val="auto"/>
          <w:highlight w:val="none"/>
        </w:rPr>
      </w:pPr>
      <w:r>
        <w:rPr>
          <w:rFonts w:hint="eastAsia" w:ascii="Arial" w:hAnsi="Arial" w:cs="Arial"/>
          <w:color w:val="auto"/>
          <w:highlight w:val="none"/>
        </w:rPr>
        <w:t xml:space="preserve">第六章附件</w:t>
      </w:r>
      <w:bookmarkEnd w:id="18"/>
      <w:r/>
      <w:bookmarkEnd w:id="19"/>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bookmarkStart w:id="20" w:name="_Toc14955_WPSOffice_Level1"/>
      <w:r>
        <w:rPr>
          <w:rFonts w:hint="eastAsia" w:ascii="Arial" w:hAnsi="Arial" w:eastAsia="黑体" w:cs="Arial"/>
          <w:color w:val="auto"/>
          <w:sz w:val="44"/>
          <w:szCs w:val="44"/>
          <w:highlight w:val="none"/>
        </w:rPr>
        <w:t xml:space="preserve">投标文件</w:t>
      </w:r>
      <w:bookmarkEnd w:id="20"/>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ind w:firstLine="361"/>
        <w:rPr>
          <w:rFonts w:ascii="宋体" w:hAnsi="宋体" w:cs="宋体"/>
          <w:b/>
          <w:bCs/>
          <w:color w:val="auto"/>
          <w:sz w:val="36"/>
          <w:szCs w:val="36"/>
          <w:highlight w:val="none"/>
        </w:rPr>
      </w:pPr>
      <w:r/>
      <w:bookmarkStart w:id="21" w:name="_Toc29864_WPSOffice_Level1"/>
      <w:r>
        <w:rPr>
          <w:rFonts w:hint="eastAsia" w:ascii="宋体" w:hAnsi="宋体" w:cs="宋体"/>
          <w:b/>
          <w:bCs/>
          <w:color w:val="auto"/>
          <w:sz w:val="36"/>
          <w:szCs w:val="36"/>
          <w:highlight w:val="none"/>
        </w:rPr>
        <w:t xml:space="preserve">项目名称：</w:t>
      </w:r>
      <w:bookmarkEnd w:id="21"/>
      <w:r/>
      <w:r/>
    </w:p>
    <w:p>
      <w:pPr>
        <w:pStyle w:val="959"/>
        <w:rPr>
          <w:rFonts w:ascii="宋体" w:hAnsi="宋体" w:cs="宋体"/>
          <w:b/>
          <w:bCs/>
          <w:color w:val="auto"/>
          <w:sz w:val="36"/>
          <w:szCs w:val="36"/>
          <w:highlight w:val="none"/>
        </w:rPr>
      </w:pPr>
      <w:r/>
      <w:bookmarkStart w:id="22" w:name="_Toc7236_WPSOffice_Level1"/>
      <w:r>
        <w:rPr>
          <w:rFonts w:hint="eastAsia" w:ascii="宋体" w:hAnsi="宋体" w:cs="宋体"/>
          <w:b/>
          <w:bCs/>
          <w:color w:val="auto"/>
          <w:sz w:val="36"/>
          <w:szCs w:val="36"/>
          <w:highlight w:val="none"/>
        </w:rPr>
        <w:t xml:space="preserve">招标编号：</w:t>
      </w:r>
      <w:bookmarkEnd w:id="22"/>
      <w:r/>
      <w:r/>
    </w:p>
    <w:p>
      <w:pPr>
        <w:pStyle w:val="959"/>
        <w:rPr>
          <w:rFonts w:ascii="宋体" w:hAnsi="宋体" w:cs="宋体"/>
          <w:b/>
          <w:bCs/>
          <w:color w:val="auto"/>
          <w:sz w:val="36"/>
          <w:szCs w:val="36"/>
          <w:highlight w:val="none"/>
          <w:u w:val="single"/>
        </w:rPr>
      </w:pPr>
      <w:r/>
      <w:bookmarkStart w:id="23" w:name="_Toc12525_WPSOffice_Level1"/>
      <w:r>
        <w:rPr>
          <w:rFonts w:ascii="宋体" w:hAnsi="宋体" w:cs="宋体"/>
          <w:b/>
          <w:bCs/>
          <w:color w:val="auto"/>
          <w:sz w:val="36"/>
          <w:szCs w:val="36"/>
          <w:highlight w:val="none"/>
        </w:rPr>
        <w:t xml:space="preserve">投标人名称 ：</w:t>
      </w:r>
      <w:r>
        <w:rPr>
          <w:rFonts w:ascii="宋体" w:hAnsi="宋体" w:cs="宋体"/>
          <w:b/>
          <w:bCs/>
          <w:color w:val="auto"/>
          <w:sz w:val="36"/>
          <w:szCs w:val="36"/>
          <w:highlight w:val="none"/>
          <w:u w:val="single"/>
        </w:rPr>
        <w:t xml:space="preserve">（加盖CA电子公章）</w:t>
      </w:r>
      <w:bookmarkEnd w:id="23"/>
      <w:r/>
      <w:r/>
    </w:p>
    <w:p>
      <w:pPr>
        <w:pStyle w:val="959"/>
        <w:rPr>
          <w:rFonts w:ascii="宋体" w:hAnsi="宋体" w:cs="宋体"/>
          <w:b/>
          <w:bCs/>
          <w:color w:val="auto"/>
          <w:sz w:val="36"/>
          <w:szCs w:val="36"/>
          <w:highlight w:val="none"/>
          <w:u w:val="single"/>
        </w:rPr>
      </w:pPr>
      <w:r/>
      <w:bookmarkStart w:id="24" w:name="_Toc25897_WPSOffice_Level1"/>
      <w:r>
        <w:rPr>
          <w:rFonts w:hint="eastAsia" w:ascii="宋体" w:hAnsi="宋体" w:cs="宋体"/>
          <w:b/>
          <w:bCs/>
          <w:color w:val="auto"/>
          <w:sz w:val="36"/>
          <w:szCs w:val="36"/>
          <w:highlight w:val="none"/>
        </w:rPr>
        <w:t xml:space="preserve">日</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bookmarkEnd w:id="24"/>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spacing w:line="440" w:lineRule="exact"/>
        <w:rPr>
          <w:rFonts w:ascii="Arial" w:hAnsi="Arial" w:cs="Arial"/>
          <w:color w:val="auto"/>
          <w:szCs w:val="21"/>
          <w:highlight w:val="none"/>
        </w:rPr>
      </w:pPr>
      <w:r>
        <w:rPr>
          <w:rFonts w:ascii="Arial" w:hAnsi="Arial" w:eastAsia="黑体" w:cs="Arial"/>
          <w:color w:val="auto"/>
          <w:sz w:val="28"/>
          <w:szCs w:val="28"/>
          <w:highlight w:val="none"/>
        </w:rPr>
        <w:br w:type="page" w:clear="all"/>
      </w:r>
      <w:bookmarkStart w:id="25" w:name="_Toc29630_WPSOffice_Level1"/>
      <w:r>
        <w:rPr>
          <w:rFonts w:ascii="Arial" w:hAnsi="Arial" w:cs="Arial"/>
          <w:b/>
          <w:bCs/>
          <w:color w:val="auto"/>
          <w:szCs w:val="21"/>
          <w:highlight w:val="none"/>
        </w:rPr>
        <w:t xml:space="preserve">附件一、投标申请及声明格式</w:t>
      </w:r>
      <w:bookmarkEnd w:id="25"/>
      <w:r/>
      <w:r/>
    </w:p>
    <w:p>
      <w:pPr>
        <w:jc w:val="center"/>
        <w:spacing w:line="360" w:lineRule="auto"/>
        <w:shd w:val="clear" w:color="auto" w:fill="ffffff"/>
        <w:widowControl/>
        <w:rPr>
          <w:rFonts w:ascii="Arial" w:hAnsi="Arial" w:cs="Arial"/>
          <w:b/>
          <w:color w:val="auto"/>
          <w:szCs w:val="21"/>
          <w:highlight w:val="none"/>
        </w:rPr>
      </w:pPr>
      <w:r/>
      <w:bookmarkStart w:id="26" w:name="_Toc32156_WPSOffice_Level2"/>
      <w:r>
        <w:rPr>
          <w:rFonts w:ascii="Arial" w:hAnsi="Arial" w:cs="Arial"/>
          <w:b/>
          <w:color w:val="auto"/>
          <w:sz w:val="36"/>
          <w:szCs w:val="36"/>
          <w:highlight w:val="none"/>
        </w:rPr>
        <w:t xml:space="preserve">投标申请及声明</w:t>
      </w:r>
      <w:bookmarkEnd w:id="26"/>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(姓名和职务)代表投标人</w:t>
      </w:r>
      <w:r>
        <w:rPr>
          <w:rFonts w:ascii="Arial" w:hAnsi="Arial" w:cs="Arial"/>
          <w:color w:val="auto"/>
          <w:szCs w:val="21"/>
          <w:highlight w:val="none"/>
          <w:u w:val="single"/>
        </w:rPr>
        <w:t xml:space="preserve">     </w:t>
      </w:r>
      <w:r>
        <w:rPr>
          <w:rFonts w:ascii="Arial" w:hAnsi="Arial" w:cs="Arial"/>
          <w:color w:val="auto"/>
          <w:szCs w:val="21"/>
          <w:highlight w:val="none"/>
        </w:rPr>
        <w:t xml:space="preserve">（投标人名称），提交投标文件。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2、按招标要求，我们的投标价</w:t>
      </w:r>
      <w:r>
        <w:rPr>
          <w:rFonts w:hint="eastAsia" w:ascii="Arial" w:hAnsi="Arial" w:cs="Arial"/>
          <w:color w:val="auto"/>
          <w:szCs w:val="21"/>
          <w:highlight w:val="none"/>
        </w:rPr>
        <w:t xml:space="preserve">详见开标一览表</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3、本项目交付时间为：</w:t>
      </w:r>
      <w:r>
        <w:rPr>
          <w:rFonts w:ascii="Arial" w:hAnsi="Arial" w:cs="Arial"/>
          <w:color w:val="auto"/>
          <w:szCs w:val="21"/>
          <w:highlight w:val="none"/>
          <w:u w:val="single"/>
        </w:rPr>
        <w:t xml:space="preserve">  满足招标文件要求  </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6</w:t>
      </w:r>
      <w:r>
        <w:rPr>
          <w:rFonts w:ascii="Arial" w:hAnsi="Arial" w:cs="Arial"/>
          <w:color w:val="auto"/>
          <w:szCs w:val="21"/>
          <w:highlight w:val="none"/>
        </w:rPr>
        <w:t xml:space="preserve">、一旦我方中标，我方将根据招标文件的规定</w:t>
      </w:r>
      <w:r>
        <w:rPr>
          <w:rFonts w:hint="eastAsia" w:ascii="Arial" w:hAnsi="Arial" w:cs="Arial"/>
          <w:color w:val="auto"/>
          <w:szCs w:val="21"/>
          <w:highlight w:val="none"/>
        </w:rPr>
        <w:t xml:space="preserve">及我方投标承诺</w:t>
      </w:r>
      <w:r>
        <w:rPr>
          <w:rFonts w:ascii="Arial" w:hAnsi="Arial" w:cs="Arial"/>
          <w:color w:val="auto"/>
          <w:szCs w:val="21"/>
          <w:highlight w:val="none"/>
        </w:rPr>
        <w:t xml:space="preserve">严格履行合同。</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w:t>
      </w:r>
      <w:r>
        <w:rPr>
          <w:rFonts w:ascii="Arial" w:hAnsi="Arial" w:cs="Arial"/>
          <w:color w:val="auto"/>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27" w:name="_Toc83_WPSOffice_Level1"/>
      <w:r>
        <w:rPr>
          <w:rFonts w:ascii="Arial" w:hAnsi="Arial" w:cs="Arial"/>
          <w:b/>
          <w:bCs/>
          <w:color w:val="auto"/>
          <w:szCs w:val="21"/>
          <w:highlight w:val="none"/>
        </w:rPr>
        <w:t xml:space="preserve">附件二、</w:t>
      </w:r>
      <w:r>
        <w:rPr>
          <w:rFonts w:hint="eastAsia" w:ascii="Arial" w:hAnsi="Arial" w:cs="Arial"/>
          <w:b/>
          <w:bCs/>
          <w:color w:val="auto"/>
          <w:szCs w:val="21"/>
          <w:highlight w:val="none"/>
        </w:rPr>
        <w:t xml:space="preserve">法定代表人授权书</w:t>
      </w:r>
      <w:r>
        <w:rPr>
          <w:rFonts w:ascii="Arial" w:hAnsi="Arial" w:cs="Arial"/>
          <w:b/>
          <w:bCs/>
          <w:color w:val="auto"/>
          <w:szCs w:val="21"/>
          <w:highlight w:val="none"/>
        </w:rPr>
        <w:t xml:space="preserve">格式</w:t>
      </w:r>
      <w:bookmarkEnd w:id="27"/>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jc w:val="center"/>
        <w:spacing w:line="360" w:lineRule="auto"/>
        <w:shd w:val="clear" w:color="auto" w:fill="ffffff"/>
        <w:widowControl/>
        <w:rPr>
          <w:rFonts w:ascii="Arial" w:hAnsi="Arial" w:cs="Arial"/>
          <w:b/>
          <w:bCs/>
          <w:color w:val="auto"/>
          <w:szCs w:val="21"/>
          <w:highlight w:val="none"/>
        </w:rPr>
      </w:pPr>
      <w:r/>
      <w:bookmarkStart w:id="28" w:name="_Toc17494_WPSOffice_Level2"/>
      <w:r/>
      <w:bookmarkStart w:id="29" w:name="_Toc26810"/>
      <w:r>
        <w:rPr>
          <w:rFonts w:hint="eastAsia" w:ascii="Arial" w:hAnsi="Arial" w:cs="Arial"/>
          <w:b/>
          <w:bCs/>
          <w:color w:val="auto"/>
          <w:szCs w:val="21"/>
          <w:highlight w:val="none"/>
        </w:rPr>
        <w:t xml:space="preserve">法人授权书</w:t>
      </w:r>
      <w:bookmarkEnd w:id="28"/>
      <w:r/>
      <w:r/>
    </w:p>
    <w:p>
      <w:pPr>
        <w:pStyle w:val="1254"/>
        <w:ind w:firstLine="480"/>
        <w:spacing w:line="420" w:lineRule="exact"/>
        <w:tabs>
          <w:tab w:val="left" w:pos="360" w:leader="none"/>
        </w:tabs>
        <w:rPr>
          <w:color w:val="auto"/>
          <w:sz w:val="24"/>
          <w:szCs w:val="24"/>
          <w:highlight w:val="none"/>
          <w:lang w:eastAsia="zh-CN"/>
        </w:rPr>
      </w:pPr>
      <w:r>
        <w:rPr>
          <w:color w:val="auto"/>
          <w:sz w:val="24"/>
          <w:szCs w:val="24"/>
          <w:highlight w:val="none"/>
          <w:lang w:eastAsia="zh-CN"/>
        </w:rPr>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本授权书声明：（投标人名称）授权（被授权人姓名）作为我方参加编号为项目采购活动的合法代理人，以本单位名义全权处理一切与该项目采购有关的事务。</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本授权书自______年____月____日起生效，特此声明。</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被授权人身份证号码：</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被授权人联系电话：（手机）</w:t>
      </w:r>
      <w:r/>
    </w:p>
    <w:p>
      <w:pPr>
        <w:pStyle w:val="1254"/>
        <w:ind w:firstLine="468"/>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单位名称：</w:t>
      </w:r>
      <w:r>
        <w:rPr>
          <w:rFonts w:hint="eastAsia" w:ascii="宋体" w:hAnsi="宋体" w:cs="宋体"/>
          <w:color w:val="auto"/>
          <w:sz w:val="24"/>
          <w:szCs w:val="24"/>
          <w:highlight w:val="none"/>
          <w:lang w:eastAsia="zh-CN"/>
        </w:rPr>
        <w:t xml:space="preserve">（加盖电子公章）</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单位地址：</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日    期：</w:t>
      </w:r>
      <w:bookmarkStart w:id="30" w:name="_格式3__银行出具的资信证明"/>
      <w:r/>
      <w:bookmarkEnd w:id="30"/>
      <w:r/>
      <w:bookmarkStart w:id="31" w:name="_Hlt26955070"/>
      <w:r/>
      <w:bookmarkEnd w:id="31"/>
      <w:r/>
      <w:bookmarkStart w:id="32" w:name="_Hlt26671380"/>
      <w:r/>
      <w:bookmarkEnd w:id="32"/>
      <w:r/>
      <w:r/>
    </w:p>
    <w:p>
      <w:pPr>
        <w:rPr>
          <w:rFonts w:ascii="Arial" w:hAnsi="Arial" w:cs="Arial"/>
          <w:b/>
          <w:bCs/>
          <w:color w:val="auto"/>
          <w:highlight w:val="none"/>
          <w:lang w:val="zh-CN"/>
        </w:rPr>
      </w:pPr>
      <w:r>
        <w:rPr>
          <w:rFonts w:ascii="Arial" w:hAnsi="Arial" w:cs="Arial"/>
          <w:b/>
          <w:bCs/>
          <w:color w:val="auto"/>
          <w:szCs w:val="21"/>
          <w:highlight w:val="none"/>
          <w:lang w:val="zh-CN"/>
        </w:rPr>
        <w:br w:type="page" w:clear="all"/>
      </w:r>
      <w:bookmarkEnd w:id="29"/>
      <w:r/>
      <w:bookmarkStart w:id="33" w:name="_Toc12264"/>
      <w:r/>
      <w:r/>
    </w:p>
    <w:p>
      <w:pPr>
        <w:spacing w:line="360" w:lineRule="auto"/>
        <w:shd w:val="clear" w:color="auto" w:fill="ffffff"/>
        <w:widowControl/>
        <w:rPr>
          <w:rFonts w:ascii="Arial" w:hAnsi="Arial" w:eastAsia="宋体" w:cs="Arial"/>
          <w:b/>
          <w:bCs/>
          <w:color w:val="auto"/>
          <w:szCs w:val="21"/>
          <w:highlight w:val="none"/>
        </w:rPr>
      </w:pPr>
      <w:r/>
      <w:bookmarkStart w:id="34" w:name="_Toc30324_WPSOffice_Level2"/>
      <w:r>
        <w:rPr>
          <w:rFonts w:hint="eastAsia" w:ascii="Arial" w:hAnsi="Arial" w:eastAsia="宋体" w:cs="Arial"/>
          <w:b/>
          <w:bCs/>
          <w:color w:val="auto"/>
          <w:szCs w:val="21"/>
          <w:highlight w:val="none"/>
          <w:lang w:val="en-US" w:eastAsia="zh-CN"/>
        </w:rPr>
        <w:t xml:space="preserve">附件3</w:t>
      </w:r>
      <w:r>
        <w:rPr>
          <w:rFonts w:ascii="Arial" w:hAnsi="Arial" w:eastAsia="宋体" w:cs="Arial"/>
          <w:b/>
          <w:bCs/>
          <w:color w:val="auto"/>
          <w:szCs w:val="21"/>
          <w:highlight w:val="none"/>
        </w:rPr>
        <w:t xml:space="preserve">开标一览表</w:t>
      </w:r>
      <w:bookmarkEnd w:id="34"/>
      <w:r/>
      <w:r/>
    </w:p>
    <w:p>
      <w:pPr>
        <w:jc w:val="center"/>
        <w:rPr>
          <w:rFonts w:ascii="Arial" w:hAnsi="Arial" w:cs="Arial"/>
          <w:b/>
          <w:sz w:val="36"/>
          <w:szCs w:val="36"/>
        </w:rPr>
      </w:pPr>
      <w:r/>
      <w:bookmarkStart w:id="35" w:name="_Toc2695"/>
      <w:r/>
      <w:bookmarkStart w:id="36" w:name="_Toc10701"/>
      <w:r/>
      <w:r/>
    </w:p>
    <w:p>
      <w:pPr>
        <w:jc w:val="center"/>
        <w:spacing w:line="360" w:lineRule="auto"/>
        <w:shd w:val="clear" w:color="auto" w:fill="ffffff"/>
        <w:widowControl/>
        <w:rPr>
          <w:rFonts w:ascii="Arial" w:hAnsi="Arial" w:cs="Arial"/>
          <w:sz w:val="24"/>
        </w:rPr>
      </w:pPr>
      <w:r>
        <w:rPr>
          <w:rFonts w:ascii="Arial" w:hAnsi="Arial" w:cs="Arial"/>
          <w:lang w:val="zh-CN"/>
        </w:rPr>
        <w:t xml:space="preserve">               </w:t>
      </w:r>
      <w:r/>
    </w:p>
    <w:p>
      <w:pPr>
        <w:pStyle w:val="914"/>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911"/>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投标总价</w:t>
            </w:r>
            <w:r/>
          </w:p>
        </w:tc>
        <w:tc>
          <w:tcPr>
            <w:tcW w:w="14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合计</w:t>
            </w:r>
            <w:r/>
          </w:p>
        </w:tc>
        <w:tc>
          <w:tcPr>
            <w:tcW w:w="6156" w:type="dxa"/>
            <w:vAlign w:val="center"/>
            <w:textDirection w:val="lrTb"/>
            <w:noWrap w:val="false"/>
          </w:tcPr>
          <w:p>
            <w:pPr>
              <w:pStyle w:val="914"/>
              <w:ind w:firstLine="0"/>
              <w:spacing w:line="440" w:lineRule="exact"/>
              <w:rPr>
                <w:rFonts w:ascii="宋体" w:hAnsi="宋体" w:cs="Arial"/>
                <w:bCs/>
                <w:sz w:val="21"/>
                <w:szCs w:val="21"/>
              </w:rPr>
            </w:pPr>
            <w:r>
              <w:rPr>
                <w:rFonts w:ascii="宋体" w:hAnsi="宋体" w:cs="Arial"/>
                <w:sz w:val="21"/>
                <w:szCs w:val="21"/>
              </w:rPr>
              <w:t xml:space="preserve">小写：人民币          </w:t>
            </w:r>
            <w:r>
              <w:rPr>
                <w:rFonts w:hint="eastAsia" w:ascii="宋体" w:hAnsi="宋体" w:cs="Arial"/>
                <w:sz w:val="21"/>
                <w:szCs w:val="21"/>
              </w:rPr>
              <w:t xml:space="preserve">  元</w:t>
            </w:r>
            <w:r>
              <w:rPr>
                <w:rFonts w:ascii="宋体" w:hAnsi="宋体" w:cs="Arial"/>
                <w:sz w:val="21"/>
                <w:szCs w:val="21"/>
              </w:rPr>
              <w:t xml:space="preserve">    </w:t>
            </w:r>
            <w:r/>
          </w:p>
          <w:p>
            <w:pPr>
              <w:pStyle w:val="914"/>
              <w:ind w:firstLine="474"/>
              <w:spacing w:line="440" w:lineRule="exact"/>
              <w:rPr>
                <w:rFonts w:ascii="宋体" w:hAnsi="宋体" w:cs="Arial"/>
                <w:sz w:val="21"/>
                <w:szCs w:val="21"/>
              </w:rPr>
            </w:pPr>
            <w:r>
              <w:rPr>
                <w:rFonts w:ascii="宋体" w:hAnsi="宋体" w:cs="Arial"/>
                <w:sz w:val="21"/>
                <w:szCs w:val="21"/>
              </w:rPr>
            </w:r>
            <w:r/>
          </w:p>
          <w:p>
            <w:pPr>
              <w:pStyle w:val="914"/>
              <w:ind w:firstLine="0"/>
              <w:spacing w:line="440" w:lineRule="exact"/>
              <w:rPr>
                <w:rFonts w:ascii="宋体" w:hAnsi="宋体" w:cs="Arial"/>
                <w:sz w:val="21"/>
                <w:szCs w:val="21"/>
              </w:rPr>
            </w:pPr>
            <w:r>
              <w:rPr>
                <w:rFonts w:ascii="宋体" w:hAnsi="宋体" w:cs="Arial"/>
                <w:sz w:val="21"/>
                <w:szCs w:val="21"/>
              </w:rPr>
              <w:t xml:space="preserve">大写：人民币                     </w:t>
            </w:r>
            <w:r/>
          </w:p>
        </w:tc>
      </w:tr>
      <w:tr>
        <w:trPr>
          <w:trHeight w:val="829"/>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服务时间/交付使用时间</w:t>
            </w:r>
            <w:r/>
          </w:p>
        </w:tc>
        <w:tc>
          <w:tcPr>
            <w:gridSpan w:val="2"/>
            <w:tcW w:w="7625" w:type="dxa"/>
            <w:vAlign w:val="center"/>
            <w:textDirection w:val="lrTb"/>
            <w:noWrap w:val="false"/>
          </w:tcPr>
          <w:p>
            <w:pPr>
              <w:pStyle w:val="914"/>
              <w:ind w:firstLine="474"/>
              <w:spacing w:line="440" w:lineRule="exact"/>
              <w:tabs>
                <w:tab w:val="left" w:pos="3624" w:leader="none"/>
              </w:tabs>
              <w:rPr>
                <w:rFonts w:ascii="宋体" w:hAnsi="宋体" w:cs="Arial"/>
                <w:sz w:val="21"/>
                <w:szCs w:val="21"/>
                <w:u w:val="single"/>
              </w:rPr>
            </w:pPr>
            <w:r>
              <w:rPr>
                <w:rFonts w:ascii="宋体" w:hAnsi="宋体" w:cs="Arial"/>
                <w:sz w:val="21"/>
                <w:szCs w:val="21"/>
                <w:u w:val="single"/>
              </w:rPr>
              <w:t xml:space="preserve">满足招标文件要求。</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投标标的是否全部由小微企业（含视同小微企业）提供</w:t>
            </w:r>
            <w:r/>
          </w:p>
        </w:tc>
        <w:tc>
          <w:tcPr>
            <w:gridSpan w:val="2"/>
            <w:tcW w:w="7625" w:type="dxa"/>
            <w:vAlign w:val="center"/>
            <w:textDirection w:val="lrTb"/>
            <w:noWrap w:val="false"/>
          </w:tcPr>
          <w:p>
            <w:pPr>
              <w:pStyle w:val="914"/>
              <w:ind w:firstLine="474"/>
              <w:rPr>
                <w:rFonts w:ascii="宋体" w:hAnsi="宋体" w:cs="Arial"/>
                <w:sz w:val="21"/>
                <w:szCs w:val="21"/>
              </w:rPr>
            </w:pP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备注</w:t>
            </w:r>
            <w:r/>
          </w:p>
        </w:tc>
        <w:tc>
          <w:tcPr>
            <w:gridSpan w:val="2"/>
            <w:tcW w:w="7625" w:type="dxa"/>
            <w:vAlign w:val="center"/>
            <w:textDirection w:val="lrTb"/>
            <w:noWrap w:val="false"/>
          </w:tcPr>
          <w:p>
            <w:pPr>
              <w:pStyle w:val="914"/>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8"/>
        </w:num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p>
    <w:p>
      <w:pPr>
        <w:ind w:firstLine="420"/>
        <w:jc w:val="left"/>
        <w:spacing w:line="360" w:lineRule="auto"/>
        <w:shd w:val="clear" w:color="auto" w:fill="ffffff"/>
        <w:widowControl/>
        <w:rPr>
          <w:b/>
          <w:bCs/>
          <w:szCs w:val="21"/>
        </w:rPr>
      </w:pPr>
      <w:r>
        <w:rPr>
          <w:rFonts w:ascii="Arial" w:hAnsi="Arial" w:cs="Arial"/>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bookmarkEnd w:id="35"/>
      <w:r/>
      <w:bookmarkEnd w:id="36"/>
      <w:r/>
      <w:r/>
    </w:p>
    <w:p>
      <w:pPr>
        <w:jc w:val="left"/>
        <w:spacing w:line="360" w:lineRule="auto"/>
        <w:shd w:val="clear" w:color="auto" w:fill="ffffff"/>
        <w:widowControl/>
        <w:rPr>
          <w:rFonts w:ascii="Arial" w:hAnsi="Arial" w:cs="Arial"/>
          <w:b/>
          <w:bCs/>
          <w:szCs w:val="21"/>
          <w:lang w:val="zh-CN"/>
        </w:rPr>
      </w:pPr>
      <w:r>
        <w:rPr>
          <w:rFonts w:hint="eastAsia" w:ascii="Arial" w:hAnsi="Arial" w:cs="Arial"/>
          <w:b/>
          <w:bCs/>
          <w:szCs w:val="21"/>
        </w:rPr>
        <w:t xml:space="preserve">附表</w:t>
      </w:r>
      <w:r>
        <w:rPr>
          <w:rFonts w:hint="eastAsia" w:ascii="Arial" w:hAnsi="Arial" w:cs="Arial"/>
          <w:b/>
          <w:bCs/>
          <w:szCs w:val="21"/>
          <w:lang w:val="zh-CN"/>
        </w:rPr>
        <w:t xml:space="preserve">——</w:t>
      </w:r>
      <w:r>
        <w:rPr>
          <w:rFonts w:ascii="Arial" w:hAnsi="Arial" w:cs="Arial"/>
          <w:b/>
          <w:bCs/>
          <w:szCs w:val="21"/>
          <w:lang w:val="zh-CN"/>
        </w:rPr>
        <w:t xml:space="preserve">分项报价表格式</w:t>
      </w:r>
      <w:r/>
    </w:p>
    <w:p>
      <w:pPr>
        <w:jc w:val="center"/>
        <w:spacing w:line="360" w:lineRule="auto"/>
        <w:shd w:val="clear" w:color="auto" w:fill="ffffff"/>
        <w:widowControl/>
        <w:rPr>
          <w:rFonts w:ascii="Arial" w:hAnsi="Arial" w:cs="Arial"/>
          <w:b/>
          <w:bCs/>
          <w:color w:val="auto"/>
          <w:szCs w:val="21"/>
          <w:highlight w:val="none"/>
          <w:lang w:val="zh-CN"/>
        </w:rPr>
      </w:pPr>
      <w:r>
        <w:rPr>
          <w:rFonts w:ascii="Arial" w:hAnsi="Arial" w:cs="Arial"/>
          <w:b/>
          <w:sz w:val="36"/>
          <w:szCs w:val="36"/>
        </w:rPr>
        <w:t xml:space="preserve">分项报价表</w:t>
      </w:r>
      <w:r/>
    </w:p>
    <w:p>
      <w:pPr>
        <w:pStyle w:val="970"/>
        <w:ind w:left="0" w:firstLine="0"/>
        <w:rPr>
          <w:rFonts w:hint="eastAsia" w:ascii="Arial" w:hAnsi="Arial" w:cs="Arial"/>
          <w:color w:val="auto"/>
          <w:highlight w:val="none"/>
          <w:lang w:val="en-US" w:eastAsia="zh-CN"/>
        </w:rPr>
      </w:pPr>
      <w:r>
        <w:rPr>
          <w:rFonts w:hint="eastAsia" w:ascii="Arial" w:hAnsi="Arial" w:cs="Arial"/>
          <w:color w:val="auto"/>
          <w:highlight w:val="none"/>
          <w:lang w:val="en-US" w:eastAsia="zh-CN"/>
        </w:rPr>
      </w:r>
      <w:r/>
    </w:p>
    <w:tbl>
      <w:tblPr>
        <w:tblStyle w:val="91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2"/>
        <w:gridCol w:w="1001"/>
        <w:gridCol w:w="1123"/>
        <w:gridCol w:w="709"/>
        <w:gridCol w:w="708"/>
        <w:gridCol w:w="656"/>
        <w:gridCol w:w="811"/>
        <w:gridCol w:w="1629"/>
      </w:tblGrid>
      <w:tr>
        <w:trPr>
          <w:jc w:val="center"/>
          <w:trHeight w:val="64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hint="eastAsia"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hint="eastAsia" w:ascii="Arial" w:hAnsi="Arial" w:cs="Arial"/>
                <w:szCs w:val="21"/>
              </w:rPr>
              <w:t xml:space="preserve">分项内容</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ascii="Arial" w:hAnsi="Arial" w:cs="Arial"/>
                <w:szCs w:val="21"/>
              </w:rPr>
            </w:pPr>
            <w:r>
              <w:rPr>
                <w:rFonts w:hint="eastAsia" w:ascii="Arial" w:hAnsi="Arial" w:cs="Arial"/>
                <w:szCs w:val="21"/>
              </w:rPr>
              <w:t xml:space="preserve">制造商名称</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hint="eastAsia" w:ascii="Arial" w:hAnsi="Arial" w:cs="Arial"/>
                <w:szCs w:val="21"/>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hint="eastAsia" w:ascii="Arial" w:hAns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hint="eastAsia"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hint="eastAsia" w:ascii="Arial" w:hAnsi="Arial" w:cs="Arial"/>
                <w:szCs w:val="21"/>
              </w:rPr>
              <w:t xml:space="preserve">单价</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hint="eastAsia" w:ascii="Arial" w:hAnsi="Arial" w:cs="Arial"/>
                <w:szCs w:val="21"/>
              </w:rPr>
              <w:t xml:space="preserve">合价</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hint="eastAsia" w:ascii="Arial" w:hAnsi="Arial" w:cs="Arial"/>
                <w:szCs w:val="21"/>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gridSpan w:val="2"/>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widowControl/>
              <w:rPr>
                <w:rFonts w:ascii="Arial" w:hAnsi="Arial" w:cs="Arial"/>
                <w:szCs w:val="21"/>
              </w:rPr>
            </w:pPr>
            <w:r>
              <w:rPr>
                <w:rFonts w:hint="eastAsia" w:ascii="Arial" w:hAnsi="Arial" w:cs="Arial"/>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ind w:firstLine="1680"/>
              <w:widowControl/>
              <w:rPr>
                <w:rFonts w:ascii="Arial" w:hAnsi="Arial" w:cs="Arial"/>
                <w:szCs w:val="21"/>
              </w:rPr>
            </w:pPr>
            <w:r>
              <w:rPr>
                <w:rFonts w:hint="eastAsia" w:ascii="Arial" w:hAnsi="Arial" w:cs="Arial"/>
                <w:szCs w:val="21"/>
              </w:rPr>
              <w:t xml:space="preserve">元</w:t>
            </w:r>
            <w:r>
              <w:rPr>
                <w:rFonts w:ascii="Arial" w:hAnsi="Arial" w:cs="Arial"/>
                <w:szCs w:val="21"/>
              </w:rPr>
              <w:t xml:space="preserve">(</w:t>
            </w:r>
            <w:r>
              <w:rPr>
                <w:rFonts w:hint="eastAsia" w:ascii="Arial" w:hAnsi="Arial" w:cs="Arial"/>
                <w:szCs w:val="21"/>
              </w:rPr>
              <w:t xml:space="preserve">小数点保留两位</w:t>
            </w:r>
            <w:r>
              <w:rPr>
                <w:rFonts w:ascii="Arial" w:hAnsi="Arial" w:cs="Arial"/>
                <w:szCs w:val="21"/>
              </w:rPr>
              <w:t xml:space="preserve">)</w:t>
            </w:r>
            <w:r/>
          </w:p>
        </w:tc>
      </w:tr>
    </w:tbl>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、如果行数不够，请自行增加。</w:t>
      </w:r>
      <w:r/>
    </w:p>
    <w:p>
      <w:pPr>
        <w:jc w:val="left"/>
        <w:spacing w:line="360" w:lineRule="auto"/>
        <w:shd w:val="clear" w:color="auto" w:fill="ffffff"/>
        <w:widowControl/>
        <w:rPr>
          <w:rFonts w:ascii="Arial" w:hAnsi="Arial" w:cs="Arial"/>
        </w:rPr>
      </w:pPr>
      <w:r>
        <w:rPr>
          <w:rFonts w:ascii="Arial" w:hAnsi="Arial" w:cs="Arial"/>
          <w:szCs w:val="21"/>
        </w:rPr>
        <w:t xml:space="preserve">2</w:t>
      </w:r>
      <w:r>
        <w:rPr>
          <w:rFonts w:hint="eastAsia" w:ascii="Arial" w:hAnsi="Arial" w:cs="Arial"/>
          <w:szCs w:val="21"/>
        </w:rPr>
        <w:t xml:space="preserve">、未注明小微企业的，不享受价格扣除。</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970"/>
        <w:jc w:val="right"/>
        <w:rPr>
          <w:rFonts w:hint="eastAsia" w:ascii="Arial" w:hAnsi="Arial" w:cs="Arial"/>
          <w:color w:val="auto"/>
          <w:highlight w:val="none"/>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Arial" w:hAnsi="Arial" w:cs="Arial"/>
          <w:color w:val="auto"/>
          <w:highlight w:val="none"/>
        </w:rPr>
      </w:r>
      <w:bookmarkEnd w:id="33"/>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四</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采购需求偏离表</w:t>
      </w:r>
      <w:r>
        <w:rPr>
          <w:rFonts w:ascii="Arial" w:hAnsi="Arial" w:cs="Arial"/>
          <w:b/>
          <w:bCs/>
          <w:color w:val="auto"/>
          <w:szCs w:val="21"/>
          <w:highlight w:val="none"/>
        </w:rPr>
        <w:t xml:space="preserve">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7" w:name="_Toc31381_WPSOffice_Level2"/>
      <w:r>
        <w:rPr>
          <w:rFonts w:hint="eastAsia" w:ascii="Arial" w:hAnsi="Arial" w:cs="Arial"/>
          <w:b/>
          <w:color w:val="auto"/>
          <w:sz w:val="36"/>
          <w:szCs w:val="36"/>
          <w:highlight w:val="none"/>
        </w:rPr>
        <w:t xml:space="preserve">采购需求偏离表</w:t>
      </w:r>
      <w:bookmarkEnd w:id="37"/>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投标文件采购需求部分内容响应存在正偏离或负偏离的，请在本表中逐条列出。未列出的，视为响应招标文件要求。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38" w:name="_Toc19798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五</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商务</w:t>
      </w:r>
      <w:r>
        <w:rPr>
          <w:rFonts w:ascii="Arial" w:hAnsi="Arial" w:cs="Arial"/>
          <w:b/>
          <w:bCs/>
          <w:color w:val="auto"/>
          <w:szCs w:val="21"/>
          <w:highlight w:val="none"/>
        </w:rPr>
        <w:t xml:space="preserve">条款偏离表格式</w:t>
      </w:r>
      <w:bookmarkEnd w:id="38"/>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9" w:name="_Toc11233_WPSOffice_Level2"/>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bookmarkEnd w:id="39"/>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投标文件商务部分内容响应存在正偏离或负偏离的，请在本表中逐条列出。未列出的，视为响应招标文件要求。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bCs/>
          <w:color w:val="auto"/>
          <w:szCs w:val="21"/>
          <w:highlight w:val="none"/>
        </w:rPr>
        <w:br w:type="page" w:clear="all"/>
      </w:r>
      <w:bookmarkStart w:id="40" w:name="_Toc21542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六</w:t>
      </w:r>
      <w:r>
        <w:rPr>
          <w:rFonts w:ascii="Arial" w:hAnsi="Arial" w:cs="Arial"/>
          <w:b/>
          <w:bCs/>
          <w:color w:val="auto"/>
          <w:szCs w:val="21"/>
          <w:highlight w:val="none"/>
        </w:rPr>
        <w:t xml:space="preserve">、</w:t>
      </w:r>
      <w:bookmarkEnd w:id="40"/>
      <w:r>
        <w:rPr>
          <w:rFonts w:ascii="Arial" w:hAnsi="Arial" w:eastAsia="宋体" w:cs="Arial"/>
          <w:b/>
          <w:bCs/>
          <w:color w:val="auto"/>
          <w:szCs w:val="21"/>
          <w:highlight w:val="none"/>
        </w:rPr>
        <w:t xml:space="preserve">投标人自行编写的技术文件</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229"/>
        <w:ind w:firstLine="420"/>
        <w:spacing w:before="0" w:after="0"/>
        <w:rPr>
          <w:rFonts w:hint="default" w:cs="Arial"/>
          <w:color w:val="auto"/>
          <w:sz w:val="21"/>
          <w:szCs w:val="21"/>
          <w:highlight w:val="none"/>
          <w:lang w:val="en-US" w:eastAsia="zh-CN"/>
        </w:rPr>
      </w:pPr>
      <w:r>
        <w:rPr>
          <w:rFonts w:hint="default" w:cs="Arial"/>
          <w:color w:val="auto"/>
          <w:sz w:val="21"/>
          <w:szCs w:val="21"/>
          <w:highlight w:val="none"/>
          <w:lang w:val="en-US" w:eastAsia="zh-CN"/>
        </w:rPr>
      </w:r>
      <w:r/>
    </w:p>
    <w:p>
      <w:pPr>
        <w:pStyle w:val="919"/>
        <w:rPr>
          <w:highlight w:val="none"/>
        </w:rPr>
      </w:pPr>
      <w:r>
        <w:rPr>
          <w:highlight w:val="none"/>
        </w:rPr>
      </w:r>
      <w:r/>
    </w:p>
    <w:p>
      <w:pPr>
        <w:pStyle w:val="959"/>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bookmarkStart w:id="41" w:name="_Toc14221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七</w:t>
      </w:r>
      <w:r>
        <w:rPr>
          <w:rFonts w:ascii="Arial" w:hAnsi="Arial" w:cs="Arial"/>
          <w:b/>
          <w:bCs/>
          <w:color w:val="auto"/>
          <w:sz w:val="24"/>
          <w:highlight w:val="none"/>
        </w:rPr>
        <w:t xml:space="preserve">、拟参与本项目服务人员一览表</w:t>
      </w:r>
      <w:bookmarkEnd w:id="41"/>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bookmarkStart w:id="42" w:name="_Toc4394_WPSOffice_Level2"/>
      <w:r>
        <w:rPr>
          <w:rFonts w:ascii="Arial" w:hAnsi="Arial" w:cs="Arial"/>
          <w:b/>
          <w:bCs/>
          <w:color w:val="auto"/>
          <w:sz w:val="24"/>
          <w:highlight w:val="none"/>
        </w:rPr>
        <w:t xml:space="preserve">拟参与本项目服务人员一览表</w:t>
      </w:r>
      <w:bookmarkEnd w:id="42"/>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bookmarkStart w:id="43" w:name="_Toc10822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八</w:t>
      </w:r>
      <w:r>
        <w:rPr>
          <w:rFonts w:ascii="Arial" w:hAnsi="Arial" w:cs="Arial"/>
          <w:b/>
          <w:bCs/>
          <w:color w:val="auto"/>
          <w:sz w:val="24"/>
          <w:highlight w:val="none"/>
        </w:rPr>
        <w:t xml:space="preserve">、 投标人类似业绩情况表</w:t>
      </w:r>
      <w:bookmarkEnd w:id="43"/>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bookmarkStart w:id="44" w:name="_Toc15731_WPSOffice_Level2"/>
      <w:r>
        <w:rPr>
          <w:rFonts w:ascii="Arial" w:hAnsi="Arial" w:cs="Arial"/>
          <w:b/>
          <w:bCs/>
          <w:color w:val="auto"/>
          <w:sz w:val="24"/>
          <w:highlight w:val="none"/>
        </w:rPr>
        <w:t xml:space="preserve">投标人类似业绩情况表</w:t>
      </w:r>
      <w:bookmarkEnd w:id="44"/>
      <w:r/>
      <w:r/>
    </w:p>
    <w:tbl>
      <w:tblPr>
        <w:tblStyle w:val="911"/>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b/>
          <w:bCs/>
          <w:color w:val="auto"/>
          <w:highlight w:val="none"/>
        </w:rPr>
      </w:pPr>
      <w:r>
        <w:rPr>
          <w:rFonts w:ascii="Arial" w:hAnsi="Arial" w:cs="Arial"/>
          <w:b/>
          <w:color w:val="auto"/>
          <w:highlight w:val="none"/>
        </w:rPr>
        <w:br w:type="page" w:clear="all"/>
      </w:r>
      <w:bookmarkStart w:id="45" w:name="_Toc11780_WPSOffice_Level1"/>
      <w:r>
        <w:rPr>
          <w:rFonts w:ascii="Arial" w:hAnsi="Arial" w:cs="Arial"/>
          <w:b/>
          <w:color w:val="auto"/>
          <w:highlight w:val="none"/>
        </w:rPr>
        <w:t xml:space="preserve">附件</w:t>
      </w:r>
      <w:r>
        <w:rPr>
          <w:rFonts w:hint="eastAsia" w:ascii="Arial" w:hAnsi="Arial" w:cs="Arial"/>
          <w:b/>
          <w:color w:val="auto"/>
          <w:highlight w:val="none"/>
        </w:rPr>
        <w:t xml:space="preserve">九</w:t>
      </w:r>
      <w:r>
        <w:rPr>
          <w:rFonts w:ascii="Arial" w:hAnsi="Arial" w:cs="Arial"/>
          <w:b/>
          <w:bCs/>
          <w:color w:val="auto"/>
          <w:highlight w:val="none"/>
        </w:rPr>
        <w:t xml:space="preserve">：企业声明函格式</w:t>
      </w:r>
      <w:bookmarkEnd w:id="45"/>
      <w:r/>
      <w:r/>
    </w:p>
    <w:p>
      <w:pPr>
        <w:jc w:val="center"/>
        <w:spacing w:line="360" w:lineRule="auto"/>
        <w:rPr>
          <w:rFonts w:ascii="Arial" w:hAnsi="Arial" w:cs="Arial"/>
          <w:b/>
          <w:bCs/>
          <w:color w:val="auto"/>
          <w:sz w:val="28"/>
          <w:highlight w:val="none"/>
        </w:rPr>
      </w:pPr>
      <w:r/>
      <w:bookmarkStart w:id="46" w:name="OLE_LINK13"/>
      <w:r/>
      <w:bookmarkStart w:id="47" w:name="OLE_LINK14"/>
      <w:r/>
      <w:r/>
    </w:p>
    <w:p>
      <w:pPr>
        <w:jc w:val="center"/>
        <w:keepLines w:val="0"/>
        <w:keepNext w:val="0"/>
        <w:pageBreakBefore w:val="0"/>
        <w:spacing w:before="313" w:line="480" w:lineRule="auto"/>
        <w:widowControl w:val="off"/>
        <w:rPr>
          <w:rFonts w:ascii="Arial" w:hAnsi="Arial" w:cs="Arial"/>
          <w:b/>
          <w:bCs/>
          <w:sz w:val="28"/>
          <w:szCs w:val="28"/>
          <w:highlight w:val="none"/>
        </w:rPr>
      </w:pPr>
      <w:r/>
      <w:bookmarkStart w:id="48" w:name="OLE_LINK2"/>
      <w:r>
        <w:rPr>
          <w:rFonts w:hint="eastAsia" w:ascii="宋体" w:hAnsi="宋体" w:cs="Arial"/>
          <w:b/>
          <w:bCs/>
          <w:sz w:val="28"/>
          <w:szCs w:val="28"/>
          <w:highlight w:val="none"/>
        </w:rPr>
        <w:t xml:space="preserve">中小企业声明函（货物）</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highlight w:val="none"/>
        </w:rPr>
        <w:t xml:space="preserve">〕</w:t>
      </w:r>
      <w:r>
        <w:rPr>
          <w:rFonts w:hint="eastAsia" w:ascii="宋体" w:hAnsi="宋体" w:cs="Arial"/>
          <w:highlight w:val="none"/>
        </w:rPr>
        <w:t xml:space="preserve">） </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w:t>
      </w:r>
      <w:r>
        <w:rPr>
          <w:rFonts w:hint="eastAsia" w:ascii="Arial" w:hAnsi="Arial" w:cs="Arial"/>
          <w:highlight w:val="none"/>
        </w:rPr>
        <w:t xml:space="preserve">,</w:t>
      </w:r>
      <w:r>
        <w:rPr>
          <w:rFonts w:hint="eastAsia" w:ascii="宋体" w:hAnsi="宋体" w:cs="Arial"/>
          <w:highlight w:val="none"/>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1.</w:t>
      </w: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w:t>
      </w:r>
      <w:r>
        <w:rPr>
          <w:rFonts w:hint="eastAsia" w:ascii="Arial" w:hAnsi="Arial" w:cs="Arial"/>
          <w:highlight w:val="none"/>
        </w:rPr>
        <w:t xml:space="preserve">;</w:t>
      </w:r>
      <w:r>
        <w:rPr>
          <w:rFonts w:hint="eastAsia" w:ascii="宋体" w:hAnsi="宋体" w:cs="Arial"/>
          <w:highlight w:val="none"/>
        </w:rPr>
        <w:t xml:space="preserve">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rPr>
        <w:t xml:space="preserve">—万元，资产总额为</w:t>
      </w:r>
      <w:r>
        <w:rPr>
          <w:rFonts w:hint="eastAsia" w:ascii="Arial" w:hAnsi="Arial" w:cs="Arial"/>
          <w:highlight w:val="none"/>
          <w:u w:val="single"/>
        </w:rPr>
        <w:tab/>
      </w:r>
      <w:r>
        <w:rPr>
          <w:rFonts w:hint="eastAsia" w:ascii="宋体" w:hAnsi="宋体" w:cs="Arial"/>
          <w:highlight w:val="none"/>
          <w:u w:val="single"/>
        </w:rPr>
        <w:t xml:space="preserve">万</w:t>
      </w:r>
      <w:r>
        <w:rPr>
          <w:rFonts w:hint="eastAsia" w:ascii="宋体" w:hAnsi="宋体" w:cs="Arial"/>
          <w:highlight w:val="none"/>
        </w:rPr>
        <w:t xml:space="preserve">元</w:t>
      </w:r>
      <w:r>
        <w:rPr>
          <w:rFonts w:hint="eastAsia" w:ascii="Arial" w:hAnsi="Arial" w:cs="Arial"/>
          <w:highlight w:val="none"/>
        </w:rPr>
        <w:t xml:space="preserve">，</w:t>
      </w:r>
      <w:r>
        <w:rPr>
          <w:rFonts w:hint="eastAsia" w:ascii="宋体" w:hAnsi="宋体" w:cs="Arial"/>
          <w:highlight w:val="none"/>
        </w:rPr>
        <w:t xml:space="preserve">属于（中型企业、小型企业、微型企业）；</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2.</w:t>
      </w: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p>
    <w:p>
      <w:pPr>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420"/>
        <w:jc w:val="right"/>
        <w:spacing w:line="440" w:lineRule="exact"/>
        <w:widowControl/>
        <w:rPr>
          <w:rFonts w:ascii="Arial" w:hAnsi="Arial" w:cs="Arial"/>
          <w:color w:val="auto"/>
          <w:highlight w:val="none"/>
        </w:rPr>
      </w:pPr>
      <w:r>
        <w:rPr>
          <w:rFonts w:ascii="Arial" w:hAnsi="Arial" w:cs="Arial"/>
          <w:color w:val="auto"/>
          <w:highlight w:val="none"/>
        </w:rPr>
      </w:r>
      <w:r/>
    </w:p>
    <w:p>
      <w:pPr>
        <w:jc w:val="center"/>
        <w:spacing w:line="360" w:lineRule="auto"/>
        <w:rPr>
          <w:rFonts w:ascii="Arial" w:hAnsi="Arial" w:cs="Arial"/>
          <w:b/>
          <w:bCs/>
          <w:color w:val="auto"/>
          <w:sz w:val="28"/>
          <w:highlight w:val="none"/>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auto"/>
          <w:highlight w:val="none"/>
        </w:rPr>
        <w:t xml:space="preserve">                                                   日期：</w:t>
      </w:r>
      <w:r/>
    </w:p>
    <w:p>
      <w:pPr>
        <w:jc w:val="center"/>
        <w:spacing w:line="360" w:lineRule="auto"/>
        <w:rPr>
          <w:rFonts w:ascii="Arial" w:hAnsi="Arial" w:cs="Arial"/>
          <w:b/>
          <w:bCs/>
          <w:color w:val="auto"/>
          <w:sz w:val="28"/>
          <w:highlight w:val="none"/>
        </w:rPr>
      </w:pPr>
      <w:r/>
      <w:bookmarkStart w:id="49" w:name="_Toc9692_WPSOffice_Level2"/>
      <w:r>
        <w:rPr>
          <w:rFonts w:ascii="Arial" w:hAnsi="Arial" w:cs="Arial"/>
          <w:b/>
          <w:bCs/>
          <w:color w:val="auto"/>
          <w:sz w:val="28"/>
          <w:highlight w:val="none"/>
        </w:rPr>
        <w:t xml:space="preserve">残疾人福利性单位声明函</w:t>
      </w:r>
      <w:bookmarkEnd w:id="49"/>
      <w:r/>
      <w:bookmarkEnd w:id="46"/>
      <w:r/>
      <w:bookmarkEnd w:id="47"/>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日  期：</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sz w:val="28"/>
          <w:highlight w:val="none"/>
        </w:rPr>
      </w:pPr>
      <w:r/>
      <w:bookmarkStart w:id="50" w:name="_Toc29930_WPSOffice_Level2"/>
      <w:r>
        <w:rPr>
          <w:rFonts w:ascii="Arial" w:hAnsi="Arial" w:cs="Arial"/>
          <w:b/>
          <w:bCs/>
          <w:color w:val="auto"/>
          <w:sz w:val="28"/>
          <w:highlight w:val="none"/>
        </w:rPr>
        <w:t xml:space="preserve">属于监狱企业的证明文件</w:t>
      </w:r>
      <w:bookmarkEnd w:id="50"/>
      <w:r/>
      <w:r/>
    </w:p>
    <w:p>
      <w:pPr>
        <w:spacing w:line="360" w:lineRule="auto"/>
        <w:rPr>
          <w:rFonts w:ascii="Arial" w:hAnsi="Arial" w:cs="Arial"/>
          <w:color w:val="auto"/>
          <w:highlight w:val="none"/>
        </w:rPr>
      </w:pPr>
      <w:r>
        <w:rPr>
          <w:rFonts w:ascii="Arial" w:hAnsi="Arial"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1" w:name="_Toc27230_WPSOffice_Level2"/>
      <w:r>
        <w:rPr>
          <w:rFonts w:ascii="Arial" w:hAnsi="Arial" w:cs="Arial"/>
          <w:b/>
          <w:bCs/>
          <w:color w:val="auto"/>
          <w:sz w:val="28"/>
          <w:highlight w:val="none"/>
        </w:rPr>
        <w:t xml:space="preserve">节能产品认证证书</w:t>
      </w:r>
      <w:bookmarkEnd w:id="51"/>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2" w:name="_Toc5659_WPSOffice_Level2"/>
      <w:r>
        <w:rPr>
          <w:rFonts w:ascii="Arial" w:hAnsi="Arial" w:cs="Arial"/>
          <w:b/>
          <w:bCs/>
          <w:color w:val="auto"/>
          <w:sz w:val="28"/>
          <w:highlight w:val="none"/>
        </w:rPr>
        <w:t xml:space="preserve">环境标志产品认证证书</w:t>
      </w:r>
      <w:bookmarkEnd w:id="52"/>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jc w:val="center"/>
        <w:spacing w:line="360" w:lineRule="auto"/>
        <w:rPr>
          <w:rFonts w:ascii="Arial" w:hAnsi="Arial" w:cs="Arial"/>
          <w:b/>
          <w:bCs/>
          <w:color w:val="auto"/>
          <w:sz w:val="28"/>
          <w:highlight w:val="none"/>
        </w:rPr>
      </w:pPr>
      <w:r/>
      <w:bookmarkStart w:id="53" w:name="_Toc4803_WPSOffice_Level2"/>
      <w:r>
        <w:rPr>
          <w:rFonts w:ascii="Arial" w:hAnsi="Arial" w:cs="Arial"/>
          <w:b/>
          <w:bCs/>
          <w:color w:val="auto"/>
          <w:sz w:val="28"/>
          <w:highlight w:val="none"/>
        </w:rPr>
        <w:t xml:space="preserve">进口产品转让技术、消化吸收再创新方案</w:t>
      </w:r>
      <w:bookmarkEnd w:id="53"/>
      <w:r/>
      <w:r/>
    </w:p>
    <w:p>
      <w:pPr>
        <w:spacing w:line="360" w:lineRule="auto"/>
        <w:rPr>
          <w:rFonts w:ascii="Arial" w:hAnsi="Arial" w:cs="Arial"/>
          <w:bCs/>
          <w:color w:val="auto"/>
          <w:highlight w:val="none"/>
        </w:rPr>
      </w:pPr>
      <w:r>
        <w:rPr>
          <w:rFonts w:ascii="Arial" w:hAnsi="Arial" w:cs="Arial"/>
          <w:bCs/>
          <w:color w:val="auto"/>
          <w:highlight w:val="none"/>
        </w:rPr>
        <w:t xml:space="preserve">（对于允许进口产品参加的项目）</w:t>
      </w:r>
      <w:bookmarkEnd w:id="48"/>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bookmarkStart w:id="54" w:name="_Toc14078_WPSOffice_Level1"/>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pStyle w:val="945"/>
        <w:jc w:val="center"/>
        <w:spacing w:before="24" w:beforeAutospacing="0" w:after="24" w:afterAutospacing="0" w:line="360" w:lineRule="auto"/>
        <w:shd w:val="clear" w:color="auto" w:fill="ffffff"/>
        <w:widowControl/>
        <w:rPr>
          <w:rFonts w:hint="eastAsia" w:ascii="Arial" w:hAnsi="Arial" w:eastAsia="宋体" w:cs="Arial"/>
          <w:b/>
          <w:bCs/>
          <w:color w:val="auto"/>
          <w:sz w:val="28"/>
          <w:szCs w:val="24"/>
          <w:highlight w:val="none"/>
          <w:lang w:val="en-US" w:eastAsia="zh-CN" w:bidi="ar-SA"/>
        </w:rPr>
      </w:pPr>
      <w:r>
        <w:rPr>
          <w:rFonts w:hint="eastAsia" w:ascii="Arial" w:hAnsi="Arial" w:eastAsia="宋体" w:cs="Arial"/>
          <w:b/>
          <w:bCs/>
          <w:color w:val="auto"/>
          <w:sz w:val="28"/>
          <w:szCs w:val="24"/>
          <w:highlight w:val="none"/>
          <w:lang w:val="en-US" w:eastAsia="zh-CN" w:bidi="ar-SA"/>
        </w:rPr>
        <w:t xml:space="preserve">关于符合本国产品标准的声明函</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1.</w:t>
      </w:r>
      <w:r>
        <w:rPr>
          <w:rStyle w:val="954"/>
          <w:rFonts w:hint="eastAsia" w:ascii="宋体" w:hAnsi="宋体" w:eastAsia="宋体" w:cs="宋体"/>
          <w:i w:val="0"/>
          <w:color w:val="333333"/>
          <w:sz w:val="21"/>
          <w:szCs w:val="21"/>
          <w:highlight w:val="none"/>
          <w:shd w:val="clear" w:color="auto" w:fill="ffffff"/>
        </w:rPr>
        <w:t xml:space="preserve">（产品名称1）</w:t>
      </w:r>
      <w:r>
        <w:rPr>
          <w:rStyle w:val="954"/>
          <w:rFonts w:hint="eastAsia" w:ascii="宋体" w:hAnsi="宋体" w:eastAsia="宋体" w:cs="宋体"/>
          <w:i w:val="0"/>
          <w:color w:val="333333"/>
          <w:sz w:val="21"/>
          <w:szCs w:val="21"/>
          <w:highlight w:val="none"/>
          <w:shd w:val="clear" w:color="auto" w:fill="ffffff"/>
          <w:vertAlign w:val="superscript"/>
        </w:rPr>
        <w:t xml:space="preserve">1</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Style w:val="954"/>
          <w:rFonts w:hint="eastAsia" w:ascii="宋体" w:hAnsi="宋体" w:eastAsia="宋体" w:cs="宋体"/>
          <w:i w:val="0"/>
          <w:color w:val="333333"/>
          <w:sz w:val="21"/>
          <w:szCs w:val="21"/>
          <w:highlight w:val="none"/>
          <w:shd w:val="clear" w:color="auto" w:fill="ffffff"/>
          <w:vertAlign w:val="superscript"/>
        </w:rPr>
        <w:t xml:space="preserve">2</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Style w:val="954"/>
          <w:rFonts w:hint="eastAsia" w:ascii="宋体" w:hAnsi="宋体" w:eastAsia="宋体" w:cs="宋体"/>
          <w:i w:val="0"/>
          <w:color w:val="333333"/>
          <w:sz w:val="21"/>
          <w:szCs w:val="21"/>
          <w:highlight w:val="none"/>
          <w:shd w:val="clear" w:color="auto" w:fill="ffffff"/>
          <w:vertAlign w:val="superscript"/>
        </w:rPr>
        <w:t xml:space="preserve">3</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Style w:val="954"/>
          <w:rFonts w:hint="eastAsia" w:ascii="宋体" w:hAnsi="宋体" w:eastAsia="宋体" w:cs="宋体"/>
          <w:i w:val="0"/>
          <w:color w:val="333333"/>
          <w:sz w:val="21"/>
          <w:szCs w:val="21"/>
          <w:highlight w:val="none"/>
          <w:shd w:val="clear" w:color="auto" w:fill="ffffff"/>
          <w:vertAlign w:val="superscript"/>
        </w:rPr>
        <w:t xml:space="preserve">4</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Style w:val="954"/>
          <w:rFonts w:hint="eastAsia" w:ascii="宋体" w:hAnsi="宋体" w:eastAsia="宋体" w:cs="宋体"/>
          <w:i w:val="0"/>
          <w:color w:val="333333"/>
          <w:sz w:val="21"/>
          <w:szCs w:val="21"/>
          <w:highlight w:val="none"/>
          <w:shd w:val="clear" w:color="auto" w:fill="ffffff"/>
          <w:vertAlign w:val="superscript"/>
        </w:rPr>
        <w:t xml:space="preserve">5</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2.</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本公司（单位）对上述声明内容的真实性负责。如有虚假，愿承担相应法律责任。</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公司（单位）名称（盖章）：      </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日期：　　　　　年　　月　日    </w:t>
      </w:r>
      <w:r/>
    </w:p>
    <w:p>
      <w:pPr>
        <w:pStyle w:val="945"/>
        <w:spacing w:beforeAutospacing="0" w:afterAutospacing="0" w:line="240" w:lineRule="auto"/>
        <w:shd w:val="clear" w:color="auto" w:fill="ffffff"/>
        <w:widowControl/>
        <w:rPr>
          <w:rFonts w:hint="eastAsia" w:ascii="宋体" w:hAnsi="宋体" w:eastAsia="宋体" w:cs="宋体"/>
          <w:color w:val="333333"/>
          <w:sz w:val="28"/>
          <w:szCs w:val="28"/>
          <w:highlight w:val="none"/>
        </w:rPr>
      </w:pPr>
      <w:r>
        <w:rPr>
          <w:rFonts w:hint="eastAsia" w:ascii="宋体" w:hAnsi="宋体" w:eastAsia="宋体" w:cs="宋体"/>
          <w:color w:val="333333"/>
          <w:sz w:val="28"/>
          <w:szCs w:val="28"/>
          <w:highlight w:val="none"/>
          <w:shd w:val="clear" w:color="auto" w:fill="ffffff"/>
        </w:rPr>
        <w:t xml:space="preserve">_____________________________</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附件十、无重大违法记录声明格式</w:t>
      </w:r>
      <w:bookmarkEnd w:id="54"/>
      <w:r/>
      <w:r/>
    </w:p>
    <w:p>
      <w:pPr>
        <w:rPr>
          <w:rFonts w:ascii="Arial" w:hAnsi="Arial" w:eastAsia="黑体" w:cs="Arial"/>
          <w:color w:val="auto"/>
          <w:sz w:val="28"/>
          <w:szCs w:val="36"/>
          <w:highlight w:val="none"/>
        </w:rPr>
      </w:pPr>
      <w:r/>
      <w:bookmarkStart w:id="55" w:name="_Toc28833_WPSOffice_Level2"/>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bookmarkEnd w:id="55"/>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103"/>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pPr>
      <w:r/>
      <w:bookmarkStart w:id="56" w:name="_Toc10146_WPSOffice_Level1"/>
      <w:r>
        <w:rPr>
          <w:rFonts w:ascii="Arial" w:hAnsi="Arial" w:cs="Arial"/>
          <w:b/>
          <w:color w:val="auto"/>
          <w:highlight w:val="none"/>
        </w:rPr>
        <w:t xml:space="preserve">附件十</w:t>
      </w:r>
      <w:r>
        <w:rPr>
          <w:rFonts w:hint="eastAsia" w:ascii="Arial" w:hAnsi="Arial" w:cs="Arial"/>
          <w:b/>
          <w:color w:val="auto"/>
          <w:highlight w:val="none"/>
        </w:rPr>
        <w:t xml:space="preserve">一</w:t>
      </w:r>
      <w:r>
        <w:rPr>
          <w:rFonts w:ascii="Arial" w:hAnsi="Arial" w:cs="Arial"/>
          <w:b/>
          <w:color w:val="auto"/>
          <w:highlight w:val="none"/>
        </w:rPr>
        <w:t xml:space="preserve">、 资格资信证明文件</w:t>
      </w:r>
      <w:bookmarkEnd w:id="56"/>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bookmarkStart w:id="57" w:name="_Toc32156_WPSOffice_Level1"/>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、其他</w:t>
      </w:r>
      <w:bookmarkEnd w:id="57"/>
      <w:r/>
      <w:r/>
    </w:p>
    <w:p>
      <w:pPr>
        <w:spacing w:line="360" w:lineRule="auto"/>
        <w:rPr>
          <w:rFonts w:ascii="Arial" w:hAnsi="Arial" w:cs="Arial"/>
          <w:b/>
          <w:color w:val="auto"/>
          <w:highlight w:val="none"/>
        </w:rPr>
      </w:pPr>
      <w:r>
        <w:rPr>
          <w:rFonts w:ascii="Arial" w:hAnsi="Arial" w:cs="Arial"/>
          <w:b/>
          <w:color w:val="auto"/>
          <w:highlight w:val="none"/>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Arial Unicode MS">
    <w:panose1 w:val="020B0604020202020204"/>
  </w:font>
  <w:font w:name="仿宋">
    <w:panose1 w:val="02010609060101010101"/>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framePr w:wrap="around"/>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2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35"/>
      <w:isLgl w:val="false"/>
      <w:suff w:val="tab"/>
      <w:lvlText w:val="%1.%2"/>
      <w:lvlJc w:val="left"/>
      <w:pPr>
        <w:ind w:left="425" w:hanging="425"/>
      </w:pPr>
      <w:rPr>
        <w:rFonts w:hint="eastAsia" w:ascii="Arial Unicode MS" w:hAnsi="Arial Unicode MS" w:eastAsia="微软雅黑"/>
        <w:b/>
        <w:i w:val="0"/>
      </w:rPr>
    </w:lvl>
    <w:lvl w:ilvl="2">
      <w:start w:val="1"/>
      <w:numFmt w:val="decimal"/>
      <w:pStyle w:val="123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01"/>
      <w:isLgl w:val="false"/>
      <w:suff w:val="nothing"/>
      <w:lvlText w:val="第%1章"/>
      <w:lvlJc w:val="left"/>
      <w:pPr>
        <w:ind w:left="0" w:firstLine="0"/>
      </w:pPr>
    </w:lvl>
    <w:lvl w:ilvl="1">
      <w:start w:val="1"/>
      <w:numFmt w:val="decimal"/>
      <w:pStyle w:val="902"/>
      <w:isLgl w:val="false"/>
      <w:suff w:val="nothing"/>
      <w:lvlText w:val=""/>
      <w:lvlJc w:val="left"/>
      <w:pPr>
        <w:ind w:left="0" w:firstLine="0"/>
      </w:pPr>
    </w:lvl>
    <w:lvl w:ilvl="2">
      <w:start w:val="1"/>
      <w:numFmt w:val="decimal"/>
      <w:pStyle w:val="903"/>
      <w:isLgl w:val="false"/>
      <w:suff w:val="nothing"/>
      <w:lvlText w:val=""/>
      <w:lvlJc w:val="left"/>
      <w:pPr>
        <w:ind w:left="0" w:firstLine="0"/>
      </w:pPr>
    </w:lvl>
    <w:lvl w:ilvl="3">
      <w:start w:val="1"/>
      <w:numFmt w:val="decimal"/>
      <w:pStyle w:val="904"/>
      <w:isLgl w:val="false"/>
      <w:suff w:val="nothing"/>
      <w:lvlText w:val=""/>
      <w:lvlJc w:val="left"/>
      <w:pPr>
        <w:ind w:left="0" w:firstLine="0"/>
      </w:pPr>
    </w:lvl>
    <w:lvl w:ilvl="4">
      <w:start w:val="1"/>
      <w:numFmt w:val="decimal"/>
      <w:pStyle w:val="905"/>
      <w:isLgl w:val="false"/>
      <w:suff w:val="nothing"/>
      <w:lvlText w:val=""/>
      <w:lvlJc w:val="left"/>
      <w:pPr>
        <w:ind w:left="0" w:firstLine="0"/>
      </w:pPr>
    </w:lvl>
    <w:lvl w:ilvl="5">
      <w:start w:val="1"/>
      <w:numFmt w:val="decimal"/>
      <w:pStyle w:val="906"/>
      <w:isLgl w:val="false"/>
      <w:suff w:val="nothing"/>
      <w:lvlText w:val=""/>
      <w:lvlJc w:val="left"/>
      <w:pPr>
        <w:ind w:left="0" w:firstLine="0"/>
      </w:pPr>
    </w:lvl>
    <w:lvl w:ilvl="6">
      <w:start w:val="1"/>
      <w:numFmt w:val="decimal"/>
      <w:pStyle w:val="907"/>
      <w:isLgl w:val="false"/>
      <w:suff w:val="nothing"/>
      <w:lvlText w:val=""/>
      <w:lvlJc w:val="left"/>
      <w:pPr>
        <w:ind w:left="0" w:firstLine="0"/>
      </w:pPr>
    </w:lvl>
    <w:lvl w:ilvl="7">
      <w:start w:val="1"/>
      <w:numFmt w:val="decimal"/>
      <w:pStyle w:val="908"/>
      <w:isLgl w:val="false"/>
      <w:suff w:val="nothing"/>
      <w:lvlText w:val=""/>
      <w:lvlJc w:val="left"/>
      <w:pPr>
        <w:ind w:left="0" w:firstLine="0"/>
      </w:pPr>
    </w:lvl>
    <w:lvl w:ilvl="8">
      <w:start w:val="1"/>
      <w:numFmt w:val="decimal"/>
      <w:pStyle w:val="909"/>
      <w:isLgl w:val="false"/>
      <w:suff w:val="nothing"/>
      <w:lvlText w:val=""/>
      <w:lvlJc w:val="left"/>
      <w:pPr>
        <w:ind w:left="0"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sz w:val="21"/>
        <w:szCs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2"/>
  </w:num>
  <w:num w:numId="4">
    <w:abstractNumId w:val="1"/>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Quote Char"/>
    <w:link w:val="974"/>
    <w:uiPriority w:val="29"/>
    <w:rPr>
      <w:i/>
    </w:rPr>
  </w:style>
  <w:style w:type="character" w:styleId="897">
    <w:name w:val="Intense Quote Char"/>
    <w:link w:val="976"/>
    <w:uiPriority w:val="30"/>
    <w:rPr>
      <w:i/>
    </w:rPr>
  </w:style>
  <w:style w:type="character" w:styleId="898">
    <w:name w:val="Endnote Text Char"/>
    <w:link w:val="930"/>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1">
    <w:name w:val="Heading 1"/>
    <w:basedOn w:val="900"/>
    <w:next w:val="900"/>
    <w:link w:val="1109"/>
    <w:uiPriority w:val="0"/>
    <w:qFormat/>
    <w:pPr>
      <w:numPr>
        <w:ilvl w:val="0"/>
        <w:numId w:val="1"/>
      </w:numPr>
      <w:jc w:val="center"/>
      <w:keepLines/>
      <w:keepNext/>
      <w:spacing w:before="340" w:after="330" w:line="576" w:lineRule="auto"/>
      <w:outlineLvl w:val="0"/>
    </w:pPr>
    <w:rPr>
      <w:b/>
      <w:bCs/>
      <w:sz w:val="32"/>
      <w:szCs w:val="44"/>
    </w:rPr>
  </w:style>
  <w:style w:type="paragraph" w:styleId="902">
    <w:name w:val="Heading 2"/>
    <w:basedOn w:val="900"/>
    <w:next w:val="900"/>
    <w:link w:val="111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03">
    <w:name w:val="Heading 3"/>
    <w:basedOn w:val="900"/>
    <w:next w:val="900"/>
    <w:link w:val="1111"/>
    <w:uiPriority w:val="0"/>
    <w:qFormat/>
    <w:pPr>
      <w:numPr>
        <w:ilvl w:val="2"/>
        <w:numId w:val="1"/>
      </w:numPr>
      <w:keepLines/>
      <w:keepNext/>
      <w:spacing w:before="260" w:after="260" w:line="415" w:lineRule="auto"/>
      <w:outlineLvl w:val="2"/>
    </w:pPr>
    <w:rPr>
      <w:b/>
      <w:bCs/>
      <w:sz w:val="32"/>
      <w:szCs w:val="32"/>
    </w:rPr>
  </w:style>
  <w:style w:type="paragraph" w:styleId="904">
    <w:name w:val="Heading 4"/>
    <w:basedOn w:val="900"/>
    <w:next w:val="900"/>
    <w:link w:val="111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05">
    <w:name w:val="Heading 5"/>
    <w:basedOn w:val="900"/>
    <w:next w:val="900"/>
    <w:link w:val="1113"/>
    <w:uiPriority w:val="0"/>
    <w:qFormat/>
    <w:pPr>
      <w:numPr>
        <w:ilvl w:val="4"/>
        <w:numId w:val="1"/>
      </w:numPr>
      <w:keepLines/>
      <w:keepNext/>
      <w:spacing w:before="280" w:after="290" w:line="374" w:lineRule="auto"/>
      <w:outlineLvl w:val="4"/>
    </w:pPr>
    <w:rPr>
      <w:b/>
      <w:bCs/>
      <w:sz w:val="28"/>
      <w:szCs w:val="28"/>
    </w:rPr>
  </w:style>
  <w:style w:type="paragraph" w:styleId="906">
    <w:name w:val="Heading 6"/>
    <w:basedOn w:val="900"/>
    <w:next w:val="900"/>
    <w:link w:val="1114"/>
    <w:uiPriority w:val="0"/>
    <w:qFormat/>
    <w:pPr>
      <w:numPr>
        <w:ilvl w:val="5"/>
        <w:numId w:val="1"/>
      </w:numPr>
      <w:keepLines/>
      <w:keepNext/>
      <w:spacing w:before="240" w:after="64" w:line="319" w:lineRule="auto"/>
      <w:outlineLvl w:val="5"/>
    </w:pPr>
    <w:rPr>
      <w:rFonts w:ascii="Cambria" w:hAnsi="Cambria"/>
      <w:b/>
      <w:bCs/>
      <w:sz w:val="24"/>
    </w:rPr>
  </w:style>
  <w:style w:type="paragraph" w:styleId="907">
    <w:name w:val="Heading 7"/>
    <w:basedOn w:val="900"/>
    <w:next w:val="900"/>
    <w:link w:val="1115"/>
    <w:uiPriority w:val="99"/>
    <w:qFormat/>
    <w:pPr>
      <w:numPr>
        <w:ilvl w:val="6"/>
        <w:numId w:val="1"/>
      </w:numPr>
      <w:keepLines/>
      <w:keepNext/>
      <w:spacing w:before="240" w:after="64" w:line="319" w:lineRule="auto"/>
      <w:outlineLvl w:val="6"/>
    </w:pPr>
    <w:rPr>
      <w:b/>
      <w:bCs/>
      <w:sz w:val="24"/>
    </w:rPr>
  </w:style>
  <w:style w:type="paragraph" w:styleId="908">
    <w:name w:val="Heading 8"/>
    <w:basedOn w:val="900"/>
    <w:next w:val="900"/>
    <w:link w:val="1116"/>
    <w:uiPriority w:val="99"/>
    <w:qFormat/>
    <w:pPr>
      <w:numPr>
        <w:ilvl w:val="7"/>
        <w:numId w:val="1"/>
      </w:numPr>
      <w:keepLines/>
      <w:keepNext/>
      <w:spacing w:before="240" w:after="64" w:line="319" w:lineRule="auto"/>
      <w:outlineLvl w:val="7"/>
    </w:pPr>
    <w:rPr>
      <w:rFonts w:ascii="Cambria" w:hAnsi="Cambria"/>
      <w:sz w:val="24"/>
    </w:rPr>
  </w:style>
  <w:style w:type="paragraph" w:styleId="909">
    <w:name w:val="Heading 9"/>
    <w:basedOn w:val="900"/>
    <w:next w:val="900"/>
    <w:link w:val="1117"/>
    <w:uiPriority w:val="99"/>
    <w:qFormat/>
    <w:pPr>
      <w:numPr>
        <w:ilvl w:val="8"/>
        <w:numId w:val="1"/>
      </w:numPr>
      <w:keepLines/>
      <w:keepNext/>
      <w:spacing w:before="240" w:after="64" w:line="319" w:lineRule="auto"/>
      <w:outlineLvl w:val="8"/>
    </w:pPr>
    <w:rPr>
      <w:rFonts w:ascii="Cambria" w:hAnsi="Cambria"/>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List 3"/>
    <w:basedOn w:val="900"/>
    <w:uiPriority w:val="99"/>
    <w:unhideWhenUsed/>
    <w:qFormat/>
    <w:pPr>
      <w:ind w:left="1260" w:hanging="420"/>
      <w:spacing w:before="100" w:beforeAutospacing="1" w:after="100" w:afterAutospacing="1"/>
    </w:pPr>
    <w:rPr>
      <w:szCs w:val="21"/>
    </w:rPr>
  </w:style>
  <w:style w:type="paragraph" w:styleId="913">
    <w:name w:val="toc 7"/>
    <w:basedOn w:val="900"/>
    <w:next w:val="900"/>
    <w:uiPriority w:val="39"/>
    <w:unhideWhenUsed/>
    <w:qFormat/>
    <w:pPr>
      <w:ind w:left="1701"/>
      <w:spacing w:after="57"/>
    </w:pPr>
  </w:style>
  <w:style w:type="paragraph" w:styleId="914">
    <w:name w:val="Normal Indent"/>
    <w:basedOn w:val="900"/>
    <w:uiPriority w:val="99"/>
    <w:unhideWhenUsed/>
    <w:qFormat/>
    <w:pPr>
      <w:ind w:firstLine="420"/>
    </w:pPr>
    <w:rPr>
      <w:b/>
      <w:sz w:val="24"/>
      <w:szCs w:val="20"/>
    </w:rPr>
  </w:style>
  <w:style w:type="paragraph" w:styleId="915">
    <w:name w:val="Caption"/>
    <w:basedOn w:val="900"/>
    <w:next w:val="900"/>
    <w:uiPriority w:val="99"/>
    <w:qFormat/>
    <w:rPr>
      <w:rFonts w:ascii="Cambria" w:hAnsi="Cambria" w:eastAsia="黑体"/>
      <w:sz w:val="20"/>
      <w:szCs w:val="22"/>
    </w:rPr>
  </w:style>
  <w:style w:type="paragraph" w:styleId="916">
    <w:name w:val="Document Map"/>
    <w:basedOn w:val="900"/>
    <w:link w:val="1119"/>
    <w:uiPriority w:val="99"/>
    <w:unhideWhenUsed/>
    <w:qFormat/>
    <w:rPr>
      <w:rFonts w:ascii="宋体"/>
      <w:sz w:val="18"/>
      <w:szCs w:val="18"/>
    </w:rPr>
  </w:style>
  <w:style w:type="paragraph" w:styleId="917">
    <w:name w:val="annotation text"/>
    <w:basedOn w:val="900"/>
    <w:link w:val="1120"/>
    <w:uiPriority w:val="99"/>
    <w:unhideWhenUsed/>
    <w:qFormat/>
    <w:pPr>
      <w:jc w:val="left"/>
    </w:pPr>
  </w:style>
  <w:style w:type="paragraph" w:styleId="918">
    <w:name w:val="Body Text 3"/>
    <w:basedOn w:val="900"/>
    <w:link w:val="1121"/>
    <w:uiPriority w:val="99"/>
    <w:unhideWhenUsed/>
    <w:qFormat/>
    <w:rPr>
      <w:rFonts w:ascii="宋体"/>
      <w:sz w:val="24"/>
      <w:szCs w:val="20"/>
    </w:rPr>
  </w:style>
  <w:style w:type="paragraph" w:styleId="919">
    <w:name w:val="Body Text"/>
    <w:basedOn w:val="900"/>
    <w:next w:val="900"/>
    <w:link w:val="1122"/>
    <w:uiPriority w:val="99"/>
    <w:unhideWhenUsed/>
    <w:qFormat/>
    <w:pPr>
      <w:jc w:val="center"/>
    </w:pPr>
    <w:rPr>
      <w:rFonts w:eastAsia="幼圆"/>
      <w:b/>
      <w:bCs/>
      <w:sz w:val="44"/>
    </w:rPr>
  </w:style>
  <w:style w:type="paragraph" w:styleId="920">
    <w:name w:val="Body Text Indent"/>
    <w:basedOn w:val="900"/>
    <w:next w:val="921"/>
    <w:link w:val="1123"/>
    <w:uiPriority w:val="99"/>
    <w:unhideWhenUsed/>
    <w:qFormat/>
    <w:pPr>
      <w:ind w:left="420"/>
      <w:spacing w:after="120"/>
    </w:pPr>
  </w:style>
  <w:style w:type="paragraph" w:styleId="921">
    <w:name w:val="envelope return"/>
    <w:basedOn w:val="900"/>
    <w:uiPriority w:val="0"/>
    <w:qFormat/>
    <w:rPr>
      <w:rFonts w:ascii="Arial" w:hAnsi="Arial"/>
    </w:rPr>
  </w:style>
  <w:style w:type="paragraph" w:styleId="922">
    <w:name w:val="Block Text"/>
    <w:basedOn w:val="900"/>
    <w:next w:val="900"/>
    <w:uiPriority w:val="0"/>
    <w:unhideWhenUsed/>
    <w:qFormat/>
    <w:pPr>
      <w:ind w:left="1440" w:right="1440"/>
      <w:spacing w:after="120"/>
    </w:pPr>
  </w:style>
  <w:style w:type="paragraph" w:styleId="923">
    <w:name w:val="index 4"/>
    <w:basedOn w:val="900"/>
    <w:next w:val="900"/>
    <w:uiPriority w:val="99"/>
    <w:unhideWhenUsed/>
    <w:qFormat/>
    <w:pPr>
      <w:ind w:left="600"/>
    </w:pPr>
  </w:style>
  <w:style w:type="paragraph" w:styleId="924">
    <w:name w:val="toc 5"/>
    <w:basedOn w:val="900"/>
    <w:next w:val="900"/>
    <w:uiPriority w:val="39"/>
    <w:unhideWhenUsed/>
    <w:qFormat/>
    <w:pPr>
      <w:ind w:left="1134"/>
      <w:spacing w:after="57"/>
    </w:pPr>
  </w:style>
  <w:style w:type="paragraph" w:styleId="925">
    <w:name w:val="toc 3"/>
    <w:basedOn w:val="900"/>
    <w:next w:val="900"/>
    <w:uiPriority w:val="39"/>
    <w:unhideWhenUsed/>
    <w:qFormat/>
    <w:pPr>
      <w:ind w:left="567"/>
      <w:spacing w:after="57"/>
    </w:pPr>
  </w:style>
  <w:style w:type="paragraph" w:styleId="926">
    <w:name w:val="Plain Text"/>
    <w:basedOn w:val="900"/>
    <w:link w:val="1126"/>
    <w:uiPriority w:val="99"/>
    <w:unhideWhenUsed/>
    <w:qFormat/>
    <w:rPr>
      <w:rFonts w:ascii="Ari"/>
    </w:rPr>
  </w:style>
  <w:style w:type="paragraph" w:styleId="927">
    <w:name w:val="toc 8"/>
    <w:basedOn w:val="900"/>
    <w:next w:val="900"/>
    <w:uiPriority w:val="39"/>
    <w:unhideWhenUsed/>
    <w:qFormat/>
    <w:pPr>
      <w:ind w:left="1984"/>
      <w:spacing w:after="57"/>
    </w:pPr>
  </w:style>
  <w:style w:type="paragraph" w:styleId="928">
    <w:name w:val="Date"/>
    <w:basedOn w:val="900"/>
    <w:next w:val="900"/>
    <w:link w:val="1128"/>
    <w:uiPriority w:val="99"/>
    <w:unhideWhenUsed/>
    <w:qFormat/>
  </w:style>
  <w:style w:type="paragraph" w:styleId="929">
    <w:name w:val="Body Text Indent 2"/>
    <w:basedOn w:val="900"/>
    <w:link w:val="1129"/>
    <w:uiPriority w:val="99"/>
    <w:unhideWhenUsed/>
    <w:qFormat/>
    <w:pPr>
      <w:ind w:firstLine="525"/>
      <w:spacing w:line="420" w:lineRule="exact"/>
    </w:pPr>
    <w:rPr>
      <w:rFonts w:ascii="宋体"/>
      <w:sz w:val="20"/>
      <w:szCs w:val="20"/>
    </w:rPr>
  </w:style>
  <w:style w:type="paragraph" w:styleId="930">
    <w:name w:val="endnote text"/>
    <w:basedOn w:val="900"/>
    <w:link w:val="1107"/>
    <w:uiPriority w:val="99"/>
    <w:semiHidden/>
    <w:unhideWhenUsed/>
    <w:qFormat/>
    <w:rPr>
      <w:sz w:val="20"/>
    </w:rPr>
  </w:style>
  <w:style w:type="paragraph" w:styleId="931">
    <w:name w:val="Balloon Text"/>
    <w:basedOn w:val="900"/>
    <w:link w:val="1130"/>
    <w:uiPriority w:val="99"/>
    <w:unhideWhenUsed/>
    <w:qFormat/>
    <w:rPr>
      <w:sz w:val="18"/>
      <w:szCs w:val="18"/>
    </w:rPr>
  </w:style>
  <w:style w:type="paragraph" w:styleId="932">
    <w:name w:val="Footer"/>
    <w:basedOn w:val="900"/>
    <w:link w:val="1131"/>
    <w:uiPriority w:val="99"/>
    <w:unhideWhenUsed/>
    <w:qFormat/>
    <w:pPr>
      <w:jc w:val="left"/>
      <w:tabs>
        <w:tab w:val="center" w:pos="4153" w:leader="none"/>
        <w:tab w:val="right" w:pos="8306" w:leader="none"/>
      </w:tabs>
    </w:pPr>
    <w:rPr>
      <w:sz w:val="18"/>
      <w:szCs w:val="18"/>
    </w:rPr>
  </w:style>
  <w:style w:type="paragraph" w:styleId="933">
    <w:name w:val="Header"/>
    <w:basedOn w:val="900"/>
    <w:link w:val="11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4">
    <w:name w:val="toc 1"/>
    <w:basedOn w:val="900"/>
    <w:next w:val="900"/>
    <w:uiPriority w:val="39"/>
    <w:unhideWhenUsed/>
    <w:qFormat/>
    <w:pPr>
      <w:spacing w:after="57"/>
    </w:pPr>
  </w:style>
  <w:style w:type="paragraph" w:styleId="935">
    <w:name w:val="toc 4"/>
    <w:basedOn w:val="900"/>
    <w:next w:val="900"/>
    <w:uiPriority w:val="39"/>
    <w:unhideWhenUsed/>
    <w:qFormat/>
    <w:pPr>
      <w:ind w:left="850"/>
      <w:spacing w:after="57"/>
    </w:pPr>
  </w:style>
  <w:style w:type="paragraph" w:styleId="936">
    <w:name w:val="Subtitle"/>
    <w:basedOn w:val="900"/>
    <w:next w:val="900"/>
    <w:link w:val="1135"/>
    <w:uiPriority w:val="99"/>
    <w:qFormat/>
    <w:pPr>
      <w:jc w:val="center"/>
      <w:spacing w:before="240" w:after="60" w:line="312" w:lineRule="auto"/>
      <w:outlineLvl w:val="1"/>
    </w:pPr>
    <w:rPr>
      <w:rFonts w:ascii="Cambria" w:hAnsi="Cambria"/>
      <w:b/>
      <w:bCs/>
      <w:sz w:val="32"/>
      <w:szCs w:val="32"/>
    </w:rPr>
  </w:style>
  <w:style w:type="paragraph" w:styleId="937">
    <w:name w:val="footnote text"/>
    <w:basedOn w:val="900"/>
    <w:link w:val="1136"/>
    <w:uiPriority w:val="99"/>
    <w:unhideWhenUsed/>
    <w:qFormat/>
    <w:pPr>
      <w:jc w:val="left"/>
    </w:pPr>
    <w:rPr>
      <w:sz w:val="18"/>
      <w:szCs w:val="18"/>
    </w:rPr>
  </w:style>
  <w:style w:type="paragraph" w:styleId="938">
    <w:name w:val="toc 6"/>
    <w:basedOn w:val="900"/>
    <w:next w:val="900"/>
    <w:uiPriority w:val="39"/>
    <w:unhideWhenUsed/>
    <w:qFormat/>
    <w:pPr>
      <w:ind w:left="1417"/>
      <w:spacing w:after="57"/>
    </w:pPr>
  </w:style>
  <w:style w:type="paragraph" w:styleId="939">
    <w:name w:val="Body Text Indent 3"/>
    <w:basedOn w:val="900"/>
    <w:link w:val="1138"/>
    <w:uiPriority w:val="99"/>
    <w:unhideWhenUsed/>
    <w:qFormat/>
    <w:pPr>
      <w:ind w:left="420"/>
      <w:spacing w:after="120"/>
    </w:pPr>
    <w:rPr>
      <w:sz w:val="16"/>
      <w:szCs w:val="20"/>
    </w:rPr>
  </w:style>
  <w:style w:type="paragraph" w:styleId="940">
    <w:name w:val="table of figures"/>
    <w:basedOn w:val="900"/>
    <w:next w:val="900"/>
    <w:uiPriority w:val="99"/>
    <w:unhideWhenUsed/>
    <w:qFormat/>
  </w:style>
  <w:style w:type="paragraph" w:styleId="941">
    <w:name w:val="toc 2"/>
    <w:basedOn w:val="900"/>
    <w:next w:val="900"/>
    <w:uiPriority w:val="39"/>
    <w:unhideWhenUsed/>
    <w:qFormat/>
    <w:pPr>
      <w:ind w:left="283"/>
      <w:spacing w:after="57"/>
    </w:pPr>
  </w:style>
  <w:style w:type="paragraph" w:styleId="942">
    <w:name w:val="toc 9"/>
    <w:basedOn w:val="900"/>
    <w:next w:val="900"/>
    <w:uiPriority w:val="39"/>
    <w:unhideWhenUsed/>
    <w:qFormat/>
    <w:pPr>
      <w:ind w:left="2268"/>
      <w:spacing w:after="57"/>
    </w:pPr>
  </w:style>
  <w:style w:type="paragraph" w:styleId="943">
    <w:name w:val="Body Text 2"/>
    <w:basedOn w:val="900"/>
    <w:link w:val="1141"/>
    <w:uiPriority w:val="99"/>
    <w:unhideWhenUsed/>
    <w:qFormat/>
    <w:rPr>
      <w:rFonts w:ascii="华文细黑" w:hAnsi="华文细黑" w:eastAsia="华文细黑"/>
      <w:b/>
      <w:bCs/>
      <w:sz w:val="24"/>
    </w:rPr>
  </w:style>
  <w:style w:type="paragraph" w:styleId="944">
    <w:name w:val="HTML Preformatted"/>
    <w:basedOn w:val="900"/>
    <w:link w:val="11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5">
    <w:name w:val="Normal (Web)"/>
    <w:basedOn w:val="900"/>
    <w:uiPriority w:val="99"/>
    <w:unhideWhenUsed/>
    <w:qFormat/>
    <w:pPr>
      <w:jc w:val="left"/>
      <w:spacing w:before="100" w:beforeAutospacing="1" w:after="100" w:afterAutospacing="1"/>
      <w:widowControl/>
    </w:pPr>
    <w:rPr>
      <w:rFonts w:ascii="宋体" w:hAnsi="宋体" w:cs="宋体"/>
      <w:sz w:val="24"/>
    </w:rPr>
  </w:style>
  <w:style w:type="paragraph" w:styleId="946">
    <w:name w:val="index 1"/>
    <w:basedOn w:val="900"/>
    <w:next w:val="900"/>
    <w:uiPriority w:val="99"/>
    <w:unhideWhenUsed/>
    <w:qFormat/>
    <w:pPr>
      <w:jc w:val="center"/>
      <w:spacing w:line="220" w:lineRule="exact"/>
    </w:pPr>
    <w:rPr>
      <w:rFonts w:ascii="仿宋_GB2312" w:hAnsi="Calibri" w:eastAsia="仿宋_GB2312"/>
      <w:szCs w:val="22"/>
    </w:rPr>
  </w:style>
  <w:style w:type="paragraph" w:styleId="947">
    <w:name w:val="Title"/>
    <w:basedOn w:val="900"/>
    <w:next w:val="900"/>
    <w:link w:val="1143"/>
    <w:uiPriority w:val="99"/>
    <w:qFormat/>
    <w:pPr>
      <w:jc w:val="center"/>
      <w:spacing w:before="240" w:after="60" w:line="420" w:lineRule="atLeast"/>
      <w:outlineLvl w:val="0"/>
    </w:pPr>
    <w:rPr>
      <w:rFonts w:ascii="Arial" w:hAnsi="Arial"/>
      <w:b/>
      <w:sz w:val="32"/>
      <w:szCs w:val="20"/>
    </w:rPr>
  </w:style>
  <w:style w:type="paragraph" w:styleId="948">
    <w:name w:val="annotation subject"/>
    <w:basedOn w:val="917"/>
    <w:next w:val="917"/>
    <w:link w:val="1144"/>
    <w:uiPriority w:val="99"/>
    <w:unhideWhenUsed/>
    <w:qFormat/>
    <w:rPr>
      <w:b/>
      <w:bCs/>
    </w:rPr>
  </w:style>
  <w:style w:type="paragraph" w:styleId="949">
    <w:name w:val="Body Text First Indent 2"/>
    <w:basedOn w:val="920"/>
    <w:next w:val="900"/>
    <w:uiPriority w:val="0"/>
    <w:qFormat/>
    <w:pPr>
      <w:ind w:firstLine="420"/>
      <w:spacing w:line="360" w:lineRule="auto"/>
    </w:pPr>
    <w:rPr>
      <w:rFonts w:ascii="宋体" w:hAnsi="宋体"/>
    </w:rPr>
  </w:style>
  <w:style w:type="table" w:styleId="950">
    <w:name w:val="Table Grid"/>
    <w:basedOn w:val="91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uiPriority w:val="0"/>
    <w:qFormat/>
    <w:rPr>
      <w:rFonts w:ascii="Times New Roman" w:hAnsi="Times New Roman" w:cs="Times New Roman"/>
      <w:b/>
    </w:rPr>
  </w:style>
  <w:style w:type="character" w:styleId="952">
    <w:name w:val="endnote reference"/>
    <w:uiPriority w:val="99"/>
    <w:semiHidden/>
    <w:unhideWhenUsed/>
    <w:qFormat/>
    <w:rPr>
      <w:vertAlign w:val="superscript"/>
    </w:rPr>
  </w:style>
  <w:style w:type="character" w:styleId="953">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54">
    <w:name w:val="Emphasis"/>
    <w:uiPriority w:val="0"/>
    <w:qFormat/>
    <w:rPr>
      <w:color w:val="cc0000"/>
    </w:rPr>
  </w:style>
  <w:style w:type="character" w:styleId="955">
    <w:name w:val="Hyperlink"/>
    <w:basedOn w:val="910"/>
    <w:uiPriority w:val="99"/>
    <w:unhideWhenUsed/>
    <w:qFormat/>
    <w:rPr>
      <w:color w:val="0000ff"/>
      <w:u w:val="single"/>
    </w:rPr>
  </w:style>
  <w:style w:type="character" w:styleId="956">
    <w:name w:val="annotation reference"/>
    <w:uiPriority w:val="99"/>
    <w:unhideWhenUsed/>
    <w:qFormat/>
    <w:rPr>
      <w:sz w:val="21"/>
      <w:szCs w:val="21"/>
    </w:rPr>
  </w:style>
  <w:style w:type="character" w:styleId="957">
    <w:name w:val="HTML Cite"/>
    <w:uiPriority w:val="0"/>
    <w:unhideWhenUsed/>
    <w:qFormat/>
    <w:rPr>
      <w:color w:val="008000"/>
    </w:rPr>
  </w:style>
  <w:style w:type="character" w:styleId="958">
    <w:name w:val="footnote reference"/>
    <w:uiPriority w:val="99"/>
    <w:unhideWhenUsed/>
    <w:qFormat/>
    <w:rPr>
      <w:vertAlign w:val="superscript"/>
    </w:rPr>
  </w:style>
  <w:style w:type="paragraph" w:styleId="959" w:customStyle="1">
    <w:name w:val="列表段落1"/>
    <w:basedOn w:val="900"/>
    <w:uiPriority w:val="99"/>
    <w:qFormat/>
    <w:pPr>
      <w:ind w:firstLine="420"/>
    </w:pPr>
    <w:rPr>
      <w:szCs w:val="20"/>
    </w:rPr>
  </w:style>
  <w:style w:type="paragraph" w:styleId="960" w:customStyle="1">
    <w:name w:val="样式1"/>
    <w:basedOn w:val="900"/>
    <w:uiPriority w:val="0"/>
    <w:qFormat/>
    <w:pPr>
      <w:jc w:val="center"/>
    </w:pPr>
  </w:style>
  <w:style w:type="character" w:styleId="961" w:customStyle="1">
    <w:name w:val="Heading 1 Char"/>
    <w:uiPriority w:val="9"/>
    <w:qFormat/>
    <w:rPr>
      <w:rFonts w:ascii="Arial" w:hAnsi="Arial" w:eastAsia="Arial" w:cs="Arial"/>
      <w:sz w:val="40"/>
      <w:szCs w:val="40"/>
    </w:rPr>
  </w:style>
  <w:style w:type="character" w:styleId="962" w:customStyle="1">
    <w:name w:val="Heading 2 Char"/>
    <w:uiPriority w:val="9"/>
    <w:qFormat/>
    <w:rPr>
      <w:rFonts w:ascii="Arial" w:hAnsi="Arial" w:eastAsia="Arial" w:cs="Arial"/>
      <w:sz w:val="34"/>
    </w:rPr>
  </w:style>
  <w:style w:type="character" w:styleId="963" w:customStyle="1">
    <w:name w:val="Heading 3 Char"/>
    <w:uiPriority w:val="9"/>
    <w:qFormat/>
    <w:rPr>
      <w:rFonts w:ascii="Arial" w:hAnsi="Arial" w:eastAsia="Arial" w:cs="Arial"/>
      <w:sz w:val="30"/>
      <w:szCs w:val="30"/>
    </w:rPr>
  </w:style>
  <w:style w:type="character" w:styleId="964" w:customStyle="1">
    <w:name w:val="Heading 4 Char"/>
    <w:uiPriority w:val="9"/>
    <w:qFormat/>
    <w:rPr>
      <w:rFonts w:ascii="Arial" w:hAnsi="Arial" w:eastAsia="Arial" w:cs="Arial"/>
      <w:b/>
      <w:bCs/>
      <w:sz w:val="26"/>
      <w:szCs w:val="26"/>
    </w:rPr>
  </w:style>
  <w:style w:type="character" w:styleId="965" w:customStyle="1">
    <w:name w:val="Heading 5 Char"/>
    <w:uiPriority w:val="9"/>
    <w:qFormat/>
    <w:rPr>
      <w:rFonts w:ascii="Arial" w:hAnsi="Arial" w:eastAsia="Arial" w:cs="Arial"/>
      <w:b/>
      <w:bCs/>
      <w:sz w:val="24"/>
      <w:szCs w:val="24"/>
    </w:rPr>
  </w:style>
  <w:style w:type="character" w:styleId="966" w:customStyle="1">
    <w:name w:val="Heading 6 Char"/>
    <w:uiPriority w:val="9"/>
    <w:qFormat/>
    <w:rPr>
      <w:rFonts w:ascii="Arial" w:hAnsi="Arial" w:eastAsia="Arial" w:cs="Arial"/>
      <w:b/>
      <w:bCs/>
      <w:sz w:val="22"/>
      <w:szCs w:val="22"/>
    </w:rPr>
  </w:style>
  <w:style w:type="character" w:styleId="967" w:customStyle="1">
    <w:name w:val="Heading 7 Char"/>
    <w:uiPriority w:val="9"/>
    <w:qFormat/>
    <w:rPr>
      <w:rFonts w:ascii="Arial" w:hAnsi="Arial" w:eastAsia="Arial" w:cs="Arial"/>
      <w:b/>
      <w:bCs/>
      <w:i/>
      <w:iCs/>
      <w:sz w:val="22"/>
      <w:szCs w:val="22"/>
    </w:rPr>
  </w:style>
  <w:style w:type="character" w:styleId="968" w:customStyle="1">
    <w:name w:val="Heading 8 Char"/>
    <w:uiPriority w:val="9"/>
    <w:qFormat/>
    <w:rPr>
      <w:rFonts w:ascii="Arial" w:hAnsi="Arial" w:eastAsia="Arial" w:cs="Arial"/>
      <w:i/>
      <w:iCs/>
      <w:sz w:val="22"/>
      <w:szCs w:val="22"/>
    </w:rPr>
  </w:style>
  <w:style w:type="character" w:styleId="969" w:customStyle="1">
    <w:name w:val="Heading 9 Char"/>
    <w:uiPriority w:val="9"/>
    <w:qFormat/>
    <w:rPr>
      <w:rFonts w:ascii="Arial" w:hAnsi="Arial" w:eastAsia="Arial" w:cs="Arial"/>
      <w:i/>
      <w:iCs/>
      <w:sz w:val="21"/>
      <w:szCs w:val="21"/>
    </w:rPr>
  </w:style>
  <w:style w:type="paragraph" w:styleId="970">
    <w:name w:val="List Paragraph"/>
    <w:basedOn w:val="900"/>
    <w:uiPriority w:val="34"/>
    <w:qFormat/>
    <w:pPr>
      <w:ind w:firstLine="420"/>
    </w:pPr>
  </w:style>
  <w:style w:type="paragraph" w:styleId="971">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900"/>
    <w:next w:val="900"/>
    <w:link w:val="975"/>
    <w:uiPriority w:val="29"/>
    <w:qFormat/>
    <w:pPr>
      <w:ind w:left="720" w:right="720"/>
    </w:pPr>
    <w:rPr>
      <w:i/>
    </w:rPr>
  </w:style>
  <w:style w:type="character" w:styleId="975" w:customStyle="1">
    <w:name w:val="引用 Char3"/>
    <w:link w:val="974"/>
    <w:uiPriority w:val="29"/>
    <w:qFormat/>
    <w:rPr>
      <w:i/>
    </w:rPr>
  </w:style>
  <w:style w:type="paragraph" w:styleId="976">
    <w:name w:val="Intense Quote"/>
    <w:basedOn w:val="900"/>
    <w:next w:val="900"/>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3"/>
    <w:link w:val="976"/>
    <w:uiPriority w:val="30"/>
    <w:qFormat/>
    <w:rPr>
      <w:i/>
    </w:rPr>
  </w:style>
  <w:style w:type="character" w:styleId="978" w:customStyle="1">
    <w:name w:val="Header Char"/>
    <w:uiPriority w:val="99"/>
    <w:qFormat/>
  </w:style>
  <w:style w:type="character" w:styleId="979" w:customStyle="1">
    <w:name w:val="Footer Char"/>
    <w:uiPriority w:val="99"/>
    <w:qFormat/>
  </w:style>
  <w:style w:type="character" w:styleId="980" w:customStyle="1">
    <w:name w:val="Caption Char"/>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uiPriority w:val="99"/>
    <w:qFormat/>
    <w:rPr>
      <w:sz w:val="18"/>
    </w:rPr>
  </w:style>
  <w:style w:type="character" w:styleId="1107" w:customStyle="1">
    <w:name w:val="尾注文本 Char"/>
    <w:link w:val="93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character" w:styleId="1109" w:customStyle="1">
    <w:name w:val="标题 1 Char1"/>
    <w:link w:val="901"/>
    <w:uiPriority w:val="0"/>
    <w:qFormat/>
    <w:rPr>
      <w:rFonts w:ascii="Times New Roman" w:hAnsi="Times New Roman" w:eastAsia="宋体" w:cs="Times New Roman"/>
      <w:b/>
      <w:bCs/>
      <w:sz w:val="32"/>
      <w:szCs w:val="44"/>
    </w:rPr>
  </w:style>
  <w:style w:type="character" w:styleId="1110" w:customStyle="1">
    <w:name w:val="标题 2 Char"/>
    <w:link w:val="902"/>
    <w:uiPriority w:val="0"/>
    <w:semiHidden/>
    <w:qFormat/>
    <w:rPr>
      <w:rFonts w:ascii="Cambria" w:hAnsi="Cambria" w:eastAsia="宋体" w:cs="Times New Roman"/>
      <w:b/>
      <w:bCs/>
      <w:sz w:val="32"/>
      <w:szCs w:val="32"/>
    </w:rPr>
  </w:style>
  <w:style w:type="character" w:styleId="1111" w:customStyle="1">
    <w:name w:val="标题 3 Char"/>
    <w:link w:val="903"/>
    <w:uiPriority w:val="0"/>
    <w:semiHidden/>
    <w:qFormat/>
    <w:rPr>
      <w:rFonts w:ascii="Times New Roman" w:hAnsi="Times New Roman" w:eastAsia="宋体" w:cs="Times New Roman"/>
      <w:b/>
      <w:bCs/>
      <w:sz w:val="32"/>
      <w:szCs w:val="32"/>
    </w:rPr>
  </w:style>
  <w:style w:type="character" w:styleId="1112" w:customStyle="1">
    <w:name w:val="标题 4 Char"/>
    <w:link w:val="904"/>
    <w:uiPriority w:val="0"/>
    <w:semiHidden/>
    <w:qFormat/>
    <w:rPr>
      <w:rFonts w:ascii="Cambria" w:hAnsi="Cambria" w:eastAsia="宋体" w:cs="Times New Roman"/>
      <w:b/>
      <w:bCs/>
      <w:sz w:val="28"/>
      <w:szCs w:val="28"/>
    </w:rPr>
  </w:style>
  <w:style w:type="character" w:styleId="1113" w:customStyle="1">
    <w:name w:val="标题 5 Char"/>
    <w:link w:val="905"/>
    <w:uiPriority w:val="0"/>
    <w:semiHidden/>
    <w:qFormat/>
    <w:rPr>
      <w:rFonts w:ascii="Times New Roman" w:hAnsi="Times New Roman" w:eastAsia="宋体" w:cs="Times New Roman"/>
      <w:b/>
      <w:bCs/>
      <w:sz w:val="28"/>
      <w:szCs w:val="28"/>
    </w:rPr>
  </w:style>
  <w:style w:type="character" w:styleId="1114" w:customStyle="1">
    <w:name w:val="标题 6 Char"/>
    <w:link w:val="906"/>
    <w:uiPriority w:val="0"/>
    <w:semiHidden/>
    <w:qFormat/>
    <w:rPr>
      <w:rFonts w:ascii="Cambria" w:hAnsi="Cambria" w:eastAsia="宋体" w:cs="Times New Roman"/>
      <w:b/>
      <w:bCs/>
      <w:sz w:val="24"/>
      <w:szCs w:val="24"/>
    </w:rPr>
  </w:style>
  <w:style w:type="character" w:styleId="1115" w:customStyle="1">
    <w:name w:val="标题 7 Char"/>
    <w:link w:val="907"/>
    <w:uiPriority w:val="99"/>
    <w:semiHidden/>
    <w:qFormat/>
    <w:rPr>
      <w:rFonts w:ascii="Times New Roman" w:hAnsi="Times New Roman" w:eastAsia="宋体" w:cs="Times New Roman"/>
      <w:b/>
      <w:bCs/>
      <w:sz w:val="24"/>
      <w:szCs w:val="24"/>
    </w:rPr>
  </w:style>
  <w:style w:type="character" w:styleId="1116" w:customStyle="1">
    <w:name w:val="标题 8 Char"/>
    <w:link w:val="908"/>
    <w:uiPriority w:val="99"/>
    <w:semiHidden/>
    <w:qFormat/>
    <w:rPr>
      <w:rFonts w:ascii="Cambria" w:hAnsi="Cambria" w:eastAsia="宋体" w:cs="Times New Roman"/>
      <w:sz w:val="24"/>
      <w:szCs w:val="24"/>
    </w:rPr>
  </w:style>
  <w:style w:type="character" w:styleId="1117" w:customStyle="1">
    <w:name w:val="标题 9 Char"/>
    <w:link w:val="909"/>
    <w:uiPriority w:val="99"/>
    <w:semiHidden/>
    <w:qFormat/>
    <w:rPr>
      <w:rFonts w:ascii="Cambria" w:hAnsi="Cambria" w:eastAsia="宋体" w:cs="Times New Roman"/>
      <w:szCs w:val="21"/>
    </w:rPr>
  </w:style>
  <w:style w:type="paragraph" w:styleId="1118" w:customStyle="1">
    <w:name w:val="目录 71"/>
    <w:basedOn w:val="900"/>
    <w:next w:val="900"/>
    <w:uiPriority w:val="39"/>
    <w:unhideWhenUsed/>
    <w:qFormat/>
    <w:pPr>
      <w:ind w:left="2520"/>
    </w:pPr>
    <w:rPr>
      <w:rFonts w:ascii="Calibri" w:hAnsi="Calibri"/>
      <w:szCs w:val="22"/>
    </w:rPr>
  </w:style>
  <w:style w:type="character" w:styleId="1119" w:customStyle="1">
    <w:name w:val="文档结构图 Char"/>
    <w:link w:val="916"/>
    <w:uiPriority w:val="99"/>
    <w:semiHidden/>
    <w:qFormat/>
    <w:rPr>
      <w:rFonts w:ascii="宋体" w:hAnsi="Times New Roman" w:eastAsia="宋体" w:cs="Times New Roman"/>
      <w:sz w:val="18"/>
      <w:szCs w:val="18"/>
    </w:rPr>
  </w:style>
  <w:style w:type="character" w:styleId="1120" w:customStyle="1">
    <w:name w:val="批注文字 Char"/>
    <w:link w:val="917"/>
    <w:uiPriority w:val="99"/>
    <w:qFormat/>
    <w:rPr>
      <w:rFonts w:ascii="Times New Roman" w:hAnsi="Times New Roman" w:eastAsia="宋体" w:cs="Times New Roman"/>
      <w:szCs w:val="24"/>
    </w:rPr>
  </w:style>
  <w:style w:type="character" w:styleId="1121" w:customStyle="1">
    <w:name w:val="正文文本 3 Char"/>
    <w:link w:val="918"/>
    <w:uiPriority w:val="99"/>
    <w:semiHidden/>
    <w:qFormat/>
    <w:rPr>
      <w:rFonts w:ascii="宋体" w:hAnsi="Times New Roman" w:eastAsia="宋体" w:cs="Times New Roman"/>
      <w:sz w:val="24"/>
      <w:szCs w:val="20"/>
    </w:rPr>
  </w:style>
  <w:style w:type="character" w:styleId="1122" w:customStyle="1">
    <w:name w:val="正文文本 Char"/>
    <w:link w:val="919"/>
    <w:uiPriority w:val="99"/>
    <w:semiHidden/>
    <w:qFormat/>
    <w:rPr>
      <w:rFonts w:ascii="Times New Roman" w:hAnsi="Times New Roman" w:eastAsia="幼圆" w:cs="Times New Roman"/>
      <w:b/>
      <w:bCs/>
      <w:sz w:val="44"/>
      <w:szCs w:val="24"/>
    </w:rPr>
  </w:style>
  <w:style w:type="character" w:styleId="1123" w:customStyle="1">
    <w:name w:val="正文文本缩进 Char"/>
    <w:link w:val="920"/>
    <w:uiPriority w:val="99"/>
    <w:semiHidden/>
    <w:qFormat/>
    <w:rPr>
      <w:rFonts w:ascii="Times New Roman" w:hAnsi="Times New Roman" w:eastAsia="宋体" w:cs="Times New Roman"/>
      <w:szCs w:val="24"/>
    </w:rPr>
  </w:style>
  <w:style w:type="paragraph" w:styleId="1124" w:customStyle="1">
    <w:name w:val="目录 51"/>
    <w:basedOn w:val="900"/>
    <w:next w:val="900"/>
    <w:uiPriority w:val="39"/>
    <w:unhideWhenUsed/>
    <w:qFormat/>
    <w:pPr>
      <w:ind w:left="1680"/>
    </w:pPr>
    <w:rPr>
      <w:rFonts w:ascii="Calibri" w:hAnsi="Calibri"/>
      <w:szCs w:val="22"/>
    </w:rPr>
  </w:style>
  <w:style w:type="paragraph" w:styleId="1125" w:customStyle="1">
    <w:name w:val="目录 31"/>
    <w:basedOn w:val="900"/>
    <w:next w:val="900"/>
    <w:uiPriority w:val="39"/>
    <w:unhideWhenUsed/>
    <w:qFormat/>
    <w:pPr>
      <w:ind w:left="840"/>
    </w:pPr>
    <w:rPr>
      <w:rFonts w:ascii="Calibri" w:hAnsi="Calibri"/>
      <w:szCs w:val="22"/>
    </w:rPr>
  </w:style>
  <w:style w:type="character" w:styleId="1126" w:customStyle="1">
    <w:name w:val="纯文本 Char"/>
    <w:link w:val="926"/>
    <w:uiPriority w:val="99"/>
    <w:semiHidden/>
    <w:qFormat/>
    <w:rPr>
      <w:rFonts w:ascii="Ari" w:hAnsi="Times New Roman" w:eastAsia="宋体" w:cs="Times New Roman"/>
      <w:szCs w:val="24"/>
    </w:rPr>
  </w:style>
  <w:style w:type="paragraph" w:styleId="1127" w:customStyle="1">
    <w:name w:val="目录 81"/>
    <w:basedOn w:val="900"/>
    <w:next w:val="900"/>
    <w:uiPriority w:val="39"/>
    <w:unhideWhenUsed/>
    <w:qFormat/>
    <w:pPr>
      <w:ind w:left="2940"/>
    </w:pPr>
    <w:rPr>
      <w:rFonts w:ascii="Calibri" w:hAnsi="Calibri"/>
      <w:szCs w:val="22"/>
    </w:rPr>
  </w:style>
  <w:style w:type="character" w:styleId="1128" w:customStyle="1">
    <w:name w:val="日期 Char"/>
    <w:link w:val="928"/>
    <w:uiPriority w:val="99"/>
    <w:semiHidden/>
    <w:qFormat/>
    <w:rPr>
      <w:rFonts w:ascii="Times New Roman" w:hAnsi="Times New Roman" w:eastAsia="宋体" w:cs="Times New Roman"/>
      <w:szCs w:val="24"/>
    </w:rPr>
  </w:style>
  <w:style w:type="character" w:styleId="1129" w:customStyle="1">
    <w:name w:val="正文文本缩进 2 Char"/>
    <w:link w:val="929"/>
    <w:uiPriority w:val="99"/>
    <w:semiHidden/>
    <w:qFormat/>
    <w:rPr>
      <w:rFonts w:ascii="宋体" w:hAnsi="Times New Roman" w:eastAsia="宋体" w:cs="Times New Roman"/>
      <w:sz w:val="20"/>
      <w:szCs w:val="20"/>
    </w:rPr>
  </w:style>
  <w:style w:type="character" w:styleId="1130" w:customStyle="1">
    <w:name w:val="批注框文本 Char"/>
    <w:link w:val="931"/>
    <w:uiPriority w:val="99"/>
    <w:semiHidden/>
    <w:qFormat/>
    <w:rPr>
      <w:rFonts w:ascii="Times New Roman" w:hAnsi="Times New Roman" w:eastAsia="宋体" w:cs="Times New Roman"/>
      <w:sz w:val="18"/>
      <w:szCs w:val="18"/>
    </w:rPr>
  </w:style>
  <w:style w:type="character" w:styleId="1131" w:customStyle="1">
    <w:name w:val="页脚 Char"/>
    <w:link w:val="932"/>
    <w:uiPriority w:val="99"/>
    <w:qFormat/>
    <w:rPr>
      <w:sz w:val="18"/>
      <w:szCs w:val="18"/>
    </w:rPr>
  </w:style>
  <w:style w:type="character" w:styleId="1132" w:customStyle="1">
    <w:name w:val="页眉 Char"/>
    <w:link w:val="933"/>
    <w:uiPriority w:val="99"/>
    <w:qFormat/>
    <w:rPr>
      <w:sz w:val="18"/>
      <w:szCs w:val="18"/>
    </w:rPr>
  </w:style>
  <w:style w:type="paragraph" w:styleId="1133" w:customStyle="1">
    <w:name w:val="目录 11"/>
    <w:basedOn w:val="900"/>
    <w:next w:val="900"/>
    <w:uiPriority w:val="39"/>
    <w:unhideWhenUsed/>
    <w:qFormat/>
  </w:style>
  <w:style w:type="paragraph" w:styleId="1134" w:customStyle="1">
    <w:name w:val="目录 41"/>
    <w:basedOn w:val="900"/>
    <w:next w:val="900"/>
    <w:uiPriority w:val="39"/>
    <w:unhideWhenUsed/>
    <w:qFormat/>
    <w:pPr>
      <w:ind w:left="1260"/>
    </w:pPr>
    <w:rPr>
      <w:rFonts w:ascii="Calibri" w:hAnsi="Calibri"/>
      <w:szCs w:val="22"/>
    </w:rPr>
  </w:style>
  <w:style w:type="character" w:styleId="1135" w:customStyle="1">
    <w:name w:val="副标题 Char"/>
    <w:link w:val="936"/>
    <w:uiPriority w:val="99"/>
    <w:qFormat/>
    <w:rPr>
      <w:rFonts w:ascii="Cambria" w:hAnsi="Cambria" w:eastAsia="宋体" w:cs="Times New Roman"/>
      <w:b/>
      <w:bCs/>
      <w:sz w:val="32"/>
      <w:szCs w:val="32"/>
    </w:rPr>
  </w:style>
  <w:style w:type="character" w:styleId="1136" w:customStyle="1">
    <w:name w:val="脚注文本 Char"/>
    <w:link w:val="937"/>
    <w:uiPriority w:val="99"/>
    <w:semiHidden/>
    <w:qFormat/>
    <w:rPr>
      <w:rFonts w:ascii="Times New Roman" w:hAnsi="Times New Roman" w:eastAsia="宋体" w:cs="Times New Roman"/>
      <w:sz w:val="18"/>
      <w:szCs w:val="18"/>
    </w:rPr>
  </w:style>
  <w:style w:type="paragraph" w:styleId="1137" w:customStyle="1">
    <w:name w:val="目录 61"/>
    <w:basedOn w:val="900"/>
    <w:next w:val="900"/>
    <w:uiPriority w:val="39"/>
    <w:unhideWhenUsed/>
    <w:qFormat/>
    <w:pPr>
      <w:ind w:left="2100"/>
    </w:pPr>
    <w:rPr>
      <w:rFonts w:ascii="Calibri" w:hAnsi="Calibri"/>
      <w:szCs w:val="22"/>
    </w:rPr>
  </w:style>
  <w:style w:type="character" w:styleId="1138" w:customStyle="1">
    <w:name w:val="正文文本缩进 3 Char"/>
    <w:link w:val="939"/>
    <w:uiPriority w:val="99"/>
    <w:semiHidden/>
    <w:qFormat/>
    <w:rPr>
      <w:rFonts w:ascii="Times New Roman" w:hAnsi="Times New Roman" w:eastAsia="宋体" w:cs="Times New Roman"/>
      <w:sz w:val="16"/>
      <w:szCs w:val="20"/>
    </w:rPr>
  </w:style>
  <w:style w:type="paragraph" w:styleId="1139" w:customStyle="1">
    <w:name w:val="目录 21"/>
    <w:basedOn w:val="900"/>
    <w:next w:val="900"/>
    <w:uiPriority w:val="39"/>
    <w:unhideWhenUsed/>
    <w:qFormat/>
    <w:pPr>
      <w:ind w:left="420"/>
    </w:pPr>
    <w:rPr>
      <w:rFonts w:ascii="Calibri" w:hAnsi="Calibri"/>
      <w:szCs w:val="22"/>
    </w:rPr>
  </w:style>
  <w:style w:type="paragraph" w:styleId="1140" w:customStyle="1">
    <w:name w:val="目录 91"/>
    <w:basedOn w:val="900"/>
    <w:next w:val="900"/>
    <w:uiPriority w:val="39"/>
    <w:unhideWhenUsed/>
    <w:qFormat/>
    <w:pPr>
      <w:ind w:left="3360"/>
    </w:pPr>
    <w:rPr>
      <w:rFonts w:ascii="Calibri" w:hAnsi="Calibri"/>
      <w:szCs w:val="22"/>
    </w:rPr>
  </w:style>
  <w:style w:type="character" w:styleId="1141" w:customStyle="1">
    <w:name w:val="正文文本 2 Char"/>
    <w:link w:val="943"/>
    <w:uiPriority w:val="99"/>
    <w:semiHidden/>
    <w:qFormat/>
    <w:rPr>
      <w:rFonts w:ascii="华文细黑" w:hAnsi="华文细黑" w:eastAsia="华文细黑" w:cs="Times New Roman"/>
      <w:b/>
      <w:bCs/>
      <w:sz w:val="24"/>
      <w:szCs w:val="24"/>
    </w:rPr>
  </w:style>
  <w:style w:type="character" w:styleId="1142" w:customStyle="1">
    <w:name w:val="HTML 预设格式 Char"/>
    <w:link w:val="944"/>
    <w:uiPriority w:val="99"/>
    <w:semiHidden/>
    <w:qFormat/>
    <w:rPr>
      <w:rFonts w:ascii="宋体" w:hAnsi="宋体" w:eastAsia="宋体" w:cs="Times New Roman"/>
      <w:sz w:val="24"/>
      <w:szCs w:val="24"/>
    </w:rPr>
  </w:style>
  <w:style w:type="character" w:styleId="1143" w:customStyle="1">
    <w:name w:val="标题 Char"/>
    <w:link w:val="947"/>
    <w:uiPriority w:val="99"/>
    <w:qFormat/>
    <w:rPr>
      <w:rFonts w:ascii="Arial" w:hAnsi="Arial" w:eastAsia="宋体" w:cs="Times New Roman"/>
      <w:b/>
      <w:sz w:val="32"/>
      <w:szCs w:val="20"/>
    </w:rPr>
  </w:style>
  <w:style w:type="character" w:styleId="1144" w:customStyle="1">
    <w:name w:val="批注主题 Char"/>
    <w:link w:val="948"/>
    <w:uiPriority w:val="99"/>
    <w:semiHidden/>
    <w:qFormat/>
    <w:rPr>
      <w:rFonts w:ascii="Times New Roman" w:hAnsi="Times New Roman" w:eastAsia="宋体" w:cs="Times New Roman"/>
      <w:b/>
      <w:bCs/>
      <w:szCs w:val="24"/>
    </w:rPr>
  </w:style>
  <w:style w:type="character" w:styleId="1145" w:customStyle="1">
    <w:name w:val="已访问的超链接1"/>
    <w:uiPriority w:val="0"/>
    <w:unhideWhenUsed/>
    <w:qFormat/>
    <w:rPr>
      <w:color w:val="800080"/>
      <w:u w:val="single"/>
    </w:rPr>
  </w:style>
  <w:style w:type="character" w:styleId="1146" w:customStyle="1">
    <w:name w:val="页眉 Char1"/>
    <w:uiPriority w:val="99"/>
    <w:semiHidden/>
    <w:qFormat/>
    <w:rPr>
      <w:rFonts w:ascii="Calibri" w:hAnsi="Calibri" w:eastAsia="宋体" w:cs="Times New Roman"/>
      <w:sz w:val="18"/>
      <w:szCs w:val="18"/>
    </w:rPr>
  </w:style>
  <w:style w:type="character" w:styleId="1147" w:customStyle="1">
    <w:name w:val="font61"/>
    <w:uiPriority w:val="0"/>
    <w:qFormat/>
    <w:rPr>
      <w:rFonts w:ascii="Times New Roman" w:hAnsi="Times New Roman" w:cs="Times New Roman"/>
      <w:color w:val="000000"/>
      <w:sz w:val="24"/>
      <w:szCs w:val="24"/>
      <w:u w:val="none"/>
    </w:rPr>
  </w:style>
  <w:style w:type="character" w:styleId="1148" w:customStyle="1">
    <w:name w:val="标题 1 Char"/>
    <w:uiPriority w:val="0"/>
    <w:qFormat/>
    <w:rPr>
      <w:rFonts w:ascii="Times New Roman" w:hAnsi="Times New Roman" w:eastAsia="宋体" w:cs="Times New Roman"/>
      <w:b/>
      <w:bCs/>
      <w:sz w:val="44"/>
      <w:szCs w:val="44"/>
    </w:rPr>
  </w:style>
  <w:style w:type="character" w:styleId="1149" w:customStyle="1">
    <w:name w:val="日期 Char1"/>
    <w:uiPriority w:val="0"/>
    <w:qFormat/>
    <w:rPr>
      <w:rFonts w:ascii="Calibri" w:hAnsi="Calibri" w:eastAsia="宋体" w:cs="Times New Roman"/>
    </w:rPr>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表格文字 字符"/>
    <w:link w:val="1152"/>
    <w:uiPriority w:val="0"/>
    <w:qFormat/>
  </w:style>
  <w:style w:type="paragraph" w:styleId="1152" w:customStyle="1">
    <w:name w:val="表格文字"/>
    <w:basedOn w:val="900"/>
    <w:link w:val="1151"/>
    <w:uiPriority w:val="0"/>
    <w:qFormat/>
    <w:pPr>
      <w:jc w:val="left"/>
      <w:spacing w:line="420" w:lineRule="atLeast"/>
    </w:pPr>
    <w:rPr>
      <w:rFonts w:ascii="Calibri" w:hAnsi="Calibri"/>
      <w:szCs w:val="22"/>
    </w:rPr>
  </w:style>
  <w:style w:type="character" w:styleId="1153" w:customStyle="1">
    <w:name w:val="文档结构图 Char1"/>
    <w:uiPriority w:val="0"/>
    <w:qFormat/>
    <w:rPr>
      <w:rFonts w:hint="eastAsia" w:ascii="宋体" w:hAnsi="Calibri" w:eastAsia="宋体" w:cs="Times New Roman"/>
      <w:sz w:val="18"/>
      <w:szCs w:val="18"/>
    </w:rPr>
  </w:style>
  <w:style w:type="character" w:styleId="1154" w:customStyle="1">
    <w:name w:val="标题 3 Char_0"/>
    <w:link w:val="1155"/>
    <w:uiPriority w:val="0"/>
    <w:qFormat/>
    <w:rPr>
      <w:rFonts w:ascii="Times New Roman" w:hAnsi="Times New Roman" w:eastAsia="宋体" w:cs="Times New Roman"/>
      <w:szCs w:val="24"/>
    </w:rPr>
  </w:style>
  <w:style w:type="paragraph" w:styleId="1155" w:customStyle="1">
    <w:name w:val="标题 3_0"/>
    <w:basedOn w:val="900"/>
    <w:link w:val="1154"/>
    <w:uiPriority w:val="0"/>
    <w:qFormat/>
  </w:style>
  <w:style w:type="character" w:styleId="1156" w:customStyle="1">
    <w:name w:val="引用 Char2"/>
    <w:uiPriority w:val="99"/>
    <w:qFormat/>
    <w:rPr>
      <w:i/>
      <w:iCs/>
      <w:color w:val="000000"/>
      <w:sz w:val="21"/>
      <w:szCs w:val="24"/>
    </w:rPr>
  </w:style>
  <w:style w:type="character" w:styleId="1157" w:customStyle="1">
    <w:name w:val="标题 4 Char_0"/>
    <w:link w:val="1158"/>
    <w:uiPriority w:val="0"/>
    <w:qFormat/>
    <w:rPr>
      <w:rFonts w:ascii="Arial" w:hAnsi="Arial" w:eastAsia="黑体" w:cs="Arial"/>
      <w:b/>
      <w:bCs/>
      <w:sz w:val="28"/>
      <w:szCs w:val="28"/>
    </w:rPr>
  </w:style>
  <w:style w:type="paragraph" w:styleId="1158" w:customStyle="1">
    <w:name w:val="标题 4_0"/>
    <w:basedOn w:val="1159"/>
    <w:next w:val="1159"/>
    <w:link w:val="1157"/>
    <w:uiPriority w:val="0"/>
    <w:qFormat/>
    <w:pPr>
      <w:keepLines/>
      <w:keepNext/>
      <w:spacing w:before="280" w:after="290" w:line="374" w:lineRule="auto"/>
      <w:outlineLvl w:val="3"/>
    </w:pPr>
    <w:rPr>
      <w:rFonts w:ascii="Arial" w:hAnsi="Arial" w:eastAsia="黑体" w:cs="Arial"/>
      <w:b/>
      <w:bCs/>
      <w:sz w:val="28"/>
      <w:szCs w:val="28"/>
    </w:rPr>
  </w:style>
  <w:style w:type="paragraph" w:styleId="115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60" w:customStyle="1">
    <w:name w:val="明显引用 Char"/>
    <w:link w:val="1161"/>
    <w:uiPriority w:val="0"/>
    <w:qFormat/>
    <w:rPr>
      <w:b/>
      <w:bCs/>
      <w:i/>
      <w:iCs/>
      <w:color w:val="4f81bd"/>
    </w:rPr>
  </w:style>
  <w:style w:type="paragraph" w:styleId="1161" w:customStyle="1">
    <w:name w:val="明显引用1"/>
    <w:basedOn w:val="900"/>
    <w:next w:val="900"/>
    <w:link w:val="1160"/>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62" w:customStyle="1">
    <w:name w:val="批注主题 Char2"/>
    <w:uiPriority w:val="0"/>
    <w:qFormat/>
    <w:rPr>
      <w:b/>
      <w:bCs/>
      <w:sz w:val="21"/>
    </w:rPr>
  </w:style>
  <w:style w:type="character" w:styleId="1163" w:customStyle="1">
    <w:name w:val="列出段落 Char"/>
    <w:link w:val="1164"/>
    <w:uiPriority w:val="99"/>
    <w:qFormat/>
    <w:rPr>
      <w:szCs w:val="24"/>
    </w:rPr>
  </w:style>
  <w:style w:type="paragraph" w:styleId="1164" w:customStyle="1">
    <w:name w:val="List Paragraph1"/>
    <w:basedOn w:val="900"/>
    <w:link w:val="1163"/>
    <w:uiPriority w:val="99"/>
    <w:qFormat/>
    <w:pPr>
      <w:ind w:firstLine="420"/>
    </w:pPr>
    <w:rPr>
      <w:rFonts w:ascii="Calibri" w:hAnsi="Calibri"/>
    </w:rPr>
  </w:style>
  <w:style w:type="character" w:styleId="1165" w:customStyle="1">
    <w:name w:val="标题 5 Char_0"/>
    <w:link w:val="1166"/>
    <w:uiPriority w:val="0"/>
    <w:qFormat/>
    <w:rPr>
      <w:b/>
      <w:bCs/>
      <w:sz w:val="28"/>
      <w:szCs w:val="28"/>
    </w:rPr>
  </w:style>
  <w:style w:type="paragraph" w:styleId="1166" w:customStyle="1">
    <w:name w:val="标题 5_0"/>
    <w:basedOn w:val="1159"/>
    <w:next w:val="1159"/>
    <w:link w:val="1165"/>
    <w:uiPriority w:val="0"/>
    <w:qFormat/>
    <w:pPr>
      <w:keepLines/>
      <w:keepNext/>
      <w:spacing w:before="280" w:after="290" w:line="372" w:lineRule="auto"/>
      <w:outlineLvl w:val="4"/>
    </w:pPr>
    <w:rPr>
      <w:rFonts w:ascii="Calibri" w:hAnsi="Calibri"/>
      <w:b/>
      <w:bCs/>
      <w:sz w:val="28"/>
      <w:szCs w:val="28"/>
    </w:rPr>
  </w:style>
  <w:style w:type="character" w:styleId="1167" w:customStyle="1">
    <w:name w:val="标题5 Char Char"/>
    <w:link w:val="1168"/>
    <w:uiPriority w:val="0"/>
    <w:qFormat/>
    <w:rPr>
      <w:rFonts w:ascii="Arial" w:hAnsi="Arial" w:cs="Arial"/>
      <w:b/>
      <w:bCs/>
      <w:sz w:val="24"/>
      <w:szCs w:val="32"/>
    </w:rPr>
  </w:style>
  <w:style w:type="paragraph" w:styleId="1168" w:customStyle="1">
    <w:name w:val="标题5"/>
    <w:basedOn w:val="903"/>
    <w:link w:val="1167"/>
    <w:uiPriority w:val="0"/>
    <w:qFormat/>
    <w:pPr>
      <w:numPr>
        <w:ilvl w:val="0"/>
        <w:numId w:val="0"/>
      </w:numPr>
      <w:spacing w:line="412" w:lineRule="auto"/>
    </w:pPr>
    <w:rPr>
      <w:rFonts w:ascii="Arial" w:hAnsi="Arial" w:cs="Arial"/>
      <w:sz w:val="24"/>
    </w:rPr>
  </w:style>
  <w:style w:type="character" w:styleId="1169" w:customStyle="1">
    <w:name w:val="不明显强调1"/>
    <w:uiPriority w:val="0"/>
    <w:qFormat/>
    <w:rPr>
      <w:i/>
      <w:iCs/>
      <w:color w:val="808080"/>
    </w:rPr>
  </w:style>
  <w:style w:type="character" w:styleId="1170" w:customStyle="1">
    <w:name w:val="页脚 Char1"/>
    <w:uiPriority w:val="99"/>
    <w:semiHidden/>
    <w:qFormat/>
    <w:rPr>
      <w:rFonts w:ascii="Calibri" w:hAnsi="Calibri" w:eastAsia="宋体" w:cs="Times New Roman"/>
      <w:sz w:val="18"/>
      <w:szCs w:val="18"/>
    </w:rPr>
  </w:style>
  <w:style w:type="character" w:styleId="1171" w:customStyle="1">
    <w:name w:val="引用 Char"/>
    <w:link w:val="1172"/>
    <w:uiPriority w:val="0"/>
    <w:qFormat/>
    <w:rPr>
      <w:i/>
      <w:iCs/>
      <w:color w:val="000000"/>
    </w:rPr>
  </w:style>
  <w:style w:type="paragraph" w:styleId="1172" w:customStyle="1">
    <w:name w:val="引用1"/>
    <w:basedOn w:val="900"/>
    <w:next w:val="900"/>
    <w:link w:val="1171"/>
    <w:uiPriority w:val="0"/>
    <w:qFormat/>
    <w:rPr>
      <w:rFonts w:ascii="Calibri" w:hAnsi="Calibri"/>
      <w:i/>
      <w:iCs/>
      <w:color w:val="000000"/>
      <w:szCs w:val="22"/>
    </w:rPr>
  </w:style>
  <w:style w:type="character" w:styleId="1173" w:customStyle="1">
    <w:name w:val="批注框文本 Char1"/>
    <w:uiPriority w:val="0"/>
    <w:qFormat/>
    <w:rPr>
      <w:sz w:val="18"/>
      <w:szCs w:val="18"/>
    </w:rPr>
  </w:style>
  <w:style w:type="character" w:styleId="1174" w:customStyle="1">
    <w:name w:val="标题 Char2"/>
    <w:uiPriority w:val="10"/>
    <w:qFormat/>
    <w:rPr>
      <w:rFonts w:ascii="Cambria" w:hAnsi="Cambria" w:cs="Times New Roman"/>
      <w:b/>
      <w:bCs/>
      <w:sz w:val="32"/>
      <w:szCs w:val="32"/>
    </w:rPr>
  </w:style>
  <w:style w:type="character" w:styleId="1175" w:customStyle="1">
    <w:name w:val="文档结构图 Char2"/>
    <w:uiPriority w:val="99"/>
    <w:semiHidden/>
    <w:qFormat/>
    <w:rPr>
      <w:rFonts w:hint="eastAsia" w:ascii="宋体" w:hAnsi="Calibri" w:eastAsia="宋体" w:cs="Times New Roman"/>
      <w:sz w:val="18"/>
      <w:szCs w:val="18"/>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rvts11"/>
    <w:uiPriority w:val="0"/>
    <w:qFormat/>
    <w:rPr>
      <w:rFonts w:ascii="KNLe" w:hAnsi="KNLe"/>
      <w:sz w:val="24"/>
      <w:szCs w:val="24"/>
      <w:u w:val="single"/>
    </w:rPr>
  </w:style>
  <w:style w:type="character" w:styleId="1178" w:customStyle="1">
    <w:name w:val="日期 Char2"/>
    <w:uiPriority w:val="99"/>
    <w:semiHidden/>
    <w:qFormat/>
    <w:rPr>
      <w:rFonts w:ascii="Calibri" w:hAnsi="Calibri" w:eastAsia="宋体" w:cs="Times New Roman"/>
    </w:rPr>
  </w:style>
  <w:style w:type="character" w:styleId="1179" w:customStyle="1">
    <w:name w:val="引用 Char1"/>
    <w:uiPriority w:val="29"/>
    <w:qFormat/>
    <w:rPr>
      <w:i/>
      <w:iCs/>
      <w:color w:val="000000"/>
      <w:sz w:val="21"/>
    </w:rPr>
  </w:style>
  <w:style w:type="character" w:styleId="1180" w:customStyle="1">
    <w:name w:val="批注主题 Char1"/>
    <w:uiPriority w:val="0"/>
    <w:qFormat/>
    <w:rPr>
      <w:b/>
      <w:bCs/>
      <w:sz w:val="21"/>
      <w:szCs w:val="22"/>
    </w:rPr>
  </w:style>
  <w:style w:type="character" w:styleId="1181" w:customStyle="1">
    <w:name w:val="副标题 Char1"/>
    <w:uiPriority w:val="11"/>
    <w:qFormat/>
    <w:rPr>
      <w:rFonts w:ascii="Cambria" w:hAnsi="Cambria" w:cs="Times New Roman"/>
      <w:b/>
      <w:bCs/>
      <w:sz w:val="32"/>
      <w:szCs w:val="32"/>
    </w:rPr>
  </w:style>
  <w:style w:type="character" w:styleId="1182" w:customStyle="1">
    <w:name w:val="font11"/>
    <w:uiPriority w:val="0"/>
    <w:qFormat/>
    <w:rPr>
      <w:rFonts w:hint="eastAsia" w:ascii="宋体" w:hAnsi="宋体" w:eastAsia="宋体" w:cs="宋体"/>
      <w:color w:val="000000"/>
      <w:sz w:val="20"/>
      <w:szCs w:val="20"/>
      <w:u w:val="none"/>
    </w:rPr>
  </w:style>
  <w:style w:type="character" w:styleId="1183" w:customStyle="1">
    <w:name w:val="批注文字 Char2"/>
    <w:uiPriority w:val="0"/>
    <w:qFormat/>
    <w:rPr>
      <w:sz w:val="21"/>
    </w:rPr>
  </w:style>
  <w:style w:type="character" w:styleId="1184" w:customStyle="1">
    <w:name w:val="明显强调1"/>
    <w:uiPriority w:val="0"/>
    <w:qFormat/>
    <w:rPr>
      <w:b/>
      <w:bCs/>
      <w:i/>
      <w:iCs/>
      <w:color w:val="4f81bd"/>
    </w:rPr>
  </w:style>
  <w:style w:type="character" w:styleId="1185" w:customStyle="1">
    <w:name w:val="标题 1 Char_0"/>
    <w:link w:val="1186"/>
    <w:uiPriority w:val="0"/>
    <w:qFormat/>
    <w:rPr>
      <w:b/>
      <w:bCs/>
      <w:sz w:val="44"/>
      <w:szCs w:val="44"/>
    </w:rPr>
  </w:style>
  <w:style w:type="paragraph" w:styleId="1186" w:customStyle="1">
    <w:name w:val="标题 1_0"/>
    <w:basedOn w:val="1159"/>
    <w:next w:val="1159"/>
    <w:link w:val="1185"/>
    <w:uiPriority w:val="0"/>
    <w:qFormat/>
    <w:pPr>
      <w:keepLines/>
      <w:keepNext/>
      <w:spacing w:before="340" w:after="330" w:line="576" w:lineRule="auto"/>
      <w:outlineLvl w:val="0"/>
    </w:pPr>
    <w:rPr>
      <w:rFonts w:ascii="Calibri" w:hAnsi="Calibri"/>
      <w:b/>
      <w:bCs/>
      <w:sz w:val="44"/>
      <w:szCs w:val="44"/>
    </w:rPr>
  </w:style>
  <w:style w:type="character" w:styleId="1187" w:customStyle="1">
    <w:name w:val="明显引用 Char1"/>
    <w:uiPriority w:val="30"/>
    <w:qFormat/>
    <w:rPr>
      <w:b/>
      <w:bCs/>
      <w:i/>
      <w:iCs/>
      <w:color w:val="4f81bd"/>
      <w:sz w:val="21"/>
    </w:rPr>
  </w:style>
  <w:style w:type="character" w:styleId="1188" w:customStyle="1">
    <w:name w:val="font71"/>
    <w:uiPriority w:val="0"/>
    <w:qFormat/>
    <w:rPr>
      <w:rFonts w:hint="eastAsia" w:ascii="宋体" w:hAnsi="宋体" w:eastAsia="宋体" w:cs="宋体"/>
      <w:color w:val="000000"/>
      <w:sz w:val="24"/>
      <w:szCs w:val="24"/>
      <w:u w:val="none"/>
    </w:rPr>
  </w:style>
  <w:style w:type="character" w:styleId="1189" w:customStyle="1">
    <w:name w:val="正文文本 Char_0"/>
    <w:link w:val="1190"/>
    <w:uiPriority w:val="0"/>
    <w:qFormat/>
    <w:rPr>
      <w:szCs w:val="24"/>
    </w:rPr>
  </w:style>
  <w:style w:type="paragraph" w:styleId="1190" w:customStyle="1">
    <w:name w:val="正文文本_0"/>
    <w:basedOn w:val="1159"/>
    <w:link w:val="1189"/>
    <w:uiPriority w:val="0"/>
    <w:qFormat/>
    <w:pPr>
      <w:spacing w:after="120"/>
    </w:pPr>
    <w:rPr>
      <w:rFonts w:ascii="Calibri" w:hAnsi="Calibri"/>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正文文本缩进 3 Char1"/>
    <w:uiPriority w:val="99"/>
    <w:semiHidden/>
    <w:qFormat/>
    <w:rPr>
      <w:sz w:val="16"/>
      <w:szCs w:val="16"/>
    </w:rPr>
  </w:style>
  <w:style w:type="character" w:styleId="1193" w:customStyle="1">
    <w:name w:val="不明显参考1"/>
    <w:uiPriority w:val="0"/>
    <w:qFormat/>
    <w:rPr>
      <w:smallCaps/>
      <w:color w:val="c0504d"/>
      <w:u w:val="single"/>
    </w:rPr>
  </w:style>
  <w:style w:type="character" w:styleId="1194" w:customStyle="1">
    <w:name w:val="bookmark"/>
    <w:basedOn w:val="910"/>
    <w:uiPriority w:val="0"/>
    <w:qFormat/>
  </w:style>
  <w:style w:type="character" w:styleId="1195" w:customStyle="1">
    <w:name w:val="超链接_0"/>
    <w:uiPriority w:val="99"/>
    <w:qFormat/>
    <w:rPr>
      <w:rFonts w:ascii="Calibri" w:hAnsi="Calibri" w:cs="Calibri"/>
      <w:color w:val="0000ff"/>
      <w:u w:val="single"/>
    </w:rPr>
  </w:style>
  <w:style w:type="character" w:styleId="1196" w:customStyle="1">
    <w:name w:val="副标题 Char2"/>
    <w:uiPriority w:val="11"/>
    <w:qFormat/>
    <w:rPr>
      <w:rFonts w:ascii="Cambria" w:hAnsi="Cambria" w:cs="Times New Roman"/>
      <w:b/>
      <w:bCs/>
      <w:sz w:val="32"/>
      <w:szCs w:val="32"/>
    </w:rPr>
  </w:style>
  <w:style w:type="character" w:styleId="1197" w:customStyle="1">
    <w:name w:val="明显参考1"/>
    <w:uiPriority w:val="0"/>
    <w:qFormat/>
    <w:rPr>
      <w:b/>
      <w:bCs/>
      <w:smallCaps/>
      <w:color w:val="c0504d"/>
      <w:spacing w:val="5"/>
      <w:u w:val="single"/>
    </w:rPr>
  </w:style>
  <w:style w:type="character" w:styleId="1198" w:customStyle="1">
    <w:name w:val="书籍标题1"/>
    <w:uiPriority w:val="0"/>
    <w:qFormat/>
    <w:rPr>
      <w:b/>
      <w:bCs/>
      <w:smallCaps/>
      <w:spacing w:val="5"/>
    </w:rPr>
  </w:style>
  <w:style w:type="character" w:styleId="1199" w:customStyle="1">
    <w:name w:val="正文文本 3 Char1"/>
    <w:uiPriority w:val="99"/>
    <w:semiHidden/>
    <w:qFormat/>
    <w:rPr>
      <w:sz w:val="16"/>
      <w:szCs w:val="16"/>
    </w:rPr>
  </w:style>
  <w:style w:type="character" w:styleId="1200" w:customStyle="1">
    <w:name w:val="标题4 Char Char"/>
    <w:link w:val="1201"/>
    <w:uiPriority w:val="0"/>
    <w:qFormat/>
    <w:rPr>
      <w:rFonts w:ascii="Arial" w:hAnsi="Arial" w:cs="Arial"/>
      <w:b/>
      <w:bCs/>
      <w:sz w:val="24"/>
      <w:szCs w:val="32"/>
    </w:rPr>
  </w:style>
  <w:style w:type="paragraph" w:styleId="1201" w:customStyle="1">
    <w:name w:val="标题4"/>
    <w:basedOn w:val="902"/>
    <w:next w:val="923"/>
    <w:link w:val="1200"/>
    <w:uiPriority w:val="0"/>
    <w:qFormat/>
    <w:pPr>
      <w:numPr>
        <w:ilvl w:val="0"/>
        <w:numId w:val="0"/>
      </w:numPr>
      <w:spacing w:line="412" w:lineRule="auto"/>
    </w:pPr>
    <w:rPr>
      <w:rFonts w:ascii="Arial" w:hAnsi="Arial" w:cs="Arial"/>
      <w:sz w:val="24"/>
    </w:rPr>
  </w:style>
  <w:style w:type="character" w:styleId="1202" w:customStyle="1">
    <w:name w:val="明显引用 Char2"/>
    <w:uiPriority w:val="99"/>
    <w:qFormat/>
    <w:rPr>
      <w:b/>
      <w:bCs/>
      <w:i/>
      <w:iCs/>
      <w:color w:val="4f81bd"/>
      <w:sz w:val="21"/>
      <w:szCs w:val="24"/>
    </w:rPr>
  </w:style>
  <w:style w:type="character" w:styleId="1203" w:customStyle="1">
    <w:name w:val="正文文本 Char2"/>
    <w:uiPriority w:val="99"/>
    <w:semiHidden/>
    <w:qFormat/>
    <w:rPr>
      <w:rFonts w:ascii="Calibri" w:hAnsi="Calibri" w:eastAsia="宋体" w:cs="Times New Roman"/>
    </w:rPr>
  </w:style>
  <w:style w:type="character" w:styleId="1204" w:customStyle="1">
    <w:name w:val="font161"/>
    <w:uiPriority w:val="0"/>
    <w:qFormat/>
    <w:rPr>
      <w:b/>
      <w:sz w:val="32"/>
    </w:rPr>
  </w:style>
  <w:style w:type="character" w:styleId="1205" w:customStyle="1">
    <w:name w:val="标题 2 Char_0"/>
    <w:link w:val="1206"/>
    <w:uiPriority w:val="0"/>
    <w:qFormat/>
    <w:rPr>
      <w:rFonts w:ascii="Cambria" w:hAnsi="Cambria"/>
      <w:b/>
      <w:bCs/>
      <w:sz w:val="32"/>
      <w:szCs w:val="32"/>
    </w:rPr>
  </w:style>
  <w:style w:type="paragraph" w:styleId="1206" w:customStyle="1">
    <w:name w:val="标题 2_0"/>
    <w:basedOn w:val="1159"/>
    <w:next w:val="1159"/>
    <w:link w:val="1205"/>
    <w:uiPriority w:val="0"/>
    <w:qFormat/>
    <w:pPr>
      <w:keepLines/>
      <w:keepNext/>
      <w:spacing w:before="260" w:after="260" w:line="415" w:lineRule="auto"/>
      <w:outlineLvl w:val="1"/>
    </w:pPr>
    <w:rPr>
      <w:rFonts w:ascii="Cambria" w:hAnsi="Cambria"/>
      <w:b/>
      <w:bCs/>
      <w:sz w:val="32"/>
      <w:szCs w:val="32"/>
    </w:rPr>
  </w:style>
  <w:style w:type="character" w:styleId="1207" w:customStyle="1">
    <w:name w:val="正文文本 Char1"/>
    <w:uiPriority w:val="0"/>
    <w:qFormat/>
    <w:rPr>
      <w:rFonts w:ascii="Calibri" w:hAnsi="Calibri" w:eastAsia="宋体" w:cs="Times New Roman"/>
    </w:rPr>
  </w:style>
  <w:style w:type="character" w:styleId="1208" w:customStyle="1">
    <w:name w:val="批注文字 Char1"/>
    <w:uiPriority w:val="0"/>
    <w:qFormat/>
    <w:rPr>
      <w:rFonts w:ascii="Calibri" w:hAnsi="Calibri" w:eastAsia="宋体" w:cs="Times New Roman"/>
    </w:rPr>
  </w:style>
  <w:style w:type="character" w:styleId="1209" w:customStyle="1">
    <w:name w:val="textcontents"/>
    <w:uiPriority w:val="0"/>
    <w:qFormat/>
    <w:rPr>
      <w:rFonts w:ascii="Times New Roman" w:hAnsi="Times New Roman" w:cs="Times New Roman"/>
    </w:rPr>
  </w:style>
  <w:style w:type="character" w:styleId="1210" w:customStyle="1">
    <w:name w:val="标题 Char1"/>
    <w:uiPriority w:val="10"/>
    <w:qFormat/>
    <w:rPr>
      <w:rFonts w:ascii="Cambria" w:hAnsi="Cambria" w:eastAsia="宋体" w:cs="Times New Roman"/>
      <w:b/>
      <w:bCs/>
      <w:sz w:val="32"/>
      <w:szCs w:val="32"/>
    </w:rPr>
  </w:style>
  <w:style w:type="paragraph" w:styleId="1211" w:customStyle="1">
    <w:name w:val="table_lines"/>
    <w:basedOn w:val="900"/>
    <w:uiPriority w:val="99"/>
    <w:qFormat/>
    <w:pPr>
      <w:jc w:val="left"/>
      <w:widowControl/>
    </w:pPr>
    <w:rPr>
      <w:rFonts w:eastAsia="MS Mincho"/>
      <w:sz w:val="20"/>
      <w:szCs w:val="20"/>
      <w:lang w:val="de-DE" w:eastAsia="de-DE"/>
    </w:rPr>
  </w:style>
  <w:style w:type="paragraph" w:styleId="1212" w:customStyle="1">
    <w:name w:val="p0"/>
    <w:basedOn w:val="900"/>
    <w:uiPriority w:val="99"/>
    <w:qFormat/>
    <w:pPr>
      <w:widowControl/>
    </w:pPr>
    <w:rPr>
      <w:b/>
      <w:bCs/>
      <w:sz w:val="24"/>
    </w:rPr>
  </w:style>
  <w:style w:type="paragraph" w:styleId="1213" w:customStyle="1">
    <w:name w:val="trs_editor"/>
    <w:basedOn w:val="900"/>
    <w:uiPriority w:val="99"/>
    <w:qFormat/>
    <w:pPr>
      <w:jc w:val="left"/>
      <w:spacing w:before="100" w:beforeAutospacing="1" w:after="100" w:afterAutospacing="1"/>
      <w:widowControl/>
    </w:pPr>
    <w:rPr>
      <w:rFonts w:ascii="宋体" w:hAnsi="宋体" w:cs="宋体"/>
      <w:sz w:val="24"/>
    </w:rPr>
  </w:style>
  <w:style w:type="paragraph" w:styleId="1214" w:customStyle="1">
    <w:name w:val="_Style 7"/>
    <w:basedOn w:val="900"/>
    <w:next w:val="970"/>
    <w:uiPriority w:val="34"/>
    <w:qFormat/>
    <w:pPr>
      <w:ind w:firstLine="420"/>
    </w:pPr>
  </w:style>
  <w:style w:type="paragraph" w:styleId="1215" w:customStyle="1">
    <w:name w:val="_Style 34"/>
    <w:next w:val="900"/>
    <w:uiPriority w:val="99"/>
    <w:qFormat/>
    <w:pPr>
      <w:jc w:val="both"/>
      <w:widowControl w:val="off"/>
    </w:pPr>
    <w:rPr>
      <w:rFonts w:ascii="Times New Roman" w:hAnsi="Times New Roman" w:eastAsia="宋体" w:cs="Times New Roman"/>
      <w:sz w:val="21"/>
      <w:lang w:val="en-US" w:eastAsia="zh-CN" w:bidi="ar-SA"/>
    </w:rPr>
  </w:style>
  <w:style w:type="paragraph" w:styleId="1216" w:customStyle="1">
    <w:name w:val="6'"/>
    <w:basedOn w:val="900"/>
    <w:uiPriority w:val="99"/>
    <w:qFormat/>
    <w:pPr>
      <w:jc w:val="center"/>
      <w:spacing w:line="320" w:lineRule="exact"/>
    </w:pPr>
    <w:rPr>
      <w:rFonts w:ascii="Calibri" w:hAnsi="Calibri"/>
      <w:spacing w:val="20"/>
      <w:szCs w:val="22"/>
    </w:rPr>
  </w:style>
  <w:style w:type="paragraph" w:styleId="1217" w:customStyle="1">
    <w:name w:val="1"/>
    <w:basedOn w:val="900"/>
    <w:next w:val="900"/>
    <w:uiPriority w:val="99"/>
    <w:qFormat/>
    <w:rPr>
      <w:rFonts w:ascii="Calibri" w:hAnsi="Calibri"/>
      <w:szCs w:val="22"/>
    </w:rPr>
  </w:style>
  <w:style w:type="paragraph" w:styleId="1218" w:customStyle="1">
    <w:name w:val="样式 标题 2 + Times New Roman 四号 非加粗 段前: 5 磅 段后: 0 磅 行距: 固定值 20..._0"/>
    <w:basedOn w:val="900"/>
    <w:uiPriority w:val="99"/>
    <w:qFormat/>
    <w:pPr>
      <w:keepLines/>
      <w:keepNext/>
      <w:spacing w:before="100" w:line="360" w:lineRule="auto"/>
      <w:outlineLvl w:val="1"/>
    </w:pPr>
    <w:rPr>
      <w:rFonts w:eastAsia="Times New Roman" w:cs="宋体"/>
      <w:sz w:val="28"/>
      <w:szCs w:val="20"/>
    </w:rPr>
  </w:style>
  <w:style w:type="paragraph" w:styleId="1219" w:customStyle="1">
    <w:name w:val="1方案格式1"/>
    <w:basedOn w:val="90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20" w:customStyle="1">
    <w:name w:val="yiv1658056056msonormal"/>
    <w:basedOn w:val="900"/>
    <w:uiPriority w:val="99"/>
    <w:qFormat/>
    <w:pPr>
      <w:jc w:val="left"/>
      <w:spacing w:before="100" w:beforeAutospacing="1" w:after="100" w:afterAutospacing="1"/>
      <w:widowControl/>
    </w:pPr>
    <w:rPr>
      <w:rFonts w:ascii="宋体" w:hAnsi="宋体" w:cs="宋体"/>
      <w:sz w:val="24"/>
    </w:rPr>
  </w:style>
  <w:style w:type="paragraph" w:styleId="122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2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正文文本缩进11"/>
    <w:basedOn w:val="900"/>
    <w:next w:val="1224"/>
    <w:uiPriority w:val="0"/>
    <w:qFormat/>
    <w:pPr>
      <w:ind w:firstLine="435"/>
      <w:spacing w:line="480" w:lineRule="exact"/>
    </w:pPr>
    <w:rPr>
      <w:sz w:val="24"/>
    </w:rPr>
  </w:style>
  <w:style w:type="paragraph" w:styleId="1224" w:customStyle="1">
    <w:name w:val="寄信人地址1"/>
    <w:basedOn w:val="900"/>
    <w:uiPriority w:val="0"/>
    <w:qFormat/>
    <w:rPr>
      <w:rFonts w:ascii="Arial" w:hAnsi="Arial" w:eastAsia="楷体_GB2312"/>
      <w:sz w:val="26"/>
      <w:szCs w:val="20"/>
    </w:rPr>
  </w:style>
  <w:style w:type="paragraph" w:styleId="1225" w:customStyle="1">
    <w:name w:val="标题2"/>
    <w:basedOn w:val="902"/>
    <w:next w:val="919"/>
    <w:uiPriority w:val="99"/>
    <w:qFormat/>
    <w:pPr>
      <w:spacing w:before="156" w:after="156" w:line="360" w:lineRule="auto"/>
    </w:pPr>
    <w:rPr>
      <w:bCs w:val="0"/>
      <w:sz w:val="24"/>
    </w:rPr>
  </w:style>
  <w:style w:type="paragraph" w:styleId="1226" w:customStyle="1">
    <w:name w:val="表格正文"/>
    <w:basedOn w:val="900"/>
    <w:next w:val="900"/>
    <w:uiPriority w:val="0"/>
    <w:qFormat/>
    <w:pPr>
      <w:contextualSpacing/>
      <w:jc w:val="left"/>
      <w:spacing w:before="20" w:after="20" w:line="300" w:lineRule="exact"/>
    </w:pPr>
    <w:rPr>
      <w:szCs w:val="20"/>
    </w:rPr>
  </w:style>
  <w:style w:type="paragraph" w:styleId="1227" w:customStyle="1">
    <w:name w:val="目录 3_0"/>
    <w:basedOn w:val="1159"/>
    <w:next w:val="1159"/>
    <w:uiPriority w:val="39"/>
    <w:qFormat/>
    <w:pPr>
      <w:ind w:left="840"/>
    </w:pPr>
    <w:rPr>
      <w:rFonts w:ascii="Calibri" w:hAnsi="Calibri"/>
    </w:rPr>
  </w:style>
  <w:style w:type="paragraph" w:styleId="1228" w:customStyle="1">
    <w:name w:val="正文11"/>
    <w:uiPriority w:val="99"/>
    <w:qFormat/>
    <w:rPr>
      <w:rFonts w:ascii="Calibri" w:hAnsi="Calibri" w:eastAsia="宋体" w:cs="Calibri"/>
      <w:sz w:val="24"/>
      <w:szCs w:val="24"/>
      <w:lang w:val="en-US" w:eastAsia="zh-CN" w:bidi="ar-SA"/>
    </w:rPr>
  </w:style>
  <w:style w:type="paragraph" w:styleId="1229" w:customStyle="1">
    <w:name w:val="普通正文"/>
    <w:basedOn w:val="900"/>
    <w:uiPriority w:val="99"/>
    <w:qFormat/>
    <w:pPr>
      <w:ind w:firstLine="480"/>
      <w:jc w:val="left"/>
      <w:spacing w:before="120" w:after="120" w:line="360" w:lineRule="auto"/>
    </w:pPr>
    <w:rPr>
      <w:rFonts w:ascii="Arial" w:hAnsi="Arial"/>
      <w:sz w:val="24"/>
    </w:rPr>
  </w:style>
  <w:style w:type="paragraph" w:styleId="1230" w:customStyle="1">
    <w:name w:val="Table Text"/>
    <w:basedOn w:val="900"/>
    <w:uiPriority w:val="0"/>
    <w:semiHidden/>
    <w:qFormat/>
    <w:rPr>
      <w:rFonts w:ascii="宋体" w:hAnsi="宋体" w:cs="宋体"/>
      <w:sz w:val="24"/>
      <w:lang w:eastAsia="en-US"/>
    </w:rPr>
  </w:style>
  <w:style w:type="paragraph" w:styleId="1231" w:customStyle="1">
    <w:name w:val="纯文本2"/>
    <w:basedOn w:val="900"/>
    <w:uiPriority w:val="99"/>
    <w:qFormat/>
    <w:pPr>
      <w:jc w:val="left"/>
    </w:pPr>
    <w:rPr>
      <w:rFonts w:ascii="宋体" w:hAnsi="宋体" w:cs="Courier New"/>
      <w:sz w:val="24"/>
      <w:szCs w:val="20"/>
      <w:lang w:bidi="hi-IN"/>
    </w:rPr>
  </w:style>
  <w:style w:type="paragraph" w:styleId="1232" w:customStyle="1">
    <w:name w:val="Char Char Char Char Char Char Char"/>
    <w:basedOn w:val="900"/>
    <w:uiPriority w:val="99"/>
    <w:qFormat/>
    <w:pPr>
      <w:spacing w:line="360" w:lineRule="auto"/>
    </w:pPr>
    <w:rPr>
      <w:sz w:val="24"/>
      <w:szCs w:val="20"/>
    </w:rPr>
  </w:style>
  <w:style w:type="paragraph" w:styleId="1233" w:customStyle="1">
    <w:name w:val="Table Paragraph"/>
    <w:basedOn w:val="900"/>
    <w:uiPriority w:val="1"/>
    <w:qFormat/>
    <w:pPr>
      <w:jc w:val="left"/>
      <w:widowControl/>
    </w:pPr>
    <w:rPr>
      <w:rFonts w:ascii="Arial" w:hAnsi="Arial" w:eastAsia="Arial" w:cs="Arial"/>
      <w:color w:val="000000"/>
    </w:rPr>
  </w:style>
  <w:style w:type="paragraph" w:styleId="1234" w:customStyle="1">
    <w:name w:val="3方案格式3"/>
    <w:basedOn w:val="1235"/>
    <w:uiPriority w:val="99"/>
    <w:qFormat/>
    <w:pPr>
      <w:numPr>
        <w:ilvl w:val="2"/>
      </w:numPr>
      <w:tabs>
        <w:tab w:val="left" w:pos="360" w:leader="none"/>
      </w:tabs>
      <w:outlineLvl w:val="2"/>
    </w:pPr>
    <w:rPr>
      <w:sz w:val="32"/>
    </w:rPr>
  </w:style>
  <w:style w:type="paragraph" w:styleId="1235" w:customStyle="1">
    <w:name w:val="2方案格式2"/>
    <w:basedOn w:val="1219"/>
    <w:uiPriority w:val="99"/>
    <w:qFormat/>
    <w:pPr>
      <w:numPr>
        <w:ilvl w:val="1"/>
      </w:numPr>
      <w:spacing w:line="240" w:lineRule="auto"/>
      <w:outlineLvl w:val="1"/>
    </w:pPr>
    <w:rPr>
      <w:sz w:val="44"/>
    </w:rPr>
  </w:style>
  <w:style w:type="paragraph" w:styleId="1236" w:customStyle="1">
    <w:name w:val="TOC 标题11"/>
    <w:basedOn w:val="901"/>
    <w:next w:val="900"/>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37"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38" w:customStyle="1">
    <w:name w:val="正文空2字"/>
    <w:basedOn w:val="900"/>
    <w:uiPriority w:val="99"/>
    <w:qFormat/>
    <w:pPr>
      <w:ind w:firstLine="200"/>
      <w:spacing w:line="360" w:lineRule="auto"/>
    </w:pPr>
    <w:rPr>
      <w:sz w:val="24"/>
      <w:lang w:bidi="en-US"/>
    </w:rPr>
  </w:style>
  <w:style w:type="paragraph" w:styleId="1239" w:customStyle="1">
    <w:name w:val="flNote"/>
    <w:basedOn w:val="900"/>
    <w:uiPriority w:val="99"/>
    <w:qFormat/>
    <w:pPr>
      <w:jc w:val="center"/>
      <w:spacing w:before="320" w:after="160" w:line="360" w:lineRule="atLeast"/>
    </w:pPr>
    <w:rPr>
      <w:rFonts w:ascii="Arial" w:hAnsi="Calibri" w:eastAsia="黑体"/>
      <w:sz w:val="30"/>
      <w:szCs w:val="22"/>
    </w:rPr>
  </w:style>
  <w:style w:type="paragraph" w:styleId="1240" w:customStyle="1">
    <w:name w:val="目录 4_0"/>
    <w:basedOn w:val="1159"/>
    <w:next w:val="1159"/>
    <w:uiPriority w:val="39"/>
    <w:qFormat/>
    <w:pPr>
      <w:ind w:left="1260"/>
    </w:pPr>
    <w:rPr>
      <w:rFonts w:ascii="Calibri" w:hAnsi="Calibri"/>
    </w:rPr>
  </w:style>
  <w:style w:type="paragraph" w:styleId="1241" w:customStyle="1">
    <w:name w:val="列出段落11"/>
    <w:basedOn w:val="900"/>
    <w:uiPriority w:val="99"/>
    <w:qFormat/>
    <w:pPr>
      <w:contextualSpacing/>
      <w:ind w:left="720"/>
      <w:jc w:val="left"/>
      <w:widowControl/>
    </w:pPr>
    <w:rPr>
      <w:rFonts w:ascii="Arial" w:hAnsi="Arial" w:eastAsia="黑体"/>
      <w:sz w:val="24"/>
      <w:lang w:eastAsia="en-US"/>
    </w:rPr>
  </w:style>
  <w:style w:type="paragraph" w:styleId="1242" w:customStyle="1">
    <w:name w:val="列出段落41"/>
    <w:basedOn w:val="900"/>
    <w:uiPriority w:val="99"/>
    <w:qFormat/>
    <w:pPr>
      <w:ind w:firstLine="420"/>
    </w:pPr>
  </w:style>
  <w:style w:type="paragraph" w:styleId="1243" w:customStyle="1">
    <w:name w:val="_Style 28"/>
    <w:basedOn w:val="900"/>
    <w:next w:val="970"/>
    <w:uiPriority w:val="34"/>
    <w:qFormat/>
    <w:pPr>
      <w:ind w:firstLine="420"/>
    </w:pPr>
  </w:style>
  <w:style w:type="paragraph" w:styleId="1244" w:customStyle="1">
    <w:name w:val="正文 + 行距: 固定值 20 磅"/>
    <w:basedOn w:val="900"/>
    <w:uiPriority w:val="99"/>
    <w:qFormat/>
    <w:pPr>
      <w:ind w:firstLine="716"/>
      <w:spacing w:line="400" w:lineRule="exact"/>
    </w:pPr>
    <w:rPr>
      <w:rFonts w:ascii="Calibri" w:hAnsi="Calibri"/>
      <w:szCs w:val="22"/>
    </w:rPr>
  </w:style>
  <w:style w:type="paragraph" w:styleId="1245" w:customStyle="1">
    <w:name w:val="文章正文"/>
    <w:basedOn w:val="900"/>
    <w:uiPriority w:val="99"/>
    <w:qFormat/>
    <w:pPr>
      <w:ind w:firstLine="480"/>
      <w:spacing w:line="360" w:lineRule="auto"/>
    </w:pPr>
    <w:rPr>
      <w:rFonts w:ascii="仿宋_GB2312" w:hAnsi="宋体" w:eastAsia="仿宋_GB2312"/>
      <w:color w:val="ff0000"/>
      <w:sz w:val="24"/>
    </w:rPr>
  </w:style>
  <w:style w:type="paragraph" w:styleId="1246" w:customStyle="1">
    <w:name w:val="样式 标题 1 + 黑体 三号 非加粗 居中 段前: 6 磅 段后: 6 磅 行距: 固定值 20 磅"/>
    <w:basedOn w:val="901"/>
    <w:uiPriority w:val="99"/>
    <w:qFormat/>
    <w:pPr>
      <w:numPr>
        <w:numId w:val="0"/>
      </w:numPr>
      <w:spacing w:before="120" w:after="120" w:line="400" w:lineRule="exact"/>
    </w:pPr>
    <w:rPr>
      <w:rFonts w:ascii="黑体" w:hAnsi="黑体" w:eastAsia="黑体"/>
      <w:b w:val="0"/>
      <w:bCs w:val="0"/>
      <w:szCs w:val="20"/>
    </w:rPr>
  </w:style>
  <w:style w:type="paragraph" w:styleId="1247" w:customStyle="1">
    <w:name w:val="表格"/>
    <w:basedOn w:val="900"/>
    <w:uiPriority w:val="99"/>
    <w:qFormat/>
    <w:pPr>
      <w:jc w:val="center"/>
    </w:pPr>
    <w:rPr>
      <w:rFonts w:ascii="华文细黑" w:hAnsi="华文细黑"/>
      <w:szCs w:val="22"/>
    </w:rPr>
  </w:style>
  <w:style w:type="paragraph" w:styleId="1248" w:customStyle="1">
    <w:name w:val="*正文"/>
    <w:basedOn w:val="900"/>
    <w:uiPriority w:val="0"/>
    <w:qFormat/>
    <w:rPr>
      <w:rFonts w:ascii="宋体" w:hAnsi="宋体"/>
      <w:sz w:val="24"/>
      <w:lang w:val="zh-CN"/>
    </w:rPr>
  </w:style>
  <w:style w:type="paragraph" w:styleId="1249"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50" w:customStyle="1">
    <w:name w:val="四级标题"/>
    <w:basedOn w:val="928"/>
    <w:uiPriority w:val="0"/>
    <w:qFormat/>
    <w:pPr>
      <w:spacing w:line="360" w:lineRule="auto"/>
    </w:pPr>
    <w:rPr>
      <w:rFonts w:hint="eastAsia" w:ascii="宋体" w:hAnsi="Courier New" w:eastAsia="黑体" w:cs="Courier New"/>
      <w:sz w:val="24"/>
      <w:szCs w:val="21"/>
    </w:rPr>
  </w:style>
  <w:style w:type="paragraph" w:styleId="1251" w:customStyle="1">
    <w:name w:val="标题 11"/>
    <w:basedOn w:val="1252"/>
    <w:next w:val="1252"/>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52" w:customStyle="1">
    <w:name w:val="正文1"/>
    <w:uiPriority w:val="99"/>
    <w:qFormat/>
    <w:pPr>
      <w:jc w:val="both"/>
      <w:widowControl w:val="off"/>
    </w:pPr>
    <w:rPr>
      <w:rFonts w:ascii="Calibri" w:hAnsi="Calibri" w:eastAsia="宋体" w:cs="Times New Roman"/>
      <w:lang w:val="en-US" w:eastAsia="zh-CN" w:bidi="ar-SA"/>
    </w:rPr>
  </w:style>
  <w:style w:type="paragraph" w:styleId="1253" w:customStyle="1">
    <w:name w:val="样式 标题 2 + Times New Roman 四号 非加粗 段前: 5 磅 段后: 0 磅 行距: 固定值 20..."/>
    <w:basedOn w:val="902"/>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54" w:customStyle="1">
    <w:name w:val="Char"/>
    <w:basedOn w:val="900"/>
    <w:uiPriority w:val="99"/>
    <w:qFormat/>
    <w:pPr>
      <w:jc w:val="left"/>
      <w:spacing w:after="160" w:line="240" w:lineRule="exact"/>
      <w:widowControl/>
    </w:pPr>
    <w:rPr>
      <w:rFonts w:ascii="Verdana" w:hAnsi="Verdana"/>
      <w:sz w:val="20"/>
      <w:szCs w:val="20"/>
      <w:lang w:eastAsia="en-US"/>
    </w:rPr>
  </w:style>
  <w:style w:type="paragraph" w:styleId="1255" w:customStyle="1">
    <w:name w:val="Blockquote_0"/>
    <w:basedOn w:val="1159"/>
    <w:uiPriority w:val="99"/>
    <w:qFormat/>
    <w:pPr>
      <w:ind w:left="360" w:right="360"/>
      <w:jc w:val="left"/>
      <w:spacing w:before="100" w:after="100"/>
    </w:pPr>
    <w:rPr>
      <w:rFonts w:ascii="Calibri" w:hAnsi="Calibri" w:eastAsia="Times New Roman"/>
      <w:sz w:val="24"/>
      <w:szCs w:val="20"/>
    </w:rPr>
  </w:style>
  <w:style w:type="paragraph" w:styleId="1256" w:customStyle="1">
    <w:name w:val="修订1"/>
    <w:uiPriority w:val="99"/>
    <w:qFormat/>
    <w:rPr>
      <w:rFonts w:ascii="Times New Roman" w:hAnsi="Times New Roman" w:eastAsia="宋体" w:cs="Times New Roman"/>
      <w:sz w:val="21"/>
      <w:szCs w:val="24"/>
      <w:lang w:val="en-US" w:eastAsia="zh-CN" w:bidi="ar-SA"/>
    </w:rPr>
  </w:style>
  <w:style w:type="paragraph" w:styleId="1257" w:customStyle="1">
    <w:name w:val="表格标题"/>
    <w:basedOn w:val="1226"/>
    <w:uiPriority w:val="0"/>
    <w:qFormat/>
    <w:pPr>
      <w:jc w:val="center"/>
    </w:pPr>
    <w:rPr>
      <w:b/>
    </w:rPr>
  </w:style>
  <w:style w:type="paragraph" w:styleId="1258"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op_mapdots_left"/>
    <w:basedOn w:val="900"/>
    <w:uiPriority w:val="99"/>
    <w:qFormat/>
    <w:pPr>
      <w:jc w:val="left"/>
      <w:spacing w:before="100" w:beforeAutospacing="1" w:after="100" w:afterAutospacing="1"/>
      <w:widowControl/>
    </w:pPr>
    <w:rPr>
      <w:rFonts w:ascii="宋体" w:hAnsi="宋体" w:cs="宋体"/>
      <w:sz w:val="24"/>
    </w:rPr>
  </w:style>
  <w:style w:type="paragraph" w:styleId="1260" w:customStyle="1">
    <w:name w:val="空半行"/>
    <w:basedOn w:val="900"/>
    <w:uiPriority w:val="99"/>
    <w:qFormat/>
    <w:pPr>
      <w:spacing w:line="120" w:lineRule="exact"/>
    </w:pPr>
    <w:rPr>
      <w:rFonts w:ascii="Calibri" w:hAnsi="Calibri" w:eastAsia="仿宋_GB2312"/>
      <w:color w:val="ffffff"/>
      <w:sz w:val="30"/>
      <w:szCs w:val="22"/>
    </w:rPr>
  </w:style>
  <w:style w:type="paragraph" w:styleId="1261" w:customStyle="1">
    <w:name w:val="_Style 36"/>
    <w:next w:val="970"/>
    <w:uiPriority w:val="99"/>
    <w:qFormat/>
    <w:pPr>
      <w:jc w:val="both"/>
      <w:widowControl w:val="off"/>
    </w:pPr>
    <w:rPr>
      <w:rFonts w:ascii="Times New Roman" w:hAnsi="Times New Roman" w:eastAsia="宋体" w:cs="Times New Roman"/>
      <w:sz w:val="21"/>
      <w:lang w:val="en-US" w:eastAsia="zh-CN" w:bidi="ar-SA"/>
    </w:rPr>
  </w:style>
  <w:style w:type="paragraph" w:styleId="1262" w:customStyle="1">
    <w:name w:val="table_1stline"/>
    <w:basedOn w:val="900"/>
    <w:uiPriority w:val="99"/>
    <w:qFormat/>
    <w:pPr>
      <w:jc w:val="left"/>
      <w:spacing w:before="120"/>
      <w:widowControl/>
    </w:pPr>
    <w:rPr>
      <w:bCs/>
      <w:sz w:val="20"/>
      <w:lang w:val="de-DE" w:eastAsia="de-DE"/>
    </w:rPr>
  </w:style>
  <w:style w:type="paragraph" w:styleId="1263" w:customStyle="1">
    <w:name w:val="txt"/>
    <w:basedOn w:val="900"/>
    <w:uiPriority w:val="99"/>
    <w:qFormat/>
    <w:pPr>
      <w:jc w:val="left"/>
      <w:spacing w:before="100" w:beforeAutospacing="1" w:after="100" w:afterAutospacing="1"/>
      <w:widowControl/>
    </w:pPr>
    <w:rPr>
      <w:rFonts w:ascii="宋体" w:hAnsi="宋体" w:cs="宋体"/>
      <w:sz w:val="24"/>
    </w:rPr>
  </w:style>
  <w:style w:type="paragraph" w:styleId="1264" w:customStyle="1">
    <w:name w:val="文档正文"/>
    <w:basedOn w:val="900"/>
    <w:uiPriority w:val="99"/>
    <w:qFormat/>
    <w:pPr>
      <w:ind w:firstLine="567"/>
      <w:spacing w:line="480" w:lineRule="atLeast"/>
    </w:pPr>
    <w:rPr>
      <w:rFonts w:ascii="Ari" w:eastAsia="Ari"/>
      <w:sz w:val="28"/>
      <w:szCs w:val="20"/>
    </w:rPr>
  </w:style>
  <w:style w:type="paragraph" w:styleId="1265" w:customStyle="1">
    <w:name w:val="Blockquote"/>
    <w:basedOn w:val="900"/>
    <w:uiPriority w:val="99"/>
    <w:qFormat/>
    <w:pPr>
      <w:ind w:left="360" w:right="360"/>
      <w:jc w:val="left"/>
      <w:spacing w:before="100" w:after="100"/>
    </w:pPr>
    <w:rPr>
      <w:rFonts w:ascii="Calibri" w:hAnsi="Calibri"/>
      <w:sz w:val="24"/>
      <w:szCs w:val="22"/>
    </w:rPr>
  </w:style>
  <w:style w:type="paragraph" w:styleId="1266" w:customStyle="1">
    <w:name w:val="列出段落2"/>
    <w:basedOn w:val="900"/>
    <w:uiPriority w:val="99"/>
    <w:qFormat/>
    <w:pPr>
      <w:ind w:firstLine="420"/>
    </w:pPr>
  </w:style>
  <w:style w:type="paragraph" w:styleId="1267" w:customStyle="1">
    <w:name w:val="格式３"/>
    <w:basedOn w:val="900"/>
    <w:uiPriority w:val="99"/>
    <w:qFormat/>
    <w:pPr>
      <w:ind w:left="600" w:hanging="600"/>
      <w:spacing w:line="420" w:lineRule="exact"/>
    </w:pPr>
    <w:rPr>
      <w:rFonts w:ascii="宋体" w:hAnsi="宋体"/>
      <w:color w:val="000000"/>
      <w:sz w:val="24"/>
      <w:szCs w:val="20"/>
    </w:rPr>
  </w:style>
  <w:style w:type="paragraph" w:styleId="1268" w:customStyle="1">
    <w:name w:val="正文2"/>
    <w:uiPriority w:val="99"/>
    <w:qFormat/>
    <w:rPr>
      <w:rFonts w:ascii="Times New Roman" w:hAnsi="Times New Roman" w:eastAsia="微软雅黑" w:cs="Times New Roman"/>
      <w:sz w:val="24"/>
      <w:szCs w:val="24"/>
      <w:lang w:val="en-US" w:eastAsia="zh-CN" w:bidi="ar-SA"/>
    </w:rPr>
  </w:style>
  <w:style w:type="paragraph" w:styleId="1269" w:customStyle="1">
    <w:name w:val="列出段落4"/>
    <w:basedOn w:val="900"/>
    <w:uiPriority w:val="34"/>
    <w:qFormat/>
    <w:pPr>
      <w:ind w:firstLine="420"/>
    </w:pPr>
  </w:style>
  <w:style w:type="paragraph" w:styleId="1270" w:customStyle="1">
    <w:name w:val="列出段落1"/>
    <w:basedOn w:val="900"/>
    <w:uiPriority w:val="99"/>
    <w:qFormat/>
    <w:pPr>
      <w:contextualSpacing/>
      <w:ind w:left="720"/>
      <w:jc w:val="left"/>
      <w:widowControl/>
    </w:pPr>
    <w:rPr>
      <w:rFonts w:ascii="Arial" w:hAnsi="Arial" w:eastAsia="黑体"/>
      <w:sz w:val="24"/>
      <w:lang w:eastAsia="en-US"/>
    </w:rPr>
  </w:style>
  <w:style w:type="paragraph" w:styleId="127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72" w:customStyle="1">
    <w:name w:val="目录 5_0"/>
    <w:basedOn w:val="1159"/>
    <w:next w:val="1159"/>
    <w:uiPriority w:val="39"/>
    <w:qFormat/>
    <w:pPr>
      <w:ind w:left="1680"/>
    </w:pPr>
    <w:rPr>
      <w:rFonts w:ascii="Calibri" w:hAnsi="Calibri"/>
    </w:rPr>
  </w:style>
  <w:style w:type="paragraph" w:styleId="1273" w:customStyle="1">
    <w:name w:val="样式 标题 3 + (中文) 黑体 小四 非加粗 段前: 7.8 磅 段后: 0 磅 行距: 固定值 20 磅"/>
    <w:basedOn w:val="903"/>
    <w:next w:val="900"/>
    <w:uiPriority w:val="99"/>
    <w:qFormat/>
    <w:pPr>
      <w:spacing w:before="0" w:after="0" w:line="400" w:lineRule="exact"/>
    </w:pPr>
    <w:rPr>
      <w:rFonts w:eastAsia="黑体" w:cs="宋体"/>
      <w:b w:val="0"/>
      <w:bCs w:val="0"/>
      <w:sz w:val="24"/>
      <w:szCs w:val="20"/>
    </w:rPr>
  </w:style>
  <w:style w:type="paragraph" w:styleId="1274"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75" w:customStyle="1">
    <w:name w:val="列出段落3"/>
    <w:basedOn w:val="900"/>
    <w:uiPriority w:val="99"/>
    <w:qFormat/>
    <w:pPr>
      <w:ind w:firstLine="420"/>
      <w:jc w:val="left"/>
      <w:spacing w:after="200"/>
      <w:widowControl/>
    </w:pPr>
    <w:rPr>
      <w:rFonts w:ascii="Tahoma" w:hAnsi="Tahoma" w:eastAsia="微软雅黑"/>
      <w:sz w:val="22"/>
      <w:szCs w:val="22"/>
    </w:rPr>
  </w:style>
  <w:style w:type="paragraph" w:styleId="1276" w:customStyle="1">
    <w:name w:val="修订2"/>
    <w:uiPriority w:val="99"/>
    <w:semiHidden/>
    <w:qFormat/>
    <w:rPr>
      <w:rFonts w:ascii="Times New Roman" w:hAnsi="Times New Roman" w:eastAsia="宋体" w:cs="Times New Roman"/>
      <w:sz w:val="21"/>
      <w:szCs w:val="24"/>
      <w:lang w:val="en-US" w:eastAsia="zh-CN" w:bidi="ar-SA"/>
    </w:rPr>
  </w:style>
  <w:style w:type="table" w:styleId="1277" w:customStyle="1">
    <w:name w:val="网格型1"/>
    <w:basedOn w:val="911"/>
    <w:uiPriority w:val="0"/>
    <w:qFormat/>
    <w:rPr>
      <w:rFonts w:ascii="Calibri" w:hAnsi="Calibri"/>
    </w:rPr>
    <w:tblPr>
      <w:tblCellMar>
        <w:left w:w="108" w:type="dxa"/>
        <w:top w:w="0" w:type="dxa"/>
        <w:right w:w="108" w:type="dxa"/>
        <w:bottom w:w="0" w:type="dxa"/>
      </w:tblCellMar>
    </w:tblPr>
  </w:style>
  <w:style w:type="paragraph" w:styleId="1278" w:customStyle="1">
    <w:name w:val="标题 41"/>
    <w:basedOn w:val="900"/>
    <w:next w:val="900"/>
    <w:uiPriority w:val="0"/>
    <w:qFormat/>
    <w:pPr>
      <w:keepLines/>
      <w:keepNext/>
      <w:spacing w:before="120" w:after="120"/>
      <w:outlineLvl w:val="3"/>
    </w:pPr>
    <w:rPr>
      <w:rFonts w:ascii="Arial" w:hAnsi="Arial" w:eastAsia="黑体" w:cs="Times New Roman"/>
      <w:b/>
      <w:sz w:val="28"/>
      <w:lang w:val="en-US"/>
    </w:rPr>
  </w:style>
  <w:style w:type="paragraph" w:styleId="1279" w:customStyle="1">
    <w:name w:val="标题 21"/>
    <w:basedOn w:val="900"/>
    <w:next w:val="900"/>
    <w:uiPriority w:val="0"/>
    <w:qFormat/>
    <w:pPr>
      <w:jc w:val="center"/>
      <w:keepLines/>
      <w:keepNext/>
      <w:spacing w:before="260" w:after="260" w:line="240" w:lineRule="auto"/>
      <w:outlineLvl w:val="1"/>
    </w:pPr>
    <w:rPr>
      <w:rFonts w:ascii="Cambria" w:hAnsi="Cambria"/>
      <w:b/>
      <w:bCs/>
      <w:sz w:val="28"/>
      <w:szCs w:val="32"/>
    </w:rPr>
  </w:style>
  <w:style w:type="paragraph" w:styleId="1280" w:customStyle="1">
    <w:name w:val="WPSOffice手动目录 1"/>
    <w:uiPriority w:val="0"/>
    <w:qFormat/>
    <w:rPr>
      <w:rFonts w:ascii="Times New Roman" w:hAnsi="Times New Roman" w:eastAsia="宋体" w:cs="Times New Roman"/>
      <w:sz w:val="20"/>
      <w:szCs w:val="20"/>
    </w:rPr>
  </w:style>
  <w:style w:type="paragraph" w:styleId="1281" w:customStyle="1">
    <w:name w:val="WPSOffice手动目录 2"/>
    <w:uiPriority w:val="0"/>
    <w:qFormat/>
    <w:rPr>
      <w:rFonts w:ascii="Times New Roman" w:hAnsi="Times New Roman" w:eastAsia="宋体" w:cs="Times New Roman"/>
      <w:sz w:val="20"/>
      <w:szCs w:val="20"/>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首行缩进"/>
    <w:basedOn w:val="900"/>
    <w:uiPriority w:val="0"/>
    <w:qFormat/>
    <w:pPr>
      <w:spacing w:line="312" w:lineRule="atLeast"/>
    </w:pPr>
    <w:rPr>
      <w:rFonts w:ascii="Calibri" w:hAnsi="Calibri"/>
    </w:rPr>
  </w:style>
  <w:style w:type="paragraph" w:styleId="1284" w:customStyle="1">
    <w:name w:val="null3"/>
    <w:hidden/>
    <w:uiPriority w:val="0"/>
    <w:qFormat/>
    <w:rPr>
      <w:rFonts w:hint="eastAsia" w:asciiTheme="minorHAnsi" w:hAnsiTheme="minorHAnsi" w:eastAsiaTheme="minorEastAsia" w:cstheme="minorBidi"/>
      <w:sz w:val="20"/>
      <w:szCs w:val="20"/>
      <w:lang w:val="en-US" w:eastAsia="zh-Hans" w:bidi="ar-SA"/>
    </w:rPr>
  </w:style>
  <w:style w:type="character" w:styleId="1285" w:customStyle="1">
    <w:name w:val="font91"/>
    <w:basedOn w:val="910"/>
    <w:uiPriority w:val="0"/>
    <w:qFormat/>
    <w:rPr>
      <w:rFonts w:ascii="宋体" w:hAnsi="宋体" w:eastAsia="宋体" w:cs="宋体"/>
      <w:b/>
      <w:bCs/>
      <w:color w:val="000000"/>
      <w:sz w:val="22"/>
      <w:szCs w:val="22"/>
      <w:u w:val="none"/>
    </w:rPr>
  </w:style>
  <w:style w:type="character" w:styleId="1286" w:customStyle="1">
    <w:name w:val="font101"/>
    <w:basedOn w:val="910"/>
    <w:uiPriority w:val="0"/>
    <w:qFormat/>
    <w:rPr>
      <w:rFonts w:ascii="宋体" w:hAnsi="宋体" w:eastAsia="宋体" w:cs="宋体"/>
      <w:color w:val="000000"/>
      <w:sz w:val="22"/>
      <w:szCs w:val="22"/>
      <w:u w:val="none"/>
    </w:rPr>
  </w:style>
  <w:style w:type="paragraph" w:styleId="1287" w:customStyle="1">
    <w:name w:val="正文文本首行缩进1"/>
    <w:basedOn w:val="1288"/>
    <w:uiPriority w:val="99"/>
    <w:qFormat/>
    <w:pPr>
      <w:ind w:firstLine="420"/>
      <w:tabs>
        <w:tab w:val="left" w:pos="567" w:leader="none"/>
      </w:tabs>
    </w:pPr>
  </w:style>
  <w:style w:type="paragraph" w:styleId="1288" w:customStyle="1">
    <w:name w:val="正文文本12"/>
    <w:basedOn w:val="900"/>
    <w:uiPriority w:val="0"/>
    <w:qFormat/>
    <w:pPr>
      <w:spacing w:before="120" w:line="22" w:lineRule="atLeast"/>
      <w:tabs>
        <w:tab w:val="left" w:pos="567" w:leader="none"/>
      </w:tabs>
    </w:pPr>
    <w:rPr>
      <w:rFonts w:ascii="宋体" w:hAnsi="宋体"/>
      <w:sz w:val="24"/>
    </w:rPr>
  </w:style>
  <w:style w:type="paragraph" w:styleId="1289" w:customStyle="1">
    <w:name w:val="正文文本11"/>
    <w:basedOn w:val="900"/>
    <w:next w:val="900"/>
    <w:uiPriority w:val="0"/>
    <w:qFormat/>
    <w:rPr>
      <w:rFonts w:ascii="楷体_GB2312" w:hAnsi="Arial" w:eastAsia="楷体_GB2312"/>
      <w:sz w:val="28"/>
      <w:szCs w:val="28"/>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8</cp:revision>
  <dcterms:created xsi:type="dcterms:W3CDTF">2024-10-08T06:27:00Z</dcterms:created>
  <dcterms:modified xsi:type="dcterms:W3CDTF">2026-06-26T09:33:51Z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6D93CBAFF81643E49F568D2B23DD86AC_13</vt:lpwstr>
  </property>
  <property fmtid="{D5CDD505-2E9C-101B-9397-08002B2CF9AE}" pid="4" name="KSOTemplateDocerSaveRecord">
    <vt:lpwstr>eyJoZGlkIjoiMzEwNTM5NzYwMDRjMzkwZTVkZjY2ODkwMGIxNGU0OTUiLCJ1c2VySWQiOiI1Njc5NjcwNDAifQ==</vt:lpwstr>
  </property>
</Properties>
</file>