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C9E30D">
      <w:pPr>
        <w:pStyle w:val="34"/>
        <w:spacing w:before="120" w:beforeAutospacing="0" w:after="120" w:afterAutospacing="0" w:line="360" w:lineRule="auto"/>
        <w:ind w:firstLine="482"/>
        <w:rPr>
          <w:color w:val="auto"/>
          <w:highlight w:val="none"/>
        </w:rPr>
      </w:pPr>
      <w:r>
        <w:rPr>
          <w:color w:val="auto"/>
          <w:highlight w:val="none"/>
        </w:rPr>
        <w:t> </w:t>
      </w:r>
    </w:p>
    <w:p w14:paraId="15CE9F6E">
      <w:pPr>
        <w:pStyle w:val="34"/>
        <w:spacing w:before="120" w:beforeAutospacing="0" w:after="120" w:afterAutospacing="0" w:line="360" w:lineRule="auto"/>
        <w:jc w:val="center"/>
        <w:rPr>
          <w:rFonts w:ascii="Arial" w:hAnsi="Arial" w:cs="Arial"/>
          <w:b/>
          <w:color w:val="auto"/>
          <w:sz w:val="84"/>
          <w:szCs w:val="84"/>
          <w:highlight w:val="none"/>
        </w:rPr>
      </w:pPr>
    </w:p>
    <w:p w14:paraId="79FD483E">
      <w:pPr>
        <w:pStyle w:val="34"/>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423F236E">
      <w:pPr>
        <w:pStyle w:val="34"/>
        <w:spacing w:before="120" w:beforeAutospacing="0" w:after="120" w:afterAutospacing="0" w:line="360" w:lineRule="auto"/>
        <w:ind w:firstLine="643"/>
        <w:jc w:val="center"/>
        <w:rPr>
          <w:rFonts w:hint="eastAsia" w:ascii="Arial" w:hAnsi="Arial" w:eastAsia="宋体" w:cs="Arial"/>
          <w:b/>
          <w:color w:val="FF0000"/>
          <w:sz w:val="40"/>
          <w:szCs w:val="40"/>
          <w:highlight w:val="none"/>
          <w:lang w:eastAsia="zh-CN"/>
        </w:rPr>
      </w:pPr>
    </w:p>
    <w:p w14:paraId="2340F19F">
      <w:pPr>
        <w:pStyle w:val="34"/>
        <w:spacing w:before="120" w:beforeAutospacing="0" w:after="120" w:afterAutospacing="0" w:line="360" w:lineRule="auto"/>
        <w:jc w:val="center"/>
        <w:rPr>
          <w:rFonts w:ascii="Arial" w:hAnsi="Arial" w:cs="Arial"/>
          <w:b/>
          <w:bCs w:val="0"/>
          <w:color w:val="auto"/>
          <w:sz w:val="32"/>
          <w:szCs w:val="32"/>
          <w:highlight w:val="none"/>
        </w:rPr>
      </w:pPr>
    </w:p>
    <w:p w14:paraId="00E55F9E">
      <w:pPr>
        <w:pStyle w:val="34"/>
        <w:spacing w:before="120" w:beforeAutospacing="0" w:after="120" w:afterAutospacing="0" w:line="360" w:lineRule="auto"/>
        <w:jc w:val="center"/>
        <w:rPr>
          <w:rFonts w:ascii="Arial" w:hAnsi="Arial" w:cs="Arial"/>
          <w:b/>
          <w:bCs w:val="0"/>
          <w:color w:val="auto"/>
          <w:sz w:val="32"/>
          <w:szCs w:val="32"/>
          <w:highlight w:val="none"/>
        </w:rPr>
      </w:pPr>
    </w:p>
    <w:p w14:paraId="08A511AD">
      <w:pPr>
        <w:pStyle w:val="34"/>
        <w:spacing w:before="120" w:beforeAutospacing="0" w:after="120" w:afterAutospacing="0" w:line="360" w:lineRule="auto"/>
        <w:jc w:val="center"/>
        <w:rPr>
          <w:rFonts w:hint="eastAsia" w:ascii="Arial" w:hAnsi="Arial" w:eastAsia="宋体" w:cs="Arial"/>
          <w:b/>
          <w:bCs w:val="0"/>
          <w:color w:val="auto"/>
          <w:sz w:val="32"/>
          <w:szCs w:val="32"/>
          <w:highlight w:val="none"/>
          <w:lang w:eastAsia="zh-CN"/>
        </w:rPr>
      </w:pPr>
      <w:r>
        <w:rPr>
          <w:rFonts w:ascii="Arial" w:hAnsi="Arial" w:cs="Arial"/>
          <w:b/>
          <w:bCs w:val="0"/>
          <w:color w:val="auto"/>
          <w:sz w:val="32"/>
          <w:szCs w:val="32"/>
          <w:highlight w:val="none"/>
        </w:rPr>
        <w:t>项目名称：</w:t>
      </w:r>
      <w:r>
        <w:rPr>
          <w:rFonts w:hint="eastAsia" w:ascii="Arial" w:hAnsi="Arial" w:eastAsia="宋体" w:cs="Arial"/>
          <w:b/>
          <w:bCs w:val="0"/>
          <w:color w:val="auto"/>
          <w:sz w:val="32"/>
          <w:szCs w:val="32"/>
          <w:highlight w:val="none"/>
          <w:lang w:eastAsia="zh-CN"/>
        </w:rPr>
        <w:t>阜宁县人民医院特勤及保安服务项目</w:t>
      </w:r>
    </w:p>
    <w:p w14:paraId="43A462FC">
      <w:pPr>
        <w:pStyle w:val="34"/>
        <w:spacing w:beforeAutospacing="0" w:afterAutospacing="0"/>
        <w:jc w:val="center"/>
        <w:rPr>
          <w:rFonts w:hint="default" w:ascii="Times New Roman" w:hAnsi="Times New Roman" w:eastAsia="宋体"/>
          <w:b/>
          <w:bCs w:val="0"/>
          <w:color w:val="auto"/>
          <w:sz w:val="32"/>
          <w:szCs w:val="32"/>
          <w:highlight w:val="none"/>
          <w:lang w:val="en-US" w:eastAsia="zh-CN"/>
        </w:rPr>
      </w:pPr>
      <w:r>
        <w:rPr>
          <w:rFonts w:hint="eastAsia" w:ascii="Times New Roman" w:hAnsi="Times New Roman" w:eastAsia="宋体"/>
          <w:b/>
          <w:bCs w:val="0"/>
          <w:color w:val="auto"/>
          <w:sz w:val="32"/>
          <w:szCs w:val="32"/>
          <w:highlight w:val="none"/>
          <w:lang w:val="en-US" w:eastAsia="zh-CN"/>
        </w:rPr>
        <w:t>项目编号：</w:t>
      </w:r>
      <w:r>
        <w:rPr>
          <w:rFonts w:hint="eastAsia" w:ascii="宋体" w:hAnsi="宋体" w:eastAsia="宋体" w:cs="宋体"/>
          <w:b/>
          <w:bCs w:val="0"/>
          <w:color w:val="auto"/>
          <w:sz w:val="32"/>
          <w:szCs w:val="32"/>
          <w:highlight w:val="none"/>
          <w:lang w:val="en-US" w:eastAsia="zh-CN"/>
        </w:rPr>
        <w:t>JSZC-320923-JZCG-G2026-0003</w:t>
      </w:r>
    </w:p>
    <w:p w14:paraId="7E5C23DB">
      <w:pPr>
        <w:pStyle w:val="34"/>
        <w:spacing w:beforeAutospacing="0" w:afterAutospacing="0"/>
        <w:ind w:firstLine="480"/>
        <w:jc w:val="both"/>
        <w:rPr>
          <w:color w:val="auto"/>
          <w:highlight w:val="none"/>
        </w:rPr>
      </w:pPr>
    </w:p>
    <w:p w14:paraId="67730669">
      <w:pPr>
        <w:pStyle w:val="34"/>
        <w:spacing w:beforeAutospacing="0" w:afterAutospacing="0" w:line="360" w:lineRule="auto"/>
        <w:ind w:firstLine="482"/>
        <w:rPr>
          <w:color w:val="auto"/>
          <w:highlight w:val="none"/>
        </w:rPr>
      </w:pPr>
      <w:r>
        <w:rPr>
          <w:color w:val="auto"/>
          <w:highlight w:val="none"/>
        </w:rPr>
        <w:t> </w:t>
      </w:r>
    </w:p>
    <w:p w14:paraId="1706236D">
      <w:pPr>
        <w:pStyle w:val="34"/>
        <w:spacing w:beforeAutospacing="0" w:afterAutospacing="0" w:line="360" w:lineRule="auto"/>
        <w:ind w:firstLine="482"/>
        <w:rPr>
          <w:color w:val="auto"/>
          <w:highlight w:val="none"/>
        </w:rPr>
      </w:pPr>
      <w:r>
        <w:rPr>
          <w:color w:val="auto"/>
          <w:highlight w:val="none"/>
        </w:rPr>
        <w:t> </w:t>
      </w:r>
    </w:p>
    <w:p w14:paraId="3C2D7B2C">
      <w:pPr>
        <w:pStyle w:val="34"/>
        <w:spacing w:beforeAutospacing="0" w:afterAutospacing="0" w:line="360" w:lineRule="auto"/>
        <w:ind w:firstLine="482"/>
        <w:rPr>
          <w:color w:val="auto"/>
          <w:highlight w:val="none"/>
        </w:rPr>
      </w:pPr>
      <w:r>
        <w:rPr>
          <w:color w:val="auto"/>
          <w:highlight w:val="none"/>
        </w:rPr>
        <w:t> </w:t>
      </w:r>
    </w:p>
    <w:p w14:paraId="689EE4AF">
      <w:pPr>
        <w:pStyle w:val="34"/>
        <w:spacing w:beforeAutospacing="0" w:afterAutospacing="0" w:line="360" w:lineRule="auto"/>
        <w:ind w:firstLine="482"/>
        <w:rPr>
          <w:color w:val="auto"/>
          <w:highlight w:val="none"/>
        </w:rPr>
      </w:pPr>
      <w:r>
        <w:rPr>
          <w:color w:val="auto"/>
          <w:highlight w:val="none"/>
        </w:rPr>
        <w:t> </w:t>
      </w:r>
    </w:p>
    <w:p w14:paraId="4622E668">
      <w:pPr>
        <w:pStyle w:val="34"/>
        <w:spacing w:beforeAutospacing="0" w:afterAutospacing="0" w:line="360" w:lineRule="auto"/>
        <w:ind w:firstLine="482"/>
        <w:rPr>
          <w:color w:val="auto"/>
          <w:highlight w:val="none"/>
        </w:rPr>
      </w:pPr>
      <w:r>
        <w:rPr>
          <w:color w:val="auto"/>
          <w:highlight w:val="none"/>
        </w:rPr>
        <w:t> </w:t>
      </w:r>
    </w:p>
    <w:p w14:paraId="3A49B921">
      <w:pPr>
        <w:pStyle w:val="34"/>
        <w:spacing w:beforeAutospacing="0" w:afterAutospacing="0" w:line="360" w:lineRule="auto"/>
        <w:ind w:firstLine="482"/>
        <w:rPr>
          <w:color w:val="auto"/>
          <w:highlight w:val="none"/>
        </w:rPr>
      </w:pPr>
      <w:r>
        <w:rPr>
          <w:color w:val="auto"/>
          <w:highlight w:val="none"/>
        </w:rPr>
        <w:t> </w:t>
      </w:r>
    </w:p>
    <w:p w14:paraId="14F0938A">
      <w:pPr>
        <w:pStyle w:val="34"/>
        <w:spacing w:beforeAutospacing="0" w:afterAutospacing="0" w:line="360" w:lineRule="auto"/>
        <w:ind w:firstLine="482"/>
        <w:rPr>
          <w:color w:val="auto"/>
          <w:highlight w:val="none"/>
        </w:rPr>
      </w:pPr>
      <w:r>
        <w:rPr>
          <w:color w:val="auto"/>
          <w:highlight w:val="none"/>
        </w:rPr>
        <w:t> </w:t>
      </w:r>
    </w:p>
    <w:p w14:paraId="1A52C98E">
      <w:pPr>
        <w:pStyle w:val="34"/>
        <w:spacing w:beforeAutospacing="0" w:afterAutospacing="0" w:line="360" w:lineRule="auto"/>
        <w:ind w:firstLine="482"/>
        <w:rPr>
          <w:color w:val="auto"/>
          <w:highlight w:val="none"/>
        </w:rPr>
      </w:pPr>
    </w:p>
    <w:p w14:paraId="1ECC2EBA">
      <w:pPr>
        <w:pStyle w:val="34"/>
        <w:spacing w:before="120" w:beforeAutospacing="0" w:after="120" w:afterAutospacing="0" w:line="360" w:lineRule="auto"/>
        <w:ind w:firstLine="640"/>
        <w:jc w:val="center"/>
        <w:rPr>
          <w:rFonts w:ascii="Arial" w:hAnsi="Arial" w:cs="Arial"/>
          <w:b/>
          <w:color w:val="auto"/>
          <w:sz w:val="32"/>
          <w:szCs w:val="32"/>
          <w:highlight w:val="none"/>
        </w:rPr>
      </w:pPr>
      <w:r>
        <w:rPr>
          <w:rFonts w:hint="eastAsia" w:ascii="Arial" w:hAnsi="Arial" w:cs="Arial"/>
          <w:b/>
          <w:color w:val="auto"/>
          <w:sz w:val="32"/>
          <w:szCs w:val="32"/>
          <w:highlight w:val="none"/>
          <w:lang w:val="en-US" w:eastAsia="zh-CN"/>
        </w:rPr>
        <w:t>阜宁县人民医院</w:t>
      </w:r>
    </w:p>
    <w:p w14:paraId="17C7BE40">
      <w:pPr>
        <w:pStyle w:val="34"/>
        <w:spacing w:before="120" w:beforeAutospacing="0" w:after="120" w:afterAutospacing="0" w:line="360" w:lineRule="auto"/>
        <w:ind w:firstLine="640"/>
        <w:jc w:val="center"/>
        <w:rPr>
          <w:rFonts w:hint="default" w:eastAsiaTheme="minorEastAsia"/>
          <w:color w:val="auto"/>
          <w:highlight w:val="none"/>
          <w:lang w:val="en-US" w:eastAsia="zh-CN"/>
        </w:rPr>
      </w:pPr>
      <w:r>
        <w:rPr>
          <w:rFonts w:hint="eastAsia" w:ascii="Arial" w:hAnsi="Arial" w:cs="Arial"/>
          <w:b/>
          <w:color w:val="auto"/>
          <w:sz w:val="32"/>
          <w:szCs w:val="32"/>
          <w:highlight w:val="none"/>
          <w:lang w:val="en-US" w:eastAsia="zh-CN"/>
        </w:rPr>
        <w:t>2026年5月29日</w:t>
      </w:r>
    </w:p>
    <w:p w14:paraId="772FC04D">
      <w:pPr>
        <w:pStyle w:val="34"/>
        <w:spacing w:before="120" w:beforeAutospacing="0" w:after="120" w:afterAutospacing="0" w:line="360" w:lineRule="auto"/>
        <w:ind w:firstLine="482"/>
        <w:rPr>
          <w:color w:val="auto"/>
          <w:highlight w:val="none"/>
        </w:rPr>
      </w:pPr>
      <w:r>
        <w:rPr>
          <w:rFonts w:ascii="Arial" w:hAnsi="Arial" w:cs="Arial"/>
          <w:color w:val="auto"/>
          <w:highlight w:val="none"/>
        </w:rPr>
        <w:t xml:space="preserve">                        </w:t>
      </w:r>
    </w:p>
    <w:p w14:paraId="4B0C7A34">
      <w:pPr>
        <w:pStyle w:val="34"/>
        <w:spacing w:before="120" w:beforeAutospacing="0" w:after="120" w:afterAutospacing="0" w:line="360" w:lineRule="auto"/>
        <w:ind w:firstLine="482"/>
        <w:jc w:val="center"/>
        <w:rPr>
          <w:color w:val="auto"/>
          <w:highlight w:val="none"/>
        </w:rPr>
      </w:pPr>
      <w:r>
        <w:rPr>
          <w:color w:val="auto"/>
          <w:highlight w:val="none"/>
        </w:rPr>
        <w:t> </w:t>
      </w:r>
    </w:p>
    <w:p w14:paraId="04E33098">
      <w:pPr>
        <w:pStyle w:val="34"/>
        <w:tabs>
          <w:tab w:val="left" w:pos="1441"/>
        </w:tabs>
        <w:spacing w:beforeAutospacing="0" w:afterAutospacing="0" w:line="480" w:lineRule="auto"/>
        <w:ind w:left="2160" w:firstLine="482"/>
        <w:jc w:val="both"/>
        <w:rPr>
          <w:color w:val="auto"/>
          <w:highlight w:val="none"/>
        </w:rPr>
        <w:sectPr>
          <w:pgSz w:w="11906" w:h="16838"/>
          <w:pgMar w:top="1440" w:right="1463" w:bottom="1440" w:left="1463" w:header="851" w:footer="992" w:gutter="0"/>
          <w:cols w:space="425" w:num="1"/>
          <w:docGrid w:linePitch="360" w:charSpace="0"/>
        </w:sectPr>
      </w:pPr>
    </w:p>
    <w:p w14:paraId="6AF7273B">
      <w:pPr>
        <w:pStyle w:val="34"/>
        <w:tabs>
          <w:tab w:val="left" w:pos="1441"/>
        </w:tabs>
        <w:spacing w:beforeAutospacing="0" w:afterAutospacing="0" w:line="480" w:lineRule="auto"/>
        <w:ind w:left="2160" w:firstLine="482"/>
        <w:jc w:val="both"/>
        <w:rPr>
          <w:color w:val="auto"/>
          <w:highlight w:val="none"/>
        </w:rPr>
      </w:pPr>
    </w:p>
    <w:sdt>
      <w:sdtPr>
        <w:rPr>
          <w:rFonts w:ascii="黑体" w:hAnsi="宋体" w:eastAsia="黑体" w:cs="黑体"/>
          <w:b/>
          <w:color w:val="auto"/>
          <w:sz w:val="44"/>
          <w:szCs w:val="44"/>
          <w:highlight w:val="none"/>
        </w:rPr>
        <w:id w:val="147466956"/>
        <w:docPartObj>
          <w:docPartGallery w:val="Table of Contents"/>
          <w:docPartUnique/>
        </w:docPartObj>
      </w:sdtPr>
      <w:sdtEndPr>
        <w:rPr>
          <w:rFonts w:ascii="黑体" w:hAnsi="宋体" w:eastAsia="黑体" w:cs="黑体"/>
          <w:b/>
          <w:color w:val="auto"/>
          <w:sz w:val="44"/>
          <w:szCs w:val="44"/>
          <w:highlight w:val="none"/>
        </w:rPr>
      </w:sdtEndPr>
      <w:sdtContent>
        <w:p w14:paraId="6C85F559">
          <w:pPr>
            <w:jc w:val="center"/>
            <w:rPr>
              <w:rFonts w:ascii="黑体" w:hAnsi="宋体" w:eastAsia="黑体" w:cs="黑体"/>
              <w:b/>
              <w:color w:val="auto"/>
              <w:sz w:val="44"/>
              <w:szCs w:val="44"/>
              <w:highlight w:val="none"/>
            </w:rPr>
          </w:pPr>
          <w:r>
            <w:rPr>
              <w:rFonts w:ascii="黑体" w:hAnsi="宋体" w:eastAsia="黑体" w:cs="黑体"/>
              <w:b/>
              <w:color w:val="auto"/>
              <w:sz w:val="44"/>
              <w:szCs w:val="44"/>
              <w:highlight w:val="none"/>
            </w:rPr>
            <w:t>总目录</w:t>
          </w:r>
        </w:p>
        <w:p w14:paraId="1C023D23">
          <w:pPr>
            <w:ind w:firstLine="880"/>
            <w:jc w:val="center"/>
            <w:rPr>
              <w:rFonts w:ascii="黑体" w:hAnsi="宋体" w:eastAsia="黑体" w:cs="黑体"/>
              <w:b/>
              <w:color w:val="auto"/>
              <w:sz w:val="44"/>
              <w:szCs w:val="44"/>
              <w:highlight w:val="none"/>
            </w:rPr>
          </w:pPr>
        </w:p>
        <w:p w14:paraId="0EA08BAA">
          <w:pPr>
            <w:pStyle w:val="25"/>
            <w:tabs>
              <w:tab w:val="right" w:leader="dot" w:pos="8306"/>
            </w:tabs>
            <w:rPr>
              <w:color w:val="auto"/>
              <w:highlight w:val="none"/>
            </w:rPr>
          </w:pP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rPr>
              <w:color w:val="auto"/>
              <w:szCs w:val="28"/>
              <w:highlight w:val="none"/>
            </w:rPr>
            <w:fldChar w:fldCharType="begin"/>
          </w:r>
          <w:r>
            <w:rPr>
              <w:color w:val="auto"/>
              <w:szCs w:val="28"/>
              <w:highlight w:val="none"/>
            </w:rPr>
            <w:instrText xml:space="preserve"> HYPERLINK \l _Toc30380 </w:instrText>
          </w:r>
          <w:r>
            <w:rPr>
              <w:color w:val="auto"/>
              <w:szCs w:val="28"/>
              <w:highlight w:val="none"/>
            </w:rPr>
            <w:fldChar w:fldCharType="separate"/>
          </w:r>
          <w:r>
            <w:rPr>
              <w:rFonts w:hint="eastAsia" w:ascii="黑体" w:hAnsi="宋体" w:eastAsia="黑体" w:cs="黑体"/>
              <w:color w:val="auto"/>
              <w:szCs w:val="44"/>
              <w:highlight w:val="none"/>
            </w:rPr>
            <w:t>第一章</w:t>
          </w:r>
          <w:r>
            <w:rPr>
              <w:rFonts w:hint="eastAsia" w:ascii="黑体" w:hAnsi="宋体" w:eastAsia="黑体" w:cs="黑体"/>
              <w:color w:val="auto"/>
              <w:szCs w:val="44"/>
              <w:highlight w:val="none"/>
              <w:lang w:val="en-US" w:eastAsia="zh-CN"/>
            </w:rPr>
            <w:t xml:space="preserve"> </w:t>
          </w:r>
          <w:r>
            <w:rPr>
              <w:rFonts w:hint="eastAsia" w:ascii="黑体" w:hAnsi="宋体" w:eastAsia="黑体" w:cs="黑体"/>
              <w:color w:val="auto"/>
              <w:szCs w:val="44"/>
              <w:highlight w:val="none"/>
            </w:rPr>
            <w:t>招标公告</w:t>
          </w:r>
          <w:r>
            <w:rPr>
              <w:color w:val="auto"/>
              <w:highlight w:val="none"/>
            </w:rPr>
            <w:tab/>
          </w:r>
          <w:r>
            <w:rPr>
              <w:color w:val="auto"/>
              <w:highlight w:val="none"/>
            </w:rPr>
            <w:fldChar w:fldCharType="begin"/>
          </w:r>
          <w:r>
            <w:rPr>
              <w:color w:val="auto"/>
              <w:highlight w:val="none"/>
            </w:rPr>
            <w:instrText xml:space="preserve"> PAGEREF _Toc30380 \h </w:instrText>
          </w:r>
          <w:r>
            <w:rPr>
              <w:color w:val="auto"/>
              <w:highlight w:val="none"/>
            </w:rPr>
            <w:fldChar w:fldCharType="separate"/>
          </w:r>
          <w:r>
            <w:rPr>
              <w:color w:val="auto"/>
              <w:highlight w:val="none"/>
            </w:rPr>
            <w:t>1</w:t>
          </w:r>
          <w:r>
            <w:rPr>
              <w:color w:val="auto"/>
              <w:highlight w:val="none"/>
            </w:rPr>
            <w:fldChar w:fldCharType="end"/>
          </w:r>
          <w:r>
            <w:rPr>
              <w:color w:val="auto"/>
              <w:szCs w:val="28"/>
              <w:highlight w:val="none"/>
            </w:rPr>
            <w:fldChar w:fldCharType="end"/>
          </w:r>
        </w:p>
        <w:p w14:paraId="21320E80">
          <w:pPr>
            <w:pStyle w:val="25"/>
            <w:tabs>
              <w:tab w:val="right" w:leader="dot" w:pos="8306"/>
            </w:tabs>
            <w:rPr>
              <w:color w:val="auto"/>
              <w:highlight w:val="none"/>
            </w:rPr>
          </w:pPr>
          <w:r>
            <w:rPr>
              <w:color w:val="auto"/>
              <w:szCs w:val="28"/>
              <w:highlight w:val="none"/>
            </w:rPr>
            <w:fldChar w:fldCharType="begin"/>
          </w:r>
          <w:r>
            <w:rPr>
              <w:color w:val="auto"/>
              <w:szCs w:val="28"/>
              <w:highlight w:val="none"/>
            </w:rPr>
            <w:instrText xml:space="preserve"> HYPERLINK \l _Toc1788 </w:instrText>
          </w:r>
          <w:r>
            <w:rPr>
              <w:color w:val="auto"/>
              <w:szCs w:val="28"/>
              <w:highlight w:val="none"/>
            </w:rPr>
            <w:fldChar w:fldCharType="separate"/>
          </w:r>
          <w:r>
            <w:rPr>
              <w:rFonts w:hint="eastAsia" w:ascii="黑体" w:hAnsi="宋体" w:eastAsia="黑体" w:cs="黑体"/>
              <w:color w:val="auto"/>
              <w:szCs w:val="44"/>
              <w:highlight w:val="none"/>
            </w:rPr>
            <w:t>第二章</w:t>
          </w:r>
          <w:r>
            <w:rPr>
              <w:rFonts w:hint="eastAsia" w:ascii="黑体" w:hAnsi="宋体" w:eastAsia="黑体" w:cs="黑体"/>
              <w:color w:val="auto"/>
              <w:szCs w:val="44"/>
              <w:highlight w:val="none"/>
              <w:lang w:val="en-US" w:eastAsia="zh-CN"/>
            </w:rPr>
            <w:t xml:space="preserve"> </w:t>
          </w:r>
          <w:r>
            <w:rPr>
              <w:rFonts w:hint="eastAsia" w:ascii="黑体" w:hAnsi="宋体" w:eastAsia="黑体" w:cs="黑体"/>
              <w:color w:val="auto"/>
              <w:szCs w:val="44"/>
              <w:highlight w:val="none"/>
            </w:rPr>
            <w:t>投标人须知</w:t>
          </w:r>
          <w:r>
            <w:rPr>
              <w:color w:val="auto"/>
              <w:highlight w:val="none"/>
            </w:rPr>
            <w:tab/>
          </w:r>
          <w:r>
            <w:rPr>
              <w:color w:val="auto"/>
              <w:highlight w:val="none"/>
            </w:rPr>
            <w:fldChar w:fldCharType="begin"/>
          </w:r>
          <w:r>
            <w:rPr>
              <w:color w:val="auto"/>
              <w:highlight w:val="none"/>
            </w:rPr>
            <w:instrText xml:space="preserve"> PAGEREF _Toc1788 \h </w:instrText>
          </w:r>
          <w:r>
            <w:rPr>
              <w:color w:val="auto"/>
              <w:highlight w:val="none"/>
            </w:rPr>
            <w:fldChar w:fldCharType="separate"/>
          </w:r>
          <w:r>
            <w:rPr>
              <w:color w:val="auto"/>
              <w:highlight w:val="none"/>
            </w:rPr>
            <w:t>5</w:t>
          </w:r>
          <w:r>
            <w:rPr>
              <w:color w:val="auto"/>
              <w:highlight w:val="none"/>
            </w:rPr>
            <w:fldChar w:fldCharType="end"/>
          </w:r>
          <w:r>
            <w:rPr>
              <w:color w:val="auto"/>
              <w:szCs w:val="28"/>
              <w:highlight w:val="none"/>
            </w:rPr>
            <w:fldChar w:fldCharType="end"/>
          </w:r>
        </w:p>
        <w:p w14:paraId="55FF3C85">
          <w:pPr>
            <w:pStyle w:val="25"/>
            <w:tabs>
              <w:tab w:val="right" w:leader="dot" w:pos="8306"/>
            </w:tabs>
            <w:rPr>
              <w:color w:val="auto"/>
              <w:highlight w:val="none"/>
            </w:rPr>
          </w:pPr>
          <w:r>
            <w:rPr>
              <w:color w:val="auto"/>
              <w:szCs w:val="28"/>
              <w:highlight w:val="none"/>
            </w:rPr>
            <w:fldChar w:fldCharType="begin"/>
          </w:r>
          <w:r>
            <w:rPr>
              <w:color w:val="auto"/>
              <w:szCs w:val="28"/>
              <w:highlight w:val="none"/>
            </w:rPr>
            <w:instrText xml:space="preserve"> HYPERLINK \l _Toc11265 </w:instrText>
          </w:r>
          <w:r>
            <w:rPr>
              <w:color w:val="auto"/>
              <w:szCs w:val="28"/>
              <w:highlight w:val="none"/>
            </w:rPr>
            <w:fldChar w:fldCharType="separate"/>
          </w:r>
          <w:r>
            <w:rPr>
              <w:rFonts w:hint="eastAsia" w:ascii="黑体" w:hAnsi="宋体" w:eastAsia="黑体" w:cs="黑体"/>
              <w:color w:val="auto"/>
              <w:szCs w:val="44"/>
              <w:highlight w:val="none"/>
            </w:rPr>
            <w:t>第三章 合同文本</w:t>
          </w:r>
          <w:r>
            <w:rPr>
              <w:color w:val="auto"/>
              <w:highlight w:val="none"/>
            </w:rPr>
            <w:tab/>
          </w:r>
          <w:r>
            <w:rPr>
              <w:color w:val="auto"/>
              <w:highlight w:val="none"/>
            </w:rPr>
            <w:fldChar w:fldCharType="begin"/>
          </w:r>
          <w:r>
            <w:rPr>
              <w:color w:val="auto"/>
              <w:highlight w:val="none"/>
            </w:rPr>
            <w:instrText xml:space="preserve"> PAGEREF _Toc11265 \h </w:instrText>
          </w:r>
          <w:r>
            <w:rPr>
              <w:color w:val="auto"/>
              <w:highlight w:val="none"/>
            </w:rPr>
            <w:fldChar w:fldCharType="separate"/>
          </w:r>
          <w:r>
            <w:rPr>
              <w:color w:val="auto"/>
              <w:highlight w:val="none"/>
            </w:rPr>
            <w:t>18</w:t>
          </w:r>
          <w:r>
            <w:rPr>
              <w:color w:val="auto"/>
              <w:highlight w:val="none"/>
            </w:rPr>
            <w:fldChar w:fldCharType="end"/>
          </w:r>
          <w:r>
            <w:rPr>
              <w:color w:val="auto"/>
              <w:szCs w:val="28"/>
              <w:highlight w:val="none"/>
            </w:rPr>
            <w:fldChar w:fldCharType="end"/>
          </w:r>
        </w:p>
        <w:p w14:paraId="49A0BB71">
          <w:pPr>
            <w:pStyle w:val="25"/>
            <w:tabs>
              <w:tab w:val="right" w:leader="dot" w:pos="8306"/>
            </w:tabs>
            <w:rPr>
              <w:color w:val="auto"/>
              <w:highlight w:val="none"/>
            </w:rPr>
          </w:pPr>
          <w:r>
            <w:rPr>
              <w:color w:val="auto"/>
              <w:szCs w:val="28"/>
              <w:highlight w:val="none"/>
            </w:rPr>
            <w:fldChar w:fldCharType="begin"/>
          </w:r>
          <w:r>
            <w:rPr>
              <w:color w:val="auto"/>
              <w:szCs w:val="28"/>
              <w:highlight w:val="none"/>
            </w:rPr>
            <w:instrText xml:space="preserve"> HYPERLINK \l _Toc22915 </w:instrText>
          </w:r>
          <w:r>
            <w:rPr>
              <w:color w:val="auto"/>
              <w:szCs w:val="28"/>
              <w:highlight w:val="none"/>
            </w:rPr>
            <w:fldChar w:fldCharType="separate"/>
          </w:r>
          <w:r>
            <w:rPr>
              <w:rFonts w:hint="eastAsia" w:ascii="黑体" w:hAnsi="宋体" w:eastAsia="黑体" w:cs="黑体"/>
              <w:color w:val="auto"/>
              <w:szCs w:val="44"/>
              <w:highlight w:val="none"/>
            </w:rPr>
            <w:t>第四章 采购需求</w:t>
          </w:r>
          <w:r>
            <w:rPr>
              <w:color w:val="auto"/>
              <w:highlight w:val="none"/>
            </w:rPr>
            <w:tab/>
          </w:r>
          <w:r>
            <w:rPr>
              <w:color w:val="auto"/>
              <w:highlight w:val="none"/>
            </w:rPr>
            <w:fldChar w:fldCharType="begin"/>
          </w:r>
          <w:r>
            <w:rPr>
              <w:color w:val="auto"/>
              <w:highlight w:val="none"/>
            </w:rPr>
            <w:instrText xml:space="preserve"> PAGEREF _Toc22915 \h </w:instrText>
          </w:r>
          <w:r>
            <w:rPr>
              <w:color w:val="auto"/>
              <w:highlight w:val="none"/>
            </w:rPr>
            <w:fldChar w:fldCharType="separate"/>
          </w:r>
          <w:r>
            <w:rPr>
              <w:color w:val="auto"/>
              <w:highlight w:val="none"/>
            </w:rPr>
            <w:t>24</w:t>
          </w:r>
          <w:r>
            <w:rPr>
              <w:color w:val="auto"/>
              <w:highlight w:val="none"/>
            </w:rPr>
            <w:fldChar w:fldCharType="end"/>
          </w:r>
          <w:r>
            <w:rPr>
              <w:color w:val="auto"/>
              <w:szCs w:val="28"/>
              <w:highlight w:val="none"/>
            </w:rPr>
            <w:fldChar w:fldCharType="end"/>
          </w:r>
        </w:p>
        <w:p w14:paraId="23BCAE52">
          <w:pPr>
            <w:pStyle w:val="25"/>
            <w:tabs>
              <w:tab w:val="right" w:leader="dot" w:pos="8306"/>
            </w:tabs>
            <w:rPr>
              <w:color w:val="auto"/>
              <w:highlight w:val="none"/>
            </w:rPr>
          </w:pPr>
          <w:r>
            <w:rPr>
              <w:color w:val="auto"/>
              <w:szCs w:val="28"/>
              <w:highlight w:val="none"/>
            </w:rPr>
            <w:fldChar w:fldCharType="begin"/>
          </w:r>
          <w:r>
            <w:rPr>
              <w:color w:val="auto"/>
              <w:szCs w:val="28"/>
              <w:highlight w:val="none"/>
            </w:rPr>
            <w:instrText xml:space="preserve"> HYPERLINK \l _Toc24570 </w:instrText>
          </w:r>
          <w:r>
            <w:rPr>
              <w:color w:val="auto"/>
              <w:szCs w:val="28"/>
              <w:highlight w:val="none"/>
            </w:rPr>
            <w:fldChar w:fldCharType="separate"/>
          </w:r>
          <w:r>
            <w:rPr>
              <w:rFonts w:hint="eastAsia" w:ascii="黑体" w:hAnsi="宋体" w:eastAsia="黑体" w:cs="黑体"/>
              <w:color w:val="auto"/>
              <w:szCs w:val="44"/>
              <w:highlight w:val="none"/>
            </w:rPr>
            <w:t>第五章</w:t>
          </w:r>
          <w:r>
            <w:rPr>
              <w:rFonts w:hint="eastAsia" w:ascii="黑体" w:hAnsi="宋体" w:eastAsia="黑体" w:cs="黑体"/>
              <w:color w:val="auto"/>
              <w:szCs w:val="44"/>
              <w:highlight w:val="none"/>
              <w:lang w:val="en-US" w:eastAsia="zh-CN"/>
            </w:rPr>
            <w:t xml:space="preserve"> </w:t>
          </w:r>
          <w:r>
            <w:rPr>
              <w:rFonts w:hint="eastAsia" w:ascii="黑体" w:hAnsi="宋体" w:eastAsia="黑体" w:cs="黑体"/>
              <w:color w:val="auto"/>
              <w:szCs w:val="44"/>
              <w:highlight w:val="none"/>
            </w:rPr>
            <w:t>评标方法与评标标准</w:t>
          </w:r>
          <w:r>
            <w:rPr>
              <w:color w:val="auto"/>
              <w:highlight w:val="none"/>
            </w:rPr>
            <w:tab/>
          </w:r>
          <w:r>
            <w:rPr>
              <w:color w:val="auto"/>
              <w:highlight w:val="none"/>
            </w:rPr>
            <w:fldChar w:fldCharType="begin"/>
          </w:r>
          <w:r>
            <w:rPr>
              <w:color w:val="auto"/>
              <w:highlight w:val="none"/>
            </w:rPr>
            <w:instrText xml:space="preserve"> PAGEREF _Toc24570 \h </w:instrText>
          </w:r>
          <w:r>
            <w:rPr>
              <w:color w:val="auto"/>
              <w:highlight w:val="none"/>
            </w:rPr>
            <w:fldChar w:fldCharType="separate"/>
          </w:r>
          <w:r>
            <w:rPr>
              <w:color w:val="auto"/>
              <w:highlight w:val="none"/>
            </w:rPr>
            <w:t>34</w:t>
          </w:r>
          <w:r>
            <w:rPr>
              <w:color w:val="auto"/>
              <w:highlight w:val="none"/>
            </w:rPr>
            <w:fldChar w:fldCharType="end"/>
          </w:r>
          <w:r>
            <w:rPr>
              <w:color w:val="auto"/>
              <w:szCs w:val="28"/>
              <w:highlight w:val="none"/>
            </w:rPr>
            <w:fldChar w:fldCharType="end"/>
          </w:r>
        </w:p>
        <w:p w14:paraId="19754F57">
          <w:pPr>
            <w:pStyle w:val="25"/>
            <w:tabs>
              <w:tab w:val="right" w:leader="dot" w:pos="8306"/>
            </w:tabs>
            <w:rPr>
              <w:color w:val="auto"/>
              <w:highlight w:val="none"/>
            </w:rPr>
          </w:pPr>
          <w:r>
            <w:rPr>
              <w:color w:val="auto"/>
              <w:szCs w:val="28"/>
              <w:highlight w:val="none"/>
            </w:rPr>
            <w:fldChar w:fldCharType="begin"/>
          </w:r>
          <w:r>
            <w:rPr>
              <w:color w:val="auto"/>
              <w:szCs w:val="28"/>
              <w:highlight w:val="none"/>
            </w:rPr>
            <w:instrText xml:space="preserve"> HYPERLINK \l _Toc12691 </w:instrText>
          </w:r>
          <w:r>
            <w:rPr>
              <w:color w:val="auto"/>
              <w:szCs w:val="28"/>
              <w:highlight w:val="none"/>
            </w:rPr>
            <w:fldChar w:fldCharType="separate"/>
          </w:r>
          <w:r>
            <w:rPr>
              <w:rFonts w:hint="eastAsia" w:ascii="黑体" w:hAnsi="宋体" w:eastAsia="黑体" w:cs="黑体"/>
              <w:color w:val="auto"/>
              <w:szCs w:val="44"/>
              <w:highlight w:val="none"/>
            </w:rPr>
            <w:t>第六章  投标文件格式</w:t>
          </w:r>
          <w:r>
            <w:rPr>
              <w:color w:val="auto"/>
              <w:highlight w:val="none"/>
            </w:rPr>
            <w:tab/>
          </w:r>
          <w:r>
            <w:rPr>
              <w:color w:val="auto"/>
              <w:highlight w:val="none"/>
            </w:rPr>
            <w:fldChar w:fldCharType="begin"/>
          </w:r>
          <w:r>
            <w:rPr>
              <w:color w:val="auto"/>
              <w:highlight w:val="none"/>
            </w:rPr>
            <w:instrText xml:space="preserve"> PAGEREF _Toc12691 \h </w:instrText>
          </w:r>
          <w:r>
            <w:rPr>
              <w:color w:val="auto"/>
              <w:highlight w:val="none"/>
            </w:rPr>
            <w:fldChar w:fldCharType="separate"/>
          </w:r>
          <w:r>
            <w:rPr>
              <w:color w:val="auto"/>
              <w:highlight w:val="none"/>
            </w:rPr>
            <w:t>39</w:t>
          </w:r>
          <w:r>
            <w:rPr>
              <w:color w:val="auto"/>
              <w:highlight w:val="none"/>
            </w:rPr>
            <w:fldChar w:fldCharType="end"/>
          </w:r>
          <w:r>
            <w:rPr>
              <w:color w:val="auto"/>
              <w:szCs w:val="28"/>
              <w:highlight w:val="none"/>
            </w:rPr>
            <w:fldChar w:fldCharType="end"/>
          </w:r>
        </w:p>
        <w:p w14:paraId="5548A033">
          <w:pPr>
            <w:pStyle w:val="34"/>
            <w:tabs>
              <w:tab w:val="left" w:pos="1441"/>
            </w:tabs>
            <w:spacing w:beforeAutospacing="0" w:afterAutospacing="0" w:line="360" w:lineRule="auto"/>
            <w:ind w:left="2160" w:firstLine="482"/>
            <w:jc w:val="both"/>
            <w:rPr>
              <w:color w:val="auto"/>
              <w:highlight w:val="none"/>
            </w:rPr>
          </w:pPr>
          <w:r>
            <w:rPr>
              <w:color w:val="auto"/>
              <w:szCs w:val="28"/>
              <w:highlight w:val="none"/>
            </w:rPr>
            <w:fldChar w:fldCharType="end"/>
          </w:r>
        </w:p>
      </w:sdtContent>
    </w:sdt>
    <w:p w14:paraId="012AB90A">
      <w:pPr>
        <w:pStyle w:val="34"/>
        <w:tabs>
          <w:tab w:val="left" w:pos="1441"/>
        </w:tabs>
        <w:spacing w:beforeAutospacing="0" w:afterAutospacing="0" w:line="480" w:lineRule="auto"/>
        <w:ind w:left="2160" w:firstLine="482"/>
        <w:jc w:val="both"/>
        <w:rPr>
          <w:color w:val="auto"/>
          <w:highlight w:val="none"/>
        </w:rPr>
      </w:pPr>
    </w:p>
    <w:p w14:paraId="16B3A5EE">
      <w:pPr>
        <w:pStyle w:val="34"/>
        <w:spacing w:beforeAutospacing="0" w:afterAutospacing="0"/>
        <w:ind w:firstLine="482"/>
        <w:jc w:val="both"/>
        <w:rPr>
          <w:color w:val="auto"/>
          <w:highlight w:val="none"/>
        </w:rPr>
      </w:pPr>
      <w:r>
        <w:rPr>
          <w:color w:val="auto"/>
          <w:highlight w:val="none"/>
        </w:rPr>
        <w:t> </w:t>
      </w:r>
    </w:p>
    <w:p w14:paraId="0A1AE56F">
      <w:pPr>
        <w:pStyle w:val="34"/>
        <w:spacing w:beforeAutospacing="0" w:afterAutospacing="0"/>
        <w:ind w:firstLine="482"/>
        <w:jc w:val="both"/>
        <w:rPr>
          <w:color w:val="auto"/>
          <w:highlight w:val="none"/>
        </w:rPr>
      </w:pPr>
      <w:r>
        <w:rPr>
          <w:color w:val="auto"/>
          <w:highlight w:val="none"/>
        </w:rPr>
        <w:t> </w:t>
      </w:r>
    </w:p>
    <w:p w14:paraId="37047E7A">
      <w:pPr>
        <w:pStyle w:val="34"/>
        <w:spacing w:beforeAutospacing="0" w:afterAutospacing="0"/>
        <w:ind w:firstLine="482"/>
        <w:jc w:val="both"/>
        <w:rPr>
          <w:color w:val="auto"/>
          <w:highlight w:val="none"/>
        </w:rPr>
      </w:pPr>
      <w:r>
        <w:rPr>
          <w:color w:val="auto"/>
          <w:highlight w:val="none"/>
        </w:rPr>
        <w:t> </w:t>
      </w:r>
    </w:p>
    <w:p w14:paraId="1C246B6E">
      <w:pPr>
        <w:pStyle w:val="34"/>
        <w:spacing w:beforeAutospacing="0" w:afterAutospacing="0"/>
        <w:ind w:firstLine="482"/>
        <w:jc w:val="both"/>
        <w:rPr>
          <w:color w:val="auto"/>
          <w:highlight w:val="none"/>
        </w:rPr>
      </w:pPr>
      <w:r>
        <w:rPr>
          <w:color w:val="auto"/>
          <w:highlight w:val="none"/>
        </w:rPr>
        <w:t> </w:t>
      </w:r>
    </w:p>
    <w:p w14:paraId="5A016300">
      <w:pPr>
        <w:pStyle w:val="34"/>
        <w:spacing w:beforeAutospacing="0" w:afterAutospacing="0"/>
        <w:ind w:firstLine="482"/>
        <w:jc w:val="both"/>
        <w:rPr>
          <w:color w:val="auto"/>
          <w:highlight w:val="none"/>
        </w:rPr>
      </w:pPr>
      <w:r>
        <w:rPr>
          <w:color w:val="auto"/>
          <w:highlight w:val="none"/>
        </w:rPr>
        <w:t> </w:t>
      </w:r>
    </w:p>
    <w:p w14:paraId="13C25F93">
      <w:pPr>
        <w:pStyle w:val="34"/>
        <w:spacing w:beforeAutospacing="0" w:afterAutospacing="0"/>
        <w:ind w:firstLine="482"/>
        <w:jc w:val="both"/>
        <w:rPr>
          <w:color w:val="auto"/>
          <w:highlight w:val="none"/>
        </w:rPr>
      </w:pPr>
      <w:r>
        <w:rPr>
          <w:color w:val="auto"/>
          <w:highlight w:val="none"/>
        </w:rPr>
        <w:t> </w:t>
      </w:r>
    </w:p>
    <w:p w14:paraId="1C7B6029">
      <w:pPr>
        <w:pStyle w:val="34"/>
        <w:spacing w:beforeAutospacing="0" w:afterAutospacing="0"/>
        <w:ind w:firstLine="482"/>
        <w:jc w:val="both"/>
        <w:rPr>
          <w:color w:val="auto"/>
          <w:highlight w:val="none"/>
        </w:rPr>
      </w:pPr>
      <w:r>
        <w:rPr>
          <w:color w:val="auto"/>
          <w:highlight w:val="none"/>
        </w:rPr>
        <w:t> </w:t>
      </w:r>
    </w:p>
    <w:p w14:paraId="040C18D0">
      <w:pPr>
        <w:pStyle w:val="34"/>
        <w:spacing w:beforeAutospacing="0" w:afterAutospacing="0"/>
        <w:ind w:firstLine="482"/>
        <w:jc w:val="both"/>
        <w:rPr>
          <w:color w:val="auto"/>
          <w:highlight w:val="none"/>
        </w:rPr>
      </w:pPr>
      <w:r>
        <w:rPr>
          <w:color w:val="auto"/>
          <w:highlight w:val="none"/>
        </w:rPr>
        <w:t> </w:t>
      </w:r>
    </w:p>
    <w:p w14:paraId="593D67C5">
      <w:pPr>
        <w:pStyle w:val="34"/>
        <w:spacing w:beforeAutospacing="0" w:afterAutospacing="0"/>
        <w:ind w:firstLine="482"/>
        <w:jc w:val="both"/>
        <w:rPr>
          <w:color w:val="auto"/>
          <w:highlight w:val="none"/>
        </w:rPr>
      </w:pPr>
      <w:r>
        <w:rPr>
          <w:color w:val="auto"/>
          <w:highlight w:val="none"/>
        </w:rPr>
        <w:t> </w:t>
      </w:r>
    </w:p>
    <w:p w14:paraId="05E46F06">
      <w:pPr>
        <w:pStyle w:val="34"/>
        <w:spacing w:beforeAutospacing="0" w:afterAutospacing="0"/>
        <w:ind w:firstLine="482"/>
        <w:jc w:val="both"/>
        <w:rPr>
          <w:color w:val="auto"/>
          <w:highlight w:val="none"/>
        </w:rPr>
      </w:pPr>
      <w:r>
        <w:rPr>
          <w:color w:val="auto"/>
          <w:highlight w:val="none"/>
        </w:rPr>
        <w:t> </w:t>
      </w:r>
    </w:p>
    <w:p w14:paraId="3520ECD8">
      <w:pPr>
        <w:pStyle w:val="34"/>
        <w:spacing w:beforeAutospacing="0" w:afterAutospacing="0"/>
        <w:ind w:firstLine="482"/>
        <w:jc w:val="both"/>
        <w:rPr>
          <w:color w:val="auto"/>
          <w:highlight w:val="none"/>
        </w:rPr>
        <w:sectPr>
          <w:footerReference r:id="rId3" w:type="default"/>
          <w:pgSz w:w="11906" w:h="16838"/>
          <w:pgMar w:top="1440" w:right="1800" w:bottom="1440" w:left="1800" w:header="851" w:footer="992" w:gutter="0"/>
          <w:pgNumType w:start="1"/>
          <w:cols w:space="425" w:num="1"/>
          <w:docGrid w:linePitch="360" w:charSpace="0"/>
        </w:sectPr>
      </w:pPr>
      <w:r>
        <w:rPr>
          <w:color w:val="auto"/>
          <w:highlight w:val="none"/>
        </w:rPr>
        <w:t> </w:t>
      </w:r>
    </w:p>
    <w:p w14:paraId="36D75C0D">
      <w:pPr>
        <w:pStyle w:val="34"/>
        <w:spacing w:beforeAutospacing="0" w:afterAutospacing="0"/>
        <w:jc w:val="center"/>
        <w:outlineLvl w:val="0"/>
        <w:rPr>
          <w:rFonts w:eastAsia="黑体"/>
          <w:color w:val="auto"/>
          <w:highlight w:val="none"/>
        </w:rPr>
      </w:pPr>
      <w:bookmarkStart w:id="0" w:name="_Toc30380"/>
      <w:bookmarkStart w:id="1" w:name="_Toc28359009"/>
      <w:r>
        <w:rPr>
          <w:rFonts w:hint="eastAsia" w:ascii="黑体" w:hAnsi="宋体" w:eastAsia="黑体" w:cs="黑体"/>
          <w:color w:val="auto"/>
          <w:sz w:val="44"/>
          <w:szCs w:val="44"/>
          <w:highlight w:val="none"/>
        </w:rPr>
        <w:t>第一章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招标公告</w:t>
      </w:r>
      <w:bookmarkEnd w:id="0"/>
    </w:p>
    <w:p w14:paraId="7F3BF8EF">
      <w:pPr>
        <w:pStyle w:val="34"/>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p>
    <w:p w14:paraId="33762D01">
      <w:pPr>
        <w:pStyle w:val="34"/>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80" w:lineRule="exact"/>
        <w:ind w:firstLine="422"/>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阜宁县人民医院特勤及保安服务项目</w:t>
      </w:r>
      <w:r>
        <w:rPr>
          <w:rFonts w:hint="eastAsia" w:ascii="宋体" w:hAnsi="宋体" w:eastAsia="宋体" w:cs="宋体"/>
          <w:color w:val="auto"/>
          <w:sz w:val="21"/>
          <w:szCs w:val="21"/>
          <w:highlight w:val="none"/>
        </w:rPr>
        <w:t>招标项目的潜在投标人可在</w:t>
      </w:r>
      <w:r>
        <w:rPr>
          <w:rFonts w:hint="eastAsia" w:ascii="宋体" w:hAnsi="宋体" w:eastAsia="宋体" w:cs="宋体"/>
          <w:color w:val="auto"/>
          <w:sz w:val="21"/>
          <w:szCs w:val="21"/>
          <w:highlight w:val="none"/>
          <w:u w:val="single"/>
        </w:rPr>
        <w:t>“苏采云”系统内免费下载（投标人必须在苏采云系统中获取采购文件，方能参与政府采购项目）</w:t>
      </w:r>
      <w:r>
        <w:rPr>
          <w:rFonts w:hint="eastAsia" w:ascii="宋体" w:hAnsi="宋体" w:eastAsia="宋体" w:cs="宋体"/>
          <w:color w:val="auto"/>
          <w:sz w:val="21"/>
          <w:szCs w:val="21"/>
          <w:highlight w:val="none"/>
        </w:rPr>
        <w:t>，并于</w:t>
      </w:r>
      <w:r>
        <w:rPr>
          <w:rFonts w:hint="eastAsia" w:ascii="宋体" w:hAnsi="宋体" w:eastAsia="宋体" w:cs="宋体"/>
          <w:color w:val="auto"/>
          <w:sz w:val="21"/>
          <w:szCs w:val="21"/>
          <w:highlight w:val="none"/>
          <w:lang w:val="en-US" w:eastAsia="zh-CN"/>
        </w:rPr>
        <w:t>2026年6月22日9</w:t>
      </w:r>
      <w:r>
        <w:rPr>
          <w:rFonts w:hint="eastAsia" w:ascii="宋体" w:hAnsi="宋体" w:eastAsia="宋体" w:cs="宋体"/>
          <w:color w:val="auto"/>
          <w:sz w:val="21"/>
          <w:szCs w:val="21"/>
          <w:highlight w:val="none"/>
        </w:rPr>
        <w:t>点</w:t>
      </w:r>
      <w:r>
        <w:rPr>
          <w:rFonts w:hint="eastAsia" w:ascii="宋体" w:hAnsi="宋体" w:eastAsia="宋体" w:cs="宋体"/>
          <w:color w:val="auto"/>
          <w:sz w:val="21"/>
          <w:szCs w:val="21"/>
          <w:highlight w:val="none"/>
          <w:lang w:val="en-US" w:eastAsia="zh-CN"/>
        </w:rPr>
        <w:t>00</w:t>
      </w:r>
      <w:r>
        <w:rPr>
          <w:rFonts w:hint="eastAsia" w:ascii="宋体" w:hAnsi="宋体" w:eastAsia="宋体" w:cs="宋体"/>
          <w:color w:val="auto"/>
          <w:sz w:val="21"/>
          <w:szCs w:val="21"/>
          <w:highlight w:val="none"/>
        </w:rPr>
        <w:t>分（北京时间）前递交投标文件。</w:t>
      </w:r>
    </w:p>
    <w:p w14:paraId="4753D971">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shd w:val="clear" w:color="auto" w:fill="FFFFFF"/>
        </w:rPr>
      </w:pPr>
      <w:bookmarkStart w:id="2" w:name="_Toc35393621"/>
      <w:bookmarkStart w:id="3" w:name="_Toc38985263"/>
      <w:bookmarkStart w:id="4" w:name="_Toc35393790"/>
      <w:bookmarkStart w:id="5" w:name="_Toc28359079"/>
      <w:bookmarkStart w:id="6" w:name="_Toc28359002"/>
      <w:bookmarkStart w:id="7" w:name="_Hlk24379207"/>
      <w:r>
        <w:rPr>
          <w:rFonts w:hint="eastAsia" w:ascii="宋体" w:hAnsi="宋体" w:eastAsia="宋体" w:cs="宋体"/>
          <w:color w:val="auto"/>
          <w:sz w:val="21"/>
          <w:szCs w:val="21"/>
          <w:highlight w:val="none"/>
          <w:shd w:val="clear" w:color="auto" w:fill="FFFFFF"/>
        </w:rPr>
        <w:t>一、项目基本情况</w:t>
      </w:r>
      <w:bookmarkEnd w:id="2"/>
      <w:bookmarkEnd w:id="3"/>
      <w:bookmarkEnd w:id="4"/>
      <w:bookmarkEnd w:id="5"/>
      <w:bookmarkEnd w:id="6"/>
      <w:bookmarkEnd w:id="7"/>
    </w:p>
    <w:p w14:paraId="5F1FBFC9">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1.项目编号：</w:t>
      </w:r>
      <w:r>
        <w:rPr>
          <w:rFonts w:hint="eastAsia" w:ascii="宋体" w:hAnsi="宋体" w:eastAsia="宋体" w:cs="宋体"/>
          <w:color w:val="auto"/>
          <w:sz w:val="21"/>
          <w:szCs w:val="21"/>
          <w:highlight w:val="none"/>
          <w:lang w:val="en-US" w:eastAsia="zh-CN"/>
        </w:rPr>
        <w:t>JSZC-320923-JZCG-G2026-0003</w:t>
      </w:r>
    </w:p>
    <w:p w14:paraId="396EAAAA">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2.项目名称：</w:t>
      </w:r>
      <w:r>
        <w:rPr>
          <w:rFonts w:hint="eastAsia" w:ascii="宋体" w:hAnsi="宋体" w:eastAsia="宋体" w:cs="宋体"/>
          <w:color w:val="auto"/>
          <w:sz w:val="21"/>
          <w:szCs w:val="21"/>
          <w:highlight w:val="none"/>
          <w:lang w:eastAsia="zh-CN"/>
        </w:rPr>
        <w:t>阜宁县人民医院特勤及保安服务项目</w:t>
      </w:r>
    </w:p>
    <w:p w14:paraId="4BA492B1">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3.采购方式：公开招标</w:t>
      </w:r>
    </w:p>
    <w:p w14:paraId="36BDA7B9">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4.预算金额：</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500万元</w:t>
      </w:r>
    </w:p>
    <w:p w14:paraId="470D273F">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bookmarkStart w:id="8" w:name="_Toc38985264"/>
      <w:bookmarkStart w:id="9" w:name="_Toc28359003"/>
      <w:bookmarkStart w:id="10" w:name="_Toc28359080"/>
      <w:bookmarkStart w:id="11" w:name="_Toc35393791"/>
      <w:bookmarkStart w:id="12" w:name="_Toc35393622"/>
      <w:r>
        <w:rPr>
          <w:rFonts w:hint="eastAsia" w:ascii="宋体" w:hAnsi="宋体" w:eastAsia="宋体" w:cs="宋体"/>
          <w:color w:val="auto"/>
          <w:sz w:val="21"/>
          <w:szCs w:val="21"/>
          <w:highlight w:val="none"/>
        </w:rPr>
        <w:t>5.最高限价：</w:t>
      </w:r>
      <w:r>
        <w:rPr>
          <w:rFonts w:hint="eastAsia" w:ascii="宋体" w:hAnsi="宋体" w:eastAsia="宋体" w:cs="宋体"/>
          <w:color w:val="auto"/>
          <w:sz w:val="21"/>
          <w:szCs w:val="21"/>
          <w:highlight w:val="none"/>
          <w:lang w:val="en-US" w:eastAsia="zh-CN"/>
        </w:rPr>
        <w:t>500万元</w:t>
      </w:r>
    </w:p>
    <w:p w14:paraId="1CE39500">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采购需求：阜宁县人民医院特勤及保安服务项目，涉及院区内车辆停放与管理、收费窗口和医疗区域正常秩序维护、办公楼和住院楼治安执勤及巡逻防范，遇重大医患纠纷、突发事件迅速调集大批特勤及保安人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妥善处置，缓解矛盾。须提供24小时不间断安保服务，院区共需51名高素质的专业专职特勤及保安人员。具体采购内容及要求详见采购文件，资金来源已经落实。招标人保留对服务内容进行适当调整的权利。</w:t>
      </w:r>
    </w:p>
    <w:p w14:paraId="7F24B0C3">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eastAsia="zh-CN"/>
        </w:rPr>
        <w:t>服务</w:t>
      </w:r>
      <w:r>
        <w:rPr>
          <w:rFonts w:hint="eastAsia" w:ascii="宋体" w:hAnsi="宋体" w:eastAsia="宋体" w:cs="宋体"/>
          <w:color w:val="auto"/>
          <w:sz w:val="21"/>
          <w:szCs w:val="21"/>
          <w:highlight w:val="none"/>
        </w:rPr>
        <w:t>履行期限：2年，具体开始时间以采购人书面通知为准。</w:t>
      </w:r>
      <w:r>
        <w:rPr>
          <w:rFonts w:hint="eastAsia" w:ascii="宋体" w:hAnsi="宋体" w:eastAsia="宋体" w:cs="宋体"/>
          <w:color w:val="auto"/>
          <w:sz w:val="21"/>
          <w:szCs w:val="21"/>
          <w:highlight w:val="none"/>
          <w:lang w:eastAsia="zh-CN"/>
        </w:rPr>
        <w:t>合同</w:t>
      </w:r>
      <w:r>
        <w:rPr>
          <w:rFonts w:hint="eastAsia" w:ascii="宋体" w:hAnsi="宋体" w:eastAsia="宋体" w:cs="宋体"/>
          <w:color w:val="auto"/>
          <w:sz w:val="21"/>
          <w:szCs w:val="21"/>
          <w:highlight w:val="none"/>
          <w:lang w:val="en-US" w:eastAsia="zh-CN"/>
        </w:rPr>
        <w:t>1年一签，经采购人年度考核合格后续签下一年度合同。</w:t>
      </w:r>
    </w:p>
    <w:p w14:paraId="08C93F6F">
      <w:pPr>
        <w:spacing w:line="42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8.质量要求：符合相关国家标准、行业标准、采购文件的要求及采购人实际需求。</w:t>
      </w:r>
    </w:p>
    <w:p w14:paraId="2D13A013">
      <w:pPr>
        <w:pStyle w:val="34"/>
        <w:keepNext/>
        <w:keepLines/>
        <w:pageBreakBefore w:val="0"/>
        <w:kinsoku/>
        <w:wordWrap/>
        <w:overflowPunct/>
        <w:topLinePunct w:val="0"/>
        <w:autoSpaceDE/>
        <w:autoSpaceDN/>
        <w:bidi w:val="0"/>
        <w:adjustRightInd/>
        <w:snapToGrid/>
        <w:spacing w:beforeAutospacing="0" w:afterAutospacing="0" w:line="48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.本项目不接受联合体参与招标。</w:t>
      </w:r>
    </w:p>
    <w:p w14:paraId="78C6C0C9">
      <w:pPr>
        <w:pStyle w:val="34"/>
        <w:keepNext/>
        <w:keepLines/>
        <w:pageBreakBefore w:val="0"/>
        <w:kinsoku/>
        <w:wordWrap/>
        <w:overflowPunct/>
        <w:topLinePunct w:val="0"/>
        <w:autoSpaceDE/>
        <w:autoSpaceDN/>
        <w:bidi w:val="0"/>
        <w:adjustRightInd/>
        <w:snapToGrid/>
        <w:spacing w:beforeAutospacing="0" w:afterAutospacing="0" w:line="48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二、申请人的资格要求：</w:t>
      </w:r>
      <w:bookmarkEnd w:id="8"/>
      <w:bookmarkEnd w:id="9"/>
      <w:bookmarkEnd w:id="10"/>
      <w:bookmarkEnd w:id="11"/>
      <w:bookmarkEnd w:id="12"/>
    </w:p>
    <w:p w14:paraId="3CEC157D">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1.满足《中华人民共和国政府采购法》第二十二条规定，并提供下列材料：</w:t>
      </w:r>
    </w:p>
    <w:p w14:paraId="4D067F6B">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法人或者其他组织的营业执照等证明文件，自然人的身份证明；</w:t>
      </w:r>
    </w:p>
    <w:p w14:paraId="3F3A8415">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1.2上一年度的财务状况报告</w:t>
      </w:r>
      <w:bookmarkStart w:id="13" w:name="OLE_LINK12"/>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提供2025年度财务报告</w:t>
      </w:r>
      <w:r>
        <w:rPr>
          <w:rFonts w:hint="eastAsia" w:ascii="宋体" w:hAnsi="宋体" w:eastAsia="宋体" w:cs="宋体"/>
          <w:color w:val="auto"/>
          <w:sz w:val="21"/>
          <w:szCs w:val="21"/>
          <w:highlight w:val="none"/>
        </w:rPr>
        <w:t>，财务报告至少包含资产负债表、利润表、现金流量表，投标人成立不满一年无需提供）</w:t>
      </w:r>
      <w:bookmarkEnd w:id="13"/>
      <w:r>
        <w:rPr>
          <w:rFonts w:hint="eastAsia" w:ascii="宋体" w:hAnsi="宋体" w:eastAsia="宋体" w:cs="宋体"/>
          <w:color w:val="auto"/>
          <w:sz w:val="21"/>
          <w:szCs w:val="21"/>
          <w:highlight w:val="none"/>
        </w:rPr>
        <w:t>；</w:t>
      </w:r>
    </w:p>
    <w:p w14:paraId="6F290973">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1.3具备履行合同所必需的设备和专业技术能力的书面声明；</w:t>
      </w:r>
    </w:p>
    <w:p w14:paraId="3A4B5E47">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464396FA">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1.5参加政府采购活动前3年内在经营活动中没有重大违法记录的书面声明</w:t>
      </w:r>
      <w:r>
        <w:rPr>
          <w:rFonts w:hint="eastAsia" w:ascii="宋体" w:hAnsi="宋体" w:eastAsia="宋体" w:cs="宋体"/>
          <w:color w:val="auto"/>
          <w:sz w:val="21"/>
          <w:szCs w:val="21"/>
          <w:highlight w:val="none"/>
          <w:lang w:eastAsia="zh-CN"/>
        </w:rPr>
        <w:t>；</w:t>
      </w:r>
    </w:p>
    <w:p w14:paraId="1195858A">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1.6法律、行政法规规定的其他条件</w:t>
      </w:r>
      <w:r>
        <w:rPr>
          <w:rFonts w:hint="eastAsia" w:ascii="宋体" w:hAnsi="宋体" w:eastAsia="宋体" w:cs="宋体"/>
          <w:color w:val="auto"/>
          <w:sz w:val="21"/>
          <w:szCs w:val="21"/>
          <w:highlight w:val="none"/>
          <w:lang w:eastAsia="zh-CN"/>
        </w:rPr>
        <w:t>；</w:t>
      </w:r>
    </w:p>
    <w:p w14:paraId="28102866">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color w:val="auto"/>
          <w:sz w:val="21"/>
          <w:szCs w:val="21"/>
          <w:highlight w:val="none"/>
          <w:lang w:eastAsia="zh-CN"/>
        </w:rPr>
        <w:t>；</w:t>
      </w:r>
    </w:p>
    <w:p w14:paraId="2A5E59AB">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1.8单位负责人为同一人或者存在直接控股、管理关系的不同供应商，不得参加同一合同项下的政府采购活动。</w:t>
      </w:r>
    </w:p>
    <w:p w14:paraId="78B82113">
      <w:pPr>
        <w:pStyle w:val="34"/>
        <w:pageBreakBefore w:val="0"/>
        <w:numPr>
          <w:ilvl w:val="0"/>
          <w:numId w:val="0"/>
        </w:numPr>
        <w:kinsoku/>
        <w:wordWrap/>
        <w:overflowPunct/>
        <w:topLinePunct w:val="0"/>
        <w:autoSpaceDE/>
        <w:autoSpaceDN/>
        <w:bidi w:val="0"/>
        <w:adjustRightInd/>
        <w:snapToGrid/>
        <w:spacing w:beforeAutospacing="0" w:afterAutospacing="0" w:line="480" w:lineRule="exact"/>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落实政府采购政策需满足的资格要求：</w:t>
      </w:r>
    </w:p>
    <w:p w14:paraId="247785BA">
      <w:pPr>
        <w:pStyle w:val="34"/>
        <w:pageBreakBefore w:val="0"/>
        <w:numPr>
          <w:ilvl w:val="0"/>
          <w:numId w:val="0"/>
        </w:numPr>
        <w:kinsoku/>
        <w:wordWrap/>
        <w:overflowPunct/>
        <w:topLinePunct w:val="0"/>
        <w:autoSpaceDE/>
        <w:autoSpaceDN/>
        <w:bidi w:val="0"/>
        <w:adjustRightInd/>
        <w:snapToGrid/>
        <w:spacing w:beforeAutospacing="0" w:afterAutospacing="0" w:line="480" w:lineRule="exact"/>
        <w:ind w:firstLine="422"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本项目专门面向中小企业采购。采购标的的所属行业为</w:t>
      </w:r>
      <w:r>
        <w:rPr>
          <w:rFonts w:hint="eastAsia" w:ascii="宋体" w:hAnsi="宋体" w:eastAsia="宋体" w:cs="宋体"/>
          <w:b/>
          <w:bCs/>
          <w:color w:val="auto"/>
          <w:sz w:val="21"/>
          <w:szCs w:val="21"/>
          <w:highlight w:val="none"/>
          <w:lang w:val="en-US" w:eastAsia="zh-CN"/>
        </w:rPr>
        <w:t>商务服务业</w:t>
      </w:r>
      <w:r>
        <w:rPr>
          <w:rFonts w:hint="eastAsia" w:ascii="宋体" w:hAnsi="宋体" w:eastAsia="宋体" w:cs="宋体"/>
          <w:b/>
          <w:bCs/>
          <w:color w:val="auto"/>
          <w:sz w:val="21"/>
          <w:szCs w:val="21"/>
          <w:highlight w:val="none"/>
        </w:rPr>
        <w:t>，投标人需按照</w:t>
      </w:r>
      <w:r>
        <w:rPr>
          <w:rFonts w:hint="eastAsia" w:ascii="宋体" w:hAnsi="宋体" w:eastAsia="宋体" w:cs="宋体"/>
          <w:b/>
          <w:bCs/>
          <w:color w:val="auto"/>
          <w:sz w:val="21"/>
          <w:szCs w:val="21"/>
          <w:highlight w:val="none"/>
          <w:lang w:eastAsia="zh-CN"/>
        </w:rPr>
        <w:t>招标文件</w:t>
      </w:r>
      <w:r>
        <w:rPr>
          <w:rFonts w:hint="eastAsia" w:ascii="宋体" w:hAnsi="宋体" w:eastAsia="宋体" w:cs="宋体"/>
          <w:b/>
          <w:bCs/>
          <w:color w:val="auto"/>
          <w:sz w:val="21"/>
          <w:szCs w:val="21"/>
          <w:highlight w:val="none"/>
        </w:rPr>
        <w:t>的要求提供相应的《中小企业声明函》。企业标准请参照《关于印发中小企业划型标准规定的通知》（工信部联企业[2011]300号）文件规定自行填写。</w:t>
      </w:r>
    </w:p>
    <w:p w14:paraId="6AFDD1A5">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3.本项目的特定资格要求：</w:t>
      </w:r>
      <w:r>
        <w:rPr>
          <w:rFonts w:hint="eastAsia" w:ascii="宋体" w:hAnsi="宋体" w:eastAsia="宋体" w:cs="宋体"/>
          <w:color w:val="auto"/>
          <w:sz w:val="21"/>
          <w:szCs w:val="21"/>
          <w:highlight w:val="none"/>
          <w:lang w:val="en-US" w:eastAsia="zh-CN"/>
        </w:rPr>
        <w:t>投标人具有公安机关颁发的保安服务许可证。</w:t>
      </w:r>
    </w:p>
    <w:p w14:paraId="4E39FAE0">
      <w:pPr>
        <w:pStyle w:val="34"/>
        <w:keepNext/>
        <w:keepLines/>
        <w:pageBreakBefore w:val="0"/>
        <w:kinsoku/>
        <w:wordWrap/>
        <w:overflowPunct/>
        <w:topLinePunct w:val="0"/>
        <w:autoSpaceDE/>
        <w:autoSpaceDN/>
        <w:bidi w:val="0"/>
        <w:adjustRightInd/>
        <w:snapToGrid/>
        <w:spacing w:beforeAutospacing="0" w:afterAutospacing="0" w:line="48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三、获取招标文件</w:t>
      </w:r>
    </w:p>
    <w:p w14:paraId="7FE3C1C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1.时间：</w:t>
      </w:r>
      <w:r>
        <w:rPr>
          <w:rFonts w:hint="eastAsia" w:ascii="宋体" w:hAnsi="宋体" w:eastAsia="宋体" w:cs="宋体"/>
          <w:color w:val="auto"/>
          <w:szCs w:val="21"/>
          <w:highlight w:val="none"/>
          <w:lang w:val="en-US" w:eastAsia="zh-CN"/>
        </w:rPr>
        <w:t>自招标文件公告发布之日起5个工作日，2026年5月29日</w:t>
      </w:r>
      <w:r>
        <w:rPr>
          <w:rFonts w:hint="eastAsia" w:ascii="宋体" w:hAnsi="宋体" w:eastAsia="宋体" w:cs="宋体"/>
          <w:color w:val="auto"/>
          <w:szCs w:val="21"/>
          <w:highlight w:val="none"/>
        </w:rPr>
        <w:t>至</w:t>
      </w:r>
      <w:r>
        <w:rPr>
          <w:rFonts w:hint="eastAsia" w:ascii="宋体" w:hAnsi="宋体" w:eastAsia="宋体" w:cs="宋体"/>
          <w:color w:val="auto"/>
          <w:szCs w:val="21"/>
          <w:highlight w:val="none"/>
          <w:lang w:eastAsia="zh-CN"/>
        </w:rPr>
        <w:t>2026年</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eastAsia="zh-CN"/>
        </w:rPr>
        <w:t>月</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日</w:t>
      </w:r>
      <w:r>
        <w:rPr>
          <w:rFonts w:hint="eastAsia" w:ascii="宋体" w:hAnsi="宋体" w:eastAsia="宋体" w:cs="宋体"/>
          <w:color w:val="auto"/>
          <w:szCs w:val="21"/>
          <w:highlight w:val="none"/>
        </w:rPr>
        <w:t>。</w:t>
      </w:r>
    </w:p>
    <w:p w14:paraId="3993C250">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2.地点：“苏采云”系统内免费下载（投标人必须在苏采云系统中获取采购文件，方能参与政府采购项目）；</w:t>
      </w:r>
    </w:p>
    <w:p w14:paraId="33CDDC35">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3.方式：本项目采用网上注册登记方式。 </w:t>
      </w:r>
    </w:p>
    <w:p w14:paraId="7D01B773">
      <w:pPr>
        <w:pageBreakBefore w:val="0"/>
        <w:widowControl/>
        <w:kinsoku/>
        <w:wordWrap/>
        <w:overflowPunct/>
        <w:topLinePunct w:val="0"/>
        <w:autoSpaceDE/>
        <w:autoSpaceDN/>
        <w:bidi w:val="0"/>
        <w:adjustRightInd/>
        <w:snapToGrid/>
        <w:spacing w:line="48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4.售价：0元</w:t>
      </w:r>
    </w:p>
    <w:p w14:paraId="7C840A4C">
      <w:pPr>
        <w:pStyle w:val="34"/>
        <w:keepNext/>
        <w:keepLines/>
        <w:pageBreakBefore w:val="0"/>
        <w:kinsoku/>
        <w:wordWrap/>
        <w:overflowPunct/>
        <w:topLinePunct w:val="0"/>
        <w:autoSpaceDE/>
        <w:autoSpaceDN/>
        <w:bidi w:val="0"/>
        <w:adjustRightInd/>
        <w:snapToGrid/>
        <w:spacing w:beforeAutospacing="0" w:afterAutospacing="0" w:line="48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四、提交投标文件截止时间、开标时间和地点</w:t>
      </w:r>
    </w:p>
    <w:p w14:paraId="1B7634D8">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1.时间：</w:t>
      </w:r>
      <w:r>
        <w:rPr>
          <w:rFonts w:hint="eastAsia" w:ascii="宋体" w:hAnsi="宋体" w:eastAsia="宋体" w:cs="宋体"/>
          <w:color w:val="auto"/>
          <w:sz w:val="21"/>
          <w:szCs w:val="21"/>
          <w:highlight w:val="none"/>
          <w:lang w:eastAsia="zh-CN"/>
        </w:rPr>
        <w:t>2026年6月22日</w:t>
      </w:r>
      <w:r>
        <w:rPr>
          <w:rFonts w:hint="eastAsia" w:ascii="宋体" w:hAnsi="宋体" w:eastAsia="宋体" w:cs="宋体"/>
          <w:color w:val="auto"/>
          <w:sz w:val="21"/>
          <w:szCs w:val="21"/>
          <w:highlight w:val="none"/>
          <w:u w:val="none"/>
          <w:shd w:val="clear" w:color="auto" w:fill="FFFFFF"/>
          <w:lang w:val="en-US" w:eastAsia="zh-CN"/>
        </w:rPr>
        <w:t>9时00分</w:t>
      </w:r>
      <w:r>
        <w:rPr>
          <w:rFonts w:hint="eastAsia" w:ascii="宋体" w:hAnsi="宋体" w:eastAsia="宋体" w:cs="宋体"/>
          <w:color w:val="auto"/>
          <w:sz w:val="21"/>
          <w:szCs w:val="21"/>
          <w:highlight w:val="none"/>
        </w:rPr>
        <w:t>（北京时间）。</w:t>
      </w:r>
    </w:p>
    <w:p w14:paraId="0545ED03">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2.地点：苏采云“不见面”开标大厅 。</w:t>
      </w:r>
    </w:p>
    <w:p w14:paraId="02408247">
      <w:pPr>
        <w:pStyle w:val="34"/>
        <w:keepNext/>
        <w:keepLines/>
        <w:pageBreakBefore w:val="0"/>
        <w:kinsoku/>
        <w:wordWrap/>
        <w:overflowPunct/>
        <w:topLinePunct w:val="0"/>
        <w:autoSpaceDE/>
        <w:autoSpaceDN/>
        <w:bidi w:val="0"/>
        <w:adjustRightInd/>
        <w:snapToGrid/>
        <w:spacing w:beforeAutospacing="0" w:afterAutospacing="0" w:line="480" w:lineRule="exact"/>
        <w:ind w:firstLine="420"/>
        <w:jc w:val="both"/>
        <w:textAlignment w:val="auto"/>
        <w:rPr>
          <w:rFonts w:hint="eastAsia" w:ascii="宋体" w:hAnsi="宋体" w:eastAsia="宋体" w:cs="宋体"/>
          <w:color w:val="auto"/>
          <w:sz w:val="21"/>
          <w:szCs w:val="21"/>
          <w:highlight w:val="none"/>
        </w:rPr>
      </w:pPr>
      <w:bookmarkStart w:id="14" w:name="_Toc38985267"/>
      <w:bookmarkStart w:id="15" w:name="_Toc28359007"/>
      <w:bookmarkStart w:id="16" w:name="_Toc35393625"/>
      <w:bookmarkStart w:id="17" w:name="_Toc35393794"/>
      <w:bookmarkStart w:id="18" w:name="_Toc28359084"/>
      <w:r>
        <w:rPr>
          <w:rFonts w:hint="eastAsia" w:ascii="宋体" w:hAnsi="宋体" w:eastAsia="宋体" w:cs="宋体"/>
          <w:b/>
          <w:color w:val="auto"/>
          <w:sz w:val="21"/>
          <w:szCs w:val="21"/>
          <w:highlight w:val="none"/>
        </w:rPr>
        <w:t>五、公告期限</w:t>
      </w:r>
      <w:bookmarkEnd w:id="14"/>
      <w:bookmarkEnd w:id="15"/>
      <w:bookmarkEnd w:id="16"/>
      <w:bookmarkEnd w:id="17"/>
      <w:bookmarkEnd w:id="18"/>
    </w:p>
    <w:p w14:paraId="135A5EE9">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shd w:val="clear" w:color="auto" w:fill="FFFFFF"/>
        </w:rPr>
      </w:pPr>
      <w:bookmarkStart w:id="19" w:name="_Toc35393626"/>
      <w:bookmarkStart w:id="20" w:name="_Toc38985268"/>
      <w:bookmarkStart w:id="21" w:name="_Toc35393795"/>
      <w:r>
        <w:rPr>
          <w:rFonts w:hint="eastAsia" w:ascii="宋体" w:hAnsi="宋体" w:eastAsia="宋体" w:cs="宋体"/>
          <w:color w:val="auto"/>
          <w:sz w:val="21"/>
          <w:szCs w:val="21"/>
          <w:highlight w:val="none"/>
          <w:shd w:val="clear" w:color="auto" w:fill="FFFFFF"/>
        </w:rPr>
        <w:t>自本公告发布之日起5个工作日。</w:t>
      </w:r>
      <w:bookmarkEnd w:id="19"/>
      <w:bookmarkEnd w:id="20"/>
      <w:bookmarkEnd w:id="21"/>
    </w:p>
    <w:p w14:paraId="702DADDE">
      <w:pPr>
        <w:pStyle w:val="34"/>
        <w:keepNext/>
        <w:keepLines/>
        <w:pageBreakBefore w:val="0"/>
        <w:kinsoku/>
        <w:wordWrap/>
        <w:overflowPunct/>
        <w:topLinePunct w:val="0"/>
        <w:autoSpaceDE/>
        <w:autoSpaceDN/>
        <w:bidi w:val="0"/>
        <w:adjustRightInd/>
        <w:snapToGrid/>
        <w:spacing w:beforeAutospacing="0" w:afterAutospacing="0" w:line="48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六、其他补充事宜</w:t>
      </w:r>
    </w:p>
    <w:p w14:paraId="700C7A92">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ascii="宋体" w:hAnsi="宋体" w:eastAsia="宋体" w:cs="宋体"/>
          <w:color w:val="auto"/>
          <w:sz w:val="21"/>
          <w:szCs w:val="21"/>
          <w:highlight w:val="none"/>
          <w:shd w:val="clear" w:color="auto" w:fill="FFFFFF"/>
        </w:rPr>
      </w:pPr>
      <w:bookmarkStart w:id="22" w:name="_Toc28359018"/>
      <w:r>
        <w:rPr>
          <w:rFonts w:hint="eastAsia" w:ascii="宋体" w:hAnsi="宋体" w:eastAsia="宋体" w:cs="宋体"/>
          <w:color w:val="auto"/>
          <w:sz w:val="21"/>
          <w:szCs w:val="21"/>
          <w:highlight w:val="none"/>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5970593B">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color w:val="auto"/>
          <w:sz w:val="21"/>
          <w:szCs w:val="21"/>
          <w:highlight w:val="none"/>
          <w:shd w:val="clear" w:color="auto" w:fill="FFFFFF"/>
          <w:lang w:eastAsia="zh-CN"/>
        </w:rPr>
        <w:t>，</w:t>
      </w:r>
      <w:r>
        <w:rPr>
          <w:rFonts w:hint="eastAsia" w:ascii="宋体" w:hAnsi="宋体" w:eastAsia="宋体" w:cs="宋体"/>
          <w:color w:val="auto"/>
          <w:sz w:val="21"/>
          <w:szCs w:val="21"/>
          <w:highlight w:val="none"/>
          <w:shd w:val="clear" w:color="auto" w:fill="FFFFFF"/>
        </w:rPr>
        <w:t>《苏采云系统供应商操作手册》：在盐城市政府采购网点击【办事指南】-【供应商参与政府采购活动相关资料】。</w:t>
      </w:r>
    </w:p>
    <w:p w14:paraId="0A056713">
      <w:pPr>
        <w:pageBreakBefore w:val="0"/>
        <w:widowControl/>
        <w:kinsoku/>
        <w:wordWrap/>
        <w:overflowPunct/>
        <w:topLinePunct w:val="0"/>
        <w:autoSpaceDE/>
        <w:autoSpaceDN/>
        <w:bidi w:val="0"/>
        <w:adjustRightInd/>
        <w:snapToGrid/>
        <w:spacing w:line="480" w:lineRule="exact"/>
        <w:ind w:firstLine="420"/>
        <w:jc w:val="left"/>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2.潜在供应商访问电子招标响应交易平台的网络地址和方法： </w:t>
      </w:r>
    </w:p>
    <w:p w14:paraId="0DBCAA25">
      <w:pPr>
        <w:pageBreakBefore w:val="0"/>
        <w:widowControl/>
        <w:kinsoku/>
        <w:wordWrap/>
        <w:overflowPunct/>
        <w:topLinePunct w:val="0"/>
        <w:autoSpaceDE/>
        <w:autoSpaceDN/>
        <w:bidi w:val="0"/>
        <w:adjustRightInd/>
        <w:snapToGrid/>
        <w:spacing w:line="480" w:lineRule="exact"/>
        <w:ind w:firstLine="420"/>
        <w:jc w:val="left"/>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2.1“苏采云”系统用户注册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3AD4FE95">
      <w:pPr>
        <w:pageBreakBefore w:val="0"/>
        <w:widowControl/>
        <w:kinsoku/>
        <w:wordWrap/>
        <w:overflowPunct/>
        <w:topLinePunct w:val="0"/>
        <w:autoSpaceDE/>
        <w:autoSpaceDN/>
        <w:bidi w:val="0"/>
        <w:adjustRightInd/>
        <w:snapToGrid/>
        <w:spacing w:line="480" w:lineRule="exact"/>
        <w:ind w:firstLine="420"/>
        <w:jc w:val="left"/>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 潜在投标人访问“苏采云”系统方法：江苏省政府采购网首页-“苏采云”链接。 </w:t>
      </w:r>
    </w:p>
    <w:p w14:paraId="4E63AB94">
      <w:pPr>
        <w:pageBreakBefore w:val="0"/>
        <w:widowControl/>
        <w:kinsoku/>
        <w:wordWrap/>
        <w:overflowPunct/>
        <w:topLinePunct w:val="0"/>
        <w:autoSpaceDE/>
        <w:autoSpaceDN/>
        <w:bidi w:val="0"/>
        <w:adjustRightInd/>
        <w:snapToGrid/>
        <w:spacing w:line="480" w:lineRule="exact"/>
        <w:ind w:firstLine="420"/>
        <w:jc w:val="left"/>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2.3 采购文件（后缀名为“.kedt”）、供应商操作手册及政府采购客户端 工具可通过“苏采云”系统相应链接进行下载。 </w:t>
      </w:r>
    </w:p>
    <w:p w14:paraId="232A4766">
      <w:pPr>
        <w:pageBreakBefore w:val="0"/>
        <w:widowControl/>
        <w:kinsoku/>
        <w:wordWrap/>
        <w:overflowPunct/>
        <w:topLinePunct w:val="0"/>
        <w:autoSpaceDE/>
        <w:autoSpaceDN/>
        <w:bidi w:val="0"/>
        <w:adjustRightInd/>
        <w:snapToGrid/>
        <w:spacing w:line="480" w:lineRule="exact"/>
        <w:ind w:firstLine="420"/>
        <w:jc w:val="left"/>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 采购代理机构将数据电文形式的采购文件加载至“苏采云”系统，供潜在供应商下载或者查阅。 </w:t>
      </w:r>
    </w:p>
    <w:p w14:paraId="5659DCB9">
      <w:pPr>
        <w:pageBreakBefore w:val="0"/>
        <w:widowControl/>
        <w:kinsoku/>
        <w:wordWrap/>
        <w:overflowPunct/>
        <w:topLinePunct w:val="0"/>
        <w:autoSpaceDE/>
        <w:autoSpaceDN/>
        <w:bidi w:val="0"/>
        <w:adjustRightInd/>
        <w:snapToGrid/>
        <w:spacing w:line="480" w:lineRule="exact"/>
        <w:ind w:firstLine="420"/>
        <w:jc w:val="left"/>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 请潜在投标单位提前安装相应的控件（详见《“苏采云”系统供应商操作手册》）并使用谷歌浏览器登录“苏采云”系统参与不见面开评标。 </w:t>
      </w:r>
    </w:p>
    <w:p w14:paraId="02FE951D">
      <w:pPr>
        <w:pageBreakBefore w:val="0"/>
        <w:widowControl/>
        <w:kinsoku/>
        <w:wordWrap/>
        <w:overflowPunct/>
        <w:topLinePunct w:val="0"/>
        <w:autoSpaceDE/>
        <w:autoSpaceDN/>
        <w:bidi w:val="0"/>
        <w:adjustRightInd/>
        <w:snapToGrid/>
        <w:spacing w:line="480" w:lineRule="exact"/>
        <w:ind w:firstLine="420"/>
        <w:jc w:val="left"/>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如潜在投标人未按上述要求操作，将自行承担所产生的风险。</w:t>
      </w:r>
    </w:p>
    <w:p w14:paraId="31F730ED">
      <w:pPr>
        <w:pageBreakBefore w:val="0"/>
        <w:widowControl/>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3.有关本次招标的事项若存在变动或修改，敬请及时关注在“中国政府采购网</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江苏政府采购网”“盐城市政府采购网”“阜宁县公共资源电子化服务平台”发布的更正公告。</w:t>
      </w:r>
    </w:p>
    <w:p w14:paraId="7C802853">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560"/>
        <w:jc w:val="both"/>
        <w:textAlignment w:val="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4.本次招标不收取投标保证金，不收取质量保证金。</w:t>
      </w:r>
    </w:p>
    <w:p w14:paraId="498B09DF">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56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5.采购项目需要落实的政府采购政策：</w:t>
      </w:r>
    </w:p>
    <w:p w14:paraId="3728E420">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56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5.1 政府采购促进中小企业发展</w:t>
      </w:r>
    </w:p>
    <w:p w14:paraId="1B298ACE">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56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5.2 政府采购支持监狱企业发展</w:t>
      </w:r>
    </w:p>
    <w:p w14:paraId="133DFB84">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56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5.3 政府采购鼓励节能、环保产品</w:t>
      </w:r>
    </w:p>
    <w:p w14:paraId="13EB3FD0">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560"/>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5.4促进残疾人就业政府采购政策</w:t>
      </w:r>
    </w:p>
    <w:p w14:paraId="33265124">
      <w:pPr>
        <w:pStyle w:val="3"/>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hint="default" w:cs="宋体"/>
          <w:b w:val="0"/>
          <w:bCs w:val="0"/>
          <w:color w:val="auto"/>
          <w:sz w:val="21"/>
          <w:szCs w:val="21"/>
          <w:highlight w:val="none"/>
        </w:rPr>
      </w:pPr>
      <w:r>
        <w:rPr>
          <w:rFonts w:cs="宋体"/>
          <w:b/>
          <w:bCs/>
          <w:color w:val="auto"/>
          <w:sz w:val="21"/>
          <w:szCs w:val="21"/>
          <w:highlight w:val="none"/>
          <w:shd w:val="clear" w:color="auto" w:fill="FFFFFF"/>
        </w:rPr>
        <w:t>七、对本次招标提出询问，请按以下方式联系。</w:t>
      </w:r>
      <w:bookmarkEnd w:id="22"/>
    </w:p>
    <w:p w14:paraId="41D8E6FC">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1.采购人信息</w:t>
      </w:r>
    </w:p>
    <w:p w14:paraId="28ECC5B2">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名 称：阜宁县人民医院  </w:t>
      </w:r>
    </w:p>
    <w:p w14:paraId="4D43CE5A">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地 址：江苏省盐城市阜宁县阜城镇苏州路500号  </w:t>
      </w:r>
    </w:p>
    <w:p w14:paraId="7A774A77">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联系人：顾女士</w:t>
      </w:r>
    </w:p>
    <w:p w14:paraId="5CE89003">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lang w:val="en-US" w:eastAsia="zh-CN"/>
        </w:rPr>
        <w:t xml:space="preserve">联系电话：0515-87278211        </w:t>
      </w:r>
    </w:p>
    <w:p w14:paraId="52D8DB51">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2.采购代理机构信息</w:t>
      </w:r>
    </w:p>
    <w:p w14:paraId="38D743FE">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名 称：阜宁县公共资源交易中心 </w:t>
      </w:r>
    </w:p>
    <w:p w14:paraId="5460598D">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color w:val="auto"/>
          <w:sz w:val="21"/>
          <w:szCs w:val="21"/>
          <w:highlight w:val="none"/>
          <w:shd w:val="clear" w:color="auto" w:fill="FFFFFF"/>
        </w:rPr>
        <w:t>地 址：</w:t>
      </w:r>
      <w:r>
        <w:rPr>
          <w:rFonts w:hint="eastAsia" w:ascii="宋体" w:hAnsi="宋体" w:eastAsia="宋体" w:cs="宋体"/>
          <w:i w:val="0"/>
          <w:iCs w:val="0"/>
          <w:caps w:val="0"/>
          <w:color w:val="auto"/>
          <w:spacing w:val="0"/>
          <w:sz w:val="21"/>
          <w:szCs w:val="21"/>
          <w:highlight w:val="none"/>
        </w:rPr>
        <w:t>阜宁县阜城镇香港路549号</w:t>
      </w:r>
    </w:p>
    <w:p w14:paraId="1A556780">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联系人：</w:t>
      </w:r>
      <w:r>
        <w:rPr>
          <w:rFonts w:hint="eastAsia" w:ascii="宋体" w:hAnsi="宋体" w:eastAsia="宋体" w:cs="宋体"/>
          <w:color w:val="auto"/>
          <w:sz w:val="21"/>
          <w:szCs w:val="21"/>
          <w:highlight w:val="none"/>
          <w:shd w:val="clear" w:color="auto" w:fill="FFFFFF"/>
          <w:lang w:val="en-US" w:eastAsia="zh-CN"/>
        </w:rPr>
        <w:t>陈婷</w:t>
      </w:r>
      <w:r>
        <w:rPr>
          <w:rFonts w:hint="eastAsia" w:ascii="宋体" w:hAnsi="宋体" w:eastAsia="宋体" w:cs="宋体"/>
          <w:color w:val="auto"/>
          <w:sz w:val="21"/>
          <w:szCs w:val="21"/>
          <w:highlight w:val="none"/>
          <w:shd w:val="clear" w:color="auto" w:fill="FFFFFF"/>
        </w:rPr>
        <w:t> </w:t>
      </w:r>
    </w:p>
    <w:p w14:paraId="44223F6C">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联系方式：</w:t>
      </w:r>
      <w:bookmarkStart w:id="23" w:name="_Toc28359087"/>
      <w:bookmarkStart w:id="24" w:name="_Toc28359010"/>
      <w:r>
        <w:rPr>
          <w:rFonts w:hint="eastAsia" w:ascii="宋体" w:hAnsi="宋体" w:eastAsia="宋体" w:cs="宋体"/>
          <w:color w:val="auto"/>
          <w:sz w:val="21"/>
          <w:szCs w:val="21"/>
          <w:highlight w:val="none"/>
          <w:shd w:val="clear" w:color="auto" w:fill="FFFFFF"/>
          <w:lang w:val="en-US" w:eastAsia="zh-CN"/>
        </w:rPr>
        <w:t>18651769888</w:t>
      </w:r>
      <w:r>
        <w:rPr>
          <w:rFonts w:hint="eastAsia" w:ascii="宋体" w:hAnsi="宋体" w:eastAsia="宋体" w:cs="宋体"/>
          <w:color w:val="auto"/>
          <w:sz w:val="21"/>
          <w:szCs w:val="21"/>
          <w:highlight w:val="none"/>
          <w:shd w:val="clear" w:color="auto" w:fill="FFFFFF"/>
        </w:rPr>
        <w:t>    </w:t>
      </w:r>
      <w:bookmarkEnd w:id="23"/>
      <w:bookmarkEnd w:id="24"/>
    </w:p>
    <w:p w14:paraId="26BC8D37">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ascii="宋体" w:hAnsi="宋体" w:eastAsia="宋体" w:cs="宋体"/>
          <w:color w:val="auto"/>
          <w:sz w:val="21"/>
          <w:szCs w:val="21"/>
          <w:highlight w:val="none"/>
          <w:shd w:val="clear" w:color="auto" w:fill="FFFFFF"/>
        </w:rPr>
      </w:pPr>
      <w:bookmarkStart w:id="25" w:name="_Toc28359021"/>
      <w:r>
        <w:rPr>
          <w:rFonts w:hint="eastAsia" w:ascii="宋体" w:hAnsi="宋体" w:eastAsia="宋体" w:cs="宋体"/>
          <w:color w:val="auto"/>
          <w:sz w:val="21"/>
          <w:szCs w:val="21"/>
          <w:highlight w:val="none"/>
          <w:shd w:val="clear" w:color="auto" w:fill="FFFFFF"/>
        </w:rPr>
        <w:t>3.</w:t>
      </w:r>
      <w:bookmarkEnd w:id="25"/>
      <w:r>
        <w:rPr>
          <w:rFonts w:hint="eastAsia" w:ascii="宋体" w:hAnsi="宋体" w:eastAsia="宋体" w:cs="宋体"/>
          <w:color w:val="auto"/>
          <w:sz w:val="21"/>
          <w:szCs w:val="21"/>
          <w:highlight w:val="none"/>
          <w:shd w:val="clear" w:color="auto" w:fill="FFFFFF"/>
        </w:rPr>
        <w:t>项目联系方式</w:t>
      </w:r>
    </w:p>
    <w:p w14:paraId="45000126">
      <w:pPr>
        <w:pStyle w:val="34"/>
        <w:pageBreakBefore w:val="0"/>
        <w:widowControl/>
        <w:shd w:val="clear" w:color="auto" w:fill="FFFFFF"/>
        <w:kinsoku/>
        <w:wordWrap/>
        <w:overflowPunct/>
        <w:topLinePunct w:val="0"/>
        <w:autoSpaceDE/>
        <w:autoSpaceDN/>
        <w:bidi w:val="0"/>
        <w:adjustRightInd/>
        <w:snapToGrid/>
        <w:spacing w:beforeAutospacing="0" w:afterAutospacing="0" w:line="480" w:lineRule="exact"/>
        <w:ind w:firstLine="422"/>
        <w:jc w:val="both"/>
        <w:textAlignment w:val="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项目联系人：</w:t>
      </w:r>
      <w:r>
        <w:rPr>
          <w:rFonts w:hint="eastAsia" w:ascii="宋体" w:hAnsi="宋体" w:eastAsia="宋体" w:cs="宋体"/>
          <w:color w:val="auto"/>
          <w:sz w:val="21"/>
          <w:szCs w:val="21"/>
          <w:highlight w:val="none"/>
          <w:shd w:val="clear" w:color="auto" w:fill="FFFFFF"/>
          <w:lang w:val="en-US" w:eastAsia="zh-CN"/>
        </w:rPr>
        <w:t>陈婷</w:t>
      </w:r>
    </w:p>
    <w:p w14:paraId="0DE589B6">
      <w:pPr>
        <w:pStyle w:val="34"/>
        <w:pageBreakBefore w:val="0"/>
        <w:kinsoku/>
        <w:wordWrap/>
        <w:overflowPunct/>
        <w:topLinePunct w:val="0"/>
        <w:autoSpaceDE/>
        <w:autoSpaceDN/>
        <w:bidi w:val="0"/>
        <w:adjustRightInd/>
        <w:snapToGrid/>
        <w:spacing w:beforeAutospacing="0" w:afterAutospacing="0" w:line="480" w:lineRule="exact"/>
        <w:ind w:right="840" w:firstLine="420"/>
        <w:jc w:val="both"/>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电</w:t>
      </w:r>
      <w:r>
        <w:rPr>
          <w:rFonts w:hint="eastAsia" w:ascii="宋体" w:hAnsi="宋体" w:eastAsia="宋体" w:cs="宋体"/>
          <w:color w:val="auto"/>
          <w:sz w:val="21"/>
          <w:szCs w:val="21"/>
          <w:highlight w:val="non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rPr>
        <w:t>话：</w:t>
      </w:r>
      <w:r>
        <w:rPr>
          <w:rFonts w:hint="eastAsia" w:ascii="宋体" w:hAnsi="宋体" w:eastAsia="宋体" w:cs="宋体"/>
          <w:color w:val="auto"/>
          <w:sz w:val="21"/>
          <w:szCs w:val="21"/>
          <w:highlight w:val="none"/>
          <w:shd w:val="clear" w:color="auto" w:fill="FFFFFF"/>
          <w:lang w:val="en-US" w:eastAsia="zh-CN"/>
        </w:rPr>
        <w:t>18651769888</w:t>
      </w:r>
      <w:r>
        <w:rPr>
          <w:rFonts w:hint="eastAsia" w:ascii="宋体" w:hAnsi="宋体" w:eastAsia="宋体" w:cs="宋体"/>
          <w:color w:val="auto"/>
          <w:sz w:val="21"/>
          <w:szCs w:val="21"/>
          <w:highlight w:val="none"/>
          <w:shd w:val="clear" w:color="auto" w:fill="FFFFFF"/>
        </w:rPr>
        <w:t>　　　　　　　　</w:t>
      </w:r>
      <w:r>
        <w:rPr>
          <w:rFonts w:hint="eastAsia" w:ascii="宋体" w:hAnsi="宋体" w:eastAsia="宋体" w:cs="宋体"/>
          <w:color w:val="auto"/>
          <w:sz w:val="21"/>
          <w:szCs w:val="21"/>
          <w:highlight w:val="none"/>
        </w:rPr>
        <w:t>  </w:t>
      </w:r>
    </w:p>
    <w:p w14:paraId="08D37DFD">
      <w:pPr>
        <w:pageBreakBefore w:val="0"/>
        <w:kinsoku/>
        <w:wordWrap/>
        <w:overflowPunct/>
        <w:topLinePunct w:val="0"/>
        <w:autoSpaceDE/>
        <w:autoSpaceDN/>
        <w:bidi w:val="0"/>
        <w:adjustRightInd/>
        <w:snapToGrid/>
        <w:spacing w:line="480" w:lineRule="exact"/>
        <w:ind w:firstLine="480"/>
        <w:textAlignment w:val="auto"/>
        <w:rPr>
          <w:rFonts w:hint="default" w:ascii="宋体" w:hAnsi="宋体" w:eastAsia="宋体" w:cs="宋体"/>
          <w:b/>
          <w:color w:val="auto"/>
          <w:sz w:val="24"/>
          <w:highlight w:val="none"/>
          <w:lang w:val="en-US" w:eastAsia="zh-CN"/>
        </w:rPr>
      </w:pPr>
      <w:bookmarkStart w:id="26" w:name="_Toc120614211"/>
      <w:r>
        <w:rPr>
          <w:rFonts w:hint="eastAsia" w:ascii="宋体" w:hAnsi="宋体" w:eastAsia="宋体" w:cs="宋体"/>
          <w:b/>
          <w:color w:val="auto"/>
          <w:sz w:val="24"/>
          <w:highlight w:val="none"/>
        </w:rPr>
        <w:br w:type="page" w:clear="all"/>
      </w:r>
    </w:p>
    <w:p w14:paraId="74A64887">
      <w:pPr>
        <w:pStyle w:val="34"/>
        <w:keepNext/>
        <w:keepLines/>
        <w:spacing w:before="260" w:beforeAutospacing="0" w:after="260" w:afterAutospacing="0" w:line="416" w:lineRule="auto"/>
        <w:jc w:val="center"/>
        <w:outlineLvl w:val="0"/>
        <w:rPr>
          <w:color w:val="auto"/>
          <w:highlight w:val="none"/>
        </w:rPr>
      </w:pPr>
      <w:bookmarkStart w:id="27" w:name="_Toc1788"/>
      <w:r>
        <w:rPr>
          <w:rFonts w:hint="eastAsia" w:ascii="黑体" w:hAnsi="宋体" w:eastAsia="黑体" w:cs="黑体"/>
          <w:b/>
          <w:color w:val="auto"/>
          <w:sz w:val="44"/>
          <w:szCs w:val="44"/>
          <w:highlight w:val="none"/>
        </w:rPr>
        <w:t>第二章</w:t>
      </w:r>
      <w:bookmarkEnd w:id="26"/>
      <w:bookmarkStart w:id="28" w:name="_Toc20823274"/>
      <w:bookmarkStart w:id="29" w:name="_Toc16938518"/>
      <w:bookmarkStart w:id="30" w:name="_Toc513029202"/>
      <w:bookmarkStart w:id="31" w:name="_Toc120614213"/>
      <w:r>
        <w:rPr>
          <w:rFonts w:hint="eastAsia" w:ascii="黑体" w:hAnsi="宋体" w:eastAsia="黑体" w:cs="黑体"/>
          <w:b/>
          <w:color w:val="auto"/>
          <w:sz w:val="44"/>
          <w:szCs w:val="44"/>
          <w:highlight w:val="none"/>
          <w:lang w:val="en-US" w:eastAsia="zh-CN"/>
        </w:rPr>
        <w:t xml:space="preserve"> </w:t>
      </w:r>
      <w:r>
        <w:rPr>
          <w:rFonts w:hint="eastAsia" w:ascii="黑体" w:hAnsi="宋体" w:eastAsia="黑体" w:cs="黑体"/>
          <w:b/>
          <w:color w:val="auto"/>
          <w:sz w:val="44"/>
          <w:szCs w:val="44"/>
          <w:highlight w:val="none"/>
        </w:rPr>
        <w:t>投标人须知</w:t>
      </w:r>
      <w:bookmarkEnd w:id="27"/>
      <w:bookmarkEnd w:id="28"/>
      <w:bookmarkEnd w:id="29"/>
      <w:bookmarkEnd w:id="30"/>
      <w:bookmarkEnd w:id="31"/>
    </w:p>
    <w:p w14:paraId="78E74EDB">
      <w:pPr>
        <w:spacing w:line="440" w:lineRule="exact"/>
        <w:ind w:firstLine="422"/>
        <w:rPr>
          <w:rFonts w:hint="eastAsia" w:ascii="宋体" w:hAnsi="宋体" w:eastAsia="宋体" w:cs="宋体"/>
          <w:b/>
          <w:bCs/>
          <w:color w:val="auto"/>
          <w:highlight w:val="none"/>
        </w:rPr>
      </w:pPr>
      <w:bookmarkStart w:id="32" w:name="_Toc513029203"/>
      <w:bookmarkStart w:id="33" w:name="_Toc120614214"/>
      <w:bookmarkStart w:id="34" w:name="_Toc16938519"/>
      <w:bookmarkStart w:id="35" w:name="_Toc20823275"/>
      <w:r>
        <w:rPr>
          <w:rFonts w:hint="eastAsia" w:ascii="宋体" w:hAnsi="宋体" w:eastAsia="宋体" w:cs="宋体"/>
          <w:b/>
          <w:bCs/>
          <w:color w:val="auto"/>
          <w:highlight w:val="none"/>
        </w:rPr>
        <w:t>一、总则</w:t>
      </w:r>
      <w:bookmarkEnd w:id="32"/>
      <w:bookmarkEnd w:id="33"/>
      <w:bookmarkEnd w:id="34"/>
      <w:bookmarkEnd w:id="35"/>
    </w:p>
    <w:p w14:paraId="6020E671">
      <w:pPr>
        <w:spacing w:line="440" w:lineRule="exact"/>
        <w:ind w:firstLine="420"/>
        <w:rPr>
          <w:rFonts w:hint="eastAsia" w:ascii="宋体" w:hAnsi="宋体" w:eastAsia="宋体" w:cs="宋体"/>
          <w:color w:val="auto"/>
          <w:highlight w:val="none"/>
        </w:rPr>
      </w:pPr>
      <w:bookmarkStart w:id="36" w:name="_Toc16938520"/>
      <w:bookmarkStart w:id="37" w:name="_Toc513029204"/>
      <w:bookmarkStart w:id="38" w:name="_Toc20823276"/>
      <w:bookmarkStart w:id="39" w:name="_Toc458694821"/>
      <w:bookmarkStart w:id="40" w:name="_Hlt16619475"/>
      <w:r>
        <w:rPr>
          <w:rFonts w:hint="eastAsia" w:ascii="宋体" w:hAnsi="宋体" w:eastAsia="宋体" w:cs="宋体"/>
          <w:color w:val="auto"/>
          <w:highlight w:val="none"/>
          <w:lang w:eastAsia="zh-CN"/>
        </w:rPr>
        <w:t>1.</w:t>
      </w:r>
      <w:bookmarkEnd w:id="36"/>
      <w:r>
        <w:rPr>
          <w:rFonts w:hint="eastAsia" w:ascii="宋体" w:hAnsi="宋体" w:eastAsia="宋体" w:cs="宋体"/>
          <w:color w:val="auto"/>
          <w:highlight w:val="none"/>
        </w:rPr>
        <w:t>招标方式</w:t>
      </w:r>
      <w:bookmarkEnd w:id="37"/>
      <w:bookmarkEnd w:id="38"/>
      <w:bookmarkEnd w:id="39"/>
    </w:p>
    <w:p w14:paraId="61621F40">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1.1本次招标采取公开招标方式，本招标文件仅适用于招标公告中所述项目。</w:t>
      </w:r>
    </w:p>
    <w:p w14:paraId="32D781DF">
      <w:pPr>
        <w:spacing w:line="440" w:lineRule="exact"/>
        <w:ind w:firstLine="420"/>
        <w:rPr>
          <w:rFonts w:hint="eastAsia" w:ascii="宋体" w:hAnsi="宋体" w:eastAsia="宋体" w:cs="宋体"/>
          <w:color w:val="auto"/>
          <w:highlight w:val="none"/>
        </w:rPr>
      </w:pPr>
      <w:bookmarkStart w:id="41" w:name="_Toc513029205"/>
      <w:bookmarkStart w:id="42" w:name="_Toc20823277"/>
      <w:bookmarkStart w:id="43" w:name="_Toc16938521"/>
      <w:r>
        <w:rPr>
          <w:rFonts w:hint="eastAsia" w:ascii="宋体" w:hAnsi="宋体" w:eastAsia="宋体" w:cs="宋体"/>
          <w:color w:val="auto"/>
          <w:highlight w:val="none"/>
          <w:lang w:eastAsia="zh-CN"/>
        </w:rPr>
        <w:t>2.</w:t>
      </w:r>
      <w:r>
        <w:rPr>
          <w:rFonts w:hint="eastAsia" w:ascii="宋体" w:hAnsi="宋体" w:eastAsia="宋体" w:cs="宋体"/>
          <w:color w:val="auto"/>
          <w:highlight w:val="none"/>
        </w:rPr>
        <w:t>合格的投标人</w:t>
      </w:r>
      <w:bookmarkEnd w:id="41"/>
      <w:bookmarkEnd w:id="42"/>
      <w:bookmarkEnd w:id="43"/>
    </w:p>
    <w:p w14:paraId="3A86BECC">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2.1满足招标公告中供应商的资格要求的规定。</w:t>
      </w:r>
    </w:p>
    <w:p w14:paraId="4AD1E04A">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2.2满足本文件实质性要求和条件的规定。</w:t>
      </w:r>
    </w:p>
    <w:p w14:paraId="7FA0FAC6">
      <w:pPr>
        <w:spacing w:line="440" w:lineRule="exact"/>
        <w:ind w:firstLine="420"/>
        <w:rPr>
          <w:rFonts w:hint="eastAsia" w:ascii="宋体" w:hAnsi="宋体" w:eastAsia="宋体" w:cs="宋体"/>
          <w:color w:val="auto"/>
          <w:highlight w:val="none"/>
        </w:rPr>
      </w:pPr>
      <w:bookmarkStart w:id="44" w:name="_Toc20823278"/>
      <w:bookmarkStart w:id="45" w:name="_Toc16938522"/>
      <w:bookmarkStart w:id="46" w:name="_Toc513029206"/>
      <w:r>
        <w:rPr>
          <w:rFonts w:hint="eastAsia" w:ascii="宋体" w:hAnsi="宋体" w:eastAsia="宋体" w:cs="宋体"/>
          <w:color w:val="auto"/>
          <w:highlight w:val="none"/>
          <w:lang w:eastAsia="zh-CN"/>
        </w:rPr>
        <w:t>3.</w:t>
      </w:r>
      <w:r>
        <w:rPr>
          <w:rFonts w:hint="eastAsia" w:ascii="宋体" w:hAnsi="宋体" w:eastAsia="宋体" w:cs="宋体"/>
          <w:color w:val="auto"/>
          <w:highlight w:val="none"/>
        </w:rPr>
        <w:t>适用法律</w:t>
      </w:r>
      <w:bookmarkEnd w:id="44"/>
      <w:bookmarkEnd w:id="45"/>
      <w:bookmarkEnd w:id="46"/>
    </w:p>
    <w:p w14:paraId="621808DF">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3.1本次招标及由此产生的合同受中华人民共和国有关的法律法规制约和保护。</w:t>
      </w:r>
    </w:p>
    <w:p w14:paraId="653B09EA">
      <w:pPr>
        <w:spacing w:line="440" w:lineRule="exact"/>
        <w:ind w:firstLine="420"/>
        <w:rPr>
          <w:rFonts w:hint="eastAsia" w:ascii="宋体" w:hAnsi="宋体" w:eastAsia="宋体" w:cs="宋体"/>
          <w:color w:val="auto"/>
          <w:highlight w:val="none"/>
        </w:rPr>
      </w:pPr>
      <w:bookmarkStart w:id="47" w:name="_Toc20823279"/>
      <w:bookmarkStart w:id="48" w:name="_Toc513029207"/>
      <w:bookmarkStart w:id="49" w:name="_Toc462564067"/>
      <w:bookmarkStart w:id="50" w:name="_Toc16938523"/>
      <w:r>
        <w:rPr>
          <w:rFonts w:hint="eastAsia" w:ascii="宋体" w:hAnsi="宋体" w:eastAsia="宋体" w:cs="宋体"/>
          <w:color w:val="auto"/>
          <w:highlight w:val="none"/>
          <w:lang w:eastAsia="zh-CN"/>
        </w:rPr>
        <w:t>4.</w:t>
      </w:r>
      <w:r>
        <w:rPr>
          <w:rFonts w:hint="eastAsia" w:ascii="宋体" w:hAnsi="宋体" w:eastAsia="宋体" w:cs="宋体"/>
          <w:color w:val="auto"/>
          <w:highlight w:val="none"/>
        </w:rPr>
        <w:t>投标费用</w:t>
      </w:r>
      <w:bookmarkEnd w:id="47"/>
      <w:bookmarkEnd w:id="48"/>
      <w:bookmarkEnd w:id="49"/>
      <w:bookmarkEnd w:id="50"/>
    </w:p>
    <w:p w14:paraId="39F26832">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4.1投标人应自行承担所有与参加投标有关的费用，无论投标过程中的做法和结果如何，阜宁县公共资源交易中心（以下简称</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）在任何情况下均无义务和责任承担这些费用。</w:t>
      </w:r>
    </w:p>
    <w:p w14:paraId="720B0110">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4.2本次招标</w:t>
      </w:r>
      <w:r>
        <w:rPr>
          <w:rFonts w:hint="eastAsia" w:ascii="宋体" w:hAnsi="宋体" w:eastAsia="宋体" w:cs="宋体"/>
          <w:color w:val="auto"/>
          <w:highlight w:val="none"/>
          <w:lang w:val="en-US" w:eastAsia="zh-CN"/>
        </w:rPr>
        <w:t>代理机构</w:t>
      </w:r>
      <w:r>
        <w:rPr>
          <w:rFonts w:hint="eastAsia" w:ascii="宋体" w:hAnsi="宋体" w:eastAsia="宋体" w:cs="宋体"/>
          <w:color w:val="auto"/>
          <w:highlight w:val="none"/>
        </w:rPr>
        <w:t>和采购人不收取标书工本费。</w:t>
      </w:r>
    </w:p>
    <w:p w14:paraId="3964A82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lang w:eastAsia="zh-CN"/>
        </w:rPr>
        <w:t>5.</w:t>
      </w:r>
      <w:r>
        <w:rPr>
          <w:rFonts w:hint="eastAsia" w:ascii="宋体" w:hAnsi="宋体" w:eastAsia="宋体" w:cs="宋体"/>
          <w:color w:val="auto"/>
          <w:highlight w:val="none"/>
        </w:rPr>
        <w:t>招标文件的约束力</w:t>
      </w:r>
    </w:p>
    <w:p w14:paraId="35CECF0F">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5.1投标人一旦参加本项目采购活动，即被认为接受了本招标文件的规定和约束。</w:t>
      </w:r>
    </w:p>
    <w:p w14:paraId="4C76CDA4">
      <w:pPr>
        <w:spacing w:line="440" w:lineRule="exact"/>
        <w:ind w:firstLine="422"/>
        <w:rPr>
          <w:rFonts w:hint="eastAsia" w:ascii="宋体" w:hAnsi="宋体" w:eastAsia="宋体" w:cs="宋体"/>
          <w:b/>
          <w:bCs/>
          <w:color w:val="auto"/>
          <w:highlight w:val="none"/>
        </w:rPr>
      </w:pPr>
      <w:bookmarkStart w:id="51" w:name="_Toc120614215"/>
      <w:bookmarkStart w:id="52" w:name="_Toc513029209"/>
      <w:bookmarkStart w:id="53" w:name="_Toc16938525"/>
      <w:bookmarkStart w:id="54" w:name="_Toc20823281"/>
      <w:r>
        <w:rPr>
          <w:rFonts w:hint="eastAsia" w:ascii="宋体" w:hAnsi="宋体" w:eastAsia="宋体" w:cs="宋体"/>
          <w:b/>
          <w:bCs/>
          <w:color w:val="auto"/>
          <w:highlight w:val="none"/>
        </w:rPr>
        <w:t>二、招标文件</w:t>
      </w:r>
      <w:bookmarkEnd w:id="51"/>
      <w:bookmarkEnd w:id="52"/>
      <w:bookmarkEnd w:id="53"/>
      <w:bookmarkEnd w:id="54"/>
    </w:p>
    <w:p w14:paraId="302004AF">
      <w:pPr>
        <w:spacing w:line="440" w:lineRule="exact"/>
        <w:ind w:firstLine="420"/>
        <w:rPr>
          <w:rFonts w:hint="eastAsia" w:ascii="宋体" w:hAnsi="宋体" w:eastAsia="宋体" w:cs="宋体"/>
          <w:color w:val="auto"/>
          <w:highlight w:val="none"/>
        </w:rPr>
      </w:pPr>
      <w:bookmarkStart w:id="55" w:name="_Toc513029210"/>
      <w:bookmarkStart w:id="56" w:name="_Toc20823282"/>
      <w:bookmarkStart w:id="57" w:name="_Toc16938526"/>
      <w:r>
        <w:rPr>
          <w:rFonts w:hint="eastAsia" w:ascii="宋体" w:hAnsi="宋体" w:eastAsia="宋体" w:cs="宋体"/>
          <w:color w:val="auto"/>
          <w:highlight w:val="none"/>
          <w:lang w:eastAsia="zh-CN"/>
        </w:rPr>
        <w:t>6.</w:t>
      </w:r>
      <w:r>
        <w:rPr>
          <w:rFonts w:hint="eastAsia" w:ascii="宋体" w:hAnsi="宋体" w:eastAsia="宋体" w:cs="宋体"/>
          <w:color w:val="auto"/>
          <w:highlight w:val="none"/>
        </w:rPr>
        <w:t>招标文件构成</w:t>
      </w:r>
      <w:bookmarkEnd w:id="55"/>
      <w:bookmarkEnd w:id="56"/>
      <w:bookmarkEnd w:id="57"/>
    </w:p>
    <w:p w14:paraId="41FDBDDF">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6.1 招标文件由以下部分组成：</w:t>
      </w:r>
    </w:p>
    <w:p w14:paraId="34D2D3B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（1）招标公告</w:t>
      </w:r>
    </w:p>
    <w:p w14:paraId="2592B5CB">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（2）投标人须知</w:t>
      </w:r>
    </w:p>
    <w:p w14:paraId="437DB020">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（3）合同文本</w:t>
      </w:r>
    </w:p>
    <w:p w14:paraId="1B53ED2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（4）采购需求</w:t>
      </w:r>
    </w:p>
    <w:p w14:paraId="347BE016">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（5）评标方法与评标标准</w:t>
      </w:r>
    </w:p>
    <w:p w14:paraId="38A71DCB">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（6）投标文件格式</w:t>
      </w:r>
    </w:p>
    <w:p w14:paraId="433E0B0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请仔细检查招标文件是否齐全，如有缺漏请立即与</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联系解决。</w:t>
      </w:r>
    </w:p>
    <w:p w14:paraId="433664DF">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CA92849">
      <w:pPr>
        <w:spacing w:line="440" w:lineRule="exact"/>
        <w:ind w:firstLine="420"/>
        <w:rPr>
          <w:rFonts w:hint="eastAsia" w:ascii="宋体" w:hAnsi="宋体" w:eastAsia="宋体" w:cs="宋体"/>
          <w:color w:val="auto"/>
          <w:highlight w:val="none"/>
        </w:rPr>
      </w:pPr>
      <w:bookmarkStart w:id="58" w:name="_Toc462564070"/>
      <w:bookmarkStart w:id="59" w:name="_Toc20823283"/>
      <w:bookmarkStart w:id="60" w:name="_Toc16938527"/>
      <w:bookmarkStart w:id="61" w:name="_Toc513029211"/>
      <w:r>
        <w:rPr>
          <w:rFonts w:hint="eastAsia" w:ascii="宋体" w:hAnsi="宋体" w:eastAsia="宋体" w:cs="宋体"/>
          <w:color w:val="auto"/>
          <w:highlight w:val="none"/>
          <w:lang w:eastAsia="zh-CN"/>
        </w:rPr>
        <w:t>7.</w:t>
      </w:r>
      <w:r>
        <w:rPr>
          <w:rFonts w:hint="eastAsia" w:ascii="宋体" w:hAnsi="宋体" w:eastAsia="宋体" w:cs="宋体"/>
          <w:color w:val="auto"/>
          <w:highlight w:val="none"/>
        </w:rPr>
        <w:t>招标文件的澄清</w:t>
      </w:r>
      <w:bookmarkEnd w:id="58"/>
      <w:bookmarkEnd w:id="59"/>
      <w:bookmarkEnd w:id="60"/>
      <w:bookmarkEnd w:id="61"/>
    </w:p>
    <w:p w14:paraId="50773D08">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7.1任何要求对招标文件进行澄清的投标人，应在投标截止期十日前按招标公告中的通讯地址，以书面形式通知</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w:t>
      </w:r>
    </w:p>
    <w:p w14:paraId="3D603562">
      <w:pPr>
        <w:spacing w:line="440" w:lineRule="exact"/>
        <w:ind w:firstLine="420"/>
        <w:rPr>
          <w:rFonts w:hint="eastAsia" w:ascii="宋体" w:hAnsi="宋体" w:eastAsia="宋体" w:cs="宋体"/>
          <w:color w:val="auto"/>
          <w:highlight w:val="none"/>
        </w:rPr>
      </w:pPr>
      <w:bookmarkStart w:id="62" w:name="_Toc16938528"/>
      <w:bookmarkStart w:id="63" w:name="_Toc513029212"/>
      <w:bookmarkStart w:id="64" w:name="_Toc20823284"/>
      <w:bookmarkStart w:id="65" w:name="_Toc462564071"/>
      <w:r>
        <w:rPr>
          <w:rFonts w:hint="eastAsia" w:ascii="宋体" w:hAnsi="宋体" w:eastAsia="宋体" w:cs="宋体"/>
          <w:color w:val="auto"/>
          <w:highlight w:val="none"/>
          <w:lang w:eastAsia="zh-CN"/>
        </w:rPr>
        <w:t>8.</w:t>
      </w:r>
      <w:r>
        <w:rPr>
          <w:rFonts w:hint="eastAsia" w:ascii="宋体" w:hAnsi="宋体" w:eastAsia="宋体" w:cs="宋体"/>
          <w:color w:val="auto"/>
          <w:highlight w:val="none"/>
        </w:rPr>
        <w:t>招标文件的修改</w:t>
      </w:r>
      <w:bookmarkEnd w:id="62"/>
      <w:bookmarkEnd w:id="63"/>
      <w:bookmarkEnd w:id="64"/>
      <w:bookmarkEnd w:id="65"/>
    </w:p>
    <w:p w14:paraId="462E0650">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8.1在投标截止时</w:t>
      </w:r>
      <w:r>
        <w:rPr>
          <w:rFonts w:hint="eastAsia" w:ascii="宋体" w:hAnsi="宋体" w:eastAsia="宋体" w:cs="宋体"/>
          <w:color w:val="auto"/>
          <w:highlight w:val="none"/>
          <w:lang w:eastAsia="zh-CN"/>
        </w:rPr>
        <w:t>间之</w:t>
      </w:r>
      <w:r>
        <w:rPr>
          <w:rFonts w:hint="eastAsia" w:ascii="宋体" w:hAnsi="宋体" w:eastAsia="宋体" w:cs="宋体"/>
          <w:color w:val="auto"/>
          <w:highlight w:val="none"/>
        </w:rPr>
        <w:t>前，</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可以对招标文件进行修改。</w:t>
      </w:r>
    </w:p>
    <w:p w14:paraId="099E97A2">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8.2</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有权按照法定的要求推迟投标截止日期和开标日期。</w:t>
      </w:r>
    </w:p>
    <w:p w14:paraId="60C0FE1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8.3招标文件的修改将在“中国政府采购网</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江苏政府采购网</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盐城市政府采购网</w:t>
      </w:r>
      <w:r>
        <w:rPr>
          <w:rFonts w:hint="eastAsia" w:ascii="宋体" w:hAnsi="宋体" w:eastAsia="宋体" w:cs="宋体"/>
          <w:color w:val="auto"/>
          <w:highlight w:val="none"/>
          <w:lang w:eastAsia="zh-CN"/>
        </w:rPr>
        <w:t>”“</w:t>
      </w:r>
      <w:r>
        <w:rPr>
          <w:rFonts w:hint="eastAsia" w:ascii="宋体" w:hAnsi="宋体" w:eastAsia="宋体" w:cs="宋体"/>
          <w:i w:val="0"/>
          <w:iCs w:val="0"/>
          <w:caps w:val="0"/>
          <w:color w:val="auto"/>
          <w:spacing w:val="0"/>
          <w:sz w:val="21"/>
          <w:szCs w:val="21"/>
          <w:highlight w:val="none"/>
          <w:shd w:val="clear" w:color="auto" w:fill="FFFFFF"/>
        </w:rPr>
        <w:t>阜宁县公共资源电子化服务平台”</w:t>
      </w:r>
      <w:r>
        <w:rPr>
          <w:rFonts w:hint="eastAsia" w:ascii="宋体" w:hAnsi="宋体" w:eastAsia="宋体" w:cs="宋体"/>
          <w:color w:val="auto"/>
          <w:highlight w:val="none"/>
        </w:rPr>
        <w:t>公布，补充文件将作为招标文件的组成部分，并对投标人具有约束力。</w:t>
      </w:r>
    </w:p>
    <w:p w14:paraId="303C7D89">
      <w:pPr>
        <w:spacing w:line="440" w:lineRule="exact"/>
        <w:ind w:firstLine="422"/>
        <w:rPr>
          <w:rFonts w:hint="eastAsia" w:ascii="宋体" w:hAnsi="宋体" w:eastAsia="宋体" w:cs="宋体"/>
          <w:b/>
          <w:bCs/>
          <w:color w:val="auto"/>
          <w:highlight w:val="none"/>
        </w:rPr>
      </w:pPr>
      <w:bookmarkStart w:id="66" w:name="_Toc513029213"/>
      <w:bookmarkStart w:id="67" w:name="_Toc20823285"/>
      <w:bookmarkStart w:id="68" w:name="_Toc120614216"/>
      <w:bookmarkStart w:id="69" w:name="_Toc462564072"/>
      <w:bookmarkStart w:id="70" w:name="_Toc16938529"/>
      <w:r>
        <w:rPr>
          <w:rFonts w:hint="eastAsia" w:ascii="宋体" w:hAnsi="宋体" w:eastAsia="宋体" w:cs="宋体"/>
          <w:b/>
          <w:bCs/>
          <w:color w:val="auto"/>
          <w:highlight w:val="none"/>
        </w:rPr>
        <w:t>三、投标文件的编制</w:t>
      </w:r>
      <w:bookmarkEnd w:id="66"/>
      <w:bookmarkEnd w:id="67"/>
      <w:bookmarkEnd w:id="68"/>
      <w:bookmarkEnd w:id="69"/>
      <w:bookmarkEnd w:id="70"/>
    </w:p>
    <w:p w14:paraId="0E7F265B">
      <w:pPr>
        <w:spacing w:line="440" w:lineRule="exact"/>
        <w:ind w:firstLine="420"/>
        <w:rPr>
          <w:rFonts w:hint="eastAsia" w:ascii="宋体" w:hAnsi="宋体" w:eastAsia="宋体" w:cs="宋体"/>
          <w:color w:val="auto"/>
          <w:highlight w:val="none"/>
        </w:rPr>
      </w:pPr>
      <w:bookmarkStart w:id="71" w:name="_Toc20823286"/>
      <w:bookmarkStart w:id="72" w:name="_Toc513029214"/>
      <w:bookmarkStart w:id="73" w:name="_Toc462564073"/>
      <w:bookmarkStart w:id="74" w:name="_Toc16938530"/>
      <w:r>
        <w:rPr>
          <w:rFonts w:hint="eastAsia" w:ascii="宋体" w:hAnsi="宋体" w:eastAsia="宋体" w:cs="宋体"/>
          <w:color w:val="auto"/>
          <w:highlight w:val="none"/>
          <w:lang w:eastAsia="zh-CN"/>
        </w:rPr>
        <w:t>9.</w:t>
      </w:r>
      <w:r>
        <w:rPr>
          <w:rFonts w:hint="eastAsia" w:ascii="宋体" w:hAnsi="宋体" w:eastAsia="宋体" w:cs="宋体"/>
          <w:color w:val="auto"/>
          <w:highlight w:val="none"/>
        </w:rPr>
        <w:t>投标文件的语言及度量衡单位</w:t>
      </w:r>
      <w:bookmarkEnd w:id="71"/>
      <w:bookmarkEnd w:id="72"/>
      <w:bookmarkEnd w:id="73"/>
      <w:bookmarkEnd w:id="74"/>
    </w:p>
    <w:p w14:paraId="7A60FA45">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9.1投标人提交的投标文件以及投标人与</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就有关投标的所有来往通知、函件和文件均应使用简体中文。</w:t>
      </w:r>
    </w:p>
    <w:p w14:paraId="6F96FB9C">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9.2除技术性能另有规定外，投标文件所使用的度量衡单位，均须采用国家法定计量单位。</w:t>
      </w:r>
    </w:p>
    <w:p w14:paraId="1D7D47D2">
      <w:pPr>
        <w:spacing w:line="440" w:lineRule="exact"/>
        <w:ind w:firstLine="420"/>
        <w:rPr>
          <w:rFonts w:hint="eastAsia" w:ascii="宋体" w:hAnsi="宋体" w:eastAsia="宋体" w:cs="宋体"/>
          <w:color w:val="auto"/>
          <w:highlight w:val="none"/>
        </w:rPr>
      </w:pPr>
      <w:bookmarkStart w:id="75" w:name="_Toc16938531"/>
      <w:bookmarkStart w:id="76" w:name="_Toc462564074"/>
      <w:bookmarkStart w:id="77" w:name="_Toc513029215"/>
      <w:bookmarkStart w:id="78" w:name="_Toc20823287"/>
      <w:r>
        <w:rPr>
          <w:rFonts w:hint="eastAsia" w:ascii="宋体" w:hAnsi="宋体" w:eastAsia="宋体" w:cs="宋体"/>
          <w:color w:val="auto"/>
          <w:highlight w:val="none"/>
          <w:lang w:eastAsia="zh-CN"/>
        </w:rPr>
        <w:t>10.</w:t>
      </w:r>
      <w:r>
        <w:rPr>
          <w:rFonts w:hint="eastAsia" w:ascii="宋体" w:hAnsi="宋体" w:eastAsia="宋体" w:cs="宋体"/>
          <w:color w:val="auto"/>
          <w:highlight w:val="none"/>
        </w:rPr>
        <w:t>投标文件构成</w:t>
      </w:r>
      <w:bookmarkEnd w:id="75"/>
      <w:bookmarkEnd w:id="76"/>
      <w:bookmarkEnd w:id="77"/>
      <w:bookmarkEnd w:id="78"/>
    </w:p>
    <w:p w14:paraId="03D46808">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10.1投标人编写的投标文件应包括资格证明文件、符合性证明文件、投标分项报价表、技术要求响应及偏离表、商务要求响应及偏离表、其他证明文件、投标函、开标一览表等部分。</w:t>
      </w:r>
    </w:p>
    <w:p w14:paraId="75EB269C">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1308F0C9">
      <w:pPr>
        <w:spacing w:line="440" w:lineRule="exact"/>
        <w:ind w:firstLine="420"/>
        <w:rPr>
          <w:rFonts w:hint="eastAsia" w:ascii="宋体" w:hAnsi="宋体" w:eastAsia="宋体" w:cs="宋体"/>
          <w:color w:val="auto"/>
          <w:highlight w:val="none"/>
        </w:rPr>
      </w:pPr>
      <w:bookmarkStart w:id="79" w:name="_Toc14577357"/>
      <w:bookmarkStart w:id="80" w:name="_Toc513029216"/>
      <w:bookmarkStart w:id="81" w:name="_Toc513029219"/>
      <w:bookmarkStart w:id="82" w:name="_Toc49090507"/>
      <w:bookmarkStart w:id="83" w:name="_Toc14577354"/>
      <w:bookmarkStart w:id="84" w:name="_Toc49090509"/>
      <w:bookmarkStart w:id="85" w:name="_Hlt26954838"/>
      <w:bookmarkStart w:id="86" w:name="_Hlt26670360"/>
      <w:bookmarkStart w:id="87" w:name="_Hlt26668975"/>
      <w:r>
        <w:rPr>
          <w:rFonts w:hint="eastAsia" w:ascii="宋体" w:hAnsi="宋体" w:eastAsia="宋体" w:cs="宋体"/>
          <w:color w:val="auto"/>
          <w:highlight w:val="none"/>
          <w:lang w:eastAsia="zh-CN"/>
        </w:rPr>
        <w:t>11.</w:t>
      </w:r>
      <w:r>
        <w:rPr>
          <w:rFonts w:hint="eastAsia" w:ascii="宋体" w:hAnsi="宋体" w:eastAsia="宋体" w:cs="宋体"/>
          <w:color w:val="auto"/>
          <w:highlight w:val="none"/>
        </w:rPr>
        <w:t>证明投标人及投标标的符合招标文件规定的文件</w:t>
      </w:r>
      <w:bookmarkEnd w:id="79"/>
      <w:bookmarkEnd w:id="80"/>
      <w:bookmarkEnd w:id="81"/>
      <w:bookmarkEnd w:id="82"/>
      <w:bookmarkEnd w:id="83"/>
      <w:bookmarkEnd w:id="84"/>
    </w:p>
    <w:p w14:paraId="48B5C8A2">
      <w:pPr>
        <w:spacing w:line="440" w:lineRule="exact"/>
        <w:ind w:firstLine="420"/>
        <w:rPr>
          <w:rFonts w:hint="eastAsia" w:ascii="宋体" w:hAnsi="宋体" w:eastAsia="宋体" w:cs="宋体"/>
          <w:color w:val="auto"/>
          <w:highlight w:val="none"/>
        </w:rPr>
      </w:pPr>
      <w:bookmarkStart w:id="88" w:name="_Toc14577355"/>
      <w:bookmarkStart w:id="89" w:name="_Toc49090508"/>
      <w:r>
        <w:rPr>
          <w:rFonts w:hint="eastAsia" w:ascii="宋体" w:hAnsi="宋体" w:eastAsia="宋体" w:cs="宋体"/>
          <w:color w:val="auto"/>
          <w:highlight w:val="none"/>
        </w:rPr>
        <w:t>11.1投标人应按照</w:t>
      </w:r>
      <w:r>
        <w:rPr>
          <w:rFonts w:hint="eastAsia" w:ascii="宋体" w:hAnsi="宋体" w:eastAsia="宋体" w:cs="宋体"/>
          <w:color w:val="auto"/>
          <w:highlight w:val="none"/>
          <w:lang w:eastAsia="zh-CN"/>
        </w:rPr>
        <w:t>法律法规</w:t>
      </w:r>
      <w:r>
        <w:rPr>
          <w:rFonts w:hint="eastAsia" w:ascii="宋体" w:hAnsi="宋体" w:eastAsia="宋体" w:cs="宋体"/>
          <w:color w:val="auto"/>
          <w:highlight w:val="none"/>
        </w:rPr>
        <w:t>、规章和规范性文件以及招标文件要求提交证明文件，证明其及投标标的符合招标文件规定。</w:t>
      </w:r>
      <w:bookmarkEnd w:id="88"/>
      <w:bookmarkEnd w:id="89"/>
    </w:p>
    <w:p w14:paraId="3BF9F3F4">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11.2招标文件对证明文件无明确形式要求的，证明文件可以以文字资料、图纸和数据等形式提交。</w:t>
      </w:r>
    </w:p>
    <w:p w14:paraId="136B7E7B">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lang w:eastAsia="zh-CN"/>
        </w:rPr>
        <w:t>12.</w:t>
      </w:r>
      <w:r>
        <w:rPr>
          <w:rFonts w:hint="eastAsia" w:ascii="宋体" w:hAnsi="宋体" w:eastAsia="宋体" w:cs="宋体"/>
          <w:color w:val="auto"/>
          <w:highlight w:val="none"/>
        </w:rPr>
        <w:t>投标分项报价</w:t>
      </w:r>
      <w:bookmarkStart w:id="90" w:name="_Hlt26670373"/>
      <w:r>
        <w:rPr>
          <w:rFonts w:hint="eastAsia" w:ascii="宋体" w:hAnsi="宋体" w:eastAsia="宋体" w:cs="宋体"/>
          <w:color w:val="auto"/>
          <w:highlight w:val="none"/>
        </w:rPr>
        <w:t>表</w:t>
      </w:r>
    </w:p>
    <w:p w14:paraId="3EA67079">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12.1投</w:t>
      </w:r>
      <w:bookmarkStart w:id="91" w:name="_Hlt26954840"/>
      <w:r>
        <w:rPr>
          <w:rFonts w:hint="eastAsia" w:ascii="宋体" w:hAnsi="宋体" w:eastAsia="宋体" w:cs="宋体"/>
          <w:color w:val="auto"/>
          <w:highlight w:val="none"/>
        </w:rPr>
        <w:t>标人应按照招标文件规定格式填报投标分项报价表</w:t>
      </w:r>
      <w:bookmarkStart w:id="92" w:name="_Hlt26670399"/>
      <w:r>
        <w:rPr>
          <w:rFonts w:hint="eastAsia" w:ascii="宋体" w:hAnsi="宋体" w:eastAsia="宋体" w:cs="宋体"/>
          <w:color w:val="auto"/>
          <w:highlight w:val="none"/>
        </w:rPr>
        <w:t>。</w:t>
      </w:r>
    </w:p>
    <w:p w14:paraId="26542E8C">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12.2投标货币。投标文件中的单价和总价无特殊规定的采用人民币报价，以元为单位标注。招标文件中另有规定的按规定执行。</w:t>
      </w:r>
    </w:p>
    <w:p w14:paraId="2581AD44">
      <w:pPr>
        <w:spacing w:line="440" w:lineRule="exact"/>
        <w:ind w:firstLine="420"/>
        <w:rPr>
          <w:rFonts w:hint="eastAsia" w:ascii="宋体" w:hAnsi="宋体" w:eastAsia="宋体" w:cs="宋体"/>
          <w:color w:val="auto"/>
          <w:highlight w:val="none"/>
        </w:rPr>
      </w:pPr>
      <w:bookmarkStart w:id="93" w:name="_Hlt26670425"/>
      <w:bookmarkStart w:id="94" w:name="_Hlt26670482"/>
      <w:bookmarkStart w:id="95" w:name="_Hlt26954846"/>
      <w:bookmarkStart w:id="96" w:name="_Hlt26668983"/>
      <w:bookmarkStart w:id="97" w:name="_Hlt26670486"/>
      <w:bookmarkStart w:id="98" w:name="_Hlt26670403"/>
      <w:bookmarkStart w:id="99" w:name="_Hlt26954848"/>
      <w:bookmarkStart w:id="100" w:name="_Hlt26954842"/>
      <w:bookmarkStart w:id="101" w:name="_Hlt26954844"/>
      <w:bookmarkStart w:id="102" w:name="_Hlt26954731"/>
      <w:r>
        <w:rPr>
          <w:rFonts w:hint="eastAsia" w:ascii="宋体" w:hAnsi="宋体" w:eastAsia="宋体" w:cs="宋体"/>
          <w:color w:val="auto"/>
          <w:highlight w:val="none"/>
        </w:rPr>
        <w:t>12.3投标配置和分项明细报价，不仅应包括所有人员的工资、法定节假日加班费、社保、福利费</w:t>
      </w:r>
      <w:r>
        <w:rPr>
          <w:rFonts w:hint="eastAsia" w:ascii="宋体" w:hAnsi="宋体" w:eastAsia="宋体" w:cs="宋体"/>
          <w:color w:val="auto"/>
          <w:highlight w:val="none"/>
          <w:lang w:val="en-US" w:eastAsia="zh-CN"/>
        </w:rPr>
        <w:t>等</w:t>
      </w:r>
      <w:r>
        <w:rPr>
          <w:rFonts w:hint="eastAsia" w:ascii="宋体" w:hAnsi="宋体" w:eastAsia="宋体" w:cs="宋体"/>
          <w:color w:val="auto"/>
          <w:highlight w:val="none"/>
        </w:rPr>
        <w:t>，还应包括：管理、劳务、培训、风险、税金、合理利润及政策性文件规定等各项应有费用，以及为完成招标文件规定的物业服务工作所</w:t>
      </w:r>
      <w:r>
        <w:rPr>
          <w:rFonts w:hint="eastAsia" w:ascii="宋体" w:hAnsi="宋体" w:eastAsia="宋体" w:cs="宋体"/>
          <w:color w:val="auto"/>
          <w:highlight w:val="none"/>
          <w:lang w:eastAsia="zh-CN"/>
        </w:rPr>
        <w:t>涉及</w:t>
      </w:r>
      <w:r>
        <w:rPr>
          <w:rFonts w:hint="eastAsia" w:ascii="宋体" w:hAnsi="宋体" w:eastAsia="宋体" w:cs="宋体"/>
          <w:color w:val="auto"/>
          <w:highlight w:val="none"/>
        </w:rPr>
        <w:t>的一切相关费用。</w:t>
      </w:r>
    </w:p>
    <w:p w14:paraId="3F251FE4">
      <w:pPr>
        <w:spacing w:line="440" w:lineRule="exact"/>
        <w:ind w:firstLine="420"/>
        <w:rPr>
          <w:rFonts w:hint="eastAsia" w:ascii="宋体" w:hAnsi="宋体" w:eastAsia="宋体" w:cs="宋体"/>
          <w:i w:val="0"/>
          <w:iCs w:val="0"/>
          <w:color w:val="auto"/>
          <w:highlight w:val="none"/>
          <w:u w:val="single"/>
        </w:rPr>
      </w:pPr>
      <w:r>
        <w:rPr>
          <w:rFonts w:hint="eastAsia" w:ascii="宋体" w:hAnsi="宋体" w:eastAsia="宋体" w:cs="宋体"/>
          <w:b/>
          <w:bCs/>
          <w:i/>
          <w:iCs/>
          <w:color w:val="auto"/>
          <w:highlight w:val="none"/>
          <w:u w:val="single"/>
        </w:rPr>
        <w:t>12.4</w:t>
      </w:r>
      <w:r>
        <w:rPr>
          <w:rFonts w:hint="eastAsia" w:ascii="宋体" w:hAnsi="宋体" w:eastAsia="宋体" w:cs="宋体"/>
          <w:b/>
          <w:bCs/>
          <w:i/>
          <w:iCs/>
          <w:color w:val="auto"/>
          <w:highlight w:val="none"/>
          <w:u w:val="single"/>
          <w:lang w:val="zh-CN"/>
        </w:rPr>
        <w:t>所有人员工资不低于本</w:t>
      </w:r>
      <w:r>
        <w:rPr>
          <w:rFonts w:hint="eastAsia" w:ascii="宋体" w:hAnsi="宋体" w:eastAsia="宋体" w:cs="宋体"/>
          <w:b/>
          <w:bCs/>
          <w:i/>
          <w:iCs/>
          <w:color w:val="auto"/>
          <w:highlight w:val="none"/>
          <w:u w:val="single"/>
        </w:rPr>
        <w:t>县</w:t>
      </w:r>
      <w:r>
        <w:rPr>
          <w:rFonts w:hint="eastAsia" w:ascii="宋体" w:hAnsi="宋体" w:eastAsia="宋体" w:cs="宋体"/>
          <w:b/>
          <w:bCs/>
          <w:i/>
          <w:iCs/>
          <w:color w:val="auto"/>
          <w:highlight w:val="none"/>
          <w:u w:val="single"/>
          <w:lang w:val="zh-CN"/>
        </w:rPr>
        <w:t>最低工资标准</w:t>
      </w:r>
      <w:r>
        <w:rPr>
          <w:rFonts w:hint="eastAsia" w:ascii="宋体" w:hAnsi="宋体" w:eastAsia="宋体" w:cs="宋体"/>
          <w:b/>
          <w:bCs/>
          <w:i/>
          <w:iCs/>
          <w:color w:val="auto"/>
          <w:highlight w:val="none"/>
          <w:u w:val="single"/>
        </w:rPr>
        <w:t>2</w:t>
      </w:r>
      <w:r>
        <w:rPr>
          <w:rFonts w:hint="eastAsia" w:ascii="宋体" w:hAnsi="宋体" w:eastAsia="宋体" w:cs="宋体"/>
          <w:b/>
          <w:bCs/>
          <w:i/>
          <w:iCs/>
          <w:color w:val="auto"/>
          <w:highlight w:val="none"/>
          <w:u w:val="single"/>
          <w:lang w:val="en-US" w:eastAsia="zh-CN"/>
        </w:rPr>
        <w:t>180</w:t>
      </w:r>
      <w:r>
        <w:rPr>
          <w:rFonts w:hint="eastAsia" w:ascii="宋体" w:hAnsi="宋体" w:eastAsia="宋体" w:cs="宋体"/>
          <w:b/>
          <w:bCs/>
          <w:i/>
          <w:iCs/>
          <w:color w:val="auto"/>
          <w:highlight w:val="none"/>
          <w:u w:val="single"/>
          <w:lang w:val="zh-CN"/>
        </w:rPr>
        <w:t>元/人/月，所有人员必须足额缴纳社保费用，社保（企业部分）不得低于</w:t>
      </w:r>
      <w:r>
        <w:rPr>
          <w:rFonts w:hint="eastAsia" w:ascii="宋体" w:hAnsi="宋体" w:eastAsia="宋体" w:cs="宋体"/>
          <w:b/>
          <w:bCs/>
          <w:i/>
          <w:iCs/>
          <w:color w:val="auto"/>
          <w:highlight w:val="none"/>
          <w:u w:val="single"/>
          <w:lang w:val="en-US" w:eastAsia="zh-CN"/>
        </w:rPr>
        <w:t>1292.47</w:t>
      </w:r>
      <w:r>
        <w:rPr>
          <w:rFonts w:hint="eastAsia" w:ascii="宋体" w:hAnsi="宋体" w:eastAsia="宋体" w:cs="宋体"/>
          <w:b/>
          <w:bCs/>
          <w:i/>
          <w:iCs/>
          <w:color w:val="auto"/>
          <w:highlight w:val="none"/>
          <w:u w:val="single"/>
          <w:lang w:val="zh-CN"/>
        </w:rPr>
        <w:t>元/人/月，法定节假日加班费不得低于</w:t>
      </w:r>
      <w:r>
        <w:rPr>
          <w:rFonts w:hint="eastAsia" w:ascii="宋体" w:hAnsi="宋体" w:eastAsia="宋体" w:cs="宋体"/>
          <w:b/>
          <w:bCs/>
          <w:i/>
          <w:iCs/>
          <w:color w:val="auto"/>
          <w:highlight w:val="none"/>
          <w:u w:val="single"/>
          <w:lang w:eastAsia="zh-CN"/>
        </w:rPr>
        <w:t>3908.97</w:t>
      </w:r>
      <w:r>
        <w:rPr>
          <w:rFonts w:hint="eastAsia" w:ascii="宋体" w:hAnsi="宋体" w:eastAsia="宋体" w:cs="宋体"/>
          <w:b/>
          <w:bCs/>
          <w:i/>
          <w:iCs/>
          <w:color w:val="auto"/>
          <w:highlight w:val="none"/>
          <w:u w:val="single"/>
          <w:lang w:val="zh-CN"/>
        </w:rPr>
        <w:t>元/人/每年（按每年法定节假日加班天数13天，法定节假日加班人员数不得低于</w:t>
      </w:r>
      <w:r>
        <w:rPr>
          <w:rFonts w:hint="eastAsia" w:ascii="宋体" w:hAnsi="宋体" w:eastAsia="宋体" w:cs="宋体"/>
          <w:b/>
          <w:bCs/>
          <w:i/>
          <w:iCs/>
          <w:color w:val="auto"/>
          <w:highlight w:val="none"/>
          <w:u w:val="single"/>
          <w:lang w:val="en-US" w:eastAsia="zh-CN"/>
        </w:rPr>
        <w:t>35</w:t>
      </w:r>
      <w:r>
        <w:rPr>
          <w:rFonts w:hint="eastAsia" w:ascii="宋体" w:hAnsi="宋体" w:eastAsia="宋体" w:cs="宋体"/>
          <w:b/>
          <w:bCs/>
          <w:i/>
          <w:iCs/>
          <w:color w:val="auto"/>
          <w:highlight w:val="none"/>
          <w:u w:val="single"/>
          <w:lang w:val="zh-CN"/>
        </w:rPr>
        <w:t>人）</w:t>
      </w:r>
      <w:r>
        <w:rPr>
          <w:rFonts w:hint="eastAsia" w:ascii="宋体" w:hAnsi="宋体" w:eastAsia="宋体" w:cs="宋体"/>
          <w:b/>
          <w:bCs/>
          <w:i/>
          <w:iCs/>
          <w:color w:val="auto"/>
          <w:highlight w:val="none"/>
          <w:u w:val="single"/>
        </w:rPr>
        <w:t>；</w:t>
      </w:r>
      <w:r>
        <w:rPr>
          <w:rFonts w:hint="eastAsia" w:ascii="宋体" w:hAnsi="宋体" w:eastAsia="宋体" w:cs="宋体"/>
          <w:b/>
          <w:bCs/>
          <w:i/>
          <w:iCs/>
          <w:color w:val="auto"/>
          <w:highlight w:val="none"/>
          <w:u w:val="single"/>
          <w:lang w:val="zh-CN"/>
        </w:rPr>
        <w:t>税金投标时统一按一般纳税人税率6%（合同履行时实际应税税率与招标时不一致按实调整结算）。</w:t>
      </w:r>
    </w:p>
    <w:p w14:paraId="1ED7651F">
      <w:pPr>
        <w:spacing w:line="440" w:lineRule="exact"/>
        <w:ind w:firstLine="422"/>
        <w:rPr>
          <w:rFonts w:hint="eastAsia" w:ascii="宋体" w:hAnsi="宋体" w:eastAsia="宋体" w:cs="宋体"/>
          <w:color w:val="auto"/>
          <w:highlight w:val="none"/>
        </w:rPr>
      </w:pPr>
      <w:r>
        <w:rPr>
          <w:rFonts w:hint="eastAsia" w:ascii="宋体" w:hAnsi="宋体" w:eastAsia="宋体" w:cs="宋体"/>
          <w:b/>
          <w:bCs/>
          <w:i/>
          <w:iCs/>
          <w:color w:val="auto"/>
          <w:highlight w:val="none"/>
          <w:u w:val="single"/>
        </w:rPr>
        <w:t>投标人</w:t>
      </w:r>
      <w:r>
        <w:rPr>
          <w:rFonts w:hint="eastAsia" w:ascii="宋体" w:hAnsi="宋体" w:eastAsia="宋体" w:cs="宋体"/>
          <w:b/>
          <w:bCs/>
          <w:i/>
          <w:iCs/>
          <w:color w:val="auto"/>
          <w:highlight w:val="none"/>
          <w:u w:val="single"/>
          <w:lang w:val="zh-CN"/>
        </w:rPr>
        <w:t>所提供人员的费用不得低于上述标准进行测算，</w:t>
      </w:r>
      <w:r>
        <w:rPr>
          <w:rFonts w:hint="eastAsia" w:ascii="宋体" w:hAnsi="宋体" w:eastAsia="宋体" w:cs="宋体"/>
          <w:b/>
          <w:bCs/>
          <w:i/>
          <w:iCs/>
          <w:color w:val="auto"/>
          <w:highlight w:val="none"/>
          <w:u w:val="single"/>
        </w:rPr>
        <w:t>否则</w:t>
      </w:r>
      <w:r>
        <w:rPr>
          <w:rFonts w:hint="eastAsia" w:ascii="宋体" w:hAnsi="宋体" w:eastAsia="宋体" w:cs="宋体"/>
          <w:b/>
          <w:bCs/>
          <w:i/>
          <w:iCs/>
          <w:color w:val="auto"/>
          <w:highlight w:val="none"/>
          <w:u w:val="single"/>
          <w:lang w:val="zh-CN"/>
        </w:rPr>
        <w:t>视为未实质性响应招标文件要求</w:t>
      </w:r>
      <w:r>
        <w:rPr>
          <w:rFonts w:hint="eastAsia" w:ascii="宋体" w:hAnsi="宋体" w:eastAsia="宋体" w:cs="宋体"/>
          <w:i/>
          <w:iCs/>
          <w:color w:val="auto"/>
          <w:highlight w:val="none"/>
          <w:u w:val="single"/>
        </w:rPr>
        <w:t>。</w:t>
      </w:r>
      <w:r>
        <w:rPr>
          <w:rFonts w:hint="eastAsia" w:ascii="宋体" w:hAnsi="宋体" w:eastAsia="宋体" w:cs="宋体"/>
          <w:color w:val="auto"/>
          <w:highlight w:val="none"/>
        </w:rPr>
        <w:t>如果招标公告发布之后开标前遇政府调整职工最低工资标准或社会保险缴纳基数，评标委员会进行符合性审查时可仍按上述标准审查，中标后，中标人应按照最新政策文件规定执行。</w:t>
      </w:r>
    </w:p>
    <w:p w14:paraId="0F42A13E">
      <w:pPr>
        <w:spacing w:line="440" w:lineRule="exact"/>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12.5投标人根据招标内容的要求准确报价，一经报出，不得更改。</w:t>
      </w:r>
    </w:p>
    <w:p w14:paraId="131738D2">
      <w:pPr>
        <w:spacing w:line="440" w:lineRule="exact"/>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12.6投标报价的单位为人民币(元)/年。如果未能按合同、招标投标文件履约的，中止合同，履约保证金不予退还，并不支付服务期间的</w:t>
      </w:r>
      <w:r>
        <w:rPr>
          <w:rFonts w:hint="eastAsia" w:ascii="宋体" w:hAnsi="宋体" w:eastAsia="宋体" w:cs="宋体"/>
          <w:color w:val="auto"/>
          <w:highlight w:val="none"/>
          <w:lang w:val="en-US" w:eastAsia="zh-CN"/>
        </w:rPr>
        <w:t>安保</w:t>
      </w:r>
      <w:r>
        <w:rPr>
          <w:rFonts w:hint="eastAsia" w:ascii="宋体" w:hAnsi="宋体" w:eastAsia="宋体" w:cs="宋体"/>
          <w:color w:val="auto"/>
          <w:highlight w:val="none"/>
          <w:lang w:val="zh-CN"/>
        </w:rPr>
        <w:t>服务费用。</w:t>
      </w:r>
      <w:r>
        <w:rPr>
          <w:rFonts w:hint="eastAsia" w:ascii="宋体" w:hAnsi="宋体" w:eastAsia="宋体" w:cs="宋体"/>
          <w:color w:val="auto"/>
          <w:highlight w:val="none"/>
          <w:lang w:val="en-US" w:eastAsia="zh-CN"/>
        </w:rPr>
        <w:t>采购人</w:t>
      </w:r>
      <w:r>
        <w:rPr>
          <w:rFonts w:hint="eastAsia" w:ascii="宋体" w:hAnsi="宋体" w:eastAsia="宋体" w:cs="宋体"/>
          <w:color w:val="auto"/>
          <w:highlight w:val="none"/>
          <w:lang w:val="zh-CN"/>
        </w:rPr>
        <w:t>有权终止合同的履行，受托单位应承担相应的完全责任，包括赔偿因此而给本单位及第三人带来的相应损失。合同期满并完成与后续</w:t>
      </w:r>
      <w:r>
        <w:rPr>
          <w:rFonts w:hint="eastAsia" w:ascii="宋体" w:hAnsi="宋体" w:eastAsia="宋体" w:cs="宋体"/>
          <w:color w:val="auto"/>
          <w:highlight w:val="none"/>
          <w:lang w:val="en-US" w:eastAsia="zh-CN"/>
        </w:rPr>
        <w:t>安保</w:t>
      </w:r>
      <w:r>
        <w:rPr>
          <w:rFonts w:hint="eastAsia" w:ascii="宋体" w:hAnsi="宋体" w:eastAsia="宋体" w:cs="宋体"/>
          <w:color w:val="auto"/>
          <w:highlight w:val="none"/>
          <w:lang w:val="zh-CN"/>
        </w:rPr>
        <w:t>服务企业的衔接后，方可退出，经本单位验收合格，退出本</w:t>
      </w:r>
      <w:r>
        <w:rPr>
          <w:rFonts w:hint="eastAsia" w:ascii="宋体" w:hAnsi="宋体" w:eastAsia="宋体" w:cs="宋体"/>
          <w:color w:val="auto"/>
          <w:highlight w:val="none"/>
          <w:lang w:val="en-US" w:eastAsia="zh-CN"/>
        </w:rPr>
        <w:t>安保</w:t>
      </w:r>
      <w:r>
        <w:rPr>
          <w:rFonts w:hint="eastAsia" w:ascii="宋体" w:hAnsi="宋体" w:eastAsia="宋体" w:cs="宋体"/>
          <w:color w:val="auto"/>
          <w:highlight w:val="none"/>
          <w:lang w:val="zh-CN"/>
        </w:rPr>
        <w:t>管理时必须向本单位移交全套档案等资料，同时退还履约保证金余额。</w:t>
      </w:r>
    </w:p>
    <w:p w14:paraId="7E586F8A">
      <w:pPr>
        <w:spacing w:line="440" w:lineRule="exact"/>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12.7对于超出招标文件的其他临时性服务项目，由甲乙双方协商解决。</w:t>
      </w:r>
    </w:p>
    <w:p w14:paraId="050010C6">
      <w:pPr>
        <w:spacing w:line="440" w:lineRule="exact"/>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13.技术要求响应及偏离表、商务要求响应及偏离表</w:t>
      </w:r>
    </w:p>
    <w:p w14:paraId="0E4F2264">
      <w:pPr>
        <w:spacing w:line="440" w:lineRule="exact"/>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13.1投标人需对招标文件中的技术要求与商务要求逐项作出响应或偏离，并说明原因。</w:t>
      </w:r>
    </w:p>
    <w:p w14:paraId="7065F8ED">
      <w:pPr>
        <w:spacing w:line="440" w:lineRule="exact"/>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13.2投标人可在投标文件中提供认为需要的其他技术文件或说明。</w:t>
      </w:r>
    </w:p>
    <w:p w14:paraId="6EED82D4">
      <w:pPr>
        <w:spacing w:line="440" w:lineRule="exact"/>
        <w:ind w:firstLine="420"/>
        <w:rPr>
          <w:rFonts w:hint="eastAsia" w:ascii="宋体" w:hAnsi="宋体" w:eastAsia="宋体" w:cs="宋体"/>
          <w:color w:val="auto"/>
          <w:highlight w:val="none"/>
          <w:lang w:val="zh-CN"/>
        </w:rPr>
      </w:pPr>
      <w:bookmarkStart w:id="103" w:name="_Toc49090510"/>
      <w:bookmarkStart w:id="104" w:name="_Toc14577359"/>
      <w:r>
        <w:rPr>
          <w:rFonts w:hint="eastAsia" w:ascii="宋体" w:hAnsi="宋体" w:eastAsia="宋体" w:cs="宋体"/>
          <w:color w:val="auto"/>
          <w:highlight w:val="none"/>
          <w:lang w:val="zh-CN"/>
        </w:rPr>
        <w:t>14.投标函和开标一览表</w:t>
      </w:r>
      <w:bookmarkEnd w:id="103"/>
      <w:bookmarkEnd w:id="104"/>
    </w:p>
    <w:p w14:paraId="33493492">
      <w:pPr>
        <w:spacing w:line="440" w:lineRule="exact"/>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14.1投标人应按照招标文件中提供的格式完整、正确填写投标函、开标一览表。</w:t>
      </w:r>
    </w:p>
    <w:p w14:paraId="0B97AF6E">
      <w:pPr>
        <w:spacing w:line="440" w:lineRule="exact"/>
        <w:ind w:firstLine="420"/>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color w:val="000000" w:themeColor="text1"/>
          <w:highlight w:val="none"/>
          <w:lang w:val="zh-CN"/>
          <w14:textFill>
            <w14:solidFill>
              <w14:schemeClr w14:val="tx1"/>
            </w14:solidFill>
          </w14:textFill>
        </w:rPr>
        <w:t>14.2对于采用货币报价的项目，开标一览表中的投标总报价应与投标分项报价表中的投标总报价一致，如不一致，不作为无效投标处理，但评标时按开标一览表中价格为准。</w:t>
      </w:r>
    </w:p>
    <w:p w14:paraId="306C56C9">
      <w:pPr>
        <w:spacing w:line="440" w:lineRule="exact"/>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14.3投标文件的大写金额和小写金额不一致的，以大写金额为准；对不同文字文本投标的解释发生异议的，以中文文本为准。</w:t>
      </w:r>
    </w:p>
    <w:p w14:paraId="66E41AC7">
      <w:pPr>
        <w:spacing w:line="440" w:lineRule="exact"/>
        <w:ind w:firstLine="420"/>
        <w:rPr>
          <w:rFonts w:hint="eastAsia" w:ascii="宋体" w:hAnsi="宋体" w:eastAsia="宋体" w:cs="宋体"/>
          <w:color w:val="auto"/>
          <w:highlight w:val="none"/>
          <w:lang w:val="zh-CN"/>
        </w:rPr>
      </w:pPr>
      <w:bookmarkStart w:id="105" w:name="_Toc49090511"/>
      <w:bookmarkStart w:id="106" w:name="_Toc14577360"/>
      <w:bookmarkStart w:id="107" w:name="_Hlt26670489"/>
      <w:bookmarkStart w:id="108" w:name="_Hlt26954734"/>
      <w:bookmarkStart w:id="109" w:name="_Hlt26954850"/>
      <w:r>
        <w:rPr>
          <w:rFonts w:hint="eastAsia" w:ascii="宋体" w:hAnsi="宋体" w:eastAsia="宋体" w:cs="宋体"/>
          <w:color w:val="auto"/>
          <w:highlight w:val="none"/>
          <w:lang w:val="zh-CN"/>
        </w:rPr>
        <w:t>15.投标有效期</w:t>
      </w:r>
      <w:bookmarkEnd w:id="105"/>
      <w:bookmarkEnd w:id="106"/>
    </w:p>
    <w:p w14:paraId="589A34E7">
      <w:pPr>
        <w:spacing w:line="440" w:lineRule="exact"/>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15.1投标有效期为代理机构规定的开标之日后</w:t>
      </w:r>
      <w:r>
        <w:rPr>
          <w:rFonts w:hint="eastAsia" w:ascii="宋体" w:hAnsi="宋体" w:eastAsia="宋体" w:cs="宋体"/>
          <w:color w:val="auto"/>
          <w:highlight w:val="none"/>
        </w:rPr>
        <w:t>九</w:t>
      </w:r>
      <w:r>
        <w:rPr>
          <w:rFonts w:hint="eastAsia" w:ascii="宋体" w:hAnsi="宋体" w:eastAsia="宋体" w:cs="宋体"/>
          <w:color w:val="auto"/>
          <w:highlight w:val="none"/>
          <w:lang w:val="zh-CN"/>
        </w:rPr>
        <w:t>十（</w:t>
      </w:r>
      <w:r>
        <w:rPr>
          <w:rFonts w:hint="eastAsia" w:ascii="宋体" w:hAnsi="宋体" w:eastAsia="宋体" w:cs="宋体"/>
          <w:color w:val="auto"/>
          <w:highlight w:val="none"/>
        </w:rPr>
        <w:t>9</w:t>
      </w:r>
      <w:r>
        <w:rPr>
          <w:rFonts w:hint="eastAsia" w:ascii="宋体" w:hAnsi="宋体" w:eastAsia="宋体" w:cs="宋体"/>
          <w:color w:val="auto"/>
          <w:highlight w:val="none"/>
          <w:lang w:val="zh-CN"/>
        </w:rPr>
        <w:t>0）天。投标有效期比规定短的将被视为未实质性响应招标文件而予以拒绝。</w:t>
      </w:r>
    </w:p>
    <w:p w14:paraId="50ACB41D">
      <w:pPr>
        <w:spacing w:line="440" w:lineRule="exact"/>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16.投标有效期的延长</w:t>
      </w:r>
    </w:p>
    <w:p w14:paraId="2A9B37B1">
      <w:pPr>
        <w:spacing w:line="440" w:lineRule="exact"/>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p>
    <w:p w14:paraId="6D0F6FDC">
      <w:pPr>
        <w:spacing w:line="440" w:lineRule="exact"/>
        <w:ind w:firstLine="422"/>
        <w:rPr>
          <w:rFonts w:hint="eastAsia" w:ascii="宋体" w:hAnsi="宋体" w:eastAsia="宋体" w:cs="宋体"/>
          <w:b/>
          <w:bCs/>
          <w:color w:val="auto"/>
          <w:highlight w:val="none"/>
        </w:rPr>
      </w:pPr>
      <w:bookmarkStart w:id="110" w:name="_Toc16938540"/>
      <w:bookmarkStart w:id="111" w:name="_Toc513029224"/>
      <w:bookmarkStart w:id="112" w:name="_Toc20823296"/>
      <w:bookmarkStart w:id="113" w:name="_Toc120614217"/>
      <w:bookmarkStart w:id="114" w:name="_Hlt26954852"/>
      <w:bookmarkStart w:id="115" w:name="_Hlt26954739"/>
      <w:r>
        <w:rPr>
          <w:rFonts w:hint="eastAsia" w:ascii="宋体" w:hAnsi="宋体" w:eastAsia="宋体" w:cs="宋体"/>
          <w:b/>
          <w:bCs/>
          <w:color w:val="auto"/>
          <w:highlight w:val="none"/>
        </w:rPr>
        <w:t>四、投标文件的递交</w:t>
      </w:r>
      <w:bookmarkEnd w:id="110"/>
      <w:bookmarkEnd w:id="111"/>
      <w:bookmarkEnd w:id="112"/>
      <w:bookmarkEnd w:id="113"/>
    </w:p>
    <w:p w14:paraId="5EFB689D">
      <w:pPr>
        <w:spacing w:line="440" w:lineRule="exact"/>
        <w:ind w:firstLine="420"/>
        <w:rPr>
          <w:rFonts w:hint="eastAsia" w:ascii="宋体" w:hAnsi="宋体" w:eastAsia="宋体" w:cs="宋体"/>
          <w:color w:val="auto"/>
          <w:highlight w:val="none"/>
          <w:lang w:val="zh-CN"/>
        </w:rPr>
      </w:pPr>
      <w:bookmarkStart w:id="116" w:name="_Toc513029225"/>
      <w:bookmarkStart w:id="117" w:name="_Toc16938541"/>
      <w:bookmarkStart w:id="118" w:name="_Toc20823297"/>
      <w:bookmarkStart w:id="119" w:name="_Toc462564084"/>
      <w:r>
        <w:rPr>
          <w:rFonts w:hint="eastAsia" w:ascii="宋体" w:hAnsi="宋体" w:eastAsia="宋体" w:cs="宋体"/>
          <w:color w:val="auto"/>
          <w:highlight w:val="none"/>
          <w:lang w:val="zh-CN"/>
        </w:rPr>
        <w:t>17.投标文件</w:t>
      </w:r>
      <w:bookmarkEnd w:id="116"/>
      <w:bookmarkEnd w:id="117"/>
      <w:bookmarkEnd w:id="118"/>
      <w:bookmarkEnd w:id="119"/>
      <w:r>
        <w:rPr>
          <w:rFonts w:hint="eastAsia" w:ascii="宋体" w:hAnsi="宋体" w:eastAsia="宋体" w:cs="宋体"/>
          <w:color w:val="auto"/>
          <w:highlight w:val="none"/>
          <w:lang w:val="zh-CN"/>
        </w:rPr>
        <w:t>的递交</w:t>
      </w:r>
    </w:p>
    <w:p w14:paraId="4B422EF2">
      <w:pPr>
        <w:spacing w:line="440" w:lineRule="exact"/>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17.1 电子投标文件的递交</w:t>
      </w:r>
    </w:p>
    <w:p w14:paraId="20DB1AD5">
      <w:pPr>
        <w:spacing w:line="440" w:lineRule="exact"/>
        <w:ind w:firstLine="42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投标人应当按照《操作手册》规定，在投标截止时间前制作并上传电子投标文件。</w:t>
      </w:r>
      <w:bookmarkStart w:id="120" w:name="_Toc20823298"/>
      <w:bookmarkEnd w:id="120"/>
      <w:bookmarkStart w:id="121" w:name="_Toc16938542"/>
      <w:bookmarkEnd w:id="121"/>
      <w:bookmarkStart w:id="122" w:name="_Toc513029226"/>
    </w:p>
    <w:p w14:paraId="3FFE8672">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lang w:eastAsia="zh-CN"/>
        </w:rPr>
        <w:t>18.</w:t>
      </w:r>
      <w:r>
        <w:rPr>
          <w:rFonts w:hint="eastAsia" w:ascii="宋体" w:hAnsi="宋体" w:eastAsia="宋体" w:cs="宋体"/>
          <w:color w:val="auto"/>
          <w:highlight w:val="none"/>
        </w:rPr>
        <w:t>投标截止时间</w:t>
      </w:r>
    </w:p>
    <w:p w14:paraId="1CE09764">
      <w:pPr>
        <w:spacing w:line="440" w:lineRule="exact"/>
        <w:ind w:firstLine="420"/>
        <w:rPr>
          <w:rFonts w:hint="eastAsia" w:ascii="宋体" w:hAnsi="宋体" w:eastAsia="宋体" w:cs="宋体"/>
          <w:i/>
          <w:iCs/>
          <w:color w:val="auto"/>
          <w:highlight w:val="none"/>
          <w:u w:val="single"/>
          <w:lang w:val="zh-CN"/>
        </w:rPr>
      </w:pPr>
      <w:r>
        <w:rPr>
          <w:rFonts w:hint="eastAsia" w:ascii="宋体" w:hAnsi="宋体" w:eastAsia="宋体" w:cs="宋体"/>
          <w:i/>
          <w:iCs/>
          <w:color w:val="auto"/>
          <w:highlight w:val="none"/>
          <w:u w:val="single"/>
          <w:lang w:val="zh-CN"/>
        </w:rPr>
        <w:t>18.1投标人上传电子投标文件的时间不得迟于招标公告中规定的投标截止时间。</w:t>
      </w:r>
    </w:p>
    <w:p w14:paraId="270D6335">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投标人应充分考虑到网络环境、网络带宽等风险因素，如因投标人自身原因造成的电子投标文件上传不成功的按照本招标文件第二章第26.1.2条 规定做无效投标处理。</w:t>
      </w:r>
    </w:p>
    <w:p w14:paraId="16EBC422">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18.2</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可以按照规定，通过修改招标文件酌情延长投标截止时间，在此情况下，投标人的所有权利和义务以及投标人受制的截止时间均应以延长后新的截止时间为准。</w:t>
      </w:r>
    </w:p>
    <w:p w14:paraId="7FC1B836">
      <w:pPr>
        <w:spacing w:line="440" w:lineRule="exact"/>
        <w:ind w:firstLine="420"/>
        <w:rPr>
          <w:rFonts w:hint="eastAsia" w:ascii="宋体" w:hAnsi="宋体" w:eastAsia="宋体" w:cs="宋体"/>
          <w:color w:val="auto"/>
          <w:highlight w:val="none"/>
        </w:rPr>
      </w:pPr>
      <w:bookmarkStart w:id="123" w:name="_Toc20823299"/>
      <w:bookmarkStart w:id="124" w:name="_Toc16938543"/>
      <w:bookmarkStart w:id="125" w:name="_Toc513029227"/>
      <w:r>
        <w:rPr>
          <w:rFonts w:hint="eastAsia" w:ascii="宋体" w:hAnsi="宋体" w:eastAsia="宋体" w:cs="宋体"/>
          <w:color w:val="auto"/>
          <w:highlight w:val="none"/>
          <w:lang w:eastAsia="zh-CN"/>
        </w:rPr>
        <w:t>19.</w:t>
      </w:r>
      <w:r>
        <w:rPr>
          <w:rFonts w:hint="eastAsia" w:ascii="宋体" w:hAnsi="宋体" w:eastAsia="宋体" w:cs="宋体"/>
          <w:color w:val="auto"/>
          <w:highlight w:val="none"/>
        </w:rPr>
        <w:t>投标文件</w:t>
      </w:r>
      <w:bookmarkEnd w:id="123"/>
      <w:bookmarkEnd w:id="124"/>
      <w:bookmarkEnd w:id="125"/>
      <w:r>
        <w:rPr>
          <w:rFonts w:hint="eastAsia" w:ascii="宋体" w:hAnsi="宋体" w:eastAsia="宋体" w:cs="宋体"/>
          <w:color w:val="auto"/>
          <w:highlight w:val="none"/>
        </w:rPr>
        <w:t>的拒收</w:t>
      </w:r>
    </w:p>
    <w:p w14:paraId="7107B315">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19.1</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拒绝接收在其规定的投标截止时间后上传的任何投标文件。</w:t>
      </w:r>
    </w:p>
    <w:p w14:paraId="3AFEBE08">
      <w:pPr>
        <w:spacing w:line="440" w:lineRule="exact"/>
        <w:ind w:firstLine="420"/>
        <w:rPr>
          <w:rFonts w:hint="eastAsia" w:ascii="宋体" w:hAnsi="宋体" w:eastAsia="宋体" w:cs="宋体"/>
          <w:color w:val="auto"/>
          <w:highlight w:val="none"/>
        </w:rPr>
      </w:pPr>
      <w:bookmarkStart w:id="126" w:name="_Toc513029228"/>
      <w:bookmarkStart w:id="127" w:name="_Toc16938544"/>
      <w:bookmarkStart w:id="128" w:name="_Toc20823300"/>
      <w:r>
        <w:rPr>
          <w:rFonts w:hint="eastAsia" w:ascii="宋体" w:hAnsi="宋体" w:eastAsia="宋体" w:cs="宋体"/>
          <w:color w:val="auto"/>
          <w:highlight w:val="none"/>
          <w:lang w:eastAsia="zh-CN"/>
        </w:rPr>
        <w:t>20.</w:t>
      </w:r>
      <w:r>
        <w:rPr>
          <w:rFonts w:hint="eastAsia" w:ascii="宋体" w:hAnsi="宋体" w:eastAsia="宋体" w:cs="宋体"/>
          <w:color w:val="auto"/>
          <w:highlight w:val="none"/>
        </w:rPr>
        <w:t>投标文件的撤回和修改</w:t>
      </w:r>
      <w:bookmarkEnd w:id="126"/>
      <w:bookmarkEnd w:id="127"/>
      <w:bookmarkEnd w:id="128"/>
    </w:p>
    <w:p w14:paraId="453917E8">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20.1投标文件的撤回</w:t>
      </w:r>
    </w:p>
    <w:p w14:paraId="6ABEFC4D">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20.1.1电子投标文件的撤回</w:t>
      </w:r>
    </w:p>
    <w:p w14:paraId="6C63DB88">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投标人可在投标截止时间前，撤回其电子投标文件，具体操作方法见《操作手册》。</w:t>
      </w:r>
    </w:p>
    <w:p w14:paraId="7CDF196B">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20.1.2投标人撤回电子投标文件，则认为其不再参与本项目投标活动。</w:t>
      </w:r>
    </w:p>
    <w:p w14:paraId="0A676A23">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20.2 投标文件的修改</w:t>
      </w:r>
    </w:p>
    <w:p w14:paraId="5844E0DB">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20.2.1投标人可在投标截止时间前，对其电子投标文件进行修改，具体操作方法见《操作手册》。</w:t>
      </w:r>
    </w:p>
    <w:p w14:paraId="66ED0467">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20.2.2在投标截止时间之后，投标人不得对其电子投标文件作任何修改。</w:t>
      </w:r>
    </w:p>
    <w:p w14:paraId="46A5F260">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20.3在投标截止时间至招标文件中规定的投标有效期满之间的这段时间内，投标人不得撤回其投标。</w:t>
      </w:r>
    </w:p>
    <w:p w14:paraId="5BC7E681">
      <w:pPr>
        <w:spacing w:line="440" w:lineRule="exact"/>
        <w:ind w:firstLine="422"/>
        <w:rPr>
          <w:rFonts w:hint="eastAsia" w:ascii="宋体" w:hAnsi="宋体" w:eastAsia="宋体" w:cs="宋体"/>
          <w:b/>
          <w:bCs/>
          <w:color w:val="auto"/>
          <w:highlight w:val="none"/>
        </w:rPr>
      </w:pPr>
      <w:bookmarkStart w:id="129" w:name="_Toc16938545"/>
      <w:bookmarkStart w:id="130" w:name="_Toc513029229"/>
      <w:bookmarkStart w:id="131" w:name="_Toc120614218"/>
      <w:bookmarkStart w:id="132" w:name="_Toc20823301"/>
      <w:r>
        <w:rPr>
          <w:rFonts w:hint="eastAsia" w:ascii="宋体" w:hAnsi="宋体" w:eastAsia="宋体" w:cs="宋体"/>
          <w:b/>
          <w:bCs/>
          <w:color w:val="auto"/>
          <w:highlight w:val="none"/>
        </w:rPr>
        <w:t>五、开标与评标</w:t>
      </w:r>
      <w:bookmarkEnd w:id="129"/>
      <w:bookmarkEnd w:id="130"/>
      <w:bookmarkEnd w:id="131"/>
      <w:bookmarkEnd w:id="132"/>
    </w:p>
    <w:p w14:paraId="0C27D2A9">
      <w:pPr>
        <w:spacing w:line="440" w:lineRule="exact"/>
        <w:ind w:firstLine="420"/>
        <w:rPr>
          <w:rFonts w:hint="eastAsia" w:ascii="宋体" w:hAnsi="宋体" w:eastAsia="宋体" w:cs="宋体"/>
          <w:color w:val="auto"/>
          <w:highlight w:val="none"/>
        </w:rPr>
      </w:pPr>
      <w:bookmarkStart w:id="133" w:name="_Toc16938546"/>
      <w:bookmarkStart w:id="134" w:name="_Toc20823302"/>
      <w:bookmarkStart w:id="135" w:name="_Toc513029230"/>
      <w:r>
        <w:rPr>
          <w:rFonts w:hint="eastAsia" w:ascii="宋体" w:hAnsi="宋体" w:eastAsia="宋体" w:cs="宋体"/>
          <w:color w:val="auto"/>
          <w:highlight w:val="none"/>
          <w:lang w:eastAsia="zh-CN"/>
        </w:rPr>
        <w:t>21.</w:t>
      </w:r>
      <w:r>
        <w:rPr>
          <w:rFonts w:hint="eastAsia" w:ascii="宋体" w:hAnsi="宋体" w:eastAsia="宋体" w:cs="宋体"/>
          <w:color w:val="auto"/>
          <w:highlight w:val="none"/>
        </w:rPr>
        <w:t>开标</w:t>
      </w:r>
      <w:bookmarkEnd w:id="133"/>
      <w:bookmarkEnd w:id="134"/>
      <w:bookmarkEnd w:id="135"/>
    </w:p>
    <w:p w14:paraId="437A3AA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21.1</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将在招标公告中规定的时间和地点组织公开开标。投标人应当按照《操作手册》规定，参加开标活动和在苏采云系统规定的时间内对投标文件进行解密。</w:t>
      </w:r>
    </w:p>
    <w:p w14:paraId="604F3EE8">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21.2开标仪式由</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组织。苏采云系统将自动对项目进行开标，并宣布各投标人名称和投标价格。</w:t>
      </w:r>
    </w:p>
    <w:p w14:paraId="2367DBB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21.3投标人在开标过程中</w:t>
      </w:r>
      <w:r>
        <w:rPr>
          <w:rFonts w:hint="eastAsia" w:ascii="宋体" w:hAnsi="宋体" w:eastAsia="宋体" w:cs="宋体"/>
          <w:color w:val="auto"/>
          <w:highlight w:val="none"/>
          <w:lang w:eastAsia="zh-CN"/>
        </w:rPr>
        <w:t>涉及</w:t>
      </w:r>
      <w:r>
        <w:rPr>
          <w:rFonts w:hint="eastAsia" w:ascii="宋体" w:hAnsi="宋体" w:eastAsia="宋体" w:cs="宋体"/>
          <w:color w:val="auto"/>
          <w:highlight w:val="none"/>
        </w:rPr>
        <w:t>的投标文件解密、开标结果确认等工作，应按照《操作手册》规定执行。</w:t>
      </w:r>
    </w:p>
    <w:p w14:paraId="585A0B49">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21.4投标人如果对开标过程和开标记录有疑义，应当根据《操作手册》规定提出，如苏采云系统中《开标记录表》宣布后5分钟内未提出的，视同认可开标结果。</w:t>
      </w:r>
    </w:p>
    <w:p w14:paraId="1661D682">
      <w:pPr>
        <w:spacing w:line="440" w:lineRule="exact"/>
        <w:ind w:firstLine="420"/>
        <w:rPr>
          <w:rFonts w:hint="eastAsia" w:ascii="宋体" w:hAnsi="宋体" w:eastAsia="宋体" w:cs="宋体"/>
          <w:color w:val="auto"/>
          <w:highlight w:val="none"/>
        </w:rPr>
      </w:pPr>
      <w:bookmarkStart w:id="136" w:name="_Toc16938547"/>
      <w:bookmarkStart w:id="137" w:name="_Toc513029231"/>
      <w:bookmarkStart w:id="138" w:name="_Toc20823303"/>
      <w:r>
        <w:rPr>
          <w:rFonts w:hint="eastAsia" w:ascii="宋体" w:hAnsi="宋体" w:eastAsia="宋体" w:cs="宋体"/>
          <w:color w:val="auto"/>
          <w:highlight w:val="none"/>
          <w:lang w:eastAsia="zh-CN"/>
        </w:rPr>
        <w:t>22.</w:t>
      </w:r>
      <w:r>
        <w:rPr>
          <w:rFonts w:hint="eastAsia" w:ascii="宋体" w:hAnsi="宋体" w:eastAsia="宋体" w:cs="宋体"/>
          <w:color w:val="auto"/>
          <w:highlight w:val="none"/>
        </w:rPr>
        <w:t>评标委员会</w:t>
      </w:r>
      <w:bookmarkEnd w:id="136"/>
      <w:bookmarkEnd w:id="137"/>
      <w:bookmarkEnd w:id="138"/>
    </w:p>
    <w:p w14:paraId="54AA08B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22.1开标后，</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将立即组织评标委员会（以下简称评委会）进行评标。</w:t>
      </w:r>
    </w:p>
    <w:p w14:paraId="2D2B7F86">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22.2评委会由采购人代表和有关技术、经济等方面的专家组成，且人员构成符合政府采购有关规定。</w:t>
      </w:r>
    </w:p>
    <w:p w14:paraId="1329A16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22.3评委会独立工作，负责评审所有投标文件并确定中标候选人。</w:t>
      </w:r>
    </w:p>
    <w:p w14:paraId="13F58D76">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lang w:eastAsia="zh-CN"/>
        </w:rPr>
        <w:t>23.</w:t>
      </w:r>
      <w:r>
        <w:rPr>
          <w:rFonts w:hint="eastAsia" w:ascii="宋体" w:hAnsi="宋体" w:eastAsia="宋体" w:cs="宋体"/>
          <w:color w:val="auto"/>
          <w:highlight w:val="none"/>
        </w:rPr>
        <w:t>评标过程的保密与公正</w:t>
      </w:r>
    </w:p>
    <w:p w14:paraId="479CCA20">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23.1凡是与审查、澄清、评价和比较投标的有关资料以及授标建议等，采购人、评委、</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均不得向投标人或与评标无关的其他人员透露。</w:t>
      </w:r>
    </w:p>
    <w:p w14:paraId="6E27E794">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23.2在评标过程中，投标人不得以任何行为影响评标过程，否则其投标文件将被作为无效投标文件。</w:t>
      </w:r>
    </w:p>
    <w:p w14:paraId="2D6918E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23.3</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和评标委员会不向未中标的投标人解释未中标原因，也不公布评标过程中的相关细节。</w:t>
      </w:r>
    </w:p>
    <w:p w14:paraId="0DCE88B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23.4采用综合评分法的项目，未中标的投标人可于中标结果公告期限届满之日起通过苏采云系统查看自己的评审得分及排序情况。</w:t>
      </w:r>
      <w:bookmarkStart w:id="139" w:name="_Toc513029232"/>
      <w:bookmarkStart w:id="140" w:name="_Toc16938548"/>
      <w:bookmarkStart w:id="141" w:name="_Toc20823304"/>
    </w:p>
    <w:p w14:paraId="4317101F">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lang w:eastAsia="zh-CN"/>
        </w:rPr>
        <w:t>24.</w:t>
      </w:r>
      <w:r>
        <w:rPr>
          <w:rFonts w:hint="eastAsia" w:ascii="宋体" w:hAnsi="宋体" w:eastAsia="宋体" w:cs="宋体"/>
          <w:color w:val="auto"/>
          <w:highlight w:val="none"/>
        </w:rPr>
        <w:t>投标文件的澄清</w:t>
      </w:r>
      <w:bookmarkEnd w:id="139"/>
      <w:bookmarkEnd w:id="140"/>
      <w:bookmarkEnd w:id="141"/>
    </w:p>
    <w:p w14:paraId="5826F30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24.1评标期间，评委会对投标文件中含义不明确、同类问题表述不一致或者有明显文字和计算错误的内容，有权要求投标人作出必要的澄清、说明或者补正。</w:t>
      </w:r>
    </w:p>
    <w:p w14:paraId="1370708A">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投标人的澄清、说明或者补正不得超出投标文件的范围或者改变投标文件的实质性内容。</w:t>
      </w:r>
    </w:p>
    <w:p w14:paraId="0893E459">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评标委员会并非对每个投标人都做澄清要求。</w:t>
      </w:r>
    </w:p>
    <w:p w14:paraId="313B532A">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7BD7765">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24.3接到评委会澄清、说明和补正要求的投标人如未按规定</w:t>
      </w:r>
      <w:r>
        <w:rPr>
          <w:rFonts w:hint="eastAsia" w:ascii="宋体" w:hAnsi="宋体" w:eastAsia="宋体" w:cs="宋体"/>
          <w:color w:val="auto"/>
          <w:highlight w:val="none"/>
          <w:lang w:eastAsia="zh-CN"/>
        </w:rPr>
        <w:t>作出</w:t>
      </w:r>
      <w:r>
        <w:rPr>
          <w:rFonts w:hint="eastAsia" w:ascii="宋体" w:hAnsi="宋体" w:eastAsia="宋体" w:cs="宋体"/>
          <w:color w:val="auto"/>
          <w:highlight w:val="none"/>
        </w:rPr>
        <w:t>澄清、说明和补正，其风险由投标人自行承担。</w:t>
      </w:r>
    </w:p>
    <w:p w14:paraId="6F6E4D1C">
      <w:pPr>
        <w:spacing w:line="440" w:lineRule="exact"/>
        <w:ind w:firstLine="420"/>
        <w:rPr>
          <w:rFonts w:hint="eastAsia" w:ascii="宋体" w:hAnsi="宋体" w:eastAsia="宋体" w:cs="宋体"/>
          <w:color w:val="auto"/>
          <w:highlight w:val="none"/>
        </w:rPr>
      </w:pPr>
      <w:bookmarkStart w:id="142" w:name="_Toc20823305"/>
      <w:bookmarkStart w:id="143" w:name="_Toc513029233"/>
      <w:bookmarkStart w:id="144" w:name="_Toc16938549"/>
      <w:r>
        <w:rPr>
          <w:rFonts w:hint="eastAsia" w:ascii="宋体" w:hAnsi="宋体" w:eastAsia="宋体" w:cs="宋体"/>
          <w:color w:val="auto"/>
          <w:highlight w:val="none"/>
          <w:lang w:eastAsia="zh-CN"/>
        </w:rPr>
        <w:t>25.</w:t>
      </w:r>
      <w:r>
        <w:rPr>
          <w:rFonts w:hint="eastAsia" w:ascii="宋体" w:hAnsi="宋体" w:eastAsia="宋体" w:cs="宋体"/>
          <w:color w:val="auto"/>
          <w:highlight w:val="none"/>
        </w:rPr>
        <w:t>对投标文件的初审</w:t>
      </w:r>
      <w:bookmarkEnd w:id="142"/>
      <w:bookmarkEnd w:id="143"/>
      <w:bookmarkEnd w:id="144"/>
    </w:p>
    <w:p w14:paraId="07DFCB98">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25.1投标文件初审分为资格审查和符合性审查。</w:t>
      </w:r>
    </w:p>
    <w:p w14:paraId="32B5B53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25.1.1资格审查：依据法律法规和招标文件的规定，由采购人</w:t>
      </w:r>
      <w:r>
        <w:rPr>
          <w:rFonts w:hint="eastAsia" w:ascii="宋体" w:hAnsi="宋体" w:eastAsia="宋体" w:cs="宋体"/>
          <w:color w:val="auto"/>
          <w:highlight w:val="none"/>
          <w:lang w:val="en-US" w:eastAsia="zh-CN"/>
        </w:rPr>
        <w:t>或采购代理机构</w:t>
      </w:r>
      <w:r>
        <w:rPr>
          <w:rFonts w:hint="eastAsia" w:ascii="宋体" w:hAnsi="宋体" w:eastAsia="宋体" w:cs="宋体"/>
          <w:color w:val="auto"/>
          <w:highlight w:val="none"/>
        </w:rPr>
        <w:t>对投标文件中的资格证明文件进行审查。资格审查的结论，采购人</w:t>
      </w:r>
      <w:r>
        <w:rPr>
          <w:rFonts w:hint="eastAsia" w:ascii="宋体" w:hAnsi="宋体" w:eastAsia="宋体" w:cs="宋体"/>
          <w:color w:val="auto"/>
          <w:highlight w:val="none"/>
          <w:lang w:val="en-US" w:eastAsia="zh-CN"/>
        </w:rPr>
        <w:t>或采购代理机构</w:t>
      </w:r>
      <w:r>
        <w:rPr>
          <w:rFonts w:hint="eastAsia" w:ascii="宋体" w:hAnsi="宋体" w:eastAsia="宋体" w:cs="宋体"/>
          <w:color w:val="auto"/>
          <w:highlight w:val="none"/>
        </w:rPr>
        <w:t>以书面形式向评委会进行反馈。</w:t>
      </w:r>
    </w:p>
    <w:p w14:paraId="53F6A8A8">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采购人</w:t>
      </w:r>
      <w:r>
        <w:rPr>
          <w:rFonts w:hint="eastAsia" w:ascii="宋体" w:hAnsi="宋体" w:eastAsia="宋体" w:cs="宋体"/>
          <w:color w:val="auto"/>
          <w:highlight w:val="none"/>
          <w:lang w:val="en-US" w:eastAsia="zh-CN"/>
        </w:rPr>
        <w:t>或采购代理机构</w:t>
      </w:r>
      <w:r>
        <w:rPr>
          <w:rFonts w:hint="eastAsia" w:ascii="宋体" w:hAnsi="宋体" w:eastAsia="宋体" w:cs="宋体"/>
          <w:color w:val="auto"/>
          <w:highlight w:val="none"/>
        </w:rPr>
        <w:t>在进行资格性审查的同时，将在“信用中国”网站（www.creditchina.gov.cn）查询投标人的信用记录，以确定投标人是否具备投标资格</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查询结果留存并归档。</w:t>
      </w:r>
    </w:p>
    <w:p w14:paraId="66436EE0">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接受联合体的项目，两个以上的自然人、法人或者其他组织组成一个联合体，以一个供应商的身份共同参加政府采购活动的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联合体成员存在不良信用记录的，视同联合体存在不良应用记录。</w:t>
      </w:r>
    </w:p>
    <w:p w14:paraId="4B47F636">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25.1.2符合性审查：依据招标文件的规定，由评委会从投标文件的有效性、完整性和对招标文件的响应程度进行审查，以确定是否对招标文件的实质性要求作出响应。</w:t>
      </w:r>
    </w:p>
    <w:p w14:paraId="2693307C">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25.1.3未通过资格审查或符合性审查的投标人，</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将在苏采云系统中告知未通过资格审查或符合性审查的原因，评标结束后，</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将不再告知未通过资格审查和符合性审查的原因。</w:t>
      </w:r>
    </w:p>
    <w:p w14:paraId="7C9A8DFC">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59DA0BB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8C61570">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25.3如果投标文件实质上没有响应招标文件的要求，评委会将予以拒绝，投标人不得通过修改或撤销不符合要求的偏离或保留而使其投标成为实质性响应的投标。</w:t>
      </w:r>
    </w:p>
    <w:p w14:paraId="307BC663">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25.4评委会将对确定为实质性响应的投标进行进一步审核，确定其是否有计算上或累加上的算术错误，修正错误的原则如下：</w:t>
      </w:r>
    </w:p>
    <w:p w14:paraId="4139B846">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（1）投标文件中开标一览表内容与投标文件中相应内容不一致的，以开标一览表为准。</w:t>
      </w:r>
    </w:p>
    <w:p w14:paraId="4BA7F49F">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77C9ED3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39BE7F4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45406C39">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4DEC099B">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0830CB1">
      <w:pPr>
        <w:spacing w:line="440" w:lineRule="exact"/>
        <w:ind w:firstLine="420"/>
        <w:rPr>
          <w:rFonts w:hint="eastAsia" w:ascii="宋体" w:hAnsi="宋体" w:eastAsia="宋体" w:cs="宋体"/>
          <w:color w:val="auto"/>
          <w:highlight w:val="none"/>
        </w:rPr>
      </w:pPr>
      <w:bookmarkStart w:id="145" w:name="_Toc513029234"/>
      <w:bookmarkStart w:id="146" w:name="_Toc16938550"/>
      <w:bookmarkStart w:id="147" w:name="_Toc20823306"/>
      <w:r>
        <w:rPr>
          <w:rFonts w:hint="eastAsia" w:ascii="宋体" w:hAnsi="宋体" w:eastAsia="宋体" w:cs="宋体"/>
          <w:color w:val="auto"/>
          <w:highlight w:val="none"/>
        </w:rPr>
        <w:t>25.6投标人在开、评标全过程中应保持通信畅通，及时登录苏采云系统查阅、答复相关信息，并安排专人与</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及评标委员会联系。</w:t>
      </w:r>
      <w:bookmarkEnd w:id="145"/>
      <w:bookmarkEnd w:id="146"/>
      <w:bookmarkEnd w:id="147"/>
    </w:p>
    <w:p w14:paraId="24A8C03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lang w:eastAsia="zh-CN"/>
        </w:rPr>
        <w:t>26.</w:t>
      </w:r>
      <w:r>
        <w:rPr>
          <w:rFonts w:hint="eastAsia" w:ascii="宋体" w:hAnsi="宋体" w:eastAsia="宋体" w:cs="宋体"/>
          <w:color w:val="auto"/>
          <w:highlight w:val="none"/>
        </w:rPr>
        <w:t>无效投标条款和废标条款</w:t>
      </w:r>
    </w:p>
    <w:p w14:paraId="034B0385">
      <w:pPr>
        <w:spacing w:line="440" w:lineRule="exact"/>
        <w:ind w:firstLine="420"/>
        <w:rPr>
          <w:rFonts w:hint="eastAsia" w:ascii="宋体" w:hAnsi="宋体" w:eastAsia="宋体" w:cs="宋体"/>
          <w:color w:val="auto"/>
          <w:highlight w:val="none"/>
        </w:rPr>
      </w:pPr>
      <w:bookmarkStart w:id="148" w:name="_Toc513029235"/>
      <w:bookmarkStart w:id="149" w:name="_Toc20823307"/>
      <w:bookmarkStart w:id="150" w:name="_Toc16938551"/>
      <w:r>
        <w:rPr>
          <w:rFonts w:hint="eastAsia" w:ascii="宋体" w:hAnsi="宋体" w:eastAsia="宋体" w:cs="宋体"/>
          <w:color w:val="auto"/>
          <w:highlight w:val="none"/>
        </w:rPr>
        <w:t>26.1无效投标条款</w:t>
      </w:r>
      <w:bookmarkEnd w:id="148"/>
      <w:bookmarkEnd w:id="149"/>
      <w:bookmarkEnd w:id="150"/>
    </w:p>
    <w:p w14:paraId="66759B89">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26.1.1投标人在苏采云系统规定的时间内未成功解密电子投标文件的。</w:t>
      </w:r>
    </w:p>
    <w:p w14:paraId="6B0934B0">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26.1.2投标人未按照招标文件要求上传电子投标文件的。</w:t>
      </w:r>
    </w:p>
    <w:p w14:paraId="1C263C40">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26.1.3同一投标人提交两个（含两个）以上不同的投标报价的。</w:t>
      </w:r>
    </w:p>
    <w:p w14:paraId="00652CF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26.1.4投标人不具备招标文件中规定资格要求的。</w:t>
      </w:r>
    </w:p>
    <w:p w14:paraId="06FE14BF">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26.1.5投标人的报价超过了采购预算或最高限价的。</w:t>
      </w:r>
    </w:p>
    <w:p w14:paraId="48BC7552">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26.1.6未通过符合性审查的。</w:t>
      </w:r>
    </w:p>
    <w:p w14:paraId="6BE0AD17">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26.1.7不符合招标文件中规定的实质性要求和条件的</w:t>
      </w:r>
      <w:r>
        <w:rPr>
          <w:rFonts w:hint="eastAsia" w:ascii="宋体" w:hAnsi="宋体" w:eastAsia="宋体" w:cs="宋体"/>
          <w:b w:val="0"/>
          <w:bCs w:val="0"/>
          <w:i/>
          <w:iCs/>
          <w:color w:val="auto"/>
          <w:highlight w:val="none"/>
          <w:u w:val="single"/>
        </w:rPr>
        <w:t>（本招标文件中斜体且有下划线部分为实质性要求和条件）</w:t>
      </w:r>
      <w:r>
        <w:rPr>
          <w:rFonts w:hint="eastAsia" w:ascii="宋体" w:hAnsi="宋体" w:eastAsia="宋体" w:cs="宋体"/>
          <w:color w:val="auto"/>
          <w:highlight w:val="none"/>
        </w:rPr>
        <w:t>。</w:t>
      </w:r>
    </w:p>
    <w:p w14:paraId="4756FD56">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9729C5D">
      <w:pPr>
        <w:keepNext w:val="0"/>
        <w:keepLines w:val="0"/>
        <w:pageBreakBefore w:val="0"/>
        <w:widowControl w:val="0"/>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26.1.9投标文件含有采购人不能接受的附加条件的。</w:t>
      </w:r>
    </w:p>
    <w:p w14:paraId="57ED7603">
      <w:pPr>
        <w:keepNext w:val="0"/>
        <w:keepLines w:val="0"/>
        <w:pageBreakBefore w:val="0"/>
        <w:widowControl w:val="0"/>
        <w:spacing w:line="440" w:lineRule="exact"/>
        <w:ind w:firstLine="42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26.1.10投标人不能证明其报价合理性的，评标委员会应当将其作为无效投标处理。</w:t>
      </w:r>
    </w:p>
    <w:p w14:paraId="2DD134A6">
      <w:pPr>
        <w:keepNext w:val="0"/>
        <w:keepLines w:val="0"/>
        <w:pageBreakBefore w:val="0"/>
        <w:widowControl w:val="0"/>
        <w:spacing w:line="440" w:lineRule="exact"/>
        <w:ind w:firstLine="420"/>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（一）评审过程中出现下列情形之一的，评标委员会应当启动异常低价投标审查程序：</w:t>
      </w:r>
    </w:p>
    <w:p w14:paraId="6F0641BE">
      <w:pPr>
        <w:keepNext w:val="0"/>
        <w:keepLines w:val="0"/>
        <w:pageBreakBefore w:val="0"/>
        <w:widowControl w:val="0"/>
        <w:spacing w:line="440" w:lineRule="exact"/>
        <w:ind w:firstLine="420"/>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1.投标报价低于采购项目预算50%的，即投标报价&lt;采购项目预算×50%；</w:t>
      </w:r>
    </w:p>
    <w:p w14:paraId="3A08C3BA">
      <w:pPr>
        <w:keepNext w:val="0"/>
        <w:keepLines w:val="0"/>
        <w:pageBreakBefore w:val="0"/>
        <w:widowControl w:val="0"/>
        <w:spacing w:line="440" w:lineRule="exact"/>
        <w:ind w:firstLine="420"/>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2.投标报价低于采购项目最高限价45%的，即投标报价</w:t>
      </w:r>
      <w:r>
        <w:rPr>
          <w:rFonts w:hint="eastAsia" w:ascii="宋体" w:hAnsi="宋体" w:eastAsia="宋体" w:cs="宋体"/>
          <w:b/>
          <w:bCs/>
          <w:i/>
          <w:iCs/>
          <w:color w:val="auto"/>
          <w:sz w:val="21"/>
          <w:szCs w:val="21"/>
          <w:highlight w:val="none"/>
          <w:u w:val="single"/>
          <w:lang w:eastAsia="zh-CN"/>
        </w:rPr>
        <w:t>〈</w:t>
      </w:r>
      <w:r>
        <w:rPr>
          <w:rFonts w:hint="eastAsia" w:ascii="宋体" w:hAnsi="宋体" w:eastAsia="宋体" w:cs="宋体"/>
          <w:b/>
          <w:bCs/>
          <w:i/>
          <w:iCs/>
          <w:color w:val="auto"/>
          <w:sz w:val="21"/>
          <w:szCs w:val="21"/>
          <w:highlight w:val="none"/>
          <w:u w:val="single"/>
        </w:rPr>
        <w:t>采购项目最高限价×45%；</w:t>
      </w:r>
    </w:p>
    <w:p w14:paraId="59EB960B">
      <w:pPr>
        <w:keepNext w:val="0"/>
        <w:keepLines w:val="0"/>
        <w:pageBreakBefore w:val="0"/>
        <w:widowControl w:val="0"/>
        <w:spacing w:line="440" w:lineRule="exact"/>
        <w:ind w:firstLine="420"/>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3.评标委员会认定的供应商报价过低、有可能影响产品质量或者不能诚信履约的其他情形。</w:t>
      </w:r>
    </w:p>
    <w:p w14:paraId="1B0AE7C4">
      <w:pPr>
        <w:keepNext w:val="0"/>
        <w:keepLines w:val="0"/>
        <w:pageBreakBefore w:val="0"/>
        <w:widowControl w:val="0"/>
        <w:spacing w:line="440" w:lineRule="exact"/>
        <w:ind w:firstLine="420"/>
        <w:rPr>
          <w:rFonts w:hint="eastAsia" w:ascii="宋体" w:hAnsi="宋体" w:eastAsia="宋体" w:cs="宋体"/>
          <w:b w:val="0"/>
          <w:bCs w:val="0"/>
          <w:i/>
          <w:iCs/>
          <w:color w:val="auto"/>
          <w:sz w:val="21"/>
          <w:szCs w:val="21"/>
          <w:highlight w:val="none"/>
          <w:u w:val="single"/>
        </w:rPr>
      </w:pPr>
      <w:r>
        <w:rPr>
          <w:rFonts w:hint="eastAsia" w:ascii="宋体" w:hAnsi="宋体" w:eastAsia="宋体" w:cs="宋体"/>
          <w:b/>
          <w:bCs/>
          <w:i/>
          <w:iCs/>
          <w:color w:val="auto"/>
          <w:sz w:val="21"/>
          <w:szCs w:val="21"/>
          <w:highlight w:val="none"/>
          <w:u w:val="single"/>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b w:val="0"/>
          <w:bCs w:val="0"/>
          <w:i/>
          <w:iCs/>
          <w:color w:val="auto"/>
          <w:sz w:val="21"/>
          <w:szCs w:val="21"/>
          <w:highlight w:val="none"/>
          <w:u w:val="single"/>
        </w:rPr>
        <w:t>。</w:t>
      </w:r>
    </w:p>
    <w:p w14:paraId="17B5A81B">
      <w:pPr>
        <w:keepNext w:val="0"/>
        <w:keepLines w:val="0"/>
        <w:pageBreakBefore w:val="0"/>
        <w:widowControl w:val="0"/>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26.1.11投标文件未按照招标文件要求加盖CA电子公章的。</w:t>
      </w:r>
    </w:p>
    <w:p w14:paraId="6C676669">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26.1.12其他</w:t>
      </w:r>
      <w:r>
        <w:rPr>
          <w:rFonts w:hint="eastAsia" w:ascii="宋体" w:hAnsi="宋体" w:eastAsia="宋体" w:cs="宋体"/>
          <w:color w:val="auto"/>
          <w:highlight w:val="none"/>
          <w:lang w:eastAsia="zh-CN"/>
        </w:rPr>
        <w:t>法律法规</w:t>
      </w:r>
      <w:r>
        <w:rPr>
          <w:rFonts w:hint="eastAsia" w:ascii="宋体" w:hAnsi="宋体" w:eastAsia="宋体" w:cs="宋体"/>
          <w:color w:val="auto"/>
          <w:highlight w:val="none"/>
        </w:rPr>
        <w:t>及本招标文件规定的</w:t>
      </w:r>
      <w:r>
        <w:rPr>
          <w:rFonts w:hint="eastAsia" w:ascii="宋体" w:hAnsi="宋体" w:eastAsia="宋体" w:cs="宋体"/>
          <w:color w:val="auto"/>
          <w:highlight w:val="none"/>
          <w:lang w:eastAsia="zh-CN"/>
        </w:rPr>
        <w:t>属于</w:t>
      </w:r>
      <w:r>
        <w:rPr>
          <w:rFonts w:hint="eastAsia" w:ascii="宋体" w:hAnsi="宋体" w:eastAsia="宋体" w:cs="宋体"/>
          <w:color w:val="auto"/>
          <w:highlight w:val="none"/>
        </w:rPr>
        <w:t>无效投标的情形。</w:t>
      </w:r>
    </w:p>
    <w:p w14:paraId="3275449B">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26.2废标条款</w:t>
      </w:r>
    </w:p>
    <w:p w14:paraId="4489CEA9">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26.2.1符合专业条件的供应商或者对招标文件作实质响应的供应商不足三家的。</w:t>
      </w:r>
    </w:p>
    <w:p w14:paraId="3A45C198">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26.2.2出现影响采购公正的违法、违规行为的。</w:t>
      </w:r>
    </w:p>
    <w:p w14:paraId="68CF465C">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26.2.3因重大变故，采购任务取消的。</w:t>
      </w:r>
    </w:p>
    <w:p w14:paraId="4316DC6B">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26.2.4评标委员会认定招标文件存在歧义、重大缺陷导致评审工作无法进行。</w:t>
      </w:r>
    </w:p>
    <w:p w14:paraId="3CE0AAED">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26.2.5因苏采云</w:t>
      </w:r>
      <w:r>
        <w:rPr>
          <w:rFonts w:hint="eastAsia" w:ascii="宋体" w:hAnsi="宋体" w:eastAsia="宋体" w:cs="宋体"/>
          <w:color w:val="auto"/>
          <w:highlight w:val="none"/>
          <w:lang w:eastAsia="zh-CN"/>
        </w:rPr>
        <w:t>系统故障</w:t>
      </w:r>
      <w:r>
        <w:rPr>
          <w:rFonts w:hint="eastAsia" w:ascii="宋体" w:hAnsi="宋体" w:eastAsia="宋体" w:cs="宋体"/>
          <w:color w:val="auto"/>
          <w:highlight w:val="none"/>
        </w:rPr>
        <w:t>原因造成开标不成功的。</w:t>
      </w:r>
    </w:p>
    <w:p w14:paraId="53B3D955">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26.3 投标截止时间结束后参加投标的供应商不足三家的处理：</w:t>
      </w:r>
    </w:p>
    <w:p w14:paraId="59F529F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26.3.1如出现投标截止时间结束后参加投标的供应商或者在评标期间对招标文件做出实质响应的供应商不足三家情况，按政府采购相关规定执行。</w:t>
      </w:r>
    </w:p>
    <w:p w14:paraId="5FE6F1F9">
      <w:pPr>
        <w:spacing w:line="440" w:lineRule="exact"/>
        <w:ind w:firstLine="422"/>
        <w:rPr>
          <w:rFonts w:hint="eastAsia" w:ascii="宋体" w:hAnsi="宋体" w:eastAsia="宋体" w:cs="宋体"/>
          <w:b/>
          <w:bCs/>
          <w:color w:val="auto"/>
          <w:highlight w:val="none"/>
        </w:rPr>
      </w:pPr>
      <w:bookmarkStart w:id="151" w:name="_Toc120614219"/>
      <w:r>
        <w:rPr>
          <w:rFonts w:hint="eastAsia" w:ascii="宋体" w:hAnsi="宋体" w:eastAsia="宋体" w:cs="宋体"/>
          <w:b/>
          <w:bCs/>
          <w:color w:val="auto"/>
          <w:highlight w:val="none"/>
        </w:rPr>
        <w:t>六、定标</w:t>
      </w:r>
      <w:bookmarkEnd w:id="151"/>
    </w:p>
    <w:p w14:paraId="468601D4">
      <w:pPr>
        <w:spacing w:line="440" w:lineRule="exact"/>
        <w:ind w:firstLine="420"/>
        <w:rPr>
          <w:rFonts w:hint="eastAsia" w:ascii="宋体" w:hAnsi="宋体" w:eastAsia="宋体" w:cs="宋体"/>
          <w:color w:val="auto"/>
          <w:highlight w:val="none"/>
        </w:rPr>
      </w:pPr>
      <w:bookmarkStart w:id="152" w:name="_Toc20823310"/>
      <w:bookmarkStart w:id="153" w:name="_Toc513029238"/>
      <w:bookmarkStart w:id="154" w:name="_Toc16938554"/>
      <w:r>
        <w:rPr>
          <w:rFonts w:hint="eastAsia" w:ascii="宋体" w:hAnsi="宋体" w:eastAsia="宋体" w:cs="宋体"/>
          <w:color w:val="auto"/>
          <w:highlight w:val="none"/>
          <w:lang w:eastAsia="zh-CN"/>
        </w:rPr>
        <w:t>27.</w:t>
      </w:r>
      <w:bookmarkEnd w:id="152"/>
      <w:r>
        <w:rPr>
          <w:rFonts w:hint="eastAsia" w:ascii="宋体" w:hAnsi="宋体" w:eastAsia="宋体" w:cs="宋体"/>
          <w:color w:val="auto"/>
          <w:highlight w:val="none"/>
        </w:rPr>
        <w:t>确定</w:t>
      </w:r>
      <w:bookmarkEnd w:id="153"/>
      <w:bookmarkEnd w:id="154"/>
      <w:r>
        <w:rPr>
          <w:rFonts w:hint="eastAsia" w:ascii="宋体" w:hAnsi="宋体" w:eastAsia="宋体" w:cs="宋体"/>
          <w:color w:val="auto"/>
          <w:highlight w:val="none"/>
        </w:rPr>
        <w:t>中标单位</w:t>
      </w:r>
    </w:p>
    <w:p w14:paraId="3E53F7CC">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p>
    <w:p w14:paraId="5B5B01DA">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27.2采购人应根据评委会推荐的中标候选人确定中标人。</w:t>
      </w:r>
    </w:p>
    <w:p w14:paraId="3A353FC5">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27.3</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将在“中国政府采购网</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江苏政府采购网</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盐城市政府采购网</w:t>
      </w:r>
      <w:r>
        <w:rPr>
          <w:rFonts w:hint="eastAsia" w:ascii="宋体" w:hAnsi="宋体" w:eastAsia="宋体" w:cs="宋体"/>
          <w:color w:val="auto"/>
          <w:highlight w:val="none"/>
          <w:lang w:eastAsia="zh-CN"/>
        </w:rPr>
        <w:t>”“</w:t>
      </w:r>
      <w:r>
        <w:rPr>
          <w:rFonts w:hint="eastAsia" w:ascii="宋体" w:hAnsi="宋体" w:eastAsia="宋体" w:cs="宋体"/>
          <w:color w:val="auto"/>
          <w:szCs w:val="21"/>
          <w:highlight w:val="none"/>
        </w:rPr>
        <w:t>阜宁县公共资源电子化服务平台”</w:t>
      </w:r>
      <w:r>
        <w:rPr>
          <w:rFonts w:hint="eastAsia" w:ascii="宋体" w:hAnsi="宋体" w:eastAsia="宋体" w:cs="宋体"/>
          <w:color w:val="auto"/>
          <w:highlight w:val="none"/>
        </w:rPr>
        <w:t>发布中标公告，公告期限为1个工作日。</w:t>
      </w:r>
    </w:p>
    <w:p w14:paraId="083A17CB">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27.4若有充分证据证明，中标人出现下列情况之一的，一经查实，将被取消中标资格：</w:t>
      </w:r>
    </w:p>
    <w:p w14:paraId="56EA5A4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27.4.1提供虚假材料谋取中标的。</w:t>
      </w:r>
    </w:p>
    <w:p w14:paraId="769F6304">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27.4.2向采购人、</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行贿或者提供其他不正当利益的。</w:t>
      </w:r>
    </w:p>
    <w:p w14:paraId="0B856A5B">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27.4.3属于本文件规定的无效条件，但在评标过程中又未被评委会发现的。</w:t>
      </w:r>
    </w:p>
    <w:p w14:paraId="64350685">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27.4.4与采购人或者其他供应商恶意串通的。</w:t>
      </w:r>
    </w:p>
    <w:p w14:paraId="46D04AB8">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27.4.5采取不正当手段诋毁、排挤其他供应商的。</w:t>
      </w:r>
    </w:p>
    <w:p w14:paraId="5B12BDE1">
      <w:pPr>
        <w:spacing w:line="440" w:lineRule="exact"/>
        <w:ind w:firstLine="420"/>
        <w:rPr>
          <w:rFonts w:hint="eastAsia" w:ascii="宋体" w:hAnsi="宋体" w:eastAsia="宋体" w:cs="宋体"/>
          <w:color w:val="auto"/>
          <w:highlight w:val="none"/>
        </w:rPr>
      </w:pPr>
      <w:bookmarkStart w:id="155" w:name="_Toc200451960"/>
      <w:r>
        <w:rPr>
          <w:rFonts w:hint="eastAsia" w:ascii="宋体" w:hAnsi="宋体" w:eastAsia="宋体" w:cs="宋体"/>
          <w:color w:val="auto"/>
          <w:highlight w:val="none"/>
        </w:rPr>
        <w:t>27.5 有下列情形之一的，视为投标人串通投标，投标无效：</w:t>
      </w:r>
      <w:bookmarkEnd w:id="155"/>
    </w:p>
    <w:p w14:paraId="34105F76">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27.5.1不同投标人的投标文件由同一单位或者个人编制。</w:t>
      </w:r>
    </w:p>
    <w:p w14:paraId="49CF44AC">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27.5.2不同投标人委托同一单位或者个人办理投标事宜。</w:t>
      </w:r>
    </w:p>
    <w:p w14:paraId="220111C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27.5.3不同投标人的投标文件载明的项目管理成员或者联系人员为同一人。</w:t>
      </w:r>
    </w:p>
    <w:p w14:paraId="7B270067">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27.5.4不同投标人的投标文件异常一致或者投标报价呈规律性差异。</w:t>
      </w:r>
    </w:p>
    <w:p w14:paraId="713E3E33">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lang w:eastAsia="zh-CN"/>
        </w:rPr>
        <w:t>28.</w:t>
      </w:r>
      <w:r>
        <w:rPr>
          <w:rFonts w:hint="eastAsia" w:ascii="宋体" w:hAnsi="宋体" w:eastAsia="宋体" w:cs="宋体"/>
          <w:color w:val="auto"/>
          <w:highlight w:val="none"/>
        </w:rPr>
        <w:t>质疑处理</w:t>
      </w:r>
    </w:p>
    <w:p w14:paraId="219B7954">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28.1提出质疑的供应商应当是参与所质疑项目采购活动的供应商。潜在供应商依法获取其可质疑的采购文件的，可以对采购文件提出质疑。</w:t>
      </w:r>
    </w:p>
    <w:p w14:paraId="5DE01169">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或采购人提出质疑。上述应知其权益受到损害之日，是指：</w:t>
      </w:r>
    </w:p>
    <w:p w14:paraId="5C448BD9">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28.2.1对可以质疑的采购文件提出质疑的，为收到采购文件之日或者采购文件公告期限届满之日；</w:t>
      </w:r>
    </w:p>
    <w:p w14:paraId="340C21A5">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28.2.2对采购过程提出质疑的，为各采购程序环节结束之日；</w:t>
      </w:r>
    </w:p>
    <w:p w14:paraId="0160B0F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28.2.3对中标或者成交结果提出质疑的，为中标或者成交结果公告期限届满之日。</w:t>
      </w:r>
    </w:p>
    <w:p w14:paraId="301DBB02">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、采购人将只对供应商第一次质疑作出答复。</w:t>
      </w:r>
    </w:p>
    <w:p w14:paraId="5DB07312">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21FBEC2D">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提出，由</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负责答复。</w:t>
      </w:r>
    </w:p>
    <w:p w14:paraId="2C0AF1AD">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及采购人只接收以纸质原件形式送达的质疑</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采购人和</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不接受未填写快递运单的快件。</w:t>
      </w:r>
    </w:p>
    <w:p w14:paraId="4D08357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28.5 以下情形的质疑不予受理</w:t>
      </w:r>
    </w:p>
    <w:p w14:paraId="00588A02">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28.5.1内容不符合《政府采购质疑和投诉办法》第十二条规定的质疑。</w:t>
      </w:r>
    </w:p>
    <w:p w14:paraId="184AB715">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28.5.2超出政府采购法定期限的质疑。</w:t>
      </w:r>
    </w:p>
    <w:p w14:paraId="3B4ACC1C">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28.5.3以传真、电子邮件等方式递交的非原件形式的质疑。</w:t>
      </w:r>
    </w:p>
    <w:p w14:paraId="3B6879D6">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28.5.4未参加投标活动的供应商或在投标活动中自身权益未受到损害的供应商所提出的质疑。</w:t>
      </w:r>
    </w:p>
    <w:p w14:paraId="2FA61540">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28.5.5供应商组成联合体参加投标，联合体中任何一方或多方未按要求签字、盖章、加盖公章的质疑。</w:t>
      </w:r>
    </w:p>
    <w:p w14:paraId="278401C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28.6供应商提出书面质疑必须有理、有据，不得捏造事实、提供虚假材料进行恶意质疑。否则，一经查实，</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有权依据政府采购的有关规定，报请政府采购监管部门对该供应商进行相应的行政处罚和记录该供应商的失信信息。</w:t>
      </w:r>
    </w:p>
    <w:p w14:paraId="59CE47C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lang w:eastAsia="zh-CN"/>
        </w:rPr>
        <w:t>29.</w:t>
      </w:r>
      <w:r>
        <w:rPr>
          <w:rFonts w:hint="eastAsia" w:ascii="宋体" w:hAnsi="宋体" w:eastAsia="宋体" w:cs="宋体"/>
          <w:color w:val="auto"/>
          <w:highlight w:val="none"/>
        </w:rPr>
        <w:t>中标通知书</w:t>
      </w:r>
    </w:p>
    <w:p w14:paraId="1BE94E1C">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29.l中标结果确定后，</w:t>
      </w:r>
      <w:r>
        <w:rPr>
          <w:rFonts w:hint="eastAsia" w:ascii="宋体" w:hAnsi="宋体" w:eastAsia="宋体" w:cs="宋体"/>
          <w:color w:val="auto"/>
          <w:highlight w:val="none"/>
          <w:lang w:eastAsia="zh-CN"/>
        </w:rPr>
        <w:t>代理机构</w:t>
      </w:r>
      <w:r>
        <w:rPr>
          <w:rFonts w:hint="eastAsia" w:ascii="宋体" w:hAnsi="宋体" w:eastAsia="宋体" w:cs="宋体"/>
          <w:color w:val="auto"/>
          <w:highlight w:val="none"/>
        </w:rPr>
        <w:t>将向中标人发出中标通知书。请中标人在中标结果公告届满之日起30日内</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因未及时下载而造成的不利后果由中标人自行承担。</w:t>
      </w:r>
    </w:p>
    <w:p w14:paraId="4A89F777">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29.2中标通知书将是合同的一个组成部分。对采购人和中标人均具有法律效力。中标通知书发出后，采购人改变中标结果的，或者中标人放弃中标项目的，应当依法承担法律责任。</w:t>
      </w:r>
    </w:p>
    <w:p w14:paraId="483D783E">
      <w:pPr>
        <w:spacing w:line="440" w:lineRule="exact"/>
        <w:ind w:firstLine="422"/>
        <w:rPr>
          <w:rFonts w:hint="eastAsia" w:ascii="宋体" w:hAnsi="宋体" w:eastAsia="宋体" w:cs="宋体"/>
          <w:b/>
          <w:bCs/>
          <w:color w:val="auto"/>
          <w:highlight w:val="none"/>
        </w:rPr>
      </w:pPr>
      <w:bookmarkStart w:id="156" w:name="_Toc513029236"/>
      <w:bookmarkStart w:id="157" w:name="_Toc20823308"/>
      <w:bookmarkStart w:id="158" w:name="_Toc120614220"/>
      <w:bookmarkStart w:id="159" w:name="_Toc16938552"/>
      <w:r>
        <w:rPr>
          <w:rFonts w:hint="eastAsia" w:ascii="宋体" w:hAnsi="宋体" w:eastAsia="宋体" w:cs="宋体"/>
          <w:b/>
          <w:bCs/>
          <w:color w:val="auto"/>
          <w:highlight w:val="none"/>
        </w:rPr>
        <w:t>七、授予合同</w:t>
      </w:r>
      <w:bookmarkEnd w:id="156"/>
      <w:bookmarkEnd w:id="157"/>
      <w:bookmarkEnd w:id="158"/>
      <w:bookmarkEnd w:id="159"/>
    </w:p>
    <w:p w14:paraId="642827FB">
      <w:pPr>
        <w:spacing w:line="440" w:lineRule="exact"/>
        <w:ind w:firstLine="420"/>
        <w:rPr>
          <w:rFonts w:hint="eastAsia" w:ascii="宋体" w:hAnsi="宋体" w:eastAsia="宋体" w:cs="宋体"/>
          <w:color w:val="auto"/>
          <w:highlight w:val="none"/>
        </w:rPr>
      </w:pPr>
      <w:bookmarkStart w:id="160" w:name="_Toc20823309"/>
      <w:bookmarkStart w:id="161" w:name="_Toc513029237"/>
      <w:bookmarkStart w:id="162" w:name="_Toc16938553"/>
      <w:r>
        <w:rPr>
          <w:rFonts w:hint="eastAsia" w:ascii="宋体" w:hAnsi="宋体" w:eastAsia="宋体" w:cs="宋体"/>
          <w:color w:val="auto"/>
          <w:highlight w:val="none"/>
        </w:rPr>
        <w:t>30.签订合同</w:t>
      </w:r>
      <w:bookmarkEnd w:id="160"/>
      <w:bookmarkEnd w:id="161"/>
      <w:bookmarkEnd w:id="162"/>
    </w:p>
    <w:p w14:paraId="3C2E4D07">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30.l中标人应当在中标通知书发出之日起三十日内，按照招标文件确定的事项与采购人签订政府采购合同。</w:t>
      </w:r>
    </w:p>
    <w:p w14:paraId="40B8E97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30.2招标文件、中标人的投标文件及招标过程中有关澄清、承诺文件均应作为合同附件。</w:t>
      </w:r>
    </w:p>
    <w:p w14:paraId="7DC7EC37">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30.3签订合同后，</w:t>
      </w:r>
      <w:r>
        <w:rPr>
          <w:rFonts w:hint="eastAsia" w:ascii="宋体" w:hAnsi="宋体" w:eastAsia="宋体" w:cs="宋体"/>
          <w:i/>
          <w:iCs/>
          <w:color w:val="auto"/>
          <w:highlight w:val="none"/>
          <w:u w:val="single"/>
        </w:rPr>
        <w:t>中标人不得将合同标的进行转包</w:t>
      </w:r>
      <w:r>
        <w:rPr>
          <w:rFonts w:hint="eastAsia" w:ascii="宋体" w:hAnsi="宋体" w:eastAsia="宋体" w:cs="宋体"/>
          <w:color w:val="auto"/>
          <w:highlight w:val="none"/>
        </w:rPr>
        <w:t>。未经采购人同意，中标人也不得采用分包的形式履行合同，否则采购人有权终止合同。转包或分包造成采购人损失的，中标人应承担相应赔偿责任。</w:t>
      </w:r>
    </w:p>
    <w:p w14:paraId="4D0DCA73">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lang w:eastAsia="zh-CN"/>
        </w:rPr>
        <w:t>31.</w:t>
      </w:r>
      <w:r>
        <w:rPr>
          <w:rFonts w:hint="eastAsia" w:ascii="宋体" w:hAnsi="宋体" w:eastAsia="宋体" w:cs="宋体"/>
          <w:color w:val="auto"/>
          <w:highlight w:val="none"/>
        </w:rPr>
        <w:t>服务（包含与服务相关的货物）的追加</w:t>
      </w:r>
    </w:p>
    <w:p w14:paraId="4DFA016A">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0CEE240">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32.政府采购政策功能落实</w:t>
      </w:r>
    </w:p>
    <w:p w14:paraId="11577F0B">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32.1政府采购线上合同信用融资政策</w:t>
      </w:r>
    </w:p>
    <w:p w14:paraId="1D14CA07">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根据《转发江苏省财政厅 中国人民银行南京分行</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关于深入推进政府采购线上合同信用融资工作的通知</w:t>
      </w:r>
      <w:r>
        <w:rPr>
          <w:rFonts w:hint="eastAsia" w:ascii="宋体" w:hAnsi="宋体" w:eastAsia="宋体" w:cs="宋体"/>
          <w:color w:val="auto"/>
          <w:highlight w:val="none"/>
          <w:lang w:eastAsia="zh-CN"/>
        </w:rPr>
        <w:t>〉的通知》</w:t>
      </w:r>
      <w:r>
        <w:rPr>
          <w:rFonts w:hint="eastAsia" w:ascii="宋体" w:hAnsi="宋体" w:eastAsia="宋体" w:cs="宋体"/>
          <w:color w:val="auto"/>
          <w:highlight w:val="none"/>
        </w:rPr>
        <w:t>（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w:t>
      </w:r>
      <w:r>
        <w:rPr>
          <w:rFonts w:hint="eastAsia" w:ascii="宋体" w:hAnsi="宋体" w:eastAsia="宋体" w:cs="宋体"/>
          <w:color w:val="auto"/>
          <w:highlight w:val="none"/>
          <w:lang w:eastAsia="zh-CN"/>
        </w:rPr>
        <w:t>系统</w:t>
      </w:r>
      <w:r>
        <w:rPr>
          <w:rFonts w:hint="eastAsia" w:ascii="宋体" w:hAnsi="宋体" w:eastAsia="宋体" w:cs="宋体"/>
          <w:color w:val="auto"/>
          <w:highlight w:val="none"/>
        </w:rPr>
        <w:t>操作手册。 </w:t>
      </w:r>
    </w:p>
    <w:p w14:paraId="00D8F2C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32.2进口产品</w:t>
      </w:r>
    </w:p>
    <w:p w14:paraId="3616BDA3">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1AADC2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32.3中小企业、监狱企业及残疾人福利性单位</w:t>
      </w:r>
    </w:p>
    <w:p w14:paraId="00D227B2">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32.3.1中小企业定义：</w:t>
      </w:r>
    </w:p>
    <w:p w14:paraId="2C8B628C">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政府采购促进中小企业发展管理办法》（财库〔2020〕46号）、《关于印发中小企业划型标准规定的通知》（工信部联企业〔2011〕300 号）、《国务院关于进一步促进中小企业发展的若干意见》（国发〔2009〕36 号）。</w:t>
      </w:r>
    </w:p>
    <w:p w14:paraId="1123658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32.3.2供应商提供的货物、工程或者服务符合下列情形的，享受中小企业扶持政策：</w:t>
      </w:r>
    </w:p>
    <w:p w14:paraId="136AFFFB">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32.3.2.1在货物采购项目中，货物由中小企业制造，即货物由中小企业生产且使用该中小企业商号或者注册商标；</w:t>
      </w:r>
    </w:p>
    <w:p w14:paraId="5933CE2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32.3.2.2在工程采购项目中，工程由中小企业承建，即工程施工单位为中小企业；</w:t>
      </w:r>
    </w:p>
    <w:p w14:paraId="58A06999">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32.3.2.3在服务采购项目中，服务由中小企业承接，即提供服务的人员为中小企业依照《中华人民共和国劳动合同法》订立劳动合同的从业人员。</w:t>
      </w:r>
    </w:p>
    <w:p w14:paraId="411877D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32.3.3在货物采购项目中，供应商提供的货物既有中小企业制造货物，也有大型企业制造货物的，不享受中小企业扶持政策。</w:t>
      </w:r>
    </w:p>
    <w:p w14:paraId="650868D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32.3.4以联合体形式参加政府采购活动，联合体各方均为中小企业的，联合体视同中小企业。其中，联合体各方均为小微企业的，联合体视同小微企业。</w:t>
      </w:r>
    </w:p>
    <w:p w14:paraId="1CBCB8A0">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6E73338">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32.3.6残疾人福利单位定义：享受政府采购支持政策的残疾人福利性单位应当同时满足以下条件：</w:t>
      </w:r>
    </w:p>
    <w:p w14:paraId="25ABE9B3">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32.3.6.1安置的残疾人占本单位在职职工人数的比例不低于25%（含25%），并且安置的残疾人人数不少于10 人（含10 人）；</w:t>
      </w:r>
    </w:p>
    <w:p w14:paraId="29206C58">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32.3.6.2依法与安置的每位残疾人签订了一年以上（含一年）的劳动合同或服务协议；</w:t>
      </w:r>
    </w:p>
    <w:p w14:paraId="71ED6452">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32.3.6.3为安置的每位残疾人按月足额缴纳了基本养老保险、基本医疗保险、失业保险、工伤保险和生育保险等社会保险费；</w:t>
      </w:r>
    </w:p>
    <w:p w14:paraId="7FB3EA0F">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32.3.6.4通过银行等金融机构向安置的每位残疾人，按月支付了不低于单位所在区县适用的经省级人民政府批准的月最低工资标准的工资；</w:t>
      </w:r>
    </w:p>
    <w:p w14:paraId="153236CF">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32.3.6.5提供本单位制造的货物、承担的工程或者服务（以下简称产品），或者提供其他残疾人福利性单位制造的货物（不包括使用非残疾人福利性单位注册商标的货物）；</w:t>
      </w:r>
    </w:p>
    <w:p w14:paraId="0125CBB8">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0A0D73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32.3.7本项目是否专门面向中小企业预留采购份额见第一章《招标公告》。</w:t>
      </w:r>
    </w:p>
    <w:p w14:paraId="4A96E4B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32.3.8采购标的对应的中小企业划分标准所属行业见第四章《采购需求》。</w:t>
      </w:r>
    </w:p>
    <w:p w14:paraId="2ADEE095">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32.3.9小微企业价格评审优惠的政策：见第五章《评标方法和评标标准》。</w:t>
      </w:r>
    </w:p>
    <w:p w14:paraId="2D3DDBCB">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32.4政府采购节能产品、环境标志产品</w:t>
      </w:r>
    </w:p>
    <w:p w14:paraId="60B15163">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color w:val="auto"/>
          <w:highlight w:val="none"/>
          <w:u w:val="single"/>
        </w:rPr>
        <w:t>如属政府强制采购产品未提供认证证书的或认证证书提供不全的将视为未实质性响应采购要求</w:t>
      </w:r>
      <w:r>
        <w:rPr>
          <w:rFonts w:hint="eastAsia" w:ascii="宋体" w:hAnsi="宋体" w:eastAsia="宋体" w:cs="宋体"/>
          <w:color w:val="auto"/>
          <w:highlight w:val="none"/>
        </w:rPr>
        <w:t>。其他条件相同情况下，应当优先采购节能产品、环境标志产品。</w:t>
      </w:r>
    </w:p>
    <w:p w14:paraId="08F6260A">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837B09E">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32.5绿色包装</w:t>
      </w:r>
    </w:p>
    <w:p w14:paraId="6EBE5BF1">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本项目中涉及商品的包装应按照“财办库〔2020〕123号《关于印发《商品包装政府采购需求标准（试行）</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快递包装政府采购需求标准（试行）》的通知》”执行</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在供货、安装过程中能做到低碳物流、环保节约、提高资源利用率。</w:t>
      </w:r>
    </w:p>
    <w:p w14:paraId="480C2850">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32.6政府采购创新产品</w:t>
      </w:r>
    </w:p>
    <w:p w14:paraId="3BEBC153">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采购人优先采购各级政府部门公开发布的有效期内的创新产品、创新服务、首台套、首购首用等《目录》的创新产品。</w:t>
      </w:r>
    </w:p>
    <w:p w14:paraId="72452C35">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32.7绿色数据中心政策 </w:t>
      </w:r>
    </w:p>
    <w:p w14:paraId="6C7327FA">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本文件中若</w:t>
      </w:r>
      <w:r>
        <w:rPr>
          <w:rFonts w:hint="eastAsia" w:ascii="宋体" w:hAnsi="宋体" w:eastAsia="宋体" w:cs="宋体"/>
          <w:color w:val="auto"/>
          <w:highlight w:val="none"/>
          <w:lang w:eastAsia="zh-CN"/>
        </w:rPr>
        <w:t>涉及</w:t>
      </w:r>
      <w:r>
        <w:rPr>
          <w:rFonts w:hint="eastAsia" w:ascii="宋体" w:hAnsi="宋体" w:eastAsia="宋体" w:cs="宋体"/>
          <w:color w:val="auto"/>
          <w:highlight w:val="none"/>
        </w:rPr>
        <w:t>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EF98B55">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32.8履约保证金政策</w:t>
      </w:r>
    </w:p>
    <w:p w14:paraId="3513B53A">
      <w:pPr>
        <w:pBdr>
          <w:top w:val="none" w:color="000000" w:sz="0" w:space="0"/>
          <w:left w:val="none" w:color="000000" w:sz="0" w:space="0"/>
          <w:bottom w:val="none" w:color="000000" w:sz="0" w:space="0"/>
          <w:right w:val="none" w:color="000000" w:sz="0" w:space="0"/>
        </w:pBdr>
        <w:spacing w:before="0" w:after="0" w:line="439" w:lineRule="atLeast"/>
        <w:ind w:left="0" w:right="0" w:firstLine="420"/>
        <w:jc w:val="both"/>
        <w:rPr>
          <w:rFonts w:hint="eastAsia" w:ascii="宋体" w:hAnsi="宋体" w:eastAsia="宋体" w:cs="宋体"/>
          <w:color w:val="auto"/>
          <w:highlight w:val="none"/>
        </w:rPr>
      </w:pPr>
      <w:r>
        <w:rPr>
          <w:rFonts w:hint="eastAsia" w:ascii="宋体" w:hAnsi="宋体" w:eastAsia="宋体" w:cs="宋体"/>
          <w:color w:val="auto"/>
          <w:sz w:val="21"/>
          <w:highlight w:val="none"/>
        </w:rPr>
        <w:t>履约保证金的缴纳形式：</w:t>
      </w:r>
    </w:p>
    <w:p w14:paraId="7428FD38">
      <w:pPr>
        <w:pBdr>
          <w:top w:val="none" w:color="000000" w:sz="0" w:space="0"/>
          <w:left w:val="none" w:color="000000" w:sz="0" w:space="0"/>
          <w:bottom w:val="none" w:color="000000" w:sz="0" w:space="0"/>
          <w:right w:val="none" w:color="000000" w:sz="0" w:space="0"/>
        </w:pBdr>
        <w:spacing w:before="0" w:after="0" w:line="439" w:lineRule="atLeast"/>
        <w:ind w:left="0" w:right="0" w:firstLine="420"/>
        <w:jc w:val="both"/>
        <w:rPr>
          <w:rFonts w:hint="eastAsia" w:ascii="宋体" w:hAnsi="宋体" w:eastAsia="宋体" w:cs="宋体"/>
          <w:color w:val="auto"/>
          <w:sz w:val="21"/>
          <w:highlight w:val="none"/>
          <w:u w:val="none"/>
        </w:rPr>
      </w:pPr>
      <w:r>
        <w:rPr>
          <w:rFonts w:hint="eastAsia" w:ascii="宋体" w:hAnsi="宋体" w:eastAsia="宋体" w:cs="宋体"/>
          <w:color w:val="auto"/>
          <w:sz w:val="21"/>
          <w:highlight w:val="none"/>
          <w:u w:val="none"/>
        </w:rPr>
        <w:t>本项目履约保证金金额按</w:t>
      </w:r>
      <w:r>
        <w:rPr>
          <w:rFonts w:hint="eastAsia" w:ascii="宋体" w:hAnsi="宋体" w:eastAsia="宋体" w:cs="宋体"/>
          <w:color w:val="auto"/>
          <w:sz w:val="21"/>
          <w:highlight w:val="none"/>
          <w:u w:val="none"/>
          <w:lang w:val="en-US" w:eastAsia="zh-CN"/>
        </w:rPr>
        <w:t>固定价伍万元</w:t>
      </w:r>
      <w:r>
        <w:rPr>
          <w:rFonts w:hint="eastAsia" w:ascii="宋体" w:hAnsi="宋体" w:eastAsia="宋体" w:cs="宋体"/>
          <w:color w:val="auto"/>
          <w:sz w:val="21"/>
          <w:highlight w:val="none"/>
          <w:u w:val="none"/>
        </w:rPr>
        <w:t>执行，中标人应在签订合同前将履约保证金应当</w:t>
      </w:r>
      <w:r>
        <w:rPr>
          <w:rFonts w:hint="eastAsia" w:ascii="宋体" w:hAnsi="宋体" w:eastAsia="宋体" w:cs="宋体"/>
          <w:color w:val="auto"/>
          <w:sz w:val="21"/>
          <w:highlight w:val="none"/>
          <w:u w:val="none"/>
          <w:lang w:eastAsia="zh-CN"/>
        </w:rPr>
        <w:t>以转账</w:t>
      </w:r>
      <w:r>
        <w:rPr>
          <w:rFonts w:hint="eastAsia" w:ascii="宋体" w:hAnsi="宋体" w:eastAsia="宋体" w:cs="宋体"/>
          <w:color w:val="auto"/>
          <w:sz w:val="21"/>
          <w:highlight w:val="none"/>
          <w:u w:val="none"/>
        </w:rPr>
        <w:t>、电汇或银行汇票等形式从中</w:t>
      </w:r>
      <w:r>
        <w:rPr>
          <w:rFonts w:hint="eastAsia" w:ascii="宋体" w:hAnsi="宋体" w:eastAsia="宋体" w:cs="宋体"/>
          <w:color w:val="auto"/>
          <w:sz w:val="21"/>
          <w:highlight w:val="none"/>
          <w:u w:val="none"/>
          <w:lang w:val="en-US" w:eastAsia="zh-CN"/>
        </w:rPr>
        <w:t>标</w:t>
      </w:r>
      <w:r>
        <w:rPr>
          <w:rFonts w:hint="eastAsia" w:ascii="宋体" w:hAnsi="宋体" w:eastAsia="宋体" w:cs="宋体"/>
          <w:color w:val="auto"/>
          <w:sz w:val="21"/>
          <w:highlight w:val="none"/>
          <w:u w:val="none"/>
        </w:rPr>
        <w:t>人</w:t>
      </w:r>
      <w:r>
        <w:rPr>
          <w:rFonts w:hint="eastAsia" w:ascii="宋体" w:hAnsi="宋体" w:eastAsia="宋体" w:cs="宋体"/>
          <w:color w:val="auto"/>
          <w:sz w:val="21"/>
          <w:highlight w:val="none"/>
          <w:u w:val="none"/>
          <w:lang w:eastAsia="zh-CN"/>
        </w:rPr>
        <w:t>的账户</w:t>
      </w:r>
      <w:r>
        <w:rPr>
          <w:rFonts w:hint="eastAsia" w:ascii="宋体" w:hAnsi="宋体" w:eastAsia="宋体" w:cs="宋体"/>
          <w:color w:val="auto"/>
          <w:sz w:val="21"/>
          <w:highlight w:val="none"/>
          <w:u w:val="none"/>
        </w:rPr>
        <w:t>转至</w:t>
      </w:r>
      <w:r>
        <w:rPr>
          <w:rFonts w:hint="eastAsia" w:ascii="宋体" w:hAnsi="宋体" w:eastAsia="宋体" w:cs="宋体"/>
          <w:color w:val="auto"/>
          <w:sz w:val="21"/>
          <w:szCs w:val="21"/>
          <w:highlight w:val="none"/>
          <w:u w:val="none"/>
        </w:rPr>
        <w:t>下列</w:t>
      </w:r>
      <w:r>
        <w:rPr>
          <w:rFonts w:hint="eastAsia" w:ascii="宋体" w:hAnsi="宋体" w:eastAsia="宋体" w:cs="宋体"/>
          <w:color w:val="auto"/>
          <w:sz w:val="21"/>
          <w:highlight w:val="none"/>
          <w:u w:val="none"/>
        </w:rPr>
        <w:t>账户，</w:t>
      </w:r>
      <w:r>
        <w:rPr>
          <w:rFonts w:hint="eastAsia" w:ascii="宋体" w:hAnsi="宋体" w:eastAsia="宋体" w:cs="宋体"/>
          <w:b/>
          <w:color w:val="auto"/>
          <w:sz w:val="21"/>
          <w:highlight w:val="none"/>
          <w:u w:val="none"/>
        </w:rPr>
        <w:t>收款单位名称：</w:t>
      </w:r>
      <w:r>
        <w:rPr>
          <w:rFonts w:hint="eastAsia" w:ascii="宋体" w:hAnsi="宋体" w:eastAsia="宋体" w:cs="宋体"/>
          <w:b/>
          <w:color w:val="auto"/>
          <w:sz w:val="21"/>
          <w:highlight w:val="none"/>
          <w:u w:val="none"/>
          <w:lang w:val="en-US" w:eastAsia="zh-CN"/>
        </w:rPr>
        <w:t>阜宁县人民医院</w:t>
      </w:r>
      <w:r>
        <w:rPr>
          <w:rFonts w:hint="eastAsia" w:ascii="宋体" w:hAnsi="宋体" w:eastAsia="宋体" w:cs="宋体"/>
          <w:b/>
          <w:color w:val="auto"/>
          <w:sz w:val="21"/>
          <w:highlight w:val="none"/>
          <w:u w:val="none"/>
        </w:rPr>
        <w:t>，</w:t>
      </w:r>
      <w:r>
        <w:rPr>
          <w:rFonts w:hint="eastAsia" w:ascii="宋体" w:hAnsi="宋体" w:eastAsia="宋体" w:cs="宋体"/>
          <w:b/>
          <w:color w:val="FF0000"/>
          <w:sz w:val="21"/>
          <w:highlight w:val="none"/>
          <w:u w:val="none"/>
        </w:rPr>
        <w:t>开户银行：</w:t>
      </w:r>
      <w:r>
        <w:rPr>
          <w:rFonts w:hint="eastAsia" w:ascii="宋体" w:hAnsi="宋体" w:eastAsia="宋体" w:cs="宋体"/>
          <w:b/>
          <w:color w:val="FF0000"/>
          <w:sz w:val="21"/>
          <w:highlight w:val="none"/>
          <w:u w:val="none"/>
          <w:lang w:val="en-US" w:eastAsia="zh-CN"/>
        </w:rPr>
        <w:t>建设银行阜宁支行营业部</w:t>
      </w:r>
      <w:r>
        <w:rPr>
          <w:rFonts w:hint="eastAsia" w:ascii="宋体" w:hAnsi="宋体" w:eastAsia="宋体" w:cs="宋体"/>
          <w:b/>
          <w:color w:val="FF0000"/>
          <w:sz w:val="21"/>
          <w:highlight w:val="none"/>
          <w:u w:val="none"/>
        </w:rPr>
        <w:t>；</w:t>
      </w:r>
      <w:r>
        <w:rPr>
          <w:rFonts w:hint="eastAsia" w:ascii="宋体" w:hAnsi="宋体" w:eastAsia="宋体" w:cs="宋体"/>
          <w:b/>
          <w:color w:val="FF0000"/>
          <w:sz w:val="21"/>
          <w:highlight w:val="none"/>
          <w:u w:val="none"/>
          <w:lang w:eastAsia="zh-CN"/>
        </w:rPr>
        <w:t>账号</w:t>
      </w:r>
      <w:r>
        <w:rPr>
          <w:rFonts w:hint="eastAsia" w:ascii="宋体" w:hAnsi="宋体" w:eastAsia="宋体" w:cs="宋体"/>
          <w:b/>
          <w:color w:val="FF0000"/>
          <w:sz w:val="21"/>
          <w:highlight w:val="none"/>
          <w:u w:val="none"/>
        </w:rPr>
        <w:t>：</w:t>
      </w:r>
      <w:r>
        <w:rPr>
          <w:rFonts w:hint="eastAsia" w:ascii="宋体" w:hAnsi="宋体" w:eastAsia="宋体" w:cs="宋体"/>
          <w:b/>
          <w:color w:val="FF0000"/>
          <w:sz w:val="21"/>
          <w:highlight w:val="none"/>
          <w:u w:val="none"/>
          <w:lang w:val="en-US" w:eastAsia="zh-CN"/>
        </w:rPr>
        <w:t>32001737336052512223</w:t>
      </w:r>
      <w:r>
        <w:rPr>
          <w:rFonts w:hint="eastAsia" w:ascii="宋体" w:hAnsi="宋体" w:eastAsia="宋体" w:cs="宋体"/>
          <w:b/>
          <w:color w:val="FF0000"/>
          <w:sz w:val="21"/>
          <w:highlight w:val="none"/>
          <w:u w:val="none"/>
        </w:rPr>
        <w:t>。</w:t>
      </w:r>
    </w:p>
    <w:p w14:paraId="0EF96FFF">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33. 预付款制度</w:t>
      </w:r>
    </w:p>
    <w:p w14:paraId="32155AE2">
      <w:pPr>
        <w:spacing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rPr>
        <w:t>本项目落实预付款制度，预付款比例为30%。在签订合同时，中标、成交供应商明确书面表示无需预付款或者主动要求降低预付款比例的，采购人可就预付款比例作相应调整。</w:t>
      </w:r>
    </w:p>
    <w:p w14:paraId="293DEB49">
      <w:pPr>
        <w:spacing w:line="440" w:lineRule="exact"/>
        <w:ind w:firstLine="420"/>
        <w:rPr>
          <w:rFonts w:hint="eastAsia" w:ascii="宋体" w:hAnsi="宋体" w:eastAsia="宋体" w:cs="宋体"/>
          <w:color w:val="auto"/>
          <w:highlight w:val="none"/>
        </w:rPr>
      </w:pPr>
    </w:p>
    <w:p w14:paraId="732E42D1">
      <w:pPr>
        <w:spacing w:line="440" w:lineRule="exact"/>
        <w:ind w:firstLine="420"/>
        <w:rPr>
          <w:rFonts w:hint="eastAsia" w:ascii="宋体" w:hAnsi="宋体" w:eastAsia="宋体" w:cs="宋体"/>
          <w:color w:val="auto"/>
          <w:highlight w:val="none"/>
        </w:rPr>
        <w:sectPr>
          <w:footerReference r:id="rId4" w:type="default"/>
          <w:pgSz w:w="11906" w:h="16838"/>
          <w:pgMar w:top="1440" w:right="1417" w:bottom="1440" w:left="1417" w:header="851" w:footer="992" w:gutter="0"/>
          <w:pgNumType w:fmt="decimal" w:start="1"/>
          <w:cols w:space="425" w:num="1"/>
          <w:docGrid w:linePitch="360" w:charSpace="0"/>
        </w:sectPr>
      </w:pPr>
    </w:p>
    <w:p w14:paraId="3BBA0007">
      <w:pPr>
        <w:pStyle w:val="34"/>
        <w:keepNext/>
        <w:spacing w:beforeAutospacing="0" w:afterAutospacing="0"/>
        <w:jc w:val="center"/>
        <w:outlineLvl w:val="0"/>
        <w:rPr>
          <w:color w:val="auto"/>
          <w:highlight w:val="none"/>
        </w:rPr>
      </w:pPr>
      <w:bookmarkStart w:id="163" w:name="_Toc11265"/>
      <w:r>
        <w:rPr>
          <w:rFonts w:hint="eastAsia" w:ascii="黑体" w:hAnsi="宋体" w:eastAsia="黑体" w:cs="黑体"/>
          <w:color w:val="auto"/>
          <w:sz w:val="44"/>
          <w:szCs w:val="44"/>
          <w:highlight w:val="none"/>
        </w:rPr>
        <w:t>第三章 合同文本</w:t>
      </w:r>
      <w:bookmarkEnd w:id="163"/>
    </w:p>
    <w:p w14:paraId="741C58E1">
      <w:pPr>
        <w:pStyle w:val="215"/>
        <w:spacing w:line="560" w:lineRule="exact"/>
        <w:jc w:val="center"/>
        <w:rPr>
          <w:rFonts w:ascii="宋体" w:hAnsi="宋体" w:eastAsia="宋体" w:cs="宋体"/>
          <w:color w:val="auto"/>
          <w:sz w:val="28"/>
          <w:szCs w:val="28"/>
          <w:highlight w:val="none"/>
        </w:rPr>
      </w:pPr>
      <w:bookmarkStart w:id="164" w:name="_Toc20823315"/>
      <w:bookmarkStart w:id="165" w:name="_Toc16938559"/>
      <w:bookmarkStart w:id="166" w:name="_Toc513029243"/>
    </w:p>
    <w:p w14:paraId="2A66F878">
      <w:pPr>
        <w:pStyle w:val="215"/>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lang w:eastAsia="zh-CN"/>
        </w:rPr>
        <w:t>委托方（以下简称甲方）：</w:t>
      </w:r>
      <w:r>
        <w:rPr>
          <w:rFonts w:hint="eastAsia" w:ascii="宋体" w:hAnsi="宋体" w:eastAsia="宋体" w:cs="宋体"/>
          <w:color w:val="auto"/>
          <w:szCs w:val="21"/>
          <w:highlight w:val="none"/>
          <w:u w:val="single"/>
          <w:lang w:eastAsia="zh-CN"/>
        </w:rPr>
        <w:t>阜宁县人民医院</w:t>
      </w:r>
    </w:p>
    <w:bookmarkEnd w:id="164"/>
    <w:bookmarkEnd w:id="165"/>
    <w:bookmarkEnd w:id="166"/>
    <w:p w14:paraId="5CEAF159">
      <w:pPr>
        <w:pStyle w:val="215"/>
        <w:keepNext w:val="0"/>
        <w:keepLines w:val="0"/>
        <w:pageBreakBefore w:val="0"/>
        <w:widowControl w:val="0"/>
        <w:kinsoku/>
        <w:wordWrap/>
        <w:overflowPunct/>
        <w:topLinePunct w:val="0"/>
        <w:autoSpaceDE/>
        <w:autoSpaceDN/>
        <w:bidi w:val="0"/>
        <w:adjustRightInd/>
        <w:snapToGrid/>
        <w:spacing w:after="361" w:afterLines="100" w:line="460" w:lineRule="exact"/>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受委托方（以下简称乙方）：</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（中标的物业管理公司）</w:t>
      </w:r>
      <w:r>
        <w:rPr>
          <w:rFonts w:hint="eastAsia" w:ascii="宋体" w:hAnsi="宋体" w:eastAsia="宋体" w:cs="宋体"/>
          <w:color w:val="auto"/>
          <w:szCs w:val="21"/>
          <w:highlight w:val="none"/>
          <w:lang w:val="en-US" w:eastAsia="zh-CN"/>
        </w:rPr>
        <w:t xml:space="preserve">              </w:t>
      </w:r>
    </w:p>
    <w:p w14:paraId="5CEF5D51">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根据国家、地方有关法律法规</w:t>
      </w:r>
      <w:r>
        <w:rPr>
          <w:rFonts w:hint="eastAsia" w:ascii="宋体" w:hAnsi="宋体" w:eastAsia="宋体" w:cs="宋体"/>
          <w:color w:val="auto"/>
          <w:szCs w:val="21"/>
          <w:highlight w:val="none"/>
        </w:rPr>
        <w:t>和政策及</w:t>
      </w:r>
      <w:r>
        <w:rPr>
          <w:rFonts w:hint="eastAsia" w:ascii="宋体" w:hAnsi="宋体" w:eastAsia="宋体" w:cs="宋体"/>
          <w:color w:val="auto"/>
          <w:szCs w:val="21"/>
          <w:highlight w:val="none"/>
          <w:lang w:eastAsia="zh-CN"/>
        </w:rPr>
        <w:t>阜宁县人民医院特勤及保安服务项目</w:t>
      </w:r>
      <w:r>
        <w:rPr>
          <w:rFonts w:hint="eastAsia" w:ascii="宋体" w:hAnsi="宋体" w:eastAsia="宋体" w:cs="宋体"/>
          <w:color w:val="auto"/>
          <w:szCs w:val="21"/>
          <w:highlight w:val="none"/>
        </w:rPr>
        <w:t>公开招标的结果，在平等、自愿、协商一致的基础上，就甲方委托乙方对</w:t>
      </w:r>
      <w:r>
        <w:rPr>
          <w:rFonts w:hint="eastAsia" w:ascii="宋体" w:hAnsi="宋体" w:eastAsia="宋体" w:cs="宋体"/>
          <w:color w:val="auto"/>
          <w:szCs w:val="21"/>
          <w:highlight w:val="none"/>
          <w:lang w:eastAsia="zh-CN"/>
        </w:rPr>
        <w:t>阜宁县人民医院</w:t>
      </w:r>
      <w:r>
        <w:rPr>
          <w:rFonts w:hint="eastAsia" w:ascii="宋体" w:hAnsi="宋体" w:eastAsia="宋体" w:cs="宋体"/>
          <w:color w:val="auto"/>
          <w:szCs w:val="21"/>
          <w:highlight w:val="none"/>
        </w:rPr>
        <w:t>实行专业化</w:t>
      </w:r>
      <w:r>
        <w:rPr>
          <w:rFonts w:hint="eastAsia" w:ascii="宋体" w:hAnsi="宋体" w:eastAsia="宋体" w:cs="宋体"/>
          <w:color w:val="auto"/>
          <w:szCs w:val="21"/>
          <w:highlight w:val="none"/>
          <w:lang w:val="en-US" w:eastAsia="zh-CN"/>
        </w:rPr>
        <w:t>保安服务</w:t>
      </w:r>
      <w:r>
        <w:rPr>
          <w:rFonts w:hint="eastAsia" w:ascii="宋体" w:hAnsi="宋体" w:eastAsia="宋体" w:cs="宋体"/>
          <w:color w:val="auto"/>
          <w:szCs w:val="21"/>
          <w:highlight w:val="none"/>
        </w:rPr>
        <w:t>管理，签署本合同，以便共同遵守执行。</w:t>
      </w:r>
    </w:p>
    <w:p w14:paraId="5CCB14C6">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第一条 下列文件为本合同不可分割部分</w:t>
      </w:r>
    </w:p>
    <w:p w14:paraId="6E6546BD">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中标通知书；</w:t>
      </w:r>
    </w:p>
    <w:p w14:paraId="01173667">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 xml:space="preserve">招标文件； </w:t>
      </w:r>
    </w:p>
    <w:p w14:paraId="6BBF42E4">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乙方中标的投标文件；</w:t>
      </w:r>
    </w:p>
    <w:p w14:paraId="564167A7">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乙方在招投标过程中所作的</w:t>
      </w:r>
      <w:r>
        <w:rPr>
          <w:rFonts w:hint="eastAsia" w:ascii="宋体" w:hAnsi="宋体" w:eastAsia="宋体" w:cs="宋体"/>
          <w:color w:val="auto"/>
          <w:szCs w:val="21"/>
          <w:highlight w:val="none"/>
          <w:lang w:eastAsia="zh-CN"/>
        </w:rPr>
        <w:t>其他</w:t>
      </w:r>
      <w:r>
        <w:rPr>
          <w:rFonts w:hint="eastAsia" w:ascii="宋体" w:hAnsi="宋体" w:eastAsia="宋体" w:cs="宋体"/>
          <w:color w:val="auto"/>
          <w:szCs w:val="21"/>
          <w:highlight w:val="none"/>
        </w:rPr>
        <w:t>承诺、声明、书面澄清等。</w:t>
      </w:r>
    </w:p>
    <w:p w14:paraId="160A4622">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第二条 </w:t>
      </w:r>
      <w:r>
        <w:rPr>
          <w:rFonts w:hint="eastAsia" w:ascii="宋体" w:hAnsi="宋体" w:eastAsia="宋体" w:cs="宋体"/>
          <w:b/>
          <w:bCs/>
          <w:color w:val="auto"/>
          <w:szCs w:val="21"/>
          <w:highlight w:val="none"/>
          <w:lang w:val="en-US" w:eastAsia="zh-CN"/>
        </w:rPr>
        <w:t>项目</w:t>
      </w:r>
      <w:r>
        <w:rPr>
          <w:rFonts w:hint="eastAsia" w:ascii="宋体" w:hAnsi="宋体" w:eastAsia="宋体" w:cs="宋体"/>
          <w:b/>
          <w:bCs/>
          <w:color w:val="auto"/>
          <w:szCs w:val="21"/>
          <w:highlight w:val="none"/>
        </w:rPr>
        <w:t>基本情况</w:t>
      </w:r>
    </w:p>
    <w:p w14:paraId="663BF8B6">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名称：</w:t>
      </w:r>
      <w:r>
        <w:rPr>
          <w:rFonts w:hint="eastAsia" w:ascii="宋体" w:hAnsi="宋体" w:eastAsia="宋体" w:cs="宋体"/>
          <w:color w:val="auto"/>
          <w:szCs w:val="21"/>
          <w:highlight w:val="none"/>
          <w:lang w:eastAsia="zh-CN"/>
        </w:rPr>
        <w:t>阜宁县人民医院特勤及保安服务项目</w:t>
      </w:r>
    </w:p>
    <w:p w14:paraId="1D7DCB4B">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项目</w:t>
      </w:r>
      <w:r>
        <w:rPr>
          <w:rFonts w:hint="eastAsia" w:ascii="宋体" w:hAnsi="宋体" w:eastAsia="宋体" w:cs="宋体"/>
          <w:color w:val="auto"/>
          <w:szCs w:val="21"/>
          <w:highlight w:val="none"/>
          <w:lang w:eastAsia="zh-CN"/>
        </w:rPr>
        <w:t>坐落位置</w:t>
      </w:r>
      <w:r>
        <w:rPr>
          <w:rFonts w:hint="eastAsia" w:ascii="宋体" w:hAnsi="宋体" w:eastAsia="宋体" w:cs="宋体"/>
          <w:color w:val="auto"/>
          <w:szCs w:val="21"/>
          <w:highlight w:val="none"/>
        </w:rPr>
        <w:t>：阜宁县</w:t>
      </w:r>
      <w:r>
        <w:rPr>
          <w:rFonts w:hint="eastAsia" w:ascii="宋体" w:hAnsi="宋体" w:eastAsia="宋体" w:cs="宋体"/>
          <w:color w:val="auto"/>
          <w:szCs w:val="21"/>
          <w:highlight w:val="none"/>
          <w:lang w:eastAsia="zh-CN"/>
        </w:rPr>
        <w:t>苏州路</w:t>
      </w:r>
      <w:r>
        <w:rPr>
          <w:rFonts w:hint="eastAsia" w:ascii="宋体" w:hAnsi="宋体" w:eastAsia="宋体" w:cs="宋体"/>
          <w:color w:val="auto"/>
          <w:szCs w:val="21"/>
          <w:highlight w:val="none"/>
          <w:lang w:val="en-US" w:eastAsia="zh-CN"/>
        </w:rPr>
        <w:t>500</w:t>
      </w:r>
      <w:r>
        <w:rPr>
          <w:rFonts w:hint="eastAsia" w:ascii="宋体" w:hAnsi="宋体" w:eastAsia="宋体" w:cs="宋体"/>
          <w:color w:val="auto"/>
          <w:szCs w:val="21"/>
          <w:highlight w:val="none"/>
        </w:rPr>
        <w:t>号</w:t>
      </w:r>
    </w:p>
    <w:p w14:paraId="3F1700DF">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基本情况：阜宁县人民医院特勤及保安服务项目，涉及院区内车辆停放与管理、收费窗口和医疗区域正常秩序维护、办公楼和住院楼治安执勤及巡逻防范，遇重大医患纠纷、突发事件迅速调集大批特勤及保安人员,妥善处置，缓解矛盾。须提供24小时不间断安保服务，院区共需51名高素质的专业专职特勤及保安人员。</w:t>
      </w:r>
    </w:p>
    <w:p w14:paraId="6D741D9E">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第三条 委托管理期限及合同价</w:t>
      </w:r>
    </w:p>
    <w:p w14:paraId="785DAA03">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本</w:t>
      </w:r>
      <w:r>
        <w:rPr>
          <w:rFonts w:hint="eastAsia" w:ascii="宋体" w:hAnsi="宋体" w:eastAsia="宋体" w:cs="宋体"/>
          <w:color w:val="auto"/>
          <w:szCs w:val="21"/>
          <w:highlight w:val="none"/>
          <w:lang w:eastAsia="zh-CN"/>
        </w:rPr>
        <w:t>项目</w:t>
      </w:r>
      <w:r>
        <w:rPr>
          <w:rFonts w:hint="eastAsia" w:ascii="宋体" w:hAnsi="宋体" w:eastAsia="宋体" w:cs="宋体"/>
          <w:color w:val="auto"/>
          <w:szCs w:val="21"/>
          <w:highlight w:val="none"/>
        </w:rPr>
        <w:t>委托管理期限为</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eastAsia="zh-CN"/>
        </w:rPr>
        <w:t>。本</w:t>
      </w:r>
      <w:r>
        <w:rPr>
          <w:rFonts w:hint="eastAsia" w:ascii="宋体" w:hAnsi="宋体" w:eastAsia="宋体" w:cs="宋体"/>
          <w:color w:val="auto"/>
          <w:szCs w:val="21"/>
          <w:highlight w:val="none"/>
        </w:rPr>
        <w:t>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r>
        <w:rPr>
          <w:rFonts w:hint="eastAsia" w:ascii="宋体" w:hAnsi="宋体" w:eastAsia="宋体" w:cs="宋体"/>
          <w:color w:val="auto"/>
          <w:szCs w:val="21"/>
          <w:highlight w:val="none"/>
          <w:lang w:eastAsia="zh-CN"/>
        </w:rPr>
        <w:t>至</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03EF3BDD">
      <w:pPr>
        <w:keepNext w:val="0"/>
        <w:keepLines w:val="0"/>
        <w:pageBreakBefore w:val="0"/>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本项目</w:t>
      </w:r>
      <w:r>
        <w:rPr>
          <w:rFonts w:hint="eastAsia" w:ascii="宋体" w:hAnsi="宋体" w:eastAsia="宋体" w:cs="宋体"/>
          <w:color w:val="auto"/>
          <w:szCs w:val="21"/>
          <w:highlight w:val="none"/>
          <w:lang w:eastAsia="zh-CN"/>
        </w:rPr>
        <w:t>年度</w:t>
      </w:r>
      <w:r>
        <w:rPr>
          <w:rFonts w:hint="eastAsia" w:ascii="宋体" w:hAnsi="宋体" w:eastAsia="宋体" w:cs="宋体"/>
          <w:color w:val="auto"/>
          <w:szCs w:val="21"/>
          <w:highlight w:val="none"/>
        </w:rPr>
        <w:t>服务费总价为人民币（大写）：</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元（</w:t>
      </w:r>
      <w:r>
        <w:rPr>
          <w:rFonts w:hint="eastAsia" w:ascii="宋体" w:hAnsi="宋体" w:eastAsia="宋体" w:cs="宋体"/>
          <w:color w:val="auto"/>
          <w:szCs w:val="21"/>
          <w:highlight w:val="none"/>
          <w:lang w:val="en-US" w:eastAsia="zh-CN"/>
        </w:rPr>
        <w:t>小写）</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元</w:t>
      </w:r>
      <w:r>
        <w:rPr>
          <w:rFonts w:hint="eastAsia" w:ascii="宋体" w:hAnsi="宋体" w:eastAsia="宋体" w:cs="宋体"/>
          <w:color w:val="auto"/>
          <w:szCs w:val="21"/>
          <w:highlight w:val="none"/>
          <w:lang w:val="en-US" w:eastAsia="zh-CN"/>
        </w:rPr>
        <w:t>。</w:t>
      </w:r>
    </w:p>
    <w:p w14:paraId="68B77569">
      <w:pPr>
        <w:keepNext w:val="0"/>
        <w:keepLines w:val="0"/>
        <w:pageBreakBefore w:val="0"/>
        <w:kinsoku/>
        <w:wordWrap/>
        <w:overflowPunct/>
        <w:topLinePunct w:val="0"/>
        <w:autoSpaceDE/>
        <w:autoSpaceDN/>
        <w:bidi w:val="0"/>
        <w:adjustRightInd/>
        <w:snapToGrid/>
        <w:spacing w:line="460" w:lineRule="exact"/>
        <w:ind w:firstLine="422"/>
        <w:jc w:val="left"/>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合同价应包括人员工资及国家法定节假日加班费等补助、社保费、办公费、固定资产折旧费、法定税费及公众责任保险费和合理利润外，还应包括：管理、劳务、培训、体检、国家法定假日加班、高温补助、服装、风险、税金及政策性文件规定等各项应有费用，以及为完成招标文件规定服务工作所涉及的一切相关费用。合同期内合同价不再调整。</w:t>
      </w:r>
    </w:p>
    <w:p w14:paraId="2FCBE50B">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第四条 委托</w:t>
      </w:r>
      <w:bookmarkStart w:id="167" w:name="_Hlk17134650"/>
      <w:r>
        <w:rPr>
          <w:rFonts w:hint="eastAsia" w:ascii="宋体" w:hAnsi="宋体" w:eastAsia="宋体" w:cs="宋体"/>
          <w:b/>
          <w:bCs/>
          <w:color w:val="auto"/>
          <w:szCs w:val="21"/>
          <w:highlight w:val="none"/>
        </w:rPr>
        <w:t>管理范围</w:t>
      </w:r>
      <w:bookmarkEnd w:id="167"/>
    </w:p>
    <w:p w14:paraId="23FDC7E3">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本合同中委托管理范围为</w:t>
      </w:r>
      <w:r>
        <w:rPr>
          <w:rFonts w:hint="eastAsia" w:ascii="宋体" w:hAnsi="宋体" w:eastAsia="宋体" w:cs="宋体"/>
          <w:color w:val="auto"/>
          <w:szCs w:val="21"/>
          <w:highlight w:val="none"/>
          <w:lang w:eastAsia="zh-CN"/>
        </w:rPr>
        <w:t>阜宁县人民医院特勤及保安服务项目</w:t>
      </w:r>
      <w:r>
        <w:rPr>
          <w:rFonts w:hint="eastAsia" w:ascii="宋体" w:hAnsi="宋体" w:eastAsia="宋体" w:cs="宋体"/>
          <w:color w:val="auto"/>
          <w:szCs w:val="21"/>
          <w:highlight w:val="none"/>
        </w:rPr>
        <w:t>，包含院区内车辆停放与管理、收费窗口和医疗区域正常秩序维护、办公楼和住院楼治安执勤及巡逻防范，遇重大医患纠纷、突发事件迅速调集大批特勤及保安人员</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妥善处置，缓解矛盾。须提供24小时不间断安保服务。</w:t>
      </w:r>
    </w:p>
    <w:p w14:paraId="5C3660B9">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第五条 本合同委托管理事项包括以下内容</w:t>
      </w:r>
    </w:p>
    <w:p w14:paraId="5E31A3CF">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服务的主要内容：详见本项目招标文件；</w:t>
      </w:r>
    </w:p>
    <w:p w14:paraId="1DD0B0D0">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乙方提供的</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服务应达到《</w:t>
      </w:r>
      <w:r>
        <w:rPr>
          <w:rFonts w:hint="eastAsia" w:ascii="宋体" w:hAnsi="宋体" w:eastAsia="宋体" w:cs="宋体"/>
          <w:color w:val="auto"/>
          <w:szCs w:val="21"/>
          <w:highlight w:val="none"/>
          <w:lang w:eastAsia="zh-CN"/>
        </w:rPr>
        <w:t>阜宁县人民医院特勤及保安服务项目</w:t>
      </w:r>
      <w:r>
        <w:rPr>
          <w:rFonts w:hint="eastAsia" w:ascii="宋体" w:hAnsi="宋体" w:eastAsia="宋体" w:cs="宋体"/>
          <w:color w:val="auto"/>
          <w:szCs w:val="21"/>
          <w:highlight w:val="none"/>
        </w:rPr>
        <w:t>招标文件》及其中标的《投标文件》的标准和国家规定的标准；</w:t>
      </w:r>
    </w:p>
    <w:p w14:paraId="6CD8D754">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第六条　付款方式</w:t>
      </w:r>
      <w:r>
        <w:rPr>
          <w:rFonts w:hint="eastAsia" w:ascii="宋体" w:hAnsi="宋体" w:eastAsia="宋体" w:cs="宋体"/>
          <w:color w:val="auto"/>
          <w:szCs w:val="21"/>
          <w:highlight w:val="none"/>
        </w:rPr>
        <w:t>：</w:t>
      </w:r>
    </w:p>
    <w:p w14:paraId="6BF8E394">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zh-CN" w:eastAsia="zh-CN" w:bidi="zh-CN"/>
        </w:rPr>
        <w:t>预付款支付比例：合同签订后30日内，支</w:t>
      </w:r>
      <w:r>
        <w:rPr>
          <w:rFonts w:hint="eastAsia" w:ascii="宋体" w:hAnsi="宋体" w:eastAsia="宋体" w:cs="宋体"/>
          <w:color w:val="auto"/>
          <w:sz w:val="21"/>
          <w:szCs w:val="21"/>
          <w:highlight w:val="none"/>
          <w:lang w:val="en-US" w:eastAsia="zh-CN" w:bidi="zh-CN"/>
        </w:rPr>
        <w:t>付</w:t>
      </w:r>
      <w:r>
        <w:rPr>
          <w:rFonts w:hint="eastAsia" w:ascii="宋体" w:hAnsi="宋体" w:eastAsia="宋体" w:cs="宋体"/>
          <w:color w:val="auto"/>
          <w:sz w:val="21"/>
          <w:szCs w:val="21"/>
          <w:highlight w:val="none"/>
          <w:lang w:val="zh-CN" w:eastAsia="zh-CN" w:bidi="zh-CN"/>
        </w:rPr>
        <w:t>首年</w:t>
      </w:r>
      <w:r>
        <w:rPr>
          <w:rFonts w:hint="eastAsia" w:ascii="宋体" w:hAnsi="宋体" w:eastAsia="宋体" w:cs="宋体"/>
          <w:color w:val="auto"/>
          <w:sz w:val="21"/>
          <w:szCs w:val="21"/>
          <w:highlight w:val="none"/>
          <w:lang w:val="en-US" w:eastAsia="zh-CN" w:bidi="zh-CN"/>
        </w:rPr>
        <w:t>保安服务</w:t>
      </w:r>
      <w:r>
        <w:rPr>
          <w:rFonts w:hint="eastAsia" w:ascii="宋体" w:hAnsi="宋体" w:eastAsia="宋体" w:cs="宋体"/>
          <w:color w:val="auto"/>
          <w:sz w:val="21"/>
          <w:szCs w:val="21"/>
          <w:highlight w:val="none"/>
          <w:lang w:val="zh-CN" w:eastAsia="zh-CN" w:bidi="zh-CN"/>
        </w:rPr>
        <w:t>费的30%。</w:t>
      </w:r>
    </w:p>
    <w:p w14:paraId="5E1B535B">
      <w:pPr>
        <w:pStyle w:val="216"/>
        <w:keepNext w:val="0"/>
        <w:keepLines w:val="0"/>
        <w:pageBreakBefore w:val="0"/>
        <w:widowControl w:val="0"/>
        <w:tabs>
          <w:tab w:val="left" w:pos="295"/>
        </w:tabs>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b/>
          <w:bCs/>
          <w:i/>
          <w:iCs/>
          <w:color w:val="FF0000"/>
          <w:sz w:val="21"/>
          <w:szCs w:val="21"/>
          <w:highlight w:val="none"/>
          <w:u w:val="single"/>
          <w:lang w:val="en-US"/>
        </w:rPr>
      </w:pPr>
      <w:r>
        <w:rPr>
          <w:rFonts w:hint="eastAsia" w:eastAsia="宋体" w:cs="宋体"/>
          <w:color w:val="auto"/>
          <w:sz w:val="21"/>
          <w:szCs w:val="21"/>
          <w:highlight w:val="none"/>
          <w:lang w:eastAsia="zh-CN"/>
        </w:rPr>
        <w:t>2.</w:t>
      </w:r>
      <w:r>
        <w:rPr>
          <w:rFonts w:hint="eastAsia" w:ascii="宋体" w:hAnsi="宋体" w:eastAsia="宋体" w:cs="宋体"/>
          <w:color w:val="auto"/>
          <w:sz w:val="21"/>
          <w:szCs w:val="21"/>
          <w:highlight w:val="none"/>
          <w:lang w:val="en-US" w:eastAsia="zh-CN"/>
        </w:rPr>
        <w:t>保安服务</w:t>
      </w:r>
      <w:r>
        <w:rPr>
          <w:rFonts w:hint="eastAsia" w:eastAsia="宋体" w:cs="宋体"/>
          <w:color w:val="auto"/>
          <w:sz w:val="21"/>
          <w:szCs w:val="21"/>
          <w:highlight w:val="none"/>
          <w:lang w:val="en-US" w:eastAsia="zh-CN"/>
        </w:rPr>
        <w:t>费</w:t>
      </w:r>
      <w:r>
        <w:rPr>
          <w:rFonts w:hint="eastAsia" w:ascii="宋体" w:hAnsi="宋体" w:eastAsia="宋体" w:cs="宋体"/>
          <w:color w:val="auto"/>
          <w:sz w:val="21"/>
          <w:szCs w:val="21"/>
          <w:highlight w:val="none"/>
        </w:rPr>
        <w:t>按每</w:t>
      </w:r>
      <w:r>
        <w:rPr>
          <w:rFonts w:hint="eastAsia" w:ascii="宋体" w:hAnsi="宋体" w:eastAsia="宋体" w:cs="宋体"/>
          <w:color w:val="auto"/>
          <w:sz w:val="21"/>
          <w:szCs w:val="21"/>
          <w:highlight w:val="none"/>
          <w:lang w:val="en-US" w:eastAsia="zh-CN"/>
        </w:rPr>
        <w:t>季度</w:t>
      </w:r>
      <w:r>
        <w:rPr>
          <w:rFonts w:hint="eastAsia" w:ascii="宋体" w:hAnsi="宋体" w:eastAsia="宋体" w:cs="宋体"/>
          <w:color w:val="auto"/>
          <w:sz w:val="21"/>
          <w:szCs w:val="21"/>
          <w:highlight w:val="none"/>
        </w:rPr>
        <w:t>支付一次（付款金额=全年</w:t>
      </w:r>
      <w:r>
        <w:rPr>
          <w:rFonts w:hint="eastAsia" w:ascii="宋体" w:hAnsi="宋体" w:eastAsia="宋体" w:cs="宋体"/>
          <w:color w:val="auto"/>
          <w:sz w:val="21"/>
          <w:szCs w:val="21"/>
          <w:highlight w:val="none"/>
          <w:lang w:val="en-US" w:eastAsia="zh-CN"/>
        </w:rPr>
        <w:t>保安</w:t>
      </w:r>
      <w:r>
        <w:rPr>
          <w:rFonts w:hint="eastAsia" w:ascii="宋体" w:hAnsi="宋体" w:eastAsia="宋体" w:cs="宋体"/>
          <w:color w:val="auto"/>
          <w:sz w:val="21"/>
          <w:szCs w:val="21"/>
          <w:highlight w:val="none"/>
        </w:rPr>
        <w:t>服务费用</w:t>
      </w:r>
      <w:r>
        <w:rPr>
          <w:rFonts w:hint="eastAsia" w:ascii="宋体" w:hAnsi="宋体" w:eastAsia="宋体" w:cs="宋体"/>
          <w:b/>
          <w:bCs/>
          <w:color w:val="auto"/>
          <w:sz w:val="21"/>
          <w:szCs w:val="21"/>
          <w:highlight w:val="none"/>
        </w:rPr>
        <w:t>÷</w:t>
      </w:r>
      <w:r>
        <w:rPr>
          <w:rFonts w:hint="eastAsia" w:ascii="宋体" w:hAnsi="宋体" w:eastAsia="宋体" w:cs="宋体"/>
          <w:color w:val="auto"/>
          <w:sz w:val="21"/>
          <w:szCs w:val="21"/>
          <w:highlight w:val="none"/>
        </w:rPr>
        <w:t>4，同时扣回预付款，如不够扣回则在后期付款中扣回）。</w:t>
      </w:r>
      <w:r>
        <w:rPr>
          <w:rFonts w:hint="eastAsia" w:ascii="宋体" w:hAnsi="宋体" w:eastAsia="宋体" w:cs="宋体"/>
          <w:b/>
          <w:bCs/>
          <w:i/>
          <w:iCs/>
          <w:color w:val="FF0000"/>
          <w:sz w:val="21"/>
          <w:szCs w:val="21"/>
          <w:highlight w:val="none"/>
          <w:u w:val="single"/>
          <w:lang w:val="en-US"/>
        </w:rPr>
        <w:t>乙方提供增值税发票后，甲方</w:t>
      </w:r>
      <w:r>
        <w:rPr>
          <w:rFonts w:hint="eastAsia" w:eastAsia="宋体" w:cs="宋体"/>
          <w:b/>
          <w:bCs/>
          <w:i/>
          <w:iCs/>
          <w:color w:val="FF0000"/>
          <w:sz w:val="21"/>
          <w:szCs w:val="21"/>
          <w:highlight w:val="none"/>
          <w:u w:val="single"/>
          <w:lang w:val="en-US" w:eastAsia="zh-CN"/>
        </w:rPr>
        <w:t>按财务流程</w:t>
      </w:r>
      <w:r>
        <w:rPr>
          <w:rFonts w:hint="eastAsia" w:ascii="宋体" w:hAnsi="宋体" w:eastAsia="宋体" w:cs="宋体"/>
          <w:b/>
          <w:bCs/>
          <w:i/>
          <w:iCs/>
          <w:color w:val="FF0000"/>
          <w:sz w:val="21"/>
          <w:szCs w:val="21"/>
          <w:highlight w:val="none"/>
          <w:u w:val="single"/>
          <w:lang w:val="en-US"/>
        </w:rPr>
        <w:t>支付费用。</w:t>
      </w:r>
    </w:p>
    <w:p w14:paraId="7FF419D5">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以上付款均汇至中标人的单位账户</w:t>
      </w:r>
      <w:r>
        <w:rPr>
          <w:rFonts w:hint="eastAsia" w:ascii="宋体" w:hAnsi="宋体" w:eastAsia="宋体" w:cs="宋体"/>
          <w:color w:val="auto"/>
          <w:szCs w:val="21"/>
          <w:highlight w:val="none"/>
          <w:lang w:val="en-US" w:eastAsia="zh-CN"/>
        </w:rPr>
        <w:t>均</w:t>
      </w:r>
      <w:r>
        <w:rPr>
          <w:rFonts w:hint="eastAsia" w:ascii="宋体" w:hAnsi="宋体" w:eastAsia="宋体" w:cs="宋体"/>
          <w:color w:val="auto"/>
          <w:szCs w:val="21"/>
          <w:highlight w:val="none"/>
        </w:rPr>
        <w:t>无息。</w:t>
      </w:r>
    </w:p>
    <w:p w14:paraId="1C2A7726">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第七条　甲方的权利义务</w:t>
      </w:r>
    </w:p>
    <w:p w14:paraId="0980EF40">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一、甲方权利</w:t>
      </w:r>
      <w:r>
        <w:rPr>
          <w:rFonts w:hint="eastAsia" w:ascii="宋体" w:hAnsi="宋体" w:eastAsia="宋体" w:cs="宋体"/>
          <w:color w:val="auto"/>
          <w:szCs w:val="21"/>
          <w:highlight w:val="none"/>
        </w:rPr>
        <w:t>：</w:t>
      </w:r>
    </w:p>
    <w:p w14:paraId="0F46F84F">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审定乙方拟定的年度</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服务计划和方案；</w:t>
      </w:r>
    </w:p>
    <w:p w14:paraId="48AE0B41">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甲方有权对乙方的</w:t>
      </w:r>
      <w:r>
        <w:rPr>
          <w:rFonts w:hint="eastAsia" w:ascii="宋体" w:hAnsi="宋体" w:eastAsia="宋体" w:cs="宋体"/>
          <w:color w:val="auto"/>
          <w:szCs w:val="21"/>
          <w:highlight w:val="none"/>
          <w:lang w:val="en-US" w:eastAsia="zh-CN"/>
        </w:rPr>
        <w:t>保安服务</w:t>
      </w:r>
      <w:r>
        <w:rPr>
          <w:rFonts w:hint="eastAsia" w:ascii="宋体" w:hAnsi="宋体" w:eastAsia="宋体" w:cs="宋体"/>
          <w:color w:val="auto"/>
          <w:szCs w:val="21"/>
          <w:highlight w:val="none"/>
        </w:rPr>
        <w:t>工作</w:t>
      </w:r>
      <w:bookmarkStart w:id="168" w:name="_Hlk3043901"/>
      <w:r>
        <w:rPr>
          <w:rFonts w:hint="eastAsia" w:ascii="宋体" w:hAnsi="宋体" w:eastAsia="宋体" w:cs="宋体"/>
          <w:color w:val="auto"/>
          <w:szCs w:val="21"/>
          <w:highlight w:val="none"/>
        </w:rPr>
        <w:t>同本项目招标文件</w:t>
      </w:r>
      <w:bookmarkEnd w:id="168"/>
      <w:r>
        <w:rPr>
          <w:rFonts w:hint="eastAsia" w:ascii="宋体" w:hAnsi="宋体" w:eastAsia="宋体" w:cs="宋体"/>
          <w:color w:val="auto"/>
          <w:szCs w:val="21"/>
          <w:highlight w:val="none"/>
        </w:rPr>
        <w:t>、投标文件、承诺书、考核标准、合同履行情况进行监督检查，考核、监督乙方管理工作的实施及相关制度同本项目招标文件和投标文件的执行情况，对发现的问题，乙方应及时整改，针对乙方未达标或考核不合格的情况提出整改要求并扣除相应的</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服务费用；甲方下达整改通知后，乙方逾期仍达不到承诺目标，甲方有权视情节对乙方实施处罚，直至终止合同；</w:t>
      </w:r>
    </w:p>
    <w:p w14:paraId="5F656E51">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在合同履行期间，如乙方中途退出或发生责任事故，给甲方带来不良影响的，或者因乙方工作不力，影响甲方正常工作秩序的，甲方有权终止本合同，没收履约保证金，并要求乙方给予违约经济赔偿；</w:t>
      </w:r>
    </w:p>
    <w:p w14:paraId="3A6F412F">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甲方根据工作需要有权指挥、监督乙方进行</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服务工作，指导乙方人员在区域内与</w:t>
      </w:r>
      <w:r>
        <w:rPr>
          <w:rFonts w:hint="eastAsia" w:ascii="宋体" w:hAnsi="宋体" w:eastAsia="宋体" w:cs="宋体"/>
          <w:color w:val="auto"/>
          <w:szCs w:val="21"/>
          <w:highlight w:val="none"/>
          <w:lang w:val="en-US" w:eastAsia="zh-CN"/>
        </w:rPr>
        <w:t>保安服务</w:t>
      </w:r>
      <w:r>
        <w:rPr>
          <w:rFonts w:hint="eastAsia" w:ascii="宋体" w:hAnsi="宋体" w:eastAsia="宋体" w:cs="宋体"/>
          <w:color w:val="auto"/>
          <w:szCs w:val="21"/>
          <w:highlight w:val="none"/>
        </w:rPr>
        <w:t>相关的行为和活动，乙方须无条件服从；</w:t>
      </w:r>
    </w:p>
    <w:p w14:paraId="0D58B1A6">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项目经理必须在岗在位，连续</w:t>
      </w:r>
      <w:r>
        <w:rPr>
          <w:rFonts w:hint="eastAsia" w:ascii="宋体" w:hAnsi="宋体" w:eastAsia="宋体" w:cs="宋体"/>
          <w:color w:val="auto"/>
          <w:szCs w:val="21"/>
          <w:highlight w:val="none"/>
          <w:lang w:eastAsia="zh-CN"/>
        </w:rPr>
        <w:t>两次</w:t>
      </w:r>
      <w:r>
        <w:rPr>
          <w:rFonts w:hint="eastAsia" w:ascii="宋体" w:hAnsi="宋体" w:eastAsia="宋体" w:cs="宋体"/>
          <w:color w:val="auto"/>
          <w:szCs w:val="21"/>
          <w:highlight w:val="none"/>
        </w:rPr>
        <w:t>擅自离开工作岗位，甲方有权更换项目经理或终止合同，工作人员连续</w:t>
      </w:r>
      <w:r>
        <w:rPr>
          <w:rFonts w:hint="eastAsia" w:ascii="宋体" w:hAnsi="宋体" w:eastAsia="宋体" w:cs="宋体"/>
          <w:color w:val="auto"/>
          <w:szCs w:val="21"/>
          <w:highlight w:val="none"/>
          <w:lang w:eastAsia="zh-CN"/>
        </w:rPr>
        <w:t>两次</w:t>
      </w:r>
      <w:r>
        <w:rPr>
          <w:rFonts w:hint="eastAsia" w:ascii="宋体" w:hAnsi="宋体" w:eastAsia="宋体" w:cs="宋体"/>
          <w:color w:val="auto"/>
          <w:szCs w:val="21"/>
          <w:highlight w:val="none"/>
        </w:rPr>
        <w:t>不在岗，甲方有权要求调换工作人员。单项考核连续二次不能达标的，甲方有权要求对人员重组，直至满意为止。乙方更换人员，需经过甲方认可，乙方不得私自更换人员；</w:t>
      </w:r>
    </w:p>
    <w:p w14:paraId="48A08C57">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依据相关</w:t>
      </w:r>
      <w:r>
        <w:rPr>
          <w:rFonts w:hint="eastAsia" w:ascii="宋体" w:hAnsi="宋体" w:eastAsia="宋体" w:cs="宋体"/>
          <w:color w:val="auto"/>
          <w:szCs w:val="21"/>
          <w:highlight w:val="none"/>
          <w:lang w:eastAsia="zh-CN"/>
        </w:rPr>
        <w:t>法律法规</w:t>
      </w:r>
      <w:r>
        <w:rPr>
          <w:rFonts w:hint="eastAsia" w:ascii="宋体" w:hAnsi="宋体" w:eastAsia="宋体" w:cs="宋体"/>
          <w:color w:val="auto"/>
          <w:szCs w:val="21"/>
          <w:highlight w:val="none"/>
        </w:rPr>
        <w:t>规定享有的其他权利。</w:t>
      </w:r>
    </w:p>
    <w:p w14:paraId="22B85F8C">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二、甲方义务：</w:t>
      </w:r>
    </w:p>
    <w:p w14:paraId="52F07685">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向乙方提供一定面积的办公用房和值班用房。</w:t>
      </w:r>
    </w:p>
    <w:p w14:paraId="19749ED8">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甲方应向乙方移交下列资料：</w:t>
      </w:r>
    </w:p>
    <w:p w14:paraId="548C04E6">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（1）设施设备的安装、使用说明书和维护保养等技术资料；</w:t>
      </w:r>
    </w:p>
    <w:p w14:paraId="5278DF55">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保安服务</w:t>
      </w:r>
      <w:r>
        <w:rPr>
          <w:rFonts w:hint="eastAsia" w:ascii="宋体" w:hAnsi="宋体" w:eastAsia="宋体" w:cs="宋体"/>
          <w:color w:val="auto"/>
          <w:szCs w:val="21"/>
          <w:highlight w:val="none"/>
        </w:rPr>
        <w:t>所必需的其他资料。</w:t>
      </w:r>
    </w:p>
    <w:p w14:paraId="2ACCF2D9">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按照合同约定</w:t>
      </w:r>
      <w:r>
        <w:rPr>
          <w:rFonts w:hint="eastAsia" w:ascii="宋体" w:hAnsi="宋体" w:eastAsia="宋体" w:cs="宋体"/>
          <w:color w:val="auto"/>
          <w:szCs w:val="21"/>
          <w:highlight w:val="none"/>
          <w:lang w:val="en-US" w:eastAsia="zh-CN"/>
        </w:rPr>
        <w:t>支付保安</w:t>
      </w:r>
      <w:r>
        <w:rPr>
          <w:rFonts w:hint="eastAsia" w:ascii="宋体" w:hAnsi="宋体" w:eastAsia="宋体" w:cs="宋体"/>
          <w:color w:val="auto"/>
          <w:szCs w:val="21"/>
          <w:highlight w:val="none"/>
        </w:rPr>
        <w:t>服务费</w:t>
      </w:r>
      <w:r>
        <w:rPr>
          <w:rFonts w:hint="eastAsia" w:ascii="宋体" w:hAnsi="宋体" w:eastAsia="宋体" w:cs="宋体"/>
          <w:color w:val="auto"/>
          <w:szCs w:val="21"/>
          <w:highlight w:val="none"/>
          <w:lang w:val="en-US" w:eastAsia="zh-CN"/>
        </w:rPr>
        <w:t>用</w:t>
      </w:r>
      <w:r>
        <w:rPr>
          <w:rFonts w:hint="eastAsia" w:ascii="宋体" w:hAnsi="宋体" w:eastAsia="宋体" w:cs="宋体"/>
          <w:color w:val="auto"/>
          <w:szCs w:val="21"/>
          <w:highlight w:val="none"/>
        </w:rPr>
        <w:t>；</w:t>
      </w:r>
    </w:p>
    <w:p w14:paraId="7A755721">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协助乙方做好</w:t>
      </w:r>
      <w:r>
        <w:rPr>
          <w:rFonts w:hint="eastAsia" w:ascii="宋体" w:hAnsi="宋体" w:eastAsia="宋体" w:cs="宋体"/>
          <w:color w:val="auto"/>
          <w:szCs w:val="21"/>
          <w:highlight w:val="none"/>
          <w:lang w:val="en-US" w:eastAsia="zh-CN"/>
        </w:rPr>
        <w:t>保安服务</w:t>
      </w:r>
      <w:r>
        <w:rPr>
          <w:rFonts w:hint="eastAsia" w:ascii="宋体" w:hAnsi="宋体" w:eastAsia="宋体" w:cs="宋体"/>
          <w:color w:val="auto"/>
          <w:szCs w:val="21"/>
          <w:highlight w:val="none"/>
        </w:rPr>
        <w:t>工作和宣传教育、文化活动；</w:t>
      </w:r>
    </w:p>
    <w:p w14:paraId="634BCE19">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协助乙方规范对区域内人员违反法规、规章的行为；</w:t>
      </w:r>
    </w:p>
    <w:p w14:paraId="2A938826">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6.</w:t>
      </w:r>
      <w:r>
        <w:rPr>
          <w:rFonts w:hint="eastAsia" w:ascii="宋体" w:hAnsi="宋体" w:eastAsia="宋体" w:cs="宋体"/>
          <w:color w:val="auto"/>
          <w:szCs w:val="21"/>
          <w:highlight w:val="none"/>
        </w:rPr>
        <w:t>协调、配合乙方共同处理本合同生效前发生的相关遗留问题；</w:t>
      </w:r>
    </w:p>
    <w:p w14:paraId="3A164669">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7.法律法规</w:t>
      </w:r>
      <w:r>
        <w:rPr>
          <w:rFonts w:hint="eastAsia" w:ascii="宋体" w:hAnsi="宋体" w:eastAsia="宋体" w:cs="宋体"/>
          <w:color w:val="auto"/>
          <w:szCs w:val="21"/>
          <w:highlight w:val="none"/>
        </w:rPr>
        <w:t>规定的其他义务。</w:t>
      </w:r>
    </w:p>
    <w:p w14:paraId="0DFCC56C">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第八条　乙方的权利义务</w:t>
      </w:r>
    </w:p>
    <w:p w14:paraId="2E29A96A">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一、乙方权利：</w:t>
      </w:r>
    </w:p>
    <w:p w14:paraId="6B86DCCD">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按照国家和有关</w:t>
      </w:r>
      <w:r>
        <w:rPr>
          <w:rFonts w:hint="eastAsia" w:ascii="宋体" w:hAnsi="宋体" w:eastAsia="宋体" w:cs="宋体"/>
          <w:color w:val="auto"/>
          <w:szCs w:val="21"/>
          <w:highlight w:val="none"/>
          <w:lang w:val="en-US" w:eastAsia="zh-CN"/>
        </w:rPr>
        <w:t>保安服务</w:t>
      </w:r>
      <w:r>
        <w:rPr>
          <w:rFonts w:hint="eastAsia" w:ascii="宋体" w:hAnsi="宋体" w:eastAsia="宋体" w:cs="宋体"/>
          <w:color w:val="auto"/>
          <w:szCs w:val="21"/>
          <w:highlight w:val="none"/>
        </w:rPr>
        <w:t>的技术标准、行业规范以及本服务合同进行管理，提供专业化的服务；</w:t>
      </w:r>
    </w:p>
    <w:p w14:paraId="4932E72D">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按照本合同和有关规定向甲方收取</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服务费用和其他费用；</w:t>
      </w:r>
    </w:p>
    <w:p w14:paraId="1EB374F5">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根据甲方授权，制定必要的规章制度，并以有效方式督促辖区使用人遵守；</w:t>
      </w:r>
    </w:p>
    <w:p w14:paraId="77F48A0B">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根据甲方授权，采取规劝、警告等措施制止使用人违反公众管理制度的行为；</w:t>
      </w:r>
    </w:p>
    <w:p w14:paraId="793720DC">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依照</w:t>
      </w:r>
      <w:r>
        <w:rPr>
          <w:rFonts w:hint="eastAsia" w:ascii="宋体" w:hAnsi="宋体" w:eastAsia="宋体" w:cs="宋体"/>
          <w:color w:val="auto"/>
          <w:szCs w:val="21"/>
          <w:highlight w:val="none"/>
          <w:lang w:eastAsia="zh-CN"/>
        </w:rPr>
        <w:t>法律法规</w:t>
      </w:r>
      <w:r>
        <w:rPr>
          <w:rFonts w:hint="eastAsia" w:ascii="宋体" w:hAnsi="宋体" w:eastAsia="宋体" w:cs="宋体"/>
          <w:color w:val="auto"/>
          <w:szCs w:val="21"/>
          <w:highlight w:val="none"/>
        </w:rPr>
        <w:t>规定和本合同约定享有的其他权利。</w:t>
      </w:r>
    </w:p>
    <w:p w14:paraId="22D150D4">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二、乙方义务：</w:t>
      </w:r>
    </w:p>
    <w:p w14:paraId="71097C69">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全面贯彻执行国家</w:t>
      </w:r>
      <w:r>
        <w:rPr>
          <w:rFonts w:hint="eastAsia" w:ascii="宋体" w:hAnsi="宋体" w:eastAsia="宋体" w:cs="宋体"/>
          <w:color w:val="auto"/>
          <w:szCs w:val="21"/>
          <w:highlight w:val="none"/>
          <w:lang w:val="en-US" w:eastAsia="zh-CN"/>
        </w:rPr>
        <w:t>保安服务</w:t>
      </w:r>
      <w:r>
        <w:rPr>
          <w:rFonts w:hint="eastAsia" w:ascii="宋体" w:hAnsi="宋体" w:eastAsia="宋体" w:cs="宋体"/>
          <w:color w:val="auto"/>
          <w:szCs w:val="21"/>
          <w:highlight w:val="none"/>
        </w:rPr>
        <w:t>的法规、政策，全面遵守本项目招标文件的要求，执行其中标投标文件的承诺，接受甲方的检查、考核和监督，接受</w:t>
      </w:r>
      <w:r>
        <w:rPr>
          <w:rFonts w:hint="eastAsia" w:ascii="宋体" w:hAnsi="宋体" w:eastAsia="宋体" w:cs="宋体"/>
          <w:color w:val="auto"/>
          <w:szCs w:val="21"/>
          <w:highlight w:val="none"/>
          <w:lang w:val="en-US" w:eastAsia="zh-CN"/>
        </w:rPr>
        <w:t>保安服务</w:t>
      </w:r>
      <w:r>
        <w:rPr>
          <w:rFonts w:hint="eastAsia" w:ascii="宋体" w:hAnsi="宋体" w:eastAsia="宋体" w:cs="宋体"/>
          <w:color w:val="auto"/>
          <w:szCs w:val="21"/>
          <w:highlight w:val="none"/>
        </w:rPr>
        <w:t>行政主管部门等的监督和指导；</w:t>
      </w:r>
    </w:p>
    <w:p w14:paraId="134C66C4">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及时向甲方通告本区域内有关</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服务的重大事项，及时处理投诉，接受甲方的监督管理；</w:t>
      </w:r>
    </w:p>
    <w:p w14:paraId="33A8C286">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在承接</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时，应当对</w:t>
      </w:r>
      <w:r>
        <w:rPr>
          <w:rFonts w:hint="eastAsia" w:ascii="宋体" w:hAnsi="宋体" w:eastAsia="宋体" w:cs="宋体"/>
          <w:color w:val="auto"/>
          <w:szCs w:val="21"/>
          <w:highlight w:val="none"/>
          <w:lang w:val="en-US" w:eastAsia="zh-CN"/>
        </w:rPr>
        <w:t>本项目涉及的</w:t>
      </w:r>
      <w:r>
        <w:rPr>
          <w:rFonts w:hint="eastAsia" w:ascii="宋体" w:hAnsi="宋体" w:eastAsia="宋体" w:cs="宋体"/>
          <w:color w:val="auto"/>
          <w:szCs w:val="21"/>
          <w:highlight w:val="none"/>
        </w:rPr>
        <w:t>共用部位、共用设施设备进行查验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并做好书面记录和签认工作；</w:t>
      </w:r>
    </w:p>
    <w:p w14:paraId="5EA79242">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结合本</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管理区域的实际情况，编制年度管理计划，经甲方批准后组织实施；</w:t>
      </w:r>
    </w:p>
    <w:p w14:paraId="170B650C">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制止本</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管理区域内违反有关治安、环保、物业装饰装修和使用等方面规章制度的行为，对违反法律法规规定的行为及时向甲方报告；</w:t>
      </w:r>
    </w:p>
    <w:p w14:paraId="764ECBDC">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6.</w:t>
      </w:r>
      <w:r>
        <w:rPr>
          <w:rFonts w:hint="eastAsia" w:ascii="宋体" w:hAnsi="宋体" w:eastAsia="宋体" w:cs="宋体"/>
          <w:color w:val="auto"/>
          <w:szCs w:val="21"/>
          <w:highlight w:val="none"/>
        </w:rPr>
        <w:t>协助做好本</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管理区域内的安全防范工作，发生安全事故时，在采取应急措施的同时，及时向有关行政管理部门报告，保护好现场、协助做好救助工作；保安人员在维护本</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管理区域的公共秩序时，要履行职责，不得侵害公民的合法权益；</w:t>
      </w:r>
    </w:p>
    <w:p w14:paraId="054A9D1B">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rPr>
        <w:t>非经甲方许可并办理有关手续，不得擅自改变本</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管理区域内共用部分、共用设施设备的用途；对本</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管理区域的公用设施不得擅自占用和改变使用功能；</w:t>
      </w:r>
    </w:p>
    <w:p w14:paraId="51ABBB8D">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8.未</w:t>
      </w:r>
      <w:r>
        <w:rPr>
          <w:rFonts w:hint="eastAsia" w:ascii="宋体" w:hAnsi="宋体" w:eastAsia="宋体" w:cs="宋体"/>
          <w:color w:val="auto"/>
          <w:szCs w:val="21"/>
          <w:highlight w:val="none"/>
        </w:rPr>
        <w:t>经甲方书面同意，不得将履行本合同的责任转让给第三方；</w:t>
      </w:r>
    </w:p>
    <w:p w14:paraId="4A0D4B3B">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本合同终止时，应当将管理用房和管理相关资料、物件、设施及时如数地移交给甲方，不得以任何理由拒绝或拖延；</w:t>
      </w:r>
    </w:p>
    <w:p w14:paraId="1EBFB875">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10.法律法规</w:t>
      </w:r>
      <w:r>
        <w:rPr>
          <w:rFonts w:hint="eastAsia" w:ascii="宋体" w:hAnsi="宋体" w:eastAsia="宋体" w:cs="宋体"/>
          <w:color w:val="auto"/>
          <w:szCs w:val="21"/>
          <w:highlight w:val="none"/>
        </w:rPr>
        <w:t>规定的其他义务。</w:t>
      </w:r>
    </w:p>
    <w:p w14:paraId="248B639E">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11.</w:t>
      </w:r>
      <w:r>
        <w:rPr>
          <w:rFonts w:hint="eastAsia" w:ascii="宋体" w:hAnsi="宋体" w:eastAsia="宋体" w:cs="宋体"/>
          <w:color w:val="auto"/>
          <w:szCs w:val="21"/>
          <w:highlight w:val="none"/>
        </w:rPr>
        <w:t>乙方是</w:t>
      </w:r>
      <w:r>
        <w:rPr>
          <w:rFonts w:hint="eastAsia" w:ascii="宋体" w:hAnsi="宋体" w:eastAsia="宋体" w:cs="宋体"/>
          <w:color w:val="auto"/>
          <w:szCs w:val="21"/>
          <w:highlight w:val="none"/>
          <w:lang w:val="en-US" w:eastAsia="zh-CN"/>
        </w:rPr>
        <w:t>阜宁县人民医院</w:t>
      </w:r>
      <w:r>
        <w:rPr>
          <w:rFonts w:hint="eastAsia" w:ascii="宋体" w:hAnsi="宋体" w:eastAsia="宋体" w:cs="宋体"/>
          <w:color w:val="auto"/>
          <w:szCs w:val="21"/>
          <w:highlight w:val="none"/>
        </w:rPr>
        <w:t>安全运行的</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"http://www.so.com/s?q=%E8%B4%A3%E4%BB%BB%E4%B8%BB%E4%BD%93&amp;ie=utf-8&amp;src=internal_wenda_recommend_textn" \t "_blank"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责任主体</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，应对</w:t>
      </w:r>
      <w:r>
        <w:rPr>
          <w:rFonts w:hint="eastAsia" w:ascii="宋体" w:hAnsi="宋体" w:eastAsia="宋体" w:cs="宋体"/>
          <w:color w:val="auto"/>
          <w:szCs w:val="21"/>
          <w:highlight w:val="none"/>
          <w:lang w:val="en-US" w:eastAsia="zh-CN"/>
        </w:rPr>
        <w:t>阜宁县人民医院</w:t>
      </w:r>
      <w:r>
        <w:rPr>
          <w:rFonts w:hint="eastAsia" w:ascii="宋体" w:hAnsi="宋体" w:eastAsia="宋体" w:cs="宋体"/>
          <w:color w:val="auto"/>
          <w:szCs w:val="21"/>
          <w:highlight w:val="none"/>
        </w:rPr>
        <w:t>的安全运行承担</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"http://www.so.com/s?q=%E4%B8%BB%E4%BD%93%E8%B4%A3%E4%BB%BB&amp;ie=utf-8&amp;src=internal_wenda_recommend_textn" \t "_blank"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主体责任</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，并对未履行安全主体责任导致的</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"http://www.so.com/s?q=%E5%90%8E%E6%9E%9C&amp;ie=utf-8&amp;src=internal_wenda_recommend_textn" \t "_blank"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后果</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负责，乙方的</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"http://www.so.com/s?q=%E4%B8%BB%E8%A6%81%E8%B4%9F%E8%B4%A3%E4%BA%BA&amp;ie=utf-8&amp;src=internal_wenda_recommend_textn" \t "_blank"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主要负责人</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是</w:t>
      </w:r>
      <w:r>
        <w:rPr>
          <w:rFonts w:hint="eastAsia" w:ascii="宋体" w:hAnsi="宋体" w:eastAsia="宋体" w:cs="宋体"/>
          <w:color w:val="auto"/>
          <w:szCs w:val="21"/>
          <w:highlight w:val="none"/>
          <w:lang w:val="en-US" w:eastAsia="zh-CN"/>
        </w:rPr>
        <w:t>阜宁县人民医院</w:t>
      </w:r>
      <w:r>
        <w:rPr>
          <w:rFonts w:hint="eastAsia" w:ascii="宋体" w:hAnsi="宋体" w:eastAsia="宋体" w:cs="宋体"/>
          <w:color w:val="auto"/>
          <w:szCs w:val="21"/>
          <w:highlight w:val="none"/>
        </w:rPr>
        <w:t>安全运行的第一责任人，对落实</w:t>
      </w:r>
      <w:r>
        <w:rPr>
          <w:rFonts w:hint="eastAsia" w:ascii="宋体" w:hAnsi="宋体" w:eastAsia="宋体" w:cs="宋体"/>
          <w:color w:val="auto"/>
          <w:szCs w:val="21"/>
          <w:highlight w:val="none"/>
          <w:lang w:val="en-US" w:eastAsia="zh-CN"/>
        </w:rPr>
        <w:t>阜宁县人民医院</w:t>
      </w:r>
      <w:r>
        <w:rPr>
          <w:rFonts w:hint="eastAsia" w:ascii="宋体" w:hAnsi="宋体" w:eastAsia="宋体" w:cs="宋体"/>
          <w:color w:val="auto"/>
          <w:szCs w:val="21"/>
          <w:highlight w:val="none"/>
        </w:rPr>
        <w:t>安全运行主体责任全面负责。</w:t>
      </w:r>
    </w:p>
    <w:p w14:paraId="542347E9">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12.</w:t>
      </w:r>
      <w:r>
        <w:rPr>
          <w:rFonts w:hint="eastAsia" w:ascii="宋体" w:hAnsi="宋体" w:eastAsia="宋体" w:cs="宋体"/>
          <w:color w:val="auto"/>
          <w:szCs w:val="21"/>
          <w:highlight w:val="none"/>
        </w:rPr>
        <w:t>项目经理必须在岗，无特殊情况不得离开岗位，确实需要临时离开须甲方同意方可，否则造成的一切后果均由乙方承担。</w:t>
      </w:r>
    </w:p>
    <w:p w14:paraId="4F32A428">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13.</w:t>
      </w:r>
      <w:r>
        <w:rPr>
          <w:rFonts w:hint="eastAsia" w:ascii="宋体" w:hAnsi="宋体" w:eastAsia="宋体" w:cs="宋体"/>
          <w:color w:val="auto"/>
          <w:szCs w:val="21"/>
          <w:highlight w:val="none"/>
        </w:rPr>
        <w:t>岗位人员配置要求不得低于</w:t>
      </w:r>
      <w:r>
        <w:rPr>
          <w:rFonts w:hint="eastAsia" w:ascii="宋体" w:hAnsi="宋体" w:eastAsia="宋体" w:cs="宋体"/>
          <w:b/>
          <w:bCs/>
          <w:color w:val="auto"/>
          <w:szCs w:val="21"/>
          <w:highlight w:val="none"/>
          <w:lang w:val="en-US" w:eastAsia="zh-CN"/>
        </w:rPr>
        <w:t>51</w:t>
      </w:r>
      <w:r>
        <w:rPr>
          <w:rFonts w:hint="eastAsia" w:ascii="宋体" w:hAnsi="宋体" w:eastAsia="宋体" w:cs="宋体"/>
          <w:b/>
          <w:bCs/>
          <w:color w:val="auto"/>
          <w:szCs w:val="21"/>
          <w:highlight w:val="none"/>
        </w:rPr>
        <w:t>人</w:t>
      </w:r>
      <w:r>
        <w:rPr>
          <w:rFonts w:hint="eastAsia" w:ascii="宋体" w:hAnsi="宋体" w:eastAsia="宋体" w:cs="宋体"/>
          <w:color w:val="auto"/>
          <w:szCs w:val="21"/>
          <w:highlight w:val="none"/>
        </w:rPr>
        <w:t>，乙方可根据自身安排进行适当</w:t>
      </w:r>
      <w:r>
        <w:rPr>
          <w:rFonts w:hint="eastAsia" w:ascii="宋体" w:hAnsi="宋体" w:eastAsia="宋体" w:cs="宋体"/>
          <w:color w:val="auto"/>
          <w:szCs w:val="21"/>
          <w:highlight w:val="none"/>
          <w:lang w:eastAsia="zh-CN"/>
        </w:rPr>
        <w:t>调整</w:t>
      </w:r>
      <w:r>
        <w:rPr>
          <w:rFonts w:hint="eastAsia" w:ascii="宋体" w:hAnsi="宋体" w:eastAsia="宋体" w:cs="宋体"/>
          <w:color w:val="auto"/>
          <w:szCs w:val="21"/>
          <w:highlight w:val="none"/>
        </w:rPr>
        <w:t>，不得减少人数。所有人员必须提供健康证明，确保无重大疾病和传染病；所有人员均须定人定岗，不得兼职。</w:t>
      </w:r>
    </w:p>
    <w:p w14:paraId="223513EA">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14.</w:t>
      </w:r>
      <w:r>
        <w:rPr>
          <w:rFonts w:hint="eastAsia" w:ascii="宋体" w:hAnsi="宋体" w:eastAsia="宋体" w:cs="宋体"/>
          <w:color w:val="auto"/>
          <w:szCs w:val="21"/>
          <w:highlight w:val="none"/>
        </w:rPr>
        <w:t>乙方必须遵守劳动法，依法规范用工，全员签订劳动合同，符合条件的人员须参加社会保险，人员工资应不低于阜宁县最低工资标准（阜宁县最低工资标准现为</w:t>
      </w:r>
      <w:r>
        <w:rPr>
          <w:rFonts w:hint="eastAsia" w:ascii="宋体" w:hAnsi="宋体" w:eastAsia="宋体" w:cs="宋体"/>
          <w:b/>
          <w:bCs/>
          <w:color w:val="auto"/>
          <w:szCs w:val="21"/>
          <w:highlight w:val="none"/>
          <w:lang w:val="en-US" w:eastAsia="zh-CN"/>
        </w:rPr>
        <w:t>2180</w:t>
      </w:r>
      <w:r>
        <w:rPr>
          <w:rFonts w:hint="eastAsia" w:ascii="宋体" w:hAnsi="宋体" w:eastAsia="宋体" w:cs="宋体"/>
          <w:b/>
          <w:bCs/>
          <w:color w:val="auto"/>
          <w:szCs w:val="21"/>
          <w:highlight w:val="none"/>
        </w:rPr>
        <w:t>元/人/月</w:t>
      </w:r>
      <w:r>
        <w:rPr>
          <w:rFonts w:hint="eastAsia" w:ascii="宋体" w:hAnsi="宋体" w:eastAsia="宋体" w:cs="宋体"/>
          <w:color w:val="auto"/>
          <w:szCs w:val="21"/>
          <w:highlight w:val="none"/>
        </w:rPr>
        <w:t>），加班及福利费用支付按政策法规规定执行。</w:t>
      </w:r>
    </w:p>
    <w:p w14:paraId="07CFEEC6">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15.</w:t>
      </w:r>
      <w:r>
        <w:rPr>
          <w:rFonts w:hint="eastAsia" w:ascii="宋体" w:hAnsi="宋体" w:eastAsia="宋体" w:cs="宋体"/>
          <w:color w:val="auto"/>
          <w:szCs w:val="21"/>
          <w:highlight w:val="none"/>
        </w:rPr>
        <w:t>所有服务项目参照《中华人民共和国消防法</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公共卫生条例》等</w:t>
      </w:r>
      <w:r>
        <w:rPr>
          <w:rFonts w:hint="eastAsia" w:ascii="宋体" w:hAnsi="宋体" w:eastAsia="宋体" w:cs="宋体"/>
          <w:color w:val="auto"/>
          <w:szCs w:val="21"/>
          <w:highlight w:val="none"/>
          <w:lang w:val="en-US" w:eastAsia="zh-CN"/>
        </w:rPr>
        <w:t>法律法规</w:t>
      </w:r>
      <w:r>
        <w:rPr>
          <w:rFonts w:hint="eastAsia" w:ascii="宋体" w:hAnsi="宋体" w:eastAsia="宋体" w:cs="宋体"/>
          <w:color w:val="auto"/>
          <w:szCs w:val="21"/>
          <w:highlight w:val="none"/>
        </w:rPr>
        <w:t>进行管理，并且不局限于以上要求内容。服务单位在实施本项目经营管理时须符合国家相关的政策法规，无条件执行国家、地方政府、行业最新的标准和要求。</w:t>
      </w:r>
    </w:p>
    <w:p w14:paraId="74AB14CD">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FF0000"/>
          <w:szCs w:val="21"/>
          <w:highlight w:val="none"/>
        </w:rPr>
      </w:pPr>
      <w:r>
        <w:rPr>
          <w:rFonts w:hint="eastAsia" w:ascii="宋体" w:hAnsi="宋体" w:eastAsia="宋体" w:cs="宋体"/>
          <w:b/>
          <w:bCs/>
          <w:color w:val="FF0000"/>
          <w:szCs w:val="21"/>
          <w:highlight w:val="none"/>
        </w:rPr>
        <w:t>第九条 管理用房</w:t>
      </w:r>
    </w:p>
    <w:p w14:paraId="74EAFF4C">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FF0000"/>
          <w:szCs w:val="21"/>
          <w:highlight w:val="none"/>
        </w:rPr>
      </w:pPr>
      <w:r>
        <w:rPr>
          <w:rFonts w:hint="eastAsia" w:ascii="宋体" w:hAnsi="宋体" w:eastAsia="宋体" w:cs="宋体"/>
          <w:color w:val="FF0000"/>
          <w:szCs w:val="21"/>
          <w:highlight w:val="none"/>
          <w:lang w:eastAsia="zh-CN"/>
        </w:rPr>
        <w:t>1.</w:t>
      </w:r>
      <w:r>
        <w:rPr>
          <w:rFonts w:hint="eastAsia" w:ascii="宋体" w:hAnsi="宋体" w:eastAsia="宋体" w:cs="宋体"/>
          <w:color w:val="FF0000"/>
          <w:szCs w:val="21"/>
          <w:highlight w:val="none"/>
        </w:rPr>
        <w:t>甲方按照有关规定，向乙方提供固定的管理用房。其中包括：</w:t>
      </w:r>
      <w:r>
        <w:rPr>
          <w:rFonts w:hint="eastAsia" w:ascii="宋体" w:hAnsi="宋体" w:eastAsia="宋体" w:cs="宋体"/>
          <w:color w:val="FF0000"/>
          <w:szCs w:val="21"/>
          <w:highlight w:val="none"/>
          <w:lang w:val="en-US" w:eastAsia="zh-CN"/>
        </w:rPr>
        <w:t>中标</w:t>
      </w:r>
      <w:r>
        <w:rPr>
          <w:rFonts w:hint="eastAsia" w:ascii="宋体" w:hAnsi="宋体" w:eastAsia="宋体" w:cs="宋体"/>
          <w:color w:val="FF0000"/>
          <w:szCs w:val="21"/>
          <w:highlight w:val="none"/>
        </w:rPr>
        <w:t>企业的办公用房、监控室、值班用房等；</w:t>
      </w:r>
    </w:p>
    <w:p w14:paraId="52DAE245">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FF0000"/>
          <w:szCs w:val="21"/>
          <w:highlight w:val="none"/>
        </w:rPr>
      </w:pPr>
      <w:r>
        <w:rPr>
          <w:rFonts w:hint="eastAsia" w:ascii="宋体" w:hAnsi="宋体" w:eastAsia="宋体" w:cs="宋体"/>
          <w:color w:val="FF0000"/>
          <w:szCs w:val="21"/>
          <w:highlight w:val="none"/>
          <w:lang w:eastAsia="zh-CN"/>
        </w:rPr>
        <w:t>2.</w:t>
      </w:r>
      <w:r>
        <w:rPr>
          <w:rFonts w:hint="eastAsia" w:ascii="宋体" w:hAnsi="宋体" w:eastAsia="宋体" w:cs="宋体"/>
          <w:color w:val="FF0000"/>
          <w:szCs w:val="21"/>
          <w:highlight w:val="none"/>
        </w:rPr>
        <w:t>管理用房属甲方所有，由</w:t>
      </w:r>
      <w:bookmarkStart w:id="169" w:name="_Hlk17134956"/>
      <w:r>
        <w:rPr>
          <w:rFonts w:hint="eastAsia" w:ascii="宋体" w:hAnsi="宋体" w:eastAsia="宋体" w:cs="宋体"/>
          <w:color w:val="FF0000"/>
          <w:szCs w:val="21"/>
          <w:highlight w:val="none"/>
        </w:rPr>
        <w:t>乙方</w:t>
      </w:r>
      <w:bookmarkEnd w:id="169"/>
      <w:r>
        <w:rPr>
          <w:rFonts w:hint="eastAsia" w:ascii="宋体" w:hAnsi="宋体" w:eastAsia="宋体" w:cs="宋体"/>
          <w:color w:val="FF0000"/>
          <w:szCs w:val="21"/>
          <w:highlight w:val="none"/>
        </w:rPr>
        <w:t>在本合同期限内无偿使用，但不得改变其用途。本合同终止时，乙方应当将管理用房、</w:t>
      </w:r>
      <w:r>
        <w:rPr>
          <w:rFonts w:hint="eastAsia" w:ascii="宋体" w:hAnsi="宋体" w:eastAsia="宋体" w:cs="宋体"/>
          <w:color w:val="FF0000"/>
          <w:szCs w:val="21"/>
          <w:highlight w:val="none"/>
          <w:lang w:val="en-US" w:eastAsia="zh-CN"/>
        </w:rPr>
        <w:t>保安</w:t>
      </w:r>
      <w:r>
        <w:rPr>
          <w:rFonts w:hint="eastAsia" w:ascii="宋体" w:hAnsi="宋体" w:eastAsia="宋体" w:cs="宋体"/>
          <w:color w:val="FF0000"/>
          <w:szCs w:val="21"/>
          <w:highlight w:val="none"/>
        </w:rPr>
        <w:t>管理相关资料等及时如数地移交给甲方。</w:t>
      </w:r>
    </w:p>
    <w:p w14:paraId="5A2C5B99">
      <w:pPr>
        <w:keepNext w:val="0"/>
        <w:keepLines w:val="0"/>
        <w:pageBreakBefore w:val="0"/>
        <w:widowControl/>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第十条</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rPr>
        <w:t>考核标准及履约办法</w:t>
      </w:r>
    </w:p>
    <w:p w14:paraId="07959B84">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b w:val="0"/>
          <w:bCs w:val="0"/>
          <w:color w:val="000000" w:themeColor="text1"/>
          <w:szCs w:val="21"/>
          <w:highlight w:val="none"/>
          <w:lang w:eastAsia="zh-CN"/>
          <w14:textFill>
            <w14:solidFill>
              <w14:schemeClr w14:val="tx1"/>
            </w14:solidFill>
          </w14:textFill>
        </w:rPr>
      </w:pPr>
      <w:r>
        <w:rPr>
          <w:rFonts w:hint="eastAsia" w:ascii="宋体" w:hAnsi="宋体" w:eastAsia="宋体" w:cs="宋体"/>
          <w:b w:val="0"/>
          <w:bCs w:val="0"/>
          <w:color w:val="000000" w:themeColor="text1"/>
          <w:szCs w:val="21"/>
          <w:highlight w:val="none"/>
          <w:lang w:eastAsia="zh-CN"/>
          <w14:textFill>
            <w14:solidFill>
              <w14:schemeClr w14:val="tx1"/>
            </w14:solidFill>
          </w14:textFill>
        </w:rPr>
        <w:t>1.</w:t>
      </w:r>
      <w:r>
        <w:rPr>
          <w:rFonts w:hint="eastAsia" w:ascii="宋体" w:hAnsi="宋体" w:eastAsia="宋体" w:cs="宋体"/>
          <w:b w:val="0"/>
          <w:bCs w:val="0"/>
          <w:color w:val="000000" w:themeColor="text1"/>
          <w:szCs w:val="21"/>
          <w:highlight w:val="none"/>
          <w14:textFill>
            <w14:solidFill>
              <w14:schemeClr w14:val="tx1"/>
            </w14:solidFill>
          </w14:textFill>
        </w:rPr>
        <w:t>考核单位：</w:t>
      </w:r>
      <w:r>
        <w:rPr>
          <w:rFonts w:hint="eastAsia" w:ascii="宋体" w:hAnsi="宋体" w:eastAsia="宋体" w:cs="宋体"/>
          <w:b w:val="0"/>
          <w:bCs w:val="0"/>
          <w:color w:val="000000" w:themeColor="text1"/>
          <w:szCs w:val="21"/>
          <w:highlight w:val="none"/>
          <w:lang w:eastAsia="zh-CN"/>
          <w14:textFill>
            <w14:solidFill>
              <w14:schemeClr w14:val="tx1"/>
            </w14:solidFill>
          </w14:textFill>
        </w:rPr>
        <w:t>阜宁县人民医院</w:t>
      </w:r>
    </w:p>
    <w:p w14:paraId="68B11952">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eastAsia="zh-CN"/>
          <w14:textFill>
            <w14:solidFill>
              <w14:schemeClr w14:val="tx1"/>
            </w14:solidFill>
          </w14:textFill>
        </w:rPr>
        <w:t>2.</w:t>
      </w:r>
      <w:r>
        <w:rPr>
          <w:rFonts w:hint="eastAsia" w:ascii="宋体" w:hAnsi="宋体" w:eastAsia="宋体" w:cs="宋体"/>
          <w:b w:val="0"/>
          <w:bCs w:val="0"/>
          <w:color w:val="000000" w:themeColor="text1"/>
          <w:szCs w:val="21"/>
          <w:highlight w:val="none"/>
          <w14:textFill>
            <w14:solidFill>
              <w14:schemeClr w14:val="tx1"/>
            </w14:solidFill>
          </w14:textFill>
        </w:rPr>
        <w:t>考核目的：甲方根据《</w:t>
      </w:r>
      <w:r>
        <w:rPr>
          <w:rFonts w:hint="eastAsia" w:ascii="宋体" w:hAnsi="宋体" w:eastAsia="宋体" w:cs="宋体"/>
          <w:b w:val="0"/>
          <w:bCs w:val="0"/>
          <w:color w:val="000000" w:themeColor="text1"/>
          <w:highlight w:val="none"/>
          <w:lang w:eastAsia="zh-CN"/>
          <w14:textFill>
            <w14:solidFill>
              <w14:schemeClr w14:val="tx1"/>
            </w14:solidFill>
          </w14:textFill>
        </w:rPr>
        <w:t>阜宁县人民医院特勤及保安服务项目考核办法</w:t>
      </w:r>
      <w:r>
        <w:rPr>
          <w:rFonts w:hint="eastAsia" w:ascii="宋体" w:hAnsi="宋体" w:eastAsia="宋体" w:cs="宋体"/>
          <w:b w:val="0"/>
          <w:bCs w:val="0"/>
          <w:color w:val="000000" w:themeColor="text1"/>
          <w:szCs w:val="21"/>
          <w:highlight w:val="none"/>
          <w14:textFill>
            <w14:solidFill>
              <w14:schemeClr w14:val="tx1"/>
            </w14:solidFill>
          </w14:textFill>
        </w:rPr>
        <w:t>》对乙方进行考核，乙方如在服务过程中管理指标未达到承诺标准，甲方有权单方面解除本合同。合同期满后，如未因故扣除履约保证金又不再续约，在双方交接后甲方无息退还履约保证金。</w:t>
      </w:r>
    </w:p>
    <w:p w14:paraId="17179790">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eastAsia="zh-CN"/>
          <w14:textFill>
            <w14:solidFill>
              <w14:schemeClr w14:val="tx1"/>
            </w14:solidFill>
          </w14:textFill>
        </w:rPr>
        <w:t>3.</w:t>
      </w:r>
      <w:r>
        <w:rPr>
          <w:rFonts w:hint="eastAsia" w:ascii="宋体" w:hAnsi="宋体" w:eastAsia="宋体" w:cs="宋体"/>
          <w:b w:val="0"/>
          <w:bCs w:val="0"/>
          <w:color w:val="000000" w:themeColor="text1"/>
          <w:szCs w:val="21"/>
          <w:highlight w:val="none"/>
          <w14:textFill>
            <w14:solidFill>
              <w14:schemeClr w14:val="tx1"/>
            </w14:solidFill>
          </w14:textFill>
        </w:rPr>
        <w:t>考核项目：详见附件《</w:t>
      </w:r>
      <w:r>
        <w:rPr>
          <w:rFonts w:hint="eastAsia" w:ascii="宋体" w:hAnsi="宋体" w:eastAsia="宋体" w:cs="宋体"/>
          <w:b w:val="0"/>
          <w:bCs w:val="0"/>
          <w:color w:val="000000" w:themeColor="text1"/>
          <w:highlight w:val="none"/>
          <w:lang w:eastAsia="zh-CN"/>
          <w14:textFill>
            <w14:solidFill>
              <w14:schemeClr w14:val="tx1"/>
            </w14:solidFill>
          </w14:textFill>
        </w:rPr>
        <w:t>阜宁县人民医院特勤及保安服务项目考核办法</w:t>
      </w:r>
      <w:r>
        <w:rPr>
          <w:rFonts w:hint="eastAsia" w:ascii="宋体" w:hAnsi="宋体" w:eastAsia="宋体" w:cs="宋体"/>
          <w:b w:val="0"/>
          <w:bCs w:val="0"/>
          <w:color w:val="000000" w:themeColor="text1"/>
          <w:szCs w:val="21"/>
          <w:highlight w:val="none"/>
          <w14:textFill>
            <w14:solidFill>
              <w14:schemeClr w14:val="tx1"/>
            </w14:solidFill>
          </w14:textFill>
        </w:rPr>
        <w:t>》。</w:t>
      </w:r>
    </w:p>
    <w:p w14:paraId="5819E846">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eastAsia="zh-CN"/>
          <w14:textFill>
            <w14:solidFill>
              <w14:schemeClr w14:val="tx1"/>
            </w14:solidFill>
          </w14:textFill>
        </w:rPr>
        <w:t>4.</w:t>
      </w:r>
      <w:r>
        <w:rPr>
          <w:rFonts w:hint="eastAsia" w:ascii="宋体" w:hAnsi="宋体" w:eastAsia="宋体" w:cs="宋体"/>
          <w:b w:val="0"/>
          <w:bCs w:val="0"/>
          <w:color w:val="000000" w:themeColor="text1"/>
          <w:szCs w:val="21"/>
          <w:highlight w:val="none"/>
          <w14:textFill>
            <w14:solidFill>
              <w14:schemeClr w14:val="tx1"/>
            </w14:solidFill>
          </w14:textFill>
        </w:rPr>
        <w:t>量化考核：详见附件《</w:t>
      </w:r>
      <w:r>
        <w:rPr>
          <w:rFonts w:hint="eastAsia" w:ascii="宋体" w:hAnsi="宋体" w:eastAsia="宋体" w:cs="宋体"/>
          <w:b w:val="0"/>
          <w:bCs w:val="0"/>
          <w:color w:val="000000" w:themeColor="text1"/>
          <w:highlight w:val="none"/>
          <w:lang w:eastAsia="zh-CN"/>
          <w14:textFill>
            <w14:solidFill>
              <w14:schemeClr w14:val="tx1"/>
            </w14:solidFill>
          </w14:textFill>
        </w:rPr>
        <w:t>阜宁县人民医院特勤及保安服务项目考核办法</w:t>
      </w:r>
      <w:r>
        <w:rPr>
          <w:rFonts w:hint="eastAsia" w:ascii="宋体" w:hAnsi="宋体" w:eastAsia="宋体" w:cs="宋体"/>
          <w:b w:val="0"/>
          <w:bCs w:val="0"/>
          <w:color w:val="000000" w:themeColor="text1"/>
          <w:szCs w:val="21"/>
          <w:highlight w:val="none"/>
          <w14:textFill>
            <w14:solidFill>
              <w14:schemeClr w14:val="tx1"/>
            </w14:solidFill>
          </w14:textFill>
        </w:rPr>
        <w:t>》。</w:t>
      </w:r>
    </w:p>
    <w:p w14:paraId="7B5C24B9">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eastAsia="zh-CN"/>
          <w14:textFill>
            <w14:solidFill>
              <w14:schemeClr w14:val="tx1"/>
            </w14:solidFill>
          </w14:textFill>
        </w:rPr>
        <w:t>5.</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保安</w:t>
      </w:r>
      <w:r>
        <w:rPr>
          <w:rFonts w:hint="eastAsia" w:ascii="宋体" w:hAnsi="宋体" w:eastAsia="宋体" w:cs="宋体"/>
          <w:b w:val="0"/>
          <w:bCs w:val="0"/>
          <w:color w:val="000000" w:themeColor="text1"/>
          <w:szCs w:val="21"/>
          <w:highlight w:val="none"/>
          <w14:textFill>
            <w14:solidFill>
              <w14:schemeClr w14:val="tx1"/>
            </w14:solidFill>
          </w14:textFill>
        </w:rPr>
        <w:t>工作考核大纲与细则：详见附件《</w:t>
      </w:r>
      <w:r>
        <w:rPr>
          <w:rFonts w:hint="eastAsia" w:ascii="宋体" w:hAnsi="宋体" w:eastAsia="宋体" w:cs="宋体"/>
          <w:b w:val="0"/>
          <w:bCs w:val="0"/>
          <w:color w:val="000000" w:themeColor="text1"/>
          <w:highlight w:val="none"/>
          <w:lang w:eastAsia="zh-CN"/>
          <w14:textFill>
            <w14:solidFill>
              <w14:schemeClr w14:val="tx1"/>
            </w14:solidFill>
          </w14:textFill>
        </w:rPr>
        <w:t>阜宁县人民医院特勤及保安服务项目考核办法</w:t>
      </w:r>
      <w:r>
        <w:rPr>
          <w:rFonts w:hint="eastAsia" w:ascii="宋体" w:hAnsi="宋体" w:eastAsia="宋体" w:cs="宋体"/>
          <w:b w:val="0"/>
          <w:bCs w:val="0"/>
          <w:color w:val="000000" w:themeColor="text1"/>
          <w:szCs w:val="21"/>
          <w:highlight w:val="none"/>
          <w14:textFill>
            <w14:solidFill>
              <w14:schemeClr w14:val="tx1"/>
            </w14:solidFill>
          </w14:textFill>
        </w:rPr>
        <w:t>》。</w:t>
      </w:r>
    </w:p>
    <w:p w14:paraId="2CFEFC2F">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第十</w:t>
      </w:r>
      <w:r>
        <w:rPr>
          <w:rFonts w:hint="eastAsia" w:ascii="宋体" w:hAnsi="宋体" w:eastAsia="宋体" w:cs="宋体"/>
          <w:b/>
          <w:bCs/>
          <w:color w:val="auto"/>
          <w:szCs w:val="21"/>
          <w:highlight w:val="none"/>
          <w:lang w:val="en-US" w:eastAsia="zh-CN"/>
        </w:rPr>
        <w:t>一</w:t>
      </w:r>
      <w:r>
        <w:rPr>
          <w:rFonts w:hint="eastAsia" w:ascii="宋体" w:hAnsi="宋体" w:eastAsia="宋体" w:cs="宋体"/>
          <w:b/>
          <w:bCs/>
          <w:color w:val="auto"/>
          <w:szCs w:val="21"/>
          <w:highlight w:val="none"/>
        </w:rPr>
        <w:t>条 违约责任</w:t>
      </w:r>
      <w:r>
        <w:rPr>
          <w:rFonts w:hint="eastAsia" w:ascii="宋体" w:hAnsi="宋体" w:eastAsia="宋体" w:cs="宋体"/>
          <w:color w:val="auto"/>
          <w:szCs w:val="21"/>
          <w:highlight w:val="none"/>
        </w:rPr>
        <w:t xml:space="preserve"> </w:t>
      </w:r>
    </w:p>
    <w:p w14:paraId="1F681D48">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甲方不履行本合同约定的义务，乙方可要求甲方履行，由此造成的损失，甲方应承担相应的责任；</w:t>
      </w:r>
    </w:p>
    <w:p w14:paraId="55F4A857">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甲方违反本合同的约定，未能按时如数</w:t>
      </w:r>
      <w:r>
        <w:rPr>
          <w:rFonts w:hint="eastAsia" w:ascii="宋体" w:hAnsi="宋体" w:eastAsia="宋体" w:cs="宋体"/>
          <w:color w:val="auto"/>
          <w:szCs w:val="21"/>
          <w:highlight w:val="none"/>
          <w:lang w:val="en-US" w:eastAsia="zh-CN"/>
        </w:rPr>
        <w:t>支付保安</w:t>
      </w:r>
      <w:r>
        <w:rPr>
          <w:rFonts w:hint="eastAsia" w:ascii="宋体" w:hAnsi="宋体" w:eastAsia="宋体" w:cs="宋体"/>
          <w:color w:val="auto"/>
          <w:szCs w:val="21"/>
          <w:highlight w:val="none"/>
        </w:rPr>
        <w:t>服务费</w:t>
      </w:r>
      <w:r>
        <w:rPr>
          <w:rFonts w:hint="eastAsia" w:ascii="宋体" w:hAnsi="宋体" w:eastAsia="宋体" w:cs="宋体"/>
          <w:color w:val="auto"/>
          <w:szCs w:val="21"/>
          <w:highlight w:val="none"/>
          <w:lang w:val="en-US" w:eastAsia="zh-CN"/>
        </w:rPr>
        <w:t>用</w:t>
      </w:r>
      <w:r>
        <w:rPr>
          <w:rFonts w:hint="eastAsia" w:ascii="宋体" w:hAnsi="宋体" w:eastAsia="宋体" w:cs="宋体"/>
          <w:color w:val="auto"/>
          <w:szCs w:val="21"/>
          <w:highlight w:val="none"/>
        </w:rPr>
        <w:t>的，应按每月千分之五的标准向乙方支付违约金，并应于五日内补交费用；</w:t>
      </w:r>
    </w:p>
    <w:p w14:paraId="37600828">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乙方违反本合同约定，乙方如发生将本</w:t>
      </w:r>
      <w:r>
        <w:rPr>
          <w:rFonts w:hint="eastAsia" w:ascii="宋体" w:hAnsi="宋体" w:eastAsia="宋体" w:cs="宋体"/>
          <w:color w:val="auto"/>
          <w:szCs w:val="21"/>
          <w:highlight w:val="none"/>
          <w:lang w:val="en-US" w:eastAsia="zh-CN"/>
        </w:rPr>
        <w:t>项目</w:t>
      </w:r>
      <w:r>
        <w:rPr>
          <w:rFonts w:hint="eastAsia" w:ascii="宋体" w:hAnsi="宋体" w:eastAsia="宋体" w:cs="宋体"/>
          <w:color w:val="auto"/>
          <w:szCs w:val="21"/>
          <w:highlight w:val="none"/>
        </w:rPr>
        <w:t>转包、转让、违规、违法现象或在履行合约中单方中途退出的，甲方将中止本合同，没收履约保证金，追偿违约金，并追究由此造成的一切损失；</w:t>
      </w:r>
    </w:p>
    <w:p w14:paraId="76096DCF">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4.</w:t>
      </w:r>
      <w:bookmarkStart w:id="170" w:name="_Hlk17796175"/>
      <w:r>
        <w:rPr>
          <w:rFonts w:hint="eastAsia" w:ascii="宋体" w:hAnsi="宋体" w:eastAsia="宋体" w:cs="宋体"/>
          <w:color w:val="auto"/>
          <w:szCs w:val="21"/>
          <w:highlight w:val="none"/>
        </w:rPr>
        <w:t>乙方未按</w:t>
      </w:r>
      <w:bookmarkEnd w:id="170"/>
      <w:r>
        <w:rPr>
          <w:rFonts w:hint="eastAsia" w:ascii="宋体" w:hAnsi="宋体" w:eastAsia="宋体" w:cs="宋体"/>
          <w:color w:val="auto"/>
          <w:szCs w:val="21"/>
          <w:highlight w:val="none"/>
        </w:rPr>
        <w:t>投标文件（含招标文件）约定投入本项目</w:t>
      </w:r>
      <w:bookmarkStart w:id="171" w:name="_Hlk17796205"/>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服务人员</w:t>
      </w:r>
      <w:bookmarkEnd w:id="171"/>
      <w:r>
        <w:rPr>
          <w:rFonts w:hint="eastAsia" w:ascii="宋体" w:hAnsi="宋体" w:eastAsia="宋体" w:cs="宋体"/>
          <w:color w:val="auto"/>
          <w:szCs w:val="21"/>
          <w:highlight w:val="none"/>
        </w:rPr>
        <w:t>的、乙方未按规定对投入本项目的</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服务人员缴纳社会保险等费用的，甲方可督促乙方进行整改，并可对乙方进行经济处罚。在必要情况下，甲方可单方面终止合同，由此引起的一切责任及损失均由乙方负责；</w:t>
      </w:r>
    </w:p>
    <w:p w14:paraId="58DB10A6">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甲乙双方均应严格履行合同的约定，若任何一方导致合同不能正常履行或无故单方解除合同，则应</w:t>
      </w:r>
      <w:r>
        <w:rPr>
          <w:rFonts w:hint="eastAsia" w:ascii="宋体" w:hAnsi="宋体" w:eastAsia="宋体" w:cs="宋体"/>
          <w:color w:val="auto"/>
          <w:szCs w:val="21"/>
          <w:highlight w:val="none"/>
          <w:lang w:eastAsia="zh-CN"/>
        </w:rPr>
        <w:t>承担</w:t>
      </w:r>
      <w:r>
        <w:rPr>
          <w:rFonts w:hint="eastAsia" w:ascii="宋体" w:hAnsi="宋体" w:eastAsia="宋体" w:cs="宋体"/>
          <w:color w:val="auto"/>
          <w:szCs w:val="21"/>
          <w:highlight w:val="none"/>
        </w:rPr>
        <w:t>合同总价的5%违约金和由此造成的后果，给对方造成的损失，应赔偿相应损失。</w:t>
      </w:r>
    </w:p>
    <w:p w14:paraId="4B0C946C">
      <w:pPr>
        <w:keepNext w:val="0"/>
        <w:keepLines w:val="0"/>
        <w:pageBreakBefore w:val="0"/>
        <w:kinsoku/>
        <w:wordWrap/>
        <w:overflowPunct/>
        <w:topLinePunct w:val="0"/>
        <w:autoSpaceDE/>
        <w:autoSpaceDN/>
        <w:bidi w:val="0"/>
        <w:adjustRightInd/>
        <w:snapToGrid/>
        <w:spacing w:line="460" w:lineRule="exact"/>
        <w:ind w:firstLine="420"/>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第十</w:t>
      </w:r>
      <w:r>
        <w:rPr>
          <w:rFonts w:hint="eastAsia" w:ascii="宋体" w:hAnsi="宋体" w:eastAsia="宋体" w:cs="宋体"/>
          <w:b/>
          <w:bCs/>
          <w:color w:val="auto"/>
          <w:szCs w:val="21"/>
          <w:highlight w:val="none"/>
          <w:lang w:val="en-US" w:eastAsia="zh-CN"/>
        </w:rPr>
        <w:t>二</w:t>
      </w:r>
      <w:r>
        <w:rPr>
          <w:rFonts w:hint="eastAsia" w:ascii="宋体" w:hAnsi="宋体" w:eastAsia="宋体" w:cs="宋体"/>
          <w:b/>
          <w:bCs/>
          <w:color w:val="auto"/>
          <w:szCs w:val="21"/>
          <w:highlight w:val="none"/>
        </w:rPr>
        <w:t>条</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rPr>
        <w:t>履约保证金</w:t>
      </w:r>
    </w:p>
    <w:p w14:paraId="73476267">
      <w:pPr>
        <w:keepNext w:val="0"/>
        <w:keepLines w:val="0"/>
        <w:pageBreakBefore w:val="0"/>
        <w:widowControl/>
        <w:numPr>
          <w:ilvl w:val="0"/>
          <w:numId w:val="0"/>
        </w:numPr>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履约保证金缴纳</w:t>
      </w:r>
      <w:r>
        <w:rPr>
          <w:rFonts w:hint="eastAsia" w:ascii="宋体" w:hAnsi="宋体" w:eastAsia="宋体" w:cs="宋体"/>
          <w:color w:val="auto"/>
          <w:sz w:val="21"/>
          <w:szCs w:val="21"/>
          <w:highlight w:val="none"/>
          <w:lang w:eastAsia="zh-CN"/>
        </w:rPr>
        <w:t>：</w:t>
      </w:r>
    </w:p>
    <w:p w14:paraId="7262831C">
      <w:pPr>
        <w:keepNext w:val="0"/>
        <w:keepLines w:val="0"/>
        <w:pageBreakBefore w:val="0"/>
        <w:widowControl/>
        <w:numPr>
          <w:ilvl w:val="0"/>
          <w:numId w:val="0"/>
        </w:numPr>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乙方向甲方交纳履约保证金</w:t>
      </w:r>
      <w:r>
        <w:rPr>
          <w:rFonts w:hint="eastAsia" w:ascii="宋体" w:hAnsi="宋体" w:eastAsia="宋体" w:cs="宋体"/>
          <w:color w:val="auto"/>
          <w:sz w:val="21"/>
          <w:szCs w:val="21"/>
          <w:highlight w:val="none"/>
          <w:lang w:val="en-US" w:eastAsia="zh-CN"/>
        </w:rPr>
        <w:t>伍万元整，</w:t>
      </w:r>
      <w:r>
        <w:rPr>
          <w:rFonts w:hint="eastAsia" w:ascii="宋体" w:hAnsi="宋体" w:eastAsia="宋体" w:cs="宋体"/>
          <w:color w:val="auto"/>
          <w:sz w:val="21"/>
          <w:szCs w:val="21"/>
          <w:highlight w:val="none"/>
          <w:u w:val="none"/>
          <w:lang w:val="en-US" w:eastAsia="zh-CN"/>
        </w:rPr>
        <w:t>形式：乙方应在签订合同前将履约保证金应当以转账、电汇或银行汇票等形式从乙方的账户转至甲方指定账户。</w:t>
      </w:r>
    </w:p>
    <w:p w14:paraId="20DC1424">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合同履行结束后，甲方应及时退还交纳的履约保证金。</w:t>
      </w:r>
    </w:p>
    <w:p w14:paraId="576AE41A">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履约保证金的退还：</w:t>
      </w:r>
    </w:p>
    <w:p w14:paraId="3860498F">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3.1方式：无</w:t>
      </w:r>
      <w:r>
        <w:rPr>
          <w:rFonts w:hint="eastAsia" w:ascii="宋体" w:hAnsi="宋体" w:eastAsia="宋体" w:cs="宋体"/>
          <w:color w:val="auto"/>
          <w:sz w:val="21"/>
          <w:szCs w:val="21"/>
          <w:highlight w:val="none"/>
        </w:rPr>
        <w:t>息退还至</w:t>
      </w:r>
      <w:r>
        <w:rPr>
          <w:rFonts w:hint="eastAsia" w:ascii="宋体" w:hAnsi="宋体" w:eastAsia="宋体" w:cs="宋体"/>
          <w:color w:val="auto"/>
          <w:sz w:val="21"/>
          <w:szCs w:val="21"/>
          <w:highlight w:val="none"/>
          <w:lang w:val="en-US" w:eastAsia="zh-CN"/>
        </w:rPr>
        <w:t>中</w:t>
      </w:r>
      <w:r>
        <w:rPr>
          <w:rFonts w:hint="eastAsia" w:ascii="宋体" w:hAnsi="宋体" w:eastAsia="宋体" w:cs="宋体"/>
          <w:color w:val="auto"/>
          <w:sz w:val="21"/>
          <w:szCs w:val="21"/>
          <w:highlight w:val="none"/>
        </w:rPr>
        <w:t>标人缴纳履约保证金的账户。</w:t>
      </w:r>
    </w:p>
    <w:p w14:paraId="0DB1C4AE">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3.2时间：验收合格且</w:t>
      </w:r>
      <w:r>
        <w:rPr>
          <w:rFonts w:hint="eastAsia" w:ascii="宋体" w:hAnsi="宋体" w:eastAsia="宋体" w:cs="宋体"/>
          <w:color w:val="auto"/>
          <w:szCs w:val="21"/>
          <w:highlight w:val="none"/>
          <w:lang w:val="en-US" w:eastAsia="zh-CN"/>
        </w:rPr>
        <w:t>甲方</w:t>
      </w:r>
      <w:r>
        <w:rPr>
          <w:rFonts w:hint="eastAsia" w:ascii="宋体" w:hAnsi="宋体" w:eastAsia="宋体" w:cs="宋体"/>
          <w:color w:val="auto"/>
          <w:szCs w:val="21"/>
          <w:highlight w:val="none"/>
        </w:rPr>
        <w:t>收到发票后</w:t>
      </w:r>
      <w:r>
        <w:rPr>
          <w:rFonts w:hint="eastAsia" w:ascii="宋体" w:hAnsi="宋体" w:eastAsia="宋体" w:cs="宋体"/>
          <w:color w:val="auto"/>
          <w:sz w:val="21"/>
          <w:szCs w:val="21"/>
          <w:highlight w:val="none"/>
        </w:rPr>
        <w:t>30日内。因乙方自身原因造成延期退还的，甲方不承担责任。</w:t>
      </w:r>
    </w:p>
    <w:p w14:paraId="1471D3BD">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3.3条件：按合同要求全部履约完成并经采购人验收合格，且甲方收到乙方出具的发票。</w:t>
      </w:r>
    </w:p>
    <w:p w14:paraId="517D3D87">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3.4不予退还情形：</w:t>
      </w:r>
    </w:p>
    <w:p w14:paraId="0B4479DA">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除不可抗力情况外，投标人出现下列情形之一的，其履约保证金，甲方将视情节决定不予退还或部分不予退还。</w:t>
      </w:r>
    </w:p>
    <w:p w14:paraId="3A6BF1BE">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（1）乙方无正当理由拒绝签订合同的，或者在签订合同时向采购人提出附加条件或者更改合同实质性内容要求的；</w:t>
      </w:r>
    </w:p>
    <w:p w14:paraId="00366D85">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（2）乙方不履行与采购人订立的合同的；</w:t>
      </w:r>
    </w:p>
    <w:p w14:paraId="445B5AC2">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（3）乙方所供服务不符合招标文件规定要求的；</w:t>
      </w:r>
    </w:p>
    <w:p w14:paraId="7C437BA7">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（4）乙方采取欺骗、弄虚作假方式投标的或与</w:t>
      </w:r>
      <w:r>
        <w:rPr>
          <w:rFonts w:hint="eastAsia" w:ascii="宋体" w:hAnsi="宋体" w:eastAsia="宋体" w:cs="宋体"/>
          <w:color w:val="auto"/>
          <w:szCs w:val="21"/>
          <w:highlight w:val="none"/>
          <w:lang w:eastAsia="zh-CN"/>
        </w:rPr>
        <w:t>其他</w:t>
      </w:r>
      <w:r>
        <w:rPr>
          <w:rFonts w:hint="eastAsia" w:ascii="宋体" w:hAnsi="宋体" w:eastAsia="宋体" w:cs="宋体"/>
          <w:color w:val="auto"/>
          <w:szCs w:val="21"/>
          <w:highlight w:val="none"/>
        </w:rPr>
        <w:t>投标人串通投标的；</w:t>
      </w:r>
    </w:p>
    <w:p w14:paraId="62A3E13A">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（5）乙方将合同内容转包、违法分包的；</w:t>
      </w:r>
    </w:p>
    <w:p w14:paraId="725925BE">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（6）乙方故意捏造事实或伪造证明材料，进行虚假恶意投诉或反映的。</w:t>
      </w:r>
    </w:p>
    <w:p w14:paraId="46E5A9DD">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（7）试用期内未能按合同、招标文件、响应文件履约的。</w:t>
      </w:r>
    </w:p>
    <w:p w14:paraId="27F9ADB3">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第十</w:t>
      </w:r>
      <w:r>
        <w:rPr>
          <w:rFonts w:hint="eastAsia" w:ascii="宋体" w:hAnsi="宋体" w:eastAsia="宋体" w:cs="宋体"/>
          <w:b/>
          <w:bCs/>
          <w:color w:val="auto"/>
          <w:szCs w:val="21"/>
          <w:highlight w:val="none"/>
          <w:lang w:val="en-US" w:eastAsia="zh-CN"/>
        </w:rPr>
        <w:t>三</w:t>
      </w:r>
      <w:r>
        <w:rPr>
          <w:rFonts w:hint="eastAsia" w:ascii="宋体" w:hAnsi="宋体" w:eastAsia="宋体" w:cs="宋体"/>
          <w:b/>
          <w:bCs/>
          <w:color w:val="auto"/>
          <w:szCs w:val="21"/>
          <w:highlight w:val="none"/>
        </w:rPr>
        <w:t xml:space="preserve">条 </w:t>
      </w:r>
      <w:r>
        <w:rPr>
          <w:rFonts w:hint="eastAsia" w:ascii="宋体" w:hAnsi="宋体" w:eastAsia="宋体" w:cs="宋体"/>
          <w:b/>
          <w:bCs/>
          <w:color w:val="auto"/>
          <w:szCs w:val="21"/>
          <w:highlight w:val="none"/>
          <w:lang w:eastAsia="zh-CN"/>
        </w:rPr>
        <w:t>其他</w:t>
      </w:r>
    </w:p>
    <w:p w14:paraId="72D96DE2">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rPr>
        <w:t>合同期满后退出</w:t>
      </w:r>
      <w:r>
        <w:rPr>
          <w:rFonts w:hint="eastAsia" w:ascii="宋体" w:hAnsi="宋体" w:eastAsia="宋体" w:cs="宋体"/>
          <w:color w:val="auto"/>
          <w:szCs w:val="21"/>
          <w:highlight w:val="none"/>
          <w:lang w:val="en-US" w:eastAsia="zh-CN"/>
        </w:rPr>
        <w:t>本次保安服务</w:t>
      </w:r>
      <w:r>
        <w:rPr>
          <w:rFonts w:hint="eastAsia" w:ascii="宋体" w:hAnsi="宋体" w:eastAsia="宋体" w:cs="宋体"/>
          <w:color w:val="auto"/>
          <w:szCs w:val="21"/>
          <w:highlight w:val="none"/>
        </w:rPr>
        <w:t>时必须向甲方移交全套档案资料等，经甲方验收合格，并完成与后续</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rPr>
        <w:t>服务</w:t>
      </w:r>
      <w:r>
        <w:rPr>
          <w:rFonts w:hint="eastAsia" w:ascii="宋体" w:hAnsi="宋体" w:eastAsia="宋体" w:cs="宋体"/>
          <w:color w:val="auto"/>
          <w:szCs w:val="21"/>
          <w:highlight w:val="none"/>
          <w:lang w:val="en-US" w:eastAsia="zh-CN"/>
        </w:rPr>
        <w:t>单位</w:t>
      </w:r>
      <w:r>
        <w:rPr>
          <w:rFonts w:hint="eastAsia" w:ascii="宋体" w:hAnsi="宋体" w:eastAsia="宋体" w:cs="宋体"/>
          <w:color w:val="auto"/>
          <w:szCs w:val="21"/>
          <w:highlight w:val="none"/>
        </w:rPr>
        <w:t>的衔接后，方可退出。合同提前终止或期满退出的，规定时间内必须与甲方及后续</w:t>
      </w:r>
      <w:r>
        <w:rPr>
          <w:rFonts w:hint="eastAsia" w:ascii="宋体" w:hAnsi="宋体" w:eastAsia="宋体" w:cs="宋体"/>
          <w:color w:val="auto"/>
          <w:szCs w:val="21"/>
          <w:highlight w:val="none"/>
          <w:lang w:val="en-US" w:eastAsia="zh-CN"/>
        </w:rPr>
        <w:t>保安服务单位</w:t>
      </w:r>
      <w:r>
        <w:rPr>
          <w:rFonts w:hint="eastAsia" w:ascii="宋体" w:hAnsi="宋体" w:eastAsia="宋体" w:cs="宋体"/>
          <w:color w:val="auto"/>
          <w:szCs w:val="21"/>
          <w:highlight w:val="none"/>
        </w:rPr>
        <w:t>完成交接、衔接工作。</w:t>
      </w:r>
    </w:p>
    <w:p w14:paraId="7B655475">
      <w:pPr>
        <w:keepNext w:val="0"/>
        <w:keepLines w:val="0"/>
        <w:pageBreakBefore w:val="0"/>
        <w:widowControl/>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乙方自行协调解决本项目实施过程中发生的各种矛盾，甲方不承担任何费用和责任；乙方已到项目现场勘察以充分了解项目位置、情况及任何其他影响承包价的情况，任何因忽视或误解项目情况而导致的索赔申请不被批准。</w:t>
      </w:r>
    </w:p>
    <w:p w14:paraId="0F3CB3EC">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本合同中的未尽事宜，双方可协商后进行补充，以书面形式签订补充协议，补充协议与本合同</w:t>
      </w:r>
      <w:r>
        <w:rPr>
          <w:rFonts w:hint="eastAsia" w:ascii="宋体" w:hAnsi="宋体" w:eastAsia="宋体" w:cs="宋体"/>
          <w:color w:val="auto"/>
          <w:szCs w:val="21"/>
          <w:highlight w:val="none"/>
          <w:lang w:eastAsia="zh-CN"/>
        </w:rPr>
        <w:t>具有</w:t>
      </w:r>
      <w:r>
        <w:rPr>
          <w:rFonts w:hint="eastAsia" w:ascii="宋体" w:hAnsi="宋体" w:eastAsia="宋体" w:cs="宋体"/>
          <w:color w:val="auto"/>
          <w:szCs w:val="21"/>
          <w:highlight w:val="none"/>
        </w:rPr>
        <w:t>同等效力。</w:t>
      </w:r>
    </w:p>
    <w:p w14:paraId="14946FE0">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甲方的《招标文件》和乙方中标的《投标文件》为本合同的附件，本合同之附件均为本合同不可分割的组成部分，与本合同具有同等的法律效力。</w:t>
      </w:r>
    </w:p>
    <w:p w14:paraId="2B62C8DB">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本合同及其附件和补充协议中的未规定事宜，均按照中华人民共和国有关</w:t>
      </w:r>
      <w:r>
        <w:rPr>
          <w:rFonts w:hint="eastAsia" w:ascii="宋体" w:hAnsi="宋体" w:eastAsia="宋体" w:cs="宋体"/>
          <w:color w:val="auto"/>
          <w:szCs w:val="21"/>
          <w:highlight w:val="none"/>
          <w:lang w:eastAsia="zh-CN"/>
        </w:rPr>
        <w:t>法律法规</w:t>
      </w:r>
      <w:r>
        <w:rPr>
          <w:rFonts w:hint="eastAsia" w:ascii="宋体" w:hAnsi="宋体" w:eastAsia="宋体" w:cs="宋体"/>
          <w:color w:val="auto"/>
          <w:szCs w:val="21"/>
          <w:highlight w:val="none"/>
        </w:rPr>
        <w:t>和规章执行。</w:t>
      </w:r>
    </w:p>
    <w:p w14:paraId="549EA7BA">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本合同之附件如有与本合同相抵触之处，以本合同规定为准。</w:t>
      </w:r>
    </w:p>
    <w:p w14:paraId="1EC7DCC4">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合同期满本合同自然终止。</w:t>
      </w:r>
    </w:p>
    <w:p w14:paraId="562D0FBE">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本合同在履行中如遇争议，双方可以通过协商和解、依法申请调解、向有关行政部门申诉、提请仲裁机构仲裁、向甲方所在地人民法院</w:t>
      </w:r>
      <w:r>
        <w:rPr>
          <w:rFonts w:hint="eastAsia" w:ascii="宋体" w:hAnsi="宋体" w:eastAsia="宋体" w:cs="宋体"/>
          <w:color w:val="auto"/>
          <w:szCs w:val="21"/>
          <w:highlight w:val="none"/>
          <w:lang w:eastAsia="zh-CN"/>
        </w:rPr>
        <w:t>提起诉讼</w:t>
      </w:r>
      <w:r>
        <w:rPr>
          <w:rFonts w:hint="eastAsia" w:ascii="宋体" w:hAnsi="宋体" w:eastAsia="宋体" w:cs="宋体"/>
          <w:color w:val="auto"/>
          <w:szCs w:val="21"/>
          <w:highlight w:val="none"/>
        </w:rPr>
        <w:t>等方式解决。</w:t>
      </w:r>
    </w:p>
    <w:p w14:paraId="4375AB3C">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本合同任何条款不能认定为任何一方提供的格式条款。</w:t>
      </w:r>
    </w:p>
    <w:p w14:paraId="0981B569">
      <w:pPr>
        <w:pStyle w:val="215"/>
        <w:keepNext w:val="0"/>
        <w:keepLines w:val="0"/>
        <w:pageBreakBefore w:val="0"/>
        <w:kinsoku/>
        <w:wordWrap/>
        <w:overflowPunct/>
        <w:topLinePunct w:val="0"/>
        <w:autoSpaceDE/>
        <w:autoSpaceDN/>
        <w:bidi w:val="0"/>
        <w:adjustRightInd/>
        <w:snapToGrid/>
        <w:spacing w:line="46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本合同一式捌份，甲、乙双方各执叁份，</w:t>
      </w:r>
      <w:r>
        <w:rPr>
          <w:rFonts w:hint="eastAsia" w:ascii="宋体" w:hAnsi="宋体" w:eastAsia="宋体" w:cs="宋体"/>
          <w:color w:val="auto"/>
          <w:szCs w:val="21"/>
          <w:highlight w:val="none"/>
          <w:lang w:val="en-US" w:eastAsia="zh-CN"/>
        </w:rPr>
        <w:t>代理机构存档</w:t>
      </w:r>
      <w:r>
        <w:rPr>
          <w:rFonts w:hint="eastAsia" w:ascii="宋体" w:hAnsi="宋体" w:eastAsia="宋体" w:cs="宋体"/>
          <w:color w:val="auto"/>
          <w:szCs w:val="21"/>
          <w:highlight w:val="none"/>
        </w:rPr>
        <w:t>执贰份。</w:t>
      </w:r>
    </w:p>
    <w:p w14:paraId="385C93C3">
      <w:pPr>
        <w:pStyle w:val="17"/>
        <w:keepNext w:val="0"/>
        <w:keepLines w:val="0"/>
        <w:pageBreakBefore w:val="0"/>
        <w:kinsoku/>
        <w:wordWrap/>
        <w:overflowPunct/>
        <w:topLinePunct w:val="0"/>
        <w:autoSpaceDE/>
        <w:autoSpaceDN/>
        <w:bidi w:val="0"/>
        <w:adjustRightInd/>
        <w:snapToGrid/>
        <w:spacing w:line="460" w:lineRule="exact"/>
        <w:ind w:left="0" w:leftChars="0" w:firstLine="0" w:firstLineChars="0"/>
        <w:textAlignment w:val="auto"/>
        <w:rPr>
          <w:rFonts w:hint="eastAsia" w:ascii="宋体" w:hAnsi="宋体" w:eastAsia="宋体" w:cs="宋体"/>
          <w:color w:val="auto"/>
          <w:highlight w:val="none"/>
        </w:rPr>
      </w:pPr>
    </w:p>
    <w:p w14:paraId="32CF83AA">
      <w:pPr>
        <w:keepNext w:val="0"/>
        <w:keepLines w:val="0"/>
        <w:pageBreakBefore w:val="0"/>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                                   乙方： </w:t>
      </w:r>
    </w:p>
    <w:p w14:paraId="3DE54F4E">
      <w:pPr>
        <w:keepNext w:val="0"/>
        <w:keepLines w:val="0"/>
        <w:pageBreakBefore w:val="0"/>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地址： </w:t>
      </w:r>
    </w:p>
    <w:p w14:paraId="593B95FC">
      <w:pPr>
        <w:keepNext w:val="0"/>
        <w:keepLines w:val="0"/>
        <w:pageBreakBefore w:val="0"/>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法定代表人或授权代表：                   法定代表人或授权代表：</w:t>
      </w:r>
    </w:p>
    <w:p w14:paraId="4E6425C9">
      <w:pPr>
        <w:keepNext w:val="0"/>
        <w:keepLines w:val="0"/>
        <w:pageBreakBefore w:val="0"/>
        <w:kinsoku/>
        <w:wordWrap/>
        <w:overflowPunct/>
        <w:topLinePunct w:val="0"/>
        <w:autoSpaceDE/>
        <w:autoSpaceDN/>
        <w:bidi w:val="0"/>
        <w:adjustRightInd/>
        <w:snapToGrid/>
        <w:spacing w:line="460" w:lineRule="exact"/>
        <w:ind w:firstLine="422"/>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                               联系电话：</w:t>
      </w:r>
    </w:p>
    <w:p w14:paraId="02B768BF">
      <w:pPr>
        <w:keepNext w:val="0"/>
        <w:keepLines w:val="0"/>
        <w:pageBreakBefore w:val="0"/>
        <w:kinsoku/>
        <w:wordWrap/>
        <w:overflowPunct/>
        <w:topLinePunct w:val="0"/>
        <w:autoSpaceDE/>
        <w:autoSpaceDN/>
        <w:bidi w:val="0"/>
        <w:adjustRightInd/>
        <w:snapToGrid/>
        <w:spacing w:line="460" w:lineRule="exact"/>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t xml:space="preserve">签订地点：                               </w:t>
      </w:r>
      <w:r>
        <w:rPr>
          <w:rFonts w:hint="eastAsia" w:ascii="宋体" w:hAnsi="宋体" w:eastAsia="宋体" w:cs="宋体"/>
          <w:color w:val="auto"/>
          <w:szCs w:val="21"/>
          <w:highlight w:val="none"/>
        </w:rPr>
        <w:t>签订日期：    年  月  日</w:t>
      </w:r>
      <w:bookmarkStart w:id="172" w:name="_Hlt16619350"/>
      <w:bookmarkStart w:id="173" w:name="_Toc479757211"/>
      <w:bookmarkStart w:id="174" w:name="_Hlt16619369"/>
      <w:bookmarkStart w:id="175" w:name="_Toc120614244"/>
      <w:bookmarkStart w:id="176" w:name="_Toc16938590"/>
      <w:bookmarkStart w:id="177" w:name="_Toc20823346"/>
      <w:bookmarkStart w:id="178" w:name="_Toc462564139"/>
    </w:p>
    <w:p w14:paraId="03FE9D23">
      <w:pPr>
        <w:pStyle w:val="34"/>
        <w:spacing w:before="120" w:beforeAutospacing="0" w:after="120" w:afterAutospacing="0" w:line="0" w:lineRule="atLeast"/>
        <w:ind w:left="480" w:firstLine="482"/>
        <w:jc w:val="both"/>
        <w:rPr>
          <w:rFonts w:hint="eastAsia" w:ascii="宋体" w:hAnsi="宋体" w:eastAsia="宋体" w:cs="宋体"/>
          <w:color w:val="auto"/>
          <w:highlight w:val="none"/>
        </w:rPr>
      </w:pPr>
    </w:p>
    <w:p w14:paraId="6F43487C">
      <w:pPr>
        <w:pStyle w:val="34"/>
        <w:keepNext w:val="0"/>
        <w:keepLines w:val="0"/>
        <w:pageBreakBefore w:val="0"/>
        <w:widowControl w:val="0"/>
        <w:spacing w:before="120" w:beforeAutospacing="0" w:after="120" w:afterAutospacing="0" w:line="360" w:lineRule="auto"/>
        <w:jc w:val="center"/>
        <w:outlineLvl w:val="0"/>
        <w:rPr>
          <w:rFonts w:hint="eastAsia" w:ascii="黑体" w:hAnsi="宋体" w:eastAsia="黑体" w:cs="黑体"/>
          <w:color w:val="auto"/>
          <w:sz w:val="44"/>
          <w:szCs w:val="44"/>
          <w:highlight w:val="none"/>
        </w:rPr>
      </w:pPr>
      <w:bookmarkStart w:id="179" w:name="_Toc22915"/>
    </w:p>
    <w:p w14:paraId="4358ED8E">
      <w:pPr>
        <w:widowControl/>
        <w:spacing w:line="600" w:lineRule="exact"/>
        <w:jc w:val="both"/>
        <w:rPr>
          <w:rFonts w:hint="eastAsia" w:ascii="宋体" w:hAnsi="宋体" w:eastAsia="宋体" w:cs="宋体"/>
          <w:b/>
          <w:bCs/>
          <w:color w:val="FF0000"/>
          <w:highlight w:val="none"/>
          <w:lang w:eastAsia="zh-CN"/>
        </w:rPr>
      </w:pPr>
      <w:r>
        <w:rPr>
          <w:rFonts w:hint="eastAsia" w:ascii="宋体" w:hAnsi="宋体" w:eastAsia="宋体" w:cs="宋体"/>
          <w:b/>
          <w:bCs/>
          <w:color w:val="FF0000"/>
          <w:highlight w:val="none"/>
          <w:lang w:eastAsia="zh-CN"/>
        </w:rPr>
        <w:t>附：阜宁县人民医院特勤及保安服务项目考核办法</w:t>
      </w:r>
    </w:p>
    <w:p w14:paraId="5AFD5432">
      <w:pPr>
        <w:widowControl/>
        <w:spacing w:line="600" w:lineRule="exact"/>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阜宁县人民医院特勤及保安服务项目考核细则</w:t>
      </w:r>
    </w:p>
    <w:p w14:paraId="7C18D5DD">
      <w:pPr>
        <w:jc w:val="center"/>
      </w:pPr>
    </w:p>
    <w:tbl>
      <w:tblPr>
        <w:tblStyle w:val="38"/>
        <w:tblW w:w="86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8"/>
        <w:gridCol w:w="3645"/>
      </w:tblGrid>
      <w:tr w14:paraId="771B0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978" w:type="dxa"/>
            <w:tcBorders>
              <w:top w:val="single" w:color="auto" w:sz="4" w:space="0"/>
              <w:left w:val="single" w:color="auto" w:sz="4" w:space="0"/>
              <w:bottom w:val="single" w:color="auto" w:sz="4" w:space="0"/>
              <w:right w:val="single" w:color="auto" w:sz="4" w:space="0"/>
            </w:tcBorders>
            <w:noWrap w:val="0"/>
            <w:vAlign w:val="center"/>
          </w:tcPr>
          <w:p w14:paraId="02D5F3F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宋体" w:hAnsi="宋体" w:eastAsia="宋体" w:cs="宋体"/>
                <w:b/>
                <w:sz w:val="21"/>
                <w:szCs w:val="21"/>
              </w:rPr>
            </w:pPr>
            <w:r>
              <w:rPr>
                <w:rFonts w:hint="eastAsia" w:ascii="宋体" w:hAnsi="宋体" w:eastAsia="宋体" w:cs="宋体"/>
                <w:b/>
                <w:sz w:val="21"/>
                <w:szCs w:val="21"/>
              </w:rPr>
              <w:t>考 评 内 容</w:t>
            </w:r>
          </w:p>
        </w:tc>
        <w:tc>
          <w:tcPr>
            <w:tcW w:w="3645" w:type="dxa"/>
            <w:tcBorders>
              <w:top w:val="single" w:color="auto" w:sz="4" w:space="0"/>
              <w:left w:val="single" w:color="auto" w:sz="4" w:space="0"/>
              <w:bottom w:val="single" w:color="auto" w:sz="4" w:space="0"/>
              <w:right w:val="single" w:color="auto" w:sz="4" w:space="0"/>
            </w:tcBorders>
            <w:noWrap w:val="0"/>
            <w:vAlign w:val="center"/>
          </w:tcPr>
          <w:p w14:paraId="5A80079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宋体" w:hAnsi="宋体" w:eastAsia="宋体" w:cs="宋体"/>
                <w:b/>
                <w:sz w:val="21"/>
                <w:szCs w:val="21"/>
              </w:rPr>
            </w:pPr>
            <w:r>
              <w:rPr>
                <w:rFonts w:hint="eastAsia" w:ascii="宋体" w:hAnsi="宋体" w:eastAsia="宋体" w:cs="宋体"/>
                <w:b/>
                <w:sz w:val="21"/>
                <w:szCs w:val="21"/>
              </w:rPr>
              <w:t>标    准</w:t>
            </w:r>
          </w:p>
        </w:tc>
      </w:tr>
      <w:tr w14:paraId="315F0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978" w:type="dxa"/>
            <w:tcBorders>
              <w:top w:val="single" w:color="auto" w:sz="4" w:space="0"/>
              <w:left w:val="single" w:color="auto" w:sz="4" w:space="0"/>
              <w:bottom w:val="single" w:color="auto" w:sz="4" w:space="0"/>
              <w:right w:val="single" w:color="auto" w:sz="4" w:space="0"/>
            </w:tcBorders>
            <w:noWrap w:val="0"/>
            <w:vAlign w:val="center"/>
          </w:tcPr>
          <w:p w14:paraId="4FE2719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highlight w:val="none"/>
              </w:rPr>
              <w:t>及时参加</w:t>
            </w:r>
            <w:r>
              <w:rPr>
                <w:rFonts w:hint="eastAsia" w:ascii="宋体" w:hAnsi="宋体" w:eastAsia="宋体" w:cs="宋体"/>
                <w:sz w:val="21"/>
                <w:szCs w:val="21"/>
                <w:highlight w:val="none"/>
                <w:lang w:eastAsia="zh-CN"/>
              </w:rPr>
              <w:t>安监</w:t>
            </w:r>
            <w:r>
              <w:rPr>
                <w:rFonts w:hint="eastAsia" w:ascii="宋体" w:hAnsi="宋体" w:eastAsia="宋体" w:cs="宋体"/>
                <w:sz w:val="21"/>
                <w:szCs w:val="21"/>
                <w:highlight w:val="none"/>
              </w:rPr>
              <w:t>科的会议及政治及业务学习，不得迟到早退缺席。</w:t>
            </w:r>
          </w:p>
        </w:tc>
        <w:tc>
          <w:tcPr>
            <w:tcW w:w="3645" w:type="dxa"/>
            <w:tcBorders>
              <w:top w:val="single" w:color="auto" w:sz="4" w:space="0"/>
              <w:left w:val="single" w:color="auto" w:sz="4" w:space="0"/>
              <w:bottom w:val="single" w:color="auto" w:sz="4" w:space="0"/>
              <w:right w:val="single" w:color="auto" w:sz="4" w:space="0"/>
            </w:tcBorders>
            <w:noWrap w:val="0"/>
            <w:vAlign w:val="center"/>
          </w:tcPr>
          <w:p w14:paraId="4621F48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迟到早退10分钟内扣5分，无故缺席扣10分</w:t>
            </w:r>
          </w:p>
        </w:tc>
      </w:tr>
      <w:tr w14:paraId="0792B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978" w:type="dxa"/>
            <w:tcBorders>
              <w:top w:val="single" w:color="auto" w:sz="4" w:space="0"/>
              <w:left w:val="single" w:color="auto" w:sz="4" w:space="0"/>
              <w:bottom w:val="single" w:color="auto" w:sz="4" w:space="0"/>
              <w:right w:val="single" w:color="auto" w:sz="4" w:space="0"/>
            </w:tcBorders>
            <w:noWrap w:val="0"/>
            <w:vAlign w:val="center"/>
          </w:tcPr>
          <w:p w14:paraId="2BAF4EA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2.不服从院内工作分配者</w:t>
            </w:r>
            <w:r>
              <w:rPr>
                <w:rFonts w:hint="eastAsia" w:ascii="宋体" w:hAnsi="宋体" w:eastAsia="宋体" w:cs="宋体"/>
                <w:sz w:val="21"/>
                <w:szCs w:val="21"/>
                <w:lang w:eastAsia="zh-CN"/>
              </w:rPr>
              <w:t>，顶撞领导的</w:t>
            </w:r>
            <w:r>
              <w:rPr>
                <w:rFonts w:hint="eastAsia" w:ascii="宋体" w:hAnsi="宋体" w:eastAsia="宋体" w:cs="宋体"/>
                <w:sz w:val="21"/>
                <w:szCs w:val="21"/>
              </w:rPr>
              <w:t>。</w:t>
            </w:r>
          </w:p>
        </w:tc>
        <w:tc>
          <w:tcPr>
            <w:tcW w:w="3645" w:type="dxa"/>
            <w:tcBorders>
              <w:top w:val="single" w:color="auto" w:sz="4" w:space="0"/>
              <w:left w:val="single" w:color="auto" w:sz="4" w:space="0"/>
              <w:bottom w:val="single" w:color="auto" w:sz="4" w:space="0"/>
              <w:right w:val="single" w:color="auto" w:sz="4" w:space="0"/>
            </w:tcBorders>
            <w:noWrap w:val="0"/>
            <w:vAlign w:val="center"/>
          </w:tcPr>
          <w:p w14:paraId="2EB2B74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每次扣10分</w:t>
            </w:r>
          </w:p>
        </w:tc>
      </w:tr>
      <w:tr w14:paraId="239E1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978" w:type="dxa"/>
            <w:tcBorders>
              <w:top w:val="single" w:color="auto" w:sz="4" w:space="0"/>
              <w:left w:val="single" w:color="auto" w:sz="4" w:space="0"/>
              <w:bottom w:val="single" w:color="auto" w:sz="4" w:space="0"/>
              <w:right w:val="single" w:color="auto" w:sz="4" w:space="0"/>
            </w:tcBorders>
            <w:noWrap w:val="0"/>
            <w:vAlign w:val="center"/>
          </w:tcPr>
          <w:p w14:paraId="48ECDBA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3.不得迟到、脱岗、静坐闲聊、</w:t>
            </w:r>
            <w:r>
              <w:rPr>
                <w:rFonts w:hint="eastAsia" w:ascii="宋体" w:hAnsi="宋体" w:eastAsia="宋体" w:cs="宋体"/>
                <w:sz w:val="21"/>
                <w:szCs w:val="21"/>
                <w:lang w:eastAsia="zh-CN"/>
              </w:rPr>
              <w:t>玩手机、</w:t>
            </w:r>
            <w:r>
              <w:rPr>
                <w:rFonts w:hint="eastAsia" w:ascii="宋体" w:hAnsi="宋体" w:eastAsia="宋体" w:cs="宋体"/>
                <w:sz w:val="21"/>
                <w:szCs w:val="21"/>
              </w:rPr>
              <w:t>干私活</w:t>
            </w:r>
            <w:r>
              <w:rPr>
                <w:rFonts w:hint="eastAsia" w:ascii="宋体" w:hAnsi="宋体" w:eastAsia="宋体" w:cs="宋体"/>
                <w:sz w:val="21"/>
                <w:szCs w:val="21"/>
                <w:lang w:eastAsia="zh-CN"/>
              </w:rPr>
              <w:t>或当班不作为</w:t>
            </w:r>
          </w:p>
        </w:tc>
        <w:tc>
          <w:tcPr>
            <w:tcW w:w="3645" w:type="dxa"/>
            <w:tcBorders>
              <w:top w:val="single" w:color="auto" w:sz="4" w:space="0"/>
              <w:left w:val="single" w:color="auto" w:sz="4" w:space="0"/>
              <w:bottom w:val="single" w:color="auto" w:sz="4" w:space="0"/>
              <w:right w:val="single" w:color="auto" w:sz="4" w:space="0"/>
            </w:tcBorders>
            <w:noWrap w:val="0"/>
            <w:vAlign w:val="center"/>
          </w:tcPr>
          <w:p w14:paraId="135FE80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color w:val="333333"/>
                <w:sz w:val="21"/>
                <w:szCs w:val="21"/>
                <w:shd w:val="clear" w:color="auto" w:fill="FFFFFF"/>
              </w:rPr>
              <w:t>违反规定扣10分，迟到半小时按旷工处理</w:t>
            </w:r>
          </w:p>
        </w:tc>
      </w:tr>
      <w:tr w14:paraId="02F2B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978" w:type="dxa"/>
            <w:tcBorders>
              <w:top w:val="single" w:color="auto" w:sz="4" w:space="0"/>
              <w:left w:val="single" w:color="auto" w:sz="4" w:space="0"/>
              <w:bottom w:val="single" w:color="auto" w:sz="4" w:space="0"/>
              <w:right w:val="single" w:color="auto" w:sz="4" w:space="0"/>
            </w:tcBorders>
            <w:noWrap w:val="0"/>
            <w:vAlign w:val="center"/>
          </w:tcPr>
          <w:p w14:paraId="4955BBE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4.上班必须穿制服，着装要求整齐，</w:t>
            </w:r>
            <w:r>
              <w:rPr>
                <w:rFonts w:hint="eastAsia" w:ascii="宋体" w:hAnsi="宋体" w:eastAsia="宋体" w:cs="宋体"/>
                <w:color w:val="333333"/>
                <w:sz w:val="21"/>
                <w:szCs w:val="21"/>
                <w:shd w:val="clear" w:color="auto" w:fill="FFFFFF"/>
              </w:rPr>
              <w:t>佩戴工作牌上岗。不得酒后上岗，当班不得饮酒、吸烟。</w:t>
            </w:r>
          </w:p>
        </w:tc>
        <w:tc>
          <w:tcPr>
            <w:tcW w:w="3645" w:type="dxa"/>
            <w:tcBorders>
              <w:top w:val="single" w:color="auto" w:sz="4" w:space="0"/>
              <w:left w:val="single" w:color="auto" w:sz="4" w:space="0"/>
              <w:bottom w:val="single" w:color="auto" w:sz="4" w:space="0"/>
              <w:right w:val="single" w:color="auto" w:sz="4" w:space="0"/>
            </w:tcBorders>
            <w:noWrap w:val="0"/>
            <w:vAlign w:val="center"/>
          </w:tcPr>
          <w:p w14:paraId="4E95E92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违反规定扣10分</w:t>
            </w:r>
          </w:p>
          <w:p w14:paraId="559C871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color w:val="333333"/>
                <w:sz w:val="21"/>
                <w:szCs w:val="21"/>
                <w:shd w:val="clear" w:color="auto" w:fill="FFFFFF"/>
              </w:rPr>
              <w:t>酒后上岗，当班饮酒一律辞退</w:t>
            </w:r>
          </w:p>
        </w:tc>
      </w:tr>
      <w:tr w14:paraId="348AA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978" w:type="dxa"/>
            <w:tcBorders>
              <w:top w:val="single" w:color="auto" w:sz="4" w:space="0"/>
              <w:left w:val="single" w:color="auto" w:sz="4" w:space="0"/>
              <w:bottom w:val="single" w:color="auto" w:sz="4" w:space="0"/>
              <w:right w:val="single" w:color="auto" w:sz="4" w:space="0"/>
            </w:tcBorders>
            <w:noWrap w:val="0"/>
            <w:vAlign w:val="center"/>
          </w:tcPr>
          <w:p w14:paraId="2E5E1FB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5.保证院内车辆秩序正常</w:t>
            </w:r>
            <w:r>
              <w:rPr>
                <w:rFonts w:hint="eastAsia" w:ascii="宋体" w:hAnsi="宋体" w:eastAsia="宋体" w:cs="宋体"/>
                <w:sz w:val="21"/>
                <w:szCs w:val="21"/>
                <w:lang w:eastAsia="zh-CN"/>
              </w:rPr>
              <w:t>，不消极怠工</w:t>
            </w:r>
          </w:p>
        </w:tc>
        <w:tc>
          <w:tcPr>
            <w:tcW w:w="3645" w:type="dxa"/>
            <w:tcBorders>
              <w:top w:val="single" w:color="auto" w:sz="4" w:space="0"/>
              <w:left w:val="single" w:color="auto" w:sz="4" w:space="0"/>
              <w:bottom w:val="single" w:color="auto" w:sz="4" w:space="0"/>
              <w:right w:val="single" w:color="auto" w:sz="4" w:space="0"/>
            </w:tcBorders>
            <w:noWrap w:val="0"/>
            <w:vAlign w:val="center"/>
          </w:tcPr>
          <w:p w14:paraId="2A72F5B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消防通道、正常道路及严禁停车的地方，发现停车一辆扣10分</w:t>
            </w:r>
          </w:p>
        </w:tc>
      </w:tr>
      <w:tr w14:paraId="7C1E6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978" w:type="dxa"/>
            <w:tcBorders>
              <w:top w:val="single" w:color="auto" w:sz="4" w:space="0"/>
              <w:left w:val="single" w:color="auto" w:sz="4" w:space="0"/>
              <w:bottom w:val="single" w:color="auto" w:sz="4" w:space="0"/>
              <w:right w:val="single" w:color="auto" w:sz="4" w:space="0"/>
            </w:tcBorders>
            <w:noWrap w:val="0"/>
            <w:vAlign w:val="center"/>
          </w:tcPr>
          <w:p w14:paraId="5A386CD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6.摩托车、电瓶车等非机动车不得乱停乱放，不得进入工作场所及病区</w:t>
            </w:r>
          </w:p>
        </w:tc>
        <w:tc>
          <w:tcPr>
            <w:tcW w:w="3645" w:type="dxa"/>
            <w:tcBorders>
              <w:top w:val="single" w:color="auto" w:sz="4" w:space="0"/>
              <w:left w:val="single" w:color="auto" w:sz="4" w:space="0"/>
              <w:bottom w:val="single" w:color="auto" w:sz="4" w:space="0"/>
              <w:right w:val="single" w:color="auto" w:sz="4" w:space="0"/>
            </w:tcBorders>
            <w:noWrap w:val="0"/>
            <w:vAlign w:val="center"/>
          </w:tcPr>
          <w:p w14:paraId="694097A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发现一辆扣5分</w:t>
            </w:r>
          </w:p>
        </w:tc>
      </w:tr>
      <w:tr w14:paraId="39624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978" w:type="dxa"/>
            <w:tcBorders>
              <w:top w:val="single" w:color="auto" w:sz="4" w:space="0"/>
              <w:left w:val="single" w:color="auto" w:sz="4" w:space="0"/>
              <w:bottom w:val="single" w:color="auto" w:sz="4" w:space="0"/>
              <w:right w:val="single" w:color="auto" w:sz="4" w:space="0"/>
            </w:tcBorders>
            <w:noWrap w:val="0"/>
            <w:vAlign w:val="center"/>
          </w:tcPr>
          <w:p w14:paraId="2745FE4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7.保证大门道路通畅，不得有摊点及车辆停放</w:t>
            </w:r>
          </w:p>
        </w:tc>
        <w:tc>
          <w:tcPr>
            <w:tcW w:w="3645" w:type="dxa"/>
            <w:tcBorders>
              <w:top w:val="single" w:color="auto" w:sz="4" w:space="0"/>
              <w:left w:val="single" w:color="auto" w:sz="4" w:space="0"/>
              <w:bottom w:val="single" w:color="auto" w:sz="4" w:space="0"/>
              <w:right w:val="single" w:color="auto" w:sz="4" w:space="0"/>
            </w:tcBorders>
            <w:noWrap w:val="0"/>
            <w:vAlign w:val="center"/>
          </w:tcPr>
          <w:p w14:paraId="3D52B9A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发现摊点及车辆停放一次扣10分</w:t>
            </w:r>
          </w:p>
        </w:tc>
      </w:tr>
      <w:tr w14:paraId="62DCC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4978" w:type="dxa"/>
            <w:tcBorders>
              <w:top w:val="single" w:color="auto" w:sz="4" w:space="0"/>
              <w:left w:val="single" w:color="auto" w:sz="4" w:space="0"/>
              <w:bottom w:val="single" w:color="auto" w:sz="4" w:space="0"/>
              <w:right w:val="single" w:color="auto" w:sz="4" w:space="0"/>
            </w:tcBorders>
            <w:noWrap w:val="0"/>
            <w:vAlign w:val="center"/>
          </w:tcPr>
          <w:p w14:paraId="6880904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8.巡逻人员、B超室人员要认真负责，不得擅离职守，不得闲聊</w:t>
            </w:r>
          </w:p>
        </w:tc>
        <w:tc>
          <w:tcPr>
            <w:tcW w:w="3645" w:type="dxa"/>
            <w:tcBorders>
              <w:top w:val="single" w:color="auto" w:sz="4" w:space="0"/>
              <w:left w:val="single" w:color="auto" w:sz="4" w:space="0"/>
              <w:bottom w:val="single" w:color="auto" w:sz="4" w:space="0"/>
              <w:right w:val="single" w:color="auto" w:sz="4" w:space="0"/>
            </w:tcBorders>
            <w:noWrap w:val="0"/>
            <w:vAlign w:val="center"/>
          </w:tcPr>
          <w:p w14:paraId="7DEDB4F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sz w:val="21"/>
                <w:szCs w:val="21"/>
              </w:rPr>
              <w:t>不负责任、擅离职守，发现一次扣10分</w:t>
            </w:r>
          </w:p>
        </w:tc>
      </w:tr>
      <w:tr w14:paraId="1CA4B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623" w:type="dxa"/>
            <w:gridSpan w:val="2"/>
            <w:tcBorders>
              <w:top w:val="single" w:color="auto" w:sz="4" w:space="0"/>
              <w:left w:val="single" w:color="auto" w:sz="4" w:space="0"/>
              <w:bottom w:val="single" w:color="auto" w:sz="4" w:space="0"/>
              <w:right w:val="single" w:color="auto" w:sz="4" w:space="0"/>
            </w:tcBorders>
            <w:noWrap w:val="0"/>
            <w:vAlign w:val="center"/>
          </w:tcPr>
          <w:p w14:paraId="416C2AA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sz w:val="21"/>
                <w:szCs w:val="21"/>
              </w:rPr>
            </w:pPr>
            <w:r>
              <w:rPr>
                <w:rFonts w:hint="eastAsia" w:ascii="宋体" w:hAnsi="宋体" w:eastAsia="宋体" w:cs="宋体"/>
                <w:b/>
                <w:sz w:val="21"/>
                <w:szCs w:val="21"/>
              </w:rPr>
              <w:t>备注：</w:t>
            </w:r>
            <w:r>
              <w:rPr>
                <w:rFonts w:hint="eastAsia" w:ascii="宋体" w:hAnsi="宋体" w:eastAsia="宋体" w:cs="宋体"/>
                <w:sz w:val="21"/>
                <w:szCs w:val="21"/>
              </w:rPr>
              <w:t>考核扣分每分为10元。</w:t>
            </w:r>
          </w:p>
        </w:tc>
      </w:tr>
    </w:tbl>
    <w:p w14:paraId="75DFEB10">
      <w:pPr>
        <w:widowControl/>
        <w:spacing w:line="240" w:lineRule="auto"/>
        <w:ind w:firstLine="422"/>
        <w:jc w:val="left"/>
        <w:rPr>
          <w:rFonts w:hint="eastAsia" w:ascii="宋体" w:hAnsi="宋体" w:eastAsia="宋体" w:cs="宋体"/>
          <w:b/>
          <w:color w:val="auto"/>
          <w:szCs w:val="21"/>
          <w:highlight w:val="none"/>
        </w:rPr>
      </w:pPr>
    </w:p>
    <w:p w14:paraId="0528B373">
      <w:pPr>
        <w:widowControl/>
        <w:spacing w:line="440" w:lineRule="exact"/>
        <w:ind w:firstLine="422"/>
        <w:jc w:val="left"/>
        <w:rPr>
          <w:rFonts w:hint="eastAsia" w:ascii="宋体" w:hAnsi="宋体" w:eastAsia="宋体" w:cs="宋体"/>
          <w:b/>
          <w:color w:val="FF0000"/>
          <w:szCs w:val="21"/>
          <w:highlight w:val="none"/>
        </w:rPr>
      </w:pPr>
      <w:r>
        <w:rPr>
          <w:rFonts w:hint="eastAsia" w:ascii="宋体" w:hAnsi="宋体" w:eastAsia="宋体" w:cs="宋体"/>
          <w:b/>
          <w:color w:val="FF0000"/>
          <w:szCs w:val="21"/>
          <w:highlight w:val="none"/>
        </w:rPr>
        <w:t>考核实施</w:t>
      </w:r>
    </w:p>
    <w:p w14:paraId="4F8C16A4">
      <w:pPr>
        <w:widowControl/>
        <w:spacing w:line="440" w:lineRule="exact"/>
        <w:ind w:firstLine="422"/>
        <w:jc w:val="left"/>
        <w:rPr>
          <w:rFonts w:hint="eastAsia" w:ascii="黑体" w:hAnsi="宋体" w:eastAsia="黑体" w:cs="黑体"/>
          <w:color w:val="auto"/>
          <w:sz w:val="44"/>
          <w:szCs w:val="44"/>
          <w:highlight w:val="none"/>
        </w:rPr>
      </w:pPr>
      <w:r>
        <w:rPr>
          <w:rFonts w:hint="eastAsia" w:ascii="宋体" w:hAnsi="宋体" w:eastAsia="宋体" w:cs="宋体"/>
          <w:b/>
          <w:color w:val="FF0000"/>
          <w:szCs w:val="21"/>
          <w:highlight w:val="none"/>
        </w:rPr>
        <w:t>考核总分100分，考核时每扣10000元扣考核分1分，不足10000元的按比例确定扣分分值。考核所有的罚金均从本项目的履约保证金中扣除，</w:t>
      </w:r>
      <w:r>
        <w:rPr>
          <w:rFonts w:hint="eastAsia" w:ascii="宋体" w:hAnsi="宋体" w:eastAsia="宋体" w:cs="宋体"/>
          <w:b/>
          <w:color w:val="FF0000"/>
          <w:szCs w:val="21"/>
          <w:highlight w:val="yellow"/>
        </w:rPr>
        <w:t>考核分已不足</w:t>
      </w:r>
      <w:r>
        <w:rPr>
          <w:rFonts w:hint="eastAsia" w:ascii="宋体" w:hAnsi="宋体" w:eastAsia="宋体" w:cs="宋体"/>
          <w:b/>
          <w:color w:val="FF0000"/>
          <w:szCs w:val="21"/>
          <w:highlight w:val="yellow"/>
          <w:lang w:val="en-US" w:eastAsia="zh-CN"/>
        </w:rPr>
        <w:t>70</w:t>
      </w:r>
      <w:r>
        <w:rPr>
          <w:rFonts w:hint="eastAsia" w:ascii="宋体" w:hAnsi="宋体" w:eastAsia="宋体" w:cs="宋体"/>
          <w:b/>
          <w:color w:val="FF0000"/>
          <w:szCs w:val="21"/>
          <w:highlight w:val="yellow"/>
        </w:rPr>
        <w:t>分时</w:t>
      </w:r>
      <w:r>
        <w:rPr>
          <w:rFonts w:hint="eastAsia" w:ascii="宋体" w:hAnsi="宋体" w:eastAsia="宋体" w:cs="宋体"/>
          <w:b/>
          <w:color w:val="FF0000"/>
          <w:szCs w:val="21"/>
          <w:highlight w:val="none"/>
        </w:rPr>
        <w:t>，甲方视为乙方已严重违约且已不能继续履行合同，甲方有权立即终止合同。</w:t>
      </w:r>
    </w:p>
    <w:p w14:paraId="3F8AB042">
      <w:pPr>
        <w:pStyle w:val="34"/>
        <w:keepNext w:val="0"/>
        <w:keepLines w:val="0"/>
        <w:pageBreakBefore w:val="0"/>
        <w:widowControl w:val="0"/>
        <w:spacing w:before="120" w:beforeAutospacing="0" w:after="120" w:afterAutospacing="0" w:line="360" w:lineRule="auto"/>
        <w:jc w:val="center"/>
        <w:outlineLvl w:val="0"/>
        <w:rPr>
          <w:rFonts w:hint="eastAsia" w:ascii="黑体" w:hAnsi="宋体" w:eastAsia="黑体" w:cs="黑体"/>
          <w:color w:val="auto"/>
          <w:sz w:val="44"/>
          <w:szCs w:val="44"/>
          <w:highlight w:val="none"/>
        </w:rPr>
      </w:pPr>
    </w:p>
    <w:p w14:paraId="3E449D1B">
      <w:pPr>
        <w:pStyle w:val="34"/>
        <w:keepNext w:val="0"/>
        <w:keepLines w:val="0"/>
        <w:pageBreakBefore w:val="0"/>
        <w:widowControl w:val="0"/>
        <w:spacing w:before="120" w:beforeAutospacing="0" w:after="120" w:afterAutospacing="0" w:line="360" w:lineRule="auto"/>
        <w:jc w:val="center"/>
        <w:outlineLvl w:val="0"/>
        <w:rPr>
          <w:rFonts w:hint="eastAsia" w:ascii="黑体" w:hAnsi="宋体" w:eastAsia="黑体" w:cs="黑体"/>
          <w:color w:val="auto"/>
          <w:sz w:val="44"/>
          <w:szCs w:val="44"/>
          <w:highlight w:val="none"/>
        </w:rPr>
      </w:pPr>
    </w:p>
    <w:p w14:paraId="5F9AD6F4">
      <w:pPr>
        <w:pStyle w:val="34"/>
        <w:keepNext w:val="0"/>
        <w:keepLines w:val="0"/>
        <w:pageBreakBefore w:val="0"/>
        <w:widowControl w:val="0"/>
        <w:spacing w:before="120" w:beforeAutospacing="0" w:after="120" w:afterAutospacing="0" w:line="360" w:lineRule="auto"/>
        <w:jc w:val="center"/>
        <w:outlineLvl w:val="0"/>
        <w:rPr>
          <w:color w:val="auto"/>
          <w:highlight w:val="none"/>
        </w:rPr>
      </w:pPr>
      <w:r>
        <w:rPr>
          <w:rFonts w:hint="eastAsia" w:ascii="黑体" w:hAnsi="宋体" w:eastAsia="黑体" w:cs="黑体"/>
          <w:color w:val="auto"/>
          <w:sz w:val="44"/>
          <w:szCs w:val="44"/>
          <w:highlight w:val="none"/>
        </w:rPr>
        <w:t>第四章 采购需求</w:t>
      </w:r>
      <w:bookmarkEnd w:id="179"/>
    </w:p>
    <w:p w14:paraId="39C0F741">
      <w:pPr>
        <w:pStyle w:val="34"/>
        <w:spacing w:beforeAutospacing="0" w:afterAutospacing="0" w:line="0" w:lineRule="atLeast"/>
        <w:ind w:firstLine="420" w:firstLineChars="200"/>
        <w:jc w:val="both"/>
        <w:rPr>
          <w:rFonts w:hint="eastAsia" w:ascii="宋体" w:hAnsi="宋体" w:eastAsia="宋体" w:cs="宋体"/>
          <w:color w:val="auto"/>
          <w:sz w:val="21"/>
          <w:szCs w:val="21"/>
          <w:highlight w:val="none"/>
        </w:rPr>
      </w:pPr>
      <w:bookmarkStart w:id="180" w:name="_Toc26554093"/>
      <w:bookmarkStart w:id="181" w:name="_Toc49090575"/>
      <w:r>
        <w:rPr>
          <w:rFonts w:hint="eastAsia" w:ascii="宋体" w:hAnsi="宋体" w:eastAsia="宋体" w:cs="宋体"/>
          <w:color w:val="auto"/>
          <w:sz w:val="21"/>
          <w:szCs w:val="21"/>
          <w:highlight w:val="none"/>
        </w:rPr>
        <w:t>项目属性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服务类项目。</w:t>
      </w:r>
      <w:bookmarkEnd w:id="180"/>
      <w:bookmarkEnd w:id="181"/>
    </w:p>
    <w:p w14:paraId="0D072B18">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一、项目基本情况</w:t>
      </w:r>
    </w:p>
    <w:p w14:paraId="7DF2A3A3">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1.项目编号：</w:t>
      </w:r>
      <w:r>
        <w:rPr>
          <w:rFonts w:hint="eastAsia" w:ascii="宋体" w:hAnsi="宋体" w:eastAsia="宋体" w:cs="宋体"/>
          <w:color w:val="auto"/>
          <w:sz w:val="21"/>
          <w:szCs w:val="21"/>
          <w:highlight w:val="none"/>
          <w:lang w:val="en-US" w:eastAsia="zh-CN"/>
        </w:rPr>
        <w:t>JSZC-320923-JZCG-G2026-0003</w:t>
      </w:r>
    </w:p>
    <w:p w14:paraId="5C482CC4">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2.项目名称：</w:t>
      </w:r>
      <w:r>
        <w:rPr>
          <w:rFonts w:hint="eastAsia" w:ascii="宋体" w:hAnsi="宋体" w:eastAsia="宋体" w:cs="宋体"/>
          <w:color w:val="auto"/>
          <w:sz w:val="21"/>
          <w:szCs w:val="21"/>
          <w:highlight w:val="none"/>
          <w:lang w:eastAsia="zh-CN"/>
        </w:rPr>
        <w:t>阜宁县人民医院特勤及保安服务项目</w:t>
      </w:r>
    </w:p>
    <w:p w14:paraId="611515DC">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3.采购方式：公开招标</w:t>
      </w:r>
    </w:p>
    <w:p w14:paraId="0D0FCEF9">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4.预算金额：</w:t>
      </w:r>
      <w:r>
        <w:rPr>
          <w:rFonts w:hint="eastAsia" w:ascii="宋体" w:hAnsi="宋体" w:eastAsia="宋体" w:cs="宋体"/>
          <w:b/>
          <w:bCs/>
          <w:color w:val="FF0000"/>
          <w:sz w:val="21"/>
          <w:szCs w:val="21"/>
          <w:highlight w:val="none"/>
          <w:lang w:val="en-US" w:eastAsia="zh-CN"/>
        </w:rPr>
        <w:t>500万元</w:t>
      </w:r>
    </w:p>
    <w:p w14:paraId="7B13F152">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5.最高限价：</w:t>
      </w:r>
      <w:r>
        <w:rPr>
          <w:rFonts w:hint="eastAsia" w:ascii="宋体" w:hAnsi="宋体" w:eastAsia="宋体" w:cs="宋体"/>
          <w:color w:val="auto"/>
          <w:sz w:val="21"/>
          <w:szCs w:val="21"/>
          <w:highlight w:val="none"/>
          <w:lang w:val="en-US" w:eastAsia="zh-CN"/>
        </w:rPr>
        <w:t>500万元</w:t>
      </w:r>
    </w:p>
    <w:p w14:paraId="6D53EA86">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采购需求：阜宁县人民医院特勤及保安服务项目，涉及院区内车辆停放与管理、收费窗口和医疗区域正常秩序维护、办公楼和住院楼治安执勤及巡逻防范，遇重大医患纠纷、突发事件迅速调集大批特勤及保安人员</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妥善处置，缓解矛盾。须提供24小时不间断安保服务，院区共需51名高素质的专业专职特勤及保安人员。具体采购内容及要求详见采购文件，资金来源已经落实。招标人保留对服务内容进行适当调整的权利。</w:t>
      </w:r>
    </w:p>
    <w:p w14:paraId="5B49750C">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7.合同履行期限：2年，具体开始时间以采购人书面通知为准。</w:t>
      </w:r>
    </w:p>
    <w:p w14:paraId="184E183E">
      <w:pPr>
        <w:pStyle w:val="34"/>
        <w:keepNext/>
        <w:keepLines/>
        <w:pageBreakBefore w:val="0"/>
        <w:kinsoku/>
        <w:wordWrap/>
        <w:overflowPunct/>
        <w:topLinePunct w:val="0"/>
        <w:autoSpaceDE/>
        <w:autoSpaceDN/>
        <w:bidi w:val="0"/>
        <w:adjustRightInd/>
        <w:snapToGrid/>
        <w:spacing w:beforeAutospacing="0" w:afterAutospacing="0" w:line="48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合同履行地点：阜宁县人民医院。</w:t>
      </w:r>
    </w:p>
    <w:p w14:paraId="060C7AF5">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质量要求：符合相关国家标准、行业标准、采购文件的要求及采购人实际需求。</w:t>
      </w:r>
    </w:p>
    <w:p w14:paraId="46FAFBF2">
      <w:pPr>
        <w:pStyle w:val="34"/>
        <w:keepNext/>
        <w:keepLines/>
        <w:pageBreakBefore w:val="0"/>
        <w:kinsoku/>
        <w:wordWrap/>
        <w:overflowPunct/>
        <w:topLinePunct w:val="0"/>
        <w:autoSpaceDE/>
        <w:autoSpaceDN/>
        <w:bidi w:val="0"/>
        <w:adjustRightInd/>
        <w:snapToGrid/>
        <w:spacing w:beforeAutospacing="0" w:afterAutospacing="0" w:line="480" w:lineRule="exact"/>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.本项目不接受联合体参与招标。</w:t>
      </w:r>
    </w:p>
    <w:p w14:paraId="2B1BE9E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2" w:firstLineChars="200"/>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二、</w:t>
      </w:r>
      <w:bookmarkStart w:id="182" w:name="_Hlk69977971"/>
      <w:r>
        <w:rPr>
          <w:rFonts w:hint="eastAsia" w:ascii="宋体" w:hAnsi="宋体" w:eastAsia="宋体" w:cs="宋体"/>
          <w:b/>
          <w:bCs/>
          <w:color w:val="auto"/>
          <w:sz w:val="22"/>
          <w:szCs w:val="22"/>
          <w:highlight w:val="none"/>
          <w:lang w:val="en-US" w:eastAsia="zh-CN"/>
        </w:rPr>
        <w:t>采购项目内容及要求</w:t>
      </w:r>
      <w:bookmarkEnd w:id="182"/>
    </w:p>
    <w:p w14:paraId="4CB9AC3A">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1.阜宁县人民医院保安服务要求范围</w:t>
      </w:r>
    </w:p>
    <w:p w14:paraId="096686B9">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（1）全面负责院区管理和院内防火、防盗、治安巡逻，维持秩序，维护稳定，及时发现和消除安全隐患；</w:t>
      </w:r>
    </w:p>
    <w:p w14:paraId="2AF84A0B">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（2）在医院安监科组织和领导下，做好医院内部治安综合治理；</w:t>
      </w:r>
    </w:p>
    <w:p w14:paraId="7365A178">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（3）配合医院安监科及时受理医院内部的各类纠纷和治安案件，及时、正确处理院内的各类突发事件；</w:t>
      </w:r>
    </w:p>
    <w:p w14:paraId="68F80EF3">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（4）做好内部安全防范，提供安全力量支援；</w:t>
      </w:r>
    </w:p>
    <w:p w14:paraId="613142EB">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（5）临时抽调保安力量，做好医院重大活动安全保卫工作；</w:t>
      </w:r>
    </w:p>
    <w:p w14:paraId="2C227BA8">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（6）配合公安机关，打击医院内部与周边的违法犯罪活动。 </w:t>
      </w:r>
    </w:p>
    <w:p w14:paraId="43A003BD">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2.管理事项</w:t>
      </w:r>
    </w:p>
    <w:p w14:paraId="5F37F910">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依照院方规定与管理要求，结合医院安全保卫工作实际情况，制订切实可行的医院安全保卫工作整体方案，开展专业化安全防范业务，具体管理事项如下：</w:t>
      </w:r>
    </w:p>
    <w:p w14:paraId="17D5E3D8">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（1）医院门卫管理，急诊区域管理，门诊区域管理，住院部区域管理，行政楼管理，检查科室管理。</w:t>
      </w:r>
    </w:p>
    <w:p w14:paraId="50C81C0B">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（2）医院秩序的维护：包括负责门卫周边与广场的车辆指挥与停放；</w:t>
      </w:r>
    </w:p>
    <w:p w14:paraId="46CB5091">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（3）医院内24小时定时定点治安巡逻检查，重点部位的定点守护； </w:t>
      </w:r>
    </w:p>
    <w:p w14:paraId="1EBBE4E1">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（4）医院重大活动的安全警戒与秩序保障；配合做好重大事件的治安保卫工作；</w:t>
      </w:r>
    </w:p>
    <w:p w14:paraId="256C3571">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（5）配合医院安监科和相关科室处理各类纠纷和治安案件，配合医院对违规事件的调查，协助公安机关对案件的排查； </w:t>
      </w:r>
    </w:p>
    <w:p w14:paraId="6385C3F5">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（6）医院突发事件处置、灾害预防、火灾扑救，发现和制止医院暴力事件，随时准备提供紧急救助； </w:t>
      </w:r>
    </w:p>
    <w:p w14:paraId="2A4E2E5A">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（7）医院内部安全隐患检查、排除及上报；违规纠正；有针对性地开展安全教育和提示；</w:t>
      </w:r>
    </w:p>
    <w:p w14:paraId="22FF3547">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（8）负责、维护医院内部停车秩序以及医院内部道路畅通。</w:t>
      </w:r>
    </w:p>
    <w:p w14:paraId="15410DB0">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3.质量目标要求</w:t>
      </w:r>
    </w:p>
    <w:p w14:paraId="4070ECB9">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（1）服务标准：</w:t>
      </w:r>
    </w:p>
    <w:p w14:paraId="6AC6EAA5">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符合《中华人民共和国反恐怖主义法》的要求；阜宁人民医院为人员密集场所属于反恐重点目标，成交供应商必须承担应急处置、突发事件响应、预案演练职责；</w:t>
      </w:r>
    </w:p>
    <w:p w14:paraId="03DE20CA">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符合《保安服务管理条例》的要求：供应商拟派人员应熟练使用应急处置器材、掌握应急救援技能、参与突发事件处置；</w:t>
      </w:r>
    </w:p>
    <w:p w14:paraId="0689B87C">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符合《保安服务管理条例》要求：供应商须保障员工权益、规范用工、履行社会责任、维护公共利益；</w:t>
      </w:r>
    </w:p>
    <w:p w14:paraId="45459547">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符合江苏省和盐城市政府有关保安文明服务要求的规定；</w:t>
      </w:r>
    </w:p>
    <w:p w14:paraId="4DD5AD15">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医院的保安服务标准。</w:t>
      </w:r>
    </w:p>
    <w:p w14:paraId="71AEE64E">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（2）依托行业标准，根据院方管理规定与服务要求，制订切实可行的医院保安服务整体方案和应急预案，突发事件反应迅速，预案处置有力；</w:t>
      </w:r>
    </w:p>
    <w:p w14:paraId="22DEFFE4">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（3）依法办事，文明执勤，严格管理，保障医院财产和工作人员人身不受侵害，维护正常的医疗秩序；</w:t>
      </w:r>
    </w:p>
    <w:p w14:paraId="29F97B54">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（4）全年无责任事故和责任案件发生，对保安服务满意率在98%以上。</w:t>
      </w:r>
    </w:p>
    <w:p w14:paraId="4E35A79E">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4.服务要求</w:t>
      </w:r>
    </w:p>
    <w:p w14:paraId="04F639FE">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（1）树立“服务第一，业主至上”的思想，切实维护医院所有人员的人身和财产安全；</w:t>
      </w:r>
    </w:p>
    <w:p w14:paraId="62DA2F08">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（2）管理坚持原则、缜密严谨；服务以人为本、主动热情；处理问题高度警惕、有礼有节；</w:t>
      </w:r>
    </w:p>
    <w:p w14:paraId="27183511">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（3）上岗人员仪表整洁，业务操作规范，礼貌待人，保持岗位卫生整洁；</w:t>
      </w:r>
    </w:p>
    <w:p w14:paraId="38DA4DDB">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（4）依法办事，文明执勤，不发生争吵，杜绝保安与医院工作人员发生冲突，不与服务对象发生冲突，做到打不还手、骂不还口。</w:t>
      </w:r>
    </w:p>
    <w:p w14:paraId="64776703">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5.服务质量要求及具体说明</w:t>
      </w:r>
    </w:p>
    <w:p w14:paraId="19F8662B">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（1）供应商应充分考虑采购文件规定的基本条件，不得将承包的保安服务转包他人。</w:t>
      </w:r>
    </w:p>
    <w:p w14:paraId="7C6C3191">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（2）供应商根据采购单位提供场所的需要配备相应数额的专职保安人员。</w:t>
      </w:r>
    </w:p>
    <w:p w14:paraId="0D815565">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（3）人数要求：院区保安人员合计 51名。</w:t>
      </w:r>
    </w:p>
    <w:p w14:paraId="7682B277">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采购人有权对以上的岗位设置及人员进行调整。</w:t>
      </w:r>
    </w:p>
    <w:p w14:paraId="03A2A3F0">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（1）从医院安全实际出发，每月开展一次在岗人员业务培训和应急预案演练。</w:t>
      </w:r>
    </w:p>
    <w:p w14:paraId="1D86C12C">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（2）内部管理体制健全，设立保安部主管一名，全面负责日常保安队伍的规范化管理。</w:t>
      </w:r>
    </w:p>
    <w:p w14:paraId="5CD180CF">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必须采取切实有效措施保持保安队伍的稳定，严格控制非违纪人员轮换岗比例，保安队伍主要管理员更换，应提前一个月以书面形式通知采购人，其他队员更换要提前三天告知采购人；确保服务质量不因人员变动而受影响。</w:t>
      </w:r>
    </w:p>
    <w:p w14:paraId="6FEB35BC">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（4）保安应聘、录用、离职等管理档案规范，手续齐全，相应资料必须报医院安监科备案。</w:t>
      </w:r>
    </w:p>
    <w:p w14:paraId="4C09D3A0">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（5）供应商必须信守承包承诺，认真落实具有相应的固定服务人员，服务人员必须统一穿着工作服，挂牌上岗并建立健全的管理制度。</w:t>
      </w:r>
    </w:p>
    <w:p w14:paraId="4C346230">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（6）在服务期内供应商遇到医院各类检查（如上级部门来院检查等）及突发事件时，须服从采购人安排。</w:t>
      </w:r>
    </w:p>
    <w:p w14:paraId="69446509">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（7）供应商必须对员工发生的事故责任以及员工计生、身份、健康等承担责任；同时对员工在院内做出不良行为给医院造成影响承担责任。</w:t>
      </w:r>
    </w:p>
    <w:p w14:paraId="60283243">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（8）公司人员食宿、安全等均由供应商自行负责解决。</w:t>
      </w:r>
    </w:p>
    <w:p w14:paraId="769C2FF0">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6.人员素质要求</w:t>
      </w:r>
    </w:p>
    <w:p w14:paraId="40B1A6E2">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（1）保安从业人员应知法，懂法，守法，依法办事，必须严格遵守保安从业规范，模范遵守医院安全管理规定，持证上岗率须达到100%。</w:t>
      </w:r>
    </w:p>
    <w:p w14:paraId="5E05D4A4">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（2）保安部主管应具备高中以上学历，具有较高的政治思想素养和业务水平，有较强的组织协调能力，受过专门的保安业务培训。需加强对保安业务的管理，确保保安在院内无违规事件发生。</w:t>
      </w:r>
    </w:p>
    <w:p w14:paraId="5FBF004D">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保安人员个人素质条件：以初中及以上文化程度为主，以退伍军人为佳。男性年龄55岁以下达100%，女性年龄50岁以下达100%；其中，男性占比不少于80%。要求保安员身体健康，没有传染病及精神病等不能控制自己行为能力的疾病病史，体貌端正。没有犯罪记录。</w:t>
      </w:r>
    </w:p>
    <w:p w14:paraId="493F998D">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日常负责医院内部的巡逻。</w:t>
      </w:r>
    </w:p>
    <w:p w14:paraId="75623FE6">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保安队每周训练不少于2次。</w:t>
      </w:r>
    </w:p>
    <w:p w14:paraId="7F89F4C4">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（4）所聘用的保安人员有吃苦耐劳的精神和高度的责任感，受过专门岗前培训，熟知院方的管理规定，严格履行岗位职责，善于发现各类问题，具备一定的管理经验和处理突发事件能力。 </w:t>
      </w:r>
    </w:p>
    <w:p w14:paraId="303D1D8A">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（5）保安服务队（队）长要加强对保安业务的管理，确保保安在院内无违规事件发生。</w:t>
      </w:r>
    </w:p>
    <w:p w14:paraId="4749E475">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（6） 所有人员均可因采购人实际需求做相应调配。</w:t>
      </w:r>
    </w:p>
    <w:p w14:paraId="4C98840D">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7.岗位工作职责要求</w:t>
      </w:r>
    </w:p>
    <w:p w14:paraId="0A112EBA">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sz w:val="21"/>
          <w:szCs w:val="21"/>
        </w:rPr>
        <w:t>项目负责人</w:t>
      </w:r>
      <w:r>
        <w:rPr>
          <w:rFonts w:hint="eastAsia" w:ascii="宋体" w:hAnsi="宋体" w:eastAsia="宋体" w:cs="宋体"/>
          <w:color w:val="auto"/>
          <w:sz w:val="21"/>
          <w:szCs w:val="21"/>
          <w:highlight w:val="none"/>
          <w:lang w:val="en-US" w:eastAsia="zh-CN"/>
        </w:rPr>
        <w:t>：代表供应商全面负责保安队伍的日常管理事务，严格保安队伍纪律管理，奖优罚劣；承担保安违规违纪的连带责任；实行人性化管理，关心队员疾苦，掌握队员的思想动态，充分调动队员积极性，努力保证队伍稳定；传达落实医院的服务要求与管理规定，组织实施并不断完善医院安全保卫整体方案；结合医院的发展实际情况，适时做出岗位调整，完善各岗位职责；有针对性地开展安全教育和提示；定期向医院安监科汇报工作开展情况及治安信息，重大情况及时报告；配合院方对院内违规事件的处理；组织开展保安业务培训和预案演练，制定院内重大活动的安全保卫方案；建立健全录用保安人员档案资料。</w:t>
      </w:r>
    </w:p>
    <w:p w14:paraId="7F1B9B1A">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rPr>
        <w:t>项目负责人</w:t>
      </w:r>
      <w:r>
        <w:rPr>
          <w:rFonts w:hint="eastAsia" w:ascii="宋体" w:hAnsi="宋体" w:eastAsia="宋体" w:cs="宋体"/>
          <w:color w:val="auto"/>
          <w:sz w:val="21"/>
          <w:szCs w:val="21"/>
          <w:highlight w:val="none"/>
          <w:lang w:val="en-US" w:eastAsia="zh-CN"/>
        </w:rPr>
        <w:t>应具有类似项目经验，具有协调能力，能适应医院要求，能进行良好沟通及密切配合。</w:t>
      </w:r>
    </w:p>
    <w:p w14:paraId="0E668324">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项目成交后，</w:t>
      </w:r>
      <w:r>
        <w:rPr>
          <w:rFonts w:hint="eastAsia" w:ascii="宋体" w:hAnsi="宋体" w:eastAsia="宋体" w:cs="宋体"/>
          <w:sz w:val="21"/>
          <w:szCs w:val="21"/>
        </w:rPr>
        <w:t>项目负责人</w:t>
      </w:r>
      <w:r>
        <w:rPr>
          <w:rFonts w:hint="eastAsia" w:ascii="宋体" w:hAnsi="宋体" w:eastAsia="宋体" w:cs="宋体"/>
          <w:color w:val="auto"/>
          <w:sz w:val="21"/>
          <w:szCs w:val="21"/>
          <w:highlight w:val="none"/>
          <w:lang w:val="en-US" w:eastAsia="zh-CN"/>
        </w:rPr>
        <w:t>未经采购人同意不得随意更换，否则采购人有权在履约保证金和服务费用中扣除相应的费用。</w:t>
      </w:r>
    </w:p>
    <w:p w14:paraId="20961CA5">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sz w:val="21"/>
          <w:szCs w:val="21"/>
          <w:lang w:val="en-US" w:eastAsia="zh-CN"/>
        </w:rPr>
        <w:t>保安部主管</w:t>
      </w:r>
      <w:r>
        <w:rPr>
          <w:rFonts w:hint="eastAsia" w:ascii="宋体" w:hAnsi="宋体" w:eastAsia="宋体" w:cs="宋体"/>
          <w:color w:val="auto"/>
          <w:sz w:val="21"/>
          <w:szCs w:val="21"/>
          <w:highlight w:val="none"/>
          <w:lang w:val="en-US" w:eastAsia="zh-CN"/>
        </w:rPr>
        <w:t>：以身作则、吃苦在先、讲求奉献；贯彻落实医院任务要求的工作安排，组织实施医院安全保卫整体方案；负责安排保安的日常工作，参与保安值勤，增援重点岗位；督促检查在岗人员履行岗位职责情况，纠正队员违规违纪行为；坚持讲评，不流于形式，形成良好的队风；处理各岗位的突发事件，重大情况及时报告；妥善保管好医院提供的设备器材，严格设备交接班制度；组织指挥保安队员做好医院重大活动的安全保卫与秩序保障工作；将各岗位的执勤情况汇总记录。</w:t>
      </w:r>
    </w:p>
    <w:p w14:paraId="02995D1A">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rPr>
        <w:t>保安部主管</w:t>
      </w:r>
      <w:r>
        <w:rPr>
          <w:rFonts w:hint="eastAsia" w:ascii="宋体" w:hAnsi="宋体" w:eastAsia="宋体" w:cs="宋体"/>
          <w:color w:val="auto"/>
          <w:sz w:val="21"/>
          <w:szCs w:val="21"/>
          <w:highlight w:val="none"/>
          <w:lang w:val="en-US" w:eastAsia="zh-CN"/>
        </w:rPr>
        <w:t>有类似工作经验，能承上启下、协调员工、能带教新进院保安人员。</w:t>
      </w:r>
    </w:p>
    <w:p w14:paraId="5F349ACB">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门卫管理：严格人员、车辆、物资进出管理；协助做好停车收费的相关工作；按时立岗，礼貌待人，树立良好的窗口形象；对携物出门实行出门证验审制度，防止财物流失；与各岗卫互通信息；值班室无闲杂人员滞留，保持室内外环境整洁卫生，门前卫生三包；完成医院交办的其他事项。</w:t>
      </w:r>
    </w:p>
    <w:p w14:paraId="04E8EE9C">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（4）车辆管理：加强医院大门的管理，及时与门卫联系，控制好车辆进出，安全有序地指挥车辆的停放，严禁非120车辆停在120车泊位，确保120、119通道和院内道路畅通。根据医院要求控制车辆进出。</w:t>
      </w:r>
    </w:p>
    <w:p w14:paraId="70BC686E">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区域守护：熟悉守护区域的情况特点，定点守卫与区域巡查相结合；掌握消防栓、灭火器等安全设施的位置、性能和使用方法；听从班长工作安排与指挥调度，及时处置突发事件；维护责任区域公共秩序，发现可疑人员主动盘问，发现违规行为，大胆管理，主动干预，发现异常及安全隐患，立即采取措施并报告，制止暴力事件，有效处置各种违法犯罪行为；保持岗亭卫生整洁，无闲杂人员滞留。</w:t>
      </w:r>
    </w:p>
    <w:p w14:paraId="44302181">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机动巡逻：发现和排除各种不安全因素，及时处置各种违法犯罪行为；听从班长工作安排与指挥调度，善于发现、分析处理各种事故隐患和突发事件；根据不同情况，灵活执行相应的巡逻方案；加强对重点区域、要害部位的安全巡查，巡更采点不流于形式，并与监控室保持联动；协助各岗位开展医院秩序维护和交通秩序管理工作；开展安全防范；如实记录汇报巡逻记录。</w:t>
      </w:r>
    </w:p>
    <w:p w14:paraId="6C1D955B">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消防管理：建立消防控制室备勤制度，当出现特殊场景，供应商应安排具有相关资质人员进行消控室值守，每周检查记录院内公共部位的消防设施，确保完好。协助医院做好室外设施的日常维护；建立托管消防器材的台账记录，定期检查器材完好程度和有效期限；经常性开展消防业务培训，制定完善的预案并演练，使每一名保安人员能够胜任医院义务消防员的角色；发现有人擅自动用消防设施的，应及时制止并报告；发现火灾隐患，立即报告医院安监科并设法消除；发生火警，能冷静处置，按预案进行火灾报警、人员疏散、组织扑救、抢救物资等工作。</w:t>
      </w:r>
    </w:p>
    <w:p w14:paraId="7F6934F0">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 成交供应商应具有良好的人员保障机制，因队员辞职或辞退，须在5个工作日内补充。连续10天缺编超过人数总数的10%或一个月内平均缺编超过8%的，采购人有权终止合同，并双倍扣除缺编人员服务费。</w:t>
      </w:r>
    </w:p>
    <w:p w14:paraId="6AC64BEF">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（9）临时用工：根据突发事件状况，决定临时用工，负责医院突发事件处置、灾害预防、火灾扑救，发现和制止医院暴力事件，随时准备提供紧急救助。</w:t>
      </w:r>
    </w:p>
    <w:p w14:paraId="497E636A">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三、其他要求</w:t>
      </w:r>
    </w:p>
    <w:p w14:paraId="32DD1B23">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1.服务方式：本项目实行劳务总额承包，不得转包、分包。采购方如果发现</w:t>
      </w:r>
      <w:bookmarkStart w:id="183" w:name="_Hlk69977402"/>
      <w:r>
        <w:rPr>
          <w:rFonts w:hint="eastAsia" w:ascii="宋体" w:hAnsi="宋体" w:eastAsia="宋体" w:cs="宋体"/>
          <w:color w:val="auto"/>
          <w:sz w:val="21"/>
          <w:szCs w:val="21"/>
          <w:highlight w:val="none"/>
          <w:lang w:val="en-US" w:eastAsia="zh-CN"/>
        </w:rPr>
        <w:t>中标（成交）供应商</w:t>
      </w:r>
      <w:bookmarkEnd w:id="183"/>
      <w:r>
        <w:rPr>
          <w:rFonts w:hint="eastAsia" w:ascii="宋体" w:hAnsi="宋体" w:eastAsia="宋体" w:cs="宋体"/>
          <w:color w:val="auto"/>
          <w:sz w:val="21"/>
          <w:szCs w:val="21"/>
          <w:highlight w:val="none"/>
          <w:lang w:val="en-US" w:eastAsia="zh-CN"/>
        </w:rPr>
        <w:t>自行转包，则按中标（成交）供应商违约处理，除交付合同总额10%的违约金外。采购人有权责令其退场，中止合同，所造成的损失均由中标（成交）供应商承担。</w:t>
      </w:r>
    </w:p>
    <w:p w14:paraId="3B8ED13A">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安服务执行国务院《保安服务管理条例》，中标（成交）供应商要严格履行投标（响应）文件的承诺和与采购人签订的保安服务合同的约定，如发现保安服务达不到规定要求，中标（成交）供应商服务水平下降，投诉多等现象或服务中发生重大失误的，采购人有权单方终止合同，并要求进行财务审计，责任由中标（成交）供应商承担。</w:t>
      </w:r>
    </w:p>
    <w:p w14:paraId="5B73E49A">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2.投标报价由各供应商根据采购人基本要求和现场踏勘后的情况，确定报价。</w:t>
      </w:r>
    </w:p>
    <w:p w14:paraId="33E41562">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bookmarkStart w:id="184" w:name="_Hlk69977821"/>
      <w:r>
        <w:rPr>
          <w:rFonts w:hint="eastAsia" w:ascii="宋体" w:hAnsi="宋体" w:eastAsia="宋体" w:cs="宋体"/>
          <w:color w:val="auto"/>
          <w:sz w:val="21"/>
          <w:szCs w:val="21"/>
          <w:highlight w:val="none"/>
          <w:lang w:val="en-US" w:eastAsia="zh-CN"/>
        </w:rPr>
        <w:t>报价形式：固定总价。供应商的报价应包括全部服务人员的工资（含养老保险、工伤保险等一切福利费用在内），服装（保安服套装、武装带、保安帽等），管理费、税金、代理费及其他相关费用等。服务人员的工资须符合国家、省、市的相关规定，符合盐城市最低工资标准且必须缴纳社会保险费，享受特殊社保政策的，国家法定节假日11天加班费、中夜班费及高温期间高温岗位高温费、人员的各类加班、持证上岗培训、人员管理成本以及人员意外成本和所应承担的税收等</w:t>
      </w:r>
      <w:bookmarkStart w:id="185" w:name="_Hlk69977604"/>
      <w:r>
        <w:rPr>
          <w:rFonts w:hint="eastAsia" w:ascii="宋体" w:hAnsi="宋体" w:eastAsia="宋体" w:cs="宋体"/>
          <w:color w:val="auto"/>
          <w:sz w:val="21"/>
          <w:szCs w:val="21"/>
          <w:highlight w:val="none"/>
          <w:lang w:val="en-US" w:eastAsia="zh-CN"/>
        </w:rPr>
        <w:t>中标（成交）供应商</w:t>
      </w:r>
      <w:bookmarkEnd w:id="185"/>
      <w:r>
        <w:rPr>
          <w:rFonts w:hint="eastAsia" w:ascii="宋体" w:hAnsi="宋体" w:eastAsia="宋体" w:cs="宋体"/>
          <w:color w:val="auto"/>
          <w:sz w:val="21"/>
          <w:szCs w:val="21"/>
          <w:highlight w:val="none"/>
          <w:lang w:val="en-US" w:eastAsia="zh-CN"/>
        </w:rPr>
        <w:t>所涉及的一切相关费用。</w:t>
      </w:r>
      <w:bookmarkEnd w:id="184"/>
    </w:p>
    <w:p w14:paraId="45820298">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4.中标（成交）供应商应按照相关规定，与所有聘用人员依法签订劳动合同。</w:t>
      </w:r>
    </w:p>
    <w:p w14:paraId="7B6D7FD6">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供应商在报价时应充分考虑服务期内所有可能影响到的因素（包括最低工资标准和社保基数的政策性调整），一旦商谈结束最终成交，总价固定，不予调整。如发生漏、缺、少项，都将被认为是中标（成交）供应商的报价让利行为，损失自负。</w:t>
      </w:r>
    </w:p>
    <w:p w14:paraId="054E8BF3">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6.中标（成交）供应商在履行合同过程中，所发生的全部生产、生活费用均由中标（成交）供应商负责。</w:t>
      </w:r>
    </w:p>
    <w:p w14:paraId="0D93E3EA">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2" w:firstLineChars="200"/>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四、保安服务方案</w:t>
      </w:r>
    </w:p>
    <w:p w14:paraId="3102F1F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0" w:firstLineChars="200"/>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1.投标人应根据采购需求和本项目的特点提出合理的管理服务宗旨、管理定位、理念、目标等，包括但不限于：项目管理规范化方案；服务理念具象化方案；目标达成可量化方案；理念与目标融合落地方案等内容。确保无重大设备运行、安保、消防等责任事故发生，</w:t>
      </w:r>
      <w:r>
        <w:rPr>
          <w:rFonts w:hint="eastAsia" w:ascii="宋体" w:hAnsi="宋体" w:eastAsia="宋体" w:cs="宋体"/>
          <w:color w:val="auto"/>
          <w:sz w:val="22"/>
          <w:szCs w:val="22"/>
          <w:highlight w:val="none"/>
        </w:rPr>
        <w:t>方案的贯彻应能满足本项目各项服务要求。</w:t>
      </w:r>
    </w:p>
    <w:p w14:paraId="7EFC7A4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0" w:firstLineChars="200"/>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2.投标人应根据采购需求和本项目的特点制定拟采取的管理方式和工作计划：包括但不限于：有完善的组织架构、作业流程；科学的管理运作机制；详尽的工作计划；切实可行的管理指标承诺等内容，</w:t>
      </w:r>
      <w:r>
        <w:rPr>
          <w:rFonts w:hint="eastAsia" w:ascii="宋体" w:hAnsi="宋体" w:eastAsia="宋体" w:cs="宋体"/>
          <w:color w:val="auto"/>
          <w:sz w:val="22"/>
          <w:szCs w:val="22"/>
          <w:highlight w:val="none"/>
        </w:rPr>
        <w:t>方案的贯彻应能满足本项目各项服务要求。</w:t>
      </w:r>
    </w:p>
    <w:p w14:paraId="66F0CBE7">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en-US" w:eastAsia="zh-CN"/>
        </w:rPr>
        <w:t>3.投标人应根据采购需求和本项目的特点制定规章制度与档案管理方案：包括但不限于：核心规章制度体系构建方案；规章制度执行与监督机制；档案分类管理规范；档案保管与查阅管理等内容，</w:t>
      </w:r>
      <w:r>
        <w:rPr>
          <w:rFonts w:hint="eastAsia" w:ascii="宋体" w:hAnsi="宋体" w:eastAsia="宋体" w:cs="宋体"/>
          <w:color w:val="auto"/>
          <w:sz w:val="22"/>
          <w:szCs w:val="22"/>
          <w:highlight w:val="none"/>
        </w:rPr>
        <w:t>方案的贯彻应能满足本项目各项服务要求。</w:t>
      </w:r>
    </w:p>
    <w:p w14:paraId="363AD6DF">
      <w:pPr>
        <w:pStyle w:val="216"/>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b w:val="0"/>
          <w:bCs w:val="0"/>
          <w:color w:val="auto"/>
          <w:sz w:val="22"/>
          <w:szCs w:val="22"/>
          <w:highlight w:val="none"/>
          <w:lang w:val="en-US" w:eastAsia="zh-CN"/>
        </w:rPr>
      </w:pPr>
      <w:r>
        <w:rPr>
          <w:rFonts w:hint="eastAsia" w:eastAsia="宋体" w:cs="宋体"/>
          <w:b w:val="0"/>
          <w:bCs w:val="0"/>
          <w:color w:val="auto"/>
          <w:sz w:val="22"/>
          <w:szCs w:val="22"/>
          <w:highlight w:val="none"/>
          <w:lang w:val="en-US" w:eastAsia="zh-CN"/>
        </w:rPr>
        <w:t>4.</w:t>
      </w:r>
      <w:r>
        <w:rPr>
          <w:rFonts w:hint="eastAsia" w:ascii="宋体" w:hAnsi="宋体" w:eastAsia="宋体" w:cs="宋体"/>
          <w:b w:val="0"/>
          <w:bCs w:val="0"/>
          <w:color w:val="auto"/>
          <w:sz w:val="22"/>
          <w:szCs w:val="22"/>
          <w:highlight w:val="none"/>
          <w:lang w:val="en-US" w:eastAsia="zh-CN"/>
        </w:rPr>
        <w:t>投标人应根据采购需求和本项目的特点制定人员的培训和管理：包括但不限于：人员招聘与准入管理</w:t>
      </w:r>
      <w:r>
        <w:rPr>
          <w:rFonts w:hint="eastAsia" w:eastAsia="宋体" w:cs="宋体"/>
          <w:b w:val="0"/>
          <w:bCs w:val="0"/>
          <w:color w:val="auto"/>
          <w:sz w:val="22"/>
          <w:szCs w:val="22"/>
          <w:highlight w:val="none"/>
          <w:lang w:val="en-US" w:eastAsia="zh-CN"/>
        </w:rPr>
        <w:t>的核心要求；人员分层分类培训体系的建立；人员日常管理与行为规范；考核激励与队伍建设等内容；</w:t>
      </w:r>
      <w:r>
        <w:rPr>
          <w:rFonts w:hint="eastAsia" w:ascii="宋体" w:hAnsi="宋体" w:eastAsia="宋体" w:cs="宋体"/>
          <w:color w:val="auto"/>
          <w:sz w:val="22"/>
          <w:szCs w:val="22"/>
          <w:highlight w:val="none"/>
        </w:rPr>
        <w:t>要求方案细致完整、针对性强、措施有力，方案的贯彻应能满足本项目各项服务要求。</w:t>
      </w:r>
    </w:p>
    <w:p w14:paraId="3F8F9FE4">
      <w:pPr>
        <w:pStyle w:val="216"/>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b w:val="0"/>
          <w:bCs w:val="0"/>
          <w:color w:val="auto"/>
          <w:sz w:val="22"/>
          <w:szCs w:val="22"/>
          <w:highlight w:val="none"/>
          <w:lang w:val="en-US" w:eastAsia="zh-CN"/>
        </w:rPr>
      </w:pPr>
      <w:r>
        <w:rPr>
          <w:rFonts w:hint="eastAsia" w:eastAsia="宋体" w:cs="宋体"/>
          <w:b w:val="0"/>
          <w:bCs w:val="0"/>
          <w:color w:val="auto"/>
          <w:sz w:val="22"/>
          <w:szCs w:val="22"/>
          <w:highlight w:val="none"/>
          <w:lang w:val="en-US" w:eastAsia="zh-CN"/>
        </w:rPr>
        <w:t>5.</w:t>
      </w:r>
      <w:r>
        <w:rPr>
          <w:rFonts w:hint="eastAsia" w:ascii="宋体" w:hAnsi="宋体" w:eastAsia="宋体" w:cs="宋体"/>
          <w:b w:val="0"/>
          <w:bCs w:val="0"/>
          <w:color w:val="auto"/>
          <w:sz w:val="22"/>
          <w:szCs w:val="22"/>
          <w:highlight w:val="none"/>
          <w:lang w:val="en-US" w:eastAsia="zh-CN"/>
        </w:rPr>
        <w:t>投标人应根据采购需求和本项目的特点制定基础服务标准化方案：岗位作业标准化</w:t>
      </w:r>
      <w:r>
        <w:rPr>
          <w:rFonts w:hint="eastAsia" w:eastAsia="宋体" w:cs="宋体"/>
          <w:b w:val="0"/>
          <w:bCs w:val="0"/>
          <w:color w:val="auto"/>
          <w:sz w:val="22"/>
          <w:szCs w:val="22"/>
          <w:highlight w:val="none"/>
          <w:lang w:val="en-US" w:eastAsia="zh-CN"/>
        </w:rPr>
        <w:t>方案；日常管理标准化方案；应急处置标准化；服务质量标准化方案等内容；</w:t>
      </w:r>
      <w:r>
        <w:rPr>
          <w:rFonts w:hint="eastAsia" w:ascii="宋体" w:hAnsi="宋体" w:eastAsia="宋体" w:cs="宋体"/>
          <w:color w:val="auto"/>
          <w:sz w:val="22"/>
          <w:szCs w:val="22"/>
          <w:highlight w:val="none"/>
        </w:rPr>
        <w:t>要求方案细致完整、针对性强、措施有力，方案的贯彻应能满足本项目各项服务要求。</w:t>
      </w:r>
    </w:p>
    <w:p w14:paraId="609F503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40" w:firstLineChars="200"/>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6.投标人应根据采购需求和本项目的特点制定应急处置措施：对管理区域内突发事件的应急预案及相应措施；急诊急救应急措施；火灾及消防隐患应急措施；突发公共卫生应急措施等内容，方案需能够满足本项目突发情况应急处理的服务要求</w:t>
      </w:r>
      <w:r>
        <w:rPr>
          <w:rFonts w:hint="eastAsia" w:ascii="宋体" w:hAnsi="宋体" w:eastAsia="宋体" w:cs="宋体"/>
          <w:b w:val="0"/>
          <w:bCs w:val="0"/>
          <w:color w:val="auto"/>
          <w:kern w:val="0"/>
          <w:sz w:val="22"/>
          <w:szCs w:val="22"/>
          <w:highlight w:val="none"/>
          <w:lang w:val="en-US" w:eastAsia="zh-CN"/>
        </w:rPr>
        <w:t>。</w:t>
      </w:r>
    </w:p>
    <w:p w14:paraId="1F7D42D4">
      <w:pPr>
        <w:keepNext w:val="0"/>
        <w:keepLines w:val="0"/>
        <w:pageBreakBefore w:val="0"/>
        <w:widowControl w:val="0"/>
        <w:numPr>
          <w:ilvl w:val="0"/>
          <w:numId w:val="1"/>
        </w:numPr>
        <w:kinsoku/>
        <w:wordWrap/>
        <w:overflowPunct/>
        <w:topLinePunct w:val="0"/>
        <w:autoSpaceDE/>
        <w:autoSpaceDN/>
        <w:bidi w:val="0"/>
        <w:adjustRightInd/>
        <w:snapToGrid/>
        <w:spacing w:line="480" w:lineRule="exact"/>
        <w:ind w:firstLine="422"/>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主要岗位管理人员证书要求</w:t>
      </w:r>
    </w:p>
    <w:p w14:paraId="3144CD87">
      <w:pPr>
        <w:pStyle w:val="216"/>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根据采购需求和本项目实际</w:t>
      </w:r>
      <w:r>
        <w:rPr>
          <w:rFonts w:hint="eastAsia" w:ascii="宋体" w:hAnsi="宋体" w:eastAsia="宋体" w:cs="宋体"/>
          <w:color w:val="auto"/>
          <w:sz w:val="21"/>
          <w:szCs w:val="21"/>
          <w:highlight w:val="none"/>
          <w:lang w:val="en-US" w:eastAsia="zh-CN"/>
        </w:rPr>
        <w:t>，对本项目保安服务主要管理岗位人员在处理</w:t>
      </w:r>
      <w:r>
        <w:rPr>
          <w:rFonts w:hint="eastAsia" w:ascii="宋体" w:hAnsi="宋体" w:eastAsia="宋体" w:cs="宋体"/>
          <w:color w:val="auto"/>
          <w:sz w:val="21"/>
          <w:szCs w:val="21"/>
          <w:highlight w:val="none"/>
        </w:rPr>
        <w:t>应急突发</w:t>
      </w:r>
      <w:r>
        <w:rPr>
          <w:rFonts w:hint="eastAsia" w:ascii="宋体" w:hAnsi="宋体" w:eastAsia="宋体" w:cs="宋体"/>
          <w:color w:val="auto"/>
          <w:sz w:val="21"/>
          <w:szCs w:val="21"/>
          <w:highlight w:val="none"/>
          <w:lang w:val="en-US" w:eastAsia="zh-CN"/>
        </w:rPr>
        <w:t>情况具备专业知识及处置能力，要求</w:t>
      </w:r>
      <w:r>
        <w:rPr>
          <w:rFonts w:hint="eastAsia" w:ascii="宋体" w:hAnsi="宋体" w:eastAsia="宋体" w:cs="宋体"/>
          <w:color w:val="auto"/>
          <w:sz w:val="21"/>
          <w:szCs w:val="21"/>
          <w:highlight w:val="none"/>
        </w:rPr>
        <w:t>项目</w:t>
      </w:r>
      <w:r>
        <w:rPr>
          <w:rFonts w:hint="eastAsia" w:ascii="宋体" w:hAnsi="宋体" w:eastAsia="宋体" w:cs="宋体"/>
          <w:color w:val="auto"/>
          <w:sz w:val="21"/>
          <w:szCs w:val="21"/>
          <w:highlight w:val="none"/>
          <w:lang w:val="en-US" w:eastAsia="zh-CN"/>
        </w:rPr>
        <w:t>负责人</w:t>
      </w:r>
      <w:r>
        <w:rPr>
          <w:rFonts w:hint="eastAsia" w:ascii="宋体" w:hAnsi="宋体" w:eastAsia="宋体" w:cs="宋体"/>
          <w:color w:val="auto"/>
          <w:sz w:val="21"/>
          <w:szCs w:val="21"/>
          <w:highlight w:val="none"/>
        </w:rPr>
        <w:t>、保安主管</w:t>
      </w:r>
      <w:r>
        <w:rPr>
          <w:rFonts w:hint="eastAsia" w:ascii="宋体" w:hAnsi="宋体" w:eastAsia="宋体" w:cs="宋体"/>
          <w:color w:val="auto"/>
          <w:sz w:val="21"/>
          <w:szCs w:val="21"/>
          <w:highlight w:val="none"/>
          <w:lang w:val="en-US" w:eastAsia="zh-CN"/>
        </w:rPr>
        <w:t>等主要管理</w:t>
      </w:r>
      <w:r>
        <w:rPr>
          <w:rFonts w:hint="eastAsia" w:ascii="宋体" w:hAnsi="宋体" w:eastAsia="宋体" w:cs="宋体"/>
          <w:color w:val="auto"/>
          <w:sz w:val="21"/>
          <w:szCs w:val="21"/>
          <w:highlight w:val="none"/>
        </w:rPr>
        <w:t>岗位的人员</w:t>
      </w:r>
      <w:r>
        <w:rPr>
          <w:rFonts w:hint="eastAsia" w:ascii="宋体" w:hAnsi="宋体" w:eastAsia="宋体" w:cs="宋体"/>
          <w:color w:val="auto"/>
          <w:sz w:val="21"/>
          <w:szCs w:val="21"/>
          <w:highlight w:val="none"/>
          <w:lang w:val="en-US" w:eastAsia="zh-CN"/>
        </w:rPr>
        <w:t>具备相应职业资格</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投标人员一经确定，</w:t>
      </w:r>
      <w:r>
        <w:rPr>
          <w:rFonts w:hint="eastAsia" w:ascii="宋体" w:hAnsi="宋体" w:eastAsia="宋体" w:cs="宋体"/>
          <w:color w:val="auto"/>
          <w:sz w:val="21"/>
          <w:szCs w:val="21"/>
          <w:highlight w:val="none"/>
        </w:rPr>
        <w:t>未经采购人同意不得更换</w:t>
      </w:r>
      <w:r>
        <w:rPr>
          <w:rFonts w:hint="eastAsia" w:ascii="宋体" w:hAnsi="宋体" w:eastAsia="宋体" w:cs="宋体"/>
          <w:color w:val="auto"/>
          <w:sz w:val="21"/>
          <w:szCs w:val="21"/>
          <w:highlight w:val="none"/>
          <w:lang w:eastAsia="zh-CN"/>
        </w:rPr>
        <w:t>。</w:t>
      </w:r>
    </w:p>
    <w:p w14:paraId="4301F153">
      <w:pPr>
        <w:pStyle w:val="216"/>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项目负责人：具有本科及以上学历。</w:t>
      </w:r>
    </w:p>
    <w:p w14:paraId="1A41B8A0">
      <w:pPr>
        <w:pStyle w:val="216"/>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保安部主管：持有有效保安员职业资格证书。</w:t>
      </w:r>
    </w:p>
    <w:p w14:paraId="206DBB48">
      <w:pPr>
        <w:keepNext w:val="0"/>
        <w:keepLines w:val="0"/>
        <w:pageBreakBefore w:val="0"/>
        <w:widowControl/>
        <w:numPr>
          <w:ilvl w:val="0"/>
          <w:numId w:val="1"/>
        </w:numPr>
        <w:kinsoku/>
        <w:wordWrap/>
        <w:overflowPunct/>
        <w:topLinePunct w:val="0"/>
        <w:autoSpaceDE/>
        <w:autoSpaceDN/>
        <w:bidi w:val="0"/>
        <w:adjustRightInd/>
        <w:snapToGrid/>
        <w:spacing w:line="480" w:lineRule="exact"/>
        <w:ind w:left="0" w:leftChars="0" w:firstLine="422" w:firstLineChars="0"/>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其他履约能力要求</w:t>
      </w:r>
    </w:p>
    <w:p w14:paraId="13D6B834">
      <w:pPr>
        <w:keepNext w:val="0"/>
        <w:keepLines w:val="0"/>
        <w:pageBreakBefore w:val="0"/>
        <w:widowControl/>
        <w:numPr>
          <w:ilvl w:val="0"/>
          <w:numId w:val="0"/>
        </w:numPr>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1.业绩：供应商具有2023年1月1日以来（以合同签订时间为准），承接过类似保安服务案例业绩经验的，服务内容必须体现保安服务内容。</w:t>
      </w:r>
    </w:p>
    <w:p w14:paraId="72F4157D">
      <w:pPr>
        <w:keepNext w:val="0"/>
        <w:keepLines w:val="0"/>
        <w:pageBreakBefore w:val="0"/>
        <w:widowControl/>
        <w:numPr>
          <w:ilvl w:val="0"/>
          <w:numId w:val="0"/>
        </w:numPr>
        <w:kinsoku/>
        <w:wordWrap/>
        <w:overflowPunct/>
        <w:topLinePunct w:val="0"/>
        <w:autoSpaceDE/>
        <w:autoSpaceDN/>
        <w:bidi w:val="0"/>
        <w:adjustRightInd/>
        <w:snapToGrid/>
        <w:spacing w:line="480" w:lineRule="exact"/>
        <w:ind w:firstLine="420" w:firstLineChars="200"/>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2.供应商应具有完善的应急预案管理体系、社会责任管理体系、</w:t>
      </w:r>
      <w:r>
        <w:rPr>
          <w:rFonts w:hint="eastAsia" w:ascii="宋体" w:hAnsi="宋体" w:eastAsia="宋体" w:cs="宋体"/>
          <w:color w:val="auto"/>
          <w:kern w:val="0"/>
          <w:sz w:val="21"/>
          <w:szCs w:val="21"/>
          <w:highlight w:val="none"/>
          <w:lang w:val="en-US" w:eastAsia="zh-CN"/>
        </w:rPr>
        <w:t>保安服务管理体系</w:t>
      </w:r>
      <w:r>
        <w:rPr>
          <w:rFonts w:hint="eastAsia" w:ascii="宋体" w:hAnsi="宋体" w:eastAsia="宋体" w:cs="宋体"/>
          <w:b w:val="0"/>
          <w:bCs w:val="0"/>
          <w:color w:val="auto"/>
          <w:sz w:val="21"/>
          <w:szCs w:val="21"/>
          <w:highlight w:val="none"/>
          <w:lang w:val="en-US" w:eastAsia="zh-CN"/>
        </w:rPr>
        <w:t>，供应商经营应承担社会责任、保护员工权益、必须保障员工权益、规范用工、履行社会责任、维护公共利益、保安应熟练使用应急处置器材、掌握应急救援技能、参与突发事件处置等。</w:t>
      </w:r>
    </w:p>
    <w:p w14:paraId="0FB24C77">
      <w:pPr>
        <w:keepNext w:val="0"/>
        <w:keepLines w:val="0"/>
        <w:pageBreakBefore w:val="0"/>
        <w:widowControl w:val="0"/>
        <w:kinsoku/>
        <w:wordWrap/>
        <w:overflowPunct/>
        <w:topLinePunct w:val="0"/>
        <w:autoSpaceDE/>
        <w:autoSpaceDN/>
        <w:bidi w:val="0"/>
        <w:adjustRightInd/>
        <w:snapToGrid/>
        <w:spacing w:line="480" w:lineRule="exact"/>
        <w:ind w:firstLine="422"/>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六、商务部分</w:t>
      </w:r>
    </w:p>
    <w:p w14:paraId="5B4430D7">
      <w:pPr>
        <w:pStyle w:val="34"/>
        <w:pageBreakBefore w:val="0"/>
        <w:kinsoku/>
        <w:wordWrap/>
        <w:overflowPunct/>
        <w:topLinePunct w:val="0"/>
        <w:autoSpaceDE/>
        <w:autoSpaceDN/>
        <w:bidi w:val="0"/>
        <w:adjustRightInd/>
        <w:snapToGrid/>
        <w:spacing w:beforeAutospacing="0" w:afterAutospacing="0" w:line="480" w:lineRule="exact"/>
        <w:ind w:firstLine="422"/>
        <w:jc w:val="both"/>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1.</w:t>
      </w:r>
      <w:r>
        <w:rPr>
          <w:rFonts w:hint="eastAsia" w:ascii="宋体" w:hAnsi="宋体" w:eastAsia="宋体" w:cs="宋体"/>
          <w:b/>
          <w:bCs/>
          <w:i/>
          <w:iCs/>
          <w:color w:val="auto"/>
          <w:sz w:val="24"/>
          <w:szCs w:val="24"/>
          <w:highlight w:val="none"/>
          <w:u w:val="single"/>
          <w:lang w:val="zh-CN"/>
        </w:rPr>
        <w:t>管理服务期限：</w:t>
      </w:r>
      <w:r>
        <w:rPr>
          <w:rFonts w:hint="eastAsia" w:ascii="宋体" w:hAnsi="宋体" w:eastAsia="宋体" w:cs="宋体"/>
          <w:b/>
          <w:bCs/>
          <w:i/>
          <w:iCs/>
          <w:color w:val="auto"/>
          <w:sz w:val="24"/>
          <w:szCs w:val="24"/>
          <w:highlight w:val="none"/>
          <w:u w:val="single"/>
          <w:lang w:val="en-US" w:eastAsia="zh-CN"/>
        </w:rPr>
        <w:t>二</w:t>
      </w:r>
      <w:r>
        <w:rPr>
          <w:rFonts w:hint="eastAsia" w:ascii="宋体" w:hAnsi="宋体" w:eastAsia="宋体" w:cs="宋体"/>
          <w:b/>
          <w:bCs/>
          <w:i/>
          <w:iCs/>
          <w:color w:val="auto"/>
          <w:sz w:val="24"/>
          <w:szCs w:val="24"/>
          <w:highlight w:val="none"/>
          <w:u w:val="single"/>
        </w:rPr>
        <w:t>年，具体开始时间以采购人书面通知为准。</w:t>
      </w:r>
      <w:r>
        <w:rPr>
          <w:rFonts w:hint="eastAsia" w:ascii="宋体" w:hAnsi="宋体" w:eastAsia="宋体" w:cs="宋体"/>
          <w:b/>
          <w:bCs/>
          <w:i/>
          <w:iCs/>
          <w:color w:val="auto"/>
          <w:sz w:val="24"/>
          <w:szCs w:val="24"/>
          <w:highlight w:val="none"/>
          <w:u w:val="single"/>
          <w:lang w:eastAsia="zh-CN"/>
        </w:rPr>
        <w:t>合同</w:t>
      </w:r>
      <w:r>
        <w:rPr>
          <w:rFonts w:hint="eastAsia" w:ascii="宋体" w:hAnsi="宋体" w:eastAsia="宋体" w:cs="宋体"/>
          <w:b/>
          <w:bCs/>
          <w:i/>
          <w:iCs/>
          <w:color w:val="auto"/>
          <w:sz w:val="24"/>
          <w:szCs w:val="24"/>
          <w:highlight w:val="none"/>
          <w:u w:val="single"/>
          <w:lang w:val="en-US" w:eastAsia="zh-CN"/>
        </w:rPr>
        <w:t>1年一签，经采购人年度考核合格后方可续签下一年度合同。</w:t>
      </w:r>
    </w:p>
    <w:p w14:paraId="63A213AB">
      <w:pPr>
        <w:keepNext w:val="0"/>
        <w:keepLines w:val="0"/>
        <w:pageBreakBefore w:val="0"/>
        <w:widowControl w:val="0"/>
        <w:kinsoku/>
        <w:wordWrap/>
        <w:overflowPunct/>
        <w:topLinePunct w:val="0"/>
        <w:autoSpaceDE/>
        <w:autoSpaceDN/>
        <w:bidi w:val="0"/>
        <w:adjustRightInd/>
        <w:snapToGrid/>
        <w:spacing w:line="480" w:lineRule="exact"/>
        <w:ind w:firstLine="422"/>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2.</w:t>
      </w:r>
      <w:r>
        <w:rPr>
          <w:rFonts w:hint="eastAsia" w:ascii="宋体" w:hAnsi="宋体" w:eastAsia="宋体" w:cs="宋体"/>
          <w:b/>
          <w:bCs/>
          <w:color w:val="auto"/>
          <w:highlight w:val="none"/>
        </w:rPr>
        <w:t>付款方式</w:t>
      </w:r>
      <w:r>
        <w:rPr>
          <w:rFonts w:hint="eastAsia" w:ascii="宋体" w:hAnsi="宋体" w:eastAsia="宋体" w:cs="宋体"/>
          <w:b/>
          <w:bCs/>
          <w:color w:val="auto"/>
          <w:highlight w:val="none"/>
          <w:lang w:eastAsia="zh-CN"/>
        </w:rPr>
        <w:t>：</w:t>
      </w:r>
    </w:p>
    <w:p w14:paraId="28CF3BD2">
      <w:pPr>
        <w:widowControl/>
        <w:spacing w:line="440" w:lineRule="exact"/>
        <w:ind w:firstLine="422"/>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zh-CN" w:eastAsia="zh-CN" w:bidi="zh-CN"/>
        </w:rPr>
        <w:t>预付款支付比例：合同签订后30日内，支</w:t>
      </w:r>
      <w:r>
        <w:rPr>
          <w:rFonts w:hint="eastAsia" w:ascii="宋体" w:hAnsi="宋体" w:eastAsia="宋体" w:cs="宋体"/>
          <w:color w:val="auto"/>
          <w:sz w:val="21"/>
          <w:szCs w:val="21"/>
          <w:highlight w:val="none"/>
          <w:lang w:val="en-US" w:eastAsia="zh-CN" w:bidi="zh-CN"/>
        </w:rPr>
        <w:t>付</w:t>
      </w:r>
      <w:r>
        <w:rPr>
          <w:rFonts w:hint="eastAsia" w:ascii="宋体" w:hAnsi="宋体" w:eastAsia="宋体" w:cs="宋体"/>
          <w:color w:val="auto"/>
          <w:sz w:val="21"/>
          <w:szCs w:val="21"/>
          <w:highlight w:val="none"/>
          <w:lang w:val="zh-CN" w:eastAsia="zh-CN" w:bidi="zh-CN"/>
        </w:rPr>
        <w:t>首年</w:t>
      </w:r>
      <w:r>
        <w:rPr>
          <w:rFonts w:hint="eastAsia" w:ascii="宋体" w:hAnsi="宋体" w:eastAsia="宋体" w:cs="宋体"/>
          <w:color w:val="auto"/>
          <w:sz w:val="21"/>
          <w:szCs w:val="21"/>
          <w:highlight w:val="none"/>
          <w:lang w:val="en-US" w:eastAsia="zh-CN" w:bidi="zh-CN"/>
        </w:rPr>
        <w:t>保安服务</w:t>
      </w:r>
      <w:r>
        <w:rPr>
          <w:rFonts w:hint="eastAsia" w:ascii="宋体" w:hAnsi="宋体" w:eastAsia="宋体" w:cs="宋体"/>
          <w:color w:val="auto"/>
          <w:sz w:val="21"/>
          <w:szCs w:val="21"/>
          <w:highlight w:val="none"/>
          <w:lang w:val="zh-CN" w:eastAsia="zh-CN" w:bidi="zh-CN"/>
        </w:rPr>
        <w:t>费的30%。</w:t>
      </w:r>
    </w:p>
    <w:p w14:paraId="2FA0351D">
      <w:pPr>
        <w:pStyle w:val="216"/>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2"/>
        <w:jc w:val="left"/>
        <w:textAlignment w:val="auto"/>
        <w:rPr>
          <w:rFonts w:hint="eastAsia" w:ascii="宋体" w:hAnsi="宋体" w:eastAsia="宋体" w:cs="宋体"/>
          <w:b/>
          <w:bCs/>
          <w:i/>
          <w:iCs/>
          <w:color w:val="FF0000"/>
          <w:sz w:val="21"/>
          <w:szCs w:val="21"/>
          <w:highlight w:val="none"/>
          <w:u w:val="single"/>
          <w:lang w:val="en-US"/>
        </w:rPr>
      </w:pPr>
      <w:r>
        <w:rPr>
          <w:rFonts w:hint="eastAsia" w:eastAsia="宋体" w:cs="宋体"/>
          <w:color w:val="auto"/>
          <w:sz w:val="21"/>
          <w:szCs w:val="21"/>
          <w:highlight w:val="none"/>
          <w:lang w:eastAsia="zh-CN"/>
        </w:rPr>
        <w:t>2.</w:t>
      </w:r>
      <w:r>
        <w:rPr>
          <w:rFonts w:hint="eastAsia" w:ascii="宋体" w:hAnsi="宋体" w:eastAsia="宋体" w:cs="宋体"/>
          <w:color w:val="auto"/>
          <w:sz w:val="21"/>
          <w:szCs w:val="21"/>
          <w:highlight w:val="none"/>
          <w:lang w:val="en-US" w:eastAsia="zh-CN"/>
        </w:rPr>
        <w:t>保安服务</w:t>
      </w:r>
      <w:r>
        <w:rPr>
          <w:rFonts w:hint="eastAsia" w:eastAsia="宋体" w:cs="宋体"/>
          <w:color w:val="auto"/>
          <w:sz w:val="21"/>
          <w:szCs w:val="21"/>
          <w:highlight w:val="none"/>
          <w:lang w:val="en-US" w:eastAsia="zh-CN"/>
        </w:rPr>
        <w:t>费</w:t>
      </w:r>
      <w:r>
        <w:rPr>
          <w:rFonts w:hint="eastAsia" w:ascii="宋体" w:hAnsi="宋体" w:eastAsia="宋体" w:cs="宋体"/>
          <w:color w:val="auto"/>
          <w:sz w:val="21"/>
          <w:szCs w:val="21"/>
          <w:highlight w:val="none"/>
        </w:rPr>
        <w:t>按每</w:t>
      </w:r>
      <w:r>
        <w:rPr>
          <w:rFonts w:hint="eastAsia" w:ascii="宋体" w:hAnsi="宋体" w:eastAsia="宋体" w:cs="宋体"/>
          <w:color w:val="auto"/>
          <w:sz w:val="21"/>
          <w:szCs w:val="21"/>
          <w:highlight w:val="none"/>
          <w:lang w:val="en-US" w:eastAsia="zh-CN"/>
        </w:rPr>
        <w:t>季度</w:t>
      </w:r>
      <w:r>
        <w:rPr>
          <w:rFonts w:hint="eastAsia" w:ascii="宋体" w:hAnsi="宋体" w:eastAsia="宋体" w:cs="宋体"/>
          <w:color w:val="auto"/>
          <w:sz w:val="21"/>
          <w:szCs w:val="21"/>
          <w:highlight w:val="none"/>
        </w:rPr>
        <w:t>支付一次（付款金额=全年</w:t>
      </w:r>
      <w:r>
        <w:rPr>
          <w:rFonts w:hint="eastAsia" w:ascii="宋体" w:hAnsi="宋体" w:eastAsia="宋体" w:cs="宋体"/>
          <w:color w:val="auto"/>
          <w:sz w:val="21"/>
          <w:szCs w:val="21"/>
          <w:highlight w:val="none"/>
          <w:lang w:val="en-US" w:eastAsia="zh-CN"/>
        </w:rPr>
        <w:t>保安</w:t>
      </w:r>
      <w:r>
        <w:rPr>
          <w:rFonts w:hint="eastAsia" w:ascii="宋体" w:hAnsi="宋体" w:eastAsia="宋体" w:cs="宋体"/>
          <w:color w:val="auto"/>
          <w:sz w:val="21"/>
          <w:szCs w:val="21"/>
          <w:highlight w:val="none"/>
        </w:rPr>
        <w:t>服务费用</w:t>
      </w:r>
      <w:r>
        <w:rPr>
          <w:rFonts w:hint="eastAsia" w:ascii="宋体" w:hAnsi="宋体" w:eastAsia="宋体" w:cs="宋体"/>
          <w:b/>
          <w:bCs/>
          <w:color w:val="auto"/>
          <w:sz w:val="21"/>
          <w:szCs w:val="21"/>
          <w:highlight w:val="none"/>
        </w:rPr>
        <w:t>÷</w:t>
      </w:r>
      <w:r>
        <w:rPr>
          <w:rFonts w:hint="eastAsia" w:ascii="宋体" w:hAnsi="宋体" w:eastAsia="宋体" w:cs="宋体"/>
          <w:color w:val="auto"/>
          <w:sz w:val="21"/>
          <w:szCs w:val="21"/>
          <w:highlight w:val="none"/>
        </w:rPr>
        <w:t>4，同时扣回预付款，如不够扣回则在后期付款中扣回）。</w:t>
      </w:r>
      <w:r>
        <w:rPr>
          <w:rFonts w:hint="eastAsia" w:ascii="宋体" w:hAnsi="宋体" w:eastAsia="宋体" w:cs="宋体"/>
          <w:b/>
          <w:bCs/>
          <w:i/>
          <w:iCs/>
          <w:color w:val="FF0000"/>
          <w:sz w:val="21"/>
          <w:szCs w:val="21"/>
          <w:highlight w:val="none"/>
          <w:u w:val="single"/>
          <w:lang w:val="en-US"/>
        </w:rPr>
        <w:t>乙方提供增值税发票后，甲方</w:t>
      </w:r>
      <w:r>
        <w:rPr>
          <w:rFonts w:hint="eastAsia" w:eastAsia="宋体" w:cs="宋体"/>
          <w:b/>
          <w:bCs/>
          <w:i/>
          <w:iCs/>
          <w:color w:val="FF0000"/>
          <w:sz w:val="21"/>
          <w:szCs w:val="21"/>
          <w:highlight w:val="none"/>
          <w:u w:val="single"/>
          <w:lang w:val="en-US" w:eastAsia="zh-CN"/>
        </w:rPr>
        <w:t>按财务流程</w:t>
      </w:r>
      <w:r>
        <w:rPr>
          <w:rFonts w:hint="eastAsia" w:ascii="宋体" w:hAnsi="宋体" w:eastAsia="宋体" w:cs="宋体"/>
          <w:b/>
          <w:bCs/>
          <w:i/>
          <w:iCs/>
          <w:color w:val="FF0000"/>
          <w:sz w:val="21"/>
          <w:szCs w:val="21"/>
          <w:highlight w:val="none"/>
          <w:u w:val="single"/>
          <w:lang w:val="en-US"/>
        </w:rPr>
        <w:t>支付费用。</w:t>
      </w:r>
    </w:p>
    <w:p w14:paraId="2A1ED1D6">
      <w:pPr>
        <w:pStyle w:val="215"/>
        <w:keepNext w:val="0"/>
        <w:keepLines w:val="0"/>
        <w:pageBreakBefore w:val="0"/>
        <w:kinsoku/>
        <w:wordWrap/>
        <w:overflowPunct/>
        <w:topLinePunct w:val="0"/>
        <w:autoSpaceDE/>
        <w:autoSpaceDN/>
        <w:bidi w:val="0"/>
        <w:adjustRightInd/>
        <w:snapToGrid/>
        <w:spacing w:line="480" w:lineRule="exact"/>
        <w:ind w:firstLine="422"/>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以上付款均汇至中标人的单位账户</w:t>
      </w:r>
      <w:r>
        <w:rPr>
          <w:rFonts w:hint="eastAsia" w:ascii="宋体" w:hAnsi="宋体" w:eastAsia="宋体" w:cs="宋体"/>
          <w:color w:val="auto"/>
          <w:szCs w:val="21"/>
          <w:highlight w:val="none"/>
          <w:lang w:val="en-US" w:eastAsia="zh-CN"/>
        </w:rPr>
        <w:t>均</w:t>
      </w:r>
      <w:r>
        <w:rPr>
          <w:rFonts w:hint="eastAsia" w:ascii="宋体" w:hAnsi="宋体" w:eastAsia="宋体" w:cs="宋体"/>
          <w:color w:val="auto"/>
          <w:szCs w:val="21"/>
          <w:highlight w:val="none"/>
        </w:rPr>
        <w:t>无息。</w:t>
      </w:r>
    </w:p>
    <w:p w14:paraId="6DA8B6DA">
      <w:pPr>
        <w:keepNext w:val="0"/>
        <w:keepLines w:val="0"/>
        <w:pageBreakBefore w:val="0"/>
        <w:widowControl w:val="0"/>
        <w:kinsoku/>
        <w:wordWrap/>
        <w:overflowPunct/>
        <w:topLinePunct w:val="0"/>
        <w:autoSpaceDE/>
        <w:autoSpaceDN/>
        <w:bidi w:val="0"/>
        <w:adjustRightInd/>
        <w:snapToGrid/>
        <w:spacing w:line="480" w:lineRule="exact"/>
        <w:ind w:firstLine="422"/>
        <w:textAlignment w:val="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eastAsia="zh-CN"/>
        </w:rPr>
        <w:t>3.</w:t>
      </w:r>
      <w:r>
        <w:rPr>
          <w:rFonts w:hint="eastAsia" w:ascii="宋体" w:hAnsi="宋体" w:eastAsia="宋体" w:cs="宋体"/>
          <w:b/>
          <w:bCs/>
          <w:color w:val="auto"/>
          <w:highlight w:val="none"/>
          <w:lang w:val="zh-CN"/>
        </w:rPr>
        <w:t>投标报价的相关说明</w:t>
      </w:r>
    </w:p>
    <w:p w14:paraId="5C2CF76E">
      <w:pPr>
        <w:pStyle w:val="216"/>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rPr>
        <w:t>3.</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本项目</w:t>
      </w:r>
      <w:r>
        <w:rPr>
          <w:rFonts w:hint="eastAsia" w:ascii="宋体" w:hAnsi="宋体" w:eastAsia="宋体" w:cs="宋体"/>
          <w:b/>
          <w:bCs/>
          <w:color w:val="auto"/>
          <w:szCs w:val="21"/>
          <w:highlight w:val="none"/>
        </w:rPr>
        <w:t>不接受超过</w:t>
      </w:r>
      <w:r>
        <w:rPr>
          <w:rFonts w:hint="eastAsia" w:ascii="宋体" w:hAnsi="宋体" w:eastAsia="宋体" w:cs="宋体"/>
          <w:b/>
          <w:bCs/>
          <w:color w:val="auto"/>
          <w:szCs w:val="21"/>
          <w:highlight w:val="none"/>
          <w:lang w:eastAsia="zh-CN"/>
        </w:rPr>
        <w:t>最高限价</w:t>
      </w:r>
      <w:r>
        <w:rPr>
          <w:rFonts w:hint="eastAsia" w:ascii="宋体" w:hAnsi="宋体" w:eastAsia="宋体" w:cs="宋体"/>
          <w:b/>
          <w:bCs/>
          <w:color w:val="auto"/>
          <w:szCs w:val="21"/>
          <w:highlight w:val="none"/>
        </w:rPr>
        <w:t>的投标报价</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最高限价为</w:t>
      </w:r>
      <w:r>
        <w:rPr>
          <w:rFonts w:hint="eastAsia" w:eastAsia="宋体" w:cs="宋体"/>
          <w:b/>
          <w:bCs/>
          <w:color w:val="auto"/>
          <w:szCs w:val="21"/>
          <w:highlight w:val="none"/>
          <w:lang w:val="en-US" w:eastAsia="zh-CN"/>
        </w:rPr>
        <w:t>500万元</w:t>
      </w:r>
      <w:r>
        <w:rPr>
          <w:rFonts w:hint="eastAsia" w:ascii="宋体" w:hAnsi="宋体" w:eastAsia="宋体" w:cs="宋体"/>
          <w:b/>
          <w:bCs/>
          <w:color w:val="auto"/>
          <w:szCs w:val="21"/>
          <w:highlight w:val="none"/>
        </w:rPr>
        <w:t>人民币</w:t>
      </w:r>
      <w:r>
        <w:rPr>
          <w:rFonts w:hint="eastAsia" w:ascii="宋体" w:hAnsi="宋体" w:eastAsia="宋体" w:cs="宋体"/>
          <w:b/>
          <w:color w:val="auto"/>
          <w:sz w:val="21"/>
          <w:szCs w:val="21"/>
          <w:highlight w:val="none"/>
        </w:rPr>
        <w:t>。</w:t>
      </w:r>
    </w:p>
    <w:p w14:paraId="0F2F39C3">
      <w:pPr>
        <w:pStyle w:val="216"/>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3.2供应商应</w:t>
      </w:r>
      <w:r>
        <w:rPr>
          <w:rFonts w:hint="eastAsia" w:ascii="宋体" w:hAnsi="宋体" w:eastAsia="宋体" w:cs="宋体"/>
          <w:color w:val="auto"/>
          <w:szCs w:val="21"/>
          <w:highlight w:val="none"/>
        </w:rPr>
        <w:t>按</w:t>
      </w:r>
      <w:r>
        <w:rPr>
          <w:rFonts w:hint="eastAsia" w:ascii="宋体" w:hAnsi="宋体" w:eastAsia="宋体" w:cs="宋体"/>
          <w:color w:val="auto"/>
          <w:szCs w:val="21"/>
          <w:highlight w:val="none"/>
          <w:lang w:val="en-US"/>
        </w:rPr>
        <w:t>要求填报</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rPr>
        <w:t>投标分项报价</w:t>
      </w:r>
      <w:r>
        <w:rPr>
          <w:rFonts w:hint="eastAsia" w:ascii="宋体" w:hAnsi="宋体" w:eastAsia="宋体" w:cs="宋体"/>
          <w:color w:val="auto"/>
          <w:szCs w:val="21"/>
          <w:highlight w:val="none"/>
        </w:rPr>
        <w:t>表》（格式见第六章）</w:t>
      </w:r>
      <w:r>
        <w:rPr>
          <w:rFonts w:hint="eastAsia" w:ascii="宋体" w:hAnsi="宋体" w:eastAsia="宋体" w:cs="宋体"/>
          <w:color w:val="auto"/>
          <w:szCs w:val="21"/>
          <w:highlight w:val="none"/>
          <w:lang w:val="en-US"/>
        </w:rPr>
        <w:t>，报价应包括但不限于以下内容：</w:t>
      </w:r>
    </w:p>
    <w:p w14:paraId="051F7AA5">
      <w:pPr>
        <w:pStyle w:val="216"/>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2"/>
        <w:jc w:val="left"/>
        <w:textAlignment w:val="auto"/>
        <w:rPr>
          <w:rFonts w:hint="eastAsia" w:ascii="宋体" w:hAnsi="宋体" w:eastAsia="宋体" w:cs="宋体"/>
          <w:b/>
          <w:bCs/>
          <w:i/>
          <w:iCs/>
          <w:color w:val="auto"/>
          <w:szCs w:val="21"/>
          <w:highlight w:val="none"/>
          <w:u w:val="single"/>
          <w:lang w:val="en-US"/>
        </w:rPr>
      </w:pPr>
      <w:r>
        <w:rPr>
          <w:rFonts w:hint="eastAsia" w:ascii="宋体" w:hAnsi="宋体" w:eastAsia="宋体" w:cs="宋体"/>
          <w:b/>
          <w:bCs/>
          <w:i/>
          <w:iCs/>
          <w:color w:val="auto"/>
          <w:szCs w:val="21"/>
          <w:highlight w:val="none"/>
          <w:u w:val="single"/>
          <w:lang w:val="en-US"/>
        </w:rPr>
        <w:t>①员工工资：根据省级人社部门现行文件，报价中的员工月最低工资不得低于阜宁县最低标准，供应商须在《投标报价明细表》中按照采购需求中物业服务人员岗位分别填报员工工资，否则</w:t>
      </w:r>
      <w:r>
        <w:rPr>
          <w:rFonts w:hint="eastAsia" w:eastAsia="宋体" w:cs="宋体"/>
          <w:b/>
          <w:bCs/>
          <w:i/>
          <w:iCs/>
          <w:color w:val="auto"/>
          <w:szCs w:val="21"/>
          <w:highlight w:val="none"/>
          <w:u w:val="single"/>
          <w:lang w:val="en-US" w:eastAsia="zh-CN"/>
        </w:rPr>
        <w:t>作</w:t>
      </w:r>
      <w:r>
        <w:rPr>
          <w:rFonts w:hint="eastAsia" w:ascii="宋体" w:hAnsi="宋体" w:eastAsia="宋体" w:cs="宋体"/>
          <w:b/>
          <w:bCs/>
          <w:i/>
          <w:iCs/>
          <w:color w:val="auto"/>
          <w:szCs w:val="21"/>
          <w:highlight w:val="none"/>
          <w:u w:val="single"/>
          <w:lang w:val="en-US"/>
        </w:rPr>
        <w:t>无效投标处理。</w:t>
      </w:r>
    </w:p>
    <w:p w14:paraId="4CC0D938">
      <w:pPr>
        <w:pStyle w:val="216"/>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2"/>
        <w:jc w:val="left"/>
        <w:textAlignment w:val="auto"/>
        <w:rPr>
          <w:rFonts w:hint="eastAsia" w:ascii="宋体" w:hAnsi="宋体" w:eastAsia="宋体" w:cs="宋体"/>
          <w:b/>
          <w:bCs/>
          <w:i/>
          <w:iCs/>
          <w:color w:val="auto"/>
          <w:szCs w:val="21"/>
          <w:highlight w:val="none"/>
          <w:u w:val="single"/>
        </w:rPr>
      </w:pPr>
      <w:r>
        <w:rPr>
          <w:rFonts w:hint="eastAsia" w:ascii="宋体" w:hAnsi="宋体" w:eastAsia="宋体" w:cs="宋体"/>
          <w:b/>
          <w:bCs/>
          <w:i/>
          <w:iCs/>
          <w:color w:val="auto"/>
          <w:szCs w:val="21"/>
          <w:highlight w:val="none"/>
          <w:u w:val="single"/>
          <w:lang w:val="en-US"/>
        </w:rPr>
        <w:t>②</w:t>
      </w:r>
      <w:r>
        <w:rPr>
          <w:rFonts w:hint="eastAsia" w:ascii="宋体" w:hAnsi="宋体" w:eastAsia="宋体" w:cs="宋体"/>
          <w:b/>
          <w:bCs/>
          <w:i/>
          <w:iCs/>
          <w:color w:val="auto"/>
          <w:szCs w:val="21"/>
          <w:highlight w:val="none"/>
          <w:u w:val="single"/>
        </w:rPr>
        <w:t>社会保险：</w:t>
      </w:r>
      <w:r>
        <w:rPr>
          <w:rFonts w:hint="eastAsia" w:ascii="宋体" w:hAnsi="宋体" w:eastAsia="宋体" w:cs="宋体"/>
          <w:b/>
          <w:bCs/>
          <w:i/>
          <w:iCs/>
          <w:color w:val="auto"/>
          <w:szCs w:val="21"/>
          <w:highlight w:val="none"/>
          <w:u w:val="single"/>
          <w:lang w:val="en-US"/>
        </w:rPr>
        <w:t>供应商应按照《中华人民共和国社会保险法》等相关法律法规规定为员工缴</w:t>
      </w:r>
      <w:r>
        <w:rPr>
          <w:rFonts w:hint="eastAsia" w:ascii="宋体" w:hAnsi="宋体" w:eastAsia="宋体" w:cs="宋体"/>
          <w:b/>
          <w:bCs/>
          <w:i/>
          <w:iCs/>
          <w:color w:val="auto"/>
          <w:szCs w:val="21"/>
          <w:highlight w:val="none"/>
          <w:u w:val="single"/>
        </w:rPr>
        <w:t>纳养老、工伤、失业、生育、医疗等</w:t>
      </w:r>
      <w:r>
        <w:rPr>
          <w:rFonts w:hint="eastAsia" w:ascii="宋体" w:hAnsi="宋体" w:eastAsia="宋体" w:cs="宋体"/>
          <w:b/>
          <w:bCs/>
          <w:i/>
          <w:iCs/>
          <w:color w:val="auto"/>
          <w:szCs w:val="21"/>
          <w:highlight w:val="none"/>
          <w:u w:val="single"/>
          <w:lang w:val="en-US"/>
        </w:rPr>
        <w:t>社会保险，缴费基数不得低于省级人社部门现行文件规定</w:t>
      </w:r>
      <w:r>
        <w:rPr>
          <w:rFonts w:hint="eastAsia" w:ascii="宋体" w:hAnsi="宋体" w:eastAsia="宋体" w:cs="宋体"/>
          <w:b/>
          <w:bCs/>
          <w:i/>
          <w:iCs/>
          <w:color w:val="auto"/>
          <w:szCs w:val="21"/>
          <w:highlight w:val="none"/>
          <w:u w:val="single"/>
        </w:rPr>
        <w:t>。</w:t>
      </w:r>
    </w:p>
    <w:p w14:paraId="00CE645C">
      <w:pPr>
        <w:pStyle w:val="216"/>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2"/>
        <w:jc w:val="left"/>
        <w:textAlignment w:val="auto"/>
        <w:rPr>
          <w:rFonts w:hint="eastAsia" w:ascii="宋体" w:hAnsi="宋体" w:eastAsia="宋体" w:cs="宋体"/>
          <w:b/>
          <w:bCs/>
          <w:i/>
          <w:iCs/>
          <w:color w:val="auto"/>
          <w:szCs w:val="21"/>
          <w:highlight w:val="none"/>
          <w:u w:val="single"/>
        </w:rPr>
      </w:pPr>
      <w:r>
        <w:rPr>
          <w:rFonts w:hint="eastAsia" w:ascii="宋体" w:hAnsi="宋体" w:eastAsia="宋体" w:cs="宋体"/>
          <w:b/>
          <w:bCs/>
          <w:i/>
          <w:iCs/>
          <w:color w:val="auto"/>
          <w:szCs w:val="21"/>
          <w:highlight w:val="none"/>
          <w:u w:val="single"/>
        </w:rPr>
        <w:t>供应商为投入本项目服务人员缴纳社保的人数不得低于</w:t>
      </w:r>
      <w:r>
        <w:rPr>
          <w:rFonts w:hint="eastAsia" w:ascii="宋体" w:hAnsi="宋体" w:eastAsia="宋体" w:cs="宋体"/>
          <w:b/>
          <w:bCs/>
          <w:i/>
          <w:iCs/>
          <w:color w:val="auto"/>
          <w:szCs w:val="21"/>
          <w:highlight w:val="none"/>
          <w:u w:val="single"/>
          <w:lang w:val="en-US" w:eastAsia="zh-CN"/>
        </w:rPr>
        <w:t>51</w:t>
      </w:r>
      <w:r>
        <w:rPr>
          <w:rFonts w:hint="eastAsia" w:ascii="宋体" w:hAnsi="宋体" w:eastAsia="宋体" w:cs="宋体"/>
          <w:b/>
          <w:bCs/>
          <w:i/>
          <w:iCs/>
          <w:color w:val="auto"/>
          <w:szCs w:val="21"/>
          <w:highlight w:val="none"/>
          <w:u w:val="single"/>
        </w:rPr>
        <w:t>人，供应商报价中</w:t>
      </w:r>
      <w:r>
        <w:rPr>
          <w:rFonts w:hint="eastAsia" w:ascii="宋体" w:hAnsi="宋体" w:eastAsia="宋体" w:cs="宋体"/>
          <w:b/>
          <w:bCs/>
          <w:i/>
          <w:iCs/>
          <w:color w:val="auto"/>
          <w:szCs w:val="21"/>
          <w:highlight w:val="none"/>
          <w:u w:val="single"/>
          <w:lang w:val="en-US"/>
        </w:rPr>
        <w:t>的</w:t>
      </w:r>
      <w:r>
        <w:rPr>
          <w:rFonts w:hint="eastAsia" w:ascii="宋体" w:hAnsi="宋体" w:eastAsia="宋体" w:cs="宋体"/>
          <w:b/>
          <w:bCs/>
          <w:i/>
          <w:iCs/>
          <w:color w:val="auto"/>
          <w:szCs w:val="21"/>
          <w:highlight w:val="none"/>
          <w:u w:val="single"/>
        </w:rPr>
        <w:t>“社保”费用测算不得低于上述要求，否则作为无效投标处理。</w:t>
      </w:r>
    </w:p>
    <w:p w14:paraId="134479F6">
      <w:pPr>
        <w:pStyle w:val="216"/>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2"/>
        <w:jc w:val="left"/>
        <w:textAlignment w:val="auto"/>
        <w:rPr>
          <w:rFonts w:hint="eastAsia" w:ascii="宋体" w:hAnsi="宋体" w:eastAsia="宋体" w:cs="宋体"/>
          <w:color w:val="auto"/>
          <w:szCs w:val="21"/>
          <w:highlight w:val="none"/>
          <w:lang w:val="en-US"/>
        </w:rPr>
      </w:pPr>
      <w:r>
        <w:rPr>
          <w:rFonts w:hint="eastAsia" w:ascii="宋体" w:hAnsi="宋体" w:eastAsia="宋体" w:cs="宋体"/>
          <w:b/>
          <w:bCs/>
          <w:i/>
          <w:iCs/>
          <w:color w:val="000000" w:themeColor="text1"/>
          <w:szCs w:val="21"/>
          <w:highlight w:val="none"/>
          <w:u w:val="single"/>
          <w:lang w:val="en-US"/>
          <w14:textFill>
            <w14:solidFill>
              <w14:schemeClr w14:val="tx1"/>
            </w14:solidFill>
          </w14:textFill>
        </w:rPr>
        <w:t>③法定节假日工资：本项目</w:t>
      </w:r>
      <w:r>
        <w:rPr>
          <w:rFonts w:hint="eastAsia" w:ascii="宋体" w:hAnsi="宋体" w:eastAsia="宋体" w:cs="宋体"/>
          <w:b/>
          <w:bCs/>
          <w:i/>
          <w:iCs/>
          <w:color w:val="000000" w:themeColor="text1"/>
          <w:szCs w:val="21"/>
          <w:highlight w:val="none"/>
          <w:u w:val="single"/>
          <w:lang w:val="en-US" w:eastAsia="zh-CN"/>
          <w14:textFill>
            <w14:solidFill>
              <w14:schemeClr w14:val="tx1"/>
            </w14:solidFill>
          </w14:textFill>
        </w:rPr>
        <w:t>保安</w:t>
      </w:r>
      <w:r>
        <w:rPr>
          <w:rFonts w:hint="eastAsia" w:ascii="宋体" w:hAnsi="宋体" w:eastAsia="宋体" w:cs="宋体"/>
          <w:b/>
          <w:bCs/>
          <w:i/>
          <w:iCs/>
          <w:color w:val="000000" w:themeColor="text1"/>
          <w:szCs w:val="21"/>
          <w:highlight w:val="none"/>
          <w:u w:val="single"/>
          <w:lang w:val="en-US"/>
          <w14:textFill>
            <w14:solidFill>
              <w14:schemeClr w14:val="tx1"/>
            </w14:solidFill>
          </w14:textFill>
        </w:rPr>
        <w:t>服务法定节假日在岗人数不少于</w:t>
      </w:r>
      <w:r>
        <w:rPr>
          <w:rFonts w:hint="eastAsia" w:eastAsia="宋体" w:cs="宋体"/>
          <w:b/>
          <w:bCs/>
          <w:i/>
          <w:iCs/>
          <w:color w:val="000000" w:themeColor="text1"/>
          <w:szCs w:val="21"/>
          <w:highlight w:val="none"/>
          <w:u w:val="single"/>
          <w:lang w:val="en-US" w:eastAsia="zh-CN"/>
          <w14:textFill>
            <w14:solidFill>
              <w14:schemeClr w14:val="tx1"/>
            </w14:solidFill>
          </w14:textFill>
        </w:rPr>
        <w:t>3</w:t>
      </w:r>
      <w:r>
        <w:rPr>
          <w:rFonts w:hint="eastAsia" w:ascii="宋体" w:hAnsi="宋体" w:eastAsia="宋体" w:cs="宋体"/>
          <w:b/>
          <w:bCs/>
          <w:i/>
          <w:iCs/>
          <w:color w:val="000000" w:themeColor="text1"/>
          <w:szCs w:val="21"/>
          <w:highlight w:val="none"/>
          <w:u w:val="single"/>
          <w:lang w:val="en-US" w:eastAsia="zh-CN"/>
          <w14:textFill>
            <w14:solidFill>
              <w14:schemeClr w14:val="tx1"/>
            </w14:solidFill>
          </w14:textFill>
        </w:rPr>
        <w:t>5</w:t>
      </w:r>
      <w:r>
        <w:rPr>
          <w:rFonts w:hint="eastAsia" w:ascii="宋体" w:hAnsi="宋体" w:eastAsia="宋体" w:cs="宋体"/>
          <w:b/>
          <w:bCs/>
          <w:i/>
          <w:iCs/>
          <w:color w:val="000000" w:themeColor="text1"/>
          <w:szCs w:val="21"/>
          <w:highlight w:val="none"/>
          <w:u w:val="single"/>
          <w:lang w:val="en-US"/>
          <w14:textFill>
            <w14:solidFill>
              <w14:schemeClr w14:val="tx1"/>
            </w14:solidFill>
          </w14:textFill>
        </w:rPr>
        <w:t>人，报价中的</w:t>
      </w:r>
      <w:r>
        <w:rPr>
          <w:rFonts w:hint="eastAsia" w:ascii="宋体" w:hAnsi="宋体" w:eastAsia="宋体" w:cs="宋体"/>
          <w:b/>
          <w:bCs/>
          <w:i/>
          <w:iCs/>
          <w:color w:val="auto"/>
          <w:szCs w:val="21"/>
          <w:highlight w:val="none"/>
          <w:u w:val="single"/>
          <w:lang w:val="en-US"/>
        </w:rPr>
        <w:t>“法定节假日人员加班费”不得低于上述要求，并按照本项目合同履行期内的法定节假日天数（13天/每年）进行测算，否则</w:t>
      </w:r>
      <w:r>
        <w:rPr>
          <w:rFonts w:hint="eastAsia" w:eastAsia="宋体" w:cs="宋体"/>
          <w:b/>
          <w:bCs/>
          <w:i/>
          <w:iCs/>
          <w:color w:val="auto"/>
          <w:szCs w:val="21"/>
          <w:highlight w:val="none"/>
          <w:u w:val="single"/>
          <w:lang w:val="en-US" w:eastAsia="zh-CN"/>
        </w:rPr>
        <w:t>作</w:t>
      </w:r>
      <w:r>
        <w:rPr>
          <w:rFonts w:hint="eastAsia" w:ascii="宋体" w:hAnsi="宋体" w:eastAsia="宋体" w:cs="宋体"/>
          <w:b/>
          <w:bCs/>
          <w:i/>
          <w:iCs/>
          <w:color w:val="auto"/>
          <w:szCs w:val="21"/>
          <w:highlight w:val="none"/>
          <w:u w:val="single"/>
          <w:lang w:val="en-US"/>
        </w:rPr>
        <w:t>无效投标处理。</w:t>
      </w:r>
    </w:p>
    <w:p w14:paraId="1224B3AF">
      <w:pPr>
        <w:pStyle w:val="216"/>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2"/>
        <w:jc w:val="left"/>
        <w:textAlignment w:val="auto"/>
        <w:rPr>
          <w:rFonts w:hint="eastAsia" w:ascii="宋体" w:hAnsi="宋体" w:eastAsia="宋体" w:cs="宋体"/>
          <w:b/>
          <w:bCs/>
          <w:i/>
          <w:iCs/>
          <w:color w:val="auto"/>
          <w:szCs w:val="21"/>
          <w:highlight w:val="none"/>
          <w:u w:val="single"/>
          <w:lang w:val="en-US" w:eastAsia="zh-CN"/>
        </w:rPr>
      </w:pPr>
      <w:r>
        <w:rPr>
          <w:rFonts w:hint="eastAsia" w:ascii="宋体" w:hAnsi="宋体" w:eastAsia="宋体" w:cs="宋体"/>
          <w:b/>
          <w:bCs/>
          <w:i/>
          <w:iCs/>
          <w:color w:val="auto"/>
          <w:szCs w:val="21"/>
          <w:highlight w:val="none"/>
          <w:u w:val="single"/>
          <w:lang w:val="en-US"/>
        </w:rPr>
        <w:t>④</w:t>
      </w:r>
      <w:r>
        <w:rPr>
          <w:rFonts w:hint="eastAsia" w:ascii="宋体" w:hAnsi="宋体" w:eastAsia="宋体" w:cs="宋体"/>
          <w:b/>
          <w:bCs/>
          <w:i/>
          <w:iCs/>
          <w:color w:val="auto"/>
          <w:szCs w:val="21"/>
          <w:highlight w:val="none"/>
          <w:u w:val="single"/>
        </w:rPr>
        <w:t>法定税费：</w:t>
      </w:r>
      <w:r>
        <w:rPr>
          <w:rFonts w:hint="eastAsia" w:ascii="宋体" w:hAnsi="宋体" w:eastAsia="宋体" w:cs="宋体"/>
          <w:b/>
          <w:bCs/>
          <w:i/>
          <w:iCs/>
          <w:color w:val="auto"/>
          <w:szCs w:val="21"/>
          <w:highlight w:val="none"/>
          <w:u w:val="single"/>
          <w:lang w:val="en-US"/>
        </w:rPr>
        <w:t>供应商应依法缴纳税费，《投标报价明细表》中</w:t>
      </w:r>
      <w:r>
        <w:rPr>
          <w:rFonts w:hint="eastAsia" w:ascii="宋体" w:hAnsi="宋体" w:eastAsia="宋体" w:cs="宋体"/>
          <w:b/>
          <w:bCs/>
          <w:i/>
          <w:iCs/>
          <w:color w:val="auto"/>
          <w:szCs w:val="21"/>
          <w:highlight w:val="none"/>
          <w:u w:val="single"/>
        </w:rPr>
        <w:t>统一按一般纳税人税率6%</w:t>
      </w:r>
      <w:r>
        <w:rPr>
          <w:rFonts w:hint="eastAsia" w:ascii="宋体" w:hAnsi="宋体" w:eastAsia="宋体" w:cs="宋体"/>
          <w:b/>
          <w:bCs/>
          <w:i/>
          <w:iCs/>
          <w:color w:val="auto"/>
          <w:szCs w:val="21"/>
          <w:highlight w:val="none"/>
          <w:u w:val="single"/>
          <w:lang w:val="en-US" w:eastAsia="zh-CN"/>
        </w:rPr>
        <w:t>取费</w:t>
      </w:r>
      <w:r>
        <w:rPr>
          <w:rFonts w:hint="eastAsia" w:ascii="宋体" w:hAnsi="宋体" w:eastAsia="宋体" w:cs="宋体"/>
          <w:b/>
          <w:bCs/>
          <w:i/>
          <w:iCs/>
          <w:color w:val="auto"/>
          <w:szCs w:val="21"/>
          <w:highlight w:val="none"/>
          <w:u w:val="single"/>
        </w:rPr>
        <w:t>（合同履行时实际应税税率与招标时不一致按实调整结算），否则作为无效投标处理</w:t>
      </w:r>
      <w:r>
        <w:rPr>
          <w:rFonts w:hint="eastAsia" w:ascii="宋体" w:hAnsi="宋体" w:eastAsia="宋体" w:cs="宋体"/>
          <w:b/>
          <w:bCs/>
          <w:i/>
          <w:iCs/>
          <w:color w:val="auto"/>
          <w:szCs w:val="21"/>
          <w:highlight w:val="none"/>
          <w:u w:val="single"/>
          <w:lang w:eastAsia="zh-CN"/>
        </w:rPr>
        <w:t>。</w:t>
      </w:r>
    </w:p>
    <w:p w14:paraId="4052941B">
      <w:pPr>
        <w:pStyle w:val="216"/>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⑤其他费用：</w:t>
      </w:r>
      <w:r>
        <w:rPr>
          <w:rFonts w:hint="eastAsia" w:ascii="宋体" w:hAnsi="宋体" w:eastAsia="宋体" w:cs="宋体"/>
          <w:color w:val="auto"/>
          <w:szCs w:val="21"/>
          <w:highlight w:val="none"/>
        </w:rPr>
        <w:t>《投标报价明细表》</w:t>
      </w:r>
      <w:r>
        <w:rPr>
          <w:rFonts w:hint="eastAsia" w:ascii="宋体" w:hAnsi="宋体" w:eastAsia="宋体" w:cs="宋体"/>
          <w:color w:val="auto"/>
          <w:szCs w:val="21"/>
          <w:highlight w:val="none"/>
          <w:lang w:val="en-US"/>
        </w:rPr>
        <w:t>中供应商认为完成本项目</w:t>
      </w:r>
      <w:r>
        <w:rPr>
          <w:rFonts w:hint="eastAsia" w:ascii="宋体" w:hAnsi="宋体" w:eastAsia="宋体" w:cs="宋体"/>
          <w:color w:val="auto"/>
          <w:szCs w:val="21"/>
          <w:highlight w:val="none"/>
          <w:lang w:val="en-US" w:eastAsia="zh-CN"/>
        </w:rPr>
        <w:t>保安</w:t>
      </w:r>
      <w:r>
        <w:rPr>
          <w:rFonts w:hint="eastAsia" w:ascii="宋体" w:hAnsi="宋体" w:eastAsia="宋体" w:cs="宋体"/>
          <w:color w:val="auto"/>
          <w:szCs w:val="21"/>
          <w:highlight w:val="none"/>
          <w:lang w:val="en-US"/>
        </w:rPr>
        <w:t>服务可能产生的其他相关费用。</w:t>
      </w:r>
    </w:p>
    <w:p w14:paraId="613E1E73">
      <w:pPr>
        <w:spacing w:line="440" w:lineRule="exact"/>
        <w:ind w:firstLine="422" w:firstLineChars="200"/>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lang w:val="en-US" w:eastAsia="zh-CN"/>
        </w:rPr>
        <w:t>注：</w:t>
      </w:r>
      <w:r>
        <w:rPr>
          <w:rFonts w:hint="eastAsia" w:ascii="宋体" w:hAnsi="宋体" w:eastAsia="宋体" w:cs="宋体"/>
          <w:b/>
          <w:bCs/>
          <w:color w:val="FF0000"/>
          <w:sz w:val="21"/>
          <w:szCs w:val="21"/>
          <w:highlight w:val="none"/>
        </w:rPr>
        <w:t>保安、保洁等工作服装和保安装备（含通讯、保安用器械等）等由投标（中标）供应商购置并承担费用。</w:t>
      </w:r>
    </w:p>
    <w:p w14:paraId="19751A2D">
      <w:pPr>
        <w:spacing w:line="440" w:lineRule="exact"/>
        <w:ind w:firstLine="420"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投标人在投标报价时应考虑各种风险因素，相关风险因素费用包含在投标总价中。</w:t>
      </w:r>
      <w:r>
        <w:rPr>
          <w:rFonts w:hint="eastAsia" w:ascii="宋体" w:hAnsi="宋体" w:eastAsia="宋体" w:cs="宋体"/>
          <w:b/>
          <w:color w:val="auto"/>
          <w:sz w:val="21"/>
          <w:szCs w:val="21"/>
          <w:highlight w:val="none"/>
        </w:rPr>
        <w:t>风险因素包括遇重大活动、检查、突发情况、最低工资调整、物价调整、税费调整等。</w:t>
      </w:r>
    </w:p>
    <w:p w14:paraId="252A9103">
      <w:pPr>
        <w:spacing w:line="440" w:lineRule="exact"/>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 </w:t>
      </w:r>
      <w:r>
        <w:rPr>
          <w:rFonts w:hint="eastAsia" w:ascii="宋体" w:hAnsi="宋体" w:eastAsia="宋体" w:cs="宋体"/>
          <w:color w:val="auto"/>
          <w:sz w:val="21"/>
          <w:szCs w:val="21"/>
          <w:highlight w:val="none"/>
        </w:rPr>
        <w:t>投标报价方式：采用固定总价报价，同时，须报各项目的综合单价及各细项的明细报价；成交后固定总价包干使用，综合单价及各细项的明细报价作为评标的依据和调整的依据。</w:t>
      </w:r>
      <w:r>
        <w:rPr>
          <w:rFonts w:hint="eastAsia" w:ascii="宋体" w:hAnsi="宋体" w:eastAsia="宋体" w:cs="宋体"/>
          <w:color w:val="000000" w:themeColor="text1"/>
          <w:szCs w:val="21"/>
          <w:highlight w:val="green"/>
          <w:lang w:val="en-US" w:eastAsia="zh-CN"/>
          <w14:textFill>
            <w14:solidFill>
              <w14:schemeClr w14:val="tx1"/>
            </w14:solidFill>
          </w14:textFill>
        </w:rPr>
        <w:t>在项目服务期内，因岗位要求增设（削减）保安人员，供应商需无条件服从采购人要求，采购人按照</w:t>
      </w:r>
      <w:r>
        <w:rPr>
          <w:rFonts w:hint="eastAsia" w:ascii="宋体" w:hAnsi="宋体" w:eastAsia="宋体" w:cs="宋体"/>
          <w:color w:val="000000" w:themeColor="text1"/>
          <w:sz w:val="21"/>
          <w:szCs w:val="21"/>
          <w:highlight w:val="green"/>
          <w14:textFill>
            <w14:solidFill>
              <w14:schemeClr w14:val="tx1"/>
            </w14:solidFill>
          </w14:textFill>
        </w:rPr>
        <w:t>综合单价及各细项的明细报价作为</w:t>
      </w:r>
      <w:r>
        <w:rPr>
          <w:rFonts w:hint="eastAsia" w:ascii="宋体" w:hAnsi="宋体" w:eastAsia="宋体" w:cs="宋体"/>
          <w:color w:val="000000" w:themeColor="text1"/>
          <w:sz w:val="21"/>
          <w:szCs w:val="21"/>
          <w:highlight w:val="green"/>
          <w:lang w:val="en-US" w:eastAsia="zh-CN"/>
          <w14:textFill>
            <w14:solidFill>
              <w14:schemeClr w14:val="tx1"/>
            </w14:solidFill>
          </w14:textFill>
        </w:rPr>
        <w:t>支付（扣除）相应报酬。</w:t>
      </w:r>
    </w:p>
    <w:p w14:paraId="5992BBF9">
      <w:pPr>
        <w:pStyle w:val="216"/>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82"/>
        <w:jc w:val="left"/>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4报价需充分考虑服务期限（合同期限）内的市场因素和成本变化状况的风险，</w:t>
      </w:r>
      <w:r>
        <w:rPr>
          <w:rFonts w:hint="eastAsia" w:ascii="宋体" w:hAnsi="宋体" w:eastAsia="宋体" w:cs="宋体"/>
          <w:b/>
          <w:bCs/>
          <w:color w:val="000000" w:themeColor="text1"/>
          <w:sz w:val="24"/>
          <w:szCs w:val="24"/>
          <w:highlight w:val="none"/>
          <w:lang w:val="en-US"/>
          <w14:textFill>
            <w14:solidFill>
              <w14:schemeClr w14:val="tx1"/>
            </w14:solidFill>
          </w14:textFill>
        </w:rPr>
        <w:t>合同期间不再调整价格</w:t>
      </w:r>
      <w:r>
        <w:rPr>
          <w:rFonts w:hint="eastAsia" w:ascii="宋体" w:hAnsi="宋体" w:eastAsia="宋体" w:cs="宋体"/>
          <w:b/>
          <w:bCs/>
          <w:color w:val="000000" w:themeColor="text1"/>
          <w:sz w:val="24"/>
          <w:szCs w:val="24"/>
          <w:highlight w:val="none"/>
          <w14:textFill>
            <w14:solidFill>
              <w14:schemeClr w14:val="tx1"/>
            </w14:solidFill>
          </w14:textFill>
        </w:rPr>
        <w:t>。</w:t>
      </w:r>
    </w:p>
    <w:p w14:paraId="1ABA204C">
      <w:pPr>
        <w:pStyle w:val="216"/>
        <w:keepNext w:val="0"/>
        <w:keepLines w:val="0"/>
        <w:pageBreakBefore w:val="0"/>
        <w:widowControl w:val="0"/>
        <w:tabs>
          <w:tab w:val="left" w:pos="295"/>
        </w:tabs>
        <w:kinsoku/>
        <w:wordWrap/>
        <w:overflowPunct/>
        <w:topLinePunct w:val="0"/>
        <w:autoSpaceDE/>
        <w:autoSpaceDN/>
        <w:bidi w:val="0"/>
        <w:adjustRightInd/>
        <w:snapToGrid/>
        <w:spacing w:line="480" w:lineRule="exact"/>
        <w:ind w:firstLine="42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rPr>
        <w:t>3.</w:t>
      </w:r>
      <w:r>
        <w:rPr>
          <w:rFonts w:hint="eastAsia" w:ascii="宋体" w:hAnsi="宋体" w:eastAsia="宋体" w:cs="宋体"/>
          <w:color w:val="auto"/>
          <w:szCs w:val="21"/>
          <w:highlight w:val="none"/>
        </w:rPr>
        <w:t>5采购人不支付投标报价以外的任何费用。</w:t>
      </w:r>
    </w:p>
    <w:p w14:paraId="08D6A809">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color w:val="auto"/>
          <w:szCs w:val="21"/>
          <w:highlight w:val="none"/>
          <w:lang w:val="en-US"/>
        </w:rPr>
        <w:t>3.</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报价在合同执行过程中是固定的，不得以任何理由予以变更。</w:t>
      </w:r>
    </w:p>
    <w:p w14:paraId="0E3E71CE">
      <w:pPr>
        <w:spacing w:line="440" w:lineRule="exact"/>
        <w:ind w:firstLine="422"/>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en-US" w:eastAsia="zh-CN"/>
        </w:rPr>
        <w:t>七</w:t>
      </w:r>
      <w:r>
        <w:rPr>
          <w:rFonts w:hint="eastAsia" w:ascii="宋体" w:hAnsi="宋体" w:eastAsia="宋体" w:cs="宋体"/>
          <w:b/>
          <w:bCs/>
          <w:color w:val="auto"/>
          <w:highlight w:val="none"/>
          <w:lang w:val="zh-CN"/>
        </w:rPr>
        <w:t>、</w:t>
      </w:r>
      <w:r>
        <w:rPr>
          <w:rFonts w:hint="eastAsia" w:ascii="宋体" w:hAnsi="宋体" w:eastAsia="宋体" w:cs="宋体"/>
          <w:b/>
          <w:bCs/>
          <w:color w:val="auto"/>
          <w:highlight w:val="none"/>
        </w:rPr>
        <w:t>本章</w:t>
      </w:r>
      <w:r>
        <w:rPr>
          <w:rFonts w:hint="eastAsia" w:ascii="宋体" w:hAnsi="宋体" w:eastAsia="宋体" w:cs="宋体"/>
          <w:b/>
          <w:bCs/>
          <w:color w:val="auto"/>
          <w:highlight w:val="none"/>
          <w:lang w:val="zh-CN"/>
        </w:rPr>
        <w:t>采购需求中</w:t>
      </w:r>
      <w:r>
        <w:rPr>
          <w:rFonts w:hint="eastAsia" w:ascii="宋体" w:hAnsi="宋体" w:eastAsia="宋体" w:cs="宋体"/>
          <w:b/>
          <w:bCs/>
          <w:i/>
          <w:iCs/>
          <w:color w:val="auto"/>
          <w:highlight w:val="none"/>
          <w:u w:val="single"/>
          <w:lang w:val="zh-CN"/>
        </w:rPr>
        <w:t>斜体且有下划线部分为必须满足</w:t>
      </w:r>
      <w:r>
        <w:rPr>
          <w:rFonts w:hint="eastAsia" w:ascii="宋体" w:hAnsi="宋体" w:eastAsia="宋体" w:cs="宋体"/>
          <w:b/>
          <w:bCs/>
          <w:i/>
          <w:iCs/>
          <w:color w:val="auto"/>
          <w:highlight w:val="none"/>
          <w:u w:val="single"/>
        </w:rPr>
        <w:t>的</w:t>
      </w:r>
      <w:r>
        <w:rPr>
          <w:rFonts w:hint="eastAsia" w:ascii="宋体" w:hAnsi="宋体" w:eastAsia="宋体" w:cs="宋体"/>
          <w:b/>
          <w:bCs/>
          <w:i/>
          <w:iCs/>
          <w:color w:val="auto"/>
          <w:highlight w:val="none"/>
          <w:u w:val="single"/>
          <w:lang w:val="zh-CN"/>
        </w:rPr>
        <w:t>实质性要求</w:t>
      </w:r>
      <w:r>
        <w:rPr>
          <w:rFonts w:hint="eastAsia" w:ascii="宋体" w:hAnsi="宋体" w:eastAsia="宋体" w:cs="宋体"/>
          <w:b/>
          <w:bCs/>
          <w:color w:val="auto"/>
          <w:highlight w:val="none"/>
          <w:lang w:val="zh-CN"/>
        </w:rPr>
        <w:t>。</w:t>
      </w:r>
    </w:p>
    <w:p w14:paraId="671F83FE">
      <w:pPr>
        <w:spacing w:line="440" w:lineRule="exact"/>
        <w:ind w:firstLine="422"/>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en-US" w:eastAsia="zh-CN"/>
        </w:rPr>
        <w:t>八</w:t>
      </w:r>
      <w:r>
        <w:rPr>
          <w:rFonts w:hint="eastAsia" w:ascii="宋体" w:hAnsi="宋体" w:eastAsia="宋体" w:cs="宋体"/>
          <w:b/>
          <w:bCs/>
          <w:color w:val="auto"/>
          <w:highlight w:val="none"/>
          <w:lang w:val="zh-CN"/>
        </w:rPr>
        <w:t>、采购标的对应的中小企业划分标准所属行业一览表</w:t>
      </w:r>
    </w:p>
    <w:tbl>
      <w:tblPr>
        <w:tblStyle w:val="3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761"/>
        <w:gridCol w:w="3730"/>
        <w:gridCol w:w="3713"/>
      </w:tblGrid>
      <w:tr w14:paraId="16CB02F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10" w:hRule="atLeast"/>
          <w:jc w:val="center"/>
        </w:trPr>
        <w:tc>
          <w:tcPr>
            <w:tcW w:w="76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D4654A4">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373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35241C8">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采购标的</w:t>
            </w:r>
          </w:p>
        </w:tc>
        <w:tc>
          <w:tcPr>
            <w:tcW w:w="3713"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74B1508">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对应中小企业划分标准所属行业</w:t>
            </w:r>
          </w:p>
        </w:tc>
      </w:tr>
      <w:tr w14:paraId="44B569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9" w:hRule="atLeast"/>
          <w:jc w:val="center"/>
        </w:trPr>
        <w:tc>
          <w:tcPr>
            <w:tcW w:w="76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2BBBE9B">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730"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8DB2A9B">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阜宁县人民医院特勤及保安服务项目</w:t>
            </w:r>
          </w:p>
        </w:tc>
        <w:tc>
          <w:tcPr>
            <w:tcW w:w="371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670E5CC">
            <w:pPr>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租赁和商务服务业</w:t>
            </w:r>
          </w:p>
        </w:tc>
      </w:tr>
    </w:tbl>
    <w:p w14:paraId="54718DC7">
      <w:pPr>
        <w:spacing w:line="440" w:lineRule="exact"/>
        <w:ind w:firstLine="316" w:firstLineChars="150"/>
        <w:rPr>
          <w:rFonts w:hint="eastAsia" w:ascii="宋体" w:hAnsi="宋体" w:eastAsia="宋体" w:cs="宋体"/>
          <w:b/>
          <w:color w:val="auto"/>
          <w:sz w:val="21"/>
          <w:szCs w:val="21"/>
          <w:highlight w:val="none"/>
        </w:rPr>
      </w:pPr>
    </w:p>
    <w:bookmarkEnd w:id="1"/>
    <w:bookmarkEnd w:id="40"/>
    <w:bookmarkEnd w:id="85"/>
    <w:bookmarkEnd w:id="86"/>
    <w:bookmarkEnd w:id="87"/>
    <w:bookmarkEnd w:id="90"/>
    <w:bookmarkEnd w:id="91"/>
    <w:bookmarkEnd w:id="92"/>
    <w:bookmarkEnd w:id="93"/>
    <w:bookmarkEnd w:id="94"/>
    <w:bookmarkEnd w:id="95"/>
    <w:bookmarkEnd w:id="96"/>
    <w:bookmarkEnd w:id="97"/>
    <w:bookmarkEnd w:id="98"/>
    <w:bookmarkEnd w:id="99"/>
    <w:bookmarkEnd w:id="100"/>
    <w:bookmarkEnd w:id="101"/>
    <w:bookmarkEnd w:id="102"/>
    <w:bookmarkEnd w:id="107"/>
    <w:bookmarkEnd w:id="108"/>
    <w:bookmarkEnd w:id="109"/>
    <w:bookmarkEnd w:id="114"/>
    <w:bookmarkEnd w:id="115"/>
    <w:bookmarkEnd w:id="122"/>
    <w:bookmarkEnd w:id="172"/>
    <w:bookmarkEnd w:id="173"/>
    <w:bookmarkEnd w:id="174"/>
    <w:bookmarkEnd w:id="175"/>
    <w:bookmarkEnd w:id="176"/>
    <w:bookmarkEnd w:id="177"/>
    <w:bookmarkEnd w:id="178"/>
    <w:p w14:paraId="16CE0C92">
      <w:pPr>
        <w:rPr>
          <w:rFonts w:hint="eastAsia" w:ascii="宋体" w:hAnsi="宋体" w:eastAsia="宋体" w:cs="宋体"/>
          <w:color w:val="auto"/>
          <w:highlight w:val="none"/>
          <w:lang w:eastAsia="zh-CN"/>
        </w:rPr>
      </w:pPr>
    </w:p>
    <w:p w14:paraId="7C784FB9">
      <w:pPr>
        <w:rPr>
          <w:rFonts w:hint="eastAsia" w:ascii="宋体" w:hAnsi="宋体" w:eastAsia="宋体" w:cs="宋体"/>
          <w:color w:val="auto"/>
          <w:highlight w:val="none"/>
          <w:lang w:eastAsia="zh-CN"/>
        </w:rPr>
      </w:pPr>
    </w:p>
    <w:p w14:paraId="35DB53BE">
      <w:pPr>
        <w:rPr>
          <w:rFonts w:hint="eastAsia" w:ascii="宋体" w:hAnsi="宋体" w:eastAsia="宋体" w:cs="宋体"/>
          <w:color w:val="auto"/>
          <w:highlight w:val="none"/>
          <w:lang w:eastAsia="zh-CN"/>
        </w:rPr>
      </w:pPr>
    </w:p>
    <w:p w14:paraId="033B9FFC">
      <w:pPr>
        <w:rPr>
          <w:rFonts w:hint="eastAsia" w:ascii="宋体" w:hAnsi="宋体" w:eastAsia="宋体" w:cs="宋体"/>
          <w:color w:val="auto"/>
          <w:highlight w:val="none"/>
          <w:lang w:eastAsia="zh-CN"/>
        </w:rPr>
      </w:pPr>
    </w:p>
    <w:p w14:paraId="32C04077">
      <w:pPr>
        <w:rPr>
          <w:rFonts w:hint="eastAsia" w:ascii="宋体" w:hAnsi="宋体" w:eastAsia="宋体" w:cs="宋体"/>
          <w:color w:val="auto"/>
          <w:highlight w:val="none"/>
          <w:lang w:eastAsia="zh-CN"/>
        </w:rPr>
      </w:pPr>
    </w:p>
    <w:p w14:paraId="2C1DC57F">
      <w:pPr>
        <w:rPr>
          <w:rFonts w:hint="eastAsia" w:ascii="宋体" w:hAnsi="宋体" w:eastAsia="宋体" w:cs="宋体"/>
          <w:color w:val="auto"/>
          <w:highlight w:val="none"/>
          <w:lang w:eastAsia="zh-CN"/>
        </w:rPr>
      </w:pPr>
    </w:p>
    <w:p w14:paraId="521CEBAF">
      <w:pPr>
        <w:rPr>
          <w:rFonts w:hint="eastAsia" w:ascii="宋体" w:hAnsi="宋体" w:eastAsia="宋体" w:cs="宋体"/>
          <w:color w:val="auto"/>
          <w:highlight w:val="none"/>
          <w:lang w:eastAsia="zh-CN"/>
        </w:rPr>
      </w:pPr>
    </w:p>
    <w:p w14:paraId="2B729F7B">
      <w:pPr>
        <w:rPr>
          <w:rFonts w:hint="eastAsia" w:ascii="宋体" w:hAnsi="宋体" w:eastAsia="宋体" w:cs="宋体"/>
          <w:color w:val="auto"/>
          <w:highlight w:val="none"/>
          <w:lang w:eastAsia="zh-CN"/>
        </w:rPr>
      </w:pPr>
    </w:p>
    <w:p w14:paraId="05DA7546">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2EFC5FAD">
      <w:pPr>
        <w:rPr>
          <w:color w:val="auto"/>
          <w:highlight w:val="none"/>
        </w:rPr>
        <w:sectPr>
          <w:pgSz w:w="11906" w:h="16838"/>
          <w:pgMar w:top="1440" w:right="1417" w:bottom="1440" w:left="1417" w:header="851" w:footer="992" w:gutter="0"/>
          <w:pgNumType w:fmt="decimal"/>
          <w:cols w:space="425" w:num="1"/>
          <w:docGrid w:linePitch="360" w:charSpace="0"/>
        </w:sectPr>
      </w:pPr>
    </w:p>
    <w:p w14:paraId="6F20B78C">
      <w:pPr>
        <w:pStyle w:val="34"/>
        <w:keepNext/>
        <w:spacing w:beforeAutospacing="0" w:afterAutospacing="0"/>
        <w:jc w:val="center"/>
        <w:outlineLvl w:val="0"/>
        <w:rPr>
          <w:color w:val="auto"/>
          <w:highlight w:val="none"/>
        </w:rPr>
      </w:pPr>
      <w:bookmarkStart w:id="186" w:name="_Toc24570"/>
      <w:r>
        <w:rPr>
          <w:rFonts w:hint="eastAsia" w:ascii="黑体" w:hAnsi="宋体" w:eastAsia="黑体" w:cs="黑体"/>
          <w:color w:val="auto"/>
          <w:sz w:val="44"/>
          <w:szCs w:val="44"/>
          <w:highlight w:val="none"/>
        </w:rPr>
        <w:t>第五章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b/>
          <w:color w:val="auto"/>
          <w:sz w:val="44"/>
          <w:szCs w:val="44"/>
          <w:highlight w:val="none"/>
        </w:rPr>
        <w:t>评标方法与评标标准</w:t>
      </w:r>
      <w:bookmarkEnd w:id="186"/>
    </w:p>
    <w:p w14:paraId="145670AE">
      <w:pPr>
        <w:pStyle w:val="34"/>
        <w:spacing w:beforeAutospacing="0" w:afterAutospacing="0"/>
        <w:jc w:val="both"/>
        <w:rPr>
          <w:color w:val="auto"/>
          <w:highlight w:val="none"/>
        </w:rPr>
      </w:pPr>
      <w:r>
        <w:rPr>
          <w:color w:val="auto"/>
          <w:highlight w:val="none"/>
        </w:rPr>
        <w:t> </w:t>
      </w:r>
    </w:p>
    <w:p w14:paraId="00A49119">
      <w:pPr>
        <w:spacing w:line="440" w:lineRule="exact"/>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一、定标原则</w:t>
      </w:r>
    </w:p>
    <w:p w14:paraId="27F67CFD">
      <w:pPr>
        <w:spacing w:line="440" w:lineRule="exact"/>
        <w:ind w:firstLine="42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本项目采用</w:t>
      </w:r>
      <w:r>
        <w:rPr>
          <w:rFonts w:hint="eastAsia" w:ascii="宋体" w:hAnsi="宋体" w:eastAsia="宋体" w:cs="宋体"/>
          <w:bCs/>
          <w:color w:val="auto"/>
          <w:szCs w:val="21"/>
          <w:highlight w:val="none"/>
          <w:u w:val="single"/>
        </w:rPr>
        <w:t>综合评分</w:t>
      </w:r>
      <w:r>
        <w:rPr>
          <w:rFonts w:hint="eastAsia" w:ascii="宋体" w:hAnsi="宋体" w:eastAsia="宋体" w:cs="宋体"/>
          <w:bCs/>
          <w:color w:val="auto"/>
          <w:szCs w:val="21"/>
          <w:highlight w:val="none"/>
        </w:rPr>
        <w:t>法。</w:t>
      </w:r>
      <w:r>
        <w:rPr>
          <w:rFonts w:hint="eastAsia" w:ascii="宋体" w:hAnsi="宋体" w:eastAsia="宋体" w:cs="宋体"/>
          <w:color w:val="auto"/>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0AB917FC">
      <w:pPr>
        <w:pStyle w:val="34"/>
        <w:spacing w:beforeAutospacing="0" w:afterAutospacing="0" w:line="440" w:lineRule="exact"/>
        <w:ind w:firstLine="441"/>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政府采购政策功能落实</w:t>
      </w:r>
    </w:p>
    <w:p w14:paraId="4A5D6DBE">
      <w:pPr>
        <w:pStyle w:val="34"/>
        <w:spacing w:beforeAutospacing="0" w:afterAutospacing="0" w:line="44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小微型企业价格扣除</w:t>
      </w:r>
    </w:p>
    <w:p w14:paraId="215B5D4C">
      <w:pPr>
        <w:pStyle w:val="207"/>
        <w:spacing w:before="0" w:after="0" w:line="440" w:lineRule="exact"/>
        <w:ind w:firstLine="31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（1）本项目专门面向中小企业采购，不再对小型和微型企业报价给予价格扣除。</w:t>
      </w:r>
    </w:p>
    <w:p w14:paraId="4F1029D6">
      <w:pPr>
        <w:pStyle w:val="34"/>
        <w:spacing w:beforeAutospacing="0" w:afterAutospacing="0" w:line="440" w:lineRule="exact"/>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（2）供应商需按照采购文件的要求提供相应的《中小企业声明函》。</w:t>
      </w:r>
    </w:p>
    <w:p w14:paraId="5DE08D6F">
      <w:pPr>
        <w:pStyle w:val="34"/>
        <w:spacing w:beforeAutospacing="0" w:afterAutospacing="0" w:line="440" w:lineRule="exact"/>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（3）企业标准请参照《关于印发中小企业划型标准规定的通知》（工信部联企业〔2011〕300号）文件规定自行填写。</w:t>
      </w:r>
    </w:p>
    <w:p w14:paraId="541A7B61">
      <w:pPr>
        <w:pStyle w:val="34"/>
        <w:spacing w:beforeAutospacing="0" w:afterAutospacing="0" w:line="44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残疾人福利单位价格扣除</w:t>
      </w:r>
    </w:p>
    <w:p w14:paraId="4A5A3B6B">
      <w:pPr>
        <w:pStyle w:val="34"/>
        <w:spacing w:beforeAutospacing="0" w:afterAutospacing="0" w:line="440" w:lineRule="exact"/>
        <w:ind w:firstLine="36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（1）本项目对残疾人福利性单位视同小型、微型企业</w:t>
      </w:r>
      <w:r>
        <w:rPr>
          <w:rFonts w:hint="eastAsia" w:ascii="宋体" w:hAnsi="宋体" w:eastAsia="宋体" w:cs="宋体"/>
          <w:color w:val="auto"/>
          <w:sz w:val="21"/>
          <w:szCs w:val="21"/>
          <w:highlight w:val="none"/>
          <w:u w:val="none"/>
        </w:rPr>
        <w:t>。</w:t>
      </w:r>
    </w:p>
    <w:p w14:paraId="3709431B">
      <w:pPr>
        <w:pStyle w:val="34"/>
        <w:spacing w:beforeAutospacing="0" w:afterAutospacing="0" w:line="440" w:lineRule="exact"/>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（2）残疾人福利单位需按照采购文件的要求提供《残疾人福利性单位声明函》。</w:t>
      </w:r>
    </w:p>
    <w:p w14:paraId="30C91E74">
      <w:pPr>
        <w:pStyle w:val="34"/>
        <w:spacing w:beforeAutospacing="0" w:afterAutospacing="0" w:line="440" w:lineRule="exact"/>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（3）残疾人福利单位标准请参照《关于促进残疾人就业政府采购政策的通知》（财库〔2017〕141号）。</w:t>
      </w:r>
    </w:p>
    <w:p w14:paraId="737E6D49">
      <w:pPr>
        <w:pStyle w:val="34"/>
        <w:spacing w:beforeAutospacing="0" w:afterAutospacing="0" w:line="44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监狱和戒毒企业价格扣除</w:t>
      </w:r>
    </w:p>
    <w:p w14:paraId="72E78164">
      <w:pPr>
        <w:pStyle w:val="34"/>
        <w:spacing w:beforeAutospacing="0" w:afterAutospacing="0" w:line="440" w:lineRule="exact"/>
        <w:ind w:firstLine="36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（1）本项目对监狱和戒毒企业（简称监狱企业）视同小型、微型企业</w:t>
      </w:r>
      <w:r>
        <w:rPr>
          <w:rFonts w:hint="eastAsia" w:ascii="宋体" w:hAnsi="宋体" w:eastAsia="宋体" w:cs="宋体"/>
          <w:color w:val="auto"/>
          <w:sz w:val="21"/>
          <w:szCs w:val="21"/>
          <w:highlight w:val="none"/>
          <w:u w:val="none"/>
        </w:rPr>
        <w:t>。</w:t>
      </w:r>
    </w:p>
    <w:p w14:paraId="2D039AA8">
      <w:pPr>
        <w:pStyle w:val="34"/>
        <w:spacing w:beforeAutospacing="0" w:afterAutospacing="0" w:line="440" w:lineRule="exact"/>
        <w:ind w:firstLine="36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auto"/>
          <w:sz w:val="21"/>
          <w:szCs w:val="21"/>
          <w:highlight w:val="none"/>
          <w:lang w:val="en-US" w:eastAsia="zh-CN"/>
        </w:rPr>
        <w:t xml:space="preserve"> </w:t>
      </w:r>
    </w:p>
    <w:p w14:paraId="0804B28F">
      <w:pPr>
        <w:pStyle w:val="34"/>
        <w:spacing w:beforeAutospacing="0" w:afterAutospacing="0" w:line="440" w:lineRule="exact"/>
        <w:ind w:firstLine="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（3）监狱企业标准请参照《关于政府采购支持监狱企业发展有关问题的通知》（财库</w:t>
      </w:r>
      <w:r>
        <w:rPr>
          <w:rFonts w:hint="eastAsia" w:ascii="宋体" w:hAnsi="宋体" w:eastAsia="宋体" w:cs="宋体"/>
          <w:color w:val="auto"/>
          <w:sz w:val="21"/>
          <w:szCs w:val="21"/>
          <w:highlight w:val="none"/>
          <w:lang w:eastAsia="zh-CN"/>
        </w:rPr>
        <w:t>〔2014〕68号</w:t>
      </w:r>
      <w:r>
        <w:rPr>
          <w:rFonts w:hint="eastAsia" w:ascii="宋体" w:hAnsi="宋体" w:eastAsia="宋体" w:cs="宋体"/>
          <w:color w:val="auto"/>
          <w:sz w:val="21"/>
          <w:szCs w:val="21"/>
          <w:highlight w:val="none"/>
        </w:rPr>
        <w:t>）。</w:t>
      </w:r>
    </w:p>
    <w:p w14:paraId="47E63105">
      <w:pPr>
        <w:pStyle w:val="34"/>
        <w:spacing w:beforeAutospacing="0" w:afterAutospacing="0" w:line="44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残疾人福利单位、监狱企业属于小型、微型企业的，不重复享受政策。</w:t>
      </w:r>
    </w:p>
    <w:p w14:paraId="231A363C">
      <w:pPr>
        <w:pStyle w:val="34"/>
        <w:spacing w:beforeAutospacing="0" w:afterAutospacing="0" w:line="440" w:lineRule="exact"/>
        <w:ind w:firstLine="480"/>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由国家确定的认证机构出具的、处于有效期之内的节能产品、环境标志产品认证证书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。节能产品、环境标志产品品目清单以递交响应文件截止时已正式公布的最近一期信息为准，</w:t>
      </w:r>
      <w:r>
        <w:rPr>
          <w:rFonts w:hint="eastAsia" w:ascii="宋体" w:hAnsi="宋体" w:eastAsia="宋体" w:cs="宋体"/>
          <w:b/>
          <w:bCs/>
          <w:color w:val="auto"/>
          <w:sz w:val="21"/>
          <w:szCs w:val="21"/>
          <w:highlight w:val="none"/>
        </w:rPr>
        <w:t>如属政府强制采购产品未提供认证证书的或认证证书提供不全的将视为未实质性响应采购要求</w:t>
      </w:r>
      <w:r>
        <w:rPr>
          <w:rFonts w:hint="eastAsia" w:ascii="宋体" w:hAnsi="宋体" w:eastAsia="宋体" w:cs="宋体"/>
          <w:color w:val="auto"/>
          <w:sz w:val="21"/>
          <w:szCs w:val="21"/>
          <w:highlight w:val="none"/>
        </w:rPr>
        <w:t>。其他条件相同情况下，应当优先采购节能产品、环境标志产品。</w:t>
      </w:r>
    </w:p>
    <w:p w14:paraId="2D5D821F">
      <w:pPr>
        <w:widowControl/>
        <w:spacing w:line="520" w:lineRule="exact"/>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二、评标方法与评标标准</w:t>
      </w:r>
    </w:p>
    <w:tbl>
      <w:tblPr>
        <w:tblStyle w:val="38"/>
        <w:tblW w:w="88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
        <w:gridCol w:w="882"/>
        <w:gridCol w:w="6690"/>
        <w:gridCol w:w="711"/>
      </w:tblGrid>
      <w:tr w14:paraId="534BD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10" w:type="dxa"/>
            <w:vAlign w:val="center"/>
          </w:tcPr>
          <w:p w14:paraId="6A505694">
            <w:pPr>
              <w:jc w:val="center"/>
              <w:rPr>
                <w:rFonts w:hint="eastAsia" w:ascii="宋体" w:hAnsi="宋体" w:eastAsia="宋体" w:cs="宋体"/>
                <w:sz w:val="21"/>
                <w:szCs w:val="21"/>
              </w:rPr>
            </w:pPr>
            <w:r>
              <w:rPr>
                <w:rFonts w:hint="eastAsia" w:ascii="宋体" w:hAnsi="宋体" w:eastAsia="宋体" w:cs="宋体"/>
                <w:b/>
                <w:bCs/>
                <w:color w:val="000000"/>
                <w:sz w:val="21"/>
                <w:szCs w:val="21"/>
              </w:rPr>
              <w:t>序号</w:t>
            </w:r>
          </w:p>
        </w:tc>
        <w:tc>
          <w:tcPr>
            <w:tcW w:w="882" w:type="dxa"/>
            <w:vAlign w:val="center"/>
          </w:tcPr>
          <w:p w14:paraId="6D0C71BE">
            <w:pPr>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评审</w:t>
            </w:r>
          </w:p>
          <w:p w14:paraId="72B1E100">
            <w:pPr>
              <w:jc w:val="center"/>
              <w:rPr>
                <w:rFonts w:hint="eastAsia" w:ascii="宋体" w:hAnsi="宋体" w:eastAsia="宋体" w:cs="宋体"/>
                <w:sz w:val="21"/>
                <w:szCs w:val="21"/>
              </w:rPr>
            </w:pPr>
            <w:r>
              <w:rPr>
                <w:rFonts w:hint="eastAsia" w:ascii="宋体" w:hAnsi="宋体" w:eastAsia="宋体" w:cs="宋体"/>
                <w:b/>
                <w:bCs/>
                <w:color w:val="000000"/>
                <w:sz w:val="21"/>
                <w:szCs w:val="21"/>
              </w:rPr>
              <w:t>因素</w:t>
            </w:r>
          </w:p>
        </w:tc>
        <w:tc>
          <w:tcPr>
            <w:tcW w:w="6690" w:type="dxa"/>
            <w:vAlign w:val="center"/>
          </w:tcPr>
          <w:p w14:paraId="2313711E">
            <w:pPr>
              <w:jc w:val="center"/>
              <w:rPr>
                <w:rFonts w:hint="eastAsia" w:ascii="宋体" w:hAnsi="宋体" w:eastAsia="宋体" w:cs="宋体"/>
                <w:sz w:val="21"/>
                <w:szCs w:val="21"/>
              </w:rPr>
            </w:pPr>
            <w:r>
              <w:rPr>
                <w:rFonts w:hint="eastAsia" w:ascii="宋体" w:hAnsi="宋体" w:eastAsia="宋体" w:cs="宋体"/>
                <w:b/>
                <w:bCs/>
                <w:color w:val="000000"/>
                <w:sz w:val="21"/>
                <w:szCs w:val="21"/>
              </w:rPr>
              <w:t>评审细则</w:t>
            </w:r>
          </w:p>
        </w:tc>
        <w:tc>
          <w:tcPr>
            <w:tcW w:w="711" w:type="dxa"/>
            <w:vAlign w:val="center"/>
          </w:tcPr>
          <w:p w14:paraId="16FF1A03">
            <w:pPr>
              <w:jc w:val="center"/>
              <w:rPr>
                <w:rFonts w:hint="eastAsia" w:ascii="宋体" w:hAnsi="宋体" w:eastAsia="宋体" w:cs="宋体"/>
                <w:sz w:val="21"/>
                <w:szCs w:val="21"/>
              </w:rPr>
            </w:pPr>
            <w:r>
              <w:rPr>
                <w:rFonts w:hint="eastAsia" w:ascii="宋体" w:hAnsi="宋体" w:eastAsia="宋体" w:cs="宋体"/>
                <w:b/>
                <w:bCs/>
                <w:color w:val="000000"/>
                <w:sz w:val="21"/>
                <w:szCs w:val="21"/>
              </w:rPr>
              <w:t>分值</w:t>
            </w:r>
          </w:p>
        </w:tc>
      </w:tr>
      <w:tr w14:paraId="52727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893" w:type="dxa"/>
            <w:gridSpan w:val="4"/>
            <w:vAlign w:val="center"/>
          </w:tcPr>
          <w:p w14:paraId="10127632">
            <w:pPr>
              <w:jc w:val="center"/>
              <w:rPr>
                <w:rFonts w:ascii="仿宋" w:hAnsi="仿宋" w:eastAsia="仿宋" w:cs="仿宋"/>
                <w:sz w:val="24"/>
              </w:rPr>
            </w:pPr>
            <w:r>
              <w:rPr>
                <w:rFonts w:hint="eastAsia" w:ascii="宋体" w:hAnsi="宋体" w:eastAsia="宋体" w:cs="宋体"/>
                <w:b/>
                <w:bCs/>
                <w:color w:val="000000"/>
                <w:sz w:val="22"/>
                <w:szCs w:val="22"/>
              </w:rPr>
              <w:t>一、价格分（30分）</w:t>
            </w:r>
          </w:p>
        </w:tc>
      </w:tr>
      <w:tr w14:paraId="43351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3" w:hRule="atLeast"/>
          <w:jc w:val="center"/>
        </w:trPr>
        <w:tc>
          <w:tcPr>
            <w:tcW w:w="610" w:type="dxa"/>
            <w:vAlign w:val="center"/>
          </w:tcPr>
          <w:p w14:paraId="11D7CE81">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1.1</w:t>
            </w:r>
          </w:p>
        </w:tc>
        <w:tc>
          <w:tcPr>
            <w:tcW w:w="882" w:type="dxa"/>
            <w:vAlign w:val="center"/>
          </w:tcPr>
          <w:p w14:paraId="662AC158">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价格</w:t>
            </w:r>
          </w:p>
        </w:tc>
        <w:tc>
          <w:tcPr>
            <w:tcW w:w="6690" w:type="dxa"/>
            <w:vAlign w:val="center"/>
          </w:tcPr>
          <w:p w14:paraId="3E50F369">
            <w:pPr>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价格分采用低价优先法计算，即满足招标文件要求且投标报价最低的投标人报价为评标基准价，其价格分为满分30分，其他投标人的价格分统一按照以下公式计算：投标报价得分=（评标基准价/该投标人的投标报价）×30分。保留小数点后两位，第三位四舍五入。</w:t>
            </w:r>
          </w:p>
        </w:tc>
        <w:tc>
          <w:tcPr>
            <w:tcW w:w="711" w:type="dxa"/>
            <w:vAlign w:val="center"/>
          </w:tcPr>
          <w:p w14:paraId="41055F40">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30分</w:t>
            </w:r>
          </w:p>
        </w:tc>
      </w:tr>
      <w:tr w14:paraId="14E5C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893" w:type="dxa"/>
            <w:gridSpan w:val="4"/>
            <w:vAlign w:val="center"/>
          </w:tcPr>
          <w:p w14:paraId="6927BC0E">
            <w:pPr>
              <w:jc w:val="center"/>
              <w:rPr>
                <w:rFonts w:ascii="仿宋" w:hAnsi="仿宋" w:eastAsia="仿宋" w:cs="仿宋"/>
                <w:sz w:val="24"/>
              </w:rPr>
            </w:pPr>
            <w:r>
              <w:rPr>
                <w:rFonts w:hint="eastAsia" w:ascii="宋体" w:hAnsi="宋体" w:eastAsia="宋体" w:cs="宋体"/>
                <w:b/>
                <w:bCs/>
                <w:color w:val="000000"/>
                <w:sz w:val="22"/>
                <w:szCs w:val="22"/>
                <w:lang w:val="en-US" w:eastAsia="zh-CN"/>
              </w:rPr>
              <w:t>二</w:t>
            </w:r>
            <w:r>
              <w:rPr>
                <w:rFonts w:hint="eastAsia" w:ascii="宋体" w:hAnsi="宋体" w:eastAsia="宋体" w:cs="宋体"/>
                <w:b/>
                <w:bCs/>
                <w:color w:val="000000"/>
                <w:sz w:val="22"/>
                <w:szCs w:val="22"/>
              </w:rPr>
              <w:t>、综合能力（</w:t>
            </w:r>
            <w:r>
              <w:rPr>
                <w:rFonts w:hint="eastAsia" w:ascii="宋体" w:hAnsi="宋体" w:eastAsia="宋体" w:cs="宋体"/>
                <w:b/>
                <w:bCs/>
                <w:color w:val="000000"/>
                <w:sz w:val="22"/>
                <w:szCs w:val="22"/>
                <w:lang w:val="en-US" w:eastAsia="zh-CN"/>
              </w:rPr>
              <w:t>38</w:t>
            </w:r>
            <w:r>
              <w:rPr>
                <w:rFonts w:hint="eastAsia" w:ascii="宋体" w:hAnsi="宋体" w:eastAsia="宋体" w:cs="宋体"/>
                <w:b/>
                <w:bCs/>
                <w:color w:val="000000"/>
                <w:sz w:val="22"/>
                <w:szCs w:val="22"/>
              </w:rPr>
              <w:t>分）</w:t>
            </w:r>
          </w:p>
        </w:tc>
      </w:tr>
      <w:tr w14:paraId="5B499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10" w:type="dxa"/>
            <w:vAlign w:val="center"/>
          </w:tcPr>
          <w:p w14:paraId="32926480">
            <w:pPr>
              <w:jc w:val="center"/>
              <w:rPr>
                <w:rFonts w:hint="eastAsia" w:ascii="宋体" w:hAnsi="宋体" w:eastAsia="宋体" w:cs="宋体"/>
                <w:sz w:val="21"/>
                <w:szCs w:val="21"/>
              </w:rPr>
            </w:pP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rPr>
              <w:t>.1</w:t>
            </w:r>
          </w:p>
        </w:tc>
        <w:tc>
          <w:tcPr>
            <w:tcW w:w="882" w:type="dxa"/>
            <w:vAlign w:val="center"/>
          </w:tcPr>
          <w:p w14:paraId="589848B8">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项目组人员</w:t>
            </w:r>
          </w:p>
          <w:p w14:paraId="4D2DD0EF">
            <w:pPr>
              <w:jc w:val="center"/>
              <w:rPr>
                <w:rFonts w:hint="eastAsia" w:ascii="宋体" w:hAnsi="宋体" w:eastAsia="宋体" w:cs="宋体"/>
                <w:sz w:val="21"/>
                <w:szCs w:val="21"/>
              </w:rPr>
            </w:pPr>
            <w:r>
              <w:rPr>
                <w:rFonts w:hint="eastAsia" w:ascii="宋体" w:hAnsi="宋体" w:eastAsia="宋体" w:cs="宋体"/>
                <w:sz w:val="21"/>
                <w:szCs w:val="21"/>
                <w:lang w:val="en-US" w:eastAsia="zh-CN"/>
              </w:rPr>
              <w:t>要求</w:t>
            </w:r>
          </w:p>
        </w:tc>
        <w:tc>
          <w:tcPr>
            <w:tcW w:w="6690" w:type="dxa"/>
            <w:vAlign w:val="center"/>
          </w:tcPr>
          <w:p w14:paraId="60CCE9D6">
            <w:pPr>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rPr>
              <w:t>项目</w:t>
            </w:r>
            <w:bookmarkStart w:id="187" w:name="OLE_LINK2"/>
            <w:bookmarkStart w:id="188" w:name="OLE_LINK1"/>
            <w:r>
              <w:rPr>
                <w:rFonts w:hint="eastAsia" w:ascii="宋体" w:hAnsi="宋体" w:eastAsia="宋体" w:cs="宋体"/>
                <w:sz w:val="21"/>
                <w:szCs w:val="21"/>
              </w:rPr>
              <w:t>负责人</w:t>
            </w:r>
            <w:bookmarkEnd w:id="187"/>
            <w:bookmarkEnd w:id="188"/>
            <w:r>
              <w:rPr>
                <w:rFonts w:hint="eastAsia" w:ascii="宋体" w:hAnsi="宋体" w:eastAsia="宋体" w:cs="宋体"/>
                <w:sz w:val="21"/>
                <w:szCs w:val="21"/>
              </w:rPr>
              <w:t>（45周岁以内，以身份证出生日期为准</w:t>
            </w:r>
            <w:r>
              <w:rPr>
                <w:rFonts w:hint="eastAsia" w:ascii="宋体" w:hAnsi="宋体" w:eastAsia="宋体" w:cs="宋体"/>
                <w:sz w:val="21"/>
                <w:szCs w:val="21"/>
                <w:lang w:eastAsia="zh-CN"/>
              </w:rPr>
              <w:t>）</w:t>
            </w:r>
            <w:r>
              <w:rPr>
                <w:rFonts w:hint="eastAsia" w:ascii="宋体" w:hAnsi="宋体" w:eastAsia="宋体" w:cs="宋体"/>
                <w:sz w:val="21"/>
                <w:szCs w:val="21"/>
              </w:rPr>
              <w:t>（</w:t>
            </w:r>
            <w:r>
              <w:rPr>
                <w:rFonts w:hint="eastAsia" w:ascii="宋体" w:hAnsi="宋体" w:eastAsia="宋体" w:cs="宋体"/>
                <w:sz w:val="21"/>
                <w:szCs w:val="21"/>
                <w:lang w:val="en-US" w:eastAsia="zh-CN"/>
              </w:rPr>
              <w:t>9</w:t>
            </w:r>
            <w:r>
              <w:rPr>
                <w:rFonts w:hint="eastAsia" w:ascii="宋体" w:hAnsi="宋体" w:eastAsia="宋体" w:cs="宋体"/>
                <w:sz w:val="21"/>
                <w:szCs w:val="21"/>
              </w:rPr>
              <w:t>分）</w:t>
            </w:r>
          </w:p>
          <w:p w14:paraId="0038916D">
            <w:pPr>
              <w:ind w:firstLine="420" w:firstLineChars="200"/>
              <w:rPr>
                <w:rFonts w:hint="eastAsia" w:ascii="宋体" w:hAnsi="宋体" w:eastAsia="宋体" w:cs="宋体"/>
                <w:sz w:val="21"/>
                <w:szCs w:val="21"/>
              </w:rPr>
            </w:pPr>
            <w:r>
              <w:rPr>
                <w:rFonts w:hint="eastAsia" w:ascii="宋体" w:hAnsi="宋体" w:eastAsia="宋体" w:cs="宋体"/>
                <w:sz w:val="21"/>
                <w:szCs w:val="21"/>
              </w:rPr>
              <w:t>1.1拟投入本项目的项目负责人具有本科及以上学历的得</w:t>
            </w:r>
            <w:r>
              <w:rPr>
                <w:rFonts w:hint="eastAsia" w:ascii="宋体" w:hAnsi="宋体" w:eastAsia="宋体" w:cs="宋体"/>
                <w:sz w:val="21"/>
                <w:szCs w:val="21"/>
                <w:lang w:val="en-US" w:eastAsia="zh-CN"/>
              </w:rPr>
              <w:t>3</w:t>
            </w:r>
            <w:r>
              <w:rPr>
                <w:rFonts w:hint="eastAsia" w:ascii="宋体" w:hAnsi="宋体" w:eastAsia="宋体" w:cs="宋体"/>
                <w:sz w:val="21"/>
                <w:szCs w:val="21"/>
              </w:rPr>
              <w:t>分，需同时提供身份证原件扫描件、学历证书原件扫描件、学信网截图；</w:t>
            </w:r>
          </w:p>
          <w:p w14:paraId="3974EF07">
            <w:pPr>
              <w:ind w:firstLine="420" w:firstLineChars="200"/>
              <w:rPr>
                <w:rFonts w:hint="eastAsia" w:ascii="宋体" w:hAnsi="宋体" w:eastAsia="宋体" w:cs="宋体"/>
                <w:sz w:val="21"/>
                <w:szCs w:val="21"/>
              </w:rPr>
            </w:pPr>
            <w:r>
              <w:rPr>
                <w:rFonts w:hint="eastAsia" w:ascii="宋体" w:hAnsi="宋体" w:eastAsia="宋体" w:cs="宋体"/>
                <w:sz w:val="21"/>
                <w:szCs w:val="21"/>
              </w:rPr>
              <w:t>1.2拟投入本项目的项目负责人自2023年1月1日以来（以合同签订时间为准）承担过类似保安服务案例业绩</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每提供一个业绩</w:t>
            </w:r>
            <w:r>
              <w:rPr>
                <w:rFonts w:hint="eastAsia" w:ascii="宋体" w:hAnsi="宋体" w:eastAsia="宋体" w:cs="宋体"/>
                <w:sz w:val="21"/>
                <w:szCs w:val="21"/>
              </w:rPr>
              <w:t>得</w:t>
            </w:r>
            <w:r>
              <w:rPr>
                <w:rFonts w:hint="eastAsia" w:ascii="宋体" w:hAnsi="宋体" w:eastAsia="宋体" w:cs="宋体"/>
                <w:sz w:val="21"/>
                <w:szCs w:val="21"/>
                <w:lang w:val="en-US" w:eastAsia="zh-CN"/>
              </w:rPr>
              <w:t>3</w:t>
            </w:r>
            <w:r>
              <w:rPr>
                <w:rFonts w:hint="eastAsia" w:ascii="宋体" w:hAnsi="宋体" w:eastAsia="宋体" w:cs="宋体"/>
                <w:sz w:val="21"/>
                <w:szCs w:val="21"/>
              </w:rPr>
              <w:t>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本项最多得6分</w:t>
            </w:r>
            <w:r>
              <w:rPr>
                <w:rFonts w:hint="eastAsia" w:ascii="宋体" w:hAnsi="宋体" w:eastAsia="宋体" w:cs="宋体"/>
                <w:sz w:val="21"/>
                <w:szCs w:val="21"/>
              </w:rPr>
              <w:t>。</w:t>
            </w:r>
          </w:p>
          <w:p w14:paraId="7AE0BBEB">
            <w:pPr>
              <w:ind w:firstLine="422" w:firstLineChars="200"/>
              <w:rPr>
                <w:rFonts w:hint="eastAsia" w:ascii="宋体" w:hAnsi="宋体" w:eastAsia="宋体" w:cs="宋体"/>
                <w:b/>
                <w:bCs/>
                <w:color w:val="FF0000"/>
                <w:sz w:val="21"/>
                <w:szCs w:val="21"/>
              </w:rPr>
            </w:pPr>
            <w:r>
              <w:rPr>
                <w:rFonts w:hint="eastAsia" w:ascii="宋体" w:hAnsi="宋体" w:eastAsia="宋体" w:cs="宋体"/>
                <w:b/>
                <w:bCs/>
                <w:color w:val="FF0000"/>
                <w:sz w:val="21"/>
                <w:szCs w:val="21"/>
              </w:rPr>
              <w:t>注：</w:t>
            </w:r>
          </w:p>
          <w:p w14:paraId="7F1AE4C1">
            <w:pPr>
              <w:ind w:firstLine="422" w:firstLineChars="200"/>
              <w:rPr>
                <w:rFonts w:hint="eastAsia" w:ascii="宋体" w:hAnsi="宋体" w:eastAsia="宋体" w:cs="宋体"/>
                <w:b/>
                <w:bCs/>
                <w:color w:val="FF0000"/>
                <w:sz w:val="21"/>
                <w:szCs w:val="21"/>
              </w:rPr>
            </w:pPr>
            <w:r>
              <w:rPr>
                <w:rFonts w:hint="eastAsia" w:ascii="宋体" w:hAnsi="宋体" w:eastAsia="宋体" w:cs="宋体"/>
                <w:b/>
                <w:bCs/>
                <w:color w:val="FF0000"/>
                <w:sz w:val="21"/>
                <w:szCs w:val="21"/>
                <w:lang w:val="en-US" w:eastAsia="zh-CN"/>
              </w:rPr>
              <w:t>1.</w:t>
            </w:r>
            <w:r>
              <w:rPr>
                <w:rFonts w:hint="eastAsia" w:ascii="宋体" w:hAnsi="宋体" w:eastAsia="宋体" w:cs="宋体"/>
                <w:b/>
                <w:bCs/>
                <w:color w:val="FF0000"/>
                <w:sz w:val="21"/>
                <w:szCs w:val="21"/>
              </w:rPr>
              <w:t>投标时需提供业绩合同</w:t>
            </w:r>
            <w:r>
              <w:rPr>
                <w:rFonts w:hint="eastAsia" w:ascii="宋体" w:hAnsi="宋体" w:eastAsia="宋体" w:cs="宋体"/>
                <w:b/>
                <w:bCs/>
                <w:color w:val="FF0000"/>
                <w:sz w:val="21"/>
                <w:szCs w:val="21"/>
                <w:lang w:eastAsia="zh-CN"/>
              </w:rPr>
              <w:t>原件</w:t>
            </w:r>
            <w:r>
              <w:rPr>
                <w:rFonts w:hint="eastAsia" w:ascii="宋体" w:hAnsi="宋体" w:eastAsia="宋体" w:cs="宋体"/>
                <w:b/>
                <w:bCs/>
                <w:color w:val="FF0000"/>
                <w:sz w:val="21"/>
                <w:szCs w:val="21"/>
                <w:lang w:val="en-US" w:eastAsia="zh-CN"/>
              </w:rPr>
              <w:t>扫描件</w:t>
            </w:r>
            <w:r>
              <w:rPr>
                <w:rFonts w:hint="eastAsia" w:ascii="宋体" w:hAnsi="宋体" w:eastAsia="宋体" w:cs="宋体"/>
                <w:b/>
                <w:bCs/>
                <w:color w:val="FF0000"/>
                <w:sz w:val="21"/>
                <w:szCs w:val="21"/>
              </w:rPr>
              <w:t>，合同</w:t>
            </w:r>
            <w:r>
              <w:rPr>
                <w:rFonts w:hint="eastAsia" w:ascii="宋体" w:hAnsi="宋体" w:eastAsia="宋体" w:cs="宋体"/>
                <w:b/>
                <w:bCs/>
                <w:color w:val="FF0000"/>
                <w:sz w:val="21"/>
                <w:szCs w:val="21"/>
                <w:lang w:val="en-US" w:eastAsia="zh-CN"/>
              </w:rPr>
              <w:t>内容</w:t>
            </w:r>
            <w:r>
              <w:rPr>
                <w:rFonts w:hint="eastAsia" w:ascii="宋体" w:hAnsi="宋体" w:eastAsia="宋体" w:cs="宋体"/>
                <w:b/>
                <w:bCs/>
                <w:color w:val="FF0000"/>
                <w:sz w:val="21"/>
                <w:szCs w:val="21"/>
              </w:rPr>
              <w:t>中必须体现甲乙双方单位名称、服务内容、项目</w:t>
            </w:r>
            <w:r>
              <w:rPr>
                <w:rFonts w:hint="eastAsia" w:ascii="宋体" w:hAnsi="宋体" w:eastAsia="宋体" w:cs="宋体"/>
                <w:b/>
                <w:bCs/>
                <w:color w:val="FF0000"/>
                <w:sz w:val="21"/>
                <w:szCs w:val="21"/>
                <w:lang w:val="en-US" w:eastAsia="zh-CN"/>
              </w:rPr>
              <w:t>负责人</w:t>
            </w:r>
            <w:r>
              <w:rPr>
                <w:rFonts w:hint="eastAsia" w:ascii="宋体" w:hAnsi="宋体" w:eastAsia="宋体" w:cs="宋体"/>
                <w:b/>
                <w:bCs/>
                <w:color w:val="FF0000"/>
                <w:sz w:val="21"/>
                <w:szCs w:val="21"/>
              </w:rPr>
              <w:t xml:space="preserve">姓名，否则不予认可； </w:t>
            </w:r>
          </w:p>
          <w:p w14:paraId="3B9FFC41">
            <w:pPr>
              <w:ind w:firstLine="422" w:firstLineChars="200"/>
              <w:rPr>
                <w:rFonts w:hint="eastAsia" w:ascii="宋体" w:hAnsi="宋体" w:eastAsia="宋体" w:cs="宋体"/>
                <w:b/>
                <w:bCs/>
                <w:color w:val="FF0000"/>
                <w:sz w:val="21"/>
                <w:szCs w:val="21"/>
              </w:rPr>
            </w:pPr>
            <w:r>
              <w:rPr>
                <w:rFonts w:hint="eastAsia" w:ascii="宋体" w:hAnsi="宋体" w:eastAsia="宋体" w:cs="宋体"/>
                <w:b/>
                <w:bCs/>
                <w:color w:val="FF0000"/>
                <w:sz w:val="21"/>
                <w:szCs w:val="21"/>
                <w:lang w:val="en-US" w:eastAsia="zh-CN"/>
              </w:rPr>
              <w:t>2.</w:t>
            </w:r>
            <w:r>
              <w:rPr>
                <w:rFonts w:hint="eastAsia" w:ascii="宋体" w:hAnsi="宋体" w:eastAsia="宋体" w:cs="宋体"/>
                <w:b/>
                <w:bCs/>
                <w:color w:val="FF0000"/>
                <w:sz w:val="21"/>
                <w:szCs w:val="21"/>
              </w:rPr>
              <w:t xml:space="preserve">本评分项中业绩可与“企业业绩情况”中业绩相同； </w:t>
            </w:r>
          </w:p>
          <w:p w14:paraId="0C19E59C">
            <w:pPr>
              <w:ind w:firstLine="422" w:firstLineChars="200"/>
              <w:rPr>
                <w:rFonts w:hint="eastAsia" w:ascii="宋体" w:hAnsi="宋体" w:eastAsia="宋体" w:cs="宋体"/>
                <w:b/>
                <w:bCs/>
                <w:color w:val="FF0000"/>
                <w:sz w:val="21"/>
                <w:szCs w:val="21"/>
              </w:rPr>
            </w:pPr>
            <w:r>
              <w:rPr>
                <w:rFonts w:hint="eastAsia" w:ascii="宋体" w:hAnsi="宋体" w:eastAsia="宋体" w:cs="宋体"/>
                <w:b/>
                <w:bCs/>
                <w:color w:val="FF0000"/>
                <w:sz w:val="21"/>
                <w:szCs w:val="21"/>
                <w:lang w:val="en-US" w:eastAsia="zh-CN"/>
              </w:rPr>
              <w:t>3.</w:t>
            </w:r>
            <w:r>
              <w:rPr>
                <w:rFonts w:hint="eastAsia" w:ascii="宋体" w:hAnsi="宋体" w:eastAsia="宋体" w:cs="宋体"/>
                <w:b/>
                <w:bCs/>
                <w:color w:val="FF0000"/>
                <w:sz w:val="21"/>
                <w:szCs w:val="21"/>
              </w:rPr>
              <w:t xml:space="preserve">本评分项中乙方必须与本项目的投标人一致，否则不予认可。  </w:t>
            </w:r>
          </w:p>
          <w:p w14:paraId="4435FF21">
            <w:pPr>
              <w:ind w:firstLine="422" w:firstLineChars="200"/>
              <w:rPr>
                <w:rFonts w:hint="eastAsia" w:ascii="宋体" w:hAnsi="宋体" w:eastAsia="宋体" w:cs="宋体"/>
                <w:b/>
                <w:bCs/>
                <w:color w:val="FF0000"/>
                <w:sz w:val="21"/>
                <w:szCs w:val="21"/>
                <w:lang w:val="zh-CN"/>
              </w:rPr>
            </w:pPr>
            <w:r>
              <w:rPr>
                <w:rFonts w:hint="eastAsia" w:ascii="宋体" w:hAnsi="宋体" w:eastAsia="宋体" w:cs="宋体"/>
                <w:b/>
                <w:bCs/>
                <w:color w:val="FF0000"/>
                <w:sz w:val="21"/>
                <w:szCs w:val="21"/>
                <w:lang w:val="en-US" w:eastAsia="zh-CN"/>
              </w:rPr>
              <w:t>4.未按</w:t>
            </w:r>
            <w:r>
              <w:rPr>
                <w:rFonts w:hint="eastAsia" w:ascii="宋体" w:hAnsi="宋体" w:eastAsia="宋体" w:cs="宋体"/>
                <w:b/>
                <w:bCs/>
                <w:color w:val="FF0000"/>
                <w:sz w:val="21"/>
                <w:szCs w:val="21"/>
              </w:rPr>
              <w:t>要求</w:t>
            </w:r>
            <w:r>
              <w:rPr>
                <w:rFonts w:hint="eastAsia" w:ascii="宋体" w:hAnsi="宋体" w:eastAsia="宋体" w:cs="宋体"/>
                <w:b/>
                <w:bCs/>
                <w:color w:val="FF0000"/>
                <w:sz w:val="21"/>
                <w:szCs w:val="21"/>
                <w:lang w:val="en-US" w:eastAsia="zh-CN"/>
              </w:rPr>
              <w:t>提供</w:t>
            </w:r>
            <w:r>
              <w:rPr>
                <w:rFonts w:hint="eastAsia" w:ascii="宋体" w:hAnsi="宋体" w:eastAsia="宋体" w:cs="宋体"/>
                <w:b/>
                <w:bCs/>
                <w:color w:val="FF0000"/>
                <w:sz w:val="21"/>
                <w:szCs w:val="21"/>
              </w:rPr>
              <w:t>的或</w:t>
            </w:r>
            <w:r>
              <w:rPr>
                <w:rFonts w:hint="eastAsia" w:ascii="宋体" w:hAnsi="宋体" w:eastAsia="宋体" w:cs="宋体"/>
                <w:b/>
                <w:bCs/>
                <w:color w:val="FF0000"/>
                <w:sz w:val="21"/>
                <w:szCs w:val="21"/>
                <w:lang w:val="zh-CN"/>
              </w:rPr>
              <w:t>未提供的不得分。</w:t>
            </w:r>
          </w:p>
          <w:p w14:paraId="7225BA9E">
            <w:pPr>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2.保安部主管</w:t>
            </w:r>
            <w:r>
              <w:rPr>
                <w:rFonts w:hint="eastAsia" w:ascii="宋体" w:hAnsi="宋体" w:eastAsia="宋体" w:cs="宋体"/>
                <w:sz w:val="21"/>
                <w:szCs w:val="21"/>
              </w:rPr>
              <w:t>（45周岁以内，以身份证出生日期为准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（8分）</w:t>
            </w:r>
          </w:p>
          <w:p w14:paraId="7B55DCE7">
            <w:pPr>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w:t>
            </w:r>
            <w:r>
              <w:rPr>
                <w:rFonts w:hint="eastAsia" w:ascii="宋体" w:hAnsi="宋体" w:eastAsia="宋体" w:cs="宋体"/>
                <w:sz w:val="21"/>
                <w:szCs w:val="21"/>
              </w:rPr>
              <w:t>拟投入本项目的保安部主管</w:t>
            </w:r>
            <w:r>
              <w:rPr>
                <w:rFonts w:hint="eastAsia" w:ascii="宋体" w:hAnsi="宋体" w:eastAsia="宋体" w:cs="宋体"/>
                <w:sz w:val="21"/>
                <w:szCs w:val="21"/>
                <w:lang w:val="en-US" w:eastAsia="zh-CN"/>
              </w:rPr>
              <w:t>具有本科及以上学历的得3分，需同时提供身份证原件扫描件、学历证书原件扫描件、学信网截图；</w:t>
            </w:r>
          </w:p>
          <w:p w14:paraId="17746A49">
            <w:pPr>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w:t>
            </w:r>
            <w:r>
              <w:rPr>
                <w:rFonts w:hint="eastAsia" w:ascii="宋体" w:hAnsi="宋体" w:eastAsia="宋体" w:cs="宋体"/>
                <w:sz w:val="21"/>
                <w:szCs w:val="21"/>
              </w:rPr>
              <w:t>拟投入本项目的保安部主管</w:t>
            </w:r>
            <w:r>
              <w:rPr>
                <w:rFonts w:hint="eastAsia" w:ascii="宋体" w:hAnsi="宋体" w:eastAsia="宋体" w:cs="宋体"/>
                <w:sz w:val="21"/>
                <w:szCs w:val="21"/>
                <w:lang w:val="en-US" w:eastAsia="zh-CN"/>
              </w:rPr>
              <w:t>具有有效的三级（原高级）及以上保安员职业资格证书的得5分，本项满分5分。</w:t>
            </w:r>
          </w:p>
          <w:p w14:paraId="53F6CEA5">
            <w:pPr>
              <w:ind w:firstLine="422" w:firstLineChars="200"/>
              <w:rPr>
                <w:rFonts w:hint="eastAsia" w:ascii="宋体" w:hAnsi="宋体" w:eastAsia="宋体" w:cs="宋体"/>
                <w:b/>
                <w:bCs/>
                <w:color w:val="FF0000"/>
                <w:sz w:val="21"/>
                <w:szCs w:val="21"/>
              </w:rPr>
            </w:pPr>
            <w:r>
              <w:rPr>
                <w:rFonts w:hint="eastAsia" w:ascii="宋体" w:hAnsi="宋体" w:eastAsia="宋体" w:cs="宋体"/>
                <w:b/>
                <w:bCs/>
                <w:color w:val="FF0000"/>
                <w:sz w:val="21"/>
                <w:szCs w:val="21"/>
                <w:lang w:val="en-US" w:eastAsia="zh-CN"/>
              </w:rPr>
              <w:t>注：投标时需提供身份证原件扫描件及上述证书原件扫描件。项目负责人与保安部主管不得相互兼任，同一人员提供不同类型证书的不重复计分，只按一证计分；未按</w:t>
            </w:r>
            <w:r>
              <w:rPr>
                <w:rFonts w:hint="eastAsia" w:ascii="宋体" w:hAnsi="宋体" w:eastAsia="宋体" w:cs="宋体"/>
                <w:b/>
                <w:bCs/>
                <w:color w:val="FF0000"/>
                <w:sz w:val="21"/>
                <w:szCs w:val="21"/>
              </w:rPr>
              <w:t>要求</w:t>
            </w:r>
            <w:r>
              <w:rPr>
                <w:rFonts w:hint="eastAsia" w:ascii="宋体" w:hAnsi="宋体" w:eastAsia="宋体" w:cs="宋体"/>
                <w:b/>
                <w:bCs/>
                <w:color w:val="FF0000"/>
                <w:sz w:val="21"/>
                <w:szCs w:val="21"/>
                <w:lang w:val="en-US" w:eastAsia="zh-CN"/>
              </w:rPr>
              <w:t>提供</w:t>
            </w:r>
            <w:r>
              <w:rPr>
                <w:rFonts w:hint="eastAsia" w:ascii="宋体" w:hAnsi="宋体" w:eastAsia="宋体" w:cs="宋体"/>
                <w:b/>
                <w:bCs/>
                <w:color w:val="FF0000"/>
                <w:sz w:val="21"/>
                <w:szCs w:val="21"/>
              </w:rPr>
              <w:t>的或</w:t>
            </w:r>
            <w:r>
              <w:rPr>
                <w:rFonts w:hint="eastAsia" w:ascii="宋体" w:hAnsi="宋体" w:eastAsia="宋体" w:cs="宋体"/>
                <w:b/>
                <w:bCs/>
                <w:color w:val="FF0000"/>
                <w:sz w:val="21"/>
                <w:szCs w:val="21"/>
                <w:lang w:val="zh-CN"/>
              </w:rPr>
              <w:t>未提供的不得分。</w:t>
            </w:r>
          </w:p>
          <w:p w14:paraId="28355737">
            <w:pPr>
              <w:ind w:firstLine="422" w:firstLineChars="200"/>
              <w:rPr>
                <w:rFonts w:hint="eastAsia"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3.项目组成员：</w:t>
            </w:r>
          </w:p>
          <w:p w14:paraId="3CD19C45">
            <w:pPr>
              <w:ind w:firstLine="420" w:firstLineChars="200"/>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拟派项目组成员中每配备一名具有中级（四级）及以上消防设施操作员（或原建（构）筑物消防员）职业资格证书同时具有公安部门核发的保安员证书人员的得1分，本项最多得6分；</w:t>
            </w:r>
          </w:p>
          <w:p w14:paraId="25B31B87">
            <w:pPr>
              <w:ind w:firstLine="422" w:firstLineChars="200"/>
              <w:rPr>
                <w:rFonts w:ascii="仿宋" w:hAnsi="仿宋" w:eastAsia="仿宋" w:cs="仿宋"/>
                <w:sz w:val="24"/>
              </w:rPr>
            </w:pPr>
            <w:r>
              <w:rPr>
                <w:rFonts w:hint="eastAsia" w:ascii="宋体" w:hAnsi="宋体" w:eastAsia="宋体" w:cs="宋体"/>
                <w:b/>
                <w:bCs/>
                <w:color w:val="FF0000"/>
                <w:sz w:val="21"/>
                <w:szCs w:val="21"/>
                <w:lang w:val="en-US" w:eastAsia="zh-CN"/>
              </w:rPr>
              <w:t>注：项目组成员需一人一证，不得一人多证，一人多证按一证计分。投标时需提供项目组成员相关证书的原件扫描件（如消防设施操作员（或原建（构）筑物消防员）职业资格证书不能体现等级的，需在</w:t>
            </w:r>
            <w:r>
              <w:rPr>
                <w:rFonts w:hint="eastAsia" w:ascii="宋体" w:hAnsi="宋体" w:eastAsia="宋体" w:cs="宋体"/>
                <w:b/>
                <w:bCs/>
                <w:color w:val="FF0000"/>
                <w:sz w:val="21"/>
                <w:szCs w:val="21"/>
                <w:lang w:val="en-US" w:eastAsia="zh-CN"/>
              </w:rPr>
              <w:fldChar w:fldCharType="begin"/>
            </w:r>
            <w:r>
              <w:rPr>
                <w:rFonts w:hint="eastAsia" w:ascii="宋体" w:hAnsi="宋体" w:eastAsia="宋体" w:cs="宋体"/>
                <w:b/>
                <w:bCs/>
                <w:color w:val="FF0000"/>
                <w:sz w:val="21"/>
                <w:szCs w:val="21"/>
                <w:lang w:val="en-US" w:eastAsia="zh-CN"/>
              </w:rPr>
              <w:instrText xml:space="preserve"> HYPERLINK "https://www.osta.org.cn/" </w:instrText>
            </w:r>
            <w:r>
              <w:rPr>
                <w:rFonts w:hint="eastAsia" w:ascii="宋体" w:hAnsi="宋体" w:eastAsia="宋体" w:cs="宋体"/>
                <w:b/>
                <w:bCs/>
                <w:color w:val="FF0000"/>
                <w:sz w:val="21"/>
                <w:szCs w:val="21"/>
                <w:lang w:val="en-US" w:eastAsia="zh-CN"/>
              </w:rPr>
              <w:fldChar w:fldCharType="separate"/>
            </w:r>
            <w:r>
              <w:rPr>
                <w:rFonts w:hint="eastAsia" w:ascii="宋体" w:hAnsi="宋体" w:eastAsia="宋体" w:cs="宋体"/>
                <w:b/>
                <w:bCs/>
                <w:color w:val="FF0000"/>
                <w:sz w:val="21"/>
                <w:szCs w:val="21"/>
                <w:lang w:val="en-US" w:eastAsia="zh-CN"/>
              </w:rPr>
              <w:t>技能人才评价工作网 (www.osta.org.cn)</w:t>
            </w:r>
            <w:r>
              <w:rPr>
                <w:rFonts w:hint="eastAsia" w:ascii="宋体" w:hAnsi="宋体" w:eastAsia="宋体" w:cs="宋体"/>
                <w:b/>
                <w:bCs/>
                <w:color w:val="FF0000"/>
                <w:sz w:val="21"/>
                <w:szCs w:val="21"/>
                <w:lang w:val="en-US" w:eastAsia="zh-CN"/>
              </w:rPr>
              <w:fldChar w:fldCharType="end"/>
            </w:r>
            <w:r>
              <w:rPr>
                <w:rFonts w:hint="eastAsia" w:ascii="宋体" w:hAnsi="宋体" w:eastAsia="宋体" w:cs="宋体"/>
                <w:b/>
                <w:bCs/>
                <w:color w:val="FF0000"/>
                <w:sz w:val="21"/>
                <w:szCs w:val="21"/>
                <w:lang w:val="en-US" w:eastAsia="zh-CN"/>
              </w:rPr>
              <w:t>查询截图），否则不得分。</w:t>
            </w:r>
          </w:p>
        </w:tc>
        <w:tc>
          <w:tcPr>
            <w:tcW w:w="711" w:type="dxa"/>
            <w:vAlign w:val="center"/>
          </w:tcPr>
          <w:p w14:paraId="25A2915A">
            <w:pPr>
              <w:jc w:val="center"/>
              <w:rPr>
                <w:rFonts w:ascii="仿宋" w:hAnsi="仿宋" w:eastAsia="仿宋" w:cs="仿宋"/>
                <w:sz w:val="24"/>
              </w:rPr>
            </w:pPr>
            <w:r>
              <w:rPr>
                <w:rFonts w:hint="eastAsia" w:ascii="宋体" w:hAnsi="宋体" w:eastAsia="宋体" w:cs="宋体"/>
                <w:sz w:val="21"/>
                <w:szCs w:val="21"/>
                <w:lang w:val="en-US" w:eastAsia="zh-CN"/>
              </w:rPr>
              <w:t>23分</w:t>
            </w:r>
          </w:p>
        </w:tc>
      </w:tr>
      <w:tr w14:paraId="727CC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10" w:type="dxa"/>
            <w:vAlign w:val="center"/>
          </w:tcPr>
          <w:p w14:paraId="17CF8C1F">
            <w:pPr>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rPr>
              <w:t>.</w:t>
            </w:r>
            <w:r>
              <w:rPr>
                <w:rFonts w:hint="eastAsia" w:ascii="宋体" w:hAnsi="宋体" w:eastAsia="宋体" w:cs="宋体"/>
                <w:sz w:val="21"/>
                <w:szCs w:val="21"/>
                <w:lang w:val="en-US" w:eastAsia="zh-CN"/>
              </w:rPr>
              <w:t>2</w:t>
            </w:r>
          </w:p>
        </w:tc>
        <w:tc>
          <w:tcPr>
            <w:tcW w:w="882" w:type="dxa"/>
            <w:vAlign w:val="center"/>
          </w:tcPr>
          <w:p w14:paraId="4320CA90">
            <w:pPr>
              <w:jc w:val="center"/>
              <w:rPr>
                <w:rFonts w:hint="eastAsia" w:ascii="宋体" w:hAnsi="宋体" w:eastAsia="宋体" w:cs="宋体"/>
                <w:sz w:val="21"/>
                <w:szCs w:val="21"/>
              </w:rPr>
            </w:pPr>
            <w:r>
              <w:rPr>
                <w:rFonts w:hint="eastAsia" w:ascii="宋体" w:hAnsi="宋体" w:eastAsia="宋体" w:cs="宋体"/>
                <w:sz w:val="21"/>
                <w:szCs w:val="21"/>
              </w:rPr>
              <w:t>业绩</w:t>
            </w:r>
          </w:p>
        </w:tc>
        <w:tc>
          <w:tcPr>
            <w:tcW w:w="6690" w:type="dxa"/>
            <w:vAlign w:val="center"/>
          </w:tcPr>
          <w:p w14:paraId="0FC97434">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投</w:t>
            </w:r>
            <w:r>
              <w:rPr>
                <w:rFonts w:hint="eastAsia" w:ascii="宋体" w:hAnsi="宋体" w:eastAsia="宋体" w:cs="宋体"/>
                <w:b w:val="0"/>
                <w:bCs w:val="0"/>
                <w:color w:val="auto"/>
                <w:sz w:val="21"/>
                <w:szCs w:val="21"/>
                <w:highlight w:val="none"/>
              </w:rPr>
              <w:t>标人提供202</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年1月1日以来（以合同签订时间为准），</w:t>
            </w:r>
            <w:r>
              <w:rPr>
                <w:rFonts w:hint="eastAsia" w:ascii="宋体" w:hAnsi="宋体" w:eastAsia="宋体" w:cs="宋体"/>
                <w:b w:val="0"/>
                <w:bCs w:val="0"/>
                <w:color w:val="auto"/>
                <w:sz w:val="21"/>
                <w:szCs w:val="21"/>
                <w:highlight w:val="none"/>
                <w:lang w:val="en-US" w:eastAsia="zh-CN"/>
              </w:rPr>
              <w:t>承接过类似保安</w:t>
            </w:r>
            <w:r>
              <w:rPr>
                <w:rFonts w:hint="eastAsia" w:ascii="宋体" w:hAnsi="宋体" w:eastAsia="宋体" w:cs="宋体"/>
                <w:b w:val="0"/>
                <w:bCs w:val="0"/>
                <w:color w:val="auto"/>
                <w:sz w:val="21"/>
                <w:szCs w:val="21"/>
                <w:highlight w:val="none"/>
              </w:rPr>
              <w:t>服务案例业绩合同的</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每提供一个</w:t>
            </w:r>
            <w:r>
              <w:rPr>
                <w:rFonts w:hint="eastAsia" w:ascii="宋体" w:hAnsi="宋体" w:eastAsia="宋体" w:cs="宋体"/>
                <w:b w:val="0"/>
                <w:bCs w:val="0"/>
                <w:color w:val="auto"/>
                <w:sz w:val="21"/>
                <w:szCs w:val="21"/>
                <w:highlight w:val="none"/>
              </w:rPr>
              <w:t>得</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分</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最多得9分</w:t>
            </w:r>
            <w:r>
              <w:rPr>
                <w:rFonts w:hint="eastAsia" w:ascii="宋体" w:hAnsi="宋体" w:eastAsia="宋体" w:cs="宋体"/>
                <w:b w:val="0"/>
                <w:bCs w:val="0"/>
                <w:color w:val="auto"/>
                <w:sz w:val="21"/>
                <w:szCs w:val="21"/>
                <w:highlight w:val="none"/>
              </w:rPr>
              <w:t>。</w:t>
            </w:r>
          </w:p>
          <w:p w14:paraId="25618CC5">
            <w:pPr>
              <w:numPr>
                <w:ilvl w:val="0"/>
                <w:numId w:val="0"/>
              </w:numPr>
              <w:rPr>
                <w:rFonts w:ascii="仿宋" w:hAnsi="仿宋" w:eastAsia="仿宋" w:cs="仿宋"/>
                <w:sz w:val="24"/>
              </w:rPr>
            </w:pPr>
            <w:r>
              <w:rPr>
                <w:rFonts w:hint="eastAsia" w:ascii="宋体" w:hAnsi="宋体" w:eastAsia="宋体" w:cs="宋体"/>
                <w:b/>
                <w:bCs/>
                <w:color w:val="FF0000"/>
                <w:sz w:val="21"/>
                <w:szCs w:val="21"/>
              </w:rPr>
              <w:t>注：投标时需提供合同原件扫描件，合同中必须体现甲乙双方单位名称及</w:t>
            </w:r>
            <w:r>
              <w:rPr>
                <w:rFonts w:hint="eastAsia" w:ascii="宋体" w:hAnsi="宋体" w:eastAsia="宋体" w:cs="宋体"/>
                <w:b/>
                <w:bCs/>
                <w:color w:val="FF0000"/>
                <w:sz w:val="21"/>
                <w:szCs w:val="21"/>
                <w:lang w:val="en-US" w:eastAsia="zh-CN"/>
              </w:rPr>
              <w:t>保安</w:t>
            </w:r>
            <w:r>
              <w:rPr>
                <w:rFonts w:hint="eastAsia" w:ascii="宋体" w:hAnsi="宋体" w:eastAsia="宋体" w:cs="宋体"/>
                <w:b/>
                <w:bCs/>
                <w:color w:val="FF0000"/>
                <w:sz w:val="21"/>
                <w:szCs w:val="21"/>
              </w:rPr>
              <w:t>服务内容；</w:t>
            </w:r>
            <w:r>
              <w:rPr>
                <w:rFonts w:hint="eastAsia" w:ascii="宋体" w:hAnsi="宋体" w:eastAsia="宋体" w:cs="宋体"/>
                <w:b/>
                <w:bCs/>
                <w:color w:val="FF0000"/>
                <w:sz w:val="21"/>
                <w:szCs w:val="21"/>
                <w:lang w:val="en-US" w:eastAsia="zh-CN"/>
              </w:rPr>
              <w:t>同一业主单位的业绩不重复计分，未按</w:t>
            </w:r>
            <w:r>
              <w:rPr>
                <w:rFonts w:hint="eastAsia" w:ascii="宋体" w:hAnsi="宋体" w:eastAsia="宋体" w:cs="宋体"/>
                <w:b/>
                <w:bCs/>
                <w:color w:val="FF0000"/>
                <w:sz w:val="21"/>
                <w:szCs w:val="21"/>
              </w:rPr>
              <w:t>要求</w:t>
            </w:r>
            <w:r>
              <w:rPr>
                <w:rFonts w:hint="eastAsia" w:ascii="宋体" w:hAnsi="宋体" w:eastAsia="宋体" w:cs="宋体"/>
                <w:b/>
                <w:bCs/>
                <w:color w:val="FF0000"/>
                <w:sz w:val="21"/>
                <w:szCs w:val="21"/>
                <w:lang w:val="en-US" w:eastAsia="zh-CN"/>
              </w:rPr>
              <w:t>提供</w:t>
            </w:r>
            <w:r>
              <w:rPr>
                <w:rFonts w:hint="eastAsia" w:ascii="宋体" w:hAnsi="宋体" w:eastAsia="宋体" w:cs="宋体"/>
                <w:b/>
                <w:bCs/>
                <w:color w:val="FF0000"/>
                <w:sz w:val="21"/>
                <w:szCs w:val="21"/>
              </w:rPr>
              <w:t>的或</w:t>
            </w:r>
            <w:r>
              <w:rPr>
                <w:rFonts w:hint="eastAsia" w:ascii="宋体" w:hAnsi="宋体" w:eastAsia="宋体" w:cs="宋体"/>
                <w:b/>
                <w:bCs/>
                <w:color w:val="FF0000"/>
                <w:sz w:val="21"/>
                <w:szCs w:val="21"/>
                <w:lang w:val="zh-CN"/>
              </w:rPr>
              <w:t>未提供的不得分。</w:t>
            </w:r>
          </w:p>
        </w:tc>
        <w:tc>
          <w:tcPr>
            <w:tcW w:w="711" w:type="dxa"/>
            <w:vAlign w:val="center"/>
          </w:tcPr>
          <w:p w14:paraId="60001142">
            <w:pPr>
              <w:autoSpaceDE w:val="0"/>
              <w:autoSpaceDN w:val="0"/>
              <w:adjustRightInd w:val="0"/>
              <w:spacing w:line="300" w:lineRule="exact"/>
              <w:jc w:val="center"/>
              <w:rPr>
                <w:rFonts w:ascii="仿宋" w:hAnsi="仿宋" w:eastAsia="仿宋" w:cs="仿宋"/>
                <w:sz w:val="24"/>
              </w:rPr>
            </w:pPr>
            <w:r>
              <w:rPr>
                <w:rFonts w:hint="eastAsia" w:ascii="宋体" w:hAnsi="宋体" w:eastAsia="宋体" w:cs="宋体"/>
                <w:b w:val="0"/>
                <w:bCs w:val="0"/>
                <w:color w:val="auto"/>
                <w:sz w:val="22"/>
                <w:szCs w:val="22"/>
                <w:highlight w:val="none"/>
                <w:lang w:val="en-US" w:eastAsia="zh-CN"/>
              </w:rPr>
              <w:t>9分</w:t>
            </w:r>
          </w:p>
        </w:tc>
      </w:tr>
      <w:tr w14:paraId="78771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10" w:type="dxa"/>
            <w:vAlign w:val="center"/>
          </w:tcPr>
          <w:p w14:paraId="69C571A8">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2.3</w:t>
            </w:r>
          </w:p>
        </w:tc>
        <w:tc>
          <w:tcPr>
            <w:tcW w:w="882" w:type="dxa"/>
            <w:vAlign w:val="center"/>
          </w:tcPr>
          <w:p w14:paraId="66064CE2">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rPr>
              <w:t>认证</w:t>
            </w:r>
          </w:p>
          <w:p w14:paraId="07885D02">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仿宋" w:hAnsi="仿宋" w:eastAsia="仿宋" w:cs="仿宋"/>
                <w:sz w:val="24"/>
              </w:rPr>
            </w:pPr>
            <w:r>
              <w:rPr>
                <w:rFonts w:hint="eastAsia" w:ascii="宋体" w:hAnsi="宋体" w:eastAsia="宋体" w:cs="宋体"/>
                <w:color w:val="auto"/>
                <w:kern w:val="0"/>
                <w:sz w:val="22"/>
                <w:szCs w:val="22"/>
                <w:highlight w:val="none"/>
              </w:rPr>
              <w:t>体系</w:t>
            </w:r>
          </w:p>
        </w:tc>
        <w:tc>
          <w:tcPr>
            <w:tcW w:w="6690" w:type="dxa"/>
            <w:vAlign w:val="center"/>
          </w:tcPr>
          <w:p w14:paraId="7619DF17">
            <w:pPr>
              <w:keepNext w:val="0"/>
              <w:keepLines w:val="0"/>
              <w:pageBreakBefore w:val="0"/>
              <w:widowControl/>
              <w:shd w:val="clear"/>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投标人提供有效的并可在全国认证认可信息公共服务平台官网查询的下列证书的：（</w:t>
            </w: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分）</w:t>
            </w:r>
            <w:r>
              <w:rPr>
                <w:rFonts w:hint="eastAsia" w:ascii="宋体" w:hAnsi="宋体" w:eastAsia="宋体" w:cs="宋体"/>
                <w:color w:val="auto"/>
                <w:kern w:val="0"/>
                <w:sz w:val="21"/>
                <w:szCs w:val="21"/>
                <w:highlight w:val="none"/>
              </w:rPr>
              <w:br w:type="textWrapping"/>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投标人具有有效期内的</w:t>
            </w:r>
            <w:r>
              <w:rPr>
                <w:rFonts w:hint="eastAsia" w:ascii="宋体" w:hAnsi="宋体" w:eastAsia="宋体" w:cs="宋体"/>
                <w:color w:val="auto"/>
                <w:kern w:val="0"/>
                <w:sz w:val="21"/>
                <w:szCs w:val="21"/>
                <w:highlight w:val="none"/>
                <w:lang w:val="en-US" w:eastAsia="zh-CN"/>
              </w:rPr>
              <w:t>应急预案管理体系认证证书的得2分；</w:t>
            </w:r>
          </w:p>
          <w:p w14:paraId="4415A4C6">
            <w:pPr>
              <w:keepNext w:val="0"/>
              <w:keepLines w:val="0"/>
              <w:pageBreakBefore w:val="0"/>
              <w:widowControl/>
              <w:numPr>
                <w:ilvl w:val="0"/>
                <w:numId w:val="0"/>
              </w:numPr>
              <w:shd w:val="clear"/>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投标人具有有效期内的</w:t>
            </w:r>
            <w:r>
              <w:rPr>
                <w:rFonts w:hint="eastAsia" w:ascii="宋体" w:hAnsi="宋体" w:eastAsia="宋体" w:cs="宋体"/>
                <w:color w:val="auto"/>
                <w:kern w:val="0"/>
                <w:sz w:val="21"/>
                <w:szCs w:val="21"/>
                <w:highlight w:val="none"/>
                <w:lang w:val="en-US" w:eastAsia="zh-CN"/>
              </w:rPr>
              <w:t>社会责任管理体系认证证书的得2分；</w:t>
            </w:r>
          </w:p>
          <w:p w14:paraId="0B976500">
            <w:pPr>
              <w:keepNext w:val="0"/>
              <w:keepLines w:val="0"/>
              <w:pageBreakBefore w:val="0"/>
              <w:widowControl/>
              <w:numPr>
                <w:ilvl w:val="0"/>
                <w:numId w:val="0"/>
              </w:numPr>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投标人具有有效期内的</w:t>
            </w:r>
            <w:r>
              <w:rPr>
                <w:rFonts w:hint="eastAsia" w:ascii="宋体" w:hAnsi="宋体" w:eastAsia="宋体" w:cs="宋体"/>
                <w:color w:val="auto"/>
                <w:kern w:val="0"/>
                <w:sz w:val="21"/>
                <w:szCs w:val="21"/>
                <w:highlight w:val="none"/>
                <w:lang w:val="en-US" w:eastAsia="zh-CN"/>
              </w:rPr>
              <w:t>保安服务管理体系认证证书的得2分；</w:t>
            </w:r>
          </w:p>
          <w:p w14:paraId="1E5D52CF">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b/>
                <w:bCs/>
                <w:color w:val="FF0000"/>
                <w:sz w:val="21"/>
                <w:szCs w:val="21"/>
              </w:rPr>
            </w:pPr>
            <w:r>
              <w:rPr>
                <w:rFonts w:hint="eastAsia" w:ascii="宋体" w:hAnsi="宋体" w:eastAsia="宋体" w:cs="宋体"/>
                <w:b/>
                <w:bCs/>
                <w:color w:val="FF0000"/>
                <w:kern w:val="0"/>
                <w:sz w:val="21"/>
                <w:szCs w:val="21"/>
                <w:highlight w:val="none"/>
                <w:lang w:val="en-US" w:eastAsia="zh-CN"/>
              </w:rPr>
              <w:t>注：投标时需</w:t>
            </w:r>
            <w:r>
              <w:rPr>
                <w:rFonts w:hint="eastAsia" w:ascii="宋体" w:hAnsi="宋体" w:eastAsia="宋体" w:cs="宋体"/>
                <w:b/>
                <w:bCs/>
                <w:color w:val="FF0000"/>
                <w:kern w:val="0"/>
                <w:sz w:val="21"/>
                <w:szCs w:val="21"/>
                <w:highlight w:val="none"/>
              </w:rPr>
              <w:t>同时提供相关认证证书的原件扫描件和全国认证认可信息公共服务平台官网（网址：http://cx.cnca.cn/）查询截图，未按要求提供或</w:t>
            </w:r>
            <w:r>
              <w:rPr>
                <w:rFonts w:hint="eastAsia" w:ascii="宋体" w:hAnsi="宋体" w:eastAsia="宋体" w:cs="宋体"/>
                <w:b/>
                <w:bCs/>
                <w:color w:val="FF0000"/>
                <w:kern w:val="0"/>
                <w:sz w:val="21"/>
                <w:szCs w:val="21"/>
                <w:highlight w:val="none"/>
                <w:lang w:val="en-US" w:eastAsia="zh-CN"/>
              </w:rPr>
              <w:t>未</w:t>
            </w:r>
            <w:r>
              <w:rPr>
                <w:rFonts w:hint="eastAsia" w:ascii="宋体" w:hAnsi="宋体" w:eastAsia="宋体" w:cs="宋体"/>
                <w:b/>
                <w:bCs/>
                <w:color w:val="FF0000"/>
                <w:kern w:val="0"/>
                <w:sz w:val="21"/>
                <w:szCs w:val="21"/>
                <w:highlight w:val="none"/>
              </w:rPr>
              <w:t>提供的不得分。</w:t>
            </w:r>
          </w:p>
        </w:tc>
        <w:tc>
          <w:tcPr>
            <w:tcW w:w="711" w:type="dxa"/>
            <w:vAlign w:val="center"/>
          </w:tcPr>
          <w:p w14:paraId="2605D931">
            <w:pPr>
              <w:autoSpaceDE w:val="0"/>
              <w:autoSpaceDN w:val="0"/>
              <w:adjustRightInd w:val="0"/>
              <w:spacing w:line="300" w:lineRule="exact"/>
              <w:jc w:val="center"/>
              <w:rPr>
                <w:rFonts w:hint="default" w:ascii="仿宋" w:hAnsi="仿宋" w:eastAsia="仿宋" w:cs="仿宋"/>
                <w:sz w:val="24"/>
                <w:lang w:val="en-US" w:eastAsia="zh-CN"/>
              </w:rPr>
            </w:pPr>
            <w:r>
              <w:rPr>
                <w:rFonts w:hint="eastAsia" w:ascii="宋体" w:hAnsi="宋体" w:eastAsia="宋体" w:cs="宋体"/>
                <w:b w:val="0"/>
                <w:bCs w:val="0"/>
                <w:color w:val="auto"/>
                <w:sz w:val="22"/>
                <w:szCs w:val="22"/>
                <w:highlight w:val="none"/>
                <w:lang w:val="en-US" w:eastAsia="zh-CN"/>
              </w:rPr>
              <w:t>6分</w:t>
            </w:r>
          </w:p>
        </w:tc>
      </w:tr>
      <w:tr w14:paraId="5A535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893" w:type="dxa"/>
            <w:gridSpan w:val="4"/>
            <w:vAlign w:val="center"/>
          </w:tcPr>
          <w:p w14:paraId="3807C93E">
            <w:pPr>
              <w:jc w:val="center"/>
              <w:rPr>
                <w:rFonts w:ascii="仿宋" w:hAnsi="仿宋" w:eastAsia="仿宋" w:cs="仿宋"/>
                <w:sz w:val="24"/>
              </w:rPr>
            </w:pPr>
            <w:r>
              <w:rPr>
                <w:rFonts w:hint="eastAsia" w:ascii="宋体" w:hAnsi="宋体" w:eastAsia="宋体" w:cs="宋体"/>
                <w:b/>
                <w:bCs/>
                <w:color w:val="000000"/>
                <w:sz w:val="22"/>
                <w:szCs w:val="22"/>
                <w:lang w:val="en-US" w:eastAsia="zh-CN"/>
              </w:rPr>
              <w:t>三、技术方案（30分）</w:t>
            </w:r>
          </w:p>
        </w:tc>
      </w:tr>
      <w:tr w14:paraId="2727F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10" w:type="dxa"/>
            <w:vAlign w:val="center"/>
          </w:tcPr>
          <w:p w14:paraId="753F8D71">
            <w:pPr>
              <w:autoSpaceDE w:val="0"/>
              <w:autoSpaceDN w:val="0"/>
              <w:adjustRightInd w:val="0"/>
              <w:spacing w:line="3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3.1</w:t>
            </w:r>
          </w:p>
        </w:tc>
        <w:tc>
          <w:tcPr>
            <w:tcW w:w="882" w:type="dxa"/>
            <w:vAlign w:val="center"/>
          </w:tcPr>
          <w:p w14:paraId="65C2F045">
            <w:pPr>
              <w:autoSpaceDE w:val="0"/>
              <w:autoSpaceDN w:val="0"/>
              <w:adjustRightInd w:val="0"/>
              <w:spacing w:line="300" w:lineRule="exact"/>
              <w:ind w:firstLine="420" w:firstLineChars="200"/>
              <w:rPr>
                <w:rFonts w:hint="eastAsia" w:ascii="宋体" w:hAnsi="宋体" w:eastAsia="宋体" w:cs="宋体"/>
                <w:b w:val="0"/>
                <w:bCs w:val="0"/>
                <w:color w:val="auto"/>
                <w:sz w:val="21"/>
                <w:szCs w:val="21"/>
                <w:highlight w:val="none"/>
                <w:lang w:val="en-US" w:eastAsia="zh-CN"/>
              </w:rPr>
            </w:pPr>
          </w:p>
          <w:p w14:paraId="22A73B19">
            <w:pPr>
              <w:autoSpaceDE w:val="0"/>
              <w:autoSpaceDN w:val="0"/>
              <w:adjustRightInd w:val="0"/>
              <w:spacing w:line="3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服务</w:t>
            </w:r>
          </w:p>
          <w:p w14:paraId="3E3424BC">
            <w:pPr>
              <w:autoSpaceDE w:val="0"/>
              <w:autoSpaceDN w:val="0"/>
              <w:adjustRightInd w:val="0"/>
              <w:spacing w:line="3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宗旨、</w:t>
            </w:r>
          </w:p>
          <w:p w14:paraId="4AD9AADE">
            <w:pPr>
              <w:autoSpaceDE w:val="0"/>
              <w:autoSpaceDN w:val="0"/>
              <w:adjustRightInd w:val="0"/>
              <w:spacing w:line="3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管理</w:t>
            </w:r>
          </w:p>
          <w:p w14:paraId="35FFB694">
            <w:pPr>
              <w:autoSpaceDE w:val="0"/>
              <w:autoSpaceDN w:val="0"/>
              <w:adjustRightInd w:val="0"/>
              <w:spacing w:line="3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定位、</w:t>
            </w:r>
          </w:p>
          <w:p w14:paraId="147BA63D">
            <w:pPr>
              <w:autoSpaceDE w:val="0"/>
              <w:autoSpaceDN w:val="0"/>
              <w:adjustRightInd w:val="0"/>
              <w:spacing w:line="3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理念、</w:t>
            </w:r>
          </w:p>
          <w:p w14:paraId="1A5B833E">
            <w:pPr>
              <w:autoSpaceDE w:val="0"/>
              <w:autoSpaceDN w:val="0"/>
              <w:adjustRightInd w:val="0"/>
              <w:spacing w:line="3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目标</w:t>
            </w:r>
          </w:p>
        </w:tc>
        <w:tc>
          <w:tcPr>
            <w:tcW w:w="6690" w:type="dxa"/>
            <w:vAlign w:val="center"/>
          </w:tcPr>
          <w:p w14:paraId="32ECDE5D">
            <w:pPr>
              <w:autoSpaceDE w:val="0"/>
              <w:autoSpaceDN w:val="0"/>
              <w:adjustRightInd w:val="0"/>
              <w:spacing w:line="300" w:lineRule="exact"/>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投标人应根据采购需求和本项目的特点提出合理的管理服务宗旨、管理定位、理念、目标等，包括但不限于：</w:t>
            </w:r>
          </w:p>
          <w:p w14:paraId="25B05672">
            <w:pPr>
              <w:autoSpaceDE w:val="0"/>
              <w:autoSpaceDN w:val="0"/>
              <w:adjustRightInd w:val="0"/>
              <w:spacing w:line="300" w:lineRule="exact"/>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1.项目管理规范化方案；</w:t>
            </w:r>
          </w:p>
          <w:p w14:paraId="2C3B7EBE">
            <w:pPr>
              <w:autoSpaceDE w:val="0"/>
              <w:autoSpaceDN w:val="0"/>
              <w:adjustRightInd w:val="0"/>
              <w:spacing w:line="300" w:lineRule="exact"/>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2.服务理念具象化方案；</w:t>
            </w:r>
          </w:p>
          <w:p w14:paraId="1536D733">
            <w:pPr>
              <w:autoSpaceDE w:val="0"/>
              <w:autoSpaceDN w:val="0"/>
              <w:adjustRightInd w:val="0"/>
              <w:spacing w:line="300" w:lineRule="exact"/>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3.目标达成可量化方案；</w:t>
            </w:r>
          </w:p>
          <w:p w14:paraId="6571BF4F">
            <w:pPr>
              <w:autoSpaceDE w:val="0"/>
              <w:autoSpaceDN w:val="0"/>
              <w:adjustRightInd w:val="0"/>
              <w:spacing w:line="300" w:lineRule="exact"/>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4.理念与目标融合落地方案等内容；</w:t>
            </w:r>
          </w:p>
          <w:p w14:paraId="66B0D6F7">
            <w:pPr>
              <w:autoSpaceDE w:val="0"/>
              <w:autoSpaceDN w:val="0"/>
              <w:adjustRightInd w:val="0"/>
              <w:spacing w:line="300" w:lineRule="exact"/>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确保无重大设备运行、安保、消防等责任事故发生，方案的贯彻应能满足本项目各项服务要求。</w:t>
            </w:r>
          </w:p>
          <w:p w14:paraId="5D451E3B">
            <w:pPr>
              <w:autoSpaceDE w:val="0"/>
              <w:autoSpaceDN w:val="0"/>
              <w:adjustRightInd w:val="0"/>
              <w:spacing w:line="300" w:lineRule="exact"/>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针对采购需求，供应商的方案中的内容齐全，符合实际切实可行且无缺陷的得6分（缺陷是指：部分内容与项目无关、逻辑错误、科学原理错误、表述错误、不符合本项目涉及的相关规范或标准要求的任意一种情形），每缺少一项内容扣1.5分，扣完为止；单项内容每存在一处缺陷扣0.5分，单项内容分（1.5分）扣完为止。</w:t>
            </w:r>
          </w:p>
          <w:p w14:paraId="26D634FB">
            <w:pPr>
              <w:autoSpaceDE w:val="0"/>
              <w:autoSpaceDN w:val="0"/>
              <w:adjustRightInd w:val="0"/>
              <w:spacing w:line="300" w:lineRule="exact"/>
              <w:ind w:firstLine="442"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bCs/>
                <w:color w:val="FF0000"/>
                <w:sz w:val="22"/>
                <w:szCs w:val="22"/>
                <w:highlight w:val="none"/>
                <w:lang w:val="en-US" w:eastAsia="zh-CN"/>
              </w:rPr>
              <w:t>未按要求提供的或</w:t>
            </w:r>
            <w:r>
              <w:rPr>
                <w:rFonts w:hint="eastAsia" w:ascii="宋体" w:hAnsi="宋体" w:eastAsia="宋体" w:cs="宋体"/>
                <w:b/>
                <w:bCs/>
                <w:color w:val="FF0000"/>
                <w:sz w:val="22"/>
                <w:szCs w:val="22"/>
                <w:highlight w:val="none"/>
                <w:lang w:val="zh-CN" w:eastAsia="zh-CN"/>
              </w:rPr>
              <w:t>未提供的不得分。</w:t>
            </w:r>
          </w:p>
        </w:tc>
        <w:tc>
          <w:tcPr>
            <w:tcW w:w="711" w:type="dxa"/>
            <w:vAlign w:val="center"/>
          </w:tcPr>
          <w:p w14:paraId="3619A5F8">
            <w:pPr>
              <w:autoSpaceDE w:val="0"/>
              <w:autoSpaceDN w:val="0"/>
              <w:adjustRightInd w:val="0"/>
              <w:spacing w:line="300" w:lineRule="exact"/>
              <w:jc w:val="center"/>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6分</w:t>
            </w:r>
          </w:p>
        </w:tc>
      </w:tr>
      <w:tr w14:paraId="480CC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10" w:type="dxa"/>
            <w:vAlign w:val="center"/>
          </w:tcPr>
          <w:p w14:paraId="3AC5CFDA">
            <w:pPr>
              <w:autoSpaceDE w:val="0"/>
              <w:autoSpaceDN w:val="0"/>
              <w:adjustRightInd w:val="0"/>
              <w:spacing w:line="300"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3.2</w:t>
            </w:r>
          </w:p>
        </w:tc>
        <w:tc>
          <w:tcPr>
            <w:tcW w:w="882" w:type="dxa"/>
            <w:vAlign w:val="center"/>
          </w:tcPr>
          <w:p w14:paraId="655BCBF3">
            <w:pPr>
              <w:autoSpaceDE w:val="0"/>
              <w:autoSpaceDN w:val="0"/>
              <w:adjustRightInd w:val="0"/>
              <w:spacing w:line="300"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管理</w:t>
            </w:r>
          </w:p>
          <w:p w14:paraId="1F09A908">
            <w:pPr>
              <w:autoSpaceDE w:val="0"/>
              <w:autoSpaceDN w:val="0"/>
              <w:adjustRightInd w:val="0"/>
              <w:spacing w:line="300"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方式</w:t>
            </w:r>
          </w:p>
          <w:p w14:paraId="769535A7">
            <w:pPr>
              <w:autoSpaceDE w:val="0"/>
              <w:autoSpaceDN w:val="0"/>
              <w:adjustRightInd w:val="0"/>
              <w:spacing w:line="300"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和</w:t>
            </w:r>
          </w:p>
          <w:p w14:paraId="559498D7">
            <w:pPr>
              <w:autoSpaceDE w:val="0"/>
              <w:autoSpaceDN w:val="0"/>
              <w:adjustRightInd w:val="0"/>
              <w:spacing w:line="300"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工作</w:t>
            </w:r>
          </w:p>
          <w:p w14:paraId="18E46A53">
            <w:pPr>
              <w:autoSpaceDE w:val="0"/>
              <w:autoSpaceDN w:val="0"/>
              <w:adjustRightInd w:val="0"/>
              <w:spacing w:line="300"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计划</w:t>
            </w:r>
          </w:p>
        </w:tc>
        <w:tc>
          <w:tcPr>
            <w:tcW w:w="6690" w:type="dxa"/>
            <w:vAlign w:val="center"/>
          </w:tcPr>
          <w:p w14:paraId="21A04A9E">
            <w:pPr>
              <w:autoSpaceDE w:val="0"/>
              <w:autoSpaceDN w:val="0"/>
              <w:adjustRightInd w:val="0"/>
              <w:spacing w:line="300" w:lineRule="exact"/>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投标人应根据采购需求和本项目的特点制定拟采取的管理方式和工作计划：包括但不限于：</w:t>
            </w:r>
          </w:p>
          <w:p w14:paraId="7E2BC7AC">
            <w:pPr>
              <w:numPr>
                <w:ilvl w:val="0"/>
                <w:numId w:val="0"/>
              </w:numPr>
              <w:autoSpaceDE w:val="0"/>
              <w:autoSpaceDN w:val="0"/>
              <w:adjustRightInd w:val="0"/>
              <w:spacing w:line="300" w:lineRule="exact"/>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1.有完善的组织架构、作业流程；</w:t>
            </w:r>
          </w:p>
          <w:p w14:paraId="5F22579E">
            <w:pPr>
              <w:numPr>
                <w:ilvl w:val="0"/>
                <w:numId w:val="0"/>
              </w:numPr>
              <w:autoSpaceDE w:val="0"/>
              <w:autoSpaceDN w:val="0"/>
              <w:adjustRightInd w:val="0"/>
              <w:spacing w:line="300" w:lineRule="exact"/>
              <w:rPr>
                <w:rFonts w:ascii="仿宋" w:hAnsi="仿宋" w:eastAsia="仿宋" w:cs="仿宋"/>
                <w:b/>
                <w:bCs/>
                <w:color w:val="FF0000"/>
                <w:sz w:val="24"/>
              </w:rPr>
            </w:pPr>
            <w:r>
              <w:rPr>
                <w:rFonts w:hint="eastAsia" w:ascii="宋体" w:hAnsi="宋体" w:eastAsia="宋体" w:cs="宋体"/>
                <w:b w:val="0"/>
                <w:bCs w:val="0"/>
                <w:color w:val="auto"/>
                <w:sz w:val="22"/>
                <w:szCs w:val="22"/>
                <w:highlight w:val="none"/>
                <w:lang w:val="en-US" w:eastAsia="zh-CN"/>
              </w:rPr>
              <w:t>2.科学的管理运作机制；</w:t>
            </w:r>
          </w:p>
          <w:p w14:paraId="085C49DB">
            <w:pPr>
              <w:numPr>
                <w:ilvl w:val="0"/>
                <w:numId w:val="0"/>
              </w:numPr>
              <w:autoSpaceDE w:val="0"/>
              <w:autoSpaceDN w:val="0"/>
              <w:adjustRightInd w:val="0"/>
              <w:spacing w:line="300" w:lineRule="exact"/>
              <w:rPr>
                <w:rFonts w:ascii="仿宋" w:hAnsi="仿宋" w:eastAsia="仿宋" w:cs="仿宋"/>
                <w:b/>
                <w:bCs/>
                <w:color w:val="FF0000"/>
                <w:sz w:val="24"/>
              </w:rPr>
            </w:pPr>
            <w:r>
              <w:rPr>
                <w:rFonts w:hint="eastAsia" w:ascii="宋体" w:hAnsi="宋体" w:eastAsia="宋体" w:cs="宋体"/>
                <w:b w:val="0"/>
                <w:bCs w:val="0"/>
                <w:color w:val="auto"/>
                <w:sz w:val="22"/>
                <w:szCs w:val="22"/>
                <w:highlight w:val="none"/>
                <w:lang w:val="en-US" w:eastAsia="zh-CN"/>
              </w:rPr>
              <w:t>3.详尽的工作计划；</w:t>
            </w:r>
          </w:p>
          <w:p w14:paraId="0ADFE719">
            <w:pPr>
              <w:numPr>
                <w:ilvl w:val="0"/>
                <w:numId w:val="0"/>
              </w:numPr>
              <w:autoSpaceDE w:val="0"/>
              <w:autoSpaceDN w:val="0"/>
              <w:adjustRightInd w:val="0"/>
              <w:spacing w:line="300" w:lineRule="exact"/>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4.切实可行的管理指标承诺等内容；</w:t>
            </w:r>
          </w:p>
          <w:p w14:paraId="70323BEC">
            <w:pPr>
              <w:numPr>
                <w:ilvl w:val="0"/>
                <w:numId w:val="0"/>
              </w:numPr>
              <w:autoSpaceDE w:val="0"/>
              <w:autoSpaceDN w:val="0"/>
              <w:adjustRightInd w:val="0"/>
              <w:spacing w:line="300" w:lineRule="exact"/>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方案的贯彻应能满足本项目各项服务要求。</w:t>
            </w:r>
          </w:p>
          <w:p w14:paraId="3BD5855A">
            <w:pPr>
              <w:numPr>
                <w:ilvl w:val="0"/>
                <w:numId w:val="0"/>
              </w:numPr>
              <w:autoSpaceDE w:val="0"/>
              <w:autoSpaceDN w:val="0"/>
              <w:adjustRightInd w:val="0"/>
              <w:spacing w:line="300" w:lineRule="exact"/>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针对采购需求，供应商的方案中的内容齐全，符合实际切实可行且无缺陷的得6分（缺陷是指：部分内容与项目无关、逻辑错误、科学原理错误、表述错误、不符合本项目涉及的相关规范或标准要求的任意一种情形），每缺少一项内容扣1.5分，扣完为止；单项内容每存在一处缺陷扣0.5分，单项内容分（1.5分）扣完为止。</w:t>
            </w:r>
          </w:p>
          <w:p w14:paraId="39A4BCDF">
            <w:pPr>
              <w:autoSpaceDE w:val="0"/>
              <w:autoSpaceDN w:val="0"/>
              <w:adjustRightInd w:val="0"/>
              <w:spacing w:line="300" w:lineRule="exact"/>
              <w:ind w:firstLine="442" w:firstLineChars="200"/>
              <w:rPr>
                <w:rFonts w:ascii="仿宋" w:hAnsi="仿宋" w:eastAsia="仿宋" w:cs="仿宋"/>
                <w:b/>
                <w:bCs/>
                <w:color w:val="FF0000"/>
                <w:sz w:val="24"/>
              </w:rPr>
            </w:pPr>
            <w:r>
              <w:rPr>
                <w:rFonts w:hint="eastAsia" w:ascii="宋体" w:hAnsi="宋体" w:eastAsia="宋体" w:cs="宋体"/>
                <w:b/>
                <w:bCs/>
                <w:color w:val="FF0000"/>
                <w:sz w:val="22"/>
                <w:szCs w:val="22"/>
                <w:highlight w:val="none"/>
                <w:lang w:val="en-US" w:eastAsia="zh-CN"/>
              </w:rPr>
              <w:t>未按要求提供的或</w:t>
            </w:r>
            <w:r>
              <w:rPr>
                <w:rFonts w:hint="eastAsia" w:ascii="宋体" w:hAnsi="宋体" w:eastAsia="宋体" w:cs="宋体"/>
                <w:b/>
                <w:bCs/>
                <w:color w:val="FF0000"/>
                <w:sz w:val="22"/>
                <w:szCs w:val="22"/>
                <w:highlight w:val="none"/>
                <w:lang w:val="zh-CN" w:eastAsia="zh-CN"/>
              </w:rPr>
              <w:t>未提供的不得分。</w:t>
            </w:r>
          </w:p>
        </w:tc>
        <w:tc>
          <w:tcPr>
            <w:tcW w:w="711" w:type="dxa"/>
            <w:vAlign w:val="center"/>
          </w:tcPr>
          <w:p w14:paraId="1F5430AA">
            <w:pPr>
              <w:jc w:val="center"/>
              <w:rPr>
                <w:rFonts w:ascii="仿宋" w:hAnsi="仿宋" w:eastAsia="仿宋" w:cs="仿宋"/>
                <w:sz w:val="24"/>
              </w:rPr>
            </w:pPr>
            <w:r>
              <w:rPr>
                <w:rFonts w:hint="eastAsia" w:ascii="宋体" w:hAnsi="宋体" w:eastAsia="宋体" w:cs="宋体"/>
                <w:b w:val="0"/>
                <w:bCs w:val="0"/>
                <w:color w:val="auto"/>
                <w:sz w:val="22"/>
                <w:szCs w:val="22"/>
                <w:highlight w:val="none"/>
                <w:lang w:val="en-US" w:eastAsia="zh-CN"/>
              </w:rPr>
              <w:t>6分</w:t>
            </w:r>
          </w:p>
        </w:tc>
      </w:tr>
      <w:tr w14:paraId="51914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10" w:type="dxa"/>
            <w:vAlign w:val="center"/>
          </w:tcPr>
          <w:p w14:paraId="77E9636A">
            <w:pPr>
              <w:autoSpaceDE w:val="0"/>
              <w:autoSpaceDN w:val="0"/>
              <w:adjustRightInd w:val="0"/>
              <w:spacing w:line="300"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3.3</w:t>
            </w:r>
          </w:p>
        </w:tc>
        <w:tc>
          <w:tcPr>
            <w:tcW w:w="882" w:type="dxa"/>
            <w:vAlign w:val="center"/>
          </w:tcPr>
          <w:p w14:paraId="21D0AB34">
            <w:pPr>
              <w:autoSpaceDE w:val="0"/>
              <w:autoSpaceDN w:val="0"/>
              <w:adjustRightInd w:val="0"/>
              <w:spacing w:line="300"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规章</w:t>
            </w:r>
          </w:p>
          <w:p w14:paraId="4DB3D210">
            <w:pPr>
              <w:autoSpaceDE w:val="0"/>
              <w:autoSpaceDN w:val="0"/>
              <w:adjustRightInd w:val="0"/>
              <w:spacing w:line="300"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制度</w:t>
            </w:r>
          </w:p>
          <w:p w14:paraId="7D8AD18F">
            <w:pPr>
              <w:autoSpaceDE w:val="0"/>
              <w:autoSpaceDN w:val="0"/>
              <w:adjustRightInd w:val="0"/>
              <w:spacing w:line="300"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与</w:t>
            </w:r>
          </w:p>
          <w:p w14:paraId="5DB56CDB">
            <w:pPr>
              <w:autoSpaceDE w:val="0"/>
              <w:autoSpaceDN w:val="0"/>
              <w:adjustRightInd w:val="0"/>
              <w:spacing w:line="300"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档案</w:t>
            </w:r>
          </w:p>
          <w:p w14:paraId="2050BFD1">
            <w:pPr>
              <w:autoSpaceDE w:val="0"/>
              <w:autoSpaceDN w:val="0"/>
              <w:adjustRightInd w:val="0"/>
              <w:spacing w:line="300" w:lineRule="exact"/>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管理</w:t>
            </w:r>
          </w:p>
        </w:tc>
        <w:tc>
          <w:tcPr>
            <w:tcW w:w="6690" w:type="dxa"/>
            <w:vAlign w:val="center"/>
          </w:tcPr>
          <w:p w14:paraId="0A43F20B">
            <w:pPr>
              <w:autoSpaceDE w:val="0"/>
              <w:autoSpaceDN w:val="0"/>
              <w:adjustRightInd w:val="0"/>
              <w:spacing w:line="300" w:lineRule="exact"/>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投标人应根据采购需求和本项目的特点制定规章制度与档案管理方案：包括但不限于：</w:t>
            </w:r>
          </w:p>
          <w:p w14:paraId="38F088C0">
            <w:pPr>
              <w:autoSpaceDE w:val="0"/>
              <w:autoSpaceDN w:val="0"/>
              <w:adjustRightInd w:val="0"/>
              <w:spacing w:line="300" w:lineRule="exact"/>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1.核心规章制度体系构建方案；</w:t>
            </w:r>
          </w:p>
          <w:p w14:paraId="1808773A">
            <w:pPr>
              <w:autoSpaceDE w:val="0"/>
              <w:autoSpaceDN w:val="0"/>
              <w:adjustRightInd w:val="0"/>
              <w:spacing w:line="300" w:lineRule="exact"/>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2.规章制度执行与监督机制；</w:t>
            </w:r>
          </w:p>
          <w:p w14:paraId="1F3D1FF7">
            <w:pPr>
              <w:autoSpaceDE w:val="0"/>
              <w:autoSpaceDN w:val="0"/>
              <w:adjustRightInd w:val="0"/>
              <w:spacing w:line="300" w:lineRule="exact"/>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3.档案分类管理规范；</w:t>
            </w:r>
          </w:p>
          <w:p w14:paraId="59AE14E1">
            <w:pPr>
              <w:autoSpaceDE w:val="0"/>
              <w:autoSpaceDN w:val="0"/>
              <w:adjustRightInd w:val="0"/>
              <w:spacing w:line="300" w:lineRule="exact"/>
              <w:ind w:firstLine="440" w:firstLineChars="200"/>
              <w:rPr>
                <w:rFonts w:ascii="仿宋" w:hAnsi="仿宋" w:eastAsia="仿宋" w:cs="仿宋"/>
                <w:color w:val="000000" w:themeColor="text1"/>
                <w:sz w:val="24"/>
                <w14:textFill>
                  <w14:solidFill>
                    <w14:schemeClr w14:val="tx1"/>
                  </w14:solidFill>
                </w14:textFill>
              </w:rPr>
            </w:pPr>
            <w:r>
              <w:rPr>
                <w:rFonts w:hint="eastAsia" w:ascii="宋体" w:hAnsi="宋体" w:eastAsia="宋体" w:cs="宋体"/>
                <w:b w:val="0"/>
                <w:bCs w:val="0"/>
                <w:color w:val="auto"/>
                <w:sz w:val="22"/>
                <w:szCs w:val="22"/>
                <w:highlight w:val="none"/>
                <w:lang w:val="en-US" w:eastAsia="zh-CN"/>
              </w:rPr>
              <w:t>4.档案保管与查阅管理等内容，</w:t>
            </w:r>
            <w:r>
              <w:rPr>
                <w:rFonts w:hint="eastAsia" w:ascii="宋体" w:hAnsi="宋体" w:eastAsia="宋体" w:cs="宋体"/>
                <w:color w:val="auto"/>
                <w:sz w:val="22"/>
                <w:szCs w:val="22"/>
                <w:highlight w:val="none"/>
              </w:rPr>
              <w:t>方案的贯彻应能满足本项目各项服务要求。</w:t>
            </w:r>
          </w:p>
          <w:p w14:paraId="0C2D991B">
            <w:pPr>
              <w:numPr>
                <w:ilvl w:val="0"/>
                <w:numId w:val="0"/>
              </w:numPr>
              <w:autoSpaceDE w:val="0"/>
              <w:autoSpaceDN w:val="0"/>
              <w:adjustRightInd w:val="0"/>
              <w:spacing w:line="300" w:lineRule="exact"/>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针对采购需求，供应商的方案中的内容齐全，符合实际切实可行且无缺陷的得4分（缺陷是指：部分内容与项目无关、逻辑错误、科学原理错误、表述错误、不符合本项目涉及的相关规范或标准要求的任意一种情形），每缺少一项内容扣1分，扣完为止；单项内容每存在一处缺陷扣0.5分，单项内容分（1分）扣完为止。</w:t>
            </w:r>
          </w:p>
          <w:p w14:paraId="70B0163F">
            <w:pPr>
              <w:ind w:firstLine="442" w:firstLineChars="200"/>
              <w:rPr>
                <w:rFonts w:ascii="仿宋" w:hAnsi="仿宋" w:eastAsia="仿宋" w:cs="仿宋"/>
                <w:b/>
                <w:bCs/>
                <w:color w:val="FF0000"/>
                <w:sz w:val="24"/>
              </w:rPr>
            </w:pPr>
            <w:r>
              <w:rPr>
                <w:rFonts w:hint="eastAsia" w:ascii="宋体" w:hAnsi="宋体" w:eastAsia="宋体" w:cs="宋体"/>
                <w:b/>
                <w:bCs/>
                <w:color w:val="FF0000"/>
                <w:sz w:val="22"/>
                <w:szCs w:val="22"/>
                <w:highlight w:val="none"/>
                <w:lang w:val="en-US" w:eastAsia="zh-CN"/>
              </w:rPr>
              <w:t>未按要求提供的或</w:t>
            </w:r>
            <w:r>
              <w:rPr>
                <w:rFonts w:hint="eastAsia" w:ascii="宋体" w:hAnsi="宋体" w:eastAsia="宋体" w:cs="宋体"/>
                <w:b/>
                <w:bCs/>
                <w:color w:val="FF0000"/>
                <w:sz w:val="22"/>
                <w:szCs w:val="22"/>
                <w:highlight w:val="none"/>
                <w:lang w:val="zh-CN" w:eastAsia="zh-CN"/>
              </w:rPr>
              <w:t>未提供的不得分。</w:t>
            </w:r>
          </w:p>
        </w:tc>
        <w:tc>
          <w:tcPr>
            <w:tcW w:w="711" w:type="dxa"/>
            <w:vAlign w:val="center"/>
          </w:tcPr>
          <w:p w14:paraId="21150BA9">
            <w:pPr>
              <w:jc w:val="center"/>
              <w:rPr>
                <w:rFonts w:ascii="仿宋" w:hAnsi="仿宋" w:eastAsia="仿宋" w:cs="仿宋"/>
                <w:sz w:val="24"/>
              </w:rPr>
            </w:pPr>
            <w:r>
              <w:rPr>
                <w:rFonts w:hint="eastAsia" w:ascii="宋体" w:hAnsi="宋体" w:eastAsia="宋体" w:cs="宋体"/>
                <w:b w:val="0"/>
                <w:bCs w:val="0"/>
                <w:color w:val="auto"/>
                <w:sz w:val="22"/>
                <w:szCs w:val="22"/>
                <w:highlight w:val="none"/>
                <w:lang w:val="en-US" w:eastAsia="zh-CN"/>
              </w:rPr>
              <w:t>4分</w:t>
            </w:r>
          </w:p>
        </w:tc>
      </w:tr>
      <w:tr w14:paraId="7D8A3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10" w:type="dxa"/>
            <w:vAlign w:val="center"/>
          </w:tcPr>
          <w:p w14:paraId="2B6FAE88">
            <w:pPr>
              <w:jc w:val="center"/>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.4</w:t>
            </w:r>
          </w:p>
        </w:tc>
        <w:tc>
          <w:tcPr>
            <w:tcW w:w="882" w:type="dxa"/>
            <w:vAlign w:val="center"/>
          </w:tcPr>
          <w:p w14:paraId="554971A1">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人员的</w:t>
            </w:r>
          </w:p>
          <w:p w14:paraId="60018894">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培训</w:t>
            </w:r>
          </w:p>
          <w:p w14:paraId="136F1BF2">
            <w:pPr>
              <w:jc w:val="center"/>
              <w:rPr>
                <w:rFonts w:hint="eastAsia" w:ascii="宋体" w:hAnsi="宋体" w:eastAsia="宋体" w:cs="宋体"/>
                <w:sz w:val="21"/>
                <w:szCs w:val="21"/>
              </w:rPr>
            </w:pPr>
            <w:r>
              <w:rPr>
                <w:rFonts w:hint="eastAsia" w:ascii="宋体" w:hAnsi="宋体" w:eastAsia="宋体" w:cs="宋体"/>
                <w:b w:val="0"/>
                <w:bCs w:val="0"/>
                <w:color w:val="auto"/>
                <w:sz w:val="21"/>
                <w:szCs w:val="21"/>
                <w:highlight w:val="none"/>
                <w:lang w:val="en-US" w:eastAsia="zh-CN"/>
              </w:rPr>
              <w:t>和管理</w:t>
            </w:r>
          </w:p>
        </w:tc>
        <w:tc>
          <w:tcPr>
            <w:tcW w:w="6690" w:type="dxa"/>
            <w:vAlign w:val="center"/>
          </w:tcPr>
          <w:p w14:paraId="7A26CD74">
            <w:pPr>
              <w:pStyle w:val="216"/>
              <w:keepNext w:val="0"/>
              <w:keepLines w:val="0"/>
              <w:pageBreakBefore w:val="0"/>
              <w:widowControl w:val="0"/>
              <w:tabs>
                <w:tab w:val="left" w:pos="295"/>
              </w:tabs>
              <w:kinsoku/>
              <w:wordWrap/>
              <w:overflowPunct/>
              <w:topLinePunct w:val="0"/>
              <w:autoSpaceDE/>
              <w:autoSpaceDN/>
              <w:bidi w:val="0"/>
              <w:adjustRightInd/>
              <w:snapToGrid/>
              <w:spacing w:line="240" w:lineRule="auto"/>
              <w:ind w:firstLine="42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投标人应根据采购需求和本项目的特点制定人员的培训和管理：包括但不限于：</w:t>
            </w:r>
          </w:p>
          <w:p w14:paraId="16B79535">
            <w:pPr>
              <w:pStyle w:val="216"/>
              <w:keepNext w:val="0"/>
              <w:keepLines w:val="0"/>
              <w:pageBreakBefore w:val="0"/>
              <w:widowControl w:val="0"/>
              <w:tabs>
                <w:tab w:val="left" w:pos="295"/>
              </w:tabs>
              <w:kinsoku/>
              <w:wordWrap/>
              <w:overflowPunct/>
              <w:topLinePunct w:val="0"/>
              <w:autoSpaceDE/>
              <w:autoSpaceDN/>
              <w:bidi w:val="0"/>
              <w:adjustRightInd/>
              <w:snapToGrid/>
              <w:spacing w:line="240" w:lineRule="auto"/>
              <w:ind w:firstLine="440" w:firstLineChars="200"/>
              <w:jc w:val="left"/>
              <w:textAlignment w:val="auto"/>
              <w:rPr>
                <w:rFonts w:hint="eastAsia" w:eastAsia="宋体" w:cs="宋体"/>
                <w:b w:val="0"/>
                <w:bCs w:val="0"/>
                <w:color w:val="auto"/>
                <w:sz w:val="22"/>
                <w:szCs w:val="22"/>
                <w:highlight w:val="none"/>
                <w:lang w:val="en-US" w:eastAsia="zh-CN"/>
              </w:rPr>
            </w:pPr>
            <w:r>
              <w:rPr>
                <w:rFonts w:hint="eastAsia" w:eastAsia="宋体" w:cs="宋体"/>
                <w:b w:val="0"/>
                <w:bCs w:val="0"/>
                <w:color w:val="auto"/>
                <w:sz w:val="22"/>
                <w:szCs w:val="22"/>
                <w:highlight w:val="none"/>
                <w:lang w:val="en-US" w:eastAsia="zh-CN"/>
              </w:rPr>
              <w:t>1.</w:t>
            </w:r>
            <w:r>
              <w:rPr>
                <w:rFonts w:hint="eastAsia" w:ascii="宋体" w:hAnsi="宋体" w:eastAsia="宋体" w:cs="宋体"/>
                <w:b w:val="0"/>
                <w:bCs w:val="0"/>
                <w:color w:val="auto"/>
                <w:sz w:val="22"/>
                <w:szCs w:val="22"/>
                <w:highlight w:val="none"/>
                <w:lang w:val="en-US" w:eastAsia="zh-CN"/>
              </w:rPr>
              <w:t>人员招聘与准入管理</w:t>
            </w:r>
            <w:r>
              <w:rPr>
                <w:rFonts w:hint="eastAsia" w:eastAsia="宋体" w:cs="宋体"/>
                <w:b w:val="0"/>
                <w:bCs w:val="0"/>
                <w:color w:val="auto"/>
                <w:sz w:val="22"/>
                <w:szCs w:val="22"/>
                <w:highlight w:val="none"/>
                <w:lang w:val="en-US" w:eastAsia="zh-CN"/>
              </w:rPr>
              <w:t>的核心要求；</w:t>
            </w:r>
          </w:p>
          <w:p w14:paraId="339CE74D">
            <w:pPr>
              <w:pStyle w:val="216"/>
              <w:keepNext w:val="0"/>
              <w:keepLines w:val="0"/>
              <w:pageBreakBefore w:val="0"/>
              <w:widowControl w:val="0"/>
              <w:tabs>
                <w:tab w:val="left" w:pos="295"/>
              </w:tabs>
              <w:kinsoku/>
              <w:wordWrap/>
              <w:overflowPunct/>
              <w:topLinePunct w:val="0"/>
              <w:autoSpaceDE/>
              <w:autoSpaceDN/>
              <w:bidi w:val="0"/>
              <w:adjustRightInd/>
              <w:snapToGrid/>
              <w:spacing w:line="240" w:lineRule="auto"/>
              <w:ind w:firstLine="440" w:firstLineChars="200"/>
              <w:jc w:val="left"/>
              <w:textAlignment w:val="auto"/>
              <w:rPr>
                <w:rFonts w:hint="eastAsia" w:eastAsia="宋体" w:cs="宋体"/>
                <w:b w:val="0"/>
                <w:bCs w:val="0"/>
                <w:color w:val="auto"/>
                <w:sz w:val="22"/>
                <w:szCs w:val="22"/>
                <w:highlight w:val="none"/>
                <w:lang w:val="en-US" w:eastAsia="zh-CN"/>
              </w:rPr>
            </w:pPr>
            <w:r>
              <w:rPr>
                <w:rFonts w:hint="eastAsia" w:eastAsia="宋体" w:cs="宋体"/>
                <w:b w:val="0"/>
                <w:bCs w:val="0"/>
                <w:color w:val="auto"/>
                <w:sz w:val="22"/>
                <w:szCs w:val="22"/>
                <w:highlight w:val="none"/>
                <w:lang w:val="en-US" w:eastAsia="zh-CN"/>
              </w:rPr>
              <w:t>2.人员分层分类培训体系的建立；</w:t>
            </w:r>
          </w:p>
          <w:p w14:paraId="509A8BA3">
            <w:pPr>
              <w:pStyle w:val="216"/>
              <w:keepNext w:val="0"/>
              <w:keepLines w:val="0"/>
              <w:pageBreakBefore w:val="0"/>
              <w:widowControl w:val="0"/>
              <w:tabs>
                <w:tab w:val="left" w:pos="295"/>
              </w:tabs>
              <w:kinsoku/>
              <w:wordWrap/>
              <w:overflowPunct/>
              <w:topLinePunct w:val="0"/>
              <w:autoSpaceDE/>
              <w:autoSpaceDN/>
              <w:bidi w:val="0"/>
              <w:adjustRightInd/>
              <w:snapToGrid/>
              <w:spacing w:line="240" w:lineRule="auto"/>
              <w:ind w:firstLine="440" w:firstLineChars="200"/>
              <w:jc w:val="left"/>
              <w:textAlignment w:val="auto"/>
              <w:rPr>
                <w:rFonts w:hint="eastAsia" w:eastAsia="宋体" w:cs="宋体"/>
                <w:b w:val="0"/>
                <w:bCs w:val="0"/>
                <w:color w:val="auto"/>
                <w:sz w:val="22"/>
                <w:szCs w:val="22"/>
                <w:highlight w:val="none"/>
                <w:lang w:val="en-US" w:eastAsia="zh-CN"/>
              </w:rPr>
            </w:pPr>
            <w:r>
              <w:rPr>
                <w:rFonts w:hint="eastAsia" w:eastAsia="宋体" w:cs="宋体"/>
                <w:b w:val="0"/>
                <w:bCs w:val="0"/>
                <w:color w:val="auto"/>
                <w:sz w:val="22"/>
                <w:szCs w:val="22"/>
                <w:highlight w:val="none"/>
                <w:lang w:val="en-US" w:eastAsia="zh-CN"/>
              </w:rPr>
              <w:t>3.人员日常管理与行为规范；</w:t>
            </w:r>
          </w:p>
          <w:p w14:paraId="68B245AB">
            <w:pPr>
              <w:pStyle w:val="216"/>
              <w:keepNext w:val="0"/>
              <w:keepLines w:val="0"/>
              <w:pageBreakBefore w:val="0"/>
              <w:widowControl w:val="0"/>
              <w:tabs>
                <w:tab w:val="left" w:pos="295"/>
              </w:tabs>
              <w:kinsoku/>
              <w:wordWrap/>
              <w:overflowPunct/>
              <w:topLinePunct w:val="0"/>
              <w:autoSpaceDE/>
              <w:autoSpaceDN/>
              <w:bidi w:val="0"/>
              <w:adjustRightInd/>
              <w:snapToGrid/>
              <w:spacing w:line="240" w:lineRule="auto"/>
              <w:ind w:firstLine="440" w:firstLineChars="200"/>
              <w:jc w:val="left"/>
              <w:textAlignment w:val="auto"/>
              <w:rPr>
                <w:rFonts w:hint="eastAsia" w:eastAsia="宋体" w:cs="宋体"/>
                <w:b w:val="0"/>
                <w:bCs w:val="0"/>
                <w:color w:val="auto"/>
                <w:sz w:val="22"/>
                <w:szCs w:val="22"/>
                <w:highlight w:val="none"/>
                <w:lang w:val="en-US" w:eastAsia="zh-CN"/>
              </w:rPr>
            </w:pPr>
            <w:r>
              <w:rPr>
                <w:rFonts w:hint="eastAsia" w:eastAsia="宋体" w:cs="宋体"/>
                <w:b w:val="0"/>
                <w:bCs w:val="0"/>
                <w:color w:val="auto"/>
                <w:sz w:val="22"/>
                <w:szCs w:val="22"/>
                <w:highlight w:val="none"/>
                <w:lang w:val="en-US" w:eastAsia="zh-CN"/>
              </w:rPr>
              <w:t>4.考核激励与队伍建设等内容；</w:t>
            </w:r>
          </w:p>
          <w:p w14:paraId="61652ED3">
            <w:pPr>
              <w:pStyle w:val="216"/>
              <w:keepNext w:val="0"/>
              <w:keepLines w:val="0"/>
              <w:pageBreakBefore w:val="0"/>
              <w:widowControl w:val="0"/>
              <w:tabs>
                <w:tab w:val="left" w:pos="295"/>
              </w:tabs>
              <w:kinsoku/>
              <w:wordWrap/>
              <w:overflowPunct/>
              <w:topLinePunct w:val="0"/>
              <w:autoSpaceDE/>
              <w:autoSpaceDN/>
              <w:bidi w:val="0"/>
              <w:adjustRightInd/>
              <w:snapToGrid/>
              <w:spacing w:line="240" w:lineRule="auto"/>
              <w:ind w:firstLine="440" w:firstLineChars="200"/>
              <w:jc w:val="left"/>
              <w:textAlignment w:val="auto"/>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color w:val="auto"/>
                <w:sz w:val="22"/>
                <w:szCs w:val="22"/>
                <w:highlight w:val="none"/>
              </w:rPr>
              <w:t>要求方案细致完整、针对性强、措施有力，方案的贯彻应能满足本项目各项服务要求。</w:t>
            </w:r>
          </w:p>
          <w:p w14:paraId="153EA8D1">
            <w:pPr>
              <w:numPr>
                <w:ilvl w:val="0"/>
                <w:numId w:val="0"/>
              </w:numPr>
              <w:autoSpaceDE w:val="0"/>
              <w:autoSpaceDN w:val="0"/>
              <w:adjustRightInd w:val="0"/>
              <w:spacing w:line="300" w:lineRule="exact"/>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针对采购需求，供应商的方案中的内容齐全，符合实际切实可行且无缺陷的得4分（缺陷是指：部分内容与项目无关、逻辑错误、科学原理错误、表述错误、不符合本项目涉及的相关规范或标准要求的任意一种情形），每缺少一项内容扣1分，扣完为止；单项内容每存在一处缺陷扣0.5分，单项内容分（1分）扣完为止。</w:t>
            </w:r>
          </w:p>
          <w:p w14:paraId="0EAAD3B4">
            <w:pPr>
              <w:ind w:firstLine="442" w:firstLineChars="200"/>
              <w:rPr>
                <w:rFonts w:ascii="仿宋" w:hAnsi="仿宋" w:eastAsia="仿宋" w:cs="仿宋"/>
                <w:b/>
                <w:bCs/>
                <w:color w:val="FF0000"/>
                <w:sz w:val="24"/>
              </w:rPr>
            </w:pPr>
            <w:r>
              <w:rPr>
                <w:rFonts w:hint="eastAsia" w:ascii="宋体" w:hAnsi="宋体" w:eastAsia="宋体" w:cs="宋体"/>
                <w:b/>
                <w:bCs/>
                <w:color w:val="FF0000"/>
                <w:sz w:val="22"/>
                <w:szCs w:val="22"/>
                <w:highlight w:val="none"/>
                <w:lang w:val="en-US" w:eastAsia="zh-CN"/>
              </w:rPr>
              <w:t>未按要求提供的或</w:t>
            </w:r>
            <w:r>
              <w:rPr>
                <w:rFonts w:hint="eastAsia" w:ascii="宋体" w:hAnsi="宋体" w:eastAsia="宋体" w:cs="宋体"/>
                <w:b/>
                <w:bCs/>
                <w:color w:val="FF0000"/>
                <w:sz w:val="22"/>
                <w:szCs w:val="22"/>
                <w:highlight w:val="none"/>
                <w:lang w:val="zh-CN" w:eastAsia="zh-CN"/>
              </w:rPr>
              <w:t>未提供的不得分。</w:t>
            </w:r>
          </w:p>
        </w:tc>
        <w:tc>
          <w:tcPr>
            <w:tcW w:w="711" w:type="dxa"/>
            <w:vAlign w:val="center"/>
          </w:tcPr>
          <w:p w14:paraId="44F68A41">
            <w:pPr>
              <w:jc w:val="center"/>
              <w:rPr>
                <w:rFonts w:ascii="仿宋" w:hAnsi="仿宋" w:eastAsia="仿宋" w:cs="仿宋"/>
                <w:sz w:val="24"/>
              </w:rPr>
            </w:pPr>
            <w:r>
              <w:rPr>
                <w:rFonts w:hint="eastAsia" w:ascii="仿宋" w:hAnsi="仿宋" w:eastAsia="仿宋" w:cs="仿宋"/>
                <w:sz w:val="24"/>
                <w:lang w:val="en-US" w:eastAsia="zh-CN"/>
              </w:rPr>
              <w:t>4</w:t>
            </w:r>
            <w:r>
              <w:rPr>
                <w:rFonts w:hint="eastAsia" w:ascii="仿宋" w:hAnsi="仿宋" w:eastAsia="仿宋" w:cs="仿宋"/>
                <w:sz w:val="24"/>
              </w:rPr>
              <w:t>分</w:t>
            </w:r>
          </w:p>
        </w:tc>
      </w:tr>
      <w:tr w14:paraId="0435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10" w:type="dxa"/>
            <w:vAlign w:val="center"/>
          </w:tcPr>
          <w:p w14:paraId="747DBA28">
            <w:pPr>
              <w:jc w:val="center"/>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rPr>
              <w:t>.5</w:t>
            </w:r>
          </w:p>
        </w:tc>
        <w:tc>
          <w:tcPr>
            <w:tcW w:w="882" w:type="dxa"/>
            <w:vAlign w:val="center"/>
          </w:tcPr>
          <w:p w14:paraId="5436BB20">
            <w:pPr>
              <w:jc w:val="center"/>
              <w:rPr>
                <w:rFonts w:hint="eastAsia" w:ascii="宋体" w:hAnsi="宋体" w:eastAsia="宋体" w:cs="宋体"/>
                <w:sz w:val="21"/>
                <w:szCs w:val="21"/>
              </w:rPr>
            </w:pPr>
            <w:r>
              <w:rPr>
                <w:rFonts w:hint="eastAsia" w:ascii="宋体" w:hAnsi="宋体" w:eastAsia="宋体" w:cs="宋体"/>
                <w:sz w:val="21"/>
                <w:szCs w:val="21"/>
              </w:rPr>
              <w:t>基础服务标准化方案</w:t>
            </w:r>
          </w:p>
        </w:tc>
        <w:tc>
          <w:tcPr>
            <w:tcW w:w="6690" w:type="dxa"/>
            <w:vAlign w:val="center"/>
          </w:tcPr>
          <w:p w14:paraId="665BD83B">
            <w:pPr>
              <w:widowControl/>
              <w:ind w:firstLine="420" w:firstLineChars="200"/>
              <w:jc w:val="left"/>
              <w:textAlignment w:val="center"/>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投标人应根据采购需求和本项目的特点制定基础服务标准化服务方案：</w:t>
            </w:r>
            <w:r>
              <w:rPr>
                <w:rFonts w:hint="eastAsia" w:ascii="宋体" w:hAnsi="宋体" w:eastAsia="宋体" w:cs="宋体"/>
                <w:b w:val="0"/>
                <w:bCs w:val="0"/>
                <w:color w:val="auto"/>
                <w:sz w:val="22"/>
                <w:szCs w:val="22"/>
                <w:highlight w:val="none"/>
                <w:lang w:val="en-US" w:eastAsia="zh-CN"/>
              </w:rPr>
              <w:t>包括但不限于：</w:t>
            </w:r>
          </w:p>
          <w:p w14:paraId="7BC75649">
            <w:pPr>
              <w:widowControl/>
              <w:numPr>
                <w:ilvl w:val="0"/>
                <w:numId w:val="0"/>
              </w:numPr>
              <w:ind w:firstLine="420" w:firstLineChars="200"/>
              <w:jc w:val="left"/>
              <w:textAlignment w:val="center"/>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1.岗位作业标准化方案；</w:t>
            </w:r>
          </w:p>
          <w:p w14:paraId="2D9BF6CA">
            <w:pPr>
              <w:widowControl/>
              <w:numPr>
                <w:ilvl w:val="0"/>
                <w:numId w:val="0"/>
              </w:numPr>
              <w:ind w:firstLine="420" w:firstLineChars="200"/>
              <w:jc w:val="left"/>
              <w:textAlignment w:val="center"/>
              <w:rPr>
                <w:rFonts w:hint="eastAsia" w:ascii="仿宋" w:hAnsi="仿宋" w:eastAsia="仿宋" w:cs="仿宋"/>
                <w:b/>
                <w:bCs/>
                <w:color w:val="FF0000"/>
                <w:sz w:val="24"/>
                <w:lang w:val="en-US" w:eastAsia="zh-CN"/>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2.日常管理标准化方案；</w:t>
            </w:r>
          </w:p>
          <w:p w14:paraId="4AC35A4C">
            <w:pPr>
              <w:widowControl/>
              <w:numPr>
                <w:ilvl w:val="0"/>
                <w:numId w:val="0"/>
              </w:numPr>
              <w:ind w:firstLine="420" w:firstLineChars="200"/>
              <w:jc w:val="left"/>
              <w:textAlignment w:val="center"/>
              <w:rPr>
                <w:rFonts w:hint="eastAsia" w:ascii="仿宋" w:hAnsi="仿宋" w:eastAsia="仿宋" w:cs="仿宋"/>
                <w:b/>
                <w:bCs/>
                <w:color w:val="FF0000"/>
                <w:sz w:val="24"/>
                <w:lang w:val="en-US" w:eastAsia="zh-CN"/>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3.应急处置标准化方案；</w:t>
            </w:r>
          </w:p>
          <w:p w14:paraId="03BED50C">
            <w:pPr>
              <w:widowControl/>
              <w:numPr>
                <w:ilvl w:val="0"/>
                <w:numId w:val="0"/>
              </w:numPr>
              <w:ind w:firstLine="420" w:firstLineChars="200"/>
              <w:jc w:val="left"/>
              <w:textAlignment w:val="center"/>
              <w:rPr>
                <w:rFonts w:hint="eastAsia" w:ascii="仿宋" w:hAnsi="仿宋" w:eastAsia="仿宋" w:cs="仿宋"/>
                <w:b/>
                <w:bCs/>
                <w:color w:val="FF0000"/>
                <w:sz w:val="24"/>
                <w:lang w:val="en-US" w:eastAsia="zh-CN"/>
              </w:rPr>
            </w:pPr>
            <w:r>
              <w:rPr>
                <w:rFonts w:hint="eastAsia" w:ascii="宋体" w:hAnsi="宋体" w:eastAsia="宋体" w:cs="宋体"/>
                <w:b w:val="0"/>
                <w:bCs w:val="0"/>
                <w:color w:val="000000" w:themeColor="text1"/>
                <w:sz w:val="21"/>
                <w:szCs w:val="21"/>
                <w:lang w:val="en-US" w:eastAsia="zh-CN"/>
                <w14:textFill>
                  <w14:solidFill>
                    <w14:schemeClr w14:val="tx1"/>
                  </w14:solidFill>
                </w14:textFill>
              </w:rPr>
              <w:t>4.服务质量标准化方案等内容；</w:t>
            </w:r>
          </w:p>
          <w:p w14:paraId="0BB57D5B">
            <w:pPr>
              <w:widowControl/>
              <w:numPr>
                <w:ilvl w:val="0"/>
                <w:numId w:val="0"/>
              </w:numPr>
              <w:ind w:firstLine="420" w:firstLineChars="200"/>
              <w:jc w:val="left"/>
              <w:textAlignment w:val="center"/>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要求方案细致完整、针对性强、措施有力，方案的贯彻应能满足本项目各项服务要求。</w:t>
            </w:r>
          </w:p>
          <w:p w14:paraId="1EDCF0BA">
            <w:pPr>
              <w:numPr>
                <w:ilvl w:val="0"/>
                <w:numId w:val="0"/>
              </w:numPr>
              <w:autoSpaceDE w:val="0"/>
              <w:autoSpaceDN w:val="0"/>
              <w:adjustRightInd w:val="0"/>
              <w:spacing w:line="300" w:lineRule="exact"/>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针对采购需求，供应商的方案中的内容齐全，符合实际切实可行且无缺陷的得4分（缺陷是指：部分内容与项目无关、逻辑错误、科学原理错误、表述错误、不符合本项目涉及的相关规范或标准要求的任意一种情形），每缺少一项内容扣1分，扣完为止；单项内容每存在一处缺陷扣0.5分，单项内容分（1分）扣完为止。</w:t>
            </w:r>
          </w:p>
          <w:p w14:paraId="1DE9998A">
            <w:pPr>
              <w:widowControl/>
              <w:numPr>
                <w:ilvl w:val="0"/>
                <w:numId w:val="0"/>
              </w:numPr>
              <w:ind w:firstLine="442" w:firstLineChars="200"/>
              <w:jc w:val="left"/>
              <w:textAlignment w:val="center"/>
              <w:rPr>
                <w:rFonts w:ascii="仿宋" w:hAnsi="仿宋" w:eastAsia="仿宋" w:cs="仿宋"/>
                <w:b/>
                <w:bCs/>
                <w:color w:val="FF0000"/>
                <w:sz w:val="24"/>
              </w:rPr>
            </w:pPr>
            <w:r>
              <w:rPr>
                <w:rFonts w:hint="eastAsia" w:ascii="宋体" w:hAnsi="宋体" w:eastAsia="宋体" w:cs="宋体"/>
                <w:b/>
                <w:bCs/>
                <w:color w:val="FF0000"/>
                <w:sz w:val="22"/>
                <w:szCs w:val="22"/>
                <w:highlight w:val="none"/>
                <w:lang w:val="en-US" w:eastAsia="zh-CN"/>
              </w:rPr>
              <w:t>未按要求提供的或</w:t>
            </w:r>
            <w:r>
              <w:rPr>
                <w:rFonts w:hint="eastAsia" w:ascii="宋体" w:hAnsi="宋体" w:eastAsia="宋体" w:cs="宋体"/>
                <w:b/>
                <w:bCs/>
                <w:color w:val="FF0000"/>
                <w:sz w:val="22"/>
                <w:szCs w:val="22"/>
                <w:highlight w:val="none"/>
                <w:lang w:val="zh-CN" w:eastAsia="zh-CN"/>
              </w:rPr>
              <w:t>未提供的不得分。</w:t>
            </w:r>
          </w:p>
        </w:tc>
        <w:tc>
          <w:tcPr>
            <w:tcW w:w="711" w:type="dxa"/>
            <w:vAlign w:val="center"/>
          </w:tcPr>
          <w:p w14:paraId="481ABD02">
            <w:pPr>
              <w:jc w:val="center"/>
              <w:rPr>
                <w:rFonts w:ascii="仿宋" w:hAnsi="仿宋" w:eastAsia="仿宋" w:cs="仿宋"/>
                <w:sz w:val="24"/>
              </w:rPr>
            </w:pPr>
            <w:r>
              <w:rPr>
                <w:rFonts w:hint="eastAsia" w:ascii="仿宋" w:hAnsi="仿宋" w:eastAsia="仿宋" w:cs="仿宋"/>
                <w:sz w:val="24"/>
                <w:lang w:val="en-US" w:eastAsia="zh-CN"/>
              </w:rPr>
              <w:t>4</w:t>
            </w:r>
            <w:r>
              <w:rPr>
                <w:rFonts w:hint="eastAsia" w:ascii="仿宋" w:hAnsi="仿宋" w:eastAsia="仿宋" w:cs="仿宋"/>
                <w:sz w:val="24"/>
              </w:rPr>
              <w:t>分</w:t>
            </w:r>
          </w:p>
        </w:tc>
      </w:tr>
      <w:tr w14:paraId="449E4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10" w:type="dxa"/>
            <w:vAlign w:val="center"/>
          </w:tcPr>
          <w:p w14:paraId="77E087E9">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3.6</w:t>
            </w:r>
          </w:p>
        </w:tc>
        <w:tc>
          <w:tcPr>
            <w:tcW w:w="882" w:type="dxa"/>
            <w:vAlign w:val="center"/>
          </w:tcPr>
          <w:p w14:paraId="274A7D96">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应急</w:t>
            </w:r>
          </w:p>
          <w:p w14:paraId="71F82C3C">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处置</w:t>
            </w:r>
          </w:p>
          <w:p w14:paraId="722F9C66">
            <w:pPr>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方案</w:t>
            </w:r>
          </w:p>
        </w:tc>
        <w:tc>
          <w:tcPr>
            <w:tcW w:w="6690" w:type="dxa"/>
            <w:vAlign w:val="center"/>
          </w:tcPr>
          <w:p w14:paraId="6DAA085D">
            <w:pPr>
              <w:widowControl/>
              <w:ind w:firstLine="440" w:firstLineChars="200"/>
              <w:jc w:val="left"/>
              <w:textAlignment w:val="center"/>
              <w:rPr>
                <w:rFonts w:hint="eastAsia" w:ascii="宋体" w:hAnsi="宋体" w:eastAsia="宋体" w:cs="宋体"/>
                <w:b w:val="0"/>
                <w:bCs w:val="0"/>
                <w:color w:val="000000" w:themeColor="text1"/>
                <w:sz w:val="21"/>
                <w:szCs w:val="21"/>
                <w:lang w:val="en-US" w:eastAsia="zh-CN"/>
                <w14:textFill>
                  <w14:solidFill>
                    <w14:schemeClr w14:val="tx1"/>
                  </w14:solidFill>
                </w14:textFill>
              </w:rPr>
            </w:pPr>
            <w:r>
              <w:rPr>
                <w:rFonts w:hint="eastAsia" w:ascii="宋体" w:hAnsi="宋体" w:eastAsia="宋体" w:cs="宋体"/>
                <w:b w:val="0"/>
                <w:bCs w:val="0"/>
                <w:color w:val="auto"/>
                <w:sz w:val="22"/>
                <w:szCs w:val="22"/>
                <w:highlight w:val="none"/>
                <w:lang w:val="en-US" w:eastAsia="zh-CN"/>
              </w:rPr>
              <w:t>投标人应根据采购需求和本项目的特点制定应急处置措施：包括但不限于：</w:t>
            </w:r>
          </w:p>
          <w:p w14:paraId="6073420C">
            <w:pPr>
              <w:widowControl/>
              <w:numPr>
                <w:ilvl w:val="0"/>
                <w:numId w:val="0"/>
              </w:numPr>
              <w:ind w:firstLine="440" w:firstLineChars="200"/>
              <w:jc w:val="left"/>
              <w:textAlignment w:val="center"/>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1.对管理区域内突发事件的应急预案及相应措施；</w:t>
            </w:r>
          </w:p>
          <w:p w14:paraId="147B92AB">
            <w:pPr>
              <w:widowControl/>
              <w:numPr>
                <w:ilvl w:val="0"/>
                <w:numId w:val="0"/>
              </w:numPr>
              <w:ind w:firstLine="440" w:firstLineChars="200"/>
              <w:jc w:val="left"/>
              <w:textAlignment w:val="center"/>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2.急诊急救应急措施；</w:t>
            </w:r>
          </w:p>
          <w:p w14:paraId="3541A190">
            <w:pPr>
              <w:widowControl/>
              <w:numPr>
                <w:ilvl w:val="0"/>
                <w:numId w:val="0"/>
              </w:numPr>
              <w:ind w:firstLine="440" w:firstLineChars="200"/>
              <w:jc w:val="left"/>
              <w:textAlignment w:val="center"/>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3.火灾及消防隐患应急措施；</w:t>
            </w:r>
          </w:p>
          <w:p w14:paraId="73C11FC8">
            <w:pPr>
              <w:widowControl/>
              <w:numPr>
                <w:ilvl w:val="0"/>
                <w:numId w:val="0"/>
              </w:numPr>
              <w:ind w:firstLine="440" w:firstLineChars="200"/>
              <w:jc w:val="left"/>
              <w:textAlignment w:val="center"/>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4.突发公共卫生应急措施等内容，</w:t>
            </w:r>
          </w:p>
          <w:p w14:paraId="0FA00D3A">
            <w:pPr>
              <w:widowControl/>
              <w:numPr>
                <w:ilvl w:val="0"/>
                <w:numId w:val="0"/>
              </w:numPr>
              <w:ind w:firstLine="440" w:firstLineChars="200"/>
              <w:jc w:val="left"/>
              <w:textAlignment w:val="center"/>
              <w:rPr>
                <w:rFonts w:hint="eastAsia" w:ascii="宋体" w:hAnsi="宋体" w:eastAsia="宋体" w:cs="宋体"/>
                <w:b w:val="0"/>
                <w:bCs w:val="0"/>
                <w:color w:val="auto"/>
                <w:kern w:val="0"/>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方案需能够满足本项目突发情况应急处理的服务要求</w:t>
            </w:r>
            <w:r>
              <w:rPr>
                <w:rFonts w:hint="eastAsia" w:ascii="宋体" w:hAnsi="宋体" w:eastAsia="宋体" w:cs="宋体"/>
                <w:b w:val="0"/>
                <w:bCs w:val="0"/>
                <w:color w:val="auto"/>
                <w:kern w:val="0"/>
                <w:sz w:val="22"/>
                <w:szCs w:val="22"/>
                <w:highlight w:val="none"/>
                <w:lang w:val="en-US" w:eastAsia="zh-CN"/>
              </w:rPr>
              <w:t>。</w:t>
            </w:r>
          </w:p>
          <w:p w14:paraId="2D2363BA">
            <w:pPr>
              <w:numPr>
                <w:ilvl w:val="0"/>
                <w:numId w:val="0"/>
              </w:numPr>
              <w:autoSpaceDE w:val="0"/>
              <w:autoSpaceDN w:val="0"/>
              <w:adjustRightInd w:val="0"/>
              <w:spacing w:line="300" w:lineRule="exact"/>
              <w:ind w:firstLine="440" w:firstLineChars="200"/>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针对采购需求，供应商的方案中的内容齐全，符合实际切实可行且无缺陷的得6分（缺陷是指：部分内容与项目无关、逻辑错误、科学原理错误、表述错误、不符合本项目涉及的相关规范或标准要求的任意一种情形），每缺少一项内容扣1.5分，扣完为止；单项内容每存在一处缺陷扣0.5分，单项内容分（1.5分）扣完为止。</w:t>
            </w:r>
          </w:p>
          <w:p w14:paraId="1BD0CFBF">
            <w:pPr>
              <w:widowControl/>
              <w:numPr>
                <w:ilvl w:val="0"/>
                <w:numId w:val="0"/>
              </w:numPr>
              <w:ind w:firstLine="442" w:firstLineChars="200"/>
              <w:jc w:val="left"/>
              <w:textAlignment w:val="center"/>
              <w:rPr>
                <w:rFonts w:hint="eastAsia" w:ascii="宋体" w:hAnsi="宋体" w:eastAsia="宋体" w:cs="宋体"/>
                <w:b w:val="0"/>
                <w:bCs w:val="0"/>
                <w:color w:val="auto"/>
                <w:kern w:val="0"/>
                <w:sz w:val="22"/>
                <w:szCs w:val="22"/>
                <w:highlight w:val="none"/>
                <w:lang w:val="en-US" w:eastAsia="zh-CN"/>
              </w:rPr>
            </w:pPr>
            <w:r>
              <w:rPr>
                <w:rFonts w:hint="eastAsia" w:ascii="宋体" w:hAnsi="宋体" w:eastAsia="宋体" w:cs="宋体"/>
                <w:b/>
                <w:bCs/>
                <w:color w:val="FF0000"/>
                <w:sz w:val="22"/>
                <w:szCs w:val="22"/>
                <w:highlight w:val="none"/>
                <w:lang w:val="en-US" w:eastAsia="zh-CN"/>
              </w:rPr>
              <w:t>未按要求提供的或</w:t>
            </w:r>
            <w:r>
              <w:rPr>
                <w:rFonts w:hint="eastAsia" w:ascii="宋体" w:hAnsi="宋体" w:eastAsia="宋体" w:cs="宋体"/>
                <w:b/>
                <w:bCs/>
                <w:color w:val="FF0000"/>
                <w:sz w:val="22"/>
                <w:szCs w:val="22"/>
                <w:highlight w:val="none"/>
                <w:lang w:val="zh-CN" w:eastAsia="zh-CN"/>
              </w:rPr>
              <w:t>未提供的不得分。</w:t>
            </w:r>
          </w:p>
        </w:tc>
        <w:tc>
          <w:tcPr>
            <w:tcW w:w="711" w:type="dxa"/>
            <w:vAlign w:val="center"/>
          </w:tcPr>
          <w:p w14:paraId="447E830B">
            <w:pPr>
              <w:jc w:val="center"/>
              <w:rPr>
                <w:rFonts w:hint="default" w:ascii="仿宋" w:hAnsi="仿宋" w:eastAsia="仿宋" w:cs="仿宋"/>
                <w:sz w:val="24"/>
                <w:lang w:val="en-US" w:eastAsia="zh-CN"/>
              </w:rPr>
            </w:pPr>
            <w:r>
              <w:rPr>
                <w:rFonts w:hint="eastAsia" w:ascii="仿宋" w:hAnsi="仿宋" w:eastAsia="仿宋" w:cs="仿宋"/>
                <w:sz w:val="24"/>
                <w:lang w:val="en-US" w:eastAsia="zh-CN"/>
              </w:rPr>
              <w:t>6分</w:t>
            </w:r>
          </w:p>
        </w:tc>
      </w:tr>
      <w:tr w14:paraId="06696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893" w:type="dxa"/>
            <w:gridSpan w:val="4"/>
            <w:vAlign w:val="center"/>
          </w:tcPr>
          <w:p w14:paraId="593930E8">
            <w:pPr>
              <w:jc w:val="center"/>
              <w:rPr>
                <w:rFonts w:hint="eastAsia" w:ascii="仿宋" w:hAnsi="仿宋" w:eastAsia="仿宋" w:cs="仿宋"/>
                <w:sz w:val="24"/>
              </w:rPr>
            </w:pPr>
            <w:r>
              <w:rPr>
                <w:rFonts w:hint="eastAsia" w:ascii="宋体" w:hAnsi="宋体" w:eastAsia="宋体" w:cs="宋体"/>
                <w:b/>
                <w:bCs/>
                <w:sz w:val="21"/>
                <w:szCs w:val="21"/>
                <w:lang w:val="en-US" w:eastAsia="zh-CN"/>
              </w:rPr>
              <w:t>四、项目交接承诺（2分）</w:t>
            </w:r>
          </w:p>
        </w:tc>
      </w:tr>
      <w:tr w14:paraId="5685D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610" w:type="dxa"/>
            <w:vAlign w:val="center"/>
          </w:tcPr>
          <w:p w14:paraId="4E4D3A9B">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4.1</w:t>
            </w:r>
          </w:p>
        </w:tc>
        <w:tc>
          <w:tcPr>
            <w:tcW w:w="882" w:type="dxa"/>
            <w:vAlign w:val="center"/>
          </w:tcPr>
          <w:p w14:paraId="755D0657">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交接</w:t>
            </w:r>
          </w:p>
          <w:p w14:paraId="204364B6">
            <w:pPr>
              <w:jc w:val="center"/>
              <w:rPr>
                <w:rFonts w:hint="eastAsia" w:ascii="宋体" w:hAnsi="宋体" w:eastAsia="宋体" w:cs="宋体"/>
                <w:sz w:val="21"/>
                <w:szCs w:val="21"/>
                <w:lang w:val="en-US"/>
              </w:rPr>
            </w:pPr>
            <w:r>
              <w:rPr>
                <w:rFonts w:hint="eastAsia" w:ascii="宋体" w:hAnsi="宋体" w:eastAsia="宋体" w:cs="宋体"/>
                <w:sz w:val="21"/>
                <w:szCs w:val="21"/>
                <w:lang w:val="en-US" w:eastAsia="zh-CN"/>
              </w:rPr>
              <w:t>承诺</w:t>
            </w:r>
          </w:p>
        </w:tc>
        <w:tc>
          <w:tcPr>
            <w:tcW w:w="6690" w:type="dxa"/>
            <w:vAlign w:val="center"/>
          </w:tcPr>
          <w:p w14:paraId="5376EF23">
            <w:pPr>
              <w:pStyle w:val="37"/>
              <w:ind w:left="0" w:leftChars="0" w:firstLine="420" w:firstLineChars="200"/>
              <w:rPr>
                <w:rFonts w:hint="eastAsia" w:ascii="宋体" w:hAnsi="宋体" w:eastAsia="宋体" w:cs="宋体"/>
                <w:sz w:val="21"/>
                <w:szCs w:val="21"/>
                <w:lang w:val="en-US" w:eastAsia="zh-CN"/>
              </w:rPr>
            </w:pPr>
            <w:r>
              <w:rPr>
                <w:rFonts w:hint="eastAsia" w:ascii="宋体" w:hAnsi="宋体" w:eastAsia="宋体" w:cs="宋体"/>
                <w:color w:val="auto"/>
                <w:kern w:val="0"/>
                <w:sz w:val="21"/>
                <w:szCs w:val="21"/>
                <w:highlight w:val="none"/>
              </w:rPr>
              <w:t>交接承诺优于项目要求的得</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分；交接承诺符合项目要求的得</w:t>
            </w: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分；不符合项目要求或未提供的得0分。</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交接承诺格式自拟）</w:t>
            </w:r>
          </w:p>
        </w:tc>
        <w:tc>
          <w:tcPr>
            <w:tcW w:w="711" w:type="dxa"/>
            <w:vAlign w:val="center"/>
          </w:tcPr>
          <w:p w14:paraId="3F8DC293">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2分</w:t>
            </w:r>
          </w:p>
        </w:tc>
      </w:tr>
    </w:tbl>
    <w:p w14:paraId="3CB26D01">
      <w:pPr>
        <w:numPr>
          <w:ilvl w:val="0"/>
          <w:numId w:val="0"/>
        </w:num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color w:val="auto"/>
          <w:sz w:val="24"/>
          <w:highlight w:val="none"/>
          <w:lang w:val="en-US" w:eastAsia="zh-CN"/>
        </w:rPr>
      </w:pPr>
    </w:p>
    <w:p w14:paraId="4057B111">
      <w:pPr>
        <w:pStyle w:val="34"/>
        <w:spacing w:beforeAutospacing="0" w:afterAutospacing="0" w:line="480" w:lineRule="exact"/>
        <w:jc w:val="both"/>
        <w:rPr>
          <w:rFonts w:hint="eastAsia" w:ascii="宋体" w:hAnsi="宋体" w:eastAsia="宋体" w:cs="宋体"/>
          <w:color w:val="auto"/>
          <w:sz w:val="24"/>
          <w:highlight w:val="none"/>
        </w:rPr>
      </w:pPr>
    </w:p>
    <w:p w14:paraId="4208877B">
      <w:pPr>
        <w:rPr>
          <w:rFonts w:hint="eastAsia" w:ascii="黑体" w:hAnsi="宋体" w:eastAsia="黑体" w:cs="黑体"/>
          <w:color w:val="auto"/>
          <w:sz w:val="44"/>
          <w:szCs w:val="44"/>
          <w:highlight w:val="none"/>
        </w:rPr>
      </w:pPr>
      <w:bookmarkStart w:id="189" w:name="_Toc12691"/>
      <w:r>
        <w:rPr>
          <w:rFonts w:hint="eastAsia" w:ascii="黑体" w:hAnsi="宋体" w:eastAsia="黑体" w:cs="黑体"/>
          <w:color w:val="auto"/>
          <w:sz w:val="44"/>
          <w:szCs w:val="44"/>
          <w:highlight w:val="none"/>
        </w:rPr>
        <w:br w:type="page"/>
      </w:r>
    </w:p>
    <w:p w14:paraId="559FD6E3">
      <w:pPr>
        <w:pStyle w:val="34"/>
        <w:keepNext/>
        <w:spacing w:beforeAutospacing="0" w:afterAutospacing="0"/>
        <w:jc w:val="center"/>
        <w:outlineLvl w:val="0"/>
        <w:rPr>
          <w:rFonts w:hint="eastAsia" w:ascii="黑体" w:hAnsi="宋体" w:eastAsia="黑体" w:cs="黑体"/>
          <w:color w:val="auto"/>
          <w:sz w:val="44"/>
          <w:szCs w:val="44"/>
          <w:highlight w:val="none"/>
        </w:rPr>
      </w:pPr>
    </w:p>
    <w:p w14:paraId="27B190F3">
      <w:pPr>
        <w:pStyle w:val="34"/>
        <w:keepNext/>
        <w:spacing w:beforeAutospacing="0" w:afterAutospacing="0"/>
        <w:jc w:val="center"/>
        <w:outlineLvl w:val="0"/>
        <w:rPr>
          <w:rFonts w:hint="eastAsia" w:ascii="黑体" w:hAnsi="宋体" w:eastAsia="黑体" w:cs="黑体"/>
          <w:color w:val="auto"/>
          <w:sz w:val="44"/>
          <w:szCs w:val="44"/>
          <w:highlight w:val="none"/>
        </w:rPr>
      </w:pPr>
    </w:p>
    <w:p w14:paraId="5354BEA1">
      <w:pPr>
        <w:pStyle w:val="34"/>
        <w:keepNext/>
        <w:spacing w:beforeAutospacing="0" w:afterAutospacing="0"/>
        <w:jc w:val="center"/>
        <w:outlineLvl w:val="0"/>
        <w:rPr>
          <w:rFonts w:hint="eastAsia" w:ascii="黑体" w:hAnsi="宋体" w:eastAsia="黑体" w:cs="黑体"/>
          <w:color w:val="auto"/>
          <w:sz w:val="44"/>
          <w:szCs w:val="44"/>
          <w:highlight w:val="none"/>
        </w:rPr>
      </w:pPr>
    </w:p>
    <w:p w14:paraId="7D6055F3">
      <w:pPr>
        <w:pStyle w:val="34"/>
        <w:keepNext/>
        <w:spacing w:beforeAutospacing="0" w:afterAutospacing="0"/>
        <w:jc w:val="center"/>
        <w:outlineLvl w:val="0"/>
        <w:rPr>
          <w:color w:val="auto"/>
          <w:highlight w:val="none"/>
        </w:rPr>
      </w:pPr>
      <w:r>
        <w:rPr>
          <w:rFonts w:hint="eastAsia" w:ascii="黑体" w:hAnsi="宋体" w:eastAsia="黑体" w:cs="黑体"/>
          <w:color w:val="auto"/>
          <w:sz w:val="44"/>
          <w:szCs w:val="44"/>
          <w:highlight w:val="none"/>
        </w:rPr>
        <w:t>第六章  投标文件格式</w:t>
      </w:r>
      <w:bookmarkEnd w:id="189"/>
    </w:p>
    <w:p w14:paraId="56B9AA3F">
      <w:pPr>
        <w:pStyle w:val="34"/>
        <w:spacing w:beforeAutospacing="0" w:afterAutospacing="0"/>
        <w:jc w:val="center"/>
        <w:rPr>
          <w:rFonts w:ascii="宋体" w:hAnsi="宋体" w:eastAsia="宋体" w:cs="宋体"/>
          <w:b/>
          <w:color w:val="auto"/>
          <w:sz w:val="72"/>
          <w:szCs w:val="72"/>
          <w:highlight w:val="none"/>
        </w:rPr>
      </w:pPr>
      <w:bookmarkStart w:id="190" w:name="_Toc26554094"/>
      <w:bookmarkEnd w:id="190"/>
      <w:bookmarkStart w:id="191" w:name="_Hlt26955039"/>
      <w:bookmarkEnd w:id="191"/>
      <w:bookmarkStart w:id="192" w:name="_Hlt26671244"/>
      <w:bookmarkEnd w:id="192"/>
      <w:bookmarkStart w:id="193" w:name="_Toc49090576"/>
      <w:bookmarkStart w:id="194" w:name="_Toc120614282"/>
    </w:p>
    <w:p w14:paraId="3EBA98E3">
      <w:pPr>
        <w:pStyle w:val="34"/>
        <w:spacing w:beforeAutospacing="0" w:afterAutospacing="0"/>
        <w:jc w:val="center"/>
        <w:rPr>
          <w:color w:val="auto"/>
          <w:highlight w:val="none"/>
        </w:rPr>
      </w:pPr>
      <w:r>
        <w:rPr>
          <w:rFonts w:hint="eastAsia" w:ascii="宋体" w:hAnsi="宋体" w:eastAsia="宋体" w:cs="宋体"/>
          <w:b/>
          <w:color w:val="auto"/>
          <w:sz w:val="72"/>
          <w:szCs w:val="72"/>
          <w:highlight w:val="none"/>
        </w:rPr>
        <w:t>投  标  文  件</w:t>
      </w:r>
    </w:p>
    <w:p w14:paraId="23AA2F1A">
      <w:pPr>
        <w:pStyle w:val="34"/>
        <w:spacing w:beforeAutospacing="0" w:afterAutospacing="0"/>
        <w:jc w:val="center"/>
        <w:rPr>
          <w:color w:val="auto"/>
          <w:highlight w:val="none"/>
        </w:rPr>
      </w:pPr>
      <w:r>
        <w:rPr>
          <w:color w:val="auto"/>
          <w:highlight w:val="none"/>
        </w:rPr>
        <w:t> </w:t>
      </w:r>
    </w:p>
    <w:p w14:paraId="790CB37B">
      <w:pPr>
        <w:pStyle w:val="34"/>
        <w:spacing w:beforeAutospacing="0" w:afterAutospacing="0"/>
        <w:jc w:val="center"/>
        <w:rPr>
          <w:color w:val="auto"/>
          <w:highlight w:val="none"/>
        </w:rPr>
      </w:pPr>
      <w:r>
        <w:rPr>
          <w:color w:val="auto"/>
          <w:highlight w:val="none"/>
        </w:rPr>
        <w:t> </w:t>
      </w:r>
    </w:p>
    <w:p w14:paraId="19C225B9">
      <w:pPr>
        <w:pStyle w:val="34"/>
        <w:spacing w:beforeAutospacing="0" w:afterAutospacing="0"/>
        <w:jc w:val="center"/>
        <w:rPr>
          <w:color w:val="auto"/>
          <w:highlight w:val="none"/>
        </w:rPr>
      </w:pPr>
    </w:p>
    <w:p w14:paraId="71D35EDE">
      <w:pPr>
        <w:pStyle w:val="34"/>
        <w:spacing w:beforeAutospacing="0" w:afterAutospacing="0"/>
        <w:jc w:val="center"/>
        <w:rPr>
          <w:color w:val="auto"/>
          <w:highlight w:val="none"/>
        </w:rPr>
      </w:pPr>
    </w:p>
    <w:p w14:paraId="372D78EC">
      <w:pPr>
        <w:pStyle w:val="34"/>
        <w:spacing w:beforeAutospacing="0" w:afterAutospacing="0"/>
        <w:jc w:val="center"/>
        <w:rPr>
          <w:color w:val="auto"/>
          <w:highlight w:val="none"/>
        </w:rPr>
      </w:pPr>
    </w:p>
    <w:p w14:paraId="674613F7">
      <w:pPr>
        <w:pStyle w:val="34"/>
        <w:spacing w:beforeAutospacing="0" w:afterAutospacing="0"/>
        <w:jc w:val="center"/>
        <w:rPr>
          <w:color w:val="auto"/>
          <w:highlight w:val="none"/>
        </w:rPr>
      </w:pPr>
    </w:p>
    <w:p w14:paraId="44B1BEF6">
      <w:pPr>
        <w:pStyle w:val="34"/>
        <w:spacing w:beforeAutospacing="0" w:afterAutospacing="0"/>
        <w:jc w:val="center"/>
        <w:rPr>
          <w:color w:val="auto"/>
          <w:highlight w:val="none"/>
        </w:rPr>
      </w:pPr>
      <w:r>
        <w:rPr>
          <w:color w:val="auto"/>
          <w:highlight w:val="none"/>
        </w:rPr>
        <w:t> </w:t>
      </w:r>
    </w:p>
    <w:p w14:paraId="24EC5237">
      <w:pPr>
        <w:pStyle w:val="34"/>
        <w:spacing w:beforeAutospacing="0" w:afterAutospacing="0"/>
        <w:jc w:val="center"/>
        <w:rPr>
          <w:color w:val="auto"/>
          <w:highlight w:val="none"/>
        </w:rPr>
      </w:pPr>
      <w:r>
        <w:rPr>
          <w:color w:val="auto"/>
          <w:highlight w:val="none"/>
        </w:rPr>
        <w:t> </w:t>
      </w:r>
    </w:p>
    <w:p w14:paraId="733357AB">
      <w:pPr>
        <w:pStyle w:val="34"/>
        <w:spacing w:beforeAutospacing="0" w:afterAutospacing="0"/>
        <w:jc w:val="center"/>
        <w:rPr>
          <w:color w:val="auto"/>
          <w:highlight w:val="none"/>
        </w:rPr>
      </w:pPr>
      <w:r>
        <w:rPr>
          <w:color w:val="auto"/>
          <w:highlight w:val="none"/>
        </w:rPr>
        <w:t> </w:t>
      </w:r>
    </w:p>
    <w:p w14:paraId="7AE38AB7">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5376A9B8">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27A00032">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color w:val="auto"/>
          <w:highlight w:val="none"/>
        </w:rPr>
      </w:pPr>
      <w:r>
        <w:rPr>
          <w:rFonts w:hint="eastAsia" w:ascii="宋体" w:hAnsi="宋体" w:eastAsia="宋体" w:cs="宋体"/>
          <w:b/>
          <w:color w:val="auto"/>
          <w:sz w:val="36"/>
          <w:szCs w:val="36"/>
          <w:highlight w:val="none"/>
        </w:rPr>
        <w:t>投标人名称 ：</w:t>
      </w:r>
      <w:r>
        <w:rPr>
          <w:rFonts w:hint="eastAsia" w:ascii="宋体" w:hAnsi="宋体" w:eastAsia="宋体" w:cs="宋体"/>
          <w:b/>
          <w:color w:val="auto"/>
          <w:sz w:val="36"/>
          <w:szCs w:val="36"/>
          <w:highlight w:val="none"/>
          <w:u w:val="single"/>
        </w:rPr>
        <w:t xml:space="preserve">（加盖CA电子公章）        </w:t>
      </w:r>
    </w:p>
    <w:p w14:paraId="1C50FDAB">
      <w:pPr>
        <w:pStyle w:val="34"/>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color w:val="auto"/>
          <w:highlight w:val="none"/>
        </w:rPr>
      </w:pPr>
      <w:r>
        <w:rPr>
          <w:rFonts w:hint="eastAsia" w:ascii="宋体" w:hAnsi="宋体" w:eastAsia="宋体" w:cs="宋体"/>
          <w:b/>
          <w:color w:val="auto"/>
          <w:sz w:val="36"/>
          <w:szCs w:val="36"/>
          <w:highlight w:val="none"/>
        </w:rPr>
        <w:t>日   期 ：</w:t>
      </w:r>
      <w:r>
        <w:rPr>
          <w:rFonts w:hint="eastAsia" w:ascii="宋体" w:hAnsi="宋体" w:eastAsia="宋体" w:cs="宋体"/>
          <w:b/>
          <w:color w:val="auto"/>
          <w:sz w:val="36"/>
          <w:szCs w:val="36"/>
          <w:highlight w:val="none"/>
          <w:u w:val="single"/>
        </w:rPr>
        <w:t>                     </w:t>
      </w:r>
    </w:p>
    <w:p w14:paraId="0538A934">
      <w:pPr>
        <w:pStyle w:val="34"/>
        <w:spacing w:beforeAutospacing="0" w:afterAutospacing="0" w:line="0" w:lineRule="atLeast"/>
        <w:jc w:val="center"/>
        <w:rPr>
          <w:color w:val="auto"/>
          <w:highlight w:val="none"/>
        </w:rPr>
      </w:pPr>
      <w:r>
        <w:rPr>
          <w:color w:val="auto"/>
          <w:highlight w:val="none"/>
        </w:rPr>
        <w:t> </w:t>
      </w:r>
    </w:p>
    <w:p w14:paraId="6EED8521">
      <w:pPr>
        <w:pStyle w:val="34"/>
        <w:spacing w:beforeAutospacing="0" w:afterAutospacing="0" w:line="0" w:lineRule="atLeast"/>
        <w:jc w:val="both"/>
        <w:rPr>
          <w:color w:val="auto"/>
          <w:highlight w:val="none"/>
        </w:rPr>
      </w:pPr>
      <w:r>
        <w:rPr>
          <w:color w:val="auto"/>
          <w:highlight w:val="none"/>
        </w:rPr>
        <w:t> </w:t>
      </w:r>
    </w:p>
    <w:p w14:paraId="632EC373">
      <w:pPr>
        <w:pStyle w:val="34"/>
        <w:spacing w:beforeAutospacing="0" w:afterAutospacing="0" w:line="0" w:lineRule="atLeast"/>
        <w:jc w:val="center"/>
        <w:rPr>
          <w:rFonts w:ascii="宋体" w:hAnsi="宋体" w:eastAsia="宋体" w:cs="宋体"/>
          <w:b/>
          <w:color w:val="auto"/>
          <w:sz w:val="36"/>
          <w:szCs w:val="36"/>
          <w:highlight w:val="none"/>
          <w:u w:val="single"/>
        </w:rPr>
      </w:pPr>
    </w:p>
    <w:p w14:paraId="654A8D2B">
      <w:pPr>
        <w:pStyle w:val="34"/>
        <w:spacing w:beforeAutospacing="0" w:afterAutospacing="0" w:line="0" w:lineRule="atLeast"/>
        <w:jc w:val="center"/>
        <w:rPr>
          <w:rFonts w:ascii="宋体" w:hAnsi="宋体" w:eastAsia="宋体" w:cs="宋体"/>
          <w:b/>
          <w:color w:val="auto"/>
          <w:sz w:val="36"/>
          <w:szCs w:val="36"/>
          <w:highlight w:val="none"/>
          <w:u w:val="single"/>
        </w:rPr>
      </w:pPr>
    </w:p>
    <w:p w14:paraId="7CBF6C8C">
      <w:pPr>
        <w:pStyle w:val="34"/>
        <w:spacing w:beforeAutospacing="0" w:afterAutospacing="0" w:line="0" w:lineRule="atLeast"/>
        <w:jc w:val="center"/>
        <w:rPr>
          <w:rFonts w:ascii="宋体" w:hAnsi="宋体" w:eastAsia="宋体" w:cs="宋体"/>
          <w:b/>
          <w:color w:val="auto"/>
          <w:sz w:val="36"/>
          <w:szCs w:val="36"/>
          <w:highlight w:val="none"/>
          <w:u w:val="single"/>
        </w:rPr>
      </w:pPr>
    </w:p>
    <w:p w14:paraId="1D483695">
      <w:pPr>
        <w:pStyle w:val="34"/>
        <w:spacing w:beforeAutospacing="0" w:afterAutospacing="0" w:line="0" w:lineRule="atLeast"/>
        <w:jc w:val="center"/>
        <w:rPr>
          <w:rFonts w:ascii="宋体" w:hAnsi="宋体" w:eastAsia="宋体" w:cs="宋体"/>
          <w:b/>
          <w:color w:val="auto"/>
          <w:sz w:val="36"/>
          <w:szCs w:val="36"/>
          <w:highlight w:val="none"/>
          <w:u w:val="single"/>
        </w:rPr>
      </w:pPr>
    </w:p>
    <w:p w14:paraId="43C7E581">
      <w:pPr>
        <w:pStyle w:val="34"/>
        <w:spacing w:beforeAutospacing="0" w:afterAutospacing="0" w:line="0" w:lineRule="atLeast"/>
        <w:jc w:val="center"/>
        <w:rPr>
          <w:rFonts w:ascii="宋体" w:hAnsi="宋体" w:eastAsia="宋体" w:cs="宋体"/>
          <w:b/>
          <w:color w:val="auto"/>
          <w:sz w:val="36"/>
          <w:szCs w:val="36"/>
          <w:highlight w:val="none"/>
          <w:u w:val="single"/>
        </w:rPr>
      </w:pPr>
    </w:p>
    <w:p w14:paraId="1C79D63F">
      <w:pPr>
        <w:pStyle w:val="34"/>
        <w:spacing w:beforeAutospacing="0" w:afterAutospacing="0" w:line="0" w:lineRule="atLeast"/>
        <w:jc w:val="center"/>
        <w:rPr>
          <w:rFonts w:ascii="宋体" w:hAnsi="宋体" w:eastAsia="宋体" w:cs="宋体"/>
          <w:b/>
          <w:color w:val="auto"/>
          <w:sz w:val="36"/>
          <w:szCs w:val="36"/>
          <w:highlight w:val="none"/>
          <w:u w:val="single"/>
        </w:rPr>
      </w:pPr>
    </w:p>
    <w:p w14:paraId="29DAF675">
      <w:pPr>
        <w:pStyle w:val="34"/>
        <w:spacing w:beforeAutospacing="0" w:afterAutospacing="0" w:line="0" w:lineRule="atLeast"/>
        <w:jc w:val="center"/>
        <w:rPr>
          <w:rFonts w:ascii="宋体" w:hAnsi="宋体" w:eastAsia="宋体" w:cs="宋体"/>
          <w:b/>
          <w:color w:val="auto"/>
          <w:sz w:val="36"/>
          <w:szCs w:val="36"/>
          <w:highlight w:val="none"/>
          <w:u w:val="single"/>
        </w:rPr>
      </w:pPr>
    </w:p>
    <w:p w14:paraId="63B2399A">
      <w:pPr>
        <w:pStyle w:val="34"/>
        <w:spacing w:beforeAutospacing="0" w:afterAutospacing="0" w:line="0" w:lineRule="atLeast"/>
        <w:jc w:val="both"/>
        <w:rPr>
          <w:rFonts w:ascii="宋体" w:hAnsi="宋体" w:eastAsia="宋体" w:cs="宋体"/>
          <w:b/>
          <w:color w:val="auto"/>
          <w:sz w:val="36"/>
          <w:szCs w:val="36"/>
          <w:highlight w:val="none"/>
          <w:u w:val="single"/>
        </w:rPr>
      </w:pPr>
    </w:p>
    <w:p w14:paraId="48F4D713">
      <w:pPr>
        <w:pStyle w:val="34"/>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274EE71C">
      <w:pPr>
        <w:pStyle w:val="34"/>
        <w:spacing w:beforeAutospacing="0" w:afterAutospacing="0" w:line="0" w:lineRule="atLeast"/>
        <w:jc w:val="center"/>
        <w:rPr>
          <w:color w:val="auto"/>
          <w:highlight w:val="none"/>
        </w:rPr>
      </w:pPr>
      <w:r>
        <w:rPr>
          <w:color w:val="auto"/>
          <w:highlight w:val="none"/>
        </w:rPr>
        <w:t> </w:t>
      </w:r>
    </w:p>
    <w:p w14:paraId="33B79EAE">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left="480"/>
        <w:jc w:val="both"/>
        <w:textAlignment w:val="auto"/>
        <w:rPr>
          <w:rFonts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一、法人或者其他组织的营业执照等证明文件，自然人的身份证明</w:t>
      </w:r>
    </w:p>
    <w:p w14:paraId="2D1855A1">
      <w:pPr>
        <w:keepNext w:val="0"/>
        <w:keepLines w:val="0"/>
        <w:pageBreakBefore w:val="0"/>
        <w:widowControl w:val="0"/>
        <w:tabs>
          <w:tab w:val="left" w:pos="1331"/>
        </w:tabs>
        <w:kinsoku/>
        <w:wordWrap/>
        <w:overflowPunct/>
        <w:topLinePunct w:val="0"/>
        <w:autoSpaceDE/>
        <w:autoSpaceDN/>
        <w:bidi w:val="0"/>
        <w:adjustRightInd/>
        <w:snapToGrid/>
        <w:spacing w:line="480" w:lineRule="exact"/>
        <w:ind w:firstLine="480"/>
        <w:jc w:val="left"/>
        <w:textAlignment w:val="auto"/>
        <w:rPr>
          <w:rFonts w:ascii="宋体" w:hAnsi="宋体" w:eastAsia="宋体" w:cs="宋体"/>
          <w:i/>
          <w:iCs w:val="0"/>
          <w:color w:val="auto"/>
          <w:sz w:val="24"/>
          <w:szCs w:val="24"/>
          <w:highlight w:val="none"/>
          <w:u w:val="single"/>
        </w:rPr>
      </w:pPr>
      <w:r>
        <w:rPr>
          <w:rFonts w:hint="eastAsia" w:ascii="宋体" w:hAnsi="宋体" w:eastAsia="宋体" w:cs="宋体"/>
          <w:i/>
          <w:iCs w:val="0"/>
          <w:color w:val="auto"/>
          <w:sz w:val="24"/>
          <w:highlight w:val="none"/>
          <w:u w:val="single"/>
        </w:rPr>
        <w:t>二、上一年度</w:t>
      </w:r>
      <w:r>
        <w:rPr>
          <w:rFonts w:hint="eastAsia" w:ascii="宋体" w:hAnsi="宋体" w:eastAsia="宋体" w:cs="宋体"/>
          <w:i/>
          <w:iCs w:val="0"/>
          <w:color w:val="auto"/>
          <w:sz w:val="24"/>
          <w:highlight w:val="none"/>
          <w:u w:val="single"/>
          <w:lang w:eastAsia="zh-CN"/>
        </w:rPr>
        <w:t>（2025年度）</w:t>
      </w:r>
      <w:r>
        <w:rPr>
          <w:rFonts w:hint="eastAsia" w:ascii="宋体" w:hAnsi="宋体" w:eastAsia="宋体" w:cs="宋体"/>
          <w:i/>
          <w:iCs w:val="0"/>
          <w:color w:val="auto"/>
          <w:sz w:val="24"/>
          <w:highlight w:val="none"/>
          <w:u w:val="single"/>
        </w:rPr>
        <w:t>的财务状况报告（至少提供资产负债表、利润表、现金流量表，</w:t>
      </w:r>
      <w:r>
        <w:rPr>
          <w:rFonts w:hint="eastAsia" w:ascii="宋体" w:hAnsi="宋体" w:eastAsia="宋体" w:cs="宋体"/>
          <w:i/>
          <w:iCs w:val="0"/>
          <w:color w:val="auto"/>
          <w:sz w:val="24"/>
          <w:szCs w:val="24"/>
          <w:highlight w:val="none"/>
          <w:u w:val="single"/>
        </w:rPr>
        <w:t>投标人成立不满一年无需提供）</w:t>
      </w:r>
    </w:p>
    <w:p w14:paraId="18BD4C83">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left="480"/>
        <w:jc w:val="both"/>
        <w:textAlignment w:val="auto"/>
        <w:rPr>
          <w:rFonts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三、具备履行合同所必需的设备和专业技术能力的书面声明</w:t>
      </w:r>
    </w:p>
    <w:p w14:paraId="5CF7E260">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24935BBB">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五、参加政府采购活动前 3 年内在经营活动中没有重大违法记录的书面声明</w:t>
      </w:r>
    </w:p>
    <w:p w14:paraId="19E1F5A0">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left="480"/>
        <w:jc w:val="both"/>
        <w:textAlignment w:val="auto"/>
        <w:rPr>
          <w:rFonts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六、特定资格要求的证明文件（如果本项目设置特定资格要求，则需要提供）</w:t>
      </w:r>
    </w:p>
    <w:p w14:paraId="68CFA444">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left="480"/>
        <w:jc w:val="both"/>
        <w:textAlignment w:val="auto"/>
        <w:rPr>
          <w:rFonts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七、法人授权书</w:t>
      </w:r>
    </w:p>
    <w:p w14:paraId="044DEF9E">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left="480"/>
        <w:jc w:val="both"/>
        <w:textAlignment w:val="auto"/>
        <w:rPr>
          <w:rFonts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八、投标函</w:t>
      </w:r>
    </w:p>
    <w:p w14:paraId="46738144">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highlight w:val="none"/>
        </w:rPr>
      </w:pPr>
      <w:r>
        <w:rPr>
          <w:rFonts w:hint="eastAsia" w:ascii="宋体" w:hAnsi="宋体" w:eastAsia="宋体" w:cs="宋体"/>
          <w:i/>
          <w:iCs w:val="0"/>
          <w:color w:val="auto"/>
          <w:highlight w:val="none"/>
          <w:u w:val="single"/>
        </w:rPr>
        <w:t>九、中小企业声明函</w:t>
      </w:r>
    </w:p>
    <w:p w14:paraId="71543657">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highlight w:val="none"/>
        </w:rPr>
      </w:pPr>
      <w:r>
        <w:rPr>
          <w:rFonts w:hint="eastAsia" w:ascii="宋体" w:hAnsi="宋体" w:eastAsia="宋体" w:cs="宋体"/>
          <w:i w:val="0"/>
          <w:iCs/>
          <w:color w:val="auto"/>
          <w:highlight w:val="none"/>
        </w:rPr>
        <w:t>十、残疾人福利性单位声明函</w:t>
      </w:r>
    </w:p>
    <w:p w14:paraId="5FCFA64E">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highlight w:val="none"/>
        </w:rPr>
      </w:pPr>
      <w:r>
        <w:rPr>
          <w:rFonts w:hint="eastAsia" w:ascii="宋体" w:hAnsi="宋体" w:eastAsia="宋体" w:cs="宋体"/>
          <w:i w:val="0"/>
          <w:iCs/>
          <w:color w:val="auto"/>
          <w:highlight w:val="none"/>
        </w:rPr>
        <w:t>十一、联合体协议</w:t>
      </w:r>
    </w:p>
    <w:p w14:paraId="3E348F9B">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十二、投标分项报价表</w:t>
      </w:r>
    </w:p>
    <w:p w14:paraId="25769DEF">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default" w:ascii="宋体" w:hAnsi="宋体" w:eastAsia="宋体" w:cs="宋体"/>
          <w:i/>
          <w:iCs w:val="0"/>
          <w:color w:val="auto"/>
          <w:highlight w:val="none"/>
          <w:u w:val="single"/>
          <w:lang w:val="en-US" w:eastAsia="zh-CN"/>
        </w:rPr>
      </w:pPr>
      <w:r>
        <w:rPr>
          <w:rFonts w:hint="eastAsia" w:ascii="宋体" w:hAnsi="宋体" w:eastAsia="宋体" w:cs="宋体"/>
          <w:i/>
          <w:iCs w:val="0"/>
          <w:color w:val="auto"/>
          <w:highlight w:val="none"/>
          <w:u w:val="single"/>
          <w:lang w:val="en-US" w:eastAsia="zh-CN"/>
        </w:rPr>
        <w:t>十三、承诺书</w:t>
      </w:r>
    </w:p>
    <w:p w14:paraId="3065437A">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highlight w:val="none"/>
        </w:rPr>
      </w:pPr>
      <w:r>
        <w:rPr>
          <w:rFonts w:hint="eastAsia" w:ascii="宋体" w:hAnsi="宋体" w:eastAsia="宋体" w:cs="宋体"/>
          <w:i w:val="0"/>
          <w:iCs/>
          <w:color w:val="auto"/>
          <w:highlight w:val="none"/>
        </w:rPr>
        <w:t>十</w:t>
      </w:r>
      <w:r>
        <w:rPr>
          <w:rFonts w:hint="eastAsia" w:ascii="宋体" w:hAnsi="宋体" w:eastAsia="宋体" w:cs="宋体"/>
          <w:i w:val="0"/>
          <w:iCs/>
          <w:color w:val="auto"/>
          <w:highlight w:val="none"/>
          <w:lang w:val="en-US" w:eastAsia="zh-CN"/>
        </w:rPr>
        <w:t>四</w:t>
      </w:r>
      <w:r>
        <w:rPr>
          <w:rFonts w:hint="eastAsia" w:ascii="宋体" w:hAnsi="宋体" w:eastAsia="宋体" w:cs="宋体"/>
          <w:i w:val="0"/>
          <w:iCs/>
          <w:color w:val="auto"/>
          <w:highlight w:val="none"/>
        </w:rPr>
        <w:t>、商务要求响应及偏离表</w:t>
      </w:r>
    </w:p>
    <w:p w14:paraId="087743E6">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iCs w:val="0"/>
          <w:color w:val="auto"/>
          <w:highlight w:val="none"/>
          <w:u w:val="single"/>
        </w:rPr>
      </w:pPr>
      <w:r>
        <w:rPr>
          <w:rFonts w:hint="eastAsia" w:ascii="宋体" w:hAnsi="宋体" w:eastAsia="宋体" w:cs="宋体"/>
          <w:i/>
          <w:iCs w:val="0"/>
          <w:color w:val="auto"/>
          <w:highlight w:val="none"/>
          <w:u w:val="single"/>
        </w:rPr>
        <w:t>十</w:t>
      </w:r>
      <w:r>
        <w:rPr>
          <w:rFonts w:hint="eastAsia" w:ascii="宋体" w:hAnsi="宋体" w:eastAsia="宋体" w:cs="宋体"/>
          <w:i/>
          <w:iCs w:val="0"/>
          <w:color w:val="auto"/>
          <w:highlight w:val="none"/>
          <w:u w:val="single"/>
          <w:lang w:val="en-US" w:eastAsia="zh-CN"/>
        </w:rPr>
        <w:t>五</w:t>
      </w:r>
      <w:r>
        <w:rPr>
          <w:rFonts w:hint="eastAsia" w:ascii="宋体" w:hAnsi="宋体" w:eastAsia="宋体" w:cs="宋体"/>
          <w:i/>
          <w:iCs w:val="0"/>
          <w:color w:val="auto"/>
          <w:highlight w:val="none"/>
          <w:u w:val="single"/>
        </w:rPr>
        <w:t>、开标一览表</w:t>
      </w:r>
    </w:p>
    <w:p w14:paraId="0EEBDAC6">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highlight w:val="none"/>
        </w:rPr>
      </w:pPr>
      <w:r>
        <w:rPr>
          <w:rFonts w:hint="eastAsia" w:ascii="宋体" w:hAnsi="宋体" w:eastAsia="宋体" w:cs="宋体"/>
          <w:i w:val="0"/>
          <w:iCs/>
          <w:color w:val="auto"/>
          <w:highlight w:val="none"/>
        </w:rPr>
        <w:t>十</w:t>
      </w:r>
      <w:r>
        <w:rPr>
          <w:rFonts w:hint="eastAsia" w:ascii="宋体" w:hAnsi="宋体" w:eastAsia="宋体" w:cs="宋体"/>
          <w:i w:val="0"/>
          <w:iCs/>
          <w:color w:val="auto"/>
          <w:highlight w:val="none"/>
          <w:lang w:val="en-US" w:eastAsia="zh-CN"/>
        </w:rPr>
        <w:t>六</w:t>
      </w:r>
      <w:r>
        <w:rPr>
          <w:rFonts w:hint="eastAsia" w:ascii="宋体" w:hAnsi="宋体" w:eastAsia="宋体" w:cs="宋体"/>
          <w:i w:val="0"/>
          <w:iCs/>
          <w:color w:val="auto"/>
          <w:highlight w:val="none"/>
        </w:rPr>
        <w:t>、技术</w:t>
      </w:r>
      <w:r>
        <w:rPr>
          <w:rFonts w:hint="eastAsia" w:ascii="宋体" w:hAnsi="宋体" w:eastAsia="宋体" w:cs="宋体"/>
          <w:i w:val="0"/>
          <w:iCs/>
          <w:color w:val="auto"/>
          <w:highlight w:val="none"/>
          <w:lang w:eastAsia="zh-CN"/>
        </w:rPr>
        <w:t>服务</w:t>
      </w:r>
      <w:r>
        <w:rPr>
          <w:rFonts w:hint="eastAsia" w:ascii="宋体" w:hAnsi="宋体" w:eastAsia="宋体" w:cs="宋体"/>
          <w:i w:val="0"/>
          <w:iCs/>
          <w:color w:val="auto"/>
          <w:highlight w:val="none"/>
        </w:rPr>
        <w:t>方案</w:t>
      </w:r>
    </w:p>
    <w:p w14:paraId="59ECC56E">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default" w:ascii="宋体" w:hAnsi="宋体" w:eastAsia="宋体" w:cs="宋体"/>
          <w:i w:val="0"/>
          <w:iCs/>
          <w:color w:val="auto"/>
          <w:highlight w:val="none"/>
          <w:lang w:val="en-US" w:eastAsia="zh-CN"/>
        </w:rPr>
      </w:pPr>
      <w:r>
        <w:rPr>
          <w:rFonts w:hint="eastAsia" w:ascii="宋体" w:hAnsi="宋体" w:eastAsia="宋体" w:cs="宋体"/>
          <w:i w:val="0"/>
          <w:iCs/>
          <w:color w:val="auto"/>
          <w:highlight w:val="none"/>
          <w:lang w:val="en-US" w:eastAsia="zh-CN"/>
        </w:rPr>
        <w:t>十七、主要管理岗位人员配置</w:t>
      </w:r>
    </w:p>
    <w:p w14:paraId="0C6AEBE5">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highlight w:val="none"/>
        </w:rPr>
      </w:pPr>
      <w:r>
        <w:rPr>
          <w:rFonts w:hint="eastAsia" w:ascii="宋体" w:hAnsi="宋体" w:eastAsia="宋体" w:cs="宋体"/>
          <w:i w:val="0"/>
          <w:iCs/>
          <w:color w:val="auto"/>
          <w:highlight w:val="none"/>
        </w:rPr>
        <w:t>十</w:t>
      </w:r>
      <w:r>
        <w:rPr>
          <w:rFonts w:hint="eastAsia" w:ascii="宋体" w:hAnsi="宋体" w:eastAsia="宋体" w:cs="宋体"/>
          <w:i w:val="0"/>
          <w:iCs/>
          <w:color w:val="auto"/>
          <w:highlight w:val="none"/>
          <w:lang w:val="en-US" w:eastAsia="zh-CN"/>
        </w:rPr>
        <w:t>八</w:t>
      </w:r>
      <w:r>
        <w:rPr>
          <w:rFonts w:hint="eastAsia" w:ascii="宋体" w:hAnsi="宋体" w:eastAsia="宋体" w:cs="宋体"/>
          <w:i w:val="0"/>
          <w:iCs/>
          <w:color w:val="auto"/>
          <w:highlight w:val="none"/>
        </w:rPr>
        <w:t>、</w:t>
      </w:r>
      <w:r>
        <w:rPr>
          <w:rFonts w:hint="eastAsia" w:ascii="宋体" w:hAnsi="宋体" w:eastAsia="宋体" w:cs="宋体"/>
          <w:i w:val="0"/>
          <w:iCs/>
          <w:color w:val="auto"/>
          <w:highlight w:val="none"/>
          <w:lang w:val="en-US" w:eastAsia="zh-CN"/>
        </w:rPr>
        <w:t>履约能力</w:t>
      </w:r>
    </w:p>
    <w:p w14:paraId="0B30F15A">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highlight w:val="none"/>
        </w:rPr>
      </w:pPr>
      <w:r>
        <w:rPr>
          <w:rFonts w:hint="eastAsia" w:ascii="宋体" w:hAnsi="宋体" w:eastAsia="宋体" w:cs="宋体"/>
          <w:i w:val="0"/>
          <w:iCs/>
          <w:color w:val="auto"/>
          <w:highlight w:val="none"/>
          <w:lang w:val="en-US" w:eastAsia="zh-CN"/>
        </w:rPr>
        <w:t>十九、</w:t>
      </w:r>
      <w:r>
        <w:rPr>
          <w:rFonts w:hint="eastAsia" w:ascii="宋体" w:hAnsi="宋体" w:eastAsia="宋体" w:cs="宋体"/>
          <w:i w:val="0"/>
          <w:iCs/>
          <w:color w:val="auto"/>
          <w:highlight w:val="none"/>
        </w:rPr>
        <w:t>盐城市政府采购事前信用承诺书</w:t>
      </w:r>
    </w:p>
    <w:p w14:paraId="613988FA">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ascii="宋体" w:hAnsi="宋体" w:eastAsia="宋体" w:cs="宋体"/>
          <w:i w:val="0"/>
          <w:iCs/>
          <w:color w:val="auto"/>
          <w:highlight w:val="none"/>
        </w:rPr>
      </w:pPr>
    </w:p>
    <w:p w14:paraId="47CE0EC8">
      <w:pPr>
        <w:pStyle w:val="34"/>
        <w:spacing w:beforeAutospacing="0" w:afterAutospacing="0" w:line="0" w:lineRule="atLeast"/>
        <w:ind w:firstLine="480"/>
        <w:jc w:val="both"/>
        <w:rPr>
          <w:rFonts w:ascii="宋体" w:hAnsi="宋体" w:eastAsia="宋体" w:cs="宋体"/>
          <w:color w:val="auto"/>
          <w:highlight w:val="none"/>
        </w:rPr>
      </w:pPr>
    </w:p>
    <w:p w14:paraId="4B924F69">
      <w:pPr>
        <w:rPr>
          <w:color w:val="auto"/>
          <w:sz w:val="24"/>
          <w:szCs w:val="24"/>
          <w:highlight w:val="none"/>
        </w:rPr>
      </w:pPr>
      <w:r>
        <w:rPr>
          <w:color w:val="auto"/>
          <w:highlight w:val="none"/>
        </w:rPr>
        <w:t> </w:t>
      </w:r>
    </w:p>
    <w:p w14:paraId="6CE4E379">
      <w:pPr>
        <w:pStyle w:val="34"/>
        <w:spacing w:beforeAutospacing="0" w:afterAutospacing="0" w:line="0" w:lineRule="atLeast"/>
        <w:ind w:firstLine="480"/>
        <w:jc w:val="both"/>
        <w:rPr>
          <w:color w:val="auto"/>
          <w:sz w:val="24"/>
          <w:szCs w:val="24"/>
          <w:highlight w:val="none"/>
        </w:rPr>
      </w:pPr>
    </w:p>
    <w:p w14:paraId="099BC92D">
      <w:pPr>
        <w:pStyle w:val="34"/>
        <w:spacing w:beforeAutospacing="0" w:afterAutospacing="0" w:line="0" w:lineRule="atLeast"/>
        <w:ind w:firstLine="480"/>
        <w:jc w:val="both"/>
        <w:rPr>
          <w:color w:val="auto"/>
          <w:sz w:val="24"/>
          <w:szCs w:val="24"/>
          <w:highlight w:val="none"/>
        </w:rPr>
      </w:pPr>
      <w:r>
        <w:rPr>
          <w:color w:val="auto"/>
          <w:sz w:val="24"/>
          <w:szCs w:val="24"/>
          <w:highlight w:val="none"/>
        </w:rPr>
        <w:t> </w:t>
      </w:r>
    </w:p>
    <w:p w14:paraId="4F8A142F">
      <w:pPr>
        <w:pStyle w:val="34"/>
        <w:numPr>
          <w:ilvl w:val="0"/>
          <w:numId w:val="2"/>
        </w:numPr>
        <w:spacing w:beforeAutospacing="0" w:afterAutospacing="0"/>
        <w:jc w:val="both"/>
        <w:rPr>
          <w:rFonts w:hint="eastAsia" w:ascii="黑体" w:hAnsi="宋体" w:eastAsia="黑体" w:cs="黑体"/>
          <w:i/>
          <w:color w:val="auto"/>
          <w:sz w:val="24"/>
          <w:szCs w:val="24"/>
          <w:highlight w:val="none"/>
          <w:u w:val="single"/>
        </w:rPr>
      </w:pPr>
      <w:r>
        <w:rPr>
          <w:rFonts w:hint="eastAsia" w:ascii="黑体" w:hAnsi="宋体" w:eastAsia="黑体" w:cs="黑体"/>
          <w:i/>
          <w:color w:val="auto"/>
          <w:sz w:val="24"/>
          <w:szCs w:val="24"/>
          <w:highlight w:val="none"/>
          <w:u w:val="single"/>
        </w:rPr>
        <w:t>法人或者其他组织的营业执照等证明文件，自然人的身份证明</w:t>
      </w:r>
    </w:p>
    <w:p w14:paraId="4060EB93">
      <w:pPr>
        <w:pStyle w:val="34"/>
        <w:widowControl w:val="0"/>
        <w:numPr>
          <w:ilvl w:val="0"/>
          <w:numId w:val="0"/>
        </w:numPr>
        <w:spacing w:beforeAutospacing="0" w:afterAutospacing="0"/>
        <w:jc w:val="both"/>
        <w:rPr>
          <w:rFonts w:hint="eastAsia" w:ascii="黑体" w:hAnsi="宋体" w:eastAsia="黑体" w:cs="黑体"/>
          <w:i/>
          <w:color w:val="auto"/>
          <w:sz w:val="24"/>
          <w:szCs w:val="24"/>
          <w:highlight w:val="none"/>
          <w:u w:val="single"/>
        </w:rPr>
      </w:pPr>
    </w:p>
    <w:p w14:paraId="116D6125">
      <w:pPr>
        <w:pStyle w:val="34"/>
        <w:widowControl w:val="0"/>
        <w:numPr>
          <w:ilvl w:val="0"/>
          <w:numId w:val="0"/>
        </w:numPr>
        <w:spacing w:beforeAutospacing="0" w:afterAutospacing="0"/>
        <w:jc w:val="both"/>
        <w:rPr>
          <w:rFonts w:hint="eastAsia" w:ascii="黑体" w:hAnsi="宋体" w:eastAsia="黑体" w:cs="黑体"/>
          <w:i/>
          <w:color w:val="auto"/>
          <w:sz w:val="24"/>
          <w:szCs w:val="24"/>
          <w:highlight w:val="none"/>
          <w:u w:val="single"/>
        </w:rPr>
      </w:pPr>
    </w:p>
    <w:p w14:paraId="6025BDD1">
      <w:pPr>
        <w:pStyle w:val="34"/>
        <w:widowControl w:val="0"/>
        <w:numPr>
          <w:ilvl w:val="0"/>
          <w:numId w:val="0"/>
        </w:numPr>
        <w:spacing w:beforeAutospacing="0" w:afterAutospacing="0"/>
        <w:jc w:val="both"/>
        <w:rPr>
          <w:rFonts w:hint="eastAsia" w:ascii="黑体" w:hAnsi="宋体" w:eastAsia="黑体" w:cs="黑体"/>
          <w:i/>
          <w:color w:val="auto"/>
          <w:sz w:val="24"/>
          <w:szCs w:val="24"/>
          <w:highlight w:val="none"/>
          <w:u w:val="single"/>
        </w:rPr>
      </w:pPr>
    </w:p>
    <w:p w14:paraId="697D3033">
      <w:pPr>
        <w:pStyle w:val="34"/>
        <w:widowControl w:val="0"/>
        <w:numPr>
          <w:ilvl w:val="0"/>
          <w:numId w:val="0"/>
        </w:numPr>
        <w:spacing w:beforeAutospacing="0" w:afterAutospacing="0"/>
        <w:jc w:val="both"/>
        <w:rPr>
          <w:rFonts w:hint="eastAsia" w:ascii="黑体" w:hAnsi="宋体" w:eastAsia="黑体" w:cs="黑体"/>
          <w:i/>
          <w:color w:val="auto"/>
          <w:sz w:val="24"/>
          <w:szCs w:val="24"/>
          <w:highlight w:val="none"/>
          <w:u w:val="single"/>
        </w:rPr>
      </w:pPr>
    </w:p>
    <w:p w14:paraId="3FBEA48B">
      <w:pPr>
        <w:pStyle w:val="34"/>
        <w:widowControl w:val="0"/>
        <w:numPr>
          <w:ilvl w:val="0"/>
          <w:numId w:val="0"/>
        </w:numPr>
        <w:spacing w:beforeAutospacing="0" w:afterAutospacing="0"/>
        <w:jc w:val="both"/>
        <w:rPr>
          <w:rFonts w:hint="eastAsia" w:ascii="黑体" w:hAnsi="宋体" w:eastAsia="黑体" w:cs="黑体"/>
          <w:i/>
          <w:color w:val="auto"/>
          <w:sz w:val="24"/>
          <w:szCs w:val="24"/>
          <w:highlight w:val="none"/>
          <w:u w:val="single"/>
        </w:rPr>
      </w:pPr>
    </w:p>
    <w:p w14:paraId="303BE42B">
      <w:pPr>
        <w:pStyle w:val="34"/>
        <w:spacing w:beforeAutospacing="0" w:afterAutospacing="0" w:line="0" w:lineRule="atLeast"/>
        <w:ind w:firstLine="480"/>
        <w:jc w:val="both"/>
        <w:rPr>
          <w:color w:val="auto"/>
          <w:sz w:val="24"/>
          <w:szCs w:val="24"/>
          <w:highlight w:val="none"/>
        </w:rPr>
      </w:pPr>
      <w:r>
        <w:rPr>
          <w:color w:val="auto"/>
          <w:sz w:val="24"/>
          <w:szCs w:val="24"/>
          <w:highlight w:val="none"/>
        </w:rPr>
        <w:t> </w:t>
      </w:r>
    </w:p>
    <w:p w14:paraId="30683369">
      <w:pPr>
        <w:pStyle w:val="34"/>
        <w:spacing w:beforeAutospacing="0" w:afterAutospacing="0"/>
        <w:jc w:val="both"/>
        <w:rPr>
          <w:rFonts w:eastAsia="黑体"/>
          <w:color w:val="auto"/>
          <w:sz w:val="24"/>
          <w:szCs w:val="24"/>
          <w:highlight w:val="none"/>
        </w:rPr>
      </w:pPr>
      <w:r>
        <w:rPr>
          <w:rFonts w:hint="eastAsia" w:ascii="黑体" w:hAnsi="宋体" w:eastAsia="黑体" w:cs="黑体"/>
          <w:i/>
          <w:color w:val="auto"/>
          <w:sz w:val="24"/>
          <w:szCs w:val="24"/>
          <w:highlight w:val="none"/>
          <w:u w:val="single"/>
        </w:rPr>
        <w:t>二、上一年度</w:t>
      </w:r>
      <w:r>
        <w:rPr>
          <w:rFonts w:hint="eastAsia" w:ascii="黑体" w:hAnsi="宋体" w:eastAsia="黑体" w:cs="黑体"/>
          <w:i/>
          <w:color w:val="auto"/>
          <w:sz w:val="24"/>
          <w:szCs w:val="24"/>
          <w:highlight w:val="none"/>
          <w:u w:val="single"/>
          <w:lang w:eastAsia="zh-CN"/>
        </w:rPr>
        <w:t>（2024年度或2025年度）</w:t>
      </w:r>
      <w:r>
        <w:rPr>
          <w:rFonts w:hint="eastAsia" w:ascii="黑体" w:hAnsi="宋体" w:eastAsia="黑体" w:cs="黑体"/>
          <w:i/>
          <w:color w:val="auto"/>
          <w:sz w:val="24"/>
          <w:szCs w:val="24"/>
          <w:highlight w:val="none"/>
          <w:u w:val="single"/>
        </w:rPr>
        <w:t>的财务状况报告</w:t>
      </w:r>
    </w:p>
    <w:p w14:paraId="62AE37D2">
      <w:pPr>
        <w:tabs>
          <w:tab w:val="left" w:pos="1331"/>
        </w:tabs>
        <w:ind w:firstLine="420"/>
        <w:jc w:val="left"/>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（至少提供资产负债表、利润表</w:t>
      </w:r>
      <w:r>
        <w:rPr>
          <w:rFonts w:hint="eastAsia" w:ascii="宋体" w:hAnsi="宋体" w:eastAsia="宋体" w:cs="宋体"/>
          <w:color w:val="auto"/>
          <w:sz w:val="24"/>
          <w:szCs w:val="24"/>
          <w:highlight w:val="none"/>
        </w:rPr>
        <w:t>、现金流量表</w:t>
      </w:r>
      <w:r>
        <w:rPr>
          <w:rFonts w:hint="eastAsia" w:ascii="宋体" w:hAnsi="宋体" w:eastAsia="宋体" w:cs="宋体"/>
          <w:iCs/>
          <w:color w:val="auto"/>
          <w:sz w:val="24"/>
          <w:szCs w:val="24"/>
          <w:highlight w:val="none"/>
        </w:rPr>
        <w:t>，投标人成立不满一年无需提供）</w:t>
      </w:r>
    </w:p>
    <w:p w14:paraId="6B934232">
      <w:pPr>
        <w:tabs>
          <w:tab w:val="left" w:pos="1331"/>
        </w:tabs>
        <w:ind w:firstLine="420"/>
        <w:jc w:val="left"/>
        <w:rPr>
          <w:rFonts w:hint="eastAsia" w:ascii="宋体" w:hAnsi="宋体" w:eastAsia="宋体" w:cs="宋体"/>
          <w:iCs/>
          <w:color w:val="auto"/>
          <w:sz w:val="24"/>
          <w:szCs w:val="24"/>
          <w:highlight w:val="none"/>
        </w:rPr>
      </w:pPr>
    </w:p>
    <w:p w14:paraId="4E2BC8AE">
      <w:pPr>
        <w:tabs>
          <w:tab w:val="left" w:pos="1331"/>
        </w:tabs>
        <w:ind w:firstLine="420"/>
        <w:jc w:val="left"/>
        <w:rPr>
          <w:rFonts w:hint="eastAsia" w:ascii="宋体" w:hAnsi="宋体" w:eastAsia="宋体" w:cs="宋体"/>
          <w:iCs/>
          <w:color w:val="auto"/>
          <w:sz w:val="24"/>
          <w:szCs w:val="24"/>
          <w:highlight w:val="none"/>
        </w:rPr>
      </w:pPr>
    </w:p>
    <w:p w14:paraId="56D1A1F1">
      <w:pPr>
        <w:tabs>
          <w:tab w:val="left" w:pos="1331"/>
        </w:tabs>
        <w:ind w:firstLine="420"/>
        <w:jc w:val="left"/>
        <w:rPr>
          <w:rFonts w:hint="eastAsia" w:ascii="宋体" w:hAnsi="宋体" w:eastAsia="宋体" w:cs="宋体"/>
          <w:iCs/>
          <w:color w:val="auto"/>
          <w:sz w:val="24"/>
          <w:szCs w:val="24"/>
          <w:highlight w:val="none"/>
        </w:rPr>
      </w:pPr>
    </w:p>
    <w:p w14:paraId="17A32CE3">
      <w:pPr>
        <w:tabs>
          <w:tab w:val="left" w:pos="1331"/>
        </w:tabs>
        <w:ind w:firstLine="420"/>
        <w:jc w:val="left"/>
        <w:rPr>
          <w:rFonts w:hint="eastAsia" w:ascii="宋体" w:hAnsi="宋体" w:eastAsia="宋体" w:cs="宋体"/>
          <w:iCs/>
          <w:color w:val="auto"/>
          <w:sz w:val="24"/>
          <w:szCs w:val="24"/>
          <w:highlight w:val="none"/>
        </w:rPr>
      </w:pPr>
    </w:p>
    <w:p w14:paraId="633D626A">
      <w:pPr>
        <w:pStyle w:val="34"/>
        <w:spacing w:beforeAutospacing="0" w:afterAutospacing="0"/>
        <w:jc w:val="both"/>
        <w:rPr>
          <w:color w:val="auto"/>
          <w:sz w:val="24"/>
          <w:szCs w:val="24"/>
          <w:highlight w:val="none"/>
        </w:rPr>
      </w:pPr>
    </w:p>
    <w:p w14:paraId="2CAFC0B8">
      <w:pPr>
        <w:pStyle w:val="34"/>
        <w:spacing w:beforeAutospacing="0" w:afterAutospacing="0"/>
        <w:jc w:val="both"/>
        <w:rPr>
          <w:color w:val="auto"/>
          <w:sz w:val="24"/>
          <w:szCs w:val="24"/>
          <w:highlight w:val="none"/>
        </w:rPr>
      </w:pPr>
    </w:p>
    <w:p w14:paraId="0AEA221C">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color w:val="auto"/>
          <w:sz w:val="24"/>
          <w:szCs w:val="24"/>
          <w:highlight w:val="none"/>
        </w:rPr>
      </w:pPr>
      <w:r>
        <w:rPr>
          <w:rFonts w:hint="eastAsia" w:ascii="黑体" w:hAnsi="宋体" w:eastAsia="黑体" w:cs="黑体"/>
          <w:i/>
          <w:color w:val="auto"/>
          <w:sz w:val="24"/>
          <w:szCs w:val="24"/>
          <w:highlight w:val="none"/>
          <w:u w:val="single"/>
        </w:rPr>
        <w:t>三、具备履行合同所必需的设备和专业技术能力的书面声明</w:t>
      </w:r>
    </w:p>
    <w:p w14:paraId="598FCA90">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92"/>
        <w:jc w:val="both"/>
        <w:textAlignment w:val="auto"/>
        <w:rPr>
          <w:color w:val="auto"/>
          <w:sz w:val="24"/>
          <w:szCs w:val="24"/>
          <w:highlight w:val="none"/>
        </w:rPr>
      </w:pPr>
      <w:r>
        <w:rPr>
          <w:rFonts w:hint="eastAsia" w:ascii="宋体" w:hAnsi="宋体" w:eastAsia="宋体" w:cs="宋体"/>
          <w:color w:val="auto"/>
          <w:sz w:val="24"/>
          <w:szCs w:val="24"/>
          <w:highlight w:val="none"/>
        </w:rPr>
        <w:t>我单位郑重声明：我单位具备履行本项采购合同所必需的设备和专业技术能力，为履行本项采购合同我公司具备如下主要设备和主要专业技术能力：</w:t>
      </w:r>
    </w:p>
    <w:p w14:paraId="0CA0E7EC">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92"/>
        <w:jc w:val="both"/>
        <w:textAlignment w:val="auto"/>
        <w:rPr>
          <w:color w:val="auto"/>
          <w:sz w:val="24"/>
          <w:szCs w:val="24"/>
          <w:highlight w:val="none"/>
        </w:rPr>
      </w:pPr>
      <w:r>
        <w:rPr>
          <w:rFonts w:hint="eastAsia" w:ascii="宋体" w:hAnsi="宋体" w:eastAsia="宋体" w:cs="宋体"/>
          <w:color w:val="auto"/>
          <w:sz w:val="24"/>
          <w:szCs w:val="24"/>
          <w:highlight w:val="none"/>
        </w:rPr>
        <w:t>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4CEE248">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C2B449">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624"/>
        <w:jc w:val="both"/>
        <w:textAlignment w:val="auto"/>
        <w:rPr>
          <w:color w:val="auto"/>
          <w:sz w:val="24"/>
          <w:szCs w:val="24"/>
          <w:highlight w:val="none"/>
        </w:rPr>
      </w:pPr>
    </w:p>
    <w:p w14:paraId="19FFF774">
      <w:pPr>
        <w:pStyle w:val="34"/>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80" w:lineRule="auto"/>
        <w:ind w:right="1560" w:firstLine="624"/>
        <w:jc w:val="center"/>
        <w:textAlignment w:val="auto"/>
        <w:rPr>
          <w:color w:val="auto"/>
          <w:sz w:val="24"/>
          <w:szCs w:val="24"/>
          <w:highlight w:val="none"/>
        </w:rPr>
      </w:pPr>
      <w:r>
        <w:rPr>
          <w:rFonts w:ascii="仿宋_GB2312" w:eastAsia="仿宋_GB2312" w:cs="仿宋_GB2312"/>
          <w:color w:val="auto"/>
          <w:sz w:val="24"/>
          <w:szCs w:val="24"/>
          <w:highlight w:val="none"/>
        </w:rPr>
        <w:t xml:space="preserve">             </w:t>
      </w:r>
      <w:r>
        <w:rPr>
          <w:rFonts w:hint="eastAsia" w:ascii="仿宋_GB2312" w:eastAsia="仿宋_GB2312" w:cs="仿宋_GB2312"/>
          <w:color w:val="auto"/>
          <w:sz w:val="24"/>
          <w:szCs w:val="24"/>
          <w:highlight w:val="none"/>
          <w:lang w:val="en-US" w:eastAsia="zh-CN"/>
        </w:rPr>
        <w:t xml:space="preserve">               </w:t>
      </w:r>
      <w:r>
        <w:rPr>
          <w:rFonts w:hint="eastAsia" w:ascii="宋体" w:hAnsi="宋体" w:eastAsia="宋体" w:cs="宋体"/>
          <w:color w:val="auto"/>
          <w:sz w:val="24"/>
          <w:szCs w:val="24"/>
          <w:highlight w:val="none"/>
        </w:rPr>
        <w:t>供应商全称（加盖CA电子公章）：</w:t>
      </w:r>
    </w:p>
    <w:p w14:paraId="6A3F3E40">
      <w:pPr>
        <w:pStyle w:val="34"/>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80" w:lineRule="auto"/>
        <w:ind w:right="1560" w:firstLine="480"/>
        <w:jc w:val="center"/>
        <w:textAlignment w:val="auto"/>
        <w:rPr>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  期：</w:t>
      </w:r>
    </w:p>
    <w:p w14:paraId="1F1E51E8">
      <w:pPr>
        <w:pStyle w:val="34"/>
        <w:spacing w:beforeAutospacing="0" w:afterAutospacing="0"/>
        <w:jc w:val="both"/>
        <w:rPr>
          <w:rFonts w:hint="eastAsia" w:ascii="宋体" w:hAnsi="宋体" w:eastAsia="宋体" w:cs="宋体"/>
          <w:color w:val="auto"/>
          <w:sz w:val="24"/>
          <w:szCs w:val="24"/>
          <w:highlight w:val="none"/>
        </w:rPr>
      </w:pPr>
    </w:p>
    <w:p w14:paraId="5B815876">
      <w:pPr>
        <w:pStyle w:val="34"/>
        <w:spacing w:beforeAutospacing="0" w:afterAutospacing="0"/>
        <w:jc w:val="both"/>
        <w:rPr>
          <w:rFonts w:hint="eastAsia" w:ascii="宋体" w:hAnsi="宋体" w:eastAsia="宋体" w:cs="宋体"/>
          <w:color w:val="auto"/>
          <w:sz w:val="24"/>
          <w:szCs w:val="24"/>
          <w:highlight w:val="none"/>
        </w:rPr>
      </w:pPr>
    </w:p>
    <w:p w14:paraId="30EEE4C2">
      <w:pPr>
        <w:pStyle w:val="34"/>
        <w:spacing w:beforeAutospacing="0" w:afterAutospacing="0"/>
        <w:jc w:val="both"/>
        <w:rPr>
          <w:rFonts w:hint="eastAsia" w:ascii="宋体" w:hAnsi="宋体" w:eastAsia="宋体" w:cs="宋体"/>
          <w:color w:val="auto"/>
          <w:sz w:val="24"/>
          <w:szCs w:val="24"/>
          <w:highlight w:val="none"/>
        </w:rPr>
      </w:pPr>
    </w:p>
    <w:p w14:paraId="02526181">
      <w:pPr>
        <w:pStyle w:val="34"/>
        <w:spacing w:beforeAutospacing="0" w:afterAutospacing="0"/>
        <w:jc w:val="both"/>
        <w:rPr>
          <w:rFonts w:hint="eastAsia" w:ascii="宋体" w:hAnsi="宋体" w:eastAsia="宋体" w:cs="宋体"/>
          <w:color w:val="auto"/>
          <w:sz w:val="24"/>
          <w:szCs w:val="24"/>
          <w:highlight w:val="none"/>
        </w:rPr>
      </w:pPr>
    </w:p>
    <w:p w14:paraId="476A6767">
      <w:pPr>
        <w:pStyle w:val="34"/>
        <w:spacing w:beforeAutospacing="0" w:afterAutospacing="0"/>
        <w:jc w:val="both"/>
        <w:rPr>
          <w:color w:val="auto"/>
          <w:sz w:val="24"/>
          <w:szCs w:val="24"/>
          <w:highlight w:val="none"/>
        </w:rPr>
      </w:pPr>
      <w:r>
        <w:rPr>
          <w:rFonts w:hint="eastAsia" w:ascii="黑体" w:hAnsi="宋体" w:eastAsia="黑体" w:cs="黑体"/>
          <w:i/>
          <w:color w:val="auto"/>
          <w:sz w:val="24"/>
          <w:szCs w:val="24"/>
          <w:highlight w:val="none"/>
          <w:u w:val="single"/>
        </w:rPr>
        <w:t>四、依法缴纳税收和社会保障资金的相关材料</w:t>
      </w:r>
    </w:p>
    <w:p w14:paraId="12A7B21D">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jc w:val="both"/>
        <w:textAlignment w:val="auto"/>
        <w:rPr>
          <w:rFonts w:hint="eastAsia" w:ascii="宋体" w:hAnsi="宋体" w:eastAsia="宋体" w:cs="宋体"/>
          <w:color w:val="auto"/>
          <w:sz w:val="24"/>
          <w:szCs w:val="24"/>
          <w:highlight w:val="none"/>
        </w:rPr>
      </w:pPr>
      <w:bookmarkStart w:id="195" w:name="_Toc120614284"/>
      <w:r>
        <w:rPr>
          <w:rFonts w:hint="eastAsia" w:ascii="宋体" w:hAnsi="宋体" w:eastAsia="宋体" w:cs="宋体"/>
          <w:color w:val="auto"/>
          <w:sz w:val="24"/>
          <w:szCs w:val="24"/>
          <w:highlight w:val="none"/>
        </w:rPr>
        <w:t>提供提交投标文件截止时间前一年内至少一个月依法缴纳税收及缴纳社会保障资金的证明材料。投标人依法享受缓缴、免缴税收、社会保障资金的提供证明材料。</w:t>
      </w:r>
      <w:bookmarkEnd w:id="195"/>
    </w:p>
    <w:p w14:paraId="0A9B4A09">
      <w:pPr>
        <w:pStyle w:val="34"/>
        <w:spacing w:beforeAutospacing="0" w:afterAutospacing="0"/>
        <w:ind w:firstLine="480"/>
        <w:jc w:val="both"/>
        <w:rPr>
          <w:rFonts w:hint="eastAsia" w:ascii="宋体" w:hAnsi="宋体" w:eastAsia="宋体" w:cs="宋体"/>
          <w:color w:val="auto"/>
          <w:sz w:val="24"/>
          <w:szCs w:val="24"/>
          <w:highlight w:val="none"/>
        </w:rPr>
      </w:pPr>
    </w:p>
    <w:p w14:paraId="3E16E258">
      <w:pPr>
        <w:pStyle w:val="34"/>
        <w:spacing w:beforeAutospacing="0" w:afterAutospacing="0"/>
        <w:ind w:firstLine="480"/>
        <w:jc w:val="both"/>
        <w:rPr>
          <w:rFonts w:hint="eastAsia" w:ascii="宋体" w:hAnsi="宋体" w:eastAsia="宋体" w:cs="宋体"/>
          <w:color w:val="auto"/>
          <w:sz w:val="24"/>
          <w:szCs w:val="24"/>
          <w:highlight w:val="none"/>
        </w:rPr>
      </w:pPr>
    </w:p>
    <w:p w14:paraId="35F105F9">
      <w:pPr>
        <w:pStyle w:val="34"/>
        <w:spacing w:beforeAutospacing="0" w:afterAutospacing="0"/>
        <w:ind w:firstLine="480"/>
        <w:jc w:val="both"/>
        <w:rPr>
          <w:rFonts w:hint="eastAsia" w:ascii="宋体" w:hAnsi="宋体" w:eastAsia="宋体" w:cs="宋体"/>
          <w:color w:val="auto"/>
          <w:sz w:val="24"/>
          <w:szCs w:val="24"/>
          <w:highlight w:val="none"/>
        </w:rPr>
      </w:pPr>
    </w:p>
    <w:p w14:paraId="3F2E97F5">
      <w:pPr>
        <w:rPr>
          <w:rFonts w:hint="eastAsia" w:ascii="黑体" w:hAnsi="宋体" w:eastAsia="黑体" w:cs="黑体"/>
          <w:i/>
          <w:color w:val="auto"/>
          <w:sz w:val="21"/>
          <w:szCs w:val="21"/>
          <w:highlight w:val="none"/>
          <w:u w:val="single"/>
        </w:rPr>
      </w:pPr>
    </w:p>
    <w:p w14:paraId="0D05F380">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auto"/>
        <w:jc w:val="both"/>
        <w:textAlignment w:val="auto"/>
        <w:rPr>
          <w:color w:val="auto"/>
          <w:sz w:val="21"/>
          <w:szCs w:val="21"/>
          <w:highlight w:val="none"/>
        </w:rPr>
      </w:pPr>
      <w:r>
        <w:rPr>
          <w:rFonts w:hint="eastAsia" w:ascii="黑体" w:hAnsi="宋体" w:eastAsia="黑体" w:cs="黑体"/>
          <w:i/>
          <w:color w:val="auto"/>
          <w:sz w:val="21"/>
          <w:szCs w:val="21"/>
          <w:highlight w:val="none"/>
          <w:u w:val="single"/>
        </w:rPr>
        <w:t>五、参加政府采购活动前 3 年内在经营活动中没有重大违法记录的书面声明</w:t>
      </w:r>
    </w:p>
    <w:p w14:paraId="16FA15EA">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auto"/>
        <w:jc w:val="center"/>
        <w:textAlignment w:val="auto"/>
        <w:rPr>
          <w:color w:val="auto"/>
          <w:sz w:val="21"/>
          <w:szCs w:val="21"/>
          <w:highlight w:val="none"/>
        </w:rPr>
      </w:pPr>
      <w:r>
        <w:rPr>
          <w:rFonts w:hint="eastAsia" w:ascii="宋体" w:hAnsi="宋体" w:eastAsia="宋体" w:cs="宋体"/>
          <w:b/>
          <w:color w:val="auto"/>
          <w:sz w:val="21"/>
          <w:szCs w:val="21"/>
          <w:highlight w:val="none"/>
        </w:rPr>
        <w:t>声  明</w:t>
      </w:r>
    </w:p>
    <w:p w14:paraId="08872A7B">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2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我单位郑重声明：参加本次政府采购活动前 3 年内，我单位在经营活动中没有因违法经营受到刑事处罚或者责令停产停业、吊销许可证或者执照、较大数额罚款等行政处罚。</w:t>
      </w:r>
    </w:p>
    <w:p w14:paraId="19AE5B05">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20"/>
        <w:jc w:val="both"/>
        <w:textAlignment w:val="auto"/>
        <w:rPr>
          <w:rFonts w:hint="eastAsia" w:ascii="宋体" w:hAnsi="宋体" w:eastAsia="宋体" w:cs="宋体"/>
          <w:color w:val="auto"/>
          <w:sz w:val="21"/>
          <w:szCs w:val="21"/>
          <w:highlight w:val="none"/>
        </w:rPr>
      </w:pPr>
    </w:p>
    <w:p w14:paraId="56DFFACB">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20"/>
        <w:jc w:val="both"/>
        <w:textAlignment w:val="auto"/>
        <w:rPr>
          <w:rFonts w:hint="eastAsia" w:ascii="宋体" w:hAnsi="宋体" w:eastAsia="宋体" w:cs="宋体"/>
          <w:color w:val="auto"/>
          <w:sz w:val="21"/>
          <w:szCs w:val="21"/>
          <w:highlight w:val="none"/>
        </w:rPr>
      </w:pPr>
    </w:p>
    <w:p w14:paraId="77323B35">
      <w:pPr>
        <w:pStyle w:val="34"/>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624"/>
        <w:jc w:val="both"/>
        <w:textAlignment w:val="auto"/>
        <w:rPr>
          <w:color w:val="auto"/>
          <w:sz w:val="21"/>
          <w:szCs w:val="21"/>
          <w:highlight w:val="none"/>
        </w:rPr>
      </w:pPr>
    </w:p>
    <w:p w14:paraId="37252563">
      <w:pPr>
        <w:pStyle w:val="34"/>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80" w:lineRule="auto"/>
        <w:ind w:right="1560" w:firstLine="624"/>
        <w:jc w:val="center"/>
        <w:textAlignment w:val="auto"/>
        <w:rPr>
          <w:color w:val="auto"/>
          <w:sz w:val="21"/>
          <w:szCs w:val="21"/>
          <w:highlight w:val="none"/>
        </w:rPr>
      </w:pPr>
      <w:r>
        <w:rPr>
          <w:rFonts w:ascii="仿宋_GB2312" w:eastAsia="仿宋_GB2312" w:cs="仿宋_GB2312"/>
          <w:color w:val="auto"/>
          <w:sz w:val="21"/>
          <w:szCs w:val="21"/>
          <w:highlight w:val="none"/>
        </w:rPr>
        <w:t xml:space="preserve">             </w:t>
      </w:r>
      <w:r>
        <w:rPr>
          <w:rFonts w:hint="eastAsia" w:ascii="宋体" w:hAnsi="宋体" w:eastAsia="宋体" w:cs="宋体"/>
          <w:color w:val="auto"/>
          <w:sz w:val="21"/>
          <w:szCs w:val="21"/>
          <w:highlight w:val="none"/>
        </w:rPr>
        <w:t>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供应商全称（加盖CA电子公章）：</w:t>
      </w:r>
    </w:p>
    <w:p w14:paraId="5E1FDFD6">
      <w:pPr>
        <w:pStyle w:val="34"/>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80" w:lineRule="auto"/>
        <w:ind w:right="1560" w:firstLine="48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p>
    <w:p w14:paraId="77E50C3A">
      <w:pPr>
        <w:pStyle w:val="34"/>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80" w:lineRule="auto"/>
        <w:ind w:right="1560" w:firstLine="480"/>
        <w:jc w:val="center"/>
        <w:textAlignment w:val="auto"/>
        <w:rPr>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  期：</w:t>
      </w:r>
    </w:p>
    <w:p w14:paraId="234528AE">
      <w:pPr>
        <w:pStyle w:val="34"/>
        <w:spacing w:beforeAutospacing="0" w:afterAutospacing="0" w:line="0" w:lineRule="atLeast"/>
        <w:ind w:firstLine="420"/>
        <w:jc w:val="both"/>
        <w:rPr>
          <w:rFonts w:hint="eastAsia" w:ascii="宋体" w:hAnsi="宋体" w:eastAsia="宋体" w:cs="宋体"/>
          <w:color w:val="auto"/>
          <w:sz w:val="21"/>
          <w:szCs w:val="21"/>
          <w:highlight w:val="none"/>
        </w:rPr>
      </w:pPr>
    </w:p>
    <w:p w14:paraId="14507CC6">
      <w:pPr>
        <w:pStyle w:val="34"/>
        <w:spacing w:beforeAutospacing="0" w:afterAutospacing="0" w:line="0" w:lineRule="atLeast"/>
        <w:ind w:firstLine="420"/>
        <w:jc w:val="both"/>
        <w:rPr>
          <w:rFonts w:hint="eastAsia" w:ascii="宋体" w:hAnsi="宋体" w:eastAsia="宋体" w:cs="宋体"/>
          <w:color w:val="auto"/>
          <w:sz w:val="21"/>
          <w:szCs w:val="21"/>
          <w:highlight w:val="none"/>
        </w:rPr>
      </w:pPr>
    </w:p>
    <w:p w14:paraId="43A6BC68">
      <w:pPr>
        <w:pStyle w:val="34"/>
        <w:spacing w:beforeAutospacing="0" w:afterAutospacing="0" w:line="0" w:lineRule="atLeast"/>
        <w:ind w:firstLine="420"/>
        <w:jc w:val="both"/>
        <w:rPr>
          <w:rFonts w:hint="eastAsia" w:ascii="宋体" w:hAnsi="宋体" w:eastAsia="宋体" w:cs="宋体"/>
          <w:color w:val="auto"/>
          <w:sz w:val="21"/>
          <w:szCs w:val="21"/>
          <w:highlight w:val="none"/>
        </w:rPr>
      </w:pPr>
    </w:p>
    <w:p w14:paraId="2BABD065">
      <w:pPr>
        <w:pStyle w:val="34"/>
        <w:spacing w:beforeAutospacing="0" w:afterAutospacing="0" w:line="0" w:lineRule="atLeast"/>
        <w:ind w:firstLine="420"/>
        <w:jc w:val="both"/>
        <w:rPr>
          <w:rFonts w:hint="eastAsia" w:ascii="宋体" w:hAnsi="宋体" w:eastAsia="宋体" w:cs="宋体"/>
          <w:color w:val="auto"/>
          <w:sz w:val="21"/>
          <w:szCs w:val="21"/>
          <w:highlight w:val="none"/>
        </w:rPr>
      </w:pPr>
    </w:p>
    <w:p w14:paraId="749D93F1">
      <w:pPr>
        <w:pStyle w:val="34"/>
        <w:spacing w:beforeAutospacing="0" w:afterAutospacing="0" w:line="0" w:lineRule="atLeast"/>
        <w:ind w:firstLine="420"/>
        <w:jc w:val="both"/>
        <w:rPr>
          <w:rFonts w:hint="eastAsia" w:ascii="宋体" w:hAnsi="宋体" w:eastAsia="宋体" w:cs="宋体"/>
          <w:color w:val="auto"/>
          <w:sz w:val="21"/>
          <w:szCs w:val="21"/>
          <w:highlight w:val="none"/>
        </w:rPr>
      </w:pPr>
    </w:p>
    <w:p w14:paraId="4BCA1E54">
      <w:pPr>
        <w:pStyle w:val="34"/>
        <w:spacing w:beforeAutospacing="0" w:afterAutospacing="0"/>
        <w:jc w:val="both"/>
        <w:rPr>
          <w:color w:val="auto"/>
          <w:sz w:val="21"/>
          <w:szCs w:val="21"/>
          <w:highlight w:val="none"/>
        </w:rPr>
      </w:pPr>
      <w:r>
        <w:rPr>
          <w:color w:val="auto"/>
          <w:sz w:val="21"/>
          <w:szCs w:val="21"/>
          <w:highlight w:val="none"/>
        </w:rPr>
        <w:t> </w:t>
      </w:r>
    </w:p>
    <w:p w14:paraId="67D6E2A3">
      <w:pPr>
        <w:pStyle w:val="34"/>
        <w:spacing w:beforeAutospacing="0" w:afterAutospacing="0"/>
        <w:jc w:val="both"/>
        <w:rPr>
          <w:color w:val="auto"/>
          <w:sz w:val="21"/>
          <w:szCs w:val="21"/>
          <w:highlight w:val="none"/>
        </w:rPr>
      </w:pPr>
      <w:r>
        <w:rPr>
          <w:rFonts w:hint="eastAsia" w:ascii="黑体" w:hAnsi="宋体" w:eastAsia="黑体" w:cs="黑体"/>
          <w:i/>
          <w:color w:val="auto"/>
          <w:sz w:val="21"/>
          <w:szCs w:val="21"/>
          <w:highlight w:val="none"/>
          <w:u w:val="single"/>
        </w:rPr>
        <w:t>六、特定资格要求的证明文件</w:t>
      </w:r>
    </w:p>
    <w:p w14:paraId="1A5E71B4">
      <w:pPr>
        <w:pStyle w:val="34"/>
        <w:spacing w:beforeAutospacing="0" w:afterAutospacing="0" w:line="0" w:lineRule="atLeas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171561FE">
      <w:pPr>
        <w:pStyle w:val="34"/>
        <w:spacing w:beforeAutospacing="0" w:afterAutospacing="0" w:line="0" w:lineRule="atLeast"/>
        <w:jc w:val="both"/>
        <w:rPr>
          <w:rFonts w:hint="eastAsia" w:ascii="宋体" w:hAnsi="宋体" w:eastAsia="宋体" w:cs="宋体"/>
          <w:color w:val="auto"/>
          <w:sz w:val="21"/>
          <w:szCs w:val="21"/>
          <w:highlight w:val="none"/>
        </w:rPr>
      </w:pPr>
    </w:p>
    <w:p w14:paraId="5C998BF7">
      <w:pPr>
        <w:pStyle w:val="34"/>
        <w:spacing w:beforeAutospacing="0" w:afterAutospacing="0"/>
        <w:jc w:val="center"/>
        <w:rPr>
          <w:rFonts w:ascii="黑体" w:hAnsi="宋体" w:eastAsia="黑体" w:cs="黑体"/>
          <w:i/>
          <w:color w:val="auto"/>
          <w:sz w:val="32"/>
          <w:szCs w:val="32"/>
          <w:highlight w:val="none"/>
          <w:u w:val="single"/>
        </w:rPr>
      </w:pPr>
    </w:p>
    <w:p w14:paraId="28C5FA5B">
      <w:pPr>
        <w:pStyle w:val="34"/>
        <w:spacing w:beforeAutospacing="0" w:afterAutospacing="0"/>
        <w:jc w:val="center"/>
        <w:rPr>
          <w:rFonts w:ascii="黑体" w:hAnsi="宋体" w:eastAsia="黑体" w:cs="黑体"/>
          <w:i/>
          <w:color w:val="auto"/>
          <w:sz w:val="32"/>
          <w:szCs w:val="32"/>
          <w:highlight w:val="none"/>
          <w:u w:val="single"/>
        </w:rPr>
      </w:pPr>
    </w:p>
    <w:p w14:paraId="3B810E96">
      <w:pPr>
        <w:pStyle w:val="34"/>
        <w:spacing w:beforeAutospacing="0" w:afterAutospacing="0"/>
        <w:jc w:val="center"/>
        <w:rPr>
          <w:rFonts w:ascii="黑体" w:hAnsi="宋体" w:eastAsia="黑体" w:cs="黑体"/>
          <w:i/>
          <w:color w:val="auto"/>
          <w:sz w:val="32"/>
          <w:szCs w:val="32"/>
          <w:highlight w:val="none"/>
          <w:u w:val="single"/>
        </w:rPr>
      </w:pPr>
    </w:p>
    <w:p w14:paraId="41C800D6">
      <w:pPr>
        <w:pStyle w:val="34"/>
        <w:spacing w:beforeAutospacing="0" w:afterAutospacing="0"/>
        <w:jc w:val="center"/>
        <w:rPr>
          <w:rFonts w:ascii="黑体" w:hAnsi="宋体" w:eastAsia="黑体" w:cs="黑体"/>
          <w:i/>
          <w:color w:val="auto"/>
          <w:sz w:val="32"/>
          <w:szCs w:val="32"/>
          <w:highlight w:val="none"/>
          <w:u w:val="single"/>
        </w:rPr>
      </w:pPr>
    </w:p>
    <w:p w14:paraId="0AB4091D">
      <w:pPr>
        <w:pStyle w:val="34"/>
        <w:spacing w:beforeAutospacing="0" w:afterAutospacing="0"/>
        <w:jc w:val="center"/>
        <w:rPr>
          <w:rFonts w:ascii="黑体" w:hAnsi="宋体" w:eastAsia="黑体" w:cs="黑体"/>
          <w:i/>
          <w:color w:val="auto"/>
          <w:sz w:val="32"/>
          <w:szCs w:val="32"/>
          <w:highlight w:val="none"/>
          <w:u w:val="single"/>
        </w:rPr>
      </w:pPr>
    </w:p>
    <w:p w14:paraId="60B7EF07">
      <w:pPr>
        <w:pStyle w:val="34"/>
        <w:spacing w:beforeAutospacing="0" w:afterAutospacing="0"/>
        <w:jc w:val="center"/>
        <w:rPr>
          <w:rFonts w:ascii="黑体" w:hAnsi="宋体" w:eastAsia="黑体" w:cs="黑体"/>
          <w:i/>
          <w:color w:val="auto"/>
          <w:sz w:val="32"/>
          <w:szCs w:val="32"/>
          <w:highlight w:val="none"/>
          <w:u w:val="single"/>
        </w:rPr>
      </w:pPr>
    </w:p>
    <w:p w14:paraId="10BFF95D">
      <w:pPr>
        <w:pStyle w:val="34"/>
        <w:spacing w:beforeAutospacing="0" w:afterAutospacing="0"/>
        <w:jc w:val="center"/>
        <w:rPr>
          <w:rFonts w:ascii="黑体" w:hAnsi="宋体" w:eastAsia="黑体" w:cs="黑体"/>
          <w:i/>
          <w:color w:val="auto"/>
          <w:sz w:val="32"/>
          <w:szCs w:val="32"/>
          <w:highlight w:val="none"/>
          <w:u w:val="single"/>
        </w:rPr>
      </w:pPr>
    </w:p>
    <w:p w14:paraId="50326429">
      <w:pPr>
        <w:pStyle w:val="34"/>
        <w:spacing w:beforeAutospacing="0" w:afterAutospacing="0"/>
        <w:jc w:val="center"/>
        <w:rPr>
          <w:rFonts w:ascii="黑体" w:hAnsi="宋体" w:eastAsia="黑体" w:cs="黑体"/>
          <w:i/>
          <w:color w:val="auto"/>
          <w:sz w:val="32"/>
          <w:szCs w:val="32"/>
          <w:highlight w:val="none"/>
          <w:u w:val="single"/>
        </w:rPr>
      </w:pPr>
    </w:p>
    <w:p w14:paraId="7DBC87A5">
      <w:pPr>
        <w:pStyle w:val="34"/>
        <w:spacing w:beforeAutospacing="0" w:afterAutospacing="0"/>
        <w:jc w:val="center"/>
        <w:rPr>
          <w:rFonts w:ascii="黑体" w:hAnsi="宋体" w:eastAsia="黑体" w:cs="黑体"/>
          <w:i/>
          <w:color w:val="auto"/>
          <w:sz w:val="32"/>
          <w:szCs w:val="32"/>
          <w:highlight w:val="none"/>
          <w:u w:val="single"/>
        </w:rPr>
      </w:pPr>
    </w:p>
    <w:p w14:paraId="1F58A719">
      <w:pPr>
        <w:pStyle w:val="34"/>
        <w:spacing w:beforeAutospacing="0" w:afterAutospacing="0"/>
        <w:jc w:val="center"/>
        <w:rPr>
          <w:rFonts w:ascii="黑体" w:hAnsi="宋体" w:eastAsia="黑体" w:cs="黑体"/>
          <w:i/>
          <w:color w:val="auto"/>
          <w:sz w:val="32"/>
          <w:szCs w:val="32"/>
          <w:highlight w:val="none"/>
          <w:u w:val="single"/>
        </w:rPr>
      </w:pPr>
    </w:p>
    <w:p w14:paraId="07AB3DE4">
      <w:pPr>
        <w:pStyle w:val="34"/>
        <w:spacing w:beforeAutospacing="0" w:afterAutospacing="0"/>
        <w:jc w:val="center"/>
        <w:rPr>
          <w:rFonts w:ascii="黑体" w:hAnsi="宋体" w:eastAsia="黑体" w:cs="黑体"/>
          <w:i/>
          <w:color w:val="auto"/>
          <w:sz w:val="32"/>
          <w:szCs w:val="32"/>
          <w:highlight w:val="none"/>
          <w:u w:val="single"/>
        </w:rPr>
      </w:pPr>
    </w:p>
    <w:p w14:paraId="43240FBC">
      <w:pPr>
        <w:pStyle w:val="34"/>
        <w:spacing w:beforeAutospacing="0" w:afterAutospacing="0"/>
        <w:jc w:val="center"/>
        <w:rPr>
          <w:rFonts w:ascii="黑体" w:hAnsi="宋体" w:eastAsia="黑体" w:cs="黑体"/>
          <w:i/>
          <w:color w:val="auto"/>
          <w:sz w:val="32"/>
          <w:szCs w:val="32"/>
          <w:highlight w:val="none"/>
          <w:u w:val="single"/>
        </w:rPr>
      </w:pPr>
    </w:p>
    <w:p w14:paraId="3888CF24">
      <w:pPr>
        <w:pStyle w:val="34"/>
        <w:spacing w:beforeAutospacing="0" w:afterAutospacing="0"/>
        <w:jc w:val="center"/>
        <w:rPr>
          <w:rFonts w:ascii="黑体" w:hAnsi="宋体" w:eastAsia="黑体" w:cs="黑体"/>
          <w:i/>
          <w:color w:val="auto"/>
          <w:sz w:val="32"/>
          <w:szCs w:val="32"/>
          <w:highlight w:val="none"/>
          <w:u w:val="single"/>
        </w:rPr>
      </w:pPr>
    </w:p>
    <w:p w14:paraId="71C2C256">
      <w:pPr>
        <w:pStyle w:val="34"/>
        <w:spacing w:beforeAutospacing="0" w:afterAutospacing="0"/>
        <w:jc w:val="center"/>
        <w:rPr>
          <w:rFonts w:ascii="黑体" w:hAnsi="宋体" w:eastAsia="黑体" w:cs="黑体"/>
          <w:i/>
          <w:color w:val="auto"/>
          <w:sz w:val="32"/>
          <w:szCs w:val="32"/>
          <w:highlight w:val="none"/>
          <w:u w:val="single"/>
        </w:rPr>
      </w:pPr>
    </w:p>
    <w:p w14:paraId="4D301D81">
      <w:pPr>
        <w:pStyle w:val="34"/>
        <w:spacing w:beforeAutospacing="0" w:afterAutospacing="0"/>
        <w:jc w:val="center"/>
        <w:rPr>
          <w:rFonts w:ascii="黑体" w:hAnsi="宋体" w:eastAsia="黑体" w:cs="黑体"/>
          <w:i/>
          <w:color w:val="auto"/>
          <w:sz w:val="32"/>
          <w:szCs w:val="32"/>
          <w:highlight w:val="none"/>
          <w:u w:val="single"/>
        </w:rPr>
      </w:pPr>
    </w:p>
    <w:p w14:paraId="5F72F3A3">
      <w:pPr>
        <w:pStyle w:val="34"/>
        <w:keepNext w:val="0"/>
        <w:keepLines w:val="0"/>
        <w:pageBreakBefore w:val="0"/>
        <w:widowControl w:val="0"/>
        <w:kinsoku/>
        <w:wordWrap/>
        <w:overflowPunct/>
        <w:topLinePunct w:val="0"/>
        <w:autoSpaceDE/>
        <w:autoSpaceDN/>
        <w:bidi w:val="0"/>
        <w:adjustRightInd/>
        <w:snapToGrid/>
        <w:spacing w:beforeAutospacing="0" w:after="181" w:afterLines="50" w:afterAutospacing="0"/>
        <w:jc w:val="center"/>
        <w:textAlignment w:val="auto"/>
        <w:rPr>
          <w:color w:val="auto"/>
          <w:highlight w:val="none"/>
        </w:rPr>
      </w:pPr>
      <w:r>
        <w:rPr>
          <w:rFonts w:hint="eastAsia" w:ascii="黑体" w:hAnsi="宋体" w:eastAsia="黑体" w:cs="黑体"/>
          <w:i/>
          <w:color w:val="auto"/>
          <w:sz w:val="32"/>
          <w:szCs w:val="32"/>
          <w:highlight w:val="none"/>
          <w:u w:val="single"/>
        </w:rPr>
        <w:t>七、法人授权书</w:t>
      </w:r>
    </w:p>
    <w:p w14:paraId="70F24826">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ind w:firstLine="480"/>
        <w:jc w:val="both"/>
        <w:textAlignment w:val="auto"/>
        <w:rPr>
          <w:color w:val="auto"/>
          <w:sz w:val="21"/>
          <w:szCs w:val="21"/>
          <w:highlight w:val="none"/>
        </w:rPr>
      </w:pPr>
      <w:r>
        <w:rPr>
          <w:rFonts w:ascii="Times New Roman" w:hAnsi="Times New Roman"/>
          <w:color w:val="auto"/>
          <w:sz w:val="21"/>
          <w:szCs w:val="21"/>
          <w:highlight w:val="none"/>
        </w:rPr>
        <w:t>本授权书声明：____________（投标人名称）授权________________（被授权人的姓名）</w:t>
      </w:r>
      <w:r>
        <w:rPr>
          <w:rFonts w:hint="eastAsia" w:ascii="宋体" w:hAnsi="宋体" w:eastAsia="宋体" w:cs="宋体"/>
          <w:color w:val="auto"/>
          <w:sz w:val="21"/>
          <w:szCs w:val="21"/>
          <w:highlight w:val="none"/>
        </w:rPr>
        <w:t>为我方就</w:t>
      </w:r>
      <w:r>
        <w:rPr>
          <w:rFonts w:hint="eastAsia" w:ascii="宋体" w:hAnsi="宋体" w:eastAsia="宋体" w:cs="宋体"/>
          <w:color w:val="auto"/>
          <w:sz w:val="21"/>
          <w:szCs w:val="21"/>
          <w:highlight w:val="none"/>
          <w:lang w:val="en-US" w:eastAsia="zh-CN"/>
        </w:rPr>
        <w:t>JSZC-320923-JZCG-G2026-0003</w:t>
      </w:r>
      <w:r>
        <w:rPr>
          <w:rFonts w:hint="eastAsia" w:ascii="宋体" w:hAnsi="宋体" w:eastAsia="宋体" w:cs="宋体"/>
          <w:color w:val="auto"/>
          <w:sz w:val="21"/>
          <w:szCs w:val="21"/>
          <w:highlight w:val="none"/>
        </w:rPr>
        <w:t>号项目采购活动的合法代理人</w:t>
      </w:r>
      <w:r>
        <w:rPr>
          <w:rFonts w:ascii="Times New Roman" w:hAnsi="Times New Roman"/>
          <w:color w:val="auto"/>
          <w:sz w:val="21"/>
          <w:szCs w:val="21"/>
          <w:highlight w:val="none"/>
        </w:rPr>
        <w:t>，以本单位名义全权处理一切与该项目采购有关的事务。</w:t>
      </w:r>
    </w:p>
    <w:p w14:paraId="43E3514D">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ind w:firstLine="480"/>
        <w:jc w:val="both"/>
        <w:textAlignment w:val="auto"/>
        <w:rPr>
          <w:color w:val="auto"/>
          <w:sz w:val="21"/>
          <w:szCs w:val="21"/>
          <w:highlight w:val="none"/>
        </w:rPr>
      </w:pPr>
      <w:r>
        <w:rPr>
          <w:rFonts w:ascii="Times New Roman" w:hAnsi="Times New Roman"/>
          <w:color w:val="auto"/>
          <w:sz w:val="21"/>
          <w:szCs w:val="21"/>
          <w:highlight w:val="none"/>
        </w:rPr>
        <w:t>本授权书于______年____月____日起生效，特此声明。</w:t>
      </w:r>
    </w:p>
    <w:p w14:paraId="552F3697">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jc w:val="both"/>
        <w:textAlignment w:val="auto"/>
        <w:rPr>
          <w:color w:val="auto"/>
          <w:sz w:val="21"/>
          <w:szCs w:val="21"/>
          <w:highlight w:val="none"/>
        </w:rPr>
      </w:pPr>
      <w:r>
        <w:rPr>
          <w:rFonts w:ascii="Times New Roman" w:hAnsi="Times New Roman"/>
          <w:color w:val="auto"/>
          <w:sz w:val="21"/>
          <w:szCs w:val="21"/>
          <w:highlight w:val="none"/>
        </w:rPr>
        <w:t>          被授权人身份证号码：</w:t>
      </w:r>
      <w:r>
        <w:rPr>
          <w:rFonts w:ascii="Times New Roman" w:hAnsi="Times New Roman"/>
          <w:color w:val="auto"/>
          <w:sz w:val="21"/>
          <w:szCs w:val="21"/>
          <w:highlight w:val="none"/>
          <w:u w:val="single"/>
        </w:rPr>
        <w:t xml:space="preserve">                              </w:t>
      </w:r>
    </w:p>
    <w:p w14:paraId="69C0F5AD">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jc w:val="both"/>
        <w:textAlignment w:val="auto"/>
        <w:rPr>
          <w:rFonts w:ascii="Times New Roman" w:hAnsi="Times New Roman"/>
          <w:color w:val="auto"/>
          <w:sz w:val="21"/>
          <w:szCs w:val="21"/>
          <w:highlight w:val="none"/>
          <w:u w:val="single"/>
        </w:rPr>
      </w:pPr>
      <w:r>
        <w:rPr>
          <w:rFonts w:ascii="Times New Roman" w:hAnsi="Times New Roman"/>
          <w:color w:val="auto"/>
          <w:sz w:val="21"/>
          <w:szCs w:val="21"/>
          <w:highlight w:val="none"/>
        </w:rPr>
        <w:t>          被授权人联系电话：（手机）</w:t>
      </w:r>
      <w:r>
        <w:rPr>
          <w:rFonts w:ascii="Times New Roman" w:hAnsi="Times New Roman"/>
          <w:color w:val="auto"/>
          <w:sz w:val="21"/>
          <w:szCs w:val="21"/>
          <w:highlight w:val="none"/>
          <w:u w:val="single"/>
        </w:rPr>
        <w:t xml:space="preserve">                          </w:t>
      </w:r>
    </w:p>
    <w:p w14:paraId="517F99C0">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ind w:firstLine="630"/>
        <w:jc w:val="both"/>
        <w:textAlignment w:val="auto"/>
        <w:rPr>
          <w:color w:val="auto"/>
          <w:sz w:val="21"/>
          <w:szCs w:val="21"/>
          <w:highlight w:val="none"/>
        </w:rPr>
      </w:pPr>
      <w:r>
        <w:rPr>
          <w:rFonts w:ascii="Times New Roman" w:hAnsi="Times New Roman"/>
          <w:color w:val="auto"/>
          <w:sz w:val="21"/>
          <w:szCs w:val="21"/>
          <w:highlight w:val="none"/>
        </w:rPr>
        <w:t>授权单位名称：</w:t>
      </w:r>
      <w:r>
        <w:rPr>
          <w:rFonts w:ascii="Times New Roman" w:hAnsi="Times New Roman"/>
          <w:color w:val="auto"/>
          <w:sz w:val="21"/>
          <w:szCs w:val="21"/>
          <w:highlight w:val="none"/>
          <w:u w:val="single"/>
        </w:rPr>
        <w:t>（加盖CA电子公章）</w:t>
      </w:r>
    </w:p>
    <w:p w14:paraId="51980891">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ind w:firstLine="480"/>
        <w:jc w:val="both"/>
        <w:textAlignment w:val="auto"/>
        <w:rPr>
          <w:color w:val="auto"/>
          <w:sz w:val="21"/>
          <w:szCs w:val="21"/>
          <w:highlight w:val="none"/>
        </w:rPr>
      </w:pPr>
      <w:r>
        <w:rPr>
          <w:rFonts w:ascii="Times New Roman" w:hAnsi="Times New Roman"/>
          <w:color w:val="auto"/>
          <w:sz w:val="21"/>
          <w:szCs w:val="21"/>
          <w:highlight w:val="none"/>
        </w:rPr>
        <w:t>   单位地址：</w:t>
      </w:r>
      <w:r>
        <w:rPr>
          <w:rFonts w:ascii="Times New Roman" w:hAnsi="Times New Roman"/>
          <w:color w:val="auto"/>
          <w:sz w:val="21"/>
          <w:szCs w:val="21"/>
          <w:highlight w:val="none"/>
          <w:u w:val="single"/>
        </w:rPr>
        <w:t xml:space="preserve">                                         </w:t>
      </w:r>
    </w:p>
    <w:p w14:paraId="35ED87C7">
      <w:pPr>
        <w:pStyle w:val="34"/>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ind w:firstLine="480"/>
        <w:jc w:val="both"/>
        <w:textAlignment w:val="auto"/>
        <w:rPr>
          <w:rFonts w:ascii="Times New Roman" w:hAnsi="Times New Roman"/>
          <w:color w:val="auto"/>
          <w:sz w:val="21"/>
          <w:szCs w:val="21"/>
          <w:highlight w:val="none"/>
          <w:u w:val="single"/>
        </w:rPr>
      </w:pPr>
      <w:r>
        <w:rPr>
          <w:rFonts w:ascii="Times New Roman" w:hAnsi="Times New Roman"/>
          <w:color w:val="auto"/>
          <w:sz w:val="21"/>
          <w:szCs w:val="21"/>
          <w:highlight w:val="none"/>
        </w:rPr>
        <w:t>    日期：</w:t>
      </w:r>
      <w:bookmarkStart w:id="196" w:name="_Hlt26955070"/>
      <w:bookmarkStart w:id="197" w:name="_格式3__银行出具的资信证明"/>
      <w:bookmarkStart w:id="198" w:name="_Hlt26671380"/>
      <w:r>
        <w:rPr>
          <w:rFonts w:ascii="Times New Roman" w:hAnsi="Times New Roman"/>
          <w:color w:val="auto"/>
          <w:sz w:val="21"/>
          <w:szCs w:val="21"/>
          <w:highlight w:val="none"/>
          <w:u w:val="single"/>
        </w:rPr>
        <w:t xml:space="preserve">                                         </w:t>
      </w:r>
    </w:p>
    <w:p w14:paraId="218F5555">
      <w:pPr>
        <w:pStyle w:val="34"/>
        <w:tabs>
          <w:tab w:val="left" w:pos="360"/>
        </w:tabs>
        <w:spacing w:beforeAutospacing="0" w:afterAutospacing="0"/>
        <w:ind w:firstLine="480"/>
        <w:jc w:val="both"/>
        <w:rPr>
          <w:color w:val="auto"/>
          <w:sz w:val="21"/>
          <w:szCs w:val="21"/>
          <w:highlight w:val="none"/>
        </w:rPr>
      </w:pPr>
    </w:p>
    <w:p w14:paraId="66695BCB">
      <w:pPr>
        <w:pStyle w:val="34"/>
        <w:tabs>
          <w:tab w:val="left" w:pos="360"/>
        </w:tabs>
        <w:spacing w:beforeAutospacing="0" w:afterAutospacing="0"/>
        <w:ind w:firstLine="480"/>
        <w:jc w:val="both"/>
        <w:rPr>
          <w:color w:val="auto"/>
          <w:sz w:val="21"/>
          <w:szCs w:val="21"/>
          <w:highlight w:val="none"/>
        </w:rPr>
      </w:pPr>
    </w:p>
    <w:p w14:paraId="00B4412C">
      <w:pPr>
        <w:pStyle w:val="34"/>
        <w:tabs>
          <w:tab w:val="left" w:pos="360"/>
        </w:tabs>
        <w:ind w:firstLine="480"/>
        <w:rPr>
          <w:rFonts w:ascii="宋体" w:hAnsi="宋体" w:eastAsia="宋体"/>
          <w:b/>
          <w:bCs/>
          <w:color w:val="auto"/>
          <w:sz w:val="24"/>
          <w:szCs w:val="24"/>
          <w:highlight w:val="none"/>
          <w:lang w:val="zh-CN"/>
        </w:rPr>
      </w:pPr>
      <w:r>
        <w:rPr>
          <w:rFonts w:hint="eastAsia" w:ascii="宋体" w:hAnsi="宋体" w:eastAsia="宋体"/>
          <w:b/>
          <w:bCs/>
          <w:color w:val="auto"/>
          <w:sz w:val="24"/>
          <w:szCs w:val="24"/>
          <w:highlight w:val="none"/>
          <w:lang w:val="zh-CN"/>
        </w:rPr>
        <w:t>附：被授权人身份证扫描件。</w:t>
      </w:r>
    </w:p>
    <w:tbl>
      <w:tblPr>
        <w:tblStyle w:val="39"/>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061"/>
        <w:gridCol w:w="3927"/>
      </w:tblGrid>
      <w:tr w14:paraId="6FA23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4" w:hRule="atLeast"/>
        </w:trPr>
        <w:tc>
          <w:tcPr>
            <w:tcW w:w="4252" w:type="dxa"/>
            <w:noWrap w:val="0"/>
            <w:vAlign w:val="top"/>
          </w:tcPr>
          <w:p w14:paraId="311D4649">
            <w:pPr>
              <w:pStyle w:val="34"/>
              <w:spacing w:after="0" w:line="240" w:lineRule="auto"/>
              <w:jc w:val="center"/>
              <w:rPr>
                <w:rFonts w:ascii="宋体" w:hAnsi="宋体" w:eastAsia="宋体" w:cs="宋体"/>
                <w:b/>
                <w:iCs/>
                <w:color w:val="auto"/>
                <w:sz w:val="24"/>
                <w:szCs w:val="24"/>
                <w:highlight w:val="none"/>
              </w:rPr>
            </w:pPr>
          </w:p>
          <w:p w14:paraId="673C1094">
            <w:pPr>
              <w:pStyle w:val="34"/>
              <w:spacing w:after="0" w:line="240" w:lineRule="auto"/>
              <w:jc w:val="center"/>
              <w:rPr>
                <w:rFonts w:ascii="宋体" w:hAnsi="宋体" w:eastAsia="宋体" w:cs="宋体"/>
                <w:b/>
                <w:iCs/>
                <w:color w:val="auto"/>
                <w:sz w:val="24"/>
                <w:szCs w:val="24"/>
                <w:highlight w:val="none"/>
              </w:rPr>
            </w:pPr>
          </w:p>
          <w:p w14:paraId="663319DC">
            <w:pPr>
              <w:pStyle w:val="34"/>
              <w:spacing w:after="0" w:line="240" w:lineRule="auto"/>
              <w:jc w:val="center"/>
              <w:rPr>
                <w:rFonts w:ascii="宋体" w:hAnsi="宋体" w:eastAsia="宋体" w:cs="宋体"/>
                <w:b/>
                <w:iCs/>
                <w:color w:val="auto"/>
                <w:sz w:val="24"/>
                <w:szCs w:val="24"/>
                <w:highlight w:val="none"/>
              </w:rPr>
            </w:pPr>
            <w:r>
              <w:rPr>
                <w:rFonts w:hint="eastAsia" w:ascii="宋体" w:hAnsi="宋体" w:eastAsia="宋体" w:cs="宋体"/>
                <w:b/>
                <w:iCs/>
                <w:color w:val="auto"/>
                <w:sz w:val="24"/>
                <w:szCs w:val="24"/>
                <w:highlight w:val="none"/>
              </w:rPr>
              <w:t>正面</w:t>
            </w:r>
          </w:p>
        </w:tc>
        <w:tc>
          <w:tcPr>
            <w:tcW w:w="4111" w:type="dxa"/>
            <w:noWrap w:val="0"/>
            <w:vAlign w:val="top"/>
          </w:tcPr>
          <w:p w14:paraId="52BE63EA">
            <w:pPr>
              <w:pStyle w:val="34"/>
              <w:spacing w:after="0" w:line="240" w:lineRule="auto"/>
              <w:jc w:val="center"/>
              <w:rPr>
                <w:rFonts w:ascii="宋体" w:hAnsi="宋体" w:eastAsia="宋体" w:cs="宋体"/>
                <w:b/>
                <w:iCs/>
                <w:color w:val="auto"/>
                <w:sz w:val="24"/>
                <w:szCs w:val="24"/>
                <w:highlight w:val="none"/>
              </w:rPr>
            </w:pPr>
          </w:p>
          <w:p w14:paraId="6A87867B">
            <w:pPr>
              <w:pStyle w:val="34"/>
              <w:spacing w:after="0" w:line="240" w:lineRule="auto"/>
              <w:jc w:val="center"/>
              <w:rPr>
                <w:rFonts w:ascii="宋体" w:hAnsi="宋体" w:eastAsia="宋体" w:cs="宋体"/>
                <w:b/>
                <w:iCs/>
                <w:color w:val="auto"/>
                <w:sz w:val="24"/>
                <w:szCs w:val="24"/>
                <w:highlight w:val="none"/>
              </w:rPr>
            </w:pPr>
          </w:p>
          <w:p w14:paraId="73073D3E">
            <w:pPr>
              <w:pStyle w:val="34"/>
              <w:spacing w:after="0" w:line="240" w:lineRule="auto"/>
              <w:jc w:val="center"/>
              <w:rPr>
                <w:rFonts w:ascii="宋体" w:hAnsi="宋体" w:eastAsia="宋体" w:cs="宋体"/>
                <w:b/>
                <w:iCs/>
                <w:color w:val="auto"/>
                <w:sz w:val="24"/>
                <w:szCs w:val="24"/>
                <w:highlight w:val="none"/>
              </w:rPr>
            </w:pPr>
            <w:r>
              <w:rPr>
                <w:rFonts w:hint="eastAsia" w:ascii="宋体" w:hAnsi="宋体" w:eastAsia="宋体" w:cs="宋体"/>
                <w:b/>
                <w:iCs/>
                <w:color w:val="auto"/>
                <w:sz w:val="24"/>
                <w:szCs w:val="24"/>
                <w:highlight w:val="none"/>
              </w:rPr>
              <w:t>反面</w:t>
            </w:r>
          </w:p>
        </w:tc>
      </w:tr>
    </w:tbl>
    <w:p w14:paraId="50B42C20">
      <w:pPr>
        <w:pStyle w:val="34"/>
        <w:tabs>
          <w:tab w:val="left" w:pos="360"/>
        </w:tabs>
        <w:spacing w:beforeAutospacing="0" w:afterAutospacing="0"/>
        <w:ind w:firstLine="480"/>
        <w:jc w:val="both"/>
        <w:rPr>
          <w:color w:val="auto"/>
          <w:sz w:val="21"/>
          <w:szCs w:val="21"/>
          <w:highlight w:val="none"/>
        </w:rPr>
      </w:pPr>
    </w:p>
    <w:p w14:paraId="557F1E74">
      <w:pPr>
        <w:pStyle w:val="34"/>
        <w:tabs>
          <w:tab w:val="left" w:pos="360"/>
        </w:tabs>
        <w:spacing w:beforeAutospacing="0" w:afterAutospacing="0"/>
        <w:ind w:firstLine="480"/>
        <w:jc w:val="both"/>
        <w:rPr>
          <w:color w:val="auto"/>
          <w:sz w:val="21"/>
          <w:szCs w:val="21"/>
          <w:highlight w:val="none"/>
        </w:rPr>
      </w:pPr>
    </w:p>
    <w:p w14:paraId="3C882987">
      <w:pPr>
        <w:pStyle w:val="34"/>
        <w:tabs>
          <w:tab w:val="left" w:pos="360"/>
        </w:tabs>
        <w:spacing w:beforeAutospacing="0" w:afterAutospacing="0"/>
        <w:ind w:firstLine="480"/>
        <w:jc w:val="both"/>
        <w:rPr>
          <w:color w:val="auto"/>
          <w:sz w:val="21"/>
          <w:szCs w:val="21"/>
          <w:highlight w:val="none"/>
        </w:rPr>
      </w:pPr>
    </w:p>
    <w:p w14:paraId="21C47954">
      <w:pPr>
        <w:pStyle w:val="34"/>
        <w:tabs>
          <w:tab w:val="left" w:pos="360"/>
        </w:tabs>
        <w:spacing w:beforeAutospacing="0" w:afterAutospacing="0"/>
        <w:ind w:firstLine="480"/>
        <w:jc w:val="both"/>
        <w:rPr>
          <w:color w:val="auto"/>
          <w:sz w:val="21"/>
          <w:szCs w:val="21"/>
          <w:highlight w:val="none"/>
        </w:rPr>
      </w:pPr>
    </w:p>
    <w:p w14:paraId="2E4E51B6">
      <w:pPr>
        <w:pStyle w:val="34"/>
        <w:tabs>
          <w:tab w:val="left" w:pos="360"/>
        </w:tabs>
        <w:spacing w:beforeAutospacing="0" w:afterAutospacing="0"/>
        <w:ind w:firstLine="480"/>
        <w:jc w:val="both"/>
        <w:rPr>
          <w:color w:val="auto"/>
          <w:sz w:val="21"/>
          <w:szCs w:val="21"/>
          <w:highlight w:val="none"/>
        </w:rPr>
      </w:pPr>
    </w:p>
    <w:p w14:paraId="1C3ED7B6">
      <w:pPr>
        <w:pStyle w:val="34"/>
        <w:tabs>
          <w:tab w:val="left" w:pos="360"/>
        </w:tabs>
        <w:spacing w:beforeAutospacing="0" w:afterAutospacing="0"/>
        <w:ind w:firstLine="480"/>
        <w:jc w:val="both"/>
        <w:rPr>
          <w:color w:val="auto"/>
          <w:sz w:val="21"/>
          <w:szCs w:val="21"/>
          <w:highlight w:val="none"/>
        </w:rPr>
      </w:pPr>
    </w:p>
    <w:p w14:paraId="45E4BD61">
      <w:pPr>
        <w:pStyle w:val="34"/>
        <w:tabs>
          <w:tab w:val="left" w:pos="360"/>
        </w:tabs>
        <w:spacing w:beforeAutospacing="0" w:afterAutospacing="0"/>
        <w:ind w:firstLine="480"/>
        <w:jc w:val="both"/>
        <w:rPr>
          <w:color w:val="auto"/>
          <w:sz w:val="21"/>
          <w:szCs w:val="21"/>
          <w:highlight w:val="none"/>
        </w:rPr>
      </w:pPr>
    </w:p>
    <w:p w14:paraId="0BC0A24A">
      <w:pPr>
        <w:pStyle w:val="34"/>
        <w:tabs>
          <w:tab w:val="left" w:pos="360"/>
        </w:tabs>
        <w:spacing w:beforeAutospacing="0" w:afterAutospacing="0"/>
        <w:ind w:firstLine="480"/>
        <w:jc w:val="both"/>
        <w:rPr>
          <w:color w:val="auto"/>
          <w:sz w:val="21"/>
          <w:szCs w:val="21"/>
          <w:highlight w:val="none"/>
        </w:rPr>
      </w:pPr>
    </w:p>
    <w:p w14:paraId="7228EDFE">
      <w:pPr>
        <w:pStyle w:val="34"/>
        <w:tabs>
          <w:tab w:val="left" w:pos="360"/>
        </w:tabs>
        <w:spacing w:beforeAutospacing="0" w:afterAutospacing="0"/>
        <w:ind w:firstLine="480"/>
        <w:jc w:val="both"/>
        <w:rPr>
          <w:color w:val="auto"/>
          <w:sz w:val="21"/>
          <w:szCs w:val="21"/>
          <w:highlight w:val="none"/>
        </w:rPr>
      </w:pPr>
    </w:p>
    <w:p w14:paraId="11FAD2BE">
      <w:pPr>
        <w:pStyle w:val="34"/>
        <w:tabs>
          <w:tab w:val="left" w:pos="360"/>
        </w:tabs>
        <w:spacing w:beforeAutospacing="0" w:afterAutospacing="0"/>
        <w:ind w:firstLine="480"/>
        <w:jc w:val="both"/>
        <w:rPr>
          <w:color w:val="auto"/>
          <w:sz w:val="21"/>
          <w:szCs w:val="21"/>
          <w:highlight w:val="none"/>
        </w:rPr>
      </w:pPr>
    </w:p>
    <w:p w14:paraId="7BFF689D">
      <w:pPr>
        <w:pStyle w:val="34"/>
        <w:tabs>
          <w:tab w:val="left" w:pos="360"/>
        </w:tabs>
        <w:spacing w:beforeAutospacing="0" w:afterAutospacing="0"/>
        <w:ind w:firstLine="480"/>
        <w:jc w:val="both"/>
        <w:rPr>
          <w:color w:val="auto"/>
          <w:sz w:val="21"/>
          <w:szCs w:val="21"/>
          <w:highlight w:val="none"/>
        </w:rPr>
      </w:pPr>
    </w:p>
    <w:p w14:paraId="70A43E03">
      <w:pPr>
        <w:pStyle w:val="34"/>
        <w:keepNext/>
        <w:keepLines/>
        <w:spacing w:before="260" w:beforeAutospacing="0" w:after="260" w:afterAutospacing="0" w:line="415" w:lineRule="auto"/>
        <w:ind w:firstLine="0"/>
        <w:jc w:val="center"/>
        <w:rPr>
          <w:rFonts w:ascii="黑体" w:hAnsi="宋体" w:eastAsia="黑体" w:cs="黑体"/>
          <w:b/>
          <w:bCs/>
          <w:i/>
          <w:color w:val="auto"/>
          <w:sz w:val="32"/>
          <w:szCs w:val="32"/>
          <w:highlight w:val="none"/>
          <w:u w:val="single"/>
        </w:rPr>
      </w:pPr>
      <w:r>
        <w:rPr>
          <w:rFonts w:hint="eastAsia" w:ascii="宋体" w:hAnsi="宋体" w:eastAsia="宋体" w:cs="宋体"/>
          <w:b/>
          <w:i/>
          <w:iCs/>
          <w:color w:val="auto"/>
          <w:highlight w:val="none"/>
          <w:u w:val="single"/>
        </w:rPr>
        <w:t> </w:t>
      </w:r>
      <w:r>
        <w:rPr>
          <w:rFonts w:hint="eastAsia" w:ascii="黑体" w:hAnsi="宋体" w:eastAsia="黑体" w:cs="黑体"/>
          <w:b/>
          <w:i/>
          <w:iCs/>
          <w:color w:val="auto"/>
          <w:sz w:val="32"/>
          <w:szCs w:val="32"/>
          <w:highlight w:val="none"/>
          <w:u w:val="single"/>
        </w:rPr>
        <w:t>八、投标函</w:t>
      </w:r>
    </w:p>
    <w:p w14:paraId="56B390C0">
      <w:pPr>
        <w:pStyle w:val="34"/>
        <w:keepNext w:val="0"/>
        <w:keepLines w:val="0"/>
        <w:pageBreakBefore w:val="0"/>
        <w:widowControl w:val="0"/>
        <w:kinsoku/>
        <w:wordWrap/>
        <w:overflowPunct/>
        <w:topLinePunct w:val="0"/>
        <w:autoSpaceDE/>
        <w:autoSpaceDN/>
        <w:bidi w:val="0"/>
        <w:snapToGrid/>
        <w:spacing w:beforeAutospacing="0" w:afterAutospacing="0" w:line="480" w:lineRule="exact"/>
        <w:rPr>
          <w:rFonts w:hint="eastAsia" w:eastAsia="宋体"/>
          <w:color w:val="auto"/>
          <w:sz w:val="21"/>
          <w:szCs w:val="21"/>
          <w:highlight w:val="none"/>
          <w:lang w:val="en-US" w:eastAsia="zh-CN"/>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lang w:eastAsia="zh-CN"/>
        </w:rPr>
        <w:t>阜宁县人民医院</w:t>
      </w:r>
    </w:p>
    <w:p w14:paraId="643BEF40">
      <w:pPr>
        <w:pStyle w:val="34"/>
        <w:keepNext w:val="0"/>
        <w:keepLines w:val="0"/>
        <w:pageBreakBefore w:val="0"/>
        <w:widowControl w:val="0"/>
        <w:kinsoku/>
        <w:wordWrap/>
        <w:overflowPunct/>
        <w:topLinePunct w:val="0"/>
        <w:autoSpaceDE/>
        <w:autoSpaceDN/>
        <w:bidi w:val="0"/>
        <w:snapToGrid/>
        <w:spacing w:beforeAutospacing="0" w:afterAutospacing="0" w:line="480" w:lineRule="exact"/>
        <w:ind w:firstLine="480"/>
        <w:rPr>
          <w:color w:val="auto"/>
          <w:sz w:val="21"/>
          <w:szCs w:val="21"/>
          <w:highlight w:val="none"/>
        </w:rPr>
      </w:pPr>
      <w:r>
        <w:rPr>
          <w:rFonts w:hint="eastAsia" w:ascii="宋体" w:hAnsi="宋体" w:eastAsia="宋体" w:cs="宋体"/>
          <w:color w:val="auto"/>
          <w:sz w:val="21"/>
          <w:szCs w:val="21"/>
          <w:highlight w:val="none"/>
        </w:rPr>
        <w:t>根据贵方的</w:t>
      </w:r>
      <w:r>
        <w:rPr>
          <w:rFonts w:hint="eastAsia" w:ascii="宋体" w:hAnsi="宋体" w:eastAsia="宋体" w:cs="宋体"/>
          <w:color w:val="auto"/>
          <w:sz w:val="21"/>
          <w:szCs w:val="21"/>
          <w:highlight w:val="none"/>
          <w:lang w:val="en-US" w:eastAsia="zh-CN"/>
        </w:rPr>
        <w:t>JSZC-320923-JZCG-G2026-0003</w:t>
      </w:r>
      <w:r>
        <w:rPr>
          <w:rFonts w:hint="eastAsia" w:ascii="宋体" w:hAnsi="宋体" w:eastAsia="宋体" w:cs="宋体"/>
          <w:color w:val="auto"/>
          <w:sz w:val="21"/>
          <w:szCs w:val="21"/>
          <w:highlight w:val="none"/>
        </w:rPr>
        <w:t>号招标文件，正式授权下述签字人</w:t>
      </w:r>
      <w:r>
        <w:rPr>
          <w:rFonts w:hint="eastAsia" w:ascii="宋体" w:hAnsi="宋体" w:eastAsia="宋体" w:cs="宋体"/>
          <w:color w:val="auto"/>
          <w:sz w:val="21"/>
          <w:szCs w:val="21"/>
          <w:highlight w:val="none"/>
          <w:u w:val="single"/>
          <w:lang w:val="en-US" w:eastAsia="zh-CN"/>
        </w:rPr>
        <w:t xml:space="preserve">      （姓名）</w:t>
      </w:r>
      <w:r>
        <w:rPr>
          <w:rFonts w:hint="eastAsia" w:ascii="宋体" w:hAnsi="宋体" w:eastAsia="宋体" w:cs="宋体"/>
          <w:color w:val="auto"/>
          <w:sz w:val="21"/>
          <w:szCs w:val="21"/>
          <w:highlight w:val="none"/>
        </w:rPr>
        <w:t>代表我方_____________（投标人的名称），全权处理本次项目投标的有关事宜。</w:t>
      </w:r>
    </w:p>
    <w:p w14:paraId="579EF3E9">
      <w:pPr>
        <w:pStyle w:val="34"/>
        <w:keepNext w:val="0"/>
        <w:keepLines w:val="0"/>
        <w:pageBreakBefore w:val="0"/>
        <w:widowControl w:val="0"/>
        <w:kinsoku/>
        <w:wordWrap/>
        <w:overflowPunct/>
        <w:topLinePunct w:val="0"/>
        <w:autoSpaceDE/>
        <w:autoSpaceDN/>
        <w:bidi w:val="0"/>
        <w:snapToGrid/>
        <w:spacing w:beforeAutospacing="0" w:afterAutospacing="0" w:line="480" w:lineRule="exact"/>
        <w:ind w:firstLine="480"/>
        <w:rPr>
          <w:color w:val="auto"/>
          <w:sz w:val="21"/>
          <w:szCs w:val="21"/>
          <w:highlight w:val="none"/>
        </w:rPr>
      </w:pPr>
      <w:r>
        <w:rPr>
          <w:rFonts w:hint="eastAsia" w:ascii="宋体" w:hAnsi="宋体" w:eastAsia="宋体" w:cs="宋体"/>
          <w:color w:val="auto"/>
          <w:sz w:val="21"/>
          <w:szCs w:val="21"/>
          <w:highlight w:val="none"/>
        </w:rPr>
        <w:t>据此函，签字人兹宣布同意如下：</w:t>
      </w:r>
    </w:p>
    <w:p w14:paraId="6A610C2B">
      <w:pPr>
        <w:pStyle w:val="34"/>
        <w:keepNext w:val="0"/>
        <w:keepLines w:val="0"/>
        <w:pageBreakBefore w:val="0"/>
        <w:widowControl w:val="0"/>
        <w:kinsoku/>
        <w:wordWrap/>
        <w:overflowPunct/>
        <w:topLinePunct w:val="0"/>
        <w:autoSpaceDE/>
        <w:autoSpaceDN/>
        <w:bidi w:val="0"/>
        <w:snapToGrid/>
        <w:spacing w:beforeAutospacing="0" w:afterAutospacing="0" w:line="480" w:lineRule="exact"/>
        <w:ind w:firstLine="480"/>
        <w:rPr>
          <w:color w:val="auto"/>
          <w:sz w:val="21"/>
          <w:szCs w:val="21"/>
          <w:highlight w:val="none"/>
        </w:rPr>
      </w:pPr>
      <w:r>
        <w:rPr>
          <w:rFonts w:hint="eastAsia" w:ascii="宋体" w:hAnsi="宋体" w:eastAsia="宋体" w:cs="宋体"/>
          <w:color w:val="auto"/>
          <w:sz w:val="21"/>
          <w:szCs w:val="21"/>
          <w:highlight w:val="none"/>
        </w:rPr>
        <w:t>1.按招标文件规定的各项要求，向买方提供所需服务（包含与服务相关的货物）。</w:t>
      </w:r>
    </w:p>
    <w:p w14:paraId="4BAD16E4">
      <w:pPr>
        <w:pStyle w:val="34"/>
        <w:keepNext w:val="0"/>
        <w:keepLines w:val="0"/>
        <w:pageBreakBefore w:val="0"/>
        <w:widowControl w:val="0"/>
        <w:kinsoku/>
        <w:wordWrap/>
        <w:overflowPunct/>
        <w:topLinePunct w:val="0"/>
        <w:autoSpaceDE/>
        <w:autoSpaceDN/>
        <w:bidi w:val="0"/>
        <w:snapToGrid/>
        <w:spacing w:beforeAutospacing="0" w:afterAutospacing="0" w:line="480" w:lineRule="exact"/>
        <w:ind w:firstLine="480"/>
        <w:rPr>
          <w:color w:val="auto"/>
          <w:sz w:val="21"/>
          <w:szCs w:val="21"/>
          <w:highlight w:val="none"/>
        </w:rPr>
      </w:pPr>
      <w:r>
        <w:rPr>
          <w:rFonts w:hint="eastAsia" w:ascii="宋体" w:hAnsi="宋体" w:eastAsia="宋体" w:cs="宋体"/>
          <w:color w:val="auto"/>
          <w:sz w:val="21"/>
          <w:szCs w:val="21"/>
          <w:highlight w:val="none"/>
        </w:rPr>
        <w:t>2.我们完全理解贵方不一定将合同授予最低报价的投标人。</w:t>
      </w:r>
    </w:p>
    <w:p w14:paraId="48E67AE0">
      <w:pPr>
        <w:pStyle w:val="34"/>
        <w:keepNext w:val="0"/>
        <w:keepLines w:val="0"/>
        <w:pageBreakBefore w:val="0"/>
        <w:widowControl w:val="0"/>
        <w:kinsoku/>
        <w:wordWrap/>
        <w:overflowPunct/>
        <w:topLinePunct w:val="0"/>
        <w:autoSpaceDE/>
        <w:autoSpaceDN/>
        <w:bidi w:val="0"/>
        <w:snapToGrid/>
        <w:spacing w:beforeAutospacing="0" w:afterAutospacing="0" w:line="480" w:lineRule="exact"/>
        <w:ind w:firstLine="480"/>
        <w:rPr>
          <w:color w:val="auto"/>
          <w:sz w:val="21"/>
          <w:szCs w:val="21"/>
          <w:highlight w:val="none"/>
        </w:rPr>
      </w:pPr>
      <w:r>
        <w:rPr>
          <w:rFonts w:hint="eastAsia" w:ascii="宋体" w:hAnsi="宋体" w:eastAsia="宋体" w:cs="宋体"/>
          <w:color w:val="auto"/>
          <w:sz w:val="21"/>
          <w:szCs w:val="21"/>
          <w:highlight w:val="none"/>
        </w:rPr>
        <w:t>3.我们已详细审核全部招标文件及其有效补充文件，我们知道必须放弃提出含糊不清或误解问题的权利。</w:t>
      </w:r>
    </w:p>
    <w:p w14:paraId="799E4342">
      <w:pPr>
        <w:pStyle w:val="34"/>
        <w:keepNext w:val="0"/>
        <w:keepLines w:val="0"/>
        <w:pageBreakBefore w:val="0"/>
        <w:widowControl w:val="0"/>
        <w:kinsoku/>
        <w:wordWrap/>
        <w:overflowPunct/>
        <w:topLinePunct w:val="0"/>
        <w:autoSpaceDE/>
        <w:autoSpaceDN/>
        <w:bidi w:val="0"/>
        <w:snapToGrid/>
        <w:spacing w:beforeAutospacing="0" w:afterAutospacing="0" w:line="480" w:lineRule="exact"/>
        <w:ind w:firstLine="480"/>
        <w:rPr>
          <w:color w:val="auto"/>
          <w:sz w:val="21"/>
          <w:szCs w:val="21"/>
          <w:highlight w:val="none"/>
        </w:rPr>
      </w:pPr>
      <w:r>
        <w:rPr>
          <w:rFonts w:hint="eastAsia" w:ascii="宋体" w:hAnsi="宋体" w:eastAsia="宋体" w:cs="宋体"/>
          <w:color w:val="auto"/>
          <w:sz w:val="21"/>
          <w:szCs w:val="21"/>
          <w:highlight w:val="none"/>
        </w:rPr>
        <w:t>4.我们同意从规定的开标日期起遵循本投标文件，并在规定的投标有效期期满之前均具有约束力。</w:t>
      </w:r>
    </w:p>
    <w:p w14:paraId="731E4844">
      <w:pPr>
        <w:pStyle w:val="34"/>
        <w:keepNext w:val="0"/>
        <w:keepLines w:val="0"/>
        <w:pageBreakBefore w:val="0"/>
        <w:widowControl w:val="0"/>
        <w:kinsoku/>
        <w:wordWrap/>
        <w:overflowPunct/>
        <w:topLinePunct w:val="0"/>
        <w:autoSpaceDE/>
        <w:autoSpaceDN/>
        <w:bidi w:val="0"/>
        <w:snapToGrid/>
        <w:spacing w:beforeAutospacing="0" w:afterAutospacing="0" w:line="480" w:lineRule="exact"/>
        <w:ind w:firstLine="480"/>
        <w:rPr>
          <w:color w:val="auto"/>
          <w:sz w:val="21"/>
          <w:szCs w:val="21"/>
          <w:highlight w:val="none"/>
        </w:rPr>
      </w:pPr>
      <w:r>
        <w:rPr>
          <w:rFonts w:hint="eastAsia" w:ascii="宋体" w:hAnsi="宋体" w:eastAsia="宋体" w:cs="宋体"/>
          <w:color w:val="auto"/>
          <w:sz w:val="21"/>
          <w:szCs w:val="21"/>
          <w:highlight w:val="none"/>
        </w:rPr>
        <w:t>5.同意向贵方提供贵方可能另外要求的与投标有关的任何证据或资料，并保证我方已提供和将要提供的文件是真实的、准确的。</w:t>
      </w:r>
    </w:p>
    <w:p w14:paraId="0DA352E0">
      <w:pPr>
        <w:pStyle w:val="34"/>
        <w:keepNext w:val="0"/>
        <w:keepLines w:val="0"/>
        <w:pageBreakBefore w:val="0"/>
        <w:widowControl w:val="0"/>
        <w:kinsoku/>
        <w:wordWrap/>
        <w:overflowPunct/>
        <w:topLinePunct w:val="0"/>
        <w:autoSpaceDE/>
        <w:autoSpaceDN/>
        <w:bidi w:val="0"/>
        <w:snapToGrid/>
        <w:spacing w:beforeAutospacing="0" w:afterAutospacing="0" w:line="480" w:lineRule="exact"/>
        <w:ind w:firstLine="480"/>
        <w:rPr>
          <w:color w:val="auto"/>
          <w:sz w:val="21"/>
          <w:szCs w:val="21"/>
          <w:highlight w:val="none"/>
        </w:rPr>
      </w:pPr>
      <w:r>
        <w:rPr>
          <w:rFonts w:hint="eastAsia" w:ascii="宋体" w:hAnsi="宋体" w:eastAsia="宋体" w:cs="宋体"/>
          <w:color w:val="auto"/>
          <w:sz w:val="21"/>
          <w:szCs w:val="21"/>
          <w:highlight w:val="none"/>
        </w:rPr>
        <w:t>6.一旦我方中标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我方将根据招标文件的规定，严格履行合同的责任和义务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并保证在招标文件规定的时</w:t>
      </w:r>
      <w:r>
        <w:rPr>
          <w:rFonts w:hint="eastAsia" w:ascii="宋体" w:hAnsi="宋体" w:eastAsia="宋体" w:cs="宋体"/>
          <w:color w:val="auto"/>
          <w:sz w:val="21"/>
          <w:szCs w:val="21"/>
          <w:highlight w:val="none"/>
          <w:lang w:eastAsia="zh-CN"/>
        </w:rPr>
        <w:t>间内</w:t>
      </w:r>
      <w:r>
        <w:rPr>
          <w:rFonts w:hint="eastAsia" w:ascii="宋体" w:hAnsi="宋体" w:eastAsia="宋体" w:cs="宋体"/>
          <w:color w:val="auto"/>
          <w:sz w:val="21"/>
          <w:szCs w:val="21"/>
          <w:highlight w:val="none"/>
        </w:rPr>
        <w:t>完成项目，交付买方验收、使用。</w:t>
      </w:r>
    </w:p>
    <w:p w14:paraId="3860345E">
      <w:pPr>
        <w:pStyle w:val="34"/>
        <w:keepNext w:val="0"/>
        <w:keepLines w:val="0"/>
        <w:pageBreakBefore w:val="0"/>
        <w:widowControl w:val="0"/>
        <w:kinsoku/>
        <w:wordWrap/>
        <w:overflowPunct/>
        <w:topLinePunct w:val="0"/>
        <w:autoSpaceDE/>
        <w:autoSpaceDN/>
        <w:bidi w:val="0"/>
        <w:snapToGrid/>
        <w:spacing w:beforeAutospacing="0" w:afterAutospacing="0" w:line="480" w:lineRule="exact"/>
        <w:ind w:firstLine="480"/>
        <w:rPr>
          <w:color w:val="auto"/>
          <w:sz w:val="21"/>
          <w:szCs w:val="21"/>
          <w:highlight w:val="none"/>
        </w:rPr>
      </w:pPr>
      <w:r>
        <w:rPr>
          <w:rFonts w:hint="eastAsia" w:ascii="宋体" w:hAnsi="宋体" w:eastAsia="宋体" w:cs="宋体"/>
          <w:color w:val="auto"/>
          <w:sz w:val="21"/>
          <w:szCs w:val="21"/>
          <w:highlight w:val="none"/>
        </w:rPr>
        <w:t>7.与本投标有关的正式通讯地址为：</w:t>
      </w:r>
    </w:p>
    <w:p w14:paraId="1D65AB1A">
      <w:pPr>
        <w:pStyle w:val="34"/>
        <w:keepNext w:val="0"/>
        <w:keepLines w:val="0"/>
        <w:pageBreakBefore w:val="0"/>
        <w:widowControl w:val="0"/>
        <w:kinsoku/>
        <w:wordWrap/>
        <w:overflowPunct/>
        <w:topLinePunct w:val="0"/>
        <w:autoSpaceDE/>
        <w:autoSpaceDN/>
        <w:bidi w:val="0"/>
        <w:snapToGrid/>
        <w:spacing w:beforeAutospacing="0" w:afterAutospacing="0" w:line="480" w:lineRule="exact"/>
        <w:ind w:left="420" w:firstLine="480"/>
        <w:rPr>
          <w:color w:val="auto"/>
          <w:sz w:val="21"/>
          <w:szCs w:val="21"/>
          <w:highlight w:val="none"/>
        </w:rPr>
      </w:pPr>
      <w:r>
        <w:rPr>
          <w:rFonts w:hint="eastAsia" w:ascii="宋体" w:hAnsi="宋体" w:eastAsia="宋体" w:cs="宋体"/>
          <w:color w:val="auto"/>
          <w:sz w:val="21"/>
          <w:szCs w:val="21"/>
          <w:highlight w:val="none"/>
        </w:rPr>
        <w:t>地   址：</w:t>
      </w:r>
    </w:p>
    <w:p w14:paraId="08FC3326">
      <w:pPr>
        <w:pStyle w:val="34"/>
        <w:keepNext w:val="0"/>
        <w:keepLines w:val="0"/>
        <w:pageBreakBefore w:val="0"/>
        <w:widowControl w:val="0"/>
        <w:kinsoku/>
        <w:wordWrap/>
        <w:overflowPunct/>
        <w:topLinePunct w:val="0"/>
        <w:autoSpaceDE/>
        <w:autoSpaceDN/>
        <w:bidi w:val="0"/>
        <w:snapToGrid/>
        <w:spacing w:beforeAutospacing="0" w:afterAutospacing="0" w:line="480" w:lineRule="exact"/>
        <w:ind w:left="420" w:firstLine="480"/>
        <w:rPr>
          <w:color w:val="auto"/>
          <w:sz w:val="21"/>
          <w:szCs w:val="21"/>
          <w:highlight w:val="none"/>
        </w:rPr>
      </w:pPr>
      <w:r>
        <w:rPr>
          <w:rFonts w:hint="eastAsia" w:ascii="宋体" w:hAnsi="宋体" w:eastAsia="宋体" w:cs="宋体"/>
          <w:color w:val="auto"/>
          <w:sz w:val="21"/>
          <w:szCs w:val="21"/>
          <w:highlight w:val="none"/>
        </w:rPr>
        <w:t>邮   编：</w:t>
      </w:r>
    </w:p>
    <w:p w14:paraId="1E48F73C">
      <w:pPr>
        <w:pStyle w:val="34"/>
        <w:keepNext w:val="0"/>
        <w:keepLines w:val="0"/>
        <w:pageBreakBefore w:val="0"/>
        <w:widowControl w:val="0"/>
        <w:kinsoku/>
        <w:wordWrap/>
        <w:overflowPunct/>
        <w:topLinePunct w:val="0"/>
        <w:autoSpaceDE/>
        <w:autoSpaceDN/>
        <w:bidi w:val="0"/>
        <w:snapToGrid/>
        <w:spacing w:beforeAutospacing="0" w:afterAutospacing="0" w:line="480" w:lineRule="exact"/>
        <w:ind w:left="420" w:firstLine="480"/>
        <w:rPr>
          <w:color w:val="auto"/>
          <w:sz w:val="21"/>
          <w:szCs w:val="21"/>
          <w:highlight w:val="none"/>
        </w:rPr>
      </w:pPr>
      <w:r>
        <w:rPr>
          <w:rFonts w:hint="eastAsia" w:ascii="宋体" w:hAnsi="宋体" w:eastAsia="宋体" w:cs="宋体"/>
          <w:color w:val="auto"/>
          <w:sz w:val="21"/>
          <w:szCs w:val="21"/>
          <w:highlight w:val="none"/>
        </w:rPr>
        <w:t>电   话：</w:t>
      </w:r>
    </w:p>
    <w:p w14:paraId="1E29EBF9">
      <w:pPr>
        <w:pStyle w:val="34"/>
        <w:keepNext w:val="0"/>
        <w:keepLines w:val="0"/>
        <w:pageBreakBefore w:val="0"/>
        <w:widowControl w:val="0"/>
        <w:kinsoku/>
        <w:wordWrap/>
        <w:overflowPunct/>
        <w:topLinePunct w:val="0"/>
        <w:autoSpaceDE/>
        <w:autoSpaceDN/>
        <w:bidi w:val="0"/>
        <w:snapToGrid/>
        <w:spacing w:beforeAutospacing="0" w:afterAutospacing="0" w:line="480" w:lineRule="exact"/>
        <w:ind w:left="420" w:firstLine="480"/>
        <w:rPr>
          <w:color w:val="auto"/>
          <w:sz w:val="21"/>
          <w:szCs w:val="21"/>
          <w:highlight w:val="none"/>
        </w:rPr>
      </w:pPr>
      <w:r>
        <w:rPr>
          <w:rFonts w:hint="eastAsia" w:ascii="宋体" w:hAnsi="宋体" w:eastAsia="宋体" w:cs="宋体"/>
          <w:color w:val="auto"/>
          <w:sz w:val="21"/>
          <w:szCs w:val="21"/>
          <w:highlight w:val="none"/>
        </w:rPr>
        <w:t>传   真：</w:t>
      </w:r>
    </w:p>
    <w:p w14:paraId="78EE73D8">
      <w:pPr>
        <w:pStyle w:val="34"/>
        <w:keepNext w:val="0"/>
        <w:keepLines w:val="0"/>
        <w:pageBreakBefore w:val="0"/>
        <w:widowControl w:val="0"/>
        <w:kinsoku/>
        <w:wordWrap/>
        <w:overflowPunct/>
        <w:topLinePunct w:val="0"/>
        <w:autoSpaceDE/>
        <w:autoSpaceDN/>
        <w:bidi w:val="0"/>
        <w:snapToGrid/>
        <w:spacing w:beforeAutospacing="0" w:afterAutospacing="0" w:line="480" w:lineRule="exact"/>
        <w:ind w:left="420" w:firstLine="480"/>
        <w:rPr>
          <w:color w:val="auto"/>
          <w:sz w:val="21"/>
          <w:szCs w:val="21"/>
          <w:highlight w:val="none"/>
        </w:rPr>
      </w:pPr>
      <w:r>
        <w:rPr>
          <w:rFonts w:hint="eastAsia" w:ascii="宋体" w:hAnsi="宋体" w:eastAsia="宋体" w:cs="宋体"/>
          <w:color w:val="auto"/>
          <w:sz w:val="21"/>
          <w:szCs w:val="21"/>
          <w:highlight w:val="none"/>
        </w:rPr>
        <w:t>投标人开户行：</w:t>
      </w:r>
    </w:p>
    <w:p w14:paraId="68A49D7C">
      <w:pPr>
        <w:pStyle w:val="34"/>
        <w:keepNext w:val="0"/>
        <w:keepLines w:val="0"/>
        <w:pageBreakBefore w:val="0"/>
        <w:widowControl w:val="0"/>
        <w:kinsoku/>
        <w:wordWrap/>
        <w:overflowPunct/>
        <w:topLinePunct w:val="0"/>
        <w:autoSpaceDE/>
        <w:autoSpaceDN/>
        <w:bidi w:val="0"/>
        <w:snapToGrid/>
        <w:spacing w:beforeAutospacing="0" w:afterAutospacing="0" w:line="480" w:lineRule="exact"/>
        <w:ind w:left="420" w:firstLine="480"/>
        <w:rPr>
          <w:color w:val="auto"/>
          <w:sz w:val="21"/>
          <w:szCs w:val="21"/>
          <w:highlight w:val="none"/>
        </w:rPr>
      </w:pPr>
      <w:r>
        <w:rPr>
          <w:rFonts w:hint="eastAsia" w:ascii="宋体" w:hAnsi="宋体" w:eastAsia="宋体" w:cs="宋体"/>
          <w:color w:val="auto"/>
          <w:sz w:val="21"/>
          <w:szCs w:val="21"/>
          <w:highlight w:val="none"/>
        </w:rPr>
        <w:t xml:space="preserve">账   号： </w:t>
      </w:r>
    </w:p>
    <w:p w14:paraId="6F7C6C08">
      <w:pPr>
        <w:keepNext w:val="0"/>
        <w:keepLines w:val="0"/>
        <w:pageBreakBefore w:val="0"/>
        <w:widowControl w:val="0"/>
        <w:tabs>
          <w:tab w:val="left" w:pos="360"/>
        </w:tabs>
        <w:kinsoku/>
        <w:wordWrap/>
        <w:overflowPunct/>
        <w:topLinePunct w:val="0"/>
        <w:autoSpaceDE/>
        <w:autoSpaceDN/>
        <w:bidi w:val="0"/>
        <w:snapToGrid/>
        <w:spacing w:line="480" w:lineRule="exact"/>
        <w:ind w:firstLine="960" w:firstLineChars="400"/>
        <w:rPr>
          <w:rFonts w:hint="eastAsia" w:ascii="宋体" w:hAnsi="宋体" w:cs="宋体"/>
          <w:color w:val="auto"/>
          <w:sz w:val="24"/>
          <w:szCs w:val="24"/>
          <w:highlight w:val="none"/>
        </w:rPr>
      </w:pPr>
      <w:r>
        <w:rPr>
          <w:rFonts w:hint="eastAsia"/>
          <w:color w:val="auto"/>
          <w:sz w:val="24"/>
          <w:szCs w:val="24"/>
          <w:highlight w:val="none"/>
        </w:rPr>
        <w:t>单位名称：</w:t>
      </w:r>
      <w:r>
        <w:rPr>
          <w:rFonts w:hint="eastAsia"/>
          <w:color w:val="auto"/>
          <w:sz w:val="24"/>
          <w:szCs w:val="24"/>
          <w:highlight w:val="none"/>
          <w:u w:val="single"/>
        </w:rPr>
        <w:t>（加盖CA电子公章）</w:t>
      </w:r>
    </w:p>
    <w:p w14:paraId="5B6F7D1E">
      <w:pPr>
        <w:keepNext w:val="0"/>
        <w:keepLines w:val="0"/>
        <w:pageBreakBefore w:val="0"/>
        <w:widowControl w:val="0"/>
        <w:kinsoku/>
        <w:wordWrap/>
        <w:overflowPunct/>
        <w:topLinePunct w:val="0"/>
        <w:autoSpaceDE/>
        <w:autoSpaceDN/>
        <w:bidi w:val="0"/>
        <w:adjustRightInd w:val="0"/>
        <w:snapToGrid/>
        <w:spacing w:line="480" w:lineRule="exact"/>
        <w:ind w:left="420" w:leftChars="200" w:firstLine="480" w:firstLineChars="200"/>
        <w:jc w:val="left"/>
        <w:textAlignment w:val="baseline"/>
        <w:rPr>
          <w:rFonts w:hint="eastAsia" w:ascii="宋体" w:hAnsi="宋体"/>
          <w:b/>
          <w:bCs/>
          <w:i w:val="0"/>
          <w:iCs w:val="0"/>
          <w:color w:val="auto"/>
          <w:sz w:val="24"/>
          <w:szCs w:val="24"/>
          <w:highlight w:val="none"/>
          <w:lang w:val="en-US" w:eastAsia="zh-CN"/>
        </w:rPr>
      </w:pPr>
      <w:r>
        <w:rPr>
          <w:rFonts w:hint="eastAsia" w:ascii="宋体" w:hAnsi="宋体"/>
          <w:b/>
          <w:bCs/>
          <w:i w:val="0"/>
          <w:iCs w:val="0"/>
          <w:color w:val="auto"/>
          <w:sz w:val="24"/>
          <w:szCs w:val="24"/>
          <w:highlight w:val="none"/>
          <w:lang w:val="en-US" w:eastAsia="zh-CN"/>
        </w:rPr>
        <w:t>被授权人（签字）：</w:t>
      </w:r>
    </w:p>
    <w:p w14:paraId="78DD51FD">
      <w:pPr>
        <w:pStyle w:val="34"/>
        <w:keepNext w:val="0"/>
        <w:keepLines w:val="0"/>
        <w:pageBreakBefore w:val="0"/>
        <w:widowControl w:val="0"/>
        <w:kinsoku/>
        <w:wordWrap/>
        <w:overflowPunct/>
        <w:topLinePunct w:val="0"/>
        <w:autoSpaceDE/>
        <w:autoSpaceDN/>
        <w:bidi w:val="0"/>
        <w:snapToGrid/>
        <w:spacing w:beforeAutospacing="0" w:afterAutospacing="0" w:line="480" w:lineRule="exact"/>
        <w:ind w:left="420" w:firstLine="480"/>
        <w:rPr>
          <w:color w:val="auto"/>
          <w:sz w:val="21"/>
          <w:szCs w:val="21"/>
          <w:highlight w:val="none"/>
        </w:rPr>
      </w:pPr>
      <w:r>
        <w:rPr>
          <w:rFonts w:hint="eastAsia" w:ascii="宋体" w:hAnsi="宋体" w:eastAsia="宋体" w:cs="宋体"/>
          <w:color w:val="auto"/>
          <w:sz w:val="21"/>
          <w:szCs w:val="21"/>
          <w:highlight w:val="none"/>
        </w:rPr>
        <w:t>日    期：________年____月____日</w:t>
      </w:r>
    </w:p>
    <w:p w14:paraId="08BE9164">
      <w:pPr>
        <w:pStyle w:val="34"/>
        <w:spacing w:beforeAutospacing="0" w:afterAutospacing="0" w:line="0" w:lineRule="atLeast"/>
        <w:ind w:firstLine="240"/>
        <w:jc w:val="center"/>
        <w:rPr>
          <w:color w:val="auto"/>
          <w:highlight w:val="none"/>
        </w:rPr>
      </w:pPr>
      <w:r>
        <w:rPr>
          <w:color w:val="auto"/>
          <w:highlight w:val="none"/>
        </w:rPr>
        <w:t> </w:t>
      </w:r>
    </w:p>
    <w:p w14:paraId="07D77795">
      <w:pPr>
        <w:pStyle w:val="34"/>
        <w:spacing w:beforeAutospacing="0" w:afterAutospacing="0" w:line="0" w:lineRule="atLeast"/>
        <w:ind w:firstLine="240"/>
        <w:jc w:val="center"/>
        <w:rPr>
          <w:color w:val="auto"/>
          <w:highlight w:val="none"/>
        </w:rPr>
      </w:pPr>
      <w:r>
        <w:rPr>
          <w:color w:val="auto"/>
          <w:highlight w:val="none"/>
        </w:rPr>
        <w:t> </w:t>
      </w:r>
    </w:p>
    <w:p w14:paraId="676C7A24">
      <w:pPr>
        <w:pStyle w:val="34"/>
        <w:spacing w:beforeAutospacing="0" w:afterAutospacing="0" w:line="0" w:lineRule="atLeast"/>
        <w:ind w:firstLine="240"/>
        <w:jc w:val="center"/>
        <w:rPr>
          <w:color w:val="auto"/>
          <w:highlight w:val="none"/>
        </w:rPr>
      </w:pPr>
      <w:r>
        <w:rPr>
          <w:color w:val="auto"/>
          <w:highlight w:val="none"/>
        </w:rPr>
        <w:t> </w:t>
      </w:r>
    </w:p>
    <w:p w14:paraId="1840F372">
      <w:pPr>
        <w:pStyle w:val="34"/>
        <w:spacing w:beforeAutospacing="0" w:afterAutospacing="0" w:line="0" w:lineRule="atLeast"/>
        <w:ind w:firstLine="240"/>
        <w:jc w:val="center"/>
        <w:rPr>
          <w:color w:val="auto"/>
          <w:highlight w:val="none"/>
        </w:rPr>
      </w:pPr>
      <w:r>
        <w:rPr>
          <w:color w:val="auto"/>
          <w:highlight w:val="none"/>
        </w:rPr>
        <w:t>   </w:t>
      </w:r>
    </w:p>
    <w:p w14:paraId="01A200DB">
      <w:pPr>
        <w:pStyle w:val="34"/>
        <w:numPr>
          <w:ilvl w:val="0"/>
          <w:numId w:val="0"/>
        </w:numPr>
        <w:spacing w:beforeAutospacing="0" w:afterAutospacing="0" w:line="0" w:lineRule="atLeast"/>
        <w:jc w:val="cente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bidi="ar-SA"/>
        </w:rPr>
        <w:t>九、</w:t>
      </w:r>
      <w:r>
        <w:rPr>
          <w:rFonts w:hint="eastAsia" w:ascii="黑体" w:hAnsi="宋体" w:eastAsia="黑体" w:cs="黑体"/>
          <w:b/>
          <w:color w:val="auto"/>
          <w:sz w:val="32"/>
          <w:szCs w:val="32"/>
          <w:highlight w:val="none"/>
          <w:u w:val="single"/>
        </w:rPr>
        <w:t>中小企业声明函</w:t>
      </w:r>
      <w:r>
        <w:rPr>
          <w:rFonts w:hint="eastAsia" w:ascii="黑体" w:hAnsi="宋体" w:eastAsia="黑体" w:cs="黑体"/>
          <w:b/>
          <w:color w:val="auto"/>
          <w:sz w:val="32"/>
          <w:szCs w:val="32"/>
          <w:highlight w:val="none"/>
        </w:rPr>
        <w:t>（服务）</w:t>
      </w:r>
    </w:p>
    <w:p w14:paraId="46F0FA90">
      <w:pPr>
        <w:pStyle w:val="34"/>
        <w:numPr>
          <w:ilvl w:val="0"/>
          <w:numId w:val="0"/>
        </w:numPr>
        <w:spacing w:beforeAutospacing="0" w:afterAutospacing="0" w:line="0" w:lineRule="atLeast"/>
        <w:jc w:val="center"/>
        <w:rPr>
          <w:rFonts w:ascii="黑体" w:hAnsi="宋体" w:eastAsia="黑体" w:cs="黑体"/>
          <w:b/>
          <w:color w:val="auto"/>
          <w:sz w:val="32"/>
          <w:szCs w:val="32"/>
          <w:highlight w:val="none"/>
        </w:rPr>
      </w:pPr>
    </w:p>
    <w:p w14:paraId="660F6C58">
      <w:pPr>
        <w:spacing w:line="500" w:lineRule="exact"/>
        <w:ind w:firstLine="480"/>
        <w:rPr>
          <w:rFonts w:ascii="宋体" w:hAnsi="宋体" w:eastAsia="宋体" w:cs="宋体"/>
          <w:color w:val="auto"/>
          <w:szCs w:val="21"/>
          <w:highlight w:val="none"/>
        </w:rPr>
      </w:pPr>
      <w:r>
        <w:rPr>
          <w:rFonts w:hint="eastAsia" w:ascii="宋体" w:hAnsi="宋体" w:eastAsia="宋体" w:cs="宋体"/>
          <w:color w:val="auto"/>
          <w:szCs w:val="21"/>
          <w:highlight w:val="none"/>
        </w:rPr>
        <w:t>本公司（联合体）郑重声明，根据《政府采购促进中小企业发展管理办法》（财库﹝2020﹞46 号）的规定，本公司</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参加</w:t>
      </w:r>
      <w:r>
        <w:rPr>
          <w:rFonts w:hint="eastAsia" w:ascii="宋体" w:hAnsi="宋体" w:eastAsia="宋体" w:cs="宋体"/>
          <w:color w:val="auto"/>
          <w:szCs w:val="21"/>
          <w:highlight w:val="none"/>
          <w:u w:val="single"/>
          <w:lang w:eastAsia="zh-CN"/>
        </w:rPr>
        <w:t>阜宁县人民医院</w:t>
      </w:r>
      <w:r>
        <w:rPr>
          <w:rFonts w:hint="eastAsia" w:ascii="宋体" w:hAnsi="宋体" w:eastAsia="宋体" w:cs="宋体"/>
          <w:color w:val="auto"/>
          <w:szCs w:val="21"/>
          <w:highlight w:val="none"/>
        </w:rPr>
        <w:t>组织的，采购编号</w:t>
      </w:r>
      <w:r>
        <w:rPr>
          <w:rFonts w:hint="eastAsia" w:ascii="宋体" w:hAnsi="宋体" w:eastAsia="宋体" w:cs="宋体"/>
          <w:color w:val="auto"/>
          <w:szCs w:val="21"/>
          <w:highlight w:val="none"/>
          <w:lang w:val="en-US" w:eastAsia="zh-CN"/>
        </w:rPr>
        <w:t>为</w:t>
      </w:r>
      <w:r>
        <w:rPr>
          <w:rFonts w:hint="eastAsia" w:ascii="宋体" w:hAnsi="宋体" w:eastAsia="宋体" w:cs="宋体"/>
          <w:color w:val="auto"/>
          <w:szCs w:val="21"/>
          <w:highlight w:val="none"/>
          <w:u w:val="single"/>
          <w:lang w:val="en-US" w:eastAsia="zh-CN"/>
        </w:rPr>
        <w:t>JSZC-320923-JZCG-G2026-0003</w:t>
      </w:r>
      <w:r>
        <w:rPr>
          <w:rFonts w:hint="eastAsia" w:ascii="宋体" w:hAnsi="宋体" w:eastAsia="宋体" w:cs="宋体"/>
          <w:color w:val="auto"/>
          <w:szCs w:val="21"/>
          <w:highlight w:val="none"/>
          <w:lang w:eastAsia="zh-CN"/>
        </w:rPr>
        <w:t>，</w:t>
      </w:r>
      <w:r>
        <w:rPr>
          <w:rFonts w:hint="eastAsia" w:ascii="宋体" w:hAnsi="宋体" w:eastAsia="宋体" w:cs="宋体"/>
          <w:i/>
          <w:iCs/>
          <w:color w:val="auto"/>
          <w:szCs w:val="21"/>
          <w:highlight w:val="none"/>
          <w:u w:val="single"/>
        </w:rPr>
        <w:t>（</w:t>
      </w:r>
      <w:r>
        <w:rPr>
          <w:rFonts w:hint="eastAsia" w:ascii="宋体" w:hAnsi="宋体" w:eastAsia="宋体" w:cs="宋体"/>
          <w:i/>
          <w:iCs/>
          <w:color w:val="auto"/>
          <w:szCs w:val="21"/>
          <w:highlight w:val="none"/>
          <w:u w:val="single"/>
          <w:lang w:val="en-US" w:eastAsia="zh-CN"/>
        </w:rPr>
        <w:t xml:space="preserve">   </w:t>
      </w:r>
      <w:r>
        <w:rPr>
          <w:rFonts w:hint="eastAsia" w:ascii="宋体" w:hAnsi="宋体" w:eastAsia="宋体" w:cs="宋体"/>
          <w:i/>
          <w:iCs/>
          <w:color w:val="auto"/>
          <w:szCs w:val="21"/>
          <w:highlight w:val="none"/>
          <w:u w:val="single"/>
        </w:rPr>
        <w:t>项目名称）</w:t>
      </w:r>
      <w:r>
        <w:rPr>
          <w:rFonts w:hint="eastAsia" w:ascii="宋体" w:hAnsi="宋体" w:eastAsia="宋体" w:cs="宋体"/>
          <w:i/>
          <w:iCs/>
          <w:color w:val="auto"/>
          <w:szCs w:val="21"/>
          <w:highlight w:val="none"/>
          <w:u w:val="single"/>
          <w:lang w:val="en-US" w:eastAsia="zh-CN"/>
        </w:rPr>
        <w:t xml:space="preserve">   </w:t>
      </w:r>
      <w:r>
        <w:rPr>
          <w:rFonts w:hint="eastAsia" w:ascii="宋体" w:hAnsi="宋体" w:eastAsia="宋体" w:cs="宋体"/>
          <w:color w:val="auto"/>
          <w:szCs w:val="21"/>
          <w:highlight w:val="none"/>
        </w:rPr>
        <w:t>的采购活动，服务全部由符合政策要求的中小企业承接。相关企业（含联合体中的中小企业、签订分包意向协议的中小企业）的具体情况如下：</w:t>
      </w:r>
    </w:p>
    <w:p w14:paraId="5022A132">
      <w:pPr>
        <w:numPr>
          <w:ilvl w:val="0"/>
          <w:numId w:val="3"/>
        </w:numPr>
        <w:spacing w:line="500" w:lineRule="exact"/>
        <w:ind w:firstLine="480"/>
        <w:rPr>
          <w:rFonts w:ascii="宋体" w:hAnsi="宋体" w:eastAsia="宋体" w:cs="宋体"/>
          <w:color w:val="auto"/>
          <w:szCs w:val="21"/>
          <w:highlight w:val="none"/>
        </w:rPr>
      </w:pPr>
      <w:r>
        <w:rPr>
          <w:rFonts w:hint="eastAsia" w:ascii="宋体" w:hAnsi="宋体" w:eastAsia="宋体" w:cs="宋体"/>
          <w:i/>
          <w:iCs/>
          <w:color w:val="auto"/>
          <w:szCs w:val="21"/>
          <w:highlight w:val="none"/>
          <w:u w:val="single"/>
        </w:rPr>
        <w:t>（标的名称）</w:t>
      </w:r>
      <w:r>
        <w:rPr>
          <w:rFonts w:hint="eastAsia" w:ascii="宋体" w:hAnsi="宋体" w:eastAsia="宋体" w:cs="宋体"/>
          <w:color w:val="auto"/>
          <w:szCs w:val="21"/>
          <w:highlight w:val="none"/>
        </w:rPr>
        <w:t xml:space="preserve"> ，属于</w:t>
      </w:r>
      <w:r>
        <w:rPr>
          <w:rFonts w:hint="eastAsia" w:ascii="宋体" w:hAnsi="宋体" w:eastAsia="宋体" w:cs="宋体"/>
          <w:i/>
          <w:iCs/>
          <w:color w:val="auto"/>
          <w:szCs w:val="21"/>
          <w:highlight w:val="none"/>
          <w:u w:val="single"/>
        </w:rPr>
        <w:t>（采购文件中明确的所属行业）</w:t>
      </w:r>
      <w:r>
        <w:rPr>
          <w:rFonts w:hint="eastAsia" w:ascii="宋体" w:hAnsi="宋体" w:eastAsia="宋体" w:cs="宋体"/>
          <w:color w:val="auto"/>
          <w:szCs w:val="21"/>
          <w:highlight w:val="none"/>
        </w:rPr>
        <w:t>；承建（承接）企业为</w:t>
      </w:r>
      <w:r>
        <w:rPr>
          <w:rFonts w:hint="eastAsia" w:ascii="宋体" w:hAnsi="宋体" w:eastAsia="宋体" w:cs="宋体"/>
          <w:i/>
          <w:iCs/>
          <w:color w:val="auto"/>
          <w:szCs w:val="21"/>
          <w:highlight w:val="none"/>
          <w:u w:val="single"/>
        </w:rPr>
        <w:t>（企业名称）</w:t>
      </w:r>
      <w:r>
        <w:rPr>
          <w:rFonts w:hint="eastAsia" w:ascii="宋体" w:hAnsi="宋体" w:eastAsia="宋体" w:cs="宋体"/>
          <w:color w:val="auto"/>
          <w:szCs w:val="21"/>
          <w:highlight w:val="none"/>
        </w:rPr>
        <w:t>，从业人员</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人，营业收入为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万元，资产总额为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万元，属于</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eastAsia="宋体" w:cs="宋体"/>
          <w:i/>
          <w:iCs/>
          <w:color w:val="auto"/>
          <w:szCs w:val="21"/>
          <w:highlight w:val="none"/>
          <w:u w:val="single"/>
        </w:rPr>
        <w:t>中型企业、小型企业、微型企业</w:t>
      </w:r>
      <w:r>
        <w:rPr>
          <w:rFonts w:hint="eastAsia" w:ascii="宋体" w:hAnsi="宋体" w:eastAsia="宋体" w:cs="宋体"/>
          <w:color w:val="auto"/>
          <w:szCs w:val="21"/>
          <w:highlight w:val="none"/>
        </w:rPr>
        <w:t>）；</w:t>
      </w:r>
    </w:p>
    <w:p w14:paraId="7B0AEB83">
      <w:pPr>
        <w:numPr>
          <w:ilvl w:val="0"/>
          <w:numId w:val="3"/>
        </w:numPr>
        <w:spacing w:line="500" w:lineRule="exact"/>
        <w:ind w:firstLine="480"/>
        <w:rPr>
          <w:rFonts w:ascii="宋体" w:hAnsi="宋体" w:eastAsia="宋体" w:cs="宋体"/>
          <w:color w:val="auto"/>
          <w:szCs w:val="21"/>
          <w:highlight w:val="none"/>
        </w:rPr>
      </w:pPr>
      <w:r>
        <w:rPr>
          <w:rFonts w:hint="eastAsia" w:ascii="宋体" w:hAnsi="宋体" w:eastAsia="宋体" w:cs="宋体"/>
          <w:i/>
          <w:iCs/>
          <w:color w:val="auto"/>
          <w:szCs w:val="21"/>
          <w:highlight w:val="none"/>
          <w:u w:val="single"/>
        </w:rPr>
        <w:t>（标的名称）</w:t>
      </w:r>
      <w:r>
        <w:rPr>
          <w:rFonts w:hint="eastAsia" w:ascii="宋体" w:hAnsi="宋体" w:eastAsia="宋体" w:cs="宋体"/>
          <w:color w:val="auto"/>
          <w:szCs w:val="21"/>
          <w:highlight w:val="none"/>
        </w:rPr>
        <w:t xml:space="preserve"> ，属于</w:t>
      </w:r>
      <w:r>
        <w:rPr>
          <w:rFonts w:hint="eastAsia" w:ascii="宋体" w:hAnsi="宋体" w:eastAsia="宋体" w:cs="宋体"/>
          <w:i/>
          <w:iCs/>
          <w:color w:val="auto"/>
          <w:szCs w:val="21"/>
          <w:highlight w:val="none"/>
          <w:u w:val="single"/>
        </w:rPr>
        <w:t>（采购文件中明确的所属行业）</w:t>
      </w:r>
      <w:r>
        <w:rPr>
          <w:rFonts w:hint="eastAsia" w:ascii="宋体" w:hAnsi="宋体" w:eastAsia="宋体" w:cs="宋体"/>
          <w:color w:val="auto"/>
          <w:szCs w:val="21"/>
          <w:highlight w:val="none"/>
        </w:rPr>
        <w:t>；承建（承接）企业为</w:t>
      </w:r>
      <w:r>
        <w:rPr>
          <w:rFonts w:hint="eastAsia" w:ascii="宋体" w:hAnsi="宋体" w:eastAsia="宋体" w:cs="宋体"/>
          <w:i/>
          <w:iCs/>
          <w:color w:val="auto"/>
          <w:szCs w:val="21"/>
          <w:highlight w:val="none"/>
          <w:u w:val="single"/>
        </w:rPr>
        <w:t>（企业名称）</w:t>
      </w:r>
      <w:r>
        <w:rPr>
          <w:rFonts w:hint="eastAsia" w:ascii="宋体" w:hAnsi="宋体" w:eastAsia="宋体" w:cs="宋体"/>
          <w:color w:val="auto"/>
          <w:szCs w:val="21"/>
          <w:highlight w:val="none"/>
        </w:rPr>
        <w:t>，从业人员</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人，营业收入为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万元，资产总额为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万元，属于</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r>
        <w:rPr>
          <w:rFonts w:hint="eastAsia" w:ascii="宋体" w:hAnsi="宋体" w:eastAsia="宋体" w:cs="宋体"/>
          <w:i/>
          <w:iCs/>
          <w:color w:val="auto"/>
          <w:szCs w:val="21"/>
          <w:highlight w:val="none"/>
          <w:u w:val="single"/>
        </w:rPr>
        <w:t>中型企业、小型企业、微型企业</w:t>
      </w:r>
      <w:r>
        <w:rPr>
          <w:rFonts w:hint="eastAsia" w:ascii="宋体" w:hAnsi="宋体" w:eastAsia="宋体" w:cs="宋体"/>
          <w:color w:val="auto"/>
          <w:szCs w:val="21"/>
          <w:highlight w:val="none"/>
        </w:rPr>
        <w:t>）；</w:t>
      </w:r>
    </w:p>
    <w:p w14:paraId="2AC52565">
      <w:pPr>
        <w:spacing w:line="500" w:lineRule="exact"/>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w:t>
      </w:r>
    </w:p>
    <w:p w14:paraId="1DBA47A5">
      <w:pPr>
        <w:spacing w:line="500" w:lineRule="exact"/>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以上企业，不属于大企业的分支机构，不存在控股股东为大企业的情形，也不存在与大企业的负责人为同一人的情形。</w:t>
      </w:r>
    </w:p>
    <w:p w14:paraId="3AE53358">
      <w:pPr>
        <w:spacing w:line="500" w:lineRule="exact"/>
        <w:ind w:firstLine="420"/>
        <w:rPr>
          <w:rFonts w:ascii="宋体" w:hAnsi="宋体" w:eastAsia="宋体" w:cs="宋体"/>
          <w:color w:val="auto"/>
          <w:szCs w:val="21"/>
          <w:highlight w:val="none"/>
        </w:rPr>
      </w:pPr>
      <w:r>
        <w:rPr>
          <w:rFonts w:hint="eastAsia" w:ascii="宋体" w:hAnsi="宋体" w:eastAsia="宋体" w:cs="宋体"/>
          <w:color w:val="auto"/>
          <w:szCs w:val="21"/>
          <w:highlight w:val="none"/>
        </w:rPr>
        <w:t>本企业对上述声明内容的真实性负责。如有虚假，将依法承担相应责任。</w:t>
      </w:r>
    </w:p>
    <w:p w14:paraId="6402D6DA">
      <w:pPr>
        <w:pStyle w:val="34"/>
        <w:spacing w:beforeAutospacing="0" w:afterAutospacing="0" w:line="0" w:lineRule="atLeast"/>
        <w:ind w:right="72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3CC6E7DB">
      <w:pPr>
        <w:pStyle w:val="34"/>
        <w:spacing w:beforeAutospacing="0" w:afterAutospacing="0" w:line="0" w:lineRule="atLeast"/>
        <w:ind w:right="180" w:firstLine="360"/>
        <w:jc w:val="righ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企业名称（加盖CA电子公章）：</w:t>
      </w:r>
    </w:p>
    <w:p w14:paraId="3DDF7E55">
      <w:pPr>
        <w:pStyle w:val="34"/>
        <w:spacing w:beforeAutospacing="0" w:afterAutospacing="0" w:line="0" w:lineRule="atLeast"/>
        <w:ind w:right="480" w:firstLine="5040" w:firstLineChars="24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日  期：</w:t>
      </w:r>
    </w:p>
    <w:p w14:paraId="5F719B50">
      <w:pPr>
        <w:pStyle w:val="34"/>
        <w:spacing w:beforeAutospacing="0" w:afterAutospacing="0" w:line="0" w:lineRule="atLeast"/>
        <w:ind w:firstLine="24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5330E453">
      <w:pPr>
        <w:pStyle w:val="34"/>
        <w:spacing w:beforeAutospacing="0" w:afterAutospacing="0" w:line="0" w:lineRule="atLeast"/>
        <w:ind w:firstLine="48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备注1：从业人员、营业收入、资产总额填报上一年度数据，无上一年度数据的新成立企业可不填报。</w:t>
      </w:r>
    </w:p>
    <w:p w14:paraId="4232F61A">
      <w:pPr>
        <w:pStyle w:val="34"/>
        <w:spacing w:beforeAutospacing="0" w:afterAutospacing="0" w:line="0" w:lineRule="atLeast"/>
        <w:ind w:firstLine="48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备注2：供应商如不提供此声明函，价格将不做相应扣除（如项目全面面向中小企业，则资格审查不通过）。</w:t>
      </w:r>
    </w:p>
    <w:p w14:paraId="19DFD179">
      <w:pPr>
        <w:pStyle w:val="34"/>
        <w:spacing w:beforeAutospacing="0" w:afterAutospacing="0" w:line="0" w:lineRule="atLeast"/>
        <w:jc w:val="cente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十、残疾人福利性单位声明函</w:t>
      </w:r>
    </w:p>
    <w:p w14:paraId="63B593E0">
      <w:pPr>
        <w:pStyle w:val="34"/>
        <w:spacing w:beforeAutospacing="0" w:afterAutospacing="0" w:line="0" w:lineRule="atLeast"/>
        <w:jc w:val="center"/>
        <w:rPr>
          <w:rFonts w:ascii="黑体" w:hAnsi="宋体" w:eastAsia="黑体" w:cs="黑体"/>
          <w:b/>
          <w:color w:val="auto"/>
          <w:sz w:val="32"/>
          <w:szCs w:val="32"/>
          <w:highlight w:val="none"/>
        </w:rPr>
      </w:pPr>
    </w:p>
    <w:p w14:paraId="18509217">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atLeast"/>
        <w:ind w:firstLine="480"/>
        <w:jc w:val="both"/>
        <w:textAlignment w:val="auto"/>
        <w:rPr>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项目采购活动由本单位提供服务。</w:t>
      </w:r>
    </w:p>
    <w:p w14:paraId="29DD4BC7">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atLeast"/>
        <w:ind w:firstLine="480"/>
        <w:jc w:val="both"/>
        <w:textAlignment w:val="auto"/>
        <w:rPr>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0A1FA41C">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atLeast"/>
        <w:ind w:firstLine="480"/>
        <w:jc w:val="both"/>
        <w:textAlignment w:val="auto"/>
        <w:rPr>
          <w:color w:val="auto"/>
          <w:sz w:val="21"/>
          <w:szCs w:val="21"/>
          <w:highlight w:val="none"/>
        </w:rPr>
      </w:pPr>
      <w:r>
        <w:rPr>
          <w:color w:val="auto"/>
          <w:sz w:val="21"/>
          <w:szCs w:val="21"/>
          <w:highlight w:val="none"/>
        </w:rPr>
        <w:t> </w:t>
      </w:r>
    </w:p>
    <w:p w14:paraId="3CB5823E">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atLeast"/>
        <w:ind w:firstLine="480"/>
        <w:jc w:val="both"/>
        <w:textAlignment w:val="auto"/>
        <w:rPr>
          <w:color w:val="auto"/>
          <w:sz w:val="21"/>
          <w:szCs w:val="21"/>
          <w:highlight w:val="none"/>
        </w:rPr>
      </w:pPr>
      <w:r>
        <w:rPr>
          <w:rFonts w:hint="eastAsia" w:ascii="宋体" w:hAnsi="宋体" w:eastAsia="宋体" w:cs="宋体"/>
          <w:color w:val="auto"/>
          <w:sz w:val="21"/>
          <w:szCs w:val="21"/>
          <w:highlight w:val="none"/>
        </w:rPr>
        <w:t>备注：1、供应商如不提供此声明函，价格将不做相应扣除（如项目全面面向中小企业，则资格审查不通过）。2、中标人为残疾人福利单位的，此声明函将随中标结果同时公告，接受社会监督</w:t>
      </w:r>
    </w:p>
    <w:p w14:paraId="43452A54">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atLeast"/>
        <w:ind w:firstLine="624"/>
        <w:jc w:val="both"/>
        <w:textAlignment w:val="auto"/>
        <w:rPr>
          <w:color w:val="auto"/>
          <w:sz w:val="21"/>
          <w:szCs w:val="21"/>
          <w:highlight w:val="none"/>
        </w:rPr>
      </w:pPr>
      <w:r>
        <w:rPr>
          <w:color w:val="auto"/>
          <w:sz w:val="21"/>
          <w:szCs w:val="21"/>
          <w:highlight w:val="none"/>
        </w:rPr>
        <w:t> </w:t>
      </w:r>
    </w:p>
    <w:p w14:paraId="5D012996">
      <w:pPr>
        <w:pStyle w:val="34"/>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20" w:lineRule="atLeast"/>
        <w:ind w:right="1560" w:firstLine="624"/>
        <w:jc w:val="center"/>
        <w:textAlignment w:val="auto"/>
        <w:rPr>
          <w:color w:val="auto"/>
          <w:sz w:val="21"/>
          <w:szCs w:val="21"/>
          <w:highlight w:val="none"/>
        </w:rPr>
      </w:pPr>
      <w:r>
        <w:rPr>
          <w:rFonts w:ascii="仿宋_GB2312" w:eastAsia="仿宋_GB2312" w:cs="仿宋_GB2312"/>
          <w:color w:val="auto"/>
          <w:sz w:val="21"/>
          <w:szCs w:val="21"/>
          <w:highlight w:val="none"/>
        </w:rPr>
        <w:t xml:space="preserve">             </w:t>
      </w:r>
      <w:r>
        <w:rPr>
          <w:rFonts w:hint="eastAsia" w:ascii="宋体" w:hAnsi="宋体" w:eastAsia="宋体" w:cs="宋体"/>
          <w:color w:val="auto"/>
          <w:sz w:val="21"/>
          <w:szCs w:val="21"/>
          <w:highlight w:val="none"/>
        </w:rPr>
        <w:t>          供应商全称（加盖CA电子公章）：</w:t>
      </w:r>
    </w:p>
    <w:p w14:paraId="3B63064E">
      <w:pPr>
        <w:pStyle w:val="34"/>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20" w:lineRule="atLeast"/>
        <w:ind w:right="1560" w:firstLine="48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6AE0210A">
      <w:pPr>
        <w:pStyle w:val="34"/>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20" w:lineRule="atLeast"/>
        <w:ind w:right="1560" w:firstLine="480"/>
        <w:jc w:val="center"/>
        <w:textAlignment w:val="auto"/>
        <w:rPr>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  期：</w:t>
      </w:r>
    </w:p>
    <w:p w14:paraId="068D3996">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atLeast"/>
        <w:jc w:val="center"/>
        <w:textAlignment w:val="auto"/>
        <w:rPr>
          <w:color w:val="auto"/>
          <w:highlight w:val="none"/>
        </w:rPr>
      </w:pPr>
      <w:r>
        <w:rPr>
          <w:color w:val="auto"/>
          <w:highlight w:val="none"/>
        </w:rPr>
        <w:t> </w:t>
      </w:r>
    </w:p>
    <w:p w14:paraId="14F8B70D">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atLeast"/>
        <w:jc w:val="center"/>
        <w:textAlignment w:val="auto"/>
        <w:rPr>
          <w:color w:val="auto"/>
          <w:highlight w:val="none"/>
        </w:rPr>
      </w:pPr>
      <w:r>
        <w:rPr>
          <w:color w:val="auto"/>
          <w:highlight w:val="none"/>
        </w:rPr>
        <w:t> </w:t>
      </w:r>
    </w:p>
    <w:p w14:paraId="124F7A5B">
      <w:pPr>
        <w:rPr>
          <w:color w:val="auto"/>
          <w:highlight w:val="none"/>
        </w:rPr>
      </w:pPr>
      <w:r>
        <w:rPr>
          <w:color w:val="auto"/>
          <w:highlight w:val="none"/>
        </w:rPr>
        <w:br w:type="page"/>
      </w:r>
    </w:p>
    <w:p w14:paraId="73124D9D">
      <w:pPr>
        <w:pStyle w:val="34"/>
        <w:spacing w:beforeAutospacing="0" w:afterAutospacing="0" w:line="0" w:lineRule="atLeast"/>
        <w:jc w:val="center"/>
        <w:rPr>
          <w:rFonts w:hint="eastAsia" w:ascii="黑体" w:hAnsi="宋体" w:eastAsia="黑体" w:cs="黑体"/>
          <w:b/>
          <w:color w:val="auto"/>
          <w:sz w:val="32"/>
          <w:szCs w:val="32"/>
          <w:highlight w:val="none"/>
        </w:rPr>
      </w:pPr>
      <w:r>
        <w:rPr>
          <w:rFonts w:hint="default" w:ascii="黑体" w:hAnsi="宋体" w:eastAsia="黑体" w:cs="黑体"/>
          <w:b/>
          <w:color w:val="auto"/>
          <w:sz w:val="32"/>
          <w:szCs w:val="32"/>
          <w:highlight w:val="none"/>
        </w:rPr>
        <w:t>十一、联合体协议</w:t>
      </w:r>
    </w:p>
    <w:p w14:paraId="7F7564F5">
      <w:pPr>
        <w:pStyle w:val="34"/>
        <w:keepNext w:val="0"/>
        <w:keepLines w:val="0"/>
        <w:pageBreakBefore w:val="0"/>
        <w:widowControl w:val="0"/>
        <w:kinsoku/>
        <w:wordWrap/>
        <w:overflowPunct/>
        <w:topLinePunct w:val="0"/>
        <w:autoSpaceDE/>
        <w:autoSpaceDN/>
        <w:bidi w:val="0"/>
        <w:adjustRightInd/>
        <w:snapToGrid/>
        <w:spacing w:beforeAutospacing="0" w:afterAutospacing="0" w:line="520" w:lineRule="atLeast"/>
        <w:jc w:val="center"/>
        <w:textAlignment w:val="auto"/>
        <w:rPr>
          <w:color w:val="auto"/>
          <w:highlight w:val="none"/>
        </w:rPr>
      </w:pPr>
      <w:r>
        <w:rPr>
          <w:rFonts w:hint="default" w:ascii="Times New Roman" w:hAnsi="Times New Roman" w:eastAsia="宋体" w:cs="Times New Roman"/>
          <w:color w:val="000000"/>
          <w:sz w:val="28"/>
          <w:szCs w:val="28"/>
        </w:rPr>
        <w:t>（本项目不接受联合体投标，无需提供）</w:t>
      </w:r>
      <w:r>
        <w:rPr>
          <w:color w:val="auto"/>
          <w:highlight w:val="none"/>
        </w:rPr>
        <w:t> </w:t>
      </w:r>
    </w:p>
    <w:p w14:paraId="1278644C">
      <w:pPr>
        <w:pStyle w:val="34"/>
        <w:spacing w:beforeAutospacing="0" w:afterAutospacing="0" w:line="0" w:lineRule="atLeast"/>
        <w:jc w:val="center"/>
        <w:rPr>
          <w:color w:val="auto"/>
          <w:highlight w:val="none"/>
        </w:rPr>
      </w:pPr>
      <w:r>
        <w:rPr>
          <w:color w:val="auto"/>
          <w:highlight w:val="none"/>
        </w:rPr>
        <w:t> </w:t>
      </w:r>
    </w:p>
    <w:p w14:paraId="26602EB5">
      <w:pPr>
        <w:pStyle w:val="34"/>
        <w:spacing w:beforeAutospacing="0" w:afterAutospacing="0" w:line="0" w:lineRule="atLeast"/>
        <w:jc w:val="center"/>
        <w:rPr>
          <w:color w:val="auto"/>
          <w:highlight w:val="none"/>
        </w:rPr>
      </w:pPr>
      <w:r>
        <w:rPr>
          <w:color w:val="auto"/>
          <w:highlight w:val="none"/>
        </w:rPr>
        <w:t> </w:t>
      </w:r>
    </w:p>
    <w:p w14:paraId="35D763C2">
      <w:pPr>
        <w:pStyle w:val="34"/>
        <w:spacing w:beforeAutospacing="0" w:afterAutospacing="0" w:line="0" w:lineRule="atLeast"/>
        <w:jc w:val="center"/>
        <w:rPr>
          <w:color w:val="auto"/>
          <w:highlight w:val="none"/>
        </w:rPr>
      </w:pPr>
      <w:r>
        <w:rPr>
          <w:color w:val="auto"/>
          <w:highlight w:val="none"/>
        </w:rPr>
        <w:t> </w:t>
      </w:r>
    </w:p>
    <w:p w14:paraId="4877760E">
      <w:pPr>
        <w:pStyle w:val="34"/>
        <w:spacing w:beforeAutospacing="0" w:afterAutospacing="0" w:line="0" w:lineRule="atLeast"/>
        <w:jc w:val="center"/>
        <w:rPr>
          <w:color w:val="auto"/>
          <w:highlight w:val="none"/>
        </w:rPr>
      </w:pPr>
      <w:r>
        <w:rPr>
          <w:color w:val="auto"/>
          <w:highlight w:val="none"/>
        </w:rPr>
        <w:t> </w:t>
      </w:r>
    </w:p>
    <w:p w14:paraId="32CFFCC7">
      <w:pPr>
        <w:pStyle w:val="34"/>
        <w:spacing w:beforeAutospacing="0" w:afterAutospacing="0" w:line="0" w:lineRule="atLeast"/>
        <w:jc w:val="center"/>
        <w:rPr>
          <w:color w:val="auto"/>
          <w:highlight w:val="none"/>
        </w:rPr>
      </w:pPr>
      <w:r>
        <w:rPr>
          <w:color w:val="auto"/>
          <w:highlight w:val="none"/>
        </w:rPr>
        <w:t> </w:t>
      </w:r>
    </w:p>
    <w:p w14:paraId="2D40DC20">
      <w:pPr>
        <w:pStyle w:val="34"/>
        <w:spacing w:beforeAutospacing="0" w:afterAutospacing="0" w:line="0" w:lineRule="atLeast"/>
        <w:jc w:val="center"/>
        <w:rPr>
          <w:color w:val="auto"/>
          <w:highlight w:val="none"/>
        </w:rPr>
      </w:pPr>
    </w:p>
    <w:p w14:paraId="12FFFEC5">
      <w:pPr>
        <w:pStyle w:val="34"/>
        <w:spacing w:beforeAutospacing="0" w:afterAutospacing="0" w:line="0" w:lineRule="atLeast"/>
        <w:jc w:val="center"/>
        <w:rPr>
          <w:color w:val="auto"/>
          <w:highlight w:val="none"/>
        </w:rPr>
      </w:pPr>
    </w:p>
    <w:p w14:paraId="7C50005F">
      <w:pPr>
        <w:pStyle w:val="34"/>
        <w:spacing w:beforeAutospacing="0" w:afterAutospacing="0" w:line="0" w:lineRule="atLeast"/>
        <w:jc w:val="center"/>
        <w:rPr>
          <w:color w:val="auto"/>
          <w:highlight w:val="none"/>
        </w:rPr>
      </w:pPr>
    </w:p>
    <w:p w14:paraId="088FA3F9">
      <w:pPr>
        <w:pStyle w:val="34"/>
        <w:spacing w:beforeAutospacing="0" w:afterAutospacing="0" w:line="0" w:lineRule="atLeast"/>
        <w:jc w:val="center"/>
        <w:rPr>
          <w:color w:val="auto"/>
          <w:highlight w:val="none"/>
        </w:rPr>
      </w:pPr>
    </w:p>
    <w:p w14:paraId="7198701C">
      <w:pPr>
        <w:pStyle w:val="34"/>
        <w:spacing w:beforeAutospacing="0" w:afterAutospacing="0" w:line="0" w:lineRule="atLeast"/>
        <w:jc w:val="center"/>
        <w:rPr>
          <w:color w:val="auto"/>
          <w:highlight w:val="none"/>
        </w:rPr>
      </w:pPr>
    </w:p>
    <w:p w14:paraId="687F91B6">
      <w:pPr>
        <w:pStyle w:val="34"/>
        <w:spacing w:beforeAutospacing="0" w:afterAutospacing="0" w:line="0" w:lineRule="atLeast"/>
        <w:jc w:val="center"/>
        <w:rPr>
          <w:color w:val="auto"/>
          <w:highlight w:val="none"/>
        </w:rPr>
      </w:pPr>
    </w:p>
    <w:p w14:paraId="4B4D0FFC">
      <w:pPr>
        <w:pStyle w:val="34"/>
        <w:spacing w:beforeAutospacing="0" w:afterAutospacing="0" w:line="0" w:lineRule="atLeast"/>
        <w:jc w:val="center"/>
        <w:rPr>
          <w:color w:val="auto"/>
          <w:highlight w:val="none"/>
        </w:rPr>
      </w:pPr>
    </w:p>
    <w:p w14:paraId="359EF43F">
      <w:pPr>
        <w:pStyle w:val="34"/>
        <w:spacing w:beforeAutospacing="0" w:afterAutospacing="0" w:line="0" w:lineRule="atLeast"/>
        <w:jc w:val="center"/>
        <w:rPr>
          <w:color w:val="auto"/>
          <w:highlight w:val="none"/>
        </w:rPr>
      </w:pPr>
    </w:p>
    <w:p w14:paraId="2A540F6D">
      <w:pPr>
        <w:pStyle w:val="34"/>
        <w:spacing w:beforeAutospacing="0" w:afterAutospacing="0" w:line="0" w:lineRule="atLeast"/>
        <w:jc w:val="both"/>
        <w:rPr>
          <w:color w:val="auto"/>
          <w:highlight w:val="none"/>
        </w:rPr>
      </w:pPr>
      <w:r>
        <w:rPr>
          <w:color w:val="auto"/>
          <w:highlight w:val="none"/>
        </w:rPr>
        <w:t> </w:t>
      </w:r>
    </w:p>
    <w:p w14:paraId="31F386BA">
      <w:pPr>
        <w:rPr>
          <w:rFonts w:hint="eastAsia" w:ascii="黑体" w:hAnsi="宋体" w:eastAsia="黑体" w:cs="黑体"/>
          <w:b/>
          <w:i/>
          <w:iCs/>
          <w:color w:val="auto"/>
          <w:sz w:val="32"/>
          <w:szCs w:val="32"/>
          <w:highlight w:val="none"/>
          <w:u w:val="single"/>
        </w:rPr>
      </w:pPr>
      <w:r>
        <w:rPr>
          <w:rFonts w:hint="eastAsia" w:ascii="黑体" w:hAnsi="宋体" w:eastAsia="黑体" w:cs="黑体"/>
          <w:b/>
          <w:i/>
          <w:iCs/>
          <w:color w:val="auto"/>
          <w:sz w:val="32"/>
          <w:szCs w:val="32"/>
          <w:highlight w:val="none"/>
          <w:u w:val="single"/>
        </w:rPr>
        <w:br w:type="page"/>
      </w:r>
    </w:p>
    <w:p w14:paraId="11D0CA70">
      <w:pPr>
        <w:pStyle w:val="204"/>
        <w:spacing w:line="360" w:lineRule="auto"/>
        <w:jc w:val="center"/>
        <w:rPr>
          <w:rFonts w:hint="eastAsia" w:ascii="黑体" w:hAnsi="宋体" w:eastAsia="黑体" w:cs="黑体"/>
          <w:b/>
          <w:i/>
          <w:iCs/>
          <w:color w:val="auto"/>
          <w:sz w:val="32"/>
          <w:szCs w:val="32"/>
          <w:highlight w:val="none"/>
          <w:u w:val="single"/>
        </w:rPr>
      </w:pPr>
      <w:r>
        <w:rPr>
          <w:rFonts w:hint="eastAsia" w:ascii="黑体" w:hAnsi="宋体" w:eastAsia="黑体" w:cs="黑体"/>
          <w:b/>
          <w:i/>
          <w:iCs/>
          <w:color w:val="auto"/>
          <w:sz w:val="32"/>
          <w:szCs w:val="32"/>
          <w:highlight w:val="none"/>
          <w:u w:val="single"/>
        </w:rPr>
        <w:t>十二、投标分项报价表</w:t>
      </w:r>
    </w:p>
    <w:p w14:paraId="4533BF37">
      <w:pPr>
        <w:pStyle w:val="204"/>
        <w:spacing w:line="360" w:lineRule="auto"/>
        <w:jc w:val="right"/>
        <w:rPr>
          <w:rFonts w:hint="default" w:ascii="黑体" w:hAnsi="宋体" w:eastAsia="黑体" w:cs="黑体"/>
          <w:b/>
          <w:i/>
          <w:iCs/>
          <w:color w:val="auto"/>
          <w:sz w:val="32"/>
          <w:szCs w:val="32"/>
          <w:highlight w:val="none"/>
          <w:u w:val="single"/>
          <w:lang w:val="en-US" w:eastAsia="zh-CN"/>
        </w:rPr>
      </w:pPr>
      <w:r>
        <w:rPr>
          <w:rFonts w:hint="eastAsia" w:ascii="宋体" w:hAnsi="宋体" w:eastAsia="宋体" w:cs="宋体"/>
          <w:b w:val="0"/>
          <w:bCs/>
          <w:i w:val="0"/>
          <w:iCs w:val="0"/>
          <w:color w:val="auto"/>
          <w:sz w:val="18"/>
          <w:szCs w:val="18"/>
          <w:highlight w:val="none"/>
          <w:u w:val="none"/>
          <w:lang w:val="en-US" w:eastAsia="zh-CN"/>
        </w:rPr>
        <w:t>货币单位：</w:t>
      </w:r>
      <w:r>
        <w:rPr>
          <w:rFonts w:hint="eastAsia" w:ascii="宋体" w:hAnsi="宋体" w:eastAsia="宋体" w:cs="宋体"/>
          <w:b w:val="0"/>
          <w:bCs/>
          <w:i w:val="0"/>
          <w:iCs w:val="0"/>
          <w:color w:val="auto"/>
          <w:sz w:val="18"/>
          <w:szCs w:val="18"/>
          <w:highlight w:val="none"/>
          <w:u w:val="none"/>
          <w:lang w:val="en-US" w:eastAsia="zh-CN" w:bidi="ar-SA"/>
        </w:rPr>
        <w:t>元</w:t>
      </w:r>
    </w:p>
    <w:tbl>
      <w:tblPr>
        <w:tblStyle w:val="38"/>
        <w:tblW w:w="9985" w:type="dxa"/>
        <w:jc w:val="center"/>
        <w:tblLayout w:type="fixed"/>
        <w:tblCellMar>
          <w:top w:w="0" w:type="dxa"/>
          <w:left w:w="108" w:type="dxa"/>
          <w:bottom w:w="0" w:type="dxa"/>
          <w:right w:w="108" w:type="dxa"/>
        </w:tblCellMar>
      </w:tblPr>
      <w:tblGrid>
        <w:gridCol w:w="531"/>
        <w:gridCol w:w="559"/>
        <w:gridCol w:w="1780"/>
        <w:gridCol w:w="671"/>
        <w:gridCol w:w="706"/>
        <w:gridCol w:w="1017"/>
        <w:gridCol w:w="1239"/>
        <w:gridCol w:w="3482"/>
      </w:tblGrid>
      <w:tr w14:paraId="6046DD75">
        <w:tblPrEx>
          <w:tblCellMar>
            <w:top w:w="0" w:type="dxa"/>
            <w:left w:w="108" w:type="dxa"/>
            <w:bottom w:w="0" w:type="dxa"/>
            <w:right w:w="108" w:type="dxa"/>
          </w:tblCellMar>
        </w:tblPrEx>
        <w:trPr>
          <w:trHeight w:val="567" w:hRule="atLeast"/>
          <w:jc w:val="center"/>
        </w:trPr>
        <w:tc>
          <w:tcPr>
            <w:tcW w:w="531" w:type="dxa"/>
            <w:tcBorders>
              <w:top w:val="single" w:color="000000" w:sz="4" w:space="0"/>
              <w:left w:val="single" w:color="000000" w:sz="4" w:space="0"/>
              <w:right w:val="single" w:color="000000" w:sz="4" w:space="0"/>
            </w:tcBorders>
            <w:shd w:val="clear" w:color="auto" w:fill="auto"/>
            <w:noWrap/>
            <w:vAlign w:val="center"/>
          </w:tcPr>
          <w:p w14:paraId="6E902827">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序号</w:t>
            </w:r>
          </w:p>
        </w:tc>
        <w:tc>
          <w:tcPr>
            <w:tcW w:w="2339" w:type="dxa"/>
            <w:gridSpan w:val="2"/>
            <w:tcBorders>
              <w:top w:val="single" w:color="000000" w:sz="4" w:space="0"/>
              <w:left w:val="single" w:color="000000" w:sz="4" w:space="0"/>
              <w:right w:val="single" w:color="000000" w:sz="4" w:space="0"/>
            </w:tcBorders>
            <w:shd w:val="clear" w:color="auto" w:fill="auto"/>
            <w:noWrap/>
            <w:vAlign w:val="center"/>
          </w:tcPr>
          <w:p w14:paraId="244FDA52">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标的物名称</w:t>
            </w:r>
          </w:p>
        </w:tc>
        <w:tc>
          <w:tcPr>
            <w:tcW w:w="671" w:type="dxa"/>
            <w:tcBorders>
              <w:top w:val="single" w:color="000000" w:sz="4" w:space="0"/>
              <w:left w:val="single" w:color="000000" w:sz="4" w:space="0"/>
              <w:right w:val="single" w:color="000000" w:sz="4" w:space="0"/>
            </w:tcBorders>
            <w:shd w:val="clear" w:color="auto" w:fill="auto"/>
            <w:noWrap/>
            <w:vAlign w:val="center"/>
          </w:tcPr>
          <w:p w14:paraId="51BEA394">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单位</w:t>
            </w:r>
          </w:p>
        </w:tc>
        <w:tc>
          <w:tcPr>
            <w:tcW w:w="706" w:type="dxa"/>
            <w:tcBorders>
              <w:top w:val="single" w:color="000000" w:sz="4" w:space="0"/>
              <w:left w:val="single" w:color="000000" w:sz="4" w:space="0"/>
              <w:right w:val="single" w:color="000000" w:sz="4" w:space="0"/>
            </w:tcBorders>
            <w:shd w:val="clear" w:color="auto" w:fill="auto"/>
            <w:noWrap/>
            <w:vAlign w:val="center"/>
          </w:tcPr>
          <w:p w14:paraId="1F13B043">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数量</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BC5D7">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单价</w:t>
            </w:r>
          </w:p>
        </w:tc>
        <w:tc>
          <w:tcPr>
            <w:tcW w:w="1239" w:type="dxa"/>
            <w:tcBorders>
              <w:top w:val="single" w:color="000000" w:sz="4" w:space="0"/>
              <w:left w:val="single" w:color="000000" w:sz="4" w:space="0"/>
              <w:right w:val="single" w:color="000000" w:sz="4" w:space="0"/>
            </w:tcBorders>
            <w:shd w:val="clear" w:color="auto" w:fill="auto"/>
            <w:noWrap/>
            <w:vAlign w:val="center"/>
          </w:tcPr>
          <w:p w14:paraId="59100614">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合</w:t>
            </w:r>
            <w:r>
              <w:rPr>
                <w:rFonts w:hint="eastAsia" w:ascii="宋体" w:hAnsi="宋体" w:eastAsia="宋体" w:cs="宋体"/>
                <w:color w:val="auto"/>
                <w:sz w:val="18"/>
                <w:szCs w:val="18"/>
                <w:highlight w:val="none"/>
              </w:rPr>
              <w:t>价</w:t>
            </w:r>
          </w:p>
          <w:p w14:paraId="5612F695">
            <w:pPr>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1年）</w:t>
            </w:r>
          </w:p>
        </w:tc>
        <w:tc>
          <w:tcPr>
            <w:tcW w:w="3482" w:type="dxa"/>
            <w:tcBorders>
              <w:top w:val="single" w:color="000000" w:sz="4" w:space="0"/>
              <w:left w:val="single" w:color="000000" w:sz="4" w:space="0"/>
              <w:right w:val="single" w:color="000000" w:sz="4" w:space="0"/>
            </w:tcBorders>
            <w:shd w:val="clear" w:color="auto" w:fill="auto"/>
            <w:noWrap/>
            <w:vAlign w:val="center"/>
          </w:tcPr>
          <w:p w14:paraId="05DF9AEE">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备注</w:t>
            </w:r>
          </w:p>
        </w:tc>
      </w:tr>
      <w:tr w14:paraId="779E2CB1">
        <w:tblPrEx>
          <w:tblCellMar>
            <w:top w:w="0" w:type="dxa"/>
            <w:left w:w="108" w:type="dxa"/>
            <w:bottom w:w="0" w:type="dxa"/>
            <w:right w:w="108" w:type="dxa"/>
          </w:tblCellMar>
        </w:tblPrEx>
        <w:trPr>
          <w:trHeight w:val="567"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01C65">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23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D3E92">
            <w:pPr>
              <w:rPr>
                <w:rFonts w:hint="eastAsia" w:ascii="宋体" w:hAnsi="宋体" w:eastAsia="宋体" w:cs="宋体"/>
                <w:b w:val="0"/>
                <w:bCs w:val="0"/>
                <w:color w:val="auto"/>
                <w:sz w:val="18"/>
                <w:szCs w:val="18"/>
                <w:highlight w:val="none"/>
              </w:rPr>
            </w:pPr>
            <w:r>
              <w:rPr>
                <w:rStyle w:val="213"/>
                <w:rFonts w:hint="eastAsia" w:ascii="宋体" w:hAnsi="宋体" w:eastAsia="宋体" w:cs="宋体"/>
                <w:b w:val="0"/>
                <w:bCs w:val="0"/>
                <w:color w:val="auto"/>
                <w:sz w:val="18"/>
                <w:szCs w:val="18"/>
                <w:highlight w:val="none"/>
              </w:rPr>
              <w:t>人员工资、社保等</w:t>
            </w:r>
          </w:p>
        </w:tc>
        <w:tc>
          <w:tcPr>
            <w:tcW w:w="239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D877C">
            <w:pPr>
              <w:jc w:val="center"/>
              <w:rPr>
                <w:rFonts w:hint="eastAsia" w:ascii="宋体" w:hAnsi="宋体" w:eastAsia="宋体" w:cs="宋体"/>
                <w:b w:val="0"/>
                <w:bCs w:val="0"/>
                <w:color w:val="auto"/>
                <w:sz w:val="18"/>
                <w:szCs w:val="18"/>
                <w:highlight w:val="none"/>
                <w:lang w:val="en-US" w:eastAsia="zh-CN" w:bidi="ar-SA"/>
              </w:rPr>
            </w:pPr>
            <w:r>
              <w:rPr>
                <w:rFonts w:hint="eastAsia" w:ascii="宋体" w:hAnsi="宋体" w:eastAsia="宋体" w:cs="宋体"/>
                <w:b w:val="0"/>
                <w:bCs w:val="0"/>
                <w:color w:val="auto"/>
                <w:sz w:val="18"/>
                <w:szCs w:val="18"/>
                <w:highlight w:val="none"/>
              </w:rPr>
              <w:t>（以下项合计）</w:t>
            </w: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76C78">
            <w:pPr>
              <w:jc w:val="center"/>
              <w:rPr>
                <w:rFonts w:hint="eastAsia" w:ascii="宋体" w:hAnsi="宋体" w:eastAsia="宋体" w:cs="宋体"/>
                <w:b/>
                <w:bCs/>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FB307">
            <w:pPr>
              <w:rPr>
                <w:rFonts w:hint="eastAsia" w:ascii="宋体" w:hAnsi="宋体" w:eastAsia="宋体" w:cs="宋体"/>
                <w:color w:val="auto"/>
                <w:sz w:val="18"/>
                <w:szCs w:val="18"/>
                <w:highlight w:val="none"/>
              </w:rPr>
            </w:pPr>
          </w:p>
        </w:tc>
      </w:tr>
      <w:tr w14:paraId="5C7CFC8B">
        <w:tblPrEx>
          <w:tblCellMar>
            <w:top w:w="0" w:type="dxa"/>
            <w:left w:w="108" w:type="dxa"/>
            <w:bottom w:w="0" w:type="dxa"/>
            <w:right w:w="108" w:type="dxa"/>
          </w:tblCellMar>
        </w:tblPrEx>
        <w:trPr>
          <w:trHeight w:val="567" w:hRule="atLeast"/>
          <w:jc w:val="center"/>
        </w:trPr>
        <w:tc>
          <w:tcPr>
            <w:tcW w:w="5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1C09E">
            <w:pPr>
              <w:jc w:val="center"/>
              <w:rPr>
                <w:rFonts w:hint="eastAsia" w:ascii="宋体" w:hAnsi="宋体" w:eastAsia="宋体" w:cs="宋体"/>
                <w:b w:val="0"/>
                <w:bCs w:val="0"/>
                <w:color w:val="auto"/>
                <w:sz w:val="18"/>
                <w:szCs w:val="18"/>
                <w:highlight w:val="none"/>
              </w:rPr>
            </w:pPr>
          </w:p>
        </w:tc>
        <w:tc>
          <w:tcPr>
            <w:tcW w:w="559" w:type="dxa"/>
            <w:vMerge w:val="restart"/>
            <w:tcBorders>
              <w:top w:val="single" w:color="000000" w:sz="4" w:space="0"/>
              <w:left w:val="single" w:color="000000" w:sz="4" w:space="0"/>
              <w:right w:val="single" w:color="000000" w:sz="4" w:space="0"/>
            </w:tcBorders>
            <w:shd w:val="clear" w:color="auto" w:fill="auto"/>
            <w:noWrap/>
            <w:vAlign w:val="center"/>
          </w:tcPr>
          <w:p w14:paraId="22F815D0">
            <w:pPr>
              <w:jc w:val="center"/>
              <w:rPr>
                <w:rStyle w:val="214"/>
                <w:rFonts w:hint="default" w:ascii="宋体" w:hAnsi="宋体" w:eastAsia="宋体" w:cs="宋体"/>
                <w:b w:val="0"/>
                <w:bCs w:val="0"/>
                <w:color w:val="auto"/>
                <w:sz w:val="18"/>
                <w:szCs w:val="18"/>
                <w:highlight w:val="none"/>
                <w:lang w:val="en-US" w:eastAsia="zh-CN"/>
              </w:rPr>
            </w:pPr>
            <w:r>
              <w:rPr>
                <w:rStyle w:val="214"/>
                <w:rFonts w:hint="eastAsia" w:ascii="宋体" w:hAnsi="宋体" w:eastAsia="宋体" w:cs="宋体"/>
                <w:b w:val="0"/>
                <w:bCs w:val="0"/>
                <w:color w:val="auto"/>
                <w:sz w:val="18"/>
                <w:szCs w:val="18"/>
                <w:highlight w:val="none"/>
                <w:lang w:val="en-US" w:eastAsia="zh-CN"/>
              </w:rPr>
              <w:t>工资</w:t>
            </w: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F8451">
            <w:pPr>
              <w:jc w:val="left"/>
              <w:rPr>
                <w:rFonts w:hint="default" w:ascii="宋体" w:hAnsi="宋体" w:eastAsia="宋体" w:cs="宋体"/>
                <w:b w:val="0"/>
                <w:bCs w:val="0"/>
                <w:color w:val="auto"/>
                <w:sz w:val="18"/>
                <w:szCs w:val="18"/>
                <w:highlight w:val="none"/>
                <w:lang w:val="en-US" w:eastAsia="zh-CN"/>
              </w:rPr>
            </w:pPr>
            <w:r>
              <w:rPr>
                <w:rStyle w:val="214"/>
                <w:rFonts w:hint="eastAsia" w:ascii="宋体" w:hAnsi="宋体" w:eastAsia="宋体" w:cs="宋体"/>
                <w:b w:val="0"/>
                <w:bCs w:val="0"/>
                <w:color w:val="auto"/>
                <w:sz w:val="18"/>
                <w:szCs w:val="18"/>
                <w:highlight w:val="none"/>
              </w:rPr>
              <w:t>项目</w:t>
            </w:r>
            <w:r>
              <w:rPr>
                <w:rStyle w:val="214"/>
                <w:rFonts w:hint="eastAsia" w:ascii="宋体" w:hAnsi="宋体" w:eastAsia="宋体" w:cs="宋体"/>
                <w:b w:val="0"/>
                <w:bCs w:val="0"/>
                <w:color w:val="auto"/>
                <w:sz w:val="18"/>
                <w:szCs w:val="18"/>
                <w:highlight w:val="none"/>
                <w:lang w:val="en-US" w:eastAsia="zh-CN"/>
              </w:rPr>
              <w:t>经理</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9AFF3">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D869C">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A15A6">
            <w:pPr>
              <w:jc w:val="center"/>
              <w:rPr>
                <w:rFonts w:hint="default" w:ascii="宋体" w:hAnsi="宋体" w:eastAsia="宋体" w:cs="宋体"/>
                <w:color w:val="auto"/>
                <w:sz w:val="18"/>
                <w:szCs w:val="18"/>
                <w:highlight w:val="none"/>
                <w:lang w:val="en-US" w:eastAsia="zh-CN"/>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86AC4">
            <w:pPr>
              <w:jc w:val="center"/>
              <w:rPr>
                <w:rFonts w:hint="eastAsia" w:ascii="宋体" w:hAnsi="宋体" w:eastAsia="宋体" w:cs="宋体"/>
                <w:color w:val="auto"/>
                <w:sz w:val="18"/>
                <w:szCs w:val="18"/>
                <w:highlight w:val="none"/>
              </w:rPr>
            </w:pPr>
          </w:p>
        </w:tc>
        <w:tc>
          <w:tcPr>
            <w:tcW w:w="3482" w:type="dxa"/>
            <w:vMerge w:val="restart"/>
            <w:tcBorders>
              <w:top w:val="single" w:color="000000" w:sz="4" w:space="0"/>
              <w:left w:val="single" w:color="000000" w:sz="4" w:space="0"/>
              <w:right w:val="single" w:color="000000" w:sz="4" w:space="0"/>
            </w:tcBorders>
            <w:shd w:val="clear" w:color="auto" w:fill="auto"/>
            <w:noWrap/>
            <w:vAlign w:val="center"/>
          </w:tcPr>
          <w:p w14:paraId="3192A895">
            <w:pP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所有工作人员工资不低于本县最新公布的最低工资标准</w:t>
            </w:r>
            <w:r>
              <w:rPr>
                <w:rFonts w:hint="eastAsia" w:ascii="宋体" w:hAnsi="宋体" w:eastAsia="宋体" w:cs="宋体"/>
                <w:color w:val="auto"/>
                <w:sz w:val="18"/>
                <w:szCs w:val="18"/>
                <w:highlight w:val="none"/>
                <w:lang w:eastAsia="zh-CN"/>
              </w:rPr>
              <w:t>2180</w:t>
            </w:r>
            <w:r>
              <w:rPr>
                <w:rFonts w:hint="eastAsia" w:ascii="宋体" w:hAnsi="宋体" w:eastAsia="宋体" w:cs="宋体"/>
                <w:color w:val="auto"/>
                <w:sz w:val="18"/>
                <w:szCs w:val="18"/>
                <w:highlight w:val="none"/>
              </w:rPr>
              <w:t>元/人</w:t>
            </w:r>
            <w:r>
              <w:rPr>
                <w:rFonts w:hint="eastAsia" w:ascii="宋体" w:hAnsi="宋体" w:eastAsia="宋体" w:cs="宋体"/>
                <w:color w:val="auto"/>
                <w:sz w:val="18"/>
                <w:szCs w:val="18"/>
                <w:highlight w:val="none"/>
                <w:lang w:val="en-US" w:eastAsia="zh-CN"/>
              </w:rPr>
              <w:t>/</w:t>
            </w:r>
            <w:r>
              <w:rPr>
                <w:rFonts w:hint="eastAsia" w:ascii="宋体" w:hAnsi="宋体" w:eastAsia="宋体" w:cs="宋体"/>
                <w:color w:val="auto"/>
                <w:sz w:val="18"/>
                <w:szCs w:val="18"/>
                <w:highlight w:val="none"/>
              </w:rPr>
              <w:t>月</w:t>
            </w:r>
            <w:r>
              <w:rPr>
                <w:rFonts w:hint="eastAsia" w:ascii="宋体" w:hAnsi="宋体" w:eastAsia="宋体" w:cs="宋体"/>
                <w:color w:val="auto"/>
                <w:sz w:val="18"/>
                <w:szCs w:val="18"/>
                <w:highlight w:val="none"/>
                <w:lang w:val="en-US" w:eastAsia="zh-CN"/>
              </w:rPr>
              <w:t>，否则</w:t>
            </w:r>
            <w:r>
              <w:rPr>
                <w:rFonts w:hint="eastAsia" w:ascii="宋体" w:hAnsi="宋体" w:eastAsia="宋体" w:cs="宋体"/>
                <w:color w:val="auto"/>
                <w:sz w:val="18"/>
                <w:szCs w:val="18"/>
                <w:highlight w:val="none"/>
                <w:lang w:val="zh-CN"/>
              </w:rPr>
              <w:t>视为未实质性响应招标文件要求，</w:t>
            </w:r>
            <w:r>
              <w:rPr>
                <w:rFonts w:hint="eastAsia" w:ascii="宋体" w:hAnsi="宋体" w:eastAsia="宋体" w:cs="宋体"/>
                <w:color w:val="auto"/>
                <w:sz w:val="18"/>
                <w:szCs w:val="18"/>
                <w:highlight w:val="none"/>
                <w:lang w:val="en-US" w:eastAsia="zh-CN"/>
              </w:rPr>
              <w:t>做无效投标处理</w:t>
            </w:r>
            <w:r>
              <w:rPr>
                <w:rFonts w:hint="eastAsia" w:ascii="宋体" w:hAnsi="宋体" w:eastAsia="宋体" w:cs="宋体"/>
                <w:color w:val="auto"/>
                <w:sz w:val="18"/>
                <w:szCs w:val="18"/>
                <w:highlight w:val="none"/>
                <w:lang w:eastAsia="zh-CN"/>
              </w:rPr>
              <w:t>。</w:t>
            </w:r>
          </w:p>
        </w:tc>
      </w:tr>
      <w:tr w14:paraId="377B3BF7">
        <w:tblPrEx>
          <w:tblCellMar>
            <w:top w:w="0" w:type="dxa"/>
            <w:left w:w="108" w:type="dxa"/>
            <w:bottom w:w="0" w:type="dxa"/>
            <w:right w:w="108" w:type="dxa"/>
          </w:tblCellMar>
        </w:tblPrEx>
        <w:trPr>
          <w:trHeight w:val="567"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4B79B">
            <w:pPr>
              <w:jc w:val="center"/>
              <w:rPr>
                <w:rFonts w:hint="eastAsia" w:ascii="宋体" w:hAnsi="宋体" w:eastAsia="宋体" w:cs="宋体"/>
                <w:color w:val="auto"/>
                <w:sz w:val="18"/>
                <w:szCs w:val="18"/>
                <w:highlight w:val="none"/>
              </w:rPr>
            </w:pPr>
          </w:p>
        </w:tc>
        <w:tc>
          <w:tcPr>
            <w:tcW w:w="559" w:type="dxa"/>
            <w:vMerge w:val="continue"/>
            <w:tcBorders>
              <w:left w:val="single" w:color="000000" w:sz="4" w:space="0"/>
              <w:right w:val="single" w:color="000000" w:sz="4" w:space="0"/>
            </w:tcBorders>
            <w:shd w:val="clear" w:color="auto" w:fill="auto"/>
            <w:noWrap/>
            <w:vAlign w:val="center"/>
          </w:tcPr>
          <w:p w14:paraId="18767860">
            <w:pPr>
              <w:jc w:val="center"/>
              <w:rPr>
                <w:rFonts w:hint="eastAsia" w:ascii="宋体" w:hAnsi="宋体" w:eastAsia="宋体" w:cs="宋体"/>
                <w:bCs/>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6C253">
            <w:pPr>
              <w:jc w:val="left"/>
              <w:rPr>
                <w:rFonts w:hint="eastAsia" w:ascii="宋体" w:hAnsi="宋体" w:eastAsia="宋体" w:cs="宋体"/>
                <w:color w:val="auto"/>
                <w:sz w:val="18"/>
                <w:szCs w:val="18"/>
                <w:highlight w:val="none"/>
              </w:rPr>
            </w:pPr>
            <w:r>
              <w:rPr>
                <w:rFonts w:hint="eastAsia" w:ascii="宋体" w:hAnsi="宋体" w:eastAsia="宋体" w:cs="宋体"/>
                <w:bCs/>
                <w:color w:val="auto"/>
                <w:sz w:val="18"/>
                <w:szCs w:val="18"/>
                <w:highlight w:val="none"/>
              </w:rPr>
              <w:t>保安主管</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DBE7C">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28DAD">
            <w:pPr>
              <w:jc w:val="center"/>
              <w:rPr>
                <w:rFonts w:hint="eastAsia" w:ascii="宋体" w:hAnsi="宋体" w:eastAsia="宋体" w:cs="宋体"/>
                <w:color w:val="auto"/>
                <w:sz w:val="18"/>
                <w:szCs w:val="18"/>
                <w:highlight w:val="none"/>
              </w:rPr>
            </w:pPr>
            <w:r>
              <w:rPr>
                <w:rFonts w:hint="eastAsia" w:ascii="宋体" w:hAnsi="宋体" w:eastAsia="宋体" w:cs="宋体"/>
                <w:bCs/>
                <w:color w:val="auto"/>
                <w:sz w:val="18"/>
                <w:szCs w:val="18"/>
                <w:highlight w:val="none"/>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697A2">
            <w:pPr>
              <w:jc w:val="center"/>
              <w:rPr>
                <w:rFonts w:hint="eastAsia" w:ascii="宋体" w:hAnsi="宋体" w:eastAsia="宋体" w:cs="宋体"/>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3E103">
            <w:pPr>
              <w:jc w:val="center"/>
              <w:rPr>
                <w:rFonts w:hint="eastAsia" w:ascii="宋体" w:hAnsi="宋体" w:eastAsia="宋体" w:cs="宋体"/>
                <w:color w:val="auto"/>
                <w:sz w:val="18"/>
                <w:szCs w:val="18"/>
                <w:highlight w:val="none"/>
              </w:rPr>
            </w:pPr>
          </w:p>
        </w:tc>
        <w:tc>
          <w:tcPr>
            <w:tcW w:w="3482" w:type="dxa"/>
            <w:vMerge w:val="continue"/>
            <w:tcBorders>
              <w:left w:val="single" w:color="000000" w:sz="4" w:space="0"/>
              <w:right w:val="single" w:color="000000" w:sz="4" w:space="0"/>
            </w:tcBorders>
            <w:shd w:val="clear" w:color="auto" w:fill="auto"/>
            <w:noWrap/>
            <w:vAlign w:val="center"/>
          </w:tcPr>
          <w:p w14:paraId="49D9C979">
            <w:pPr>
              <w:jc w:val="center"/>
              <w:rPr>
                <w:rFonts w:hint="eastAsia" w:ascii="宋体" w:hAnsi="宋体" w:eastAsia="宋体" w:cs="宋体"/>
                <w:color w:val="auto"/>
                <w:sz w:val="18"/>
                <w:szCs w:val="18"/>
                <w:highlight w:val="none"/>
              </w:rPr>
            </w:pPr>
          </w:p>
        </w:tc>
      </w:tr>
      <w:tr w14:paraId="5D9A0FF4">
        <w:tblPrEx>
          <w:tblCellMar>
            <w:top w:w="0" w:type="dxa"/>
            <w:left w:w="108" w:type="dxa"/>
            <w:bottom w:w="0" w:type="dxa"/>
            <w:right w:w="108" w:type="dxa"/>
          </w:tblCellMar>
        </w:tblPrEx>
        <w:trPr>
          <w:trHeight w:val="567"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6A351">
            <w:pPr>
              <w:jc w:val="center"/>
              <w:rPr>
                <w:rFonts w:hint="eastAsia" w:ascii="宋体" w:hAnsi="宋体" w:eastAsia="宋体" w:cs="宋体"/>
                <w:color w:val="auto"/>
                <w:sz w:val="18"/>
                <w:szCs w:val="18"/>
                <w:highlight w:val="none"/>
              </w:rPr>
            </w:pPr>
          </w:p>
        </w:tc>
        <w:tc>
          <w:tcPr>
            <w:tcW w:w="559" w:type="dxa"/>
            <w:vMerge w:val="continue"/>
            <w:tcBorders>
              <w:left w:val="single" w:color="000000" w:sz="4" w:space="0"/>
              <w:right w:val="single" w:color="000000" w:sz="4" w:space="0"/>
            </w:tcBorders>
            <w:shd w:val="clear" w:color="auto" w:fill="auto"/>
            <w:noWrap/>
            <w:vAlign w:val="center"/>
          </w:tcPr>
          <w:p w14:paraId="2CB8C37C">
            <w:pPr>
              <w:jc w:val="center"/>
              <w:rPr>
                <w:rFonts w:hint="eastAsia" w:ascii="宋体" w:hAnsi="宋体" w:eastAsia="宋体" w:cs="宋体"/>
                <w:bCs/>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18851">
            <w:pPr>
              <w:jc w:val="left"/>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保安员</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E9EE1">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886AF">
            <w:pPr>
              <w:jc w:val="center"/>
              <w:rPr>
                <w:rFonts w:hint="eastAsia" w:ascii="宋体" w:hAnsi="宋体" w:eastAsia="宋体" w:cs="宋体"/>
                <w:bCs/>
                <w:color w:val="auto"/>
                <w:sz w:val="18"/>
                <w:szCs w:val="18"/>
                <w:highlight w:val="none"/>
                <w:lang w:eastAsia="zh-CN"/>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CCC82">
            <w:pPr>
              <w:jc w:val="center"/>
              <w:rPr>
                <w:rFonts w:hint="eastAsia" w:ascii="宋体" w:hAnsi="宋体" w:eastAsia="宋体" w:cs="宋体"/>
                <w:b/>
                <w:bCs/>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530F7">
            <w:pPr>
              <w:jc w:val="center"/>
              <w:rPr>
                <w:rFonts w:hint="eastAsia" w:ascii="宋体" w:hAnsi="宋体" w:eastAsia="宋体" w:cs="宋体"/>
                <w:color w:val="auto"/>
                <w:sz w:val="18"/>
                <w:szCs w:val="18"/>
                <w:highlight w:val="none"/>
              </w:rPr>
            </w:pPr>
          </w:p>
        </w:tc>
        <w:tc>
          <w:tcPr>
            <w:tcW w:w="3482" w:type="dxa"/>
            <w:vMerge w:val="continue"/>
            <w:tcBorders>
              <w:left w:val="single" w:color="000000" w:sz="4" w:space="0"/>
              <w:right w:val="single" w:color="000000" w:sz="4" w:space="0"/>
            </w:tcBorders>
            <w:shd w:val="clear" w:color="auto" w:fill="auto"/>
            <w:noWrap/>
            <w:vAlign w:val="center"/>
          </w:tcPr>
          <w:p w14:paraId="47EB264C">
            <w:pPr>
              <w:jc w:val="center"/>
              <w:rPr>
                <w:rFonts w:hint="eastAsia" w:ascii="宋体" w:hAnsi="宋体" w:eastAsia="宋体" w:cs="宋体"/>
                <w:color w:val="auto"/>
                <w:sz w:val="18"/>
                <w:szCs w:val="18"/>
                <w:highlight w:val="none"/>
              </w:rPr>
            </w:pPr>
          </w:p>
        </w:tc>
      </w:tr>
      <w:tr w14:paraId="6D34696E">
        <w:tblPrEx>
          <w:tblCellMar>
            <w:top w:w="0" w:type="dxa"/>
            <w:left w:w="108" w:type="dxa"/>
            <w:bottom w:w="0" w:type="dxa"/>
            <w:right w:w="108" w:type="dxa"/>
          </w:tblCellMar>
        </w:tblPrEx>
        <w:trPr>
          <w:trHeight w:val="567"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09D7A">
            <w:pPr>
              <w:jc w:val="center"/>
              <w:rPr>
                <w:rFonts w:hint="eastAsia" w:ascii="宋体" w:hAnsi="宋体" w:eastAsia="宋体" w:cs="宋体"/>
                <w:color w:val="auto"/>
                <w:sz w:val="18"/>
                <w:szCs w:val="18"/>
                <w:highlight w:val="none"/>
              </w:rPr>
            </w:pPr>
          </w:p>
        </w:tc>
        <w:tc>
          <w:tcPr>
            <w:tcW w:w="559" w:type="dxa"/>
            <w:vMerge w:val="continue"/>
            <w:tcBorders>
              <w:left w:val="single" w:color="000000" w:sz="4" w:space="0"/>
              <w:right w:val="single" w:color="000000" w:sz="4" w:space="0"/>
            </w:tcBorders>
            <w:shd w:val="clear" w:color="auto" w:fill="auto"/>
            <w:noWrap/>
            <w:vAlign w:val="center"/>
          </w:tcPr>
          <w:p w14:paraId="47F8C5B7">
            <w:pPr>
              <w:jc w:val="center"/>
              <w:rPr>
                <w:rFonts w:hint="eastAsia" w:ascii="宋体" w:hAnsi="宋体" w:eastAsia="宋体" w:cs="宋体"/>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E5AFA">
            <w:pPr>
              <w:jc w:val="left"/>
              <w:rPr>
                <w:rFonts w:hint="default" w:ascii="宋体" w:hAnsi="宋体" w:eastAsia="宋体" w:cs="宋体"/>
                <w:color w:val="auto"/>
                <w:sz w:val="18"/>
                <w:szCs w:val="18"/>
                <w:highlight w:val="none"/>
                <w:lang w:val="en-US" w:eastAsia="zh-CN"/>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6C83B">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92F0F">
            <w:pPr>
              <w:jc w:val="center"/>
              <w:rPr>
                <w:rFonts w:hint="eastAsia" w:ascii="宋体" w:hAnsi="宋体" w:eastAsia="宋体" w:cs="宋体"/>
                <w:bCs/>
                <w:color w:val="auto"/>
                <w:sz w:val="18"/>
                <w:szCs w:val="18"/>
                <w:highlight w:val="none"/>
                <w:lang w:val="en-US" w:eastAsia="zh-CN"/>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3CF7C">
            <w:pPr>
              <w:jc w:val="center"/>
              <w:rPr>
                <w:rFonts w:hint="eastAsia" w:ascii="宋体" w:hAnsi="宋体" w:eastAsia="宋体" w:cs="宋体"/>
                <w:b/>
                <w:bCs/>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34114">
            <w:pPr>
              <w:jc w:val="center"/>
              <w:rPr>
                <w:rFonts w:hint="eastAsia" w:ascii="宋体" w:hAnsi="宋体" w:eastAsia="宋体" w:cs="宋体"/>
                <w:color w:val="auto"/>
                <w:sz w:val="18"/>
                <w:szCs w:val="18"/>
                <w:highlight w:val="none"/>
              </w:rPr>
            </w:pPr>
          </w:p>
        </w:tc>
        <w:tc>
          <w:tcPr>
            <w:tcW w:w="3482" w:type="dxa"/>
            <w:vMerge w:val="continue"/>
            <w:tcBorders>
              <w:left w:val="single" w:color="000000" w:sz="4" w:space="0"/>
              <w:right w:val="single" w:color="000000" w:sz="4" w:space="0"/>
            </w:tcBorders>
            <w:shd w:val="clear" w:color="auto" w:fill="auto"/>
            <w:noWrap/>
            <w:vAlign w:val="center"/>
          </w:tcPr>
          <w:p w14:paraId="66DC2E12">
            <w:pPr>
              <w:jc w:val="center"/>
              <w:rPr>
                <w:rFonts w:hint="eastAsia" w:ascii="宋体" w:hAnsi="宋体" w:eastAsia="宋体" w:cs="宋体"/>
                <w:color w:val="auto"/>
                <w:sz w:val="18"/>
                <w:szCs w:val="18"/>
                <w:highlight w:val="none"/>
              </w:rPr>
            </w:pPr>
          </w:p>
        </w:tc>
      </w:tr>
      <w:tr w14:paraId="5CE167BC">
        <w:tblPrEx>
          <w:tblCellMar>
            <w:top w:w="0" w:type="dxa"/>
            <w:left w:w="108" w:type="dxa"/>
            <w:bottom w:w="0" w:type="dxa"/>
            <w:right w:w="108" w:type="dxa"/>
          </w:tblCellMar>
        </w:tblPrEx>
        <w:trPr>
          <w:trHeight w:val="567"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1658D">
            <w:pPr>
              <w:jc w:val="center"/>
              <w:rPr>
                <w:rFonts w:hint="eastAsia" w:ascii="宋体" w:hAnsi="宋体" w:eastAsia="宋体" w:cs="宋体"/>
                <w:color w:val="auto"/>
                <w:sz w:val="18"/>
                <w:szCs w:val="18"/>
                <w:highlight w:val="none"/>
              </w:rPr>
            </w:pPr>
          </w:p>
        </w:tc>
        <w:tc>
          <w:tcPr>
            <w:tcW w:w="559" w:type="dxa"/>
            <w:vMerge w:val="continue"/>
            <w:tcBorders>
              <w:left w:val="single" w:color="000000" w:sz="4" w:space="0"/>
              <w:right w:val="single" w:color="000000" w:sz="4" w:space="0"/>
            </w:tcBorders>
            <w:shd w:val="clear" w:color="auto" w:fill="auto"/>
            <w:noWrap/>
            <w:vAlign w:val="center"/>
          </w:tcPr>
          <w:p w14:paraId="0B580799">
            <w:pPr>
              <w:jc w:val="center"/>
              <w:rPr>
                <w:rFonts w:hint="eastAsia" w:ascii="宋体" w:hAnsi="宋体" w:eastAsia="宋体" w:cs="宋体"/>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6E835">
            <w:pPr>
              <w:jc w:val="left"/>
              <w:rPr>
                <w:rFonts w:hint="eastAsia" w:ascii="宋体" w:hAnsi="宋体" w:eastAsia="宋体" w:cs="宋体"/>
                <w:color w:val="auto"/>
                <w:sz w:val="18"/>
                <w:szCs w:val="18"/>
                <w:highlight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091EC">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60AE6">
            <w:pPr>
              <w:jc w:val="center"/>
              <w:rPr>
                <w:rFonts w:hint="eastAsia" w:ascii="宋体" w:hAnsi="宋体" w:eastAsia="宋体" w:cs="宋体"/>
                <w:bCs/>
                <w:color w:val="auto"/>
                <w:sz w:val="18"/>
                <w:szCs w:val="18"/>
                <w:highlight w:val="none"/>
                <w:lang w:val="en-US" w:eastAsia="zh-CN"/>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DDF77">
            <w:pPr>
              <w:jc w:val="center"/>
              <w:rPr>
                <w:rFonts w:hint="eastAsia" w:ascii="宋体" w:hAnsi="宋体" w:eastAsia="宋体" w:cs="宋体"/>
                <w:b/>
                <w:bCs/>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12A9B">
            <w:pPr>
              <w:jc w:val="center"/>
              <w:rPr>
                <w:rFonts w:hint="eastAsia" w:ascii="宋体" w:hAnsi="宋体" w:eastAsia="宋体" w:cs="宋体"/>
                <w:color w:val="auto"/>
                <w:sz w:val="18"/>
                <w:szCs w:val="18"/>
                <w:highlight w:val="none"/>
              </w:rPr>
            </w:pPr>
          </w:p>
        </w:tc>
        <w:tc>
          <w:tcPr>
            <w:tcW w:w="3482" w:type="dxa"/>
            <w:vMerge w:val="continue"/>
            <w:tcBorders>
              <w:left w:val="single" w:color="000000" w:sz="4" w:space="0"/>
              <w:right w:val="single" w:color="000000" w:sz="4" w:space="0"/>
            </w:tcBorders>
            <w:shd w:val="clear" w:color="auto" w:fill="auto"/>
            <w:noWrap/>
            <w:vAlign w:val="center"/>
          </w:tcPr>
          <w:p w14:paraId="70E1BD12">
            <w:pPr>
              <w:jc w:val="center"/>
              <w:rPr>
                <w:rFonts w:hint="eastAsia" w:ascii="宋体" w:hAnsi="宋体" w:eastAsia="宋体" w:cs="宋体"/>
                <w:color w:val="auto"/>
                <w:sz w:val="18"/>
                <w:szCs w:val="18"/>
                <w:highlight w:val="none"/>
              </w:rPr>
            </w:pPr>
          </w:p>
        </w:tc>
      </w:tr>
      <w:tr w14:paraId="2B05B0CA">
        <w:tblPrEx>
          <w:tblCellMar>
            <w:top w:w="0" w:type="dxa"/>
            <w:left w:w="108" w:type="dxa"/>
            <w:bottom w:w="0" w:type="dxa"/>
            <w:right w:w="108" w:type="dxa"/>
          </w:tblCellMar>
        </w:tblPrEx>
        <w:trPr>
          <w:trHeight w:val="567"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7D746">
            <w:pPr>
              <w:jc w:val="center"/>
              <w:rPr>
                <w:rFonts w:hint="eastAsia" w:ascii="宋体" w:hAnsi="宋体" w:eastAsia="宋体" w:cs="宋体"/>
                <w:color w:val="auto"/>
                <w:sz w:val="18"/>
                <w:szCs w:val="18"/>
                <w:highlight w:val="none"/>
              </w:rPr>
            </w:pPr>
          </w:p>
        </w:tc>
        <w:tc>
          <w:tcPr>
            <w:tcW w:w="559" w:type="dxa"/>
            <w:vMerge w:val="continue"/>
            <w:tcBorders>
              <w:left w:val="single" w:color="000000" w:sz="4" w:space="0"/>
              <w:right w:val="single" w:color="000000" w:sz="4" w:space="0"/>
            </w:tcBorders>
            <w:shd w:val="clear" w:color="auto" w:fill="auto"/>
            <w:noWrap/>
            <w:vAlign w:val="center"/>
          </w:tcPr>
          <w:p w14:paraId="6A3C1AEB">
            <w:pPr>
              <w:jc w:val="center"/>
              <w:rPr>
                <w:rFonts w:hint="eastAsia" w:ascii="宋体" w:hAnsi="宋体" w:eastAsia="宋体" w:cs="宋体"/>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2CB3E">
            <w:pPr>
              <w:jc w:val="left"/>
              <w:rPr>
                <w:rFonts w:hint="eastAsia" w:ascii="宋体" w:hAnsi="宋体" w:eastAsia="宋体" w:cs="宋体"/>
                <w:color w:val="auto"/>
                <w:sz w:val="18"/>
                <w:szCs w:val="18"/>
                <w:highlight w:val="none"/>
                <w:lang w:val="en-US" w:eastAsia="zh-CN"/>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B54F1">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15BBA">
            <w:pPr>
              <w:jc w:val="center"/>
              <w:rPr>
                <w:rFonts w:hint="default" w:ascii="宋体" w:hAnsi="宋体" w:eastAsia="宋体" w:cs="宋体"/>
                <w:color w:val="auto"/>
                <w:sz w:val="18"/>
                <w:szCs w:val="18"/>
                <w:highlight w:val="none"/>
                <w:lang w:val="en-US" w:eastAsia="zh-CN" w:bidi="ar-SA"/>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73287">
            <w:pPr>
              <w:jc w:val="center"/>
              <w:rPr>
                <w:rFonts w:hint="eastAsia" w:ascii="宋体" w:hAnsi="宋体" w:eastAsia="宋体" w:cs="宋体"/>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58B51">
            <w:pPr>
              <w:jc w:val="center"/>
              <w:rPr>
                <w:rFonts w:hint="eastAsia" w:ascii="宋体" w:hAnsi="宋体" w:eastAsia="宋体" w:cs="宋体"/>
                <w:color w:val="auto"/>
                <w:sz w:val="18"/>
                <w:szCs w:val="18"/>
                <w:highlight w:val="none"/>
              </w:rPr>
            </w:pPr>
          </w:p>
        </w:tc>
        <w:tc>
          <w:tcPr>
            <w:tcW w:w="3482" w:type="dxa"/>
            <w:vMerge w:val="continue"/>
            <w:tcBorders>
              <w:left w:val="single" w:color="000000" w:sz="4" w:space="0"/>
              <w:right w:val="single" w:color="000000" w:sz="4" w:space="0"/>
            </w:tcBorders>
            <w:shd w:val="clear" w:color="auto" w:fill="auto"/>
            <w:noWrap/>
            <w:vAlign w:val="center"/>
          </w:tcPr>
          <w:p w14:paraId="49C392E3">
            <w:pPr>
              <w:jc w:val="center"/>
              <w:rPr>
                <w:rFonts w:hint="eastAsia" w:ascii="宋体" w:hAnsi="宋体" w:eastAsia="宋体" w:cs="宋体"/>
                <w:color w:val="auto"/>
                <w:sz w:val="18"/>
                <w:szCs w:val="18"/>
                <w:highlight w:val="none"/>
              </w:rPr>
            </w:pPr>
          </w:p>
        </w:tc>
      </w:tr>
      <w:tr w14:paraId="6E7DC4D2">
        <w:tblPrEx>
          <w:tblCellMar>
            <w:top w:w="0" w:type="dxa"/>
            <w:left w:w="108" w:type="dxa"/>
            <w:bottom w:w="0" w:type="dxa"/>
            <w:right w:w="108" w:type="dxa"/>
          </w:tblCellMar>
        </w:tblPrEx>
        <w:trPr>
          <w:trHeight w:val="567"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6E3B4">
            <w:pPr>
              <w:jc w:val="center"/>
              <w:rPr>
                <w:rFonts w:hint="eastAsia" w:ascii="宋体" w:hAnsi="宋体" w:eastAsia="宋体" w:cs="宋体"/>
                <w:color w:val="auto"/>
                <w:sz w:val="18"/>
                <w:szCs w:val="18"/>
                <w:highlight w:val="none"/>
              </w:rPr>
            </w:pPr>
          </w:p>
        </w:tc>
        <w:tc>
          <w:tcPr>
            <w:tcW w:w="559" w:type="dxa"/>
            <w:vMerge w:val="continue"/>
            <w:tcBorders>
              <w:left w:val="single" w:color="000000" w:sz="4" w:space="0"/>
              <w:right w:val="single" w:color="000000" w:sz="4" w:space="0"/>
            </w:tcBorders>
            <w:shd w:val="clear" w:color="auto" w:fill="auto"/>
            <w:noWrap/>
            <w:vAlign w:val="center"/>
          </w:tcPr>
          <w:p w14:paraId="3B73E0D8">
            <w:pPr>
              <w:jc w:val="center"/>
              <w:rPr>
                <w:rFonts w:hint="eastAsia" w:ascii="宋体" w:hAnsi="宋体" w:eastAsia="宋体" w:cs="宋体"/>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96AE5">
            <w:pPr>
              <w:jc w:val="left"/>
              <w:rPr>
                <w:rFonts w:hint="eastAsia" w:ascii="宋体" w:hAnsi="宋体" w:eastAsia="宋体" w:cs="宋体"/>
                <w:color w:val="auto"/>
                <w:sz w:val="18"/>
                <w:szCs w:val="18"/>
                <w:highlight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44B56">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64060">
            <w:pPr>
              <w:jc w:val="center"/>
              <w:rPr>
                <w:rFonts w:hint="eastAsia" w:ascii="宋体" w:hAnsi="宋体" w:eastAsia="宋体" w:cs="宋体"/>
                <w:color w:val="auto"/>
                <w:sz w:val="18"/>
                <w:szCs w:val="18"/>
                <w:highlight w:val="none"/>
                <w:lang w:val="en-US" w:eastAsia="zh-CN"/>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29596">
            <w:pPr>
              <w:jc w:val="center"/>
              <w:rPr>
                <w:rFonts w:hint="eastAsia" w:ascii="宋体" w:hAnsi="宋体" w:eastAsia="宋体" w:cs="宋体"/>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BD5B7">
            <w:pPr>
              <w:jc w:val="center"/>
              <w:rPr>
                <w:rFonts w:hint="eastAsia" w:ascii="宋体" w:hAnsi="宋体" w:eastAsia="宋体" w:cs="宋体"/>
                <w:color w:val="auto"/>
                <w:sz w:val="18"/>
                <w:szCs w:val="18"/>
                <w:highlight w:val="none"/>
              </w:rPr>
            </w:pPr>
          </w:p>
        </w:tc>
        <w:tc>
          <w:tcPr>
            <w:tcW w:w="3482" w:type="dxa"/>
            <w:vMerge w:val="continue"/>
            <w:tcBorders>
              <w:left w:val="single" w:color="000000" w:sz="4" w:space="0"/>
              <w:right w:val="single" w:color="000000" w:sz="4" w:space="0"/>
            </w:tcBorders>
            <w:shd w:val="clear" w:color="auto" w:fill="auto"/>
            <w:noWrap/>
            <w:vAlign w:val="center"/>
          </w:tcPr>
          <w:p w14:paraId="6D7580DB">
            <w:pPr>
              <w:jc w:val="center"/>
              <w:rPr>
                <w:rFonts w:hint="eastAsia" w:ascii="宋体" w:hAnsi="宋体" w:eastAsia="宋体" w:cs="宋体"/>
                <w:color w:val="auto"/>
                <w:sz w:val="18"/>
                <w:szCs w:val="18"/>
                <w:highlight w:val="none"/>
              </w:rPr>
            </w:pPr>
          </w:p>
        </w:tc>
      </w:tr>
      <w:tr w14:paraId="21E79393">
        <w:tblPrEx>
          <w:tblCellMar>
            <w:top w:w="0" w:type="dxa"/>
            <w:left w:w="108" w:type="dxa"/>
            <w:bottom w:w="0" w:type="dxa"/>
            <w:right w:w="108" w:type="dxa"/>
          </w:tblCellMar>
        </w:tblPrEx>
        <w:trPr>
          <w:trHeight w:val="567"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F5DA4">
            <w:pPr>
              <w:jc w:val="center"/>
              <w:rPr>
                <w:rFonts w:hint="eastAsia" w:ascii="宋体" w:hAnsi="宋体" w:eastAsia="宋体" w:cs="宋体"/>
                <w:color w:val="auto"/>
                <w:sz w:val="18"/>
                <w:szCs w:val="18"/>
                <w:highlight w:val="none"/>
              </w:rPr>
            </w:pPr>
          </w:p>
        </w:tc>
        <w:tc>
          <w:tcPr>
            <w:tcW w:w="559" w:type="dxa"/>
            <w:vMerge w:val="continue"/>
            <w:tcBorders>
              <w:left w:val="single" w:color="000000" w:sz="4" w:space="0"/>
              <w:right w:val="single" w:color="000000" w:sz="4" w:space="0"/>
            </w:tcBorders>
            <w:shd w:val="clear" w:color="auto" w:fill="auto"/>
            <w:noWrap/>
            <w:vAlign w:val="center"/>
          </w:tcPr>
          <w:p w14:paraId="50C92349">
            <w:pPr>
              <w:jc w:val="center"/>
              <w:rPr>
                <w:rFonts w:hint="eastAsia" w:ascii="宋体" w:hAnsi="宋体" w:eastAsia="宋体" w:cs="宋体"/>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B65D7">
            <w:pPr>
              <w:jc w:val="left"/>
              <w:rPr>
                <w:rFonts w:hint="eastAsia" w:ascii="宋体" w:hAnsi="宋体" w:eastAsia="宋体" w:cs="宋体"/>
                <w:color w:val="auto"/>
                <w:sz w:val="18"/>
                <w:szCs w:val="18"/>
                <w:highlight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47CEE">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812DB">
            <w:pPr>
              <w:jc w:val="center"/>
              <w:rPr>
                <w:rFonts w:hint="eastAsia" w:ascii="宋体" w:hAnsi="宋体" w:eastAsia="宋体" w:cs="宋体"/>
                <w:color w:val="auto"/>
                <w:sz w:val="18"/>
                <w:szCs w:val="18"/>
                <w:highlight w:val="none"/>
                <w:lang w:val="en-US" w:eastAsia="zh-CN"/>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A108F">
            <w:pPr>
              <w:jc w:val="center"/>
              <w:rPr>
                <w:rFonts w:hint="eastAsia" w:ascii="宋体" w:hAnsi="宋体" w:eastAsia="宋体" w:cs="宋体"/>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39C5C">
            <w:pPr>
              <w:jc w:val="center"/>
              <w:rPr>
                <w:rFonts w:hint="eastAsia" w:ascii="宋体" w:hAnsi="宋体" w:eastAsia="宋体" w:cs="宋体"/>
                <w:color w:val="auto"/>
                <w:sz w:val="18"/>
                <w:szCs w:val="18"/>
                <w:highlight w:val="none"/>
              </w:rPr>
            </w:pPr>
          </w:p>
        </w:tc>
        <w:tc>
          <w:tcPr>
            <w:tcW w:w="3482" w:type="dxa"/>
            <w:vMerge w:val="continue"/>
            <w:tcBorders>
              <w:left w:val="single" w:color="000000" w:sz="4" w:space="0"/>
              <w:right w:val="single" w:color="000000" w:sz="4" w:space="0"/>
            </w:tcBorders>
            <w:shd w:val="clear" w:color="auto" w:fill="auto"/>
            <w:noWrap/>
            <w:vAlign w:val="center"/>
          </w:tcPr>
          <w:p w14:paraId="20A73243">
            <w:pPr>
              <w:jc w:val="center"/>
              <w:rPr>
                <w:rFonts w:hint="eastAsia" w:ascii="宋体" w:hAnsi="宋体" w:eastAsia="宋体" w:cs="宋体"/>
                <w:color w:val="auto"/>
                <w:sz w:val="18"/>
                <w:szCs w:val="18"/>
                <w:highlight w:val="none"/>
              </w:rPr>
            </w:pPr>
          </w:p>
        </w:tc>
      </w:tr>
      <w:tr w14:paraId="35EC622E">
        <w:tblPrEx>
          <w:tblCellMar>
            <w:top w:w="0" w:type="dxa"/>
            <w:left w:w="108" w:type="dxa"/>
            <w:bottom w:w="0" w:type="dxa"/>
            <w:right w:w="108" w:type="dxa"/>
          </w:tblCellMar>
        </w:tblPrEx>
        <w:trPr>
          <w:trHeight w:val="567"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8C772">
            <w:pPr>
              <w:jc w:val="center"/>
              <w:rPr>
                <w:rFonts w:hint="eastAsia" w:ascii="宋体" w:hAnsi="宋体" w:eastAsia="宋体" w:cs="宋体"/>
                <w:color w:val="auto"/>
                <w:sz w:val="18"/>
                <w:szCs w:val="18"/>
                <w:highlight w:val="none"/>
              </w:rPr>
            </w:pPr>
          </w:p>
        </w:tc>
        <w:tc>
          <w:tcPr>
            <w:tcW w:w="559" w:type="dxa"/>
            <w:vMerge w:val="continue"/>
            <w:tcBorders>
              <w:left w:val="single" w:color="000000" w:sz="4" w:space="0"/>
              <w:right w:val="single" w:color="000000" w:sz="4" w:space="0"/>
            </w:tcBorders>
            <w:shd w:val="clear" w:color="auto" w:fill="auto"/>
            <w:noWrap/>
            <w:vAlign w:val="center"/>
          </w:tcPr>
          <w:p w14:paraId="641B484E">
            <w:pPr>
              <w:jc w:val="center"/>
              <w:rPr>
                <w:rFonts w:hint="eastAsia" w:ascii="宋体" w:hAnsi="宋体" w:eastAsia="宋体" w:cs="宋体"/>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4664B">
            <w:pPr>
              <w:jc w:val="left"/>
              <w:rPr>
                <w:rFonts w:hint="eastAsia" w:ascii="宋体" w:hAnsi="宋体" w:eastAsia="宋体" w:cs="宋体"/>
                <w:color w:val="auto"/>
                <w:sz w:val="18"/>
                <w:szCs w:val="18"/>
                <w:highlight w:val="none"/>
              </w:rPr>
            </w:pP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6EB79">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3BA81">
            <w:pPr>
              <w:jc w:val="center"/>
              <w:rPr>
                <w:rFonts w:hint="eastAsia" w:ascii="宋体" w:hAnsi="宋体" w:eastAsia="宋体" w:cs="宋体"/>
                <w:color w:val="auto"/>
                <w:sz w:val="18"/>
                <w:szCs w:val="18"/>
                <w:highlight w:val="none"/>
                <w:lang w:val="en-US" w:eastAsia="zh-CN"/>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0373A">
            <w:pPr>
              <w:jc w:val="center"/>
              <w:rPr>
                <w:rFonts w:hint="eastAsia" w:ascii="宋体" w:hAnsi="宋体" w:eastAsia="宋体" w:cs="宋体"/>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31D17">
            <w:pPr>
              <w:jc w:val="center"/>
              <w:rPr>
                <w:rFonts w:hint="eastAsia" w:ascii="宋体" w:hAnsi="宋体" w:eastAsia="宋体" w:cs="宋体"/>
                <w:color w:val="auto"/>
                <w:sz w:val="18"/>
                <w:szCs w:val="18"/>
                <w:highlight w:val="none"/>
              </w:rPr>
            </w:pPr>
          </w:p>
        </w:tc>
        <w:tc>
          <w:tcPr>
            <w:tcW w:w="3482" w:type="dxa"/>
            <w:vMerge w:val="continue"/>
            <w:tcBorders>
              <w:left w:val="single" w:color="000000" w:sz="4" w:space="0"/>
              <w:right w:val="single" w:color="000000" w:sz="4" w:space="0"/>
            </w:tcBorders>
            <w:shd w:val="clear" w:color="auto" w:fill="auto"/>
            <w:noWrap/>
            <w:vAlign w:val="center"/>
          </w:tcPr>
          <w:p w14:paraId="35D1CCB4">
            <w:pPr>
              <w:jc w:val="center"/>
              <w:rPr>
                <w:rFonts w:hint="eastAsia" w:ascii="宋体" w:hAnsi="宋体" w:eastAsia="宋体" w:cs="宋体"/>
                <w:color w:val="auto"/>
                <w:sz w:val="18"/>
                <w:szCs w:val="18"/>
                <w:highlight w:val="none"/>
              </w:rPr>
            </w:pPr>
          </w:p>
        </w:tc>
      </w:tr>
      <w:tr w14:paraId="793DC493">
        <w:tblPrEx>
          <w:tblCellMar>
            <w:top w:w="0" w:type="dxa"/>
            <w:left w:w="108" w:type="dxa"/>
            <w:bottom w:w="0" w:type="dxa"/>
            <w:right w:w="108" w:type="dxa"/>
          </w:tblCellMar>
        </w:tblPrEx>
        <w:trPr>
          <w:trHeight w:val="0"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466F7">
            <w:pPr>
              <w:jc w:val="center"/>
              <w:rPr>
                <w:rFonts w:hint="eastAsia" w:ascii="宋体" w:hAnsi="宋体" w:eastAsia="宋体" w:cs="宋体"/>
                <w:color w:val="auto"/>
                <w:sz w:val="18"/>
                <w:szCs w:val="18"/>
                <w:highlight w:val="none"/>
              </w:rPr>
            </w:pPr>
          </w:p>
        </w:tc>
        <w:tc>
          <w:tcPr>
            <w:tcW w:w="23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6789D">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社保</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A1EDE">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人*月</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EE4B2">
            <w:pPr>
              <w:jc w:val="center"/>
              <w:rPr>
                <w:rFonts w:hint="default" w:ascii="宋体" w:hAnsi="宋体" w:eastAsia="宋体" w:cs="宋体"/>
                <w:color w:val="auto"/>
                <w:sz w:val="18"/>
                <w:szCs w:val="18"/>
                <w:highlight w:val="none"/>
                <w:lang w:val="en-US"/>
              </w:rPr>
            </w:pPr>
            <w:r>
              <w:rPr>
                <w:rFonts w:hint="eastAsia" w:ascii="宋体" w:hAnsi="宋体" w:eastAsia="宋体" w:cs="宋体"/>
                <w:color w:val="auto"/>
                <w:sz w:val="18"/>
                <w:szCs w:val="18"/>
                <w:highlight w:val="none"/>
                <w:lang w:val="en-US" w:eastAsia="zh-CN"/>
              </w:rPr>
              <w:t>51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95541">
            <w:pPr>
              <w:jc w:val="center"/>
              <w:rPr>
                <w:rFonts w:hint="eastAsia" w:ascii="宋体" w:hAnsi="宋体" w:eastAsia="宋体" w:cs="宋体"/>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02AE0">
            <w:pPr>
              <w:jc w:val="center"/>
              <w:rPr>
                <w:rFonts w:hint="eastAsia" w:ascii="宋体" w:hAnsi="宋体" w:eastAsia="宋体" w:cs="宋体"/>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9BE74">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不得低于1292.47元/人/月</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否则</w:t>
            </w:r>
            <w:r>
              <w:rPr>
                <w:rFonts w:hint="eastAsia" w:ascii="宋体" w:hAnsi="宋体" w:eastAsia="宋体" w:cs="宋体"/>
                <w:color w:val="auto"/>
                <w:sz w:val="18"/>
                <w:szCs w:val="18"/>
                <w:highlight w:val="none"/>
                <w:lang w:val="zh-CN"/>
              </w:rPr>
              <w:t>视为未实质性响应招标文件要求，</w:t>
            </w:r>
            <w:r>
              <w:rPr>
                <w:rFonts w:hint="eastAsia" w:ascii="宋体" w:hAnsi="宋体" w:eastAsia="宋体" w:cs="宋体"/>
                <w:color w:val="auto"/>
                <w:sz w:val="18"/>
                <w:szCs w:val="18"/>
                <w:highlight w:val="none"/>
                <w:lang w:val="en-US" w:eastAsia="zh-CN"/>
              </w:rPr>
              <w:t>做无效投标处理</w:t>
            </w:r>
            <w:r>
              <w:rPr>
                <w:rFonts w:hint="eastAsia" w:ascii="宋体" w:hAnsi="宋体" w:eastAsia="宋体" w:cs="宋体"/>
                <w:color w:val="auto"/>
                <w:sz w:val="18"/>
                <w:szCs w:val="18"/>
                <w:highlight w:val="none"/>
              </w:rPr>
              <w:t>。所有人员必须参加保险。</w:t>
            </w:r>
          </w:p>
        </w:tc>
      </w:tr>
      <w:tr w14:paraId="611D0F3F">
        <w:tblPrEx>
          <w:tblCellMar>
            <w:top w:w="0" w:type="dxa"/>
            <w:left w:w="108" w:type="dxa"/>
            <w:bottom w:w="0" w:type="dxa"/>
            <w:right w:w="108" w:type="dxa"/>
          </w:tblCellMar>
        </w:tblPrEx>
        <w:trPr>
          <w:trHeight w:val="90" w:hRule="atLeast"/>
          <w:jc w:val="center"/>
        </w:trPr>
        <w:tc>
          <w:tcPr>
            <w:tcW w:w="5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65693">
            <w:pPr>
              <w:jc w:val="center"/>
              <w:rPr>
                <w:rFonts w:hint="eastAsia" w:ascii="宋体" w:hAnsi="宋体" w:eastAsia="宋体" w:cs="宋体"/>
                <w:color w:val="auto"/>
                <w:sz w:val="18"/>
                <w:szCs w:val="18"/>
                <w:highlight w:val="none"/>
              </w:rPr>
            </w:pPr>
          </w:p>
        </w:tc>
        <w:tc>
          <w:tcPr>
            <w:tcW w:w="233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1AA0A">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法定节假日加班费</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10AAE">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人*年</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22A1C">
            <w:pPr>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35</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02228">
            <w:pPr>
              <w:jc w:val="center"/>
              <w:rPr>
                <w:rFonts w:hint="eastAsia" w:ascii="宋体" w:hAnsi="宋体" w:eastAsia="宋体" w:cs="宋体"/>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DDC89">
            <w:pPr>
              <w:jc w:val="center"/>
              <w:rPr>
                <w:rFonts w:hint="eastAsia" w:ascii="宋体" w:hAnsi="宋体" w:eastAsia="宋体" w:cs="宋体"/>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4CBB5">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本项目要求每年法定节假日加班天数13天，法定节假日加班人员数不得低于</w:t>
            </w:r>
            <w:r>
              <w:rPr>
                <w:rFonts w:hint="eastAsia" w:ascii="宋体" w:hAnsi="宋体" w:eastAsia="宋体" w:cs="宋体"/>
                <w:color w:val="auto"/>
                <w:sz w:val="18"/>
                <w:szCs w:val="18"/>
                <w:highlight w:val="none"/>
                <w:lang w:val="en-US" w:eastAsia="zh-CN"/>
              </w:rPr>
              <w:t>35</w:t>
            </w:r>
            <w:r>
              <w:rPr>
                <w:rFonts w:hint="eastAsia" w:ascii="宋体" w:hAnsi="宋体" w:eastAsia="宋体" w:cs="宋体"/>
                <w:color w:val="auto"/>
                <w:sz w:val="18"/>
                <w:szCs w:val="18"/>
                <w:highlight w:val="none"/>
              </w:rPr>
              <w:t>人，各投标人须按不低于</w:t>
            </w:r>
            <w:r>
              <w:rPr>
                <w:rFonts w:hint="eastAsia" w:ascii="宋体" w:hAnsi="宋体" w:eastAsia="宋体" w:cs="宋体"/>
                <w:color w:val="auto"/>
                <w:sz w:val="18"/>
                <w:szCs w:val="18"/>
                <w:highlight w:val="none"/>
                <w:lang w:eastAsia="zh-CN"/>
              </w:rPr>
              <w:t>3908.97</w:t>
            </w:r>
            <w:r>
              <w:rPr>
                <w:rFonts w:hint="eastAsia" w:ascii="宋体" w:hAnsi="宋体" w:eastAsia="宋体" w:cs="宋体"/>
                <w:color w:val="auto"/>
                <w:sz w:val="18"/>
                <w:szCs w:val="18"/>
                <w:highlight w:val="none"/>
              </w:rPr>
              <w:t>元/人/年填报，否则</w:t>
            </w:r>
            <w:r>
              <w:rPr>
                <w:rFonts w:hint="eastAsia" w:ascii="宋体" w:hAnsi="宋体" w:eastAsia="宋体" w:cs="宋体"/>
                <w:color w:val="auto"/>
                <w:sz w:val="18"/>
                <w:szCs w:val="18"/>
                <w:highlight w:val="none"/>
                <w:lang w:val="zh-CN"/>
              </w:rPr>
              <w:t>视为未实质性响应招标文件要求，</w:t>
            </w:r>
            <w:r>
              <w:rPr>
                <w:rFonts w:hint="eastAsia" w:ascii="宋体" w:hAnsi="宋体" w:eastAsia="宋体" w:cs="宋体"/>
                <w:color w:val="auto"/>
                <w:sz w:val="18"/>
                <w:szCs w:val="18"/>
                <w:highlight w:val="none"/>
                <w:lang w:val="en-US" w:eastAsia="zh-CN"/>
              </w:rPr>
              <w:t>做无效投标处理</w:t>
            </w:r>
            <w:r>
              <w:rPr>
                <w:rFonts w:hint="eastAsia" w:ascii="宋体" w:hAnsi="宋体" w:eastAsia="宋体" w:cs="宋体"/>
                <w:color w:val="auto"/>
                <w:sz w:val="18"/>
                <w:szCs w:val="18"/>
                <w:highlight w:val="none"/>
              </w:rPr>
              <w:t>。</w:t>
            </w:r>
          </w:p>
        </w:tc>
      </w:tr>
      <w:tr w14:paraId="2E18F071">
        <w:tblPrEx>
          <w:tblCellMar>
            <w:top w:w="0" w:type="dxa"/>
            <w:left w:w="108" w:type="dxa"/>
            <w:bottom w:w="0" w:type="dxa"/>
            <w:right w:w="108" w:type="dxa"/>
          </w:tblCellMar>
        </w:tblPrEx>
        <w:trPr>
          <w:trHeight w:val="567"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CBE1D">
            <w:pPr>
              <w:autoSpaceDE w:val="0"/>
              <w:autoSpaceDN w:val="0"/>
              <w:adjustRightInd w:val="0"/>
              <w:jc w:val="center"/>
              <w:rPr>
                <w:rFonts w:hint="default" w:ascii="宋体" w:hAnsi="宋体" w:eastAsia="宋体" w:cs="宋体"/>
                <w:b w:val="0"/>
                <w:bCs w:val="0"/>
                <w:color w:val="auto"/>
                <w:sz w:val="18"/>
                <w:szCs w:val="18"/>
                <w:highlight w:val="none"/>
                <w:u w:val="none"/>
                <w:lang w:val="en-US" w:eastAsia="zh-CN" w:bidi="ar-SA"/>
              </w:rPr>
            </w:pPr>
            <w:r>
              <w:rPr>
                <w:rFonts w:hint="eastAsia" w:ascii="宋体" w:hAnsi="宋体" w:eastAsia="宋体" w:cs="宋体"/>
                <w:b w:val="0"/>
                <w:bCs w:val="0"/>
                <w:color w:val="auto"/>
                <w:sz w:val="18"/>
                <w:szCs w:val="18"/>
                <w:highlight w:val="none"/>
                <w:u w:val="none"/>
                <w:lang w:val="en-US" w:eastAsia="zh-CN" w:bidi="ar-SA"/>
              </w:rPr>
              <w:t>2</w:t>
            </w:r>
          </w:p>
        </w:tc>
        <w:tc>
          <w:tcPr>
            <w:tcW w:w="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DEBA8">
            <w:pPr>
              <w:autoSpaceDE w:val="0"/>
              <w:autoSpaceDN w:val="0"/>
              <w:adjustRightInd w:val="0"/>
              <w:jc w:val="center"/>
              <w:rPr>
                <w:rStyle w:val="213"/>
                <w:rFonts w:hint="eastAsia" w:ascii="宋体" w:hAnsi="宋体" w:eastAsia="宋体" w:cs="宋体"/>
                <w:b w:val="0"/>
                <w:bCs w:val="0"/>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0401A">
            <w:pPr>
              <w:autoSpaceDE w:val="0"/>
              <w:autoSpaceDN w:val="0"/>
              <w:adjustRightInd w:val="0"/>
              <w:rPr>
                <w:rFonts w:hint="eastAsia" w:ascii="宋体" w:hAnsi="宋体"/>
                <w:color w:val="auto"/>
                <w:sz w:val="18"/>
                <w:szCs w:val="18"/>
                <w:highlight w:val="none"/>
                <w:lang w:val="zh-CN"/>
              </w:rPr>
            </w:pPr>
            <w:r>
              <w:rPr>
                <w:rStyle w:val="213"/>
                <w:rFonts w:hint="eastAsia" w:ascii="宋体" w:hAnsi="宋体" w:eastAsia="宋体" w:cs="宋体"/>
                <w:b w:val="0"/>
                <w:bCs w:val="0"/>
                <w:color w:val="auto"/>
                <w:sz w:val="18"/>
                <w:szCs w:val="18"/>
                <w:highlight w:val="none"/>
              </w:rPr>
              <w:t>其他费用</w:t>
            </w:r>
          </w:p>
        </w:tc>
        <w:tc>
          <w:tcPr>
            <w:tcW w:w="2394"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BCC92">
            <w:pPr>
              <w:jc w:val="center"/>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（以下项合计）</w:t>
            </w: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BB8C7">
            <w:pPr>
              <w:jc w:val="center"/>
              <w:rPr>
                <w:rFonts w:hint="eastAsia" w:ascii="宋体" w:hAnsi="宋体" w:eastAsia="宋体" w:cs="宋体"/>
                <w:b/>
                <w:bCs/>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87E24">
            <w:pPr>
              <w:rPr>
                <w:rFonts w:hint="eastAsia" w:ascii="宋体" w:hAnsi="宋体" w:eastAsia="宋体" w:cs="宋体"/>
                <w:color w:val="auto"/>
                <w:sz w:val="18"/>
                <w:szCs w:val="18"/>
                <w:highlight w:val="none"/>
              </w:rPr>
            </w:pPr>
          </w:p>
        </w:tc>
      </w:tr>
      <w:tr w14:paraId="4242F98B">
        <w:tblPrEx>
          <w:tblCellMar>
            <w:top w:w="0" w:type="dxa"/>
            <w:left w:w="108" w:type="dxa"/>
            <w:bottom w:w="0" w:type="dxa"/>
            <w:right w:w="108" w:type="dxa"/>
          </w:tblCellMar>
        </w:tblPrEx>
        <w:trPr>
          <w:trHeight w:val="567"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CA097">
            <w:pPr>
              <w:autoSpaceDE w:val="0"/>
              <w:autoSpaceDN w:val="0"/>
              <w:adjustRightInd w:val="0"/>
              <w:jc w:val="center"/>
              <w:rPr>
                <w:rFonts w:hint="eastAsia" w:ascii="宋体" w:hAnsi="宋体" w:eastAsia="宋体" w:cs="宋体"/>
                <w:b w:val="0"/>
                <w:bCs w:val="0"/>
                <w:color w:val="auto"/>
                <w:sz w:val="18"/>
                <w:szCs w:val="18"/>
                <w:highlight w:val="none"/>
                <w:u w:val="none"/>
                <w:lang w:val="en-US" w:eastAsia="zh-CN" w:bidi="ar-SA"/>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D35A5">
            <w:pPr>
              <w:autoSpaceDE w:val="0"/>
              <w:autoSpaceDN w:val="0"/>
              <w:adjustRightInd w:val="0"/>
              <w:jc w:val="center"/>
              <w:rPr>
                <w:rStyle w:val="213"/>
                <w:rFonts w:hint="eastAsia" w:ascii="宋体" w:hAnsi="宋体" w:eastAsia="宋体" w:cs="宋体"/>
                <w:b w:val="0"/>
                <w:bCs w:val="0"/>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88DFE">
            <w:pPr>
              <w:autoSpaceDE w:val="0"/>
              <w:autoSpaceDN w:val="0"/>
              <w:adjustRightInd w:val="0"/>
              <w:rPr>
                <w:rStyle w:val="213"/>
                <w:rFonts w:hint="default" w:ascii="宋体" w:hAnsi="宋体" w:eastAsia="宋体" w:cs="宋体"/>
                <w:b w:val="0"/>
                <w:bCs w:val="0"/>
                <w:color w:val="auto"/>
                <w:sz w:val="18"/>
                <w:szCs w:val="18"/>
                <w:highlight w:val="none"/>
                <w:lang w:val="en-US" w:eastAsia="zh-CN"/>
              </w:rPr>
            </w:pPr>
            <w:r>
              <w:rPr>
                <w:rFonts w:hint="eastAsia" w:ascii="宋体" w:hAnsi="宋体" w:eastAsia="宋体" w:cs="宋体"/>
                <w:color w:val="auto"/>
                <w:sz w:val="18"/>
                <w:szCs w:val="18"/>
                <w:highlight w:val="none"/>
              </w:rPr>
              <w:t>服装</w:t>
            </w:r>
            <w:r>
              <w:rPr>
                <w:rFonts w:hint="eastAsia" w:ascii="宋体" w:hAnsi="宋体" w:eastAsia="宋体" w:cs="宋体"/>
                <w:color w:val="auto"/>
                <w:sz w:val="18"/>
                <w:szCs w:val="18"/>
                <w:highlight w:val="none"/>
                <w:lang w:val="en-US" w:eastAsia="zh-CN"/>
              </w:rPr>
              <w:t>及装备费等</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AC28C">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年</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B0123">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2CF80">
            <w:pPr>
              <w:jc w:val="center"/>
              <w:rPr>
                <w:rFonts w:hint="eastAsia" w:ascii="宋体" w:hAnsi="宋体" w:eastAsia="宋体" w:cs="宋体"/>
                <w:b w:val="0"/>
                <w:bCs w:val="0"/>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A2CF1">
            <w:pPr>
              <w:jc w:val="center"/>
              <w:rPr>
                <w:rFonts w:hint="eastAsia" w:ascii="宋体" w:hAnsi="宋体" w:eastAsia="宋体" w:cs="宋体"/>
                <w:b/>
                <w:bCs/>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8CBB3">
            <w:pPr>
              <w:rPr>
                <w:rFonts w:hint="eastAsia" w:ascii="宋体" w:hAnsi="宋体" w:eastAsia="宋体" w:cs="宋体"/>
                <w:color w:val="auto"/>
                <w:sz w:val="18"/>
                <w:szCs w:val="18"/>
                <w:highlight w:val="none"/>
              </w:rPr>
            </w:pPr>
          </w:p>
        </w:tc>
      </w:tr>
      <w:tr w14:paraId="612F1FC0">
        <w:tblPrEx>
          <w:tblCellMar>
            <w:top w:w="0" w:type="dxa"/>
            <w:left w:w="108" w:type="dxa"/>
            <w:bottom w:w="0" w:type="dxa"/>
            <w:right w:w="108" w:type="dxa"/>
          </w:tblCellMar>
        </w:tblPrEx>
        <w:trPr>
          <w:trHeight w:val="567"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79AB2">
            <w:pPr>
              <w:autoSpaceDE w:val="0"/>
              <w:autoSpaceDN w:val="0"/>
              <w:adjustRightInd w:val="0"/>
              <w:jc w:val="center"/>
              <w:rPr>
                <w:rFonts w:hint="eastAsia" w:ascii="宋体" w:hAnsi="宋体" w:eastAsia="宋体" w:cs="宋体"/>
                <w:b w:val="0"/>
                <w:bCs w:val="0"/>
                <w:color w:val="auto"/>
                <w:sz w:val="18"/>
                <w:szCs w:val="18"/>
                <w:highlight w:val="none"/>
                <w:u w:val="none"/>
                <w:lang w:val="en-US" w:eastAsia="zh-CN" w:bidi="ar-SA"/>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0F800">
            <w:pPr>
              <w:autoSpaceDE w:val="0"/>
              <w:autoSpaceDN w:val="0"/>
              <w:adjustRightInd w:val="0"/>
              <w:jc w:val="center"/>
              <w:rPr>
                <w:rStyle w:val="213"/>
                <w:rFonts w:hint="eastAsia" w:ascii="宋体" w:hAnsi="宋体" w:eastAsia="宋体" w:cs="宋体"/>
                <w:b w:val="0"/>
                <w:bCs w:val="0"/>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51142">
            <w:pPr>
              <w:autoSpaceDE w:val="0"/>
              <w:autoSpaceDN w:val="0"/>
              <w:adjustRightInd w:val="0"/>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其他费用</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7DF5D">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年</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52372">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EAEE6">
            <w:pPr>
              <w:jc w:val="center"/>
              <w:rPr>
                <w:rFonts w:hint="eastAsia" w:ascii="宋体" w:hAnsi="宋体" w:eastAsia="宋体" w:cs="宋体"/>
                <w:b w:val="0"/>
                <w:bCs w:val="0"/>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15EE4">
            <w:pPr>
              <w:jc w:val="center"/>
              <w:rPr>
                <w:rFonts w:hint="eastAsia" w:ascii="宋体" w:hAnsi="宋体" w:eastAsia="宋体" w:cs="宋体"/>
                <w:b/>
                <w:bCs/>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802C0">
            <w:pPr>
              <w:rPr>
                <w:rFonts w:hint="eastAsia" w:ascii="宋体" w:hAnsi="宋体" w:eastAsia="宋体" w:cs="宋体"/>
                <w:color w:val="auto"/>
                <w:sz w:val="18"/>
                <w:szCs w:val="18"/>
                <w:highlight w:val="none"/>
              </w:rPr>
            </w:pPr>
          </w:p>
        </w:tc>
      </w:tr>
      <w:tr w14:paraId="0BE32116">
        <w:tblPrEx>
          <w:tblCellMar>
            <w:top w:w="0" w:type="dxa"/>
            <w:left w:w="108" w:type="dxa"/>
            <w:bottom w:w="0" w:type="dxa"/>
            <w:right w:w="108" w:type="dxa"/>
          </w:tblCellMar>
        </w:tblPrEx>
        <w:trPr>
          <w:trHeight w:val="567"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7A6C8">
            <w:pPr>
              <w:autoSpaceDE w:val="0"/>
              <w:autoSpaceDN w:val="0"/>
              <w:adjustRightInd w:val="0"/>
              <w:jc w:val="center"/>
              <w:rPr>
                <w:rFonts w:hint="eastAsia" w:ascii="宋体" w:hAnsi="宋体" w:eastAsia="宋体" w:cs="宋体"/>
                <w:b w:val="0"/>
                <w:bCs w:val="0"/>
                <w:color w:val="auto"/>
                <w:sz w:val="18"/>
                <w:szCs w:val="18"/>
                <w:highlight w:val="none"/>
                <w:u w:val="none"/>
                <w:lang w:val="en-US" w:eastAsia="zh-CN" w:bidi="ar-SA"/>
              </w:rPr>
            </w:pPr>
          </w:p>
        </w:tc>
        <w:tc>
          <w:tcPr>
            <w:tcW w:w="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F0DAD">
            <w:pPr>
              <w:autoSpaceDE w:val="0"/>
              <w:autoSpaceDN w:val="0"/>
              <w:adjustRightInd w:val="0"/>
              <w:jc w:val="center"/>
              <w:rPr>
                <w:rStyle w:val="213"/>
                <w:rFonts w:hint="eastAsia" w:ascii="宋体" w:hAnsi="宋体" w:eastAsia="宋体" w:cs="宋体"/>
                <w:b/>
                <w:bCs/>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65813">
            <w:pPr>
              <w:autoSpaceDE w:val="0"/>
              <w:autoSpaceDN w:val="0"/>
              <w:adjustRightInd w:val="0"/>
              <w:rPr>
                <w:rStyle w:val="213"/>
                <w:rFonts w:hint="default" w:ascii="宋体" w:hAnsi="宋体" w:eastAsia="宋体" w:cs="宋体"/>
                <w:b/>
                <w:bCs/>
                <w:color w:val="auto"/>
                <w:sz w:val="18"/>
                <w:szCs w:val="18"/>
                <w:highlight w:val="none"/>
                <w:lang w:val="en-US" w:eastAsia="zh-CN"/>
              </w:rPr>
            </w:pPr>
            <w:r>
              <w:rPr>
                <w:rStyle w:val="213"/>
                <w:rFonts w:hint="eastAsia" w:ascii="宋体" w:hAnsi="宋体" w:eastAsia="宋体" w:cs="宋体"/>
                <w:b/>
                <w:bCs/>
                <w:color w:val="auto"/>
                <w:sz w:val="18"/>
                <w:szCs w:val="18"/>
                <w:highlight w:val="none"/>
                <w:lang w:val="en-US" w:eastAsia="zh-CN"/>
              </w:rPr>
              <w:t>......</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07422">
            <w:pPr>
              <w:jc w:val="center"/>
              <w:rPr>
                <w:rFonts w:hint="eastAsia" w:ascii="宋体" w:hAnsi="宋体" w:eastAsia="宋体" w:cs="宋体"/>
                <w:color w:val="auto"/>
                <w:sz w:val="18"/>
                <w:szCs w:val="18"/>
                <w:highlight w:val="none"/>
              </w:rPr>
            </w:pP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06DB6">
            <w:pPr>
              <w:jc w:val="center"/>
              <w:rPr>
                <w:rFonts w:hint="eastAsia" w:ascii="宋体" w:hAnsi="宋体" w:eastAsia="宋体" w:cs="宋体"/>
                <w:color w:val="auto"/>
                <w:sz w:val="18"/>
                <w:szCs w:val="18"/>
                <w:highlight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EB86B">
            <w:pPr>
              <w:jc w:val="center"/>
              <w:rPr>
                <w:rFonts w:hint="eastAsia" w:ascii="宋体" w:hAnsi="宋体" w:eastAsia="宋体" w:cs="宋体"/>
                <w:b w:val="0"/>
                <w:bCs w:val="0"/>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BC4E8">
            <w:pPr>
              <w:jc w:val="center"/>
              <w:rPr>
                <w:rFonts w:hint="eastAsia" w:ascii="宋体" w:hAnsi="宋体" w:eastAsia="宋体" w:cs="宋体"/>
                <w:b/>
                <w:bCs/>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65F12">
            <w:pPr>
              <w:rPr>
                <w:rFonts w:hint="eastAsia" w:ascii="宋体" w:hAnsi="宋体" w:eastAsia="宋体" w:cs="宋体"/>
                <w:color w:val="auto"/>
                <w:sz w:val="18"/>
                <w:szCs w:val="18"/>
                <w:highlight w:val="none"/>
              </w:rPr>
            </w:pPr>
          </w:p>
        </w:tc>
      </w:tr>
      <w:tr w14:paraId="0EF4D1BB">
        <w:tblPrEx>
          <w:tblCellMar>
            <w:top w:w="0" w:type="dxa"/>
            <w:left w:w="108" w:type="dxa"/>
            <w:bottom w:w="0" w:type="dxa"/>
            <w:right w:w="108" w:type="dxa"/>
          </w:tblCellMar>
        </w:tblPrEx>
        <w:trPr>
          <w:trHeight w:val="577"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D1A81">
            <w:pPr>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w:t>
            </w:r>
          </w:p>
        </w:tc>
        <w:tc>
          <w:tcPr>
            <w:tcW w:w="5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9507A">
            <w:pPr>
              <w:jc w:val="center"/>
              <w:rPr>
                <w:rFonts w:hint="eastAsia" w:ascii="宋体" w:hAnsi="宋体" w:eastAsia="宋体" w:cs="宋体"/>
                <w:color w:val="auto"/>
                <w:sz w:val="18"/>
                <w:szCs w:val="18"/>
                <w:highlight w:val="none"/>
              </w:rPr>
            </w:pPr>
          </w:p>
        </w:tc>
        <w:tc>
          <w:tcPr>
            <w:tcW w:w="1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058A1">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法定税费</w:t>
            </w:r>
          </w:p>
        </w:tc>
        <w:tc>
          <w:tcPr>
            <w:tcW w:w="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C8940">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年</w:t>
            </w:r>
          </w:p>
        </w:tc>
        <w:tc>
          <w:tcPr>
            <w:tcW w:w="7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16569">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78751">
            <w:pPr>
              <w:jc w:val="center"/>
              <w:rPr>
                <w:rFonts w:hint="eastAsia" w:ascii="宋体" w:hAnsi="宋体" w:eastAsia="宋体" w:cs="宋体"/>
                <w:b/>
                <w:bCs/>
                <w:color w:val="auto"/>
                <w:sz w:val="18"/>
                <w:szCs w:val="18"/>
                <w:highlight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D5D76">
            <w:pPr>
              <w:jc w:val="center"/>
              <w:rPr>
                <w:rFonts w:hint="eastAsia" w:ascii="宋体" w:hAnsi="宋体" w:eastAsia="宋体" w:cs="宋体"/>
                <w:b/>
                <w:bCs/>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37905">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CN"/>
              </w:rPr>
              <w:t>按一般纳税人税率6%</w:t>
            </w:r>
            <w:r>
              <w:rPr>
                <w:rFonts w:hint="eastAsia" w:ascii="宋体" w:hAnsi="宋体" w:eastAsia="宋体" w:cs="宋体"/>
                <w:color w:val="auto"/>
                <w:sz w:val="18"/>
                <w:szCs w:val="18"/>
                <w:highlight w:val="none"/>
              </w:rPr>
              <w:t>，否则</w:t>
            </w:r>
            <w:r>
              <w:rPr>
                <w:rFonts w:hint="eastAsia" w:ascii="宋体" w:hAnsi="宋体" w:eastAsia="宋体" w:cs="宋体"/>
                <w:color w:val="auto"/>
                <w:sz w:val="18"/>
                <w:szCs w:val="18"/>
                <w:highlight w:val="none"/>
                <w:lang w:val="zh-CN"/>
              </w:rPr>
              <w:t>视为未实质性响应招标文件要求，</w:t>
            </w:r>
            <w:r>
              <w:rPr>
                <w:rFonts w:hint="eastAsia" w:ascii="宋体" w:hAnsi="宋体" w:eastAsia="宋体" w:cs="宋体"/>
                <w:color w:val="auto"/>
                <w:sz w:val="18"/>
                <w:szCs w:val="18"/>
                <w:highlight w:val="none"/>
                <w:lang w:val="en-US" w:eastAsia="zh-CN"/>
              </w:rPr>
              <w:t>做无效投标处理</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CN"/>
              </w:rPr>
              <w:t>（合同履行时实际应税税率与招标时不一致按实调整结算）</w:t>
            </w:r>
          </w:p>
        </w:tc>
      </w:tr>
      <w:tr w14:paraId="338E1490">
        <w:tblPrEx>
          <w:tblCellMar>
            <w:top w:w="0" w:type="dxa"/>
            <w:left w:w="108" w:type="dxa"/>
            <w:bottom w:w="0" w:type="dxa"/>
            <w:right w:w="108" w:type="dxa"/>
          </w:tblCellMar>
        </w:tblPrEx>
        <w:trPr>
          <w:trHeight w:val="586" w:hRule="atLeast"/>
          <w:jc w:val="center"/>
        </w:trPr>
        <w:tc>
          <w:tcPr>
            <w:tcW w:w="526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91F74">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1</w:t>
            </w:r>
            <w:r>
              <w:rPr>
                <w:rFonts w:hint="eastAsia" w:ascii="宋体" w:hAnsi="宋体" w:eastAsia="宋体" w:cs="宋体"/>
                <w:b/>
                <w:bCs/>
                <w:color w:val="auto"/>
                <w:sz w:val="18"/>
                <w:szCs w:val="18"/>
                <w:highlight w:val="none"/>
              </w:rPr>
              <w:t>年投标报价</w:t>
            </w:r>
            <w:r>
              <w:rPr>
                <w:rFonts w:hint="eastAsia" w:ascii="宋体" w:hAnsi="宋体" w:eastAsia="宋体" w:cs="宋体"/>
                <w:b/>
                <w:bCs/>
                <w:color w:val="auto"/>
                <w:sz w:val="18"/>
                <w:szCs w:val="18"/>
                <w:highlight w:val="none"/>
                <w:lang w:val="en-US" w:eastAsia="zh-CN"/>
              </w:rPr>
              <w:t xml:space="preserve"> =</w:t>
            </w:r>
            <w:r>
              <w:rPr>
                <w:rFonts w:hint="eastAsia" w:ascii="宋体" w:hAnsi="宋体" w:eastAsia="宋体" w:cs="宋体"/>
                <w:b/>
                <w:bCs/>
                <w:color w:val="auto"/>
                <w:sz w:val="18"/>
                <w:szCs w:val="18"/>
                <w:highlight w:val="none"/>
              </w:rPr>
              <w:t>（1+2+</w:t>
            </w:r>
            <w:r>
              <w:rPr>
                <w:rFonts w:hint="eastAsia" w:ascii="宋体" w:hAnsi="宋体" w:eastAsia="宋体" w:cs="宋体"/>
                <w:b/>
                <w:bCs/>
                <w:color w:val="auto"/>
                <w:sz w:val="18"/>
                <w:szCs w:val="18"/>
                <w:highlight w:val="none"/>
                <w:lang w:val="en-US" w:eastAsia="zh-CN"/>
              </w:rPr>
              <w:t>3</w:t>
            </w:r>
            <w:r>
              <w:rPr>
                <w:rFonts w:hint="eastAsia" w:ascii="宋体" w:hAnsi="宋体" w:eastAsia="宋体" w:cs="宋体"/>
                <w:b/>
                <w:bCs/>
                <w:color w:val="auto"/>
                <w:sz w:val="18"/>
                <w:szCs w:val="18"/>
                <w:highlight w:val="none"/>
              </w:rPr>
              <w:t>）</w:t>
            </w: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3B9D2">
            <w:pPr>
              <w:jc w:val="center"/>
              <w:rPr>
                <w:rFonts w:hint="eastAsia" w:ascii="宋体" w:hAnsi="宋体" w:eastAsia="宋体" w:cs="宋体"/>
                <w:b/>
                <w:bCs/>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28D5A">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年费用</w:t>
            </w:r>
          </w:p>
        </w:tc>
      </w:tr>
      <w:tr w14:paraId="2B300411">
        <w:tblPrEx>
          <w:tblCellMar>
            <w:top w:w="0" w:type="dxa"/>
            <w:left w:w="108" w:type="dxa"/>
            <w:bottom w:w="0" w:type="dxa"/>
            <w:right w:w="108" w:type="dxa"/>
          </w:tblCellMar>
        </w:tblPrEx>
        <w:trPr>
          <w:trHeight w:val="586" w:hRule="atLeast"/>
          <w:jc w:val="center"/>
        </w:trPr>
        <w:tc>
          <w:tcPr>
            <w:tcW w:w="5264"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2A579">
            <w:pPr>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投标总报价</w:t>
            </w:r>
            <w:r>
              <w:rPr>
                <w:rFonts w:hint="eastAsia" w:ascii="宋体" w:hAnsi="宋体" w:eastAsia="宋体" w:cs="宋体"/>
                <w:b/>
                <w:bCs/>
                <w:color w:val="auto"/>
                <w:sz w:val="18"/>
                <w:szCs w:val="18"/>
                <w:highlight w:val="none"/>
                <w:lang w:val="en-US" w:eastAsia="zh-CN"/>
              </w:rPr>
              <w:t xml:space="preserve"> =（1年费用乘以2年 ）</w:t>
            </w:r>
          </w:p>
        </w:tc>
        <w:tc>
          <w:tcPr>
            <w:tcW w:w="12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7DF12">
            <w:pPr>
              <w:jc w:val="center"/>
              <w:rPr>
                <w:rFonts w:hint="eastAsia" w:ascii="宋体" w:hAnsi="宋体" w:eastAsia="宋体" w:cs="宋体"/>
                <w:b/>
                <w:bCs/>
                <w:color w:val="auto"/>
                <w:sz w:val="18"/>
                <w:szCs w:val="18"/>
                <w:highlight w:val="none"/>
              </w:rPr>
            </w:pPr>
          </w:p>
        </w:tc>
        <w:tc>
          <w:tcPr>
            <w:tcW w:w="348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D8830">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2</w:t>
            </w:r>
            <w:r>
              <w:rPr>
                <w:rFonts w:hint="eastAsia" w:ascii="宋体" w:hAnsi="宋体" w:eastAsia="宋体" w:cs="宋体"/>
                <w:color w:val="auto"/>
                <w:sz w:val="18"/>
                <w:szCs w:val="18"/>
                <w:highlight w:val="none"/>
              </w:rPr>
              <w:t>年费用</w:t>
            </w:r>
          </w:p>
        </w:tc>
      </w:tr>
    </w:tbl>
    <w:p w14:paraId="55ACE6F1">
      <w:pPr>
        <w:pStyle w:val="34"/>
        <w:tabs>
          <w:tab w:val="left" w:pos="4864"/>
        </w:tabs>
        <w:spacing w:beforeAutospacing="0" w:afterAutospacing="0" w:line="0" w:lineRule="atLeast"/>
        <w:ind w:right="1560" w:firstLine="62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5BA6145A">
      <w:pPr>
        <w:pStyle w:val="34"/>
        <w:tabs>
          <w:tab w:val="left" w:pos="4864"/>
        </w:tabs>
        <w:spacing w:beforeAutospacing="0" w:afterAutospacing="0" w:line="0" w:lineRule="atLeast"/>
        <w:ind w:right="1560" w:firstLine="624"/>
        <w:jc w:val="center"/>
        <w:rPr>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供应商全称（加盖CA电子公章）：</w:t>
      </w:r>
    </w:p>
    <w:p w14:paraId="6BFC62B3">
      <w:pPr>
        <w:pStyle w:val="34"/>
        <w:tabs>
          <w:tab w:val="left" w:pos="4864"/>
        </w:tabs>
        <w:spacing w:beforeAutospacing="0" w:afterAutospacing="0" w:line="0" w:lineRule="atLeast"/>
        <w:ind w:right="1560"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6658EA39">
      <w:pPr>
        <w:pStyle w:val="34"/>
        <w:tabs>
          <w:tab w:val="left" w:pos="4864"/>
        </w:tabs>
        <w:spacing w:beforeAutospacing="0" w:afterAutospacing="0" w:line="0" w:lineRule="atLeast"/>
        <w:ind w:right="1560" w:firstLine="480"/>
        <w:jc w:val="center"/>
        <w:rPr>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  期：</w:t>
      </w:r>
    </w:p>
    <w:p w14:paraId="088C00FE">
      <w:pPr>
        <w:pStyle w:val="204"/>
        <w:spacing w:line="360" w:lineRule="auto"/>
        <w:rPr>
          <w:rFonts w:ascii="Times New Roman" w:hAnsi="宋体" w:eastAsia="宋体"/>
          <w:color w:val="auto"/>
          <w:sz w:val="21"/>
          <w:highlight w:val="none"/>
        </w:rPr>
      </w:pPr>
    </w:p>
    <w:p w14:paraId="66D74614">
      <w:pPr>
        <w:pStyle w:val="221"/>
        <w:keepNext w:val="0"/>
        <w:keepLines w:val="0"/>
        <w:pageBreakBefore w:val="0"/>
        <w:widowControl w:val="0"/>
        <w:kinsoku/>
        <w:wordWrap/>
        <w:overflowPunct/>
        <w:topLinePunct w:val="0"/>
        <w:bidi w:val="0"/>
        <w:snapToGrid/>
        <w:spacing w:line="360" w:lineRule="exact"/>
        <w:ind w:left="0" w:leftChars="0" w:firstLine="0" w:firstLineChars="0"/>
        <w:textAlignment w:val="auto"/>
        <w:rPr>
          <w:rFonts w:hint="default" w:ascii="宋体" w:hAnsi="宋体" w:eastAsia="宋体" w:cs="宋体"/>
          <w:color w:val="auto"/>
          <w:sz w:val="22"/>
          <w:szCs w:val="22"/>
          <w:highlight w:val="none"/>
          <w:lang w:val="en-US" w:eastAsia="zh-CN"/>
        </w:rPr>
      </w:pPr>
      <w:r>
        <w:rPr>
          <w:rFonts w:hint="eastAsia" w:eastAsia="宋体" w:cs="宋体"/>
          <w:color w:val="auto"/>
          <w:sz w:val="22"/>
          <w:szCs w:val="22"/>
          <w:highlight w:val="none"/>
          <w:lang w:val="en-US" w:eastAsia="zh-CN"/>
        </w:rPr>
        <w:t>报价要求：</w:t>
      </w:r>
    </w:p>
    <w:p w14:paraId="1AF8FE7A">
      <w:pPr>
        <w:pStyle w:val="221"/>
        <w:keepNext w:val="0"/>
        <w:keepLines w:val="0"/>
        <w:pageBreakBefore w:val="0"/>
        <w:widowControl w:val="0"/>
        <w:kinsoku/>
        <w:wordWrap/>
        <w:overflowPunct/>
        <w:topLinePunct w:val="0"/>
        <w:bidi w:val="0"/>
        <w:snapToGrid/>
        <w:spacing w:line="380" w:lineRule="exact"/>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34454AFB">
      <w:pPr>
        <w:keepNext w:val="0"/>
        <w:keepLines w:val="0"/>
        <w:pageBreakBefore w:val="0"/>
        <w:widowControl w:val="0"/>
        <w:kinsoku/>
        <w:wordWrap/>
        <w:overflowPunct/>
        <w:topLinePunct w:val="0"/>
        <w:bidi w:val="0"/>
        <w:snapToGrid/>
        <w:spacing w:line="380" w:lineRule="exact"/>
        <w:ind w:firstLine="316" w:firstLineChars="15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1.</w:t>
      </w:r>
      <w:r>
        <w:rPr>
          <w:rFonts w:hint="eastAsia" w:ascii="宋体" w:hAnsi="宋体" w:eastAsia="宋体" w:cs="宋体"/>
          <w:b/>
          <w:color w:val="auto"/>
          <w:sz w:val="21"/>
          <w:szCs w:val="21"/>
          <w:highlight w:val="none"/>
        </w:rPr>
        <w:t>本采购项目最高限价为人民币</w:t>
      </w:r>
      <w:r>
        <w:rPr>
          <w:rFonts w:hint="eastAsia" w:ascii="宋体" w:hAnsi="宋体" w:eastAsia="宋体" w:cs="宋体"/>
          <w:b/>
          <w:color w:val="auto"/>
          <w:sz w:val="21"/>
          <w:szCs w:val="21"/>
          <w:highlight w:val="none"/>
          <w:lang w:val="en-US" w:eastAsia="zh-CN"/>
        </w:rPr>
        <w:t>500万元</w:t>
      </w:r>
      <w:r>
        <w:rPr>
          <w:rFonts w:hint="eastAsia" w:ascii="宋体" w:hAnsi="宋体" w:eastAsia="宋体" w:cs="宋体"/>
          <w:b/>
          <w:color w:val="auto"/>
          <w:sz w:val="21"/>
          <w:szCs w:val="21"/>
          <w:highlight w:val="none"/>
        </w:rPr>
        <w:t>，采购人不接受高于此限价的投标文件，高于此限价的投标文件为无效投标。</w:t>
      </w:r>
    </w:p>
    <w:p w14:paraId="7B221DAE">
      <w:pPr>
        <w:keepNext w:val="0"/>
        <w:keepLines w:val="0"/>
        <w:pageBreakBefore w:val="0"/>
        <w:widowControl w:val="0"/>
        <w:kinsoku/>
        <w:wordWrap/>
        <w:overflowPunct/>
        <w:topLinePunct w:val="0"/>
        <w:bidi w:val="0"/>
        <w:snapToGrid/>
        <w:spacing w:line="380" w:lineRule="exact"/>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注：阜宁县最低工资标准现为</w:t>
      </w:r>
      <w:r>
        <w:rPr>
          <w:rFonts w:hint="eastAsia" w:ascii="宋体" w:hAnsi="宋体" w:eastAsia="宋体" w:cs="宋体"/>
          <w:color w:val="auto"/>
          <w:sz w:val="21"/>
          <w:szCs w:val="21"/>
          <w:highlight w:val="none"/>
          <w:lang w:val="en-US" w:eastAsia="zh-CN"/>
        </w:rPr>
        <w:t>2180</w:t>
      </w:r>
      <w:r>
        <w:rPr>
          <w:rFonts w:hint="eastAsia" w:ascii="宋体" w:hAnsi="宋体" w:eastAsia="宋体" w:cs="宋体"/>
          <w:color w:val="auto"/>
          <w:sz w:val="21"/>
          <w:szCs w:val="21"/>
          <w:highlight w:val="none"/>
        </w:rPr>
        <w:t>元/人/月。</w:t>
      </w:r>
    </w:p>
    <w:p w14:paraId="181EA725">
      <w:pPr>
        <w:keepNext w:val="0"/>
        <w:keepLines w:val="0"/>
        <w:pageBreakBefore w:val="0"/>
        <w:widowControl w:val="0"/>
        <w:kinsoku/>
        <w:wordWrap/>
        <w:overflowPunct/>
        <w:topLinePunct w:val="0"/>
        <w:bidi w:val="0"/>
        <w:snapToGrid/>
        <w:spacing w:line="380" w:lineRule="exact"/>
        <w:ind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投标人在投标报价时应考虑各种风险因素，相关风险因素费用包含在投标总价中。</w:t>
      </w:r>
      <w:r>
        <w:rPr>
          <w:rFonts w:hint="eastAsia" w:ascii="宋体" w:hAnsi="宋体" w:eastAsia="宋体" w:cs="宋体"/>
          <w:b/>
          <w:color w:val="auto"/>
          <w:sz w:val="21"/>
          <w:szCs w:val="21"/>
          <w:highlight w:val="none"/>
        </w:rPr>
        <w:t>风险因素包括遇重大活动、检查、突发情况、最低工资调整、物价调整、税费调整等。</w:t>
      </w:r>
    </w:p>
    <w:p w14:paraId="48902BC7">
      <w:pPr>
        <w:keepNext w:val="0"/>
        <w:keepLines w:val="0"/>
        <w:pageBreakBefore w:val="0"/>
        <w:widowControl w:val="0"/>
        <w:kinsoku/>
        <w:wordWrap/>
        <w:overflowPunct/>
        <w:topLinePunct w:val="0"/>
        <w:bidi w:val="0"/>
        <w:snapToGrid/>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投标报价方式：采用固定总价报价，同时，须报各项目的综合单价及各细项的明细报价；成交后固定总价（扣除预留金后）包干使用，综合单价及各细项的明细报价作为评标的依据和调整的依据。</w:t>
      </w:r>
    </w:p>
    <w:p w14:paraId="5240172C">
      <w:pPr>
        <w:keepNext w:val="0"/>
        <w:keepLines w:val="0"/>
        <w:pageBreakBefore w:val="0"/>
        <w:widowControl w:val="0"/>
        <w:kinsoku/>
        <w:wordWrap/>
        <w:overflowPunct/>
        <w:topLinePunct w:val="0"/>
        <w:bidi w:val="0"/>
        <w:snapToGrid/>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各投标供应商自行根据采购人提供的招标文件及答疑文件等资料要求，并根据市场行情、结合自身公司实力、管理水平等因素，按要求进行报价。</w:t>
      </w:r>
    </w:p>
    <w:p w14:paraId="6ABEE5F0">
      <w:pPr>
        <w:keepNext w:val="0"/>
        <w:keepLines w:val="0"/>
        <w:pageBreakBefore w:val="0"/>
        <w:widowControl w:val="0"/>
        <w:kinsoku/>
        <w:wordWrap/>
        <w:overflowPunct/>
        <w:topLinePunct w:val="0"/>
        <w:autoSpaceDE/>
        <w:autoSpaceDN/>
        <w:bidi w:val="0"/>
        <w:adjustRightInd w:val="0"/>
        <w:snapToGrid/>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供应商应对采购文件中的条款做到正确理解，有疑义的条款应在采购答疑时提出，有疑义又没有在采购答疑时提出的，应按采购人的解释为准。</w:t>
      </w:r>
    </w:p>
    <w:p w14:paraId="7BE24DF3">
      <w:pPr>
        <w:keepNext w:val="0"/>
        <w:keepLines w:val="0"/>
        <w:pageBreakBefore w:val="0"/>
        <w:widowControl w:val="0"/>
        <w:kinsoku/>
        <w:wordWrap/>
        <w:overflowPunct/>
        <w:topLinePunct w:val="0"/>
        <w:autoSpaceDE/>
        <w:autoSpaceDN/>
        <w:bidi w:val="0"/>
        <w:adjustRightInd w:val="0"/>
        <w:snapToGrid/>
        <w:spacing w:line="38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投标人报价时如发生漏缺、少项，都将被认为是中标人的报价让利行为，损失自负。</w:t>
      </w:r>
    </w:p>
    <w:p w14:paraId="532A4CEA">
      <w:pPr>
        <w:pStyle w:val="204"/>
        <w:keepNext w:val="0"/>
        <w:keepLines w:val="0"/>
        <w:pageBreakBefore w:val="0"/>
        <w:widowControl w:val="0"/>
        <w:kinsoku/>
        <w:wordWrap/>
        <w:overflowPunct/>
        <w:topLinePunct w:val="0"/>
        <w:autoSpaceDE/>
        <w:autoSpaceDN/>
        <w:bidi w:val="0"/>
        <w:adjustRightInd w:val="0"/>
        <w:snapToGrid/>
        <w:spacing w:line="380" w:lineRule="exact"/>
        <w:ind w:firstLine="420" w:firstLineChars="200"/>
        <w:textAlignment w:val="auto"/>
        <w:rPr>
          <w:rFonts w:hint="eastAsia" w:ascii="宋体"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上述报价表由投标单位参照使用，不限于此，可根据采购需求自行添加条目进行投标报价</w:t>
      </w:r>
      <w:r>
        <w:rPr>
          <w:rFonts w:hint="eastAsia" w:ascii="宋体" w:hAnsi="宋体" w:eastAsia="宋体" w:cs="宋体"/>
          <w:color w:val="auto"/>
          <w:sz w:val="21"/>
          <w:szCs w:val="21"/>
          <w:highlight w:val="none"/>
          <w:lang w:eastAsia="zh-CN"/>
        </w:rPr>
        <w:t>。</w:t>
      </w:r>
    </w:p>
    <w:p w14:paraId="6BF035A6">
      <w:pPr>
        <w:keepNext w:val="0"/>
        <w:keepLines w:val="0"/>
        <w:pageBreakBefore w:val="0"/>
        <w:widowControl w:val="0"/>
        <w:kinsoku/>
        <w:wordWrap/>
        <w:overflowPunct/>
        <w:topLinePunct w:val="0"/>
        <w:autoSpaceDE/>
        <w:autoSpaceDN/>
        <w:bidi w:val="0"/>
        <w:adjustRightInd w:val="0"/>
        <w:snapToGrid/>
        <w:spacing w:line="380" w:lineRule="exact"/>
        <w:ind w:firstLine="470"/>
        <w:textAlignment w:val="auto"/>
        <w:rPr>
          <w:rFonts w:hint="eastAsia" w:ascii="宋体" w:hAnsi="宋体"/>
          <w:b/>
          <w:color w:val="auto"/>
          <w:sz w:val="21"/>
          <w:szCs w:val="21"/>
          <w:highlight w:val="none"/>
        </w:rPr>
      </w:pPr>
      <w:r>
        <w:rPr>
          <w:rFonts w:hint="eastAsia" w:ascii="宋体" w:hAnsi="宋体"/>
          <w:b/>
          <w:color w:val="auto"/>
          <w:sz w:val="21"/>
          <w:szCs w:val="21"/>
          <w:highlight w:val="none"/>
        </w:rPr>
        <w:t>投标人</w:t>
      </w:r>
      <w:r>
        <w:rPr>
          <w:rFonts w:hint="eastAsia" w:ascii="宋体" w:hAnsi="Arial" w:cs="宋体"/>
          <w:b/>
          <w:bCs/>
          <w:color w:val="auto"/>
          <w:sz w:val="21"/>
          <w:szCs w:val="21"/>
          <w:highlight w:val="none"/>
          <w:lang w:val="zh-CN"/>
        </w:rPr>
        <w:t>所提供人员的费用不得低于上述标准进行测算，</w:t>
      </w:r>
      <w:r>
        <w:rPr>
          <w:rFonts w:hint="eastAsia" w:ascii="宋体" w:hAnsi="宋体"/>
          <w:b/>
          <w:color w:val="auto"/>
          <w:sz w:val="21"/>
          <w:szCs w:val="21"/>
          <w:highlight w:val="none"/>
        </w:rPr>
        <w:t>否则</w:t>
      </w:r>
      <w:r>
        <w:rPr>
          <w:rFonts w:hint="eastAsia" w:ascii="宋体" w:hAnsi="Arial" w:cs="宋体"/>
          <w:b/>
          <w:bCs/>
          <w:color w:val="auto"/>
          <w:sz w:val="21"/>
          <w:szCs w:val="21"/>
          <w:highlight w:val="none"/>
          <w:lang w:val="zh-CN"/>
        </w:rPr>
        <w:t>视为未实质性响应招标文件要求</w:t>
      </w:r>
      <w:r>
        <w:rPr>
          <w:rFonts w:hint="eastAsia" w:ascii="宋体" w:hAnsi="宋体"/>
          <w:b/>
          <w:color w:val="auto"/>
          <w:sz w:val="21"/>
          <w:szCs w:val="21"/>
          <w:highlight w:val="none"/>
        </w:rPr>
        <w:t>。如果招标公告发布之后开标前遇政府调整职工最低工资标准或社会保险缴纳基数，评标委员会进行符合性审查时可仍按上述标准审查，中标后，中标人应按照最新政策文件规定执行。</w:t>
      </w:r>
    </w:p>
    <w:p w14:paraId="2637B6AF">
      <w:pPr>
        <w:keepNext w:val="0"/>
        <w:keepLines w:val="0"/>
        <w:pageBreakBefore w:val="0"/>
        <w:widowControl w:val="0"/>
        <w:kinsoku/>
        <w:wordWrap/>
        <w:overflowPunct/>
        <w:topLinePunct w:val="0"/>
        <w:autoSpaceDE/>
        <w:autoSpaceDN/>
        <w:bidi w:val="0"/>
        <w:adjustRightInd w:val="0"/>
        <w:snapToGrid/>
        <w:spacing w:line="360" w:lineRule="atLeast"/>
        <w:ind w:firstLine="470"/>
        <w:textAlignment w:val="auto"/>
        <w:rPr>
          <w:rFonts w:hint="eastAsia" w:ascii="宋体" w:hAnsi="宋体"/>
          <w:b/>
          <w:color w:val="auto"/>
          <w:sz w:val="18"/>
          <w:szCs w:val="18"/>
          <w:highlight w:val="none"/>
        </w:rPr>
      </w:pPr>
    </w:p>
    <w:p w14:paraId="3DD485EC">
      <w:pPr>
        <w:keepNext w:val="0"/>
        <w:keepLines w:val="0"/>
        <w:pageBreakBefore w:val="0"/>
        <w:widowControl w:val="0"/>
        <w:kinsoku/>
        <w:wordWrap/>
        <w:overflowPunct/>
        <w:topLinePunct w:val="0"/>
        <w:autoSpaceDE/>
        <w:autoSpaceDN/>
        <w:bidi w:val="0"/>
        <w:adjustRightInd w:val="0"/>
        <w:snapToGrid/>
        <w:spacing w:line="360" w:lineRule="atLeast"/>
        <w:textAlignment w:val="auto"/>
        <w:rPr>
          <w:rFonts w:hint="default" w:ascii="宋体" w:hAnsi="宋体" w:eastAsia="宋体"/>
          <w:b/>
          <w:color w:val="auto"/>
          <w:sz w:val="18"/>
          <w:szCs w:val="18"/>
          <w:highlight w:val="none"/>
          <w:lang w:val="en-US" w:eastAsia="zh-CN"/>
        </w:rPr>
      </w:pPr>
      <w:r>
        <w:rPr>
          <w:rFonts w:hint="eastAsia" w:ascii="宋体" w:hAnsi="宋体" w:eastAsia="宋体"/>
          <w:b/>
          <w:color w:val="auto"/>
          <w:sz w:val="18"/>
          <w:szCs w:val="18"/>
          <w:highlight w:val="none"/>
          <w:lang w:val="en-US" w:eastAsia="zh-CN"/>
        </w:rPr>
        <w:t xml:space="preserve">   </w:t>
      </w:r>
    </w:p>
    <w:p w14:paraId="700BB61F">
      <w:pPr>
        <w:pStyle w:val="34"/>
        <w:spacing w:beforeAutospacing="0" w:afterAutospacing="0" w:line="0" w:lineRule="atLeast"/>
        <w:jc w:val="both"/>
        <w:rPr>
          <w:color w:val="auto"/>
          <w:highlight w:val="none"/>
        </w:rPr>
      </w:pPr>
      <w:r>
        <w:rPr>
          <w:color w:val="auto"/>
          <w:highlight w:val="none"/>
        </w:rPr>
        <w:t> </w:t>
      </w:r>
    </w:p>
    <w:p w14:paraId="7A4E74CC">
      <w:pPr>
        <w:pStyle w:val="34"/>
        <w:numPr>
          <w:ilvl w:val="0"/>
          <w:numId w:val="0"/>
        </w:numPr>
        <w:spacing w:beforeAutospacing="0" w:afterAutospacing="0"/>
        <w:jc w:val="center"/>
        <w:rPr>
          <w:rFonts w:hint="eastAsia" w:ascii="黑体" w:hAnsi="宋体" w:eastAsia="黑体" w:cs="黑体"/>
          <w:b/>
          <w:i/>
          <w:iCs/>
          <w:color w:val="auto"/>
          <w:sz w:val="32"/>
          <w:szCs w:val="32"/>
          <w:highlight w:val="none"/>
          <w:u w:val="single"/>
          <w:lang w:val="en-US" w:eastAsia="zh-CN"/>
        </w:rPr>
      </w:pPr>
    </w:p>
    <w:p w14:paraId="311F53E4">
      <w:pPr>
        <w:pStyle w:val="34"/>
        <w:numPr>
          <w:ilvl w:val="0"/>
          <w:numId w:val="0"/>
        </w:numPr>
        <w:spacing w:beforeAutospacing="0" w:afterAutospacing="0"/>
        <w:jc w:val="center"/>
        <w:rPr>
          <w:rFonts w:hint="eastAsia" w:ascii="黑体" w:hAnsi="宋体" w:eastAsia="黑体" w:cs="黑体"/>
          <w:b/>
          <w:i/>
          <w:iCs/>
          <w:color w:val="auto"/>
          <w:sz w:val="32"/>
          <w:szCs w:val="32"/>
          <w:highlight w:val="none"/>
          <w:u w:val="single"/>
          <w:lang w:val="en-US" w:eastAsia="zh-CN"/>
        </w:rPr>
      </w:pPr>
    </w:p>
    <w:p w14:paraId="16236826">
      <w:pPr>
        <w:pStyle w:val="34"/>
        <w:numPr>
          <w:ilvl w:val="0"/>
          <w:numId w:val="0"/>
        </w:numPr>
        <w:spacing w:beforeAutospacing="0" w:afterAutospacing="0"/>
        <w:jc w:val="center"/>
        <w:rPr>
          <w:rFonts w:hint="eastAsia" w:ascii="黑体" w:hAnsi="宋体" w:eastAsia="黑体" w:cs="黑体"/>
          <w:b/>
          <w:i/>
          <w:iCs/>
          <w:color w:val="auto"/>
          <w:sz w:val="32"/>
          <w:szCs w:val="32"/>
          <w:highlight w:val="none"/>
          <w:u w:val="single"/>
          <w:lang w:val="en-US" w:eastAsia="zh-CN"/>
        </w:rPr>
      </w:pPr>
    </w:p>
    <w:p w14:paraId="47BB0042">
      <w:pPr>
        <w:pStyle w:val="34"/>
        <w:numPr>
          <w:ilvl w:val="0"/>
          <w:numId w:val="0"/>
        </w:numPr>
        <w:spacing w:beforeAutospacing="0" w:afterAutospacing="0"/>
        <w:jc w:val="center"/>
        <w:rPr>
          <w:rFonts w:hint="eastAsia" w:ascii="黑体" w:hAnsi="宋体" w:eastAsia="黑体" w:cs="黑体"/>
          <w:b/>
          <w:i/>
          <w:iCs/>
          <w:color w:val="auto"/>
          <w:sz w:val="32"/>
          <w:szCs w:val="32"/>
          <w:highlight w:val="none"/>
          <w:u w:val="single"/>
          <w:lang w:val="en-US" w:eastAsia="zh-CN"/>
        </w:rPr>
      </w:pPr>
    </w:p>
    <w:p w14:paraId="2F18EFC4">
      <w:pPr>
        <w:pStyle w:val="34"/>
        <w:numPr>
          <w:ilvl w:val="0"/>
          <w:numId w:val="0"/>
        </w:numPr>
        <w:spacing w:beforeAutospacing="0" w:afterAutospacing="0"/>
        <w:jc w:val="center"/>
        <w:rPr>
          <w:rFonts w:hint="eastAsia" w:ascii="黑体" w:hAnsi="宋体" w:eastAsia="黑体" w:cs="黑体"/>
          <w:b/>
          <w:i/>
          <w:iCs/>
          <w:color w:val="auto"/>
          <w:sz w:val="32"/>
          <w:szCs w:val="32"/>
          <w:highlight w:val="none"/>
          <w:u w:val="single"/>
          <w:lang w:val="en-US" w:eastAsia="zh-CN"/>
        </w:rPr>
      </w:pPr>
    </w:p>
    <w:p w14:paraId="25769FA6">
      <w:pPr>
        <w:pStyle w:val="34"/>
        <w:numPr>
          <w:ilvl w:val="0"/>
          <w:numId w:val="0"/>
        </w:numPr>
        <w:spacing w:beforeAutospacing="0" w:afterAutospacing="0"/>
        <w:jc w:val="center"/>
        <w:rPr>
          <w:rFonts w:hint="eastAsia" w:ascii="黑体" w:hAnsi="宋体" w:eastAsia="黑体" w:cs="黑体"/>
          <w:b/>
          <w:i/>
          <w:iCs/>
          <w:color w:val="auto"/>
          <w:sz w:val="32"/>
          <w:szCs w:val="32"/>
          <w:highlight w:val="none"/>
          <w:u w:val="single"/>
          <w:lang w:val="en-US" w:eastAsia="zh-CN"/>
        </w:rPr>
      </w:pPr>
    </w:p>
    <w:p w14:paraId="718E0FFC">
      <w:pPr>
        <w:pStyle w:val="34"/>
        <w:numPr>
          <w:ilvl w:val="0"/>
          <w:numId w:val="0"/>
        </w:numPr>
        <w:spacing w:beforeAutospacing="0" w:afterAutospacing="0"/>
        <w:jc w:val="center"/>
        <w:rPr>
          <w:rFonts w:hint="eastAsia" w:ascii="黑体" w:hAnsi="宋体" w:eastAsia="黑体" w:cs="黑体"/>
          <w:b/>
          <w:i/>
          <w:iCs/>
          <w:color w:val="auto"/>
          <w:sz w:val="32"/>
          <w:szCs w:val="32"/>
          <w:highlight w:val="none"/>
          <w:u w:val="single"/>
          <w:lang w:val="en-US" w:eastAsia="zh-CN"/>
        </w:rPr>
      </w:pPr>
    </w:p>
    <w:p w14:paraId="7AB0AEDD">
      <w:pPr>
        <w:pStyle w:val="34"/>
        <w:numPr>
          <w:ilvl w:val="0"/>
          <w:numId w:val="0"/>
        </w:numPr>
        <w:spacing w:beforeAutospacing="0" w:afterAutospacing="0"/>
        <w:jc w:val="center"/>
        <w:rPr>
          <w:rFonts w:hint="eastAsia" w:ascii="黑体" w:hAnsi="宋体" w:eastAsia="黑体" w:cs="黑体"/>
          <w:b/>
          <w:i/>
          <w:iCs/>
          <w:color w:val="auto"/>
          <w:sz w:val="32"/>
          <w:szCs w:val="32"/>
          <w:highlight w:val="none"/>
          <w:u w:val="single"/>
          <w:lang w:val="en-US" w:eastAsia="zh-CN"/>
        </w:rPr>
      </w:pPr>
    </w:p>
    <w:p w14:paraId="176D2AB1">
      <w:pPr>
        <w:pStyle w:val="34"/>
        <w:numPr>
          <w:ilvl w:val="0"/>
          <w:numId w:val="0"/>
        </w:numPr>
        <w:spacing w:beforeAutospacing="0" w:afterAutospacing="0"/>
        <w:jc w:val="center"/>
        <w:rPr>
          <w:rFonts w:hint="eastAsia" w:ascii="黑体" w:hAnsi="宋体" w:eastAsia="黑体" w:cs="黑体"/>
          <w:b/>
          <w:i/>
          <w:iCs/>
          <w:color w:val="auto"/>
          <w:sz w:val="32"/>
          <w:szCs w:val="32"/>
          <w:highlight w:val="none"/>
          <w:u w:val="single"/>
          <w:lang w:val="en-US" w:eastAsia="zh-CN"/>
        </w:rPr>
      </w:pPr>
    </w:p>
    <w:p w14:paraId="780C945C">
      <w:pPr>
        <w:pStyle w:val="34"/>
        <w:numPr>
          <w:ilvl w:val="0"/>
          <w:numId w:val="0"/>
        </w:numPr>
        <w:spacing w:beforeAutospacing="0" w:afterAutospacing="0"/>
        <w:jc w:val="center"/>
        <w:rPr>
          <w:rFonts w:hint="eastAsia" w:ascii="黑体" w:hAnsi="宋体" w:eastAsia="黑体" w:cs="黑体"/>
          <w:b/>
          <w:i/>
          <w:iCs/>
          <w:color w:val="auto"/>
          <w:sz w:val="32"/>
          <w:szCs w:val="32"/>
          <w:highlight w:val="none"/>
          <w:u w:val="single"/>
          <w:lang w:val="en-US" w:eastAsia="zh-CN"/>
        </w:rPr>
      </w:pPr>
      <w:r>
        <w:rPr>
          <w:rFonts w:hint="eastAsia" w:ascii="黑体" w:hAnsi="宋体" w:eastAsia="黑体" w:cs="黑体"/>
          <w:b/>
          <w:i/>
          <w:iCs/>
          <w:color w:val="auto"/>
          <w:sz w:val="32"/>
          <w:szCs w:val="32"/>
          <w:highlight w:val="none"/>
          <w:u w:val="single"/>
          <w:lang w:val="en-US" w:eastAsia="zh-CN"/>
        </w:rPr>
        <w:t>十三、承诺书</w:t>
      </w:r>
    </w:p>
    <w:p w14:paraId="541D94B0">
      <w:pPr>
        <w:pStyle w:val="34"/>
        <w:widowControl w:val="0"/>
        <w:numPr>
          <w:ilvl w:val="0"/>
          <w:numId w:val="0"/>
        </w:numPr>
        <w:spacing w:beforeAutospacing="0" w:afterAutospacing="0"/>
        <w:jc w:val="center"/>
        <w:rPr>
          <w:rFonts w:hint="eastAsia" w:ascii="黑体" w:hAnsi="宋体" w:eastAsia="黑体" w:cs="黑体"/>
          <w:b/>
          <w:color w:val="auto"/>
          <w:sz w:val="32"/>
          <w:szCs w:val="32"/>
          <w:highlight w:val="none"/>
          <w:lang w:val="en-US" w:eastAsia="zh-CN"/>
        </w:rPr>
      </w:pPr>
    </w:p>
    <w:p w14:paraId="5B5F44BD">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（投标人名称）针对本项目</w:t>
      </w:r>
      <w:r>
        <w:rPr>
          <w:rFonts w:hint="eastAsia" w:ascii="宋体" w:hAnsi="宋体"/>
          <w:color w:val="FF0000"/>
          <w:sz w:val="24"/>
          <w:szCs w:val="24"/>
          <w:highlight w:val="none"/>
          <w:lang w:val="en-US" w:eastAsia="zh-CN"/>
        </w:rPr>
        <w:t>JSZC-320923-JZCG-G2026-0003</w:t>
      </w:r>
      <w:r>
        <w:rPr>
          <w:rFonts w:hint="eastAsia" w:ascii="宋体" w:hAnsi="宋体"/>
          <w:color w:val="auto"/>
          <w:sz w:val="24"/>
          <w:szCs w:val="24"/>
          <w:highlight w:val="none"/>
        </w:rPr>
        <w:t>在此对服务保障做如下承诺：</w:t>
      </w:r>
    </w:p>
    <w:p w14:paraId="420A6F01">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cs="宋体"/>
          <w:color w:val="auto"/>
          <w:sz w:val="24"/>
          <w:szCs w:val="24"/>
          <w:highlight w:val="none"/>
        </w:rPr>
        <w:t>本公司（单位）对本项目所提供的服务符合招标文件要求；</w:t>
      </w:r>
    </w:p>
    <w:p w14:paraId="2122A686">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cs="宋体"/>
          <w:color w:val="auto"/>
          <w:sz w:val="24"/>
          <w:szCs w:val="24"/>
          <w:highlight w:val="none"/>
        </w:rPr>
        <w:t>本公司（单位</w:t>
      </w:r>
      <w:r>
        <w:rPr>
          <w:rFonts w:hint="eastAsia" w:ascii="宋体" w:hAnsi="宋体" w:eastAsia="宋体" w:cs="宋体"/>
          <w:color w:val="auto"/>
          <w:sz w:val="24"/>
          <w:szCs w:val="24"/>
          <w:highlight w:val="none"/>
          <w:lang w:eastAsia="zh-CN"/>
        </w:rPr>
        <w:t>）在</w:t>
      </w:r>
      <w:r>
        <w:rPr>
          <w:rFonts w:hint="eastAsia" w:ascii="宋体" w:hAnsi="宋体" w:cs="宋体"/>
          <w:color w:val="auto"/>
          <w:sz w:val="24"/>
          <w:szCs w:val="24"/>
          <w:highlight w:val="none"/>
        </w:rPr>
        <w:t>保证合同签订</w:t>
      </w:r>
      <w:r>
        <w:rPr>
          <w:rFonts w:hint="eastAsia" w:ascii="宋体" w:hAnsi="宋体" w:cs="宋体"/>
          <w:color w:val="auto"/>
          <w:sz w:val="24"/>
          <w:szCs w:val="24"/>
          <w:highlight w:val="none"/>
          <w:lang w:val="en-US" w:eastAsia="zh-CN"/>
        </w:rPr>
        <w:t>前</w:t>
      </w:r>
      <w:r>
        <w:rPr>
          <w:rFonts w:hint="eastAsia" w:ascii="宋体" w:hAnsi="宋体" w:cs="宋体"/>
          <w:color w:val="auto"/>
          <w:sz w:val="24"/>
          <w:szCs w:val="24"/>
          <w:highlight w:val="none"/>
        </w:rPr>
        <w:t>，将按招标文件要求及所投投标文件中做出的相应承诺将提供</w:t>
      </w:r>
      <w:r>
        <w:rPr>
          <w:rFonts w:hint="eastAsia" w:ascii="宋体" w:hAnsi="宋体" w:cs="宋体"/>
          <w:color w:val="auto"/>
          <w:sz w:val="24"/>
          <w:szCs w:val="24"/>
          <w:highlight w:val="none"/>
          <w:lang w:val="en-US" w:eastAsia="zh-CN"/>
        </w:rPr>
        <w:t>本项目组</w:t>
      </w:r>
      <w:r>
        <w:rPr>
          <w:rFonts w:hint="eastAsia" w:ascii="宋体" w:hAnsi="宋体" w:cs="宋体"/>
          <w:color w:val="auto"/>
          <w:sz w:val="24"/>
          <w:szCs w:val="24"/>
          <w:highlight w:val="none"/>
        </w:rPr>
        <w:t>相关人员配置及岗位职责（内容至少包含姓名、</w:t>
      </w:r>
      <w:r>
        <w:rPr>
          <w:rFonts w:hint="eastAsia" w:ascii="宋体" w:hAnsi="宋体" w:cs="宋体"/>
          <w:color w:val="auto"/>
          <w:sz w:val="24"/>
          <w:szCs w:val="24"/>
          <w:highlight w:val="none"/>
          <w:lang w:eastAsia="zh-CN"/>
        </w:rPr>
        <w:t>性别</w:t>
      </w:r>
      <w:r>
        <w:rPr>
          <w:rFonts w:hint="eastAsia" w:ascii="宋体" w:hAnsi="宋体" w:cs="宋体"/>
          <w:color w:val="auto"/>
          <w:sz w:val="24"/>
          <w:szCs w:val="24"/>
          <w:highlight w:val="none"/>
        </w:rPr>
        <w:t>、工种、学历、身份证号码、资格证书等，并附相关人员资格证书</w:t>
      </w:r>
      <w:r>
        <w:rPr>
          <w:rFonts w:hint="eastAsia" w:ascii="宋体" w:hAnsi="宋体" w:eastAsia="宋体" w:cs="宋体"/>
          <w:color w:val="auto"/>
          <w:sz w:val="24"/>
          <w:szCs w:val="24"/>
          <w:highlight w:val="none"/>
          <w:lang w:eastAsia="zh-CN"/>
        </w:rPr>
        <w:t>。</w:t>
      </w:r>
    </w:p>
    <w:p w14:paraId="62F9362D">
      <w:pPr>
        <w:spacing w:line="360" w:lineRule="auto"/>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cs="宋体"/>
          <w:color w:val="auto"/>
          <w:sz w:val="24"/>
          <w:szCs w:val="24"/>
          <w:highlight w:val="none"/>
        </w:rPr>
        <w:t>本公司（单位）保证</w:t>
      </w:r>
      <w:r>
        <w:rPr>
          <w:rFonts w:hint="eastAsia" w:ascii="宋体" w:hAnsi="宋体" w:cs="宋体"/>
          <w:color w:val="auto"/>
          <w:sz w:val="24"/>
          <w:szCs w:val="24"/>
          <w:highlight w:val="none"/>
          <w:lang w:val="en-GB"/>
        </w:rPr>
        <w:t>项目配置人员工资</w:t>
      </w:r>
      <w:r>
        <w:rPr>
          <w:rFonts w:hint="eastAsia" w:ascii="宋体" w:hAnsi="宋体" w:cs="宋体"/>
          <w:color w:val="auto"/>
          <w:sz w:val="24"/>
          <w:szCs w:val="24"/>
          <w:highlight w:val="none"/>
          <w:lang w:val="en-GB" w:eastAsia="zh-CN"/>
        </w:rPr>
        <w:t>、</w:t>
      </w:r>
      <w:r>
        <w:rPr>
          <w:rFonts w:hint="eastAsia" w:ascii="宋体" w:hAnsi="宋体" w:cs="宋体"/>
          <w:color w:val="auto"/>
          <w:sz w:val="24"/>
          <w:szCs w:val="24"/>
          <w:highlight w:val="none"/>
          <w:lang w:val="en-US" w:eastAsia="zh-CN"/>
        </w:rPr>
        <w:t>社保等</w:t>
      </w:r>
      <w:r>
        <w:rPr>
          <w:rFonts w:hint="eastAsia" w:ascii="宋体" w:hAnsi="宋体" w:cs="宋体"/>
          <w:color w:val="auto"/>
          <w:sz w:val="24"/>
          <w:szCs w:val="24"/>
          <w:highlight w:val="none"/>
          <w:lang w:val="en-GB"/>
        </w:rPr>
        <w:t>标准不低于投标文件中标准；在中标后每月向招标人提供所有配置人员的工资明细用于核对，若发现存在少发现象，则采购人在</w:t>
      </w:r>
      <w:r>
        <w:rPr>
          <w:rFonts w:hint="eastAsia" w:ascii="宋体" w:hAnsi="宋体" w:eastAsia="宋体" w:cs="宋体"/>
          <w:color w:val="auto"/>
          <w:sz w:val="24"/>
          <w:szCs w:val="24"/>
          <w:highlight w:val="none"/>
          <w:lang w:val="en-US" w:eastAsia="zh-CN"/>
        </w:rPr>
        <w:t>保安服务</w:t>
      </w:r>
      <w:r>
        <w:rPr>
          <w:rFonts w:hint="eastAsia" w:ascii="宋体" w:hAnsi="宋体" w:cs="宋体"/>
          <w:color w:val="auto"/>
          <w:sz w:val="24"/>
          <w:szCs w:val="24"/>
          <w:highlight w:val="none"/>
        </w:rPr>
        <w:t>费</w:t>
      </w:r>
      <w:r>
        <w:rPr>
          <w:rFonts w:hint="eastAsia" w:ascii="宋体" w:hAnsi="宋体" w:cs="宋体"/>
          <w:color w:val="auto"/>
          <w:sz w:val="24"/>
          <w:szCs w:val="24"/>
          <w:highlight w:val="none"/>
          <w:lang w:val="en-GB"/>
        </w:rPr>
        <w:t>用中相应扣除；若发现实际配置人员与采购人需求严重不符情况（持证情况、年龄满足等），采购人则视为该岗位缺岗，采购人在</w:t>
      </w:r>
      <w:r>
        <w:rPr>
          <w:rFonts w:hint="eastAsia" w:ascii="宋体" w:hAnsi="宋体" w:eastAsia="宋体" w:cs="宋体"/>
          <w:color w:val="auto"/>
          <w:sz w:val="24"/>
          <w:szCs w:val="24"/>
          <w:highlight w:val="none"/>
          <w:lang w:val="en-US" w:eastAsia="zh-CN"/>
        </w:rPr>
        <w:t>保安服务</w:t>
      </w:r>
      <w:r>
        <w:rPr>
          <w:rFonts w:hint="eastAsia" w:ascii="宋体" w:hAnsi="宋体" w:cs="宋体"/>
          <w:color w:val="auto"/>
          <w:sz w:val="24"/>
          <w:szCs w:val="24"/>
          <w:highlight w:val="none"/>
        </w:rPr>
        <w:t>费</w:t>
      </w:r>
      <w:r>
        <w:rPr>
          <w:rFonts w:hint="eastAsia" w:ascii="宋体" w:hAnsi="宋体" w:eastAsia="宋体" w:cs="宋体"/>
          <w:color w:val="auto"/>
          <w:sz w:val="24"/>
          <w:szCs w:val="24"/>
          <w:highlight w:val="none"/>
          <w:lang w:val="en-US" w:eastAsia="zh-CN"/>
        </w:rPr>
        <w:t>用</w:t>
      </w:r>
      <w:r>
        <w:rPr>
          <w:rFonts w:hint="eastAsia" w:ascii="宋体" w:hAnsi="宋体" w:cs="宋体"/>
          <w:color w:val="auto"/>
          <w:sz w:val="24"/>
          <w:szCs w:val="24"/>
          <w:highlight w:val="none"/>
          <w:lang w:val="en-GB"/>
        </w:rPr>
        <w:t>中相应扣除。</w:t>
      </w:r>
    </w:p>
    <w:p w14:paraId="7EFB6FA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p>
    <w:p w14:paraId="0DEE8CDB">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w:t>
      </w:r>
    </w:p>
    <w:p w14:paraId="78DB149D">
      <w:pPr>
        <w:tabs>
          <w:tab w:val="left" w:pos="945"/>
        </w:tabs>
        <w:spacing w:line="360" w:lineRule="auto"/>
        <w:ind w:firstLine="465"/>
        <w:rPr>
          <w:rFonts w:hint="eastAsia" w:ascii="宋体" w:hAnsi="宋体" w:cs="宋体"/>
          <w:color w:val="auto"/>
          <w:sz w:val="24"/>
          <w:szCs w:val="24"/>
          <w:highlight w:val="none"/>
        </w:rPr>
      </w:pPr>
      <w:r>
        <w:rPr>
          <w:rFonts w:hint="eastAsia" w:ascii="宋体" w:hAnsi="宋体" w:cs="宋体"/>
          <w:color w:val="auto"/>
          <w:sz w:val="24"/>
          <w:szCs w:val="24"/>
          <w:highlight w:val="none"/>
        </w:rPr>
        <w:t>6、</w:t>
      </w:r>
    </w:p>
    <w:p w14:paraId="7B52CE99">
      <w:pPr>
        <w:spacing w:line="480" w:lineRule="auto"/>
        <w:ind w:firstLine="960"/>
        <w:rPr>
          <w:rFonts w:hint="eastAsia" w:ascii="宋体" w:hAnsi="宋体"/>
          <w:bCs/>
          <w:color w:val="auto"/>
          <w:sz w:val="24"/>
          <w:szCs w:val="24"/>
          <w:highlight w:val="none"/>
        </w:rPr>
      </w:pPr>
      <w:r>
        <w:rPr>
          <w:rFonts w:ascii="宋体" w:hAnsi="宋体"/>
          <w:bCs/>
          <w:color w:val="auto"/>
          <w:sz w:val="24"/>
          <w:szCs w:val="24"/>
          <w:highlight w:val="none"/>
        </w:rPr>
        <w:t>…………………</w:t>
      </w:r>
    </w:p>
    <w:p w14:paraId="08CA5268">
      <w:pPr>
        <w:spacing w:line="480" w:lineRule="auto"/>
        <w:ind w:firstLine="960"/>
        <w:rPr>
          <w:rFonts w:hint="eastAsia"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7953AB89">
      <w:pPr>
        <w:pStyle w:val="34"/>
        <w:spacing w:beforeAutospacing="0" w:afterAutospacing="0" w:line="0" w:lineRule="atLeast"/>
        <w:ind w:firstLine="624"/>
        <w:jc w:val="both"/>
        <w:rPr>
          <w:color w:val="auto"/>
          <w:sz w:val="21"/>
          <w:szCs w:val="21"/>
          <w:highlight w:val="none"/>
        </w:rPr>
      </w:pPr>
    </w:p>
    <w:p w14:paraId="73B11CD1">
      <w:pPr>
        <w:pStyle w:val="34"/>
        <w:tabs>
          <w:tab w:val="left" w:pos="4864"/>
        </w:tabs>
        <w:spacing w:beforeAutospacing="0" w:afterAutospacing="0" w:line="0" w:lineRule="atLeast"/>
        <w:ind w:right="1366" w:firstLine="624"/>
        <w:jc w:val="center"/>
        <w:rPr>
          <w:color w:val="auto"/>
          <w:sz w:val="24"/>
          <w:szCs w:val="24"/>
          <w:highlight w:val="none"/>
        </w:rPr>
      </w:pPr>
      <w:r>
        <w:rPr>
          <w:rFonts w:ascii="仿宋_GB2312" w:eastAsia="仿宋_GB2312" w:cs="仿宋_GB2312"/>
          <w:color w:val="auto"/>
          <w:sz w:val="21"/>
          <w:szCs w:val="21"/>
          <w:highlight w:val="none"/>
        </w:rPr>
        <w:t xml:space="preserve">             </w:t>
      </w:r>
      <w:r>
        <w:rPr>
          <w:rFonts w:hint="eastAsia" w:ascii="宋体" w:hAnsi="宋体" w:eastAsia="宋体" w:cs="宋体"/>
          <w:color w:val="auto"/>
          <w:sz w:val="21"/>
          <w:szCs w:val="21"/>
          <w:highlight w:val="none"/>
        </w:rPr>
        <w:t>         </w:t>
      </w:r>
      <w:r>
        <w:rPr>
          <w:rFonts w:hint="eastAsia" w:ascii="宋体" w:hAnsi="宋体" w:eastAsia="宋体" w:cs="宋体"/>
          <w:color w:val="auto"/>
          <w:sz w:val="24"/>
          <w:szCs w:val="24"/>
          <w:highlight w:val="none"/>
        </w:rPr>
        <w:t xml:space="preserve"> 供应商全称（加盖CA电子公章）：</w:t>
      </w:r>
    </w:p>
    <w:p w14:paraId="682A6715">
      <w:pPr>
        <w:pStyle w:val="34"/>
        <w:tabs>
          <w:tab w:val="left" w:pos="4864"/>
        </w:tabs>
        <w:spacing w:beforeAutospacing="0" w:afterAutospacing="0" w:line="0" w:lineRule="atLeast"/>
        <w:ind w:right="156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19DDFE3">
      <w:pPr>
        <w:pStyle w:val="34"/>
        <w:tabs>
          <w:tab w:val="left" w:pos="4864"/>
        </w:tabs>
        <w:spacing w:beforeAutospacing="0" w:afterAutospacing="0" w:line="0" w:lineRule="atLeast"/>
        <w:ind w:right="1560" w:firstLine="480"/>
        <w:jc w:val="center"/>
        <w:rPr>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  期：</w:t>
      </w:r>
    </w:p>
    <w:p w14:paraId="4E1CC7AC">
      <w:pPr>
        <w:spacing w:line="480" w:lineRule="auto"/>
        <w:ind w:firstLine="480"/>
        <w:rPr>
          <w:rFonts w:hint="eastAsia" w:ascii="宋体" w:hAnsi="宋体"/>
          <w:bCs/>
          <w:color w:val="auto"/>
          <w:sz w:val="24"/>
          <w:szCs w:val="24"/>
          <w:highlight w:val="none"/>
        </w:rPr>
      </w:pPr>
    </w:p>
    <w:p w14:paraId="6FC1D63C">
      <w:pPr>
        <w:spacing w:line="480" w:lineRule="auto"/>
        <w:ind w:firstLine="480"/>
        <w:rPr>
          <w:rFonts w:hint="eastAsia" w:ascii="宋体" w:hAnsi="宋体"/>
          <w:bCs/>
          <w:color w:val="auto"/>
          <w:sz w:val="24"/>
          <w:szCs w:val="24"/>
          <w:highlight w:val="none"/>
        </w:rPr>
      </w:pPr>
    </w:p>
    <w:p w14:paraId="751DA2C8">
      <w:pPr>
        <w:spacing w:line="480" w:lineRule="auto"/>
        <w:ind w:firstLine="480"/>
        <w:rPr>
          <w:rFonts w:hint="eastAsia" w:ascii="宋体" w:hAnsi="宋体"/>
          <w:bCs/>
          <w:color w:val="auto"/>
          <w:sz w:val="24"/>
          <w:szCs w:val="24"/>
          <w:highlight w:val="none"/>
        </w:rPr>
      </w:pPr>
    </w:p>
    <w:p w14:paraId="2303EE15">
      <w:pPr>
        <w:spacing w:line="480" w:lineRule="auto"/>
        <w:ind w:firstLine="480"/>
        <w:rPr>
          <w:rFonts w:hint="eastAsia" w:ascii="宋体" w:hAnsi="宋体"/>
          <w:bCs/>
          <w:color w:val="auto"/>
          <w:sz w:val="24"/>
          <w:szCs w:val="24"/>
          <w:highlight w:val="none"/>
        </w:rPr>
      </w:pPr>
    </w:p>
    <w:p w14:paraId="65462D73">
      <w:pPr>
        <w:spacing w:line="480" w:lineRule="auto"/>
        <w:ind w:firstLine="480"/>
        <w:rPr>
          <w:rFonts w:hint="eastAsia" w:ascii="宋体" w:hAnsi="宋体"/>
          <w:bCs/>
          <w:color w:val="auto"/>
          <w:sz w:val="24"/>
          <w:szCs w:val="24"/>
          <w:highlight w:val="none"/>
        </w:rPr>
      </w:pPr>
    </w:p>
    <w:p w14:paraId="600B98FB">
      <w:pPr>
        <w:spacing w:line="480" w:lineRule="auto"/>
        <w:ind w:firstLine="480"/>
        <w:rPr>
          <w:rFonts w:hint="eastAsia" w:ascii="宋体" w:hAnsi="宋体"/>
          <w:bCs/>
          <w:color w:val="auto"/>
          <w:sz w:val="24"/>
          <w:szCs w:val="24"/>
          <w:highlight w:val="none"/>
        </w:rPr>
      </w:pPr>
    </w:p>
    <w:p w14:paraId="37B75EAA">
      <w:pPr>
        <w:pStyle w:val="34"/>
        <w:spacing w:beforeAutospacing="0" w:afterAutospacing="0"/>
        <w:jc w:val="center"/>
        <w:rPr>
          <w:color w:val="auto"/>
          <w:highlight w:val="none"/>
        </w:rPr>
      </w:pPr>
      <w:r>
        <w:rPr>
          <w:color w:val="auto"/>
          <w:highlight w:val="none"/>
        </w:rPr>
        <w:t> </w:t>
      </w:r>
    </w:p>
    <w:p w14:paraId="1827B8C6">
      <w:pPr>
        <w:pStyle w:val="34"/>
        <w:spacing w:beforeAutospacing="0" w:afterAutospacing="0"/>
        <w:jc w:val="center"/>
        <w:rPr>
          <w:color w:val="auto"/>
          <w:highlight w:val="none"/>
        </w:rPr>
      </w:pPr>
      <w:bookmarkStart w:id="199" w:name="_Hlt26955054"/>
      <w:r>
        <w:rPr>
          <w:rFonts w:hint="eastAsia" w:ascii="黑体" w:hAnsi="宋体" w:eastAsia="黑体" w:cs="黑体"/>
          <w:b/>
          <w:color w:val="auto"/>
          <w:sz w:val="32"/>
          <w:szCs w:val="32"/>
          <w:highlight w:val="none"/>
        </w:rPr>
        <w:t>十四、商务要求响应及偏离表</w:t>
      </w:r>
    </w:p>
    <w:tbl>
      <w:tblPr>
        <w:tblStyle w:val="38"/>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63C05337">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E453FF">
            <w:pPr>
              <w:pStyle w:val="34"/>
              <w:spacing w:beforeAutospacing="0" w:afterAutospacing="0"/>
              <w:jc w:val="center"/>
              <w:rPr>
                <w:color w:val="auto"/>
                <w:highlight w:val="none"/>
              </w:rPr>
            </w:pPr>
            <w:bookmarkStart w:id="200" w:name="_Hlt26580838"/>
            <w:bookmarkStart w:id="201" w:name="_Hlt26782999"/>
            <w:bookmarkStart w:id="202" w:name="_Hlt26955064"/>
            <w:bookmarkStart w:id="203" w:name="_Hlt26671343"/>
            <w:bookmarkStart w:id="204" w:name="_Hlt26955056"/>
            <w:bookmarkStart w:id="205" w:name="_Hlt26671372"/>
            <w:bookmarkStart w:id="206" w:name="_Hlt24879081"/>
            <w:bookmarkStart w:id="207" w:name="_Hlt26609391"/>
            <w:r>
              <w:rPr>
                <w:rFonts w:hint="eastAsia" w:ascii="宋体" w:hAnsi="宋体" w:eastAsia="宋体" w:cs="宋体"/>
                <w:color w:val="auto"/>
                <w:highlight w:val="none"/>
              </w:rPr>
              <w:t>序号</w:t>
            </w:r>
            <w:bookmarkEnd w:id="200"/>
            <w:bookmarkEnd w:id="201"/>
            <w:bookmarkEnd w:id="202"/>
            <w:bookmarkEnd w:id="203"/>
            <w:bookmarkEnd w:id="204"/>
            <w:bookmarkEnd w:id="205"/>
            <w:bookmarkEnd w:id="206"/>
            <w:bookmarkEnd w:id="207"/>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AFCB79">
            <w:pPr>
              <w:pStyle w:val="34"/>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222FE9">
            <w:pPr>
              <w:pStyle w:val="34"/>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EEF368">
            <w:pPr>
              <w:pStyle w:val="34"/>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7BED17">
            <w:pPr>
              <w:pStyle w:val="34"/>
              <w:spacing w:beforeAutospacing="0" w:afterAutospacing="0"/>
              <w:jc w:val="center"/>
              <w:rPr>
                <w:rFonts w:hint="default" w:eastAsiaTheme="minorEastAsia"/>
                <w:color w:val="auto"/>
                <w:highlight w:val="none"/>
                <w:lang w:val="en-US" w:eastAsia="zh-CN"/>
              </w:rPr>
            </w:pPr>
            <w:r>
              <w:rPr>
                <w:rFonts w:hint="eastAsia"/>
                <w:color w:val="auto"/>
                <w:highlight w:val="none"/>
                <w:lang w:val="en-US" w:eastAsia="zh-CN"/>
              </w:rPr>
              <w:t>备注</w:t>
            </w:r>
          </w:p>
        </w:tc>
      </w:tr>
      <w:tr w14:paraId="4435F48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FF844C">
            <w:pPr>
              <w:pStyle w:val="34"/>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95F031">
            <w:pPr>
              <w:pStyle w:val="34"/>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78ED85">
            <w:pPr>
              <w:pStyle w:val="34"/>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4795D7">
            <w:pPr>
              <w:pStyle w:val="34"/>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3566C8">
            <w:pPr>
              <w:pStyle w:val="34"/>
              <w:spacing w:beforeAutospacing="0" w:afterAutospacing="0"/>
              <w:jc w:val="center"/>
              <w:rPr>
                <w:color w:val="auto"/>
                <w:highlight w:val="none"/>
              </w:rPr>
            </w:pPr>
            <w:r>
              <w:rPr>
                <w:color w:val="auto"/>
                <w:highlight w:val="none"/>
              </w:rPr>
              <w:t> </w:t>
            </w:r>
          </w:p>
        </w:tc>
      </w:tr>
      <w:tr w14:paraId="112B03A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E3373F">
            <w:pPr>
              <w:pStyle w:val="34"/>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63684A">
            <w:pPr>
              <w:pStyle w:val="34"/>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3CEB4B">
            <w:pPr>
              <w:pStyle w:val="34"/>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B39BCA">
            <w:pPr>
              <w:pStyle w:val="34"/>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F169CB">
            <w:pPr>
              <w:pStyle w:val="34"/>
              <w:spacing w:beforeAutospacing="0" w:afterAutospacing="0"/>
              <w:jc w:val="center"/>
              <w:rPr>
                <w:color w:val="auto"/>
                <w:highlight w:val="none"/>
              </w:rPr>
            </w:pPr>
            <w:r>
              <w:rPr>
                <w:color w:val="auto"/>
                <w:highlight w:val="none"/>
              </w:rPr>
              <w:t> </w:t>
            </w:r>
          </w:p>
        </w:tc>
      </w:tr>
      <w:tr w14:paraId="50D0389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F72593">
            <w:pPr>
              <w:pStyle w:val="34"/>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0D52C6">
            <w:pPr>
              <w:pStyle w:val="34"/>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29D4DB">
            <w:pPr>
              <w:pStyle w:val="34"/>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3469C9">
            <w:pPr>
              <w:pStyle w:val="34"/>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B1C8E4">
            <w:pPr>
              <w:pStyle w:val="34"/>
              <w:spacing w:beforeAutospacing="0" w:afterAutospacing="0"/>
              <w:jc w:val="center"/>
              <w:rPr>
                <w:color w:val="auto"/>
                <w:highlight w:val="none"/>
              </w:rPr>
            </w:pPr>
            <w:r>
              <w:rPr>
                <w:color w:val="auto"/>
                <w:highlight w:val="none"/>
              </w:rPr>
              <w:t> </w:t>
            </w:r>
          </w:p>
        </w:tc>
      </w:tr>
      <w:tr w14:paraId="7F79A65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520FAD">
            <w:pPr>
              <w:pStyle w:val="34"/>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4580D8">
            <w:pPr>
              <w:pStyle w:val="34"/>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0BB3F4">
            <w:pPr>
              <w:pStyle w:val="34"/>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9790A5">
            <w:pPr>
              <w:pStyle w:val="34"/>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59391B">
            <w:pPr>
              <w:pStyle w:val="34"/>
              <w:spacing w:beforeAutospacing="0" w:afterAutospacing="0"/>
              <w:jc w:val="center"/>
              <w:rPr>
                <w:color w:val="auto"/>
                <w:highlight w:val="none"/>
              </w:rPr>
            </w:pPr>
            <w:r>
              <w:rPr>
                <w:color w:val="auto"/>
                <w:highlight w:val="none"/>
              </w:rPr>
              <w:t> </w:t>
            </w:r>
          </w:p>
        </w:tc>
      </w:tr>
      <w:tr w14:paraId="7A9A55B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74F31C">
            <w:pPr>
              <w:pStyle w:val="34"/>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6C9BD9">
            <w:pPr>
              <w:pStyle w:val="34"/>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842B61">
            <w:pPr>
              <w:pStyle w:val="34"/>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0C6DC2">
            <w:pPr>
              <w:pStyle w:val="34"/>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EC7459">
            <w:pPr>
              <w:pStyle w:val="34"/>
              <w:spacing w:beforeAutospacing="0" w:afterAutospacing="0"/>
              <w:jc w:val="center"/>
              <w:rPr>
                <w:color w:val="auto"/>
                <w:highlight w:val="none"/>
              </w:rPr>
            </w:pPr>
            <w:r>
              <w:rPr>
                <w:color w:val="auto"/>
                <w:highlight w:val="none"/>
              </w:rPr>
              <w:t> </w:t>
            </w:r>
          </w:p>
        </w:tc>
      </w:tr>
      <w:tr w14:paraId="5EE1CF0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C091BD">
            <w:pPr>
              <w:pStyle w:val="34"/>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0BDFA0">
            <w:pPr>
              <w:pStyle w:val="34"/>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5EB95D">
            <w:pPr>
              <w:pStyle w:val="34"/>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01EB17">
            <w:pPr>
              <w:pStyle w:val="34"/>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8EC177">
            <w:pPr>
              <w:pStyle w:val="34"/>
              <w:spacing w:beforeAutospacing="0" w:afterAutospacing="0"/>
              <w:jc w:val="center"/>
              <w:rPr>
                <w:color w:val="auto"/>
                <w:highlight w:val="none"/>
              </w:rPr>
            </w:pPr>
            <w:r>
              <w:rPr>
                <w:color w:val="auto"/>
                <w:highlight w:val="none"/>
              </w:rPr>
              <w:t> </w:t>
            </w:r>
          </w:p>
        </w:tc>
      </w:tr>
      <w:tr w14:paraId="2908A2E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0057F6">
            <w:pPr>
              <w:pStyle w:val="34"/>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4C16E4">
            <w:pPr>
              <w:pStyle w:val="34"/>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4760AE">
            <w:pPr>
              <w:pStyle w:val="34"/>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859E5C">
            <w:pPr>
              <w:pStyle w:val="34"/>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A64E3F">
            <w:pPr>
              <w:pStyle w:val="34"/>
              <w:spacing w:beforeAutospacing="0" w:afterAutospacing="0"/>
              <w:jc w:val="center"/>
              <w:rPr>
                <w:color w:val="auto"/>
                <w:highlight w:val="none"/>
              </w:rPr>
            </w:pPr>
            <w:r>
              <w:rPr>
                <w:color w:val="auto"/>
                <w:highlight w:val="none"/>
              </w:rPr>
              <w:t> </w:t>
            </w:r>
          </w:p>
        </w:tc>
      </w:tr>
      <w:tr w14:paraId="5C853A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1B9E12">
            <w:pPr>
              <w:pStyle w:val="34"/>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2988E7">
            <w:pPr>
              <w:pStyle w:val="34"/>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902EE2">
            <w:pPr>
              <w:pStyle w:val="34"/>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E44D98">
            <w:pPr>
              <w:pStyle w:val="34"/>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84E8A7">
            <w:pPr>
              <w:pStyle w:val="34"/>
              <w:spacing w:beforeAutospacing="0" w:afterAutospacing="0"/>
              <w:jc w:val="center"/>
              <w:rPr>
                <w:color w:val="auto"/>
                <w:highlight w:val="none"/>
              </w:rPr>
            </w:pPr>
            <w:r>
              <w:rPr>
                <w:color w:val="auto"/>
                <w:highlight w:val="none"/>
              </w:rPr>
              <w:t> </w:t>
            </w:r>
          </w:p>
        </w:tc>
      </w:tr>
    </w:tbl>
    <w:p w14:paraId="44AE7C12">
      <w:pPr>
        <w:pStyle w:val="34"/>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5B30587E">
      <w:pPr>
        <w:pStyle w:val="34"/>
        <w:spacing w:beforeAutospacing="0" w:afterAutospacing="0" w:line="480" w:lineRule="auto"/>
        <w:jc w:val="both"/>
        <w:rPr>
          <w:color w:val="auto"/>
          <w:highlight w:val="none"/>
        </w:rPr>
      </w:pPr>
      <w:r>
        <w:rPr>
          <w:color w:val="auto"/>
          <w:highlight w:val="none"/>
        </w:rPr>
        <w:t> </w:t>
      </w:r>
    </w:p>
    <w:p w14:paraId="29C3F4C3">
      <w:pPr>
        <w:pStyle w:val="34"/>
        <w:spacing w:beforeAutospacing="0" w:afterAutospacing="0"/>
        <w:jc w:val="both"/>
        <w:rPr>
          <w:color w:val="auto"/>
          <w:highlight w:val="none"/>
        </w:rPr>
      </w:pPr>
      <w:r>
        <w:rPr>
          <w:color w:val="auto"/>
          <w:highlight w:val="none"/>
        </w:rPr>
        <w:t> </w:t>
      </w:r>
      <w:bookmarkStart w:id="208" w:name="_Hlt26609389"/>
      <w:bookmarkStart w:id="209" w:name="_格式2__法定代表人授权书"/>
      <w:bookmarkStart w:id="210" w:name="_Hlt26671374"/>
      <w:bookmarkStart w:id="211" w:name="_Toc462564146"/>
      <w:bookmarkStart w:id="212" w:name="_Hlt26955066"/>
    </w:p>
    <w:p w14:paraId="6352A145">
      <w:pPr>
        <w:pStyle w:val="34"/>
        <w:spacing w:beforeAutospacing="0" w:afterAutospacing="0"/>
        <w:jc w:val="both"/>
        <w:rPr>
          <w:color w:val="auto"/>
          <w:highlight w:val="none"/>
        </w:rPr>
      </w:pPr>
    </w:p>
    <w:p w14:paraId="4EFC9BAB">
      <w:pPr>
        <w:pStyle w:val="34"/>
        <w:spacing w:beforeAutospacing="0" w:afterAutospacing="0" w:line="0" w:lineRule="atLeast"/>
        <w:ind w:firstLine="624"/>
        <w:jc w:val="both"/>
        <w:rPr>
          <w:color w:val="auto"/>
          <w:sz w:val="21"/>
          <w:szCs w:val="21"/>
          <w:highlight w:val="none"/>
        </w:rPr>
      </w:pPr>
    </w:p>
    <w:p w14:paraId="35A94D7A">
      <w:pPr>
        <w:pStyle w:val="34"/>
        <w:tabs>
          <w:tab w:val="left" w:pos="4864"/>
        </w:tabs>
        <w:spacing w:beforeAutospacing="0" w:afterAutospacing="0" w:line="0" w:lineRule="atLeast"/>
        <w:ind w:right="1386" w:firstLine="624"/>
        <w:jc w:val="center"/>
        <w:rPr>
          <w:color w:val="auto"/>
          <w:sz w:val="24"/>
          <w:szCs w:val="24"/>
          <w:highlight w:val="none"/>
        </w:rPr>
      </w:pPr>
      <w:r>
        <w:rPr>
          <w:rFonts w:ascii="仿宋_GB2312" w:eastAsia="仿宋_GB2312" w:cs="仿宋_GB2312"/>
          <w:color w:val="auto"/>
          <w:sz w:val="21"/>
          <w:szCs w:val="21"/>
          <w:highlight w:val="none"/>
        </w:rPr>
        <w:t xml:space="preserve">             </w:t>
      </w:r>
      <w:r>
        <w:rPr>
          <w:rFonts w:hint="eastAsia" w:ascii="宋体" w:hAnsi="宋体" w:eastAsia="宋体" w:cs="宋体"/>
          <w:color w:val="auto"/>
          <w:sz w:val="21"/>
          <w:szCs w:val="21"/>
          <w:highlight w:val="none"/>
        </w:rPr>
        <w:t>         </w:t>
      </w:r>
      <w:r>
        <w:rPr>
          <w:rFonts w:hint="eastAsia" w:ascii="宋体" w:hAnsi="宋体" w:eastAsia="宋体" w:cs="宋体"/>
          <w:color w:val="auto"/>
          <w:sz w:val="24"/>
          <w:szCs w:val="24"/>
          <w:highlight w:val="none"/>
        </w:rPr>
        <w:t xml:space="preserve"> 供应商全称（加盖CA电子公章）：</w:t>
      </w:r>
    </w:p>
    <w:p w14:paraId="6A75CE8D">
      <w:pPr>
        <w:pStyle w:val="34"/>
        <w:tabs>
          <w:tab w:val="left" w:pos="4864"/>
        </w:tabs>
        <w:spacing w:beforeAutospacing="0" w:afterAutospacing="0" w:line="0" w:lineRule="atLeast"/>
        <w:ind w:right="156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0DCF1E3">
      <w:pPr>
        <w:pStyle w:val="34"/>
        <w:tabs>
          <w:tab w:val="left" w:pos="4864"/>
        </w:tabs>
        <w:spacing w:beforeAutospacing="0" w:afterAutospacing="0" w:line="0" w:lineRule="atLeast"/>
        <w:ind w:right="1560" w:firstLine="480"/>
        <w:jc w:val="center"/>
        <w:rPr>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  期：</w:t>
      </w:r>
    </w:p>
    <w:p w14:paraId="6A13682D">
      <w:pPr>
        <w:pStyle w:val="34"/>
        <w:spacing w:beforeAutospacing="0" w:afterAutospacing="0"/>
        <w:jc w:val="both"/>
        <w:rPr>
          <w:color w:val="auto"/>
          <w:highlight w:val="none"/>
        </w:rPr>
      </w:pPr>
    </w:p>
    <w:p w14:paraId="7FC92D3A">
      <w:pPr>
        <w:pStyle w:val="34"/>
        <w:spacing w:beforeAutospacing="0" w:afterAutospacing="0"/>
        <w:jc w:val="both"/>
        <w:rPr>
          <w:color w:val="auto"/>
          <w:highlight w:val="none"/>
        </w:rPr>
      </w:pPr>
    </w:p>
    <w:p w14:paraId="0B6094F1">
      <w:pPr>
        <w:pStyle w:val="34"/>
        <w:spacing w:beforeAutospacing="0" w:afterAutospacing="0"/>
        <w:jc w:val="both"/>
        <w:rPr>
          <w:color w:val="auto"/>
          <w:highlight w:val="none"/>
        </w:rPr>
      </w:pPr>
    </w:p>
    <w:p w14:paraId="1E863804">
      <w:pPr>
        <w:pStyle w:val="34"/>
        <w:spacing w:beforeAutospacing="0" w:afterAutospacing="0"/>
        <w:jc w:val="both"/>
        <w:rPr>
          <w:color w:val="auto"/>
          <w:highlight w:val="none"/>
        </w:rPr>
      </w:pPr>
    </w:p>
    <w:p w14:paraId="7333326B">
      <w:pPr>
        <w:pStyle w:val="34"/>
        <w:spacing w:beforeAutospacing="0" w:afterAutospacing="0"/>
        <w:jc w:val="both"/>
        <w:rPr>
          <w:color w:val="auto"/>
          <w:highlight w:val="none"/>
        </w:rPr>
      </w:pPr>
    </w:p>
    <w:p w14:paraId="6665DCBC">
      <w:pPr>
        <w:pStyle w:val="34"/>
        <w:spacing w:beforeAutospacing="0" w:afterAutospacing="0"/>
        <w:jc w:val="both"/>
        <w:rPr>
          <w:color w:val="auto"/>
          <w:highlight w:val="none"/>
        </w:rPr>
      </w:pPr>
    </w:p>
    <w:p w14:paraId="7969F7B7">
      <w:pPr>
        <w:pStyle w:val="34"/>
        <w:spacing w:beforeAutospacing="0" w:afterAutospacing="0"/>
        <w:jc w:val="both"/>
        <w:rPr>
          <w:color w:val="auto"/>
          <w:highlight w:val="none"/>
        </w:rPr>
      </w:pPr>
    </w:p>
    <w:p w14:paraId="6A596FFE">
      <w:pPr>
        <w:pStyle w:val="34"/>
        <w:spacing w:beforeAutospacing="0" w:afterAutospacing="0"/>
        <w:jc w:val="both"/>
        <w:rPr>
          <w:color w:val="auto"/>
          <w:highlight w:val="none"/>
        </w:rPr>
      </w:pPr>
    </w:p>
    <w:p w14:paraId="11BB5511">
      <w:pPr>
        <w:pStyle w:val="34"/>
        <w:spacing w:beforeAutospacing="0" w:afterAutospacing="0"/>
        <w:jc w:val="both"/>
        <w:rPr>
          <w:color w:val="auto"/>
          <w:highlight w:val="none"/>
        </w:rPr>
      </w:pPr>
    </w:p>
    <w:p w14:paraId="77F03425">
      <w:pPr>
        <w:pStyle w:val="34"/>
        <w:spacing w:beforeAutospacing="0" w:afterAutospacing="0"/>
        <w:jc w:val="both"/>
        <w:rPr>
          <w:color w:val="auto"/>
          <w:highlight w:val="none"/>
        </w:rPr>
      </w:pPr>
    </w:p>
    <w:p w14:paraId="4149392D">
      <w:pPr>
        <w:pStyle w:val="34"/>
        <w:spacing w:beforeAutospacing="0" w:afterAutospacing="0"/>
        <w:jc w:val="both"/>
        <w:rPr>
          <w:color w:val="auto"/>
          <w:highlight w:val="none"/>
        </w:rPr>
      </w:pPr>
    </w:p>
    <w:p w14:paraId="42FD28EA">
      <w:pPr>
        <w:pStyle w:val="34"/>
        <w:spacing w:beforeAutospacing="0" w:afterAutospacing="0"/>
        <w:jc w:val="both"/>
        <w:rPr>
          <w:color w:val="auto"/>
          <w:highlight w:val="none"/>
        </w:rPr>
      </w:pPr>
    </w:p>
    <w:p w14:paraId="77BAD9B8">
      <w:pPr>
        <w:pStyle w:val="34"/>
        <w:spacing w:beforeAutospacing="0" w:afterAutospacing="0"/>
        <w:jc w:val="both"/>
        <w:rPr>
          <w:color w:val="auto"/>
          <w:highlight w:val="none"/>
        </w:rPr>
      </w:pPr>
    </w:p>
    <w:p w14:paraId="11020194">
      <w:pPr>
        <w:pStyle w:val="34"/>
        <w:spacing w:beforeAutospacing="0" w:afterAutospacing="0"/>
        <w:jc w:val="both"/>
        <w:rPr>
          <w:color w:val="auto"/>
          <w:highlight w:val="none"/>
        </w:rPr>
      </w:pPr>
    </w:p>
    <w:p w14:paraId="1174F32B">
      <w:pPr>
        <w:pStyle w:val="34"/>
        <w:spacing w:beforeAutospacing="0" w:afterAutospacing="0"/>
        <w:jc w:val="both"/>
        <w:rPr>
          <w:color w:val="auto"/>
          <w:highlight w:val="none"/>
        </w:rPr>
      </w:pPr>
    </w:p>
    <w:p w14:paraId="0A8D60B0">
      <w:pPr>
        <w:pStyle w:val="34"/>
        <w:spacing w:beforeAutospacing="0" w:afterAutospacing="0"/>
        <w:jc w:val="both"/>
        <w:rPr>
          <w:color w:val="auto"/>
          <w:highlight w:val="none"/>
        </w:rPr>
      </w:pPr>
    </w:p>
    <w:p w14:paraId="40835D1D">
      <w:pPr>
        <w:pStyle w:val="34"/>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十五、开标一览表</w:t>
      </w:r>
    </w:p>
    <w:p w14:paraId="043DF08E">
      <w:pPr>
        <w:pStyle w:val="34"/>
        <w:spacing w:beforeAutospacing="0" w:afterAutospacing="0"/>
        <w:ind w:firstLine="480"/>
        <w:jc w:val="both"/>
        <w:rPr>
          <w:color w:val="auto"/>
          <w:highlight w:val="none"/>
        </w:rPr>
      </w:pPr>
    </w:p>
    <w:p w14:paraId="31A7D7BE">
      <w:pPr>
        <w:pStyle w:val="34"/>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投标人全称（加盖CA电子签章）：</w:t>
      </w:r>
    </w:p>
    <w:p w14:paraId="456E1D14">
      <w:pPr>
        <w:pStyle w:val="34"/>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738DBE75">
      <w:pPr>
        <w:pStyle w:val="34"/>
        <w:spacing w:beforeAutospacing="0" w:afterAutospacing="0"/>
        <w:ind w:firstLine="480"/>
        <w:jc w:val="both"/>
        <w:rPr>
          <w:rFonts w:ascii="宋体" w:hAnsi="宋体" w:eastAsia="宋体" w:cs="宋体"/>
          <w:color w:val="auto"/>
          <w:highlight w:val="none"/>
        </w:rPr>
      </w:pPr>
      <w:r>
        <w:rPr>
          <w:rFonts w:hint="eastAsia" w:ascii="宋体" w:hAnsi="宋体" w:eastAsia="宋体" w:cs="宋体"/>
          <w:color w:val="auto"/>
          <w:highlight w:val="none"/>
        </w:rPr>
        <w:t>项目编号：</w:t>
      </w:r>
      <w:r>
        <w:rPr>
          <w:rFonts w:hint="eastAsia" w:ascii="宋体" w:hAnsi="宋体" w:eastAsia="宋体" w:cs="宋体"/>
          <w:color w:val="auto"/>
          <w:highlight w:val="none"/>
          <w:lang w:val="en-US" w:eastAsia="zh-CN"/>
        </w:rPr>
        <w:t>JSZC-320923-JZCG-G2026-0003</w:t>
      </w:r>
    </w:p>
    <w:p w14:paraId="72B8C9E7">
      <w:pPr>
        <w:pStyle w:val="34"/>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38"/>
        <w:tblW w:w="8206" w:type="dxa"/>
        <w:jc w:val="center"/>
        <w:tblCellSpacing w:w="0" w:type="dxa"/>
        <w:tblLayout w:type="fixed"/>
        <w:tblCellMar>
          <w:top w:w="0" w:type="dxa"/>
          <w:left w:w="108" w:type="dxa"/>
          <w:bottom w:w="0" w:type="dxa"/>
          <w:right w:w="108" w:type="dxa"/>
        </w:tblCellMar>
      </w:tblPr>
      <w:tblGrid>
        <w:gridCol w:w="8206"/>
      </w:tblGrid>
      <w:tr w14:paraId="22172789">
        <w:trPr>
          <w:trHeight w:val="725" w:hRule="atLeast"/>
          <w:tblCellSpacing w:w="0" w:type="dxa"/>
          <w:jc w:val="center"/>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6E9244">
            <w:pPr>
              <w:pStyle w:val="34"/>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78CB1DE1">
        <w:tblPrEx>
          <w:tblCellMar>
            <w:top w:w="0" w:type="dxa"/>
            <w:left w:w="108" w:type="dxa"/>
            <w:bottom w:w="0" w:type="dxa"/>
            <w:right w:w="108" w:type="dxa"/>
          </w:tblCellMar>
        </w:tblPrEx>
        <w:trPr>
          <w:trHeight w:val="612" w:hRule="atLeast"/>
          <w:tblCellSpacing w:w="0" w:type="dxa"/>
          <w:jc w:val="center"/>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D55260">
            <w:pPr>
              <w:pStyle w:val="34"/>
              <w:spacing w:beforeAutospacing="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大写：</w:t>
            </w:r>
          </w:p>
        </w:tc>
      </w:tr>
      <w:tr w14:paraId="3E35BC3F">
        <w:tblPrEx>
          <w:tblCellMar>
            <w:top w:w="0" w:type="dxa"/>
            <w:left w:w="108" w:type="dxa"/>
            <w:bottom w:w="0" w:type="dxa"/>
            <w:right w:w="108" w:type="dxa"/>
          </w:tblCellMar>
        </w:tblPrEx>
        <w:trPr>
          <w:trHeight w:val="612" w:hRule="atLeast"/>
          <w:tblCellSpacing w:w="0" w:type="dxa"/>
          <w:jc w:val="center"/>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F92E05">
            <w:pPr>
              <w:pStyle w:val="34"/>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089FAE63">
      <w:pPr>
        <w:pStyle w:val="34"/>
        <w:spacing w:beforeAutospacing="0" w:afterAutospacing="0"/>
        <w:jc w:val="both"/>
        <w:rPr>
          <w:color w:val="auto"/>
          <w:highlight w:val="none"/>
        </w:rPr>
      </w:pPr>
      <w:r>
        <w:rPr>
          <w:color w:val="auto"/>
          <w:highlight w:val="none"/>
        </w:rPr>
        <w:t> </w:t>
      </w:r>
    </w:p>
    <w:p w14:paraId="5F1D7FAE">
      <w:pPr>
        <w:pStyle w:val="34"/>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7D739C0B">
      <w:pPr>
        <w:pStyle w:val="34"/>
        <w:spacing w:beforeAutospacing="0" w:afterAutospacing="0"/>
        <w:ind w:firstLine="480"/>
        <w:jc w:val="both"/>
        <w:rPr>
          <w:color w:val="auto"/>
          <w:highlight w:val="none"/>
        </w:rPr>
      </w:pPr>
      <w:r>
        <w:rPr>
          <w:color w:val="auto"/>
          <w:highlight w:val="none"/>
        </w:rPr>
        <w:t> </w:t>
      </w:r>
    </w:p>
    <w:p w14:paraId="3BBD0934">
      <w:pPr>
        <w:widowControl/>
        <w:spacing w:before="50" w:after="50"/>
        <w:jc w:val="center"/>
        <w:rPr>
          <w:color w:val="auto"/>
          <w:highlight w:val="none"/>
        </w:rPr>
      </w:pPr>
      <w:r>
        <w:rPr>
          <w:color w:val="auto"/>
          <w:highlight w:val="none"/>
        </w:rPr>
        <w:tab/>
      </w:r>
    </w:p>
    <w:p w14:paraId="0F41A3B2">
      <w:pPr>
        <w:widowControl/>
        <w:spacing w:before="50" w:after="50"/>
        <w:jc w:val="center"/>
        <w:rPr>
          <w:color w:val="auto"/>
          <w:highlight w:val="none"/>
        </w:rPr>
      </w:pPr>
    </w:p>
    <w:p w14:paraId="535DAE52">
      <w:pPr>
        <w:widowControl/>
        <w:spacing w:before="50" w:after="50"/>
        <w:jc w:val="center"/>
        <w:rPr>
          <w:color w:val="auto"/>
          <w:highlight w:val="none"/>
        </w:rPr>
      </w:pPr>
    </w:p>
    <w:p w14:paraId="35E5AD59">
      <w:pPr>
        <w:widowControl/>
        <w:spacing w:before="50" w:after="50"/>
        <w:jc w:val="center"/>
        <w:rPr>
          <w:color w:val="auto"/>
          <w:highlight w:val="none"/>
        </w:rPr>
      </w:pPr>
    </w:p>
    <w:p w14:paraId="37994B4C">
      <w:pPr>
        <w:widowControl/>
        <w:spacing w:before="50" w:after="50"/>
        <w:jc w:val="center"/>
        <w:rPr>
          <w:color w:val="auto"/>
          <w:highlight w:val="none"/>
        </w:rPr>
      </w:pPr>
    </w:p>
    <w:p w14:paraId="19BF60E5">
      <w:pPr>
        <w:widowControl/>
        <w:spacing w:before="50" w:after="50"/>
        <w:jc w:val="center"/>
        <w:rPr>
          <w:color w:val="auto"/>
          <w:highlight w:val="none"/>
        </w:rPr>
      </w:pPr>
    </w:p>
    <w:p w14:paraId="739DB6B0">
      <w:pPr>
        <w:widowControl/>
        <w:spacing w:before="50" w:after="50"/>
        <w:jc w:val="center"/>
        <w:rPr>
          <w:color w:val="auto"/>
          <w:highlight w:val="none"/>
        </w:rPr>
      </w:pPr>
    </w:p>
    <w:p w14:paraId="119D6A8C">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p>
    <w:p w14:paraId="2DBCBFE1">
      <w:pPr>
        <w:pStyle w:val="34"/>
        <w:spacing w:beforeAutospacing="0" w:afterAutospacing="0"/>
        <w:jc w:val="center"/>
        <w:rPr>
          <w:rFonts w:hint="eastAsia" w:ascii="黑体" w:hAnsi="宋体" w:eastAsia="黑体" w:cs="黑体"/>
          <w:b/>
          <w:color w:val="auto"/>
          <w:sz w:val="32"/>
          <w:szCs w:val="32"/>
          <w:highlight w:val="none"/>
        </w:rPr>
      </w:pPr>
    </w:p>
    <w:p w14:paraId="3BEF750D">
      <w:pPr>
        <w:pStyle w:val="34"/>
        <w:spacing w:beforeAutospacing="0" w:afterAutospacing="0"/>
        <w:jc w:val="center"/>
        <w:rPr>
          <w:rFonts w:hint="eastAsia" w:ascii="黑体" w:hAnsi="宋体" w:eastAsia="黑体" w:cs="黑体"/>
          <w:b/>
          <w:color w:val="auto"/>
          <w:sz w:val="32"/>
          <w:szCs w:val="32"/>
          <w:highlight w:val="none"/>
        </w:rPr>
      </w:pPr>
    </w:p>
    <w:p w14:paraId="59A4433C">
      <w:pPr>
        <w:pStyle w:val="34"/>
        <w:spacing w:beforeAutospacing="0" w:afterAutospacing="0"/>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十六、技术</w:t>
      </w:r>
      <w:r>
        <w:rPr>
          <w:rFonts w:hint="eastAsia" w:ascii="黑体" w:hAnsi="宋体" w:eastAsia="黑体" w:cs="黑体"/>
          <w:b/>
          <w:color w:val="auto"/>
          <w:sz w:val="32"/>
          <w:szCs w:val="32"/>
          <w:highlight w:val="none"/>
          <w:lang w:eastAsia="zh-CN"/>
        </w:rPr>
        <w:t>服务</w:t>
      </w:r>
      <w:r>
        <w:rPr>
          <w:rFonts w:hint="eastAsia" w:ascii="黑体" w:hAnsi="宋体" w:eastAsia="黑体" w:cs="黑体"/>
          <w:b/>
          <w:color w:val="auto"/>
          <w:sz w:val="32"/>
          <w:szCs w:val="32"/>
          <w:highlight w:val="none"/>
        </w:rPr>
        <w:t>方案</w:t>
      </w:r>
    </w:p>
    <w:p w14:paraId="22A6999D">
      <w:pPr>
        <w:pStyle w:val="34"/>
        <w:tabs>
          <w:tab w:val="left" w:pos="2160"/>
        </w:tabs>
        <w:spacing w:beforeAutospacing="0" w:afterAutospacing="0"/>
        <w:jc w:val="both"/>
        <w:rPr>
          <w:color w:val="auto"/>
          <w:highlight w:val="none"/>
        </w:rPr>
      </w:pPr>
    </w:p>
    <w:p w14:paraId="48AF88C7">
      <w:pPr>
        <w:widowControl/>
        <w:spacing w:line="499" w:lineRule="atLeast"/>
        <w:ind w:firstLine="1600"/>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根据项目需求结合评标办法自行编制。</w:t>
      </w:r>
    </w:p>
    <w:p w14:paraId="585F33A6">
      <w:pPr>
        <w:widowControl/>
        <w:spacing w:line="499" w:lineRule="atLeast"/>
        <w:ind w:firstLine="1600"/>
        <w:rPr>
          <w:rFonts w:ascii="宋体" w:hAnsi="宋体" w:eastAsia="宋体" w:cs="宋体"/>
          <w:color w:val="auto"/>
          <w:sz w:val="32"/>
          <w:szCs w:val="32"/>
          <w:highlight w:val="none"/>
        </w:rPr>
      </w:pPr>
    </w:p>
    <w:p w14:paraId="480442F3">
      <w:pPr>
        <w:widowControl/>
        <w:spacing w:line="499" w:lineRule="atLeast"/>
        <w:ind w:firstLine="1600"/>
        <w:rPr>
          <w:rFonts w:ascii="宋体" w:hAnsi="宋体" w:eastAsia="宋体" w:cs="宋体"/>
          <w:color w:val="auto"/>
          <w:sz w:val="32"/>
          <w:szCs w:val="32"/>
          <w:highlight w:val="none"/>
        </w:rPr>
      </w:pPr>
    </w:p>
    <w:p w14:paraId="4B3C9A59">
      <w:pPr>
        <w:widowControl/>
        <w:spacing w:line="499" w:lineRule="atLeast"/>
        <w:ind w:firstLine="1600"/>
        <w:rPr>
          <w:rFonts w:ascii="宋体" w:hAnsi="宋体" w:eastAsia="宋体" w:cs="宋体"/>
          <w:color w:val="auto"/>
          <w:sz w:val="32"/>
          <w:szCs w:val="32"/>
          <w:highlight w:val="none"/>
        </w:rPr>
      </w:pPr>
    </w:p>
    <w:p w14:paraId="6D2AF970">
      <w:pPr>
        <w:widowControl/>
        <w:spacing w:line="499" w:lineRule="atLeast"/>
        <w:ind w:firstLine="1600"/>
        <w:rPr>
          <w:rFonts w:ascii="宋体" w:hAnsi="宋体" w:eastAsia="宋体" w:cs="宋体"/>
          <w:color w:val="auto"/>
          <w:sz w:val="32"/>
          <w:szCs w:val="32"/>
          <w:highlight w:val="none"/>
        </w:rPr>
      </w:pPr>
    </w:p>
    <w:p w14:paraId="0F41F0C1">
      <w:pPr>
        <w:widowControl/>
        <w:spacing w:line="499" w:lineRule="atLeast"/>
        <w:ind w:firstLine="1600"/>
        <w:rPr>
          <w:rFonts w:ascii="宋体" w:hAnsi="宋体" w:eastAsia="宋体" w:cs="宋体"/>
          <w:color w:val="auto"/>
          <w:sz w:val="32"/>
          <w:szCs w:val="32"/>
          <w:highlight w:val="none"/>
        </w:rPr>
      </w:pPr>
    </w:p>
    <w:p w14:paraId="254B6EED">
      <w:pPr>
        <w:widowControl/>
        <w:spacing w:line="499" w:lineRule="atLeast"/>
        <w:ind w:firstLine="1600"/>
        <w:rPr>
          <w:rFonts w:ascii="宋体" w:hAnsi="宋体" w:eastAsia="宋体" w:cs="宋体"/>
          <w:color w:val="auto"/>
          <w:sz w:val="32"/>
          <w:szCs w:val="32"/>
          <w:highlight w:val="none"/>
        </w:rPr>
      </w:pPr>
    </w:p>
    <w:p w14:paraId="67D17203">
      <w:pPr>
        <w:widowControl/>
        <w:spacing w:line="499" w:lineRule="atLeast"/>
        <w:ind w:firstLine="1600"/>
        <w:rPr>
          <w:rFonts w:ascii="宋体" w:hAnsi="宋体" w:eastAsia="宋体" w:cs="宋体"/>
          <w:color w:val="auto"/>
          <w:sz w:val="32"/>
          <w:szCs w:val="32"/>
          <w:highlight w:val="none"/>
        </w:rPr>
      </w:pPr>
    </w:p>
    <w:p w14:paraId="526FE762">
      <w:pPr>
        <w:widowControl/>
        <w:spacing w:line="499" w:lineRule="atLeast"/>
        <w:ind w:firstLine="1600"/>
        <w:rPr>
          <w:rFonts w:ascii="宋体" w:hAnsi="宋体" w:eastAsia="宋体" w:cs="宋体"/>
          <w:color w:val="auto"/>
          <w:sz w:val="32"/>
          <w:szCs w:val="32"/>
          <w:highlight w:val="none"/>
        </w:rPr>
      </w:pPr>
    </w:p>
    <w:p w14:paraId="03AC0B32">
      <w:pPr>
        <w:widowControl/>
        <w:spacing w:line="499" w:lineRule="atLeast"/>
        <w:ind w:firstLine="1600"/>
        <w:rPr>
          <w:rFonts w:ascii="宋体" w:hAnsi="宋体" w:eastAsia="宋体" w:cs="宋体"/>
          <w:color w:val="auto"/>
          <w:sz w:val="32"/>
          <w:szCs w:val="32"/>
          <w:highlight w:val="none"/>
        </w:rPr>
      </w:pPr>
    </w:p>
    <w:p w14:paraId="61F1C677">
      <w:pPr>
        <w:widowControl/>
        <w:spacing w:line="499" w:lineRule="atLeast"/>
        <w:ind w:firstLine="1600"/>
        <w:rPr>
          <w:rFonts w:ascii="宋体" w:hAnsi="宋体" w:eastAsia="宋体" w:cs="宋体"/>
          <w:color w:val="auto"/>
          <w:sz w:val="32"/>
          <w:szCs w:val="32"/>
          <w:highlight w:val="none"/>
        </w:rPr>
      </w:pPr>
    </w:p>
    <w:p w14:paraId="241F35D0">
      <w:pPr>
        <w:widowControl/>
        <w:spacing w:line="499" w:lineRule="atLeast"/>
        <w:ind w:firstLine="1600"/>
        <w:rPr>
          <w:rFonts w:ascii="宋体" w:hAnsi="宋体" w:eastAsia="宋体" w:cs="宋体"/>
          <w:color w:val="auto"/>
          <w:sz w:val="32"/>
          <w:szCs w:val="32"/>
          <w:highlight w:val="none"/>
        </w:rPr>
      </w:pPr>
    </w:p>
    <w:p w14:paraId="0B58AFCD">
      <w:pPr>
        <w:widowControl/>
        <w:spacing w:line="499" w:lineRule="atLeast"/>
        <w:ind w:firstLine="1600"/>
        <w:rPr>
          <w:rFonts w:ascii="宋体" w:hAnsi="宋体" w:eastAsia="宋体" w:cs="宋体"/>
          <w:color w:val="auto"/>
          <w:sz w:val="32"/>
          <w:szCs w:val="32"/>
          <w:highlight w:val="none"/>
        </w:rPr>
      </w:pPr>
    </w:p>
    <w:p w14:paraId="5E6B7F4B">
      <w:pPr>
        <w:widowControl/>
        <w:spacing w:line="499" w:lineRule="atLeast"/>
        <w:ind w:firstLine="1600"/>
        <w:rPr>
          <w:rFonts w:ascii="宋体" w:hAnsi="宋体" w:eastAsia="宋体" w:cs="宋体"/>
          <w:color w:val="auto"/>
          <w:sz w:val="32"/>
          <w:szCs w:val="32"/>
          <w:highlight w:val="none"/>
        </w:rPr>
      </w:pPr>
    </w:p>
    <w:p w14:paraId="4ECBD2C3">
      <w:pPr>
        <w:rPr>
          <w:rFonts w:ascii="宋体" w:hAnsi="宋体" w:eastAsia="宋体" w:cs="宋体"/>
          <w:color w:val="auto"/>
          <w:sz w:val="32"/>
          <w:szCs w:val="32"/>
          <w:highlight w:val="none"/>
        </w:rPr>
      </w:pPr>
      <w:r>
        <w:rPr>
          <w:rFonts w:ascii="宋体" w:hAnsi="宋体" w:eastAsia="宋体" w:cs="宋体"/>
          <w:color w:val="auto"/>
          <w:sz w:val="32"/>
          <w:szCs w:val="32"/>
          <w:highlight w:val="none"/>
        </w:rPr>
        <w:br w:type="page" w:clear="all"/>
      </w:r>
    </w:p>
    <w:p w14:paraId="7FE9ABAB">
      <w:pPr>
        <w:pStyle w:val="34"/>
        <w:spacing w:beforeAutospacing="0" w:afterAutospacing="0"/>
        <w:jc w:val="center"/>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t>十七、主要岗位管理人员配置</w:t>
      </w:r>
    </w:p>
    <w:p w14:paraId="73F6B22C">
      <w:pPr>
        <w:pStyle w:val="208"/>
        <w:widowControl w:val="0"/>
        <w:numPr>
          <w:ilvl w:val="0"/>
          <w:numId w:val="0"/>
        </w:numPr>
        <w:spacing w:after="120"/>
        <w:jc w:val="both"/>
        <w:rPr>
          <w:rFonts w:hint="default"/>
          <w:color w:val="auto"/>
          <w:highlight w:val="none"/>
          <w:lang w:val="en-US" w:eastAsia="zh-CN"/>
        </w:rPr>
      </w:pP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142"/>
        <w:gridCol w:w="690"/>
        <w:gridCol w:w="662"/>
        <w:gridCol w:w="763"/>
        <w:gridCol w:w="1123"/>
        <w:gridCol w:w="1130"/>
        <w:gridCol w:w="1576"/>
        <w:gridCol w:w="892"/>
      </w:tblGrid>
      <w:tr w14:paraId="3D225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544" w:type="dxa"/>
            <w:noWrap w:val="0"/>
            <w:vAlign w:val="center"/>
          </w:tcPr>
          <w:p w14:paraId="1F80C70E">
            <w:pPr>
              <w:jc w:val="center"/>
              <w:rPr>
                <w:b/>
                <w:color w:val="auto"/>
                <w:sz w:val="24"/>
                <w:highlight w:val="none"/>
              </w:rPr>
            </w:pPr>
            <w:r>
              <w:rPr>
                <w:rFonts w:hint="eastAsia"/>
                <w:b/>
                <w:color w:val="auto"/>
                <w:sz w:val="24"/>
                <w:highlight w:val="none"/>
              </w:rPr>
              <w:t>序号</w:t>
            </w:r>
          </w:p>
        </w:tc>
        <w:tc>
          <w:tcPr>
            <w:tcW w:w="1142" w:type="dxa"/>
            <w:noWrap w:val="0"/>
            <w:vAlign w:val="center"/>
          </w:tcPr>
          <w:p w14:paraId="5F37D930">
            <w:pPr>
              <w:jc w:val="center"/>
              <w:rPr>
                <w:b/>
                <w:color w:val="auto"/>
                <w:sz w:val="24"/>
                <w:highlight w:val="none"/>
              </w:rPr>
            </w:pPr>
            <w:r>
              <w:rPr>
                <w:rFonts w:hint="eastAsia"/>
                <w:b/>
                <w:color w:val="auto"/>
                <w:sz w:val="24"/>
                <w:highlight w:val="none"/>
              </w:rPr>
              <w:t>姓名</w:t>
            </w:r>
          </w:p>
        </w:tc>
        <w:tc>
          <w:tcPr>
            <w:tcW w:w="690" w:type="dxa"/>
            <w:noWrap w:val="0"/>
            <w:vAlign w:val="center"/>
          </w:tcPr>
          <w:p w14:paraId="0954193C">
            <w:pPr>
              <w:jc w:val="center"/>
              <w:rPr>
                <w:rFonts w:hint="eastAsia"/>
                <w:b/>
                <w:color w:val="auto"/>
                <w:sz w:val="24"/>
                <w:highlight w:val="none"/>
              </w:rPr>
            </w:pPr>
            <w:r>
              <w:rPr>
                <w:rFonts w:hint="eastAsia"/>
                <w:b/>
                <w:color w:val="auto"/>
                <w:sz w:val="24"/>
                <w:highlight w:val="none"/>
              </w:rPr>
              <w:t>性别</w:t>
            </w:r>
          </w:p>
        </w:tc>
        <w:tc>
          <w:tcPr>
            <w:tcW w:w="662" w:type="dxa"/>
            <w:noWrap w:val="0"/>
            <w:vAlign w:val="center"/>
          </w:tcPr>
          <w:p w14:paraId="1DACA9CD">
            <w:pPr>
              <w:jc w:val="center"/>
              <w:rPr>
                <w:b/>
                <w:color w:val="auto"/>
                <w:sz w:val="24"/>
                <w:highlight w:val="none"/>
              </w:rPr>
            </w:pPr>
            <w:r>
              <w:rPr>
                <w:rFonts w:hint="eastAsia"/>
                <w:b/>
                <w:color w:val="auto"/>
                <w:sz w:val="24"/>
                <w:highlight w:val="none"/>
              </w:rPr>
              <w:t>年龄</w:t>
            </w:r>
          </w:p>
        </w:tc>
        <w:tc>
          <w:tcPr>
            <w:tcW w:w="763" w:type="dxa"/>
            <w:noWrap w:val="0"/>
            <w:vAlign w:val="center"/>
          </w:tcPr>
          <w:p w14:paraId="501AC66A">
            <w:pPr>
              <w:jc w:val="center"/>
              <w:rPr>
                <w:rFonts w:hint="eastAsia"/>
                <w:b/>
                <w:color w:val="auto"/>
                <w:sz w:val="24"/>
                <w:highlight w:val="none"/>
              </w:rPr>
            </w:pPr>
            <w:r>
              <w:rPr>
                <w:rFonts w:hint="eastAsia"/>
                <w:b/>
                <w:color w:val="auto"/>
                <w:sz w:val="24"/>
                <w:highlight w:val="none"/>
              </w:rPr>
              <w:t>学历</w:t>
            </w:r>
          </w:p>
        </w:tc>
        <w:tc>
          <w:tcPr>
            <w:tcW w:w="1123" w:type="dxa"/>
            <w:noWrap w:val="0"/>
            <w:vAlign w:val="center"/>
          </w:tcPr>
          <w:p w14:paraId="53D423AE">
            <w:pPr>
              <w:jc w:val="center"/>
              <w:rPr>
                <w:b/>
                <w:color w:val="auto"/>
                <w:sz w:val="24"/>
                <w:highlight w:val="none"/>
              </w:rPr>
            </w:pPr>
            <w:r>
              <w:rPr>
                <w:rFonts w:hint="eastAsia"/>
                <w:b/>
                <w:color w:val="auto"/>
                <w:sz w:val="24"/>
                <w:highlight w:val="none"/>
              </w:rPr>
              <w:t>岗位</w:t>
            </w:r>
          </w:p>
        </w:tc>
        <w:tc>
          <w:tcPr>
            <w:tcW w:w="1130" w:type="dxa"/>
            <w:noWrap w:val="0"/>
            <w:vAlign w:val="center"/>
          </w:tcPr>
          <w:p w14:paraId="41991517">
            <w:pPr>
              <w:jc w:val="center"/>
              <w:rPr>
                <w:rFonts w:hint="eastAsia"/>
                <w:b/>
                <w:color w:val="auto"/>
                <w:sz w:val="24"/>
                <w:highlight w:val="none"/>
              </w:rPr>
            </w:pPr>
            <w:r>
              <w:rPr>
                <w:rFonts w:hint="eastAsia"/>
                <w:b/>
                <w:color w:val="auto"/>
                <w:sz w:val="24"/>
                <w:highlight w:val="none"/>
              </w:rPr>
              <w:t>证书</w:t>
            </w:r>
          </w:p>
          <w:p w14:paraId="0AA3CF34">
            <w:pPr>
              <w:jc w:val="center"/>
              <w:rPr>
                <w:b/>
                <w:color w:val="auto"/>
                <w:sz w:val="24"/>
                <w:highlight w:val="none"/>
              </w:rPr>
            </w:pPr>
            <w:r>
              <w:rPr>
                <w:rFonts w:hint="eastAsia"/>
                <w:b/>
                <w:color w:val="auto"/>
                <w:sz w:val="24"/>
                <w:highlight w:val="none"/>
              </w:rPr>
              <w:t>名称</w:t>
            </w:r>
          </w:p>
        </w:tc>
        <w:tc>
          <w:tcPr>
            <w:tcW w:w="1576" w:type="dxa"/>
            <w:noWrap w:val="0"/>
            <w:vAlign w:val="center"/>
          </w:tcPr>
          <w:p w14:paraId="39AA1BE6">
            <w:pPr>
              <w:jc w:val="center"/>
              <w:rPr>
                <w:rFonts w:hint="eastAsia"/>
                <w:b/>
                <w:color w:val="auto"/>
                <w:sz w:val="24"/>
                <w:highlight w:val="none"/>
              </w:rPr>
            </w:pPr>
            <w:r>
              <w:rPr>
                <w:rFonts w:hint="eastAsia"/>
                <w:b/>
                <w:color w:val="auto"/>
                <w:sz w:val="24"/>
                <w:highlight w:val="none"/>
              </w:rPr>
              <w:t>人员经验</w:t>
            </w:r>
          </w:p>
          <w:p w14:paraId="74C474BE">
            <w:pPr>
              <w:jc w:val="center"/>
              <w:rPr>
                <w:rFonts w:hint="eastAsia"/>
                <w:b/>
                <w:color w:val="auto"/>
                <w:sz w:val="24"/>
                <w:highlight w:val="none"/>
              </w:rPr>
            </w:pPr>
            <w:r>
              <w:rPr>
                <w:rFonts w:hint="eastAsia"/>
                <w:b/>
                <w:color w:val="auto"/>
                <w:sz w:val="24"/>
                <w:highlight w:val="none"/>
              </w:rPr>
              <w:t>描述</w:t>
            </w:r>
          </w:p>
        </w:tc>
        <w:tc>
          <w:tcPr>
            <w:tcW w:w="892" w:type="dxa"/>
            <w:noWrap w:val="0"/>
            <w:vAlign w:val="center"/>
          </w:tcPr>
          <w:p w14:paraId="2D176C85">
            <w:pPr>
              <w:jc w:val="center"/>
              <w:rPr>
                <w:rFonts w:hint="eastAsia"/>
                <w:b/>
                <w:color w:val="auto"/>
                <w:sz w:val="24"/>
                <w:highlight w:val="none"/>
              </w:rPr>
            </w:pPr>
            <w:r>
              <w:rPr>
                <w:rFonts w:hint="eastAsia"/>
                <w:b/>
                <w:color w:val="auto"/>
                <w:sz w:val="24"/>
                <w:highlight w:val="none"/>
              </w:rPr>
              <w:t>备注</w:t>
            </w:r>
          </w:p>
        </w:tc>
      </w:tr>
      <w:tr w14:paraId="71AA2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4" w:type="dxa"/>
            <w:noWrap w:val="0"/>
            <w:vAlign w:val="top"/>
          </w:tcPr>
          <w:p w14:paraId="55A16BD3">
            <w:pPr>
              <w:outlineLvl w:val="0"/>
              <w:rPr>
                <w:rFonts w:ascii="黑体" w:eastAsia="黑体"/>
                <w:bCs/>
                <w:color w:val="auto"/>
                <w:sz w:val="24"/>
                <w:szCs w:val="24"/>
                <w:highlight w:val="none"/>
              </w:rPr>
            </w:pPr>
          </w:p>
        </w:tc>
        <w:tc>
          <w:tcPr>
            <w:tcW w:w="1142" w:type="dxa"/>
            <w:noWrap w:val="0"/>
            <w:vAlign w:val="top"/>
          </w:tcPr>
          <w:p w14:paraId="2719E41D">
            <w:pPr>
              <w:outlineLvl w:val="0"/>
              <w:rPr>
                <w:rFonts w:ascii="黑体" w:eastAsia="黑体"/>
                <w:bCs/>
                <w:color w:val="auto"/>
                <w:sz w:val="24"/>
                <w:szCs w:val="24"/>
                <w:highlight w:val="none"/>
              </w:rPr>
            </w:pPr>
          </w:p>
        </w:tc>
        <w:tc>
          <w:tcPr>
            <w:tcW w:w="690" w:type="dxa"/>
            <w:noWrap w:val="0"/>
            <w:vAlign w:val="center"/>
          </w:tcPr>
          <w:p w14:paraId="709F4D53">
            <w:pPr>
              <w:jc w:val="center"/>
              <w:outlineLvl w:val="0"/>
              <w:rPr>
                <w:rFonts w:ascii="黑体" w:eastAsia="黑体"/>
                <w:bCs/>
                <w:color w:val="auto"/>
                <w:sz w:val="24"/>
                <w:szCs w:val="24"/>
                <w:highlight w:val="none"/>
              </w:rPr>
            </w:pPr>
          </w:p>
        </w:tc>
        <w:tc>
          <w:tcPr>
            <w:tcW w:w="662" w:type="dxa"/>
            <w:noWrap w:val="0"/>
            <w:vAlign w:val="center"/>
          </w:tcPr>
          <w:p w14:paraId="02514593">
            <w:pPr>
              <w:jc w:val="center"/>
              <w:outlineLvl w:val="0"/>
              <w:rPr>
                <w:rFonts w:ascii="黑体" w:eastAsia="黑体"/>
                <w:bCs/>
                <w:color w:val="auto"/>
                <w:sz w:val="24"/>
                <w:szCs w:val="24"/>
                <w:highlight w:val="none"/>
              </w:rPr>
            </w:pPr>
          </w:p>
        </w:tc>
        <w:tc>
          <w:tcPr>
            <w:tcW w:w="763" w:type="dxa"/>
            <w:noWrap w:val="0"/>
            <w:vAlign w:val="center"/>
          </w:tcPr>
          <w:p w14:paraId="75CA20A7">
            <w:pPr>
              <w:jc w:val="center"/>
              <w:outlineLvl w:val="0"/>
              <w:rPr>
                <w:rFonts w:hint="eastAsia" w:ascii="黑体" w:eastAsia="黑体"/>
                <w:bCs/>
                <w:color w:val="auto"/>
                <w:sz w:val="24"/>
                <w:szCs w:val="24"/>
                <w:highlight w:val="none"/>
              </w:rPr>
            </w:pPr>
          </w:p>
        </w:tc>
        <w:tc>
          <w:tcPr>
            <w:tcW w:w="1123" w:type="dxa"/>
            <w:noWrap w:val="0"/>
            <w:vAlign w:val="center"/>
          </w:tcPr>
          <w:p w14:paraId="3C06F33C">
            <w:pPr>
              <w:jc w:val="center"/>
              <w:outlineLvl w:val="0"/>
              <w:rPr>
                <w:rFonts w:ascii="黑体" w:eastAsia="黑体"/>
                <w:bCs/>
                <w:color w:val="auto"/>
                <w:sz w:val="24"/>
                <w:szCs w:val="24"/>
                <w:highlight w:val="none"/>
              </w:rPr>
            </w:pPr>
          </w:p>
        </w:tc>
        <w:tc>
          <w:tcPr>
            <w:tcW w:w="1130" w:type="dxa"/>
            <w:noWrap w:val="0"/>
            <w:vAlign w:val="center"/>
          </w:tcPr>
          <w:p w14:paraId="141710A5">
            <w:pPr>
              <w:jc w:val="center"/>
              <w:outlineLvl w:val="0"/>
              <w:rPr>
                <w:rFonts w:ascii="黑体" w:eastAsia="黑体"/>
                <w:bCs/>
                <w:color w:val="auto"/>
                <w:sz w:val="24"/>
                <w:szCs w:val="24"/>
                <w:highlight w:val="none"/>
              </w:rPr>
            </w:pPr>
          </w:p>
        </w:tc>
        <w:tc>
          <w:tcPr>
            <w:tcW w:w="1576" w:type="dxa"/>
            <w:noWrap w:val="0"/>
            <w:vAlign w:val="center"/>
          </w:tcPr>
          <w:p w14:paraId="3C10F2F3">
            <w:pPr>
              <w:jc w:val="center"/>
              <w:outlineLvl w:val="0"/>
              <w:rPr>
                <w:rFonts w:ascii="黑体" w:eastAsia="黑体"/>
                <w:bCs/>
                <w:color w:val="auto"/>
                <w:sz w:val="24"/>
                <w:szCs w:val="24"/>
                <w:highlight w:val="none"/>
              </w:rPr>
            </w:pPr>
          </w:p>
        </w:tc>
        <w:tc>
          <w:tcPr>
            <w:tcW w:w="892" w:type="dxa"/>
            <w:noWrap w:val="0"/>
            <w:vAlign w:val="center"/>
          </w:tcPr>
          <w:p w14:paraId="5A4FAE0A">
            <w:pPr>
              <w:jc w:val="center"/>
              <w:outlineLvl w:val="0"/>
              <w:rPr>
                <w:rFonts w:ascii="黑体" w:eastAsia="黑体"/>
                <w:bCs/>
                <w:color w:val="auto"/>
                <w:sz w:val="24"/>
                <w:szCs w:val="24"/>
                <w:highlight w:val="none"/>
              </w:rPr>
            </w:pPr>
          </w:p>
        </w:tc>
      </w:tr>
      <w:tr w14:paraId="02F98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4" w:type="dxa"/>
            <w:noWrap w:val="0"/>
            <w:vAlign w:val="top"/>
          </w:tcPr>
          <w:p w14:paraId="3DD13D0A">
            <w:pPr>
              <w:outlineLvl w:val="0"/>
              <w:rPr>
                <w:rFonts w:ascii="黑体" w:eastAsia="黑体"/>
                <w:bCs/>
                <w:color w:val="auto"/>
                <w:sz w:val="24"/>
                <w:szCs w:val="24"/>
                <w:highlight w:val="none"/>
              </w:rPr>
            </w:pPr>
          </w:p>
        </w:tc>
        <w:tc>
          <w:tcPr>
            <w:tcW w:w="1142" w:type="dxa"/>
            <w:noWrap w:val="0"/>
            <w:vAlign w:val="top"/>
          </w:tcPr>
          <w:p w14:paraId="08E447A3">
            <w:pPr>
              <w:outlineLvl w:val="0"/>
              <w:rPr>
                <w:rFonts w:ascii="黑体" w:eastAsia="黑体"/>
                <w:bCs/>
                <w:color w:val="auto"/>
                <w:sz w:val="24"/>
                <w:szCs w:val="24"/>
                <w:highlight w:val="none"/>
              </w:rPr>
            </w:pPr>
          </w:p>
        </w:tc>
        <w:tc>
          <w:tcPr>
            <w:tcW w:w="690" w:type="dxa"/>
            <w:noWrap w:val="0"/>
            <w:vAlign w:val="center"/>
          </w:tcPr>
          <w:p w14:paraId="646F1C1F">
            <w:pPr>
              <w:jc w:val="center"/>
              <w:outlineLvl w:val="0"/>
              <w:rPr>
                <w:rFonts w:ascii="黑体" w:eastAsia="黑体"/>
                <w:bCs/>
                <w:color w:val="auto"/>
                <w:sz w:val="24"/>
                <w:szCs w:val="24"/>
                <w:highlight w:val="none"/>
              </w:rPr>
            </w:pPr>
          </w:p>
        </w:tc>
        <w:tc>
          <w:tcPr>
            <w:tcW w:w="662" w:type="dxa"/>
            <w:noWrap w:val="0"/>
            <w:vAlign w:val="center"/>
          </w:tcPr>
          <w:p w14:paraId="7533640A">
            <w:pPr>
              <w:jc w:val="center"/>
              <w:outlineLvl w:val="0"/>
              <w:rPr>
                <w:rFonts w:ascii="黑体" w:eastAsia="黑体"/>
                <w:bCs/>
                <w:color w:val="auto"/>
                <w:sz w:val="24"/>
                <w:szCs w:val="24"/>
                <w:highlight w:val="none"/>
              </w:rPr>
            </w:pPr>
          </w:p>
        </w:tc>
        <w:tc>
          <w:tcPr>
            <w:tcW w:w="763" w:type="dxa"/>
            <w:noWrap w:val="0"/>
            <w:vAlign w:val="center"/>
          </w:tcPr>
          <w:p w14:paraId="1AF119B6">
            <w:pPr>
              <w:jc w:val="center"/>
              <w:outlineLvl w:val="0"/>
              <w:rPr>
                <w:rFonts w:hint="eastAsia" w:ascii="黑体" w:eastAsia="黑体"/>
                <w:bCs/>
                <w:color w:val="auto"/>
                <w:sz w:val="24"/>
                <w:szCs w:val="24"/>
                <w:highlight w:val="none"/>
              </w:rPr>
            </w:pPr>
          </w:p>
        </w:tc>
        <w:tc>
          <w:tcPr>
            <w:tcW w:w="1123" w:type="dxa"/>
            <w:noWrap w:val="0"/>
            <w:vAlign w:val="center"/>
          </w:tcPr>
          <w:p w14:paraId="0C65E72B">
            <w:pPr>
              <w:jc w:val="center"/>
              <w:outlineLvl w:val="0"/>
              <w:rPr>
                <w:rFonts w:ascii="黑体" w:eastAsia="黑体"/>
                <w:bCs/>
                <w:color w:val="auto"/>
                <w:sz w:val="24"/>
                <w:szCs w:val="24"/>
                <w:highlight w:val="none"/>
              </w:rPr>
            </w:pPr>
          </w:p>
        </w:tc>
        <w:tc>
          <w:tcPr>
            <w:tcW w:w="1130" w:type="dxa"/>
            <w:noWrap w:val="0"/>
            <w:vAlign w:val="center"/>
          </w:tcPr>
          <w:p w14:paraId="2AB65273">
            <w:pPr>
              <w:jc w:val="center"/>
              <w:outlineLvl w:val="0"/>
              <w:rPr>
                <w:rFonts w:ascii="黑体" w:eastAsia="黑体"/>
                <w:bCs/>
                <w:color w:val="auto"/>
                <w:sz w:val="24"/>
                <w:szCs w:val="24"/>
                <w:highlight w:val="none"/>
              </w:rPr>
            </w:pPr>
          </w:p>
        </w:tc>
        <w:tc>
          <w:tcPr>
            <w:tcW w:w="1576" w:type="dxa"/>
            <w:noWrap w:val="0"/>
            <w:vAlign w:val="center"/>
          </w:tcPr>
          <w:p w14:paraId="21B48DBD">
            <w:pPr>
              <w:jc w:val="center"/>
              <w:outlineLvl w:val="0"/>
              <w:rPr>
                <w:rFonts w:ascii="黑体" w:eastAsia="黑体"/>
                <w:bCs/>
                <w:color w:val="auto"/>
                <w:sz w:val="24"/>
                <w:szCs w:val="24"/>
                <w:highlight w:val="none"/>
              </w:rPr>
            </w:pPr>
          </w:p>
        </w:tc>
        <w:tc>
          <w:tcPr>
            <w:tcW w:w="892" w:type="dxa"/>
            <w:noWrap w:val="0"/>
            <w:vAlign w:val="center"/>
          </w:tcPr>
          <w:p w14:paraId="344EEF98">
            <w:pPr>
              <w:jc w:val="center"/>
              <w:outlineLvl w:val="0"/>
              <w:rPr>
                <w:rFonts w:ascii="黑体" w:eastAsia="黑体"/>
                <w:bCs/>
                <w:color w:val="auto"/>
                <w:sz w:val="24"/>
                <w:szCs w:val="24"/>
                <w:highlight w:val="none"/>
              </w:rPr>
            </w:pPr>
          </w:p>
        </w:tc>
      </w:tr>
      <w:tr w14:paraId="64D03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4" w:type="dxa"/>
            <w:noWrap w:val="0"/>
            <w:vAlign w:val="top"/>
          </w:tcPr>
          <w:p w14:paraId="53063E24">
            <w:pPr>
              <w:outlineLvl w:val="0"/>
              <w:rPr>
                <w:rFonts w:ascii="黑体" w:eastAsia="黑体"/>
                <w:bCs/>
                <w:color w:val="auto"/>
                <w:sz w:val="24"/>
                <w:szCs w:val="24"/>
                <w:highlight w:val="none"/>
              </w:rPr>
            </w:pPr>
          </w:p>
        </w:tc>
        <w:tc>
          <w:tcPr>
            <w:tcW w:w="1142" w:type="dxa"/>
            <w:noWrap w:val="0"/>
            <w:vAlign w:val="top"/>
          </w:tcPr>
          <w:p w14:paraId="612C1899">
            <w:pPr>
              <w:outlineLvl w:val="0"/>
              <w:rPr>
                <w:rFonts w:ascii="黑体" w:eastAsia="黑体"/>
                <w:bCs/>
                <w:color w:val="auto"/>
                <w:sz w:val="24"/>
                <w:szCs w:val="24"/>
                <w:highlight w:val="none"/>
              </w:rPr>
            </w:pPr>
          </w:p>
        </w:tc>
        <w:tc>
          <w:tcPr>
            <w:tcW w:w="690" w:type="dxa"/>
            <w:noWrap w:val="0"/>
            <w:vAlign w:val="center"/>
          </w:tcPr>
          <w:p w14:paraId="6CD7717B">
            <w:pPr>
              <w:jc w:val="center"/>
              <w:outlineLvl w:val="0"/>
              <w:rPr>
                <w:rFonts w:ascii="黑体" w:eastAsia="黑体"/>
                <w:bCs/>
                <w:color w:val="auto"/>
                <w:sz w:val="24"/>
                <w:szCs w:val="24"/>
                <w:highlight w:val="none"/>
              </w:rPr>
            </w:pPr>
          </w:p>
        </w:tc>
        <w:tc>
          <w:tcPr>
            <w:tcW w:w="662" w:type="dxa"/>
            <w:noWrap w:val="0"/>
            <w:vAlign w:val="center"/>
          </w:tcPr>
          <w:p w14:paraId="4A4C7834">
            <w:pPr>
              <w:jc w:val="center"/>
              <w:outlineLvl w:val="0"/>
              <w:rPr>
                <w:rFonts w:ascii="黑体" w:eastAsia="黑体"/>
                <w:bCs/>
                <w:color w:val="auto"/>
                <w:sz w:val="24"/>
                <w:szCs w:val="24"/>
                <w:highlight w:val="none"/>
              </w:rPr>
            </w:pPr>
          </w:p>
        </w:tc>
        <w:tc>
          <w:tcPr>
            <w:tcW w:w="763" w:type="dxa"/>
            <w:noWrap w:val="0"/>
            <w:vAlign w:val="center"/>
          </w:tcPr>
          <w:p w14:paraId="698A0E00">
            <w:pPr>
              <w:jc w:val="center"/>
              <w:outlineLvl w:val="0"/>
              <w:rPr>
                <w:rFonts w:hint="eastAsia" w:ascii="黑体" w:eastAsia="黑体"/>
                <w:bCs/>
                <w:color w:val="auto"/>
                <w:sz w:val="24"/>
                <w:szCs w:val="24"/>
                <w:highlight w:val="none"/>
              </w:rPr>
            </w:pPr>
          </w:p>
        </w:tc>
        <w:tc>
          <w:tcPr>
            <w:tcW w:w="1123" w:type="dxa"/>
            <w:noWrap w:val="0"/>
            <w:vAlign w:val="center"/>
          </w:tcPr>
          <w:p w14:paraId="5253FBA3">
            <w:pPr>
              <w:jc w:val="center"/>
              <w:outlineLvl w:val="0"/>
              <w:rPr>
                <w:rFonts w:ascii="黑体" w:eastAsia="黑体"/>
                <w:bCs/>
                <w:color w:val="auto"/>
                <w:sz w:val="24"/>
                <w:szCs w:val="24"/>
                <w:highlight w:val="none"/>
              </w:rPr>
            </w:pPr>
          </w:p>
        </w:tc>
        <w:tc>
          <w:tcPr>
            <w:tcW w:w="1130" w:type="dxa"/>
            <w:noWrap w:val="0"/>
            <w:vAlign w:val="center"/>
          </w:tcPr>
          <w:p w14:paraId="2CDCE017">
            <w:pPr>
              <w:jc w:val="center"/>
              <w:outlineLvl w:val="0"/>
              <w:rPr>
                <w:rFonts w:ascii="黑体" w:eastAsia="黑体"/>
                <w:bCs/>
                <w:color w:val="auto"/>
                <w:sz w:val="24"/>
                <w:szCs w:val="24"/>
                <w:highlight w:val="none"/>
              </w:rPr>
            </w:pPr>
          </w:p>
        </w:tc>
        <w:tc>
          <w:tcPr>
            <w:tcW w:w="1576" w:type="dxa"/>
            <w:noWrap w:val="0"/>
            <w:vAlign w:val="center"/>
          </w:tcPr>
          <w:p w14:paraId="25696CC2">
            <w:pPr>
              <w:jc w:val="center"/>
              <w:outlineLvl w:val="0"/>
              <w:rPr>
                <w:rFonts w:ascii="黑体" w:eastAsia="黑体"/>
                <w:bCs/>
                <w:color w:val="auto"/>
                <w:sz w:val="24"/>
                <w:szCs w:val="24"/>
                <w:highlight w:val="none"/>
              </w:rPr>
            </w:pPr>
          </w:p>
        </w:tc>
        <w:tc>
          <w:tcPr>
            <w:tcW w:w="892" w:type="dxa"/>
            <w:noWrap w:val="0"/>
            <w:vAlign w:val="center"/>
          </w:tcPr>
          <w:p w14:paraId="08F05A57">
            <w:pPr>
              <w:jc w:val="center"/>
              <w:outlineLvl w:val="0"/>
              <w:rPr>
                <w:rFonts w:ascii="黑体" w:eastAsia="黑体"/>
                <w:bCs/>
                <w:color w:val="auto"/>
                <w:sz w:val="24"/>
                <w:szCs w:val="24"/>
                <w:highlight w:val="none"/>
              </w:rPr>
            </w:pPr>
          </w:p>
        </w:tc>
      </w:tr>
      <w:tr w14:paraId="036E1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4" w:type="dxa"/>
            <w:noWrap w:val="0"/>
            <w:vAlign w:val="top"/>
          </w:tcPr>
          <w:p w14:paraId="4F8A5D9F">
            <w:pPr>
              <w:outlineLvl w:val="0"/>
              <w:rPr>
                <w:rFonts w:ascii="黑体" w:eastAsia="黑体"/>
                <w:bCs/>
                <w:color w:val="auto"/>
                <w:sz w:val="24"/>
                <w:szCs w:val="24"/>
                <w:highlight w:val="none"/>
              </w:rPr>
            </w:pPr>
          </w:p>
        </w:tc>
        <w:tc>
          <w:tcPr>
            <w:tcW w:w="1142" w:type="dxa"/>
            <w:noWrap w:val="0"/>
            <w:vAlign w:val="top"/>
          </w:tcPr>
          <w:p w14:paraId="6B392E1A">
            <w:pPr>
              <w:outlineLvl w:val="0"/>
              <w:rPr>
                <w:rFonts w:ascii="黑体" w:eastAsia="黑体"/>
                <w:bCs/>
                <w:color w:val="auto"/>
                <w:sz w:val="24"/>
                <w:szCs w:val="24"/>
                <w:highlight w:val="none"/>
              </w:rPr>
            </w:pPr>
          </w:p>
        </w:tc>
        <w:tc>
          <w:tcPr>
            <w:tcW w:w="690" w:type="dxa"/>
            <w:noWrap w:val="0"/>
            <w:vAlign w:val="center"/>
          </w:tcPr>
          <w:p w14:paraId="6DC76FDE">
            <w:pPr>
              <w:jc w:val="center"/>
              <w:outlineLvl w:val="0"/>
              <w:rPr>
                <w:rFonts w:ascii="黑体" w:eastAsia="黑体"/>
                <w:bCs/>
                <w:color w:val="auto"/>
                <w:sz w:val="24"/>
                <w:szCs w:val="24"/>
                <w:highlight w:val="none"/>
              </w:rPr>
            </w:pPr>
          </w:p>
        </w:tc>
        <w:tc>
          <w:tcPr>
            <w:tcW w:w="662" w:type="dxa"/>
            <w:noWrap w:val="0"/>
            <w:vAlign w:val="center"/>
          </w:tcPr>
          <w:p w14:paraId="59E0EB49">
            <w:pPr>
              <w:jc w:val="center"/>
              <w:outlineLvl w:val="0"/>
              <w:rPr>
                <w:rFonts w:ascii="黑体" w:eastAsia="黑体"/>
                <w:bCs/>
                <w:color w:val="auto"/>
                <w:sz w:val="24"/>
                <w:szCs w:val="24"/>
                <w:highlight w:val="none"/>
              </w:rPr>
            </w:pPr>
          </w:p>
        </w:tc>
        <w:tc>
          <w:tcPr>
            <w:tcW w:w="763" w:type="dxa"/>
            <w:noWrap w:val="0"/>
            <w:vAlign w:val="center"/>
          </w:tcPr>
          <w:p w14:paraId="40406E1D">
            <w:pPr>
              <w:jc w:val="center"/>
              <w:outlineLvl w:val="0"/>
              <w:rPr>
                <w:rFonts w:ascii="黑体" w:eastAsia="黑体"/>
                <w:bCs/>
                <w:color w:val="auto"/>
                <w:sz w:val="24"/>
                <w:szCs w:val="24"/>
                <w:highlight w:val="none"/>
              </w:rPr>
            </w:pPr>
          </w:p>
        </w:tc>
        <w:tc>
          <w:tcPr>
            <w:tcW w:w="1123" w:type="dxa"/>
            <w:noWrap w:val="0"/>
            <w:vAlign w:val="center"/>
          </w:tcPr>
          <w:p w14:paraId="1E162C87">
            <w:pPr>
              <w:jc w:val="center"/>
              <w:outlineLvl w:val="0"/>
              <w:rPr>
                <w:rFonts w:ascii="黑体" w:eastAsia="黑体"/>
                <w:bCs/>
                <w:color w:val="auto"/>
                <w:sz w:val="24"/>
                <w:szCs w:val="24"/>
                <w:highlight w:val="none"/>
              </w:rPr>
            </w:pPr>
          </w:p>
        </w:tc>
        <w:tc>
          <w:tcPr>
            <w:tcW w:w="1130" w:type="dxa"/>
            <w:noWrap w:val="0"/>
            <w:vAlign w:val="center"/>
          </w:tcPr>
          <w:p w14:paraId="6B429BA9">
            <w:pPr>
              <w:jc w:val="center"/>
              <w:outlineLvl w:val="0"/>
              <w:rPr>
                <w:rFonts w:ascii="黑体" w:eastAsia="黑体"/>
                <w:bCs/>
                <w:color w:val="auto"/>
                <w:sz w:val="24"/>
                <w:szCs w:val="24"/>
                <w:highlight w:val="none"/>
              </w:rPr>
            </w:pPr>
          </w:p>
        </w:tc>
        <w:tc>
          <w:tcPr>
            <w:tcW w:w="1576" w:type="dxa"/>
            <w:noWrap w:val="0"/>
            <w:vAlign w:val="center"/>
          </w:tcPr>
          <w:p w14:paraId="5B0277F1">
            <w:pPr>
              <w:jc w:val="center"/>
              <w:outlineLvl w:val="0"/>
              <w:rPr>
                <w:rFonts w:ascii="黑体" w:eastAsia="黑体"/>
                <w:bCs/>
                <w:color w:val="auto"/>
                <w:sz w:val="24"/>
                <w:szCs w:val="24"/>
                <w:highlight w:val="none"/>
              </w:rPr>
            </w:pPr>
          </w:p>
        </w:tc>
        <w:tc>
          <w:tcPr>
            <w:tcW w:w="892" w:type="dxa"/>
            <w:noWrap w:val="0"/>
            <w:vAlign w:val="center"/>
          </w:tcPr>
          <w:p w14:paraId="0C4CB70E">
            <w:pPr>
              <w:jc w:val="center"/>
              <w:outlineLvl w:val="0"/>
              <w:rPr>
                <w:rFonts w:ascii="黑体" w:eastAsia="黑体"/>
                <w:bCs/>
                <w:color w:val="auto"/>
                <w:sz w:val="24"/>
                <w:szCs w:val="24"/>
                <w:highlight w:val="none"/>
              </w:rPr>
            </w:pPr>
          </w:p>
        </w:tc>
      </w:tr>
      <w:tr w14:paraId="0B596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4" w:type="dxa"/>
            <w:noWrap w:val="0"/>
            <w:vAlign w:val="top"/>
          </w:tcPr>
          <w:p w14:paraId="6CBC0C30">
            <w:pPr>
              <w:outlineLvl w:val="0"/>
              <w:rPr>
                <w:rFonts w:ascii="黑体" w:eastAsia="黑体"/>
                <w:bCs/>
                <w:color w:val="auto"/>
                <w:sz w:val="24"/>
                <w:szCs w:val="24"/>
                <w:highlight w:val="none"/>
              </w:rPr>
            </w:pPr>
          </w:p>
        </w:tc>
        <w:tc>
          <w:tcPr>
            <w:tcW w:w="1142" w:type="dxa"/>
            <w:noWrap w:val="0"/>
            <w:vAlign w:val="top"/>
          </w:tcPr>
          <w:p w14:paraId="50D94F29">
            <w:pPr>
              <w:outlineLvl w:val="0"/>
              <w:rPr>
                <w:rFonts w:ascii="黑体" w:eastAsia="黑体"/>
                <w:bCs/>
                <w:color w:val="auto"/>
                <w:sz w:val="24"/>
                <w:szCs w:val="24"/>
                <w:highlight w:val="none"/>
              </w:rPr>
            </w:pPr>
          </w:p>
        </w:tc>
        <w:tc>
          <w:tcPr>
            <w:tcW w:w="690" w:type="dxa"/>
            <w:noWrap w:val="0"/>
            <w:vAlign w:val="center"/>
          </w:tcPr>
          <w:p w14:paraId="35A0F688">
            <w:pPr>
              <w:jc w:val="center"/>
              <w:outlineLvl w:val="0"/>
              <w:rPr>
                <w:rFonts w:ascii="黑体" w:eastAsia="黑体"/>
                <w:bCs/>
                <w:color w:val="auto"/>
                <w:sz w:val="24"/>
                <w:szCs w:val="24"/>
                <w:highlight w:val="none"/>
              </w:rPr>
            </w:pPr>
          </w:p>
        </w:tc>
        <w:tc>
          <w:tcPr>
            <w:tcW w:w="662" w:type="dxa"/>
            <w:noWrap w:val="0"/>
            <w:vAlign w:val="center"/>
          </w:tcPr>
          <w:p w14:paraId="0306E443">
            <w:pPr>
              <w:jc w:val="center"/>
              <w:outlineLvl w:val="0"/>
              <w:rPr>
                <w:rFonts w:ascii="黑体" w:eastAsia="黑体"/>
                <w:bCs/>
                <w:color w:val="auto"/>
                <w:sz w:val="24"/>
                <w:szCs w:val="24"/>
                <w:highlight w:val="none"/>
              </w:rPr>
            </w:pPr>
          </w:p>
        </w:tc>
        <w:tc>
          <w:tcPr>
            <w:tcW w:w="763" w:type="dxa"/>
            <w:noWrap w:val="0"/>
            <w:vAlign w:val="center"/>
          </w:tcPr>
          <w:p w14:paraId="332FB559">
            <w:pPr>
              <w:jc w:val="center"/>
              <w:outlineLvl w:val="0"/>
              <w:rPr>
                <w:rFonts w:ascii="黑体" w:eastAsia="黑体"/>
                <w:bCs/>
                <w:color w:val="auto"/>
                <w:sz w:val="24"/>
                <w:szCs w:val="24"/>
                <w:highlight w:val="none"/>
              </w:rPr>
            </w:pPr>
          </w:p>
        </w:tc>
        <w:tc>
          <w:tcPr>
            <w:tcW w:w="1123" w:type="dxa"/>
            <w:noWrap w:val="0"/>
            <w:vAlign w:val="center"/>
          </w:tcPr>
          <w:p w14:paraId="54C0BFF5">
            <w:pPr>
              <w:jc w:val="center"/>
              <w:outlineLvl w:val="0"/>
              <w:rPr>
                <w:rFonts w:ascii="黑体" w:eastAsia="黑体"/>
                <w:bCs/>
                <w:color w:val="auto"/>
                <w:sz w:val="24"/>
                <w:szCs w:val="24"/>
                <w:highlight w:val="none"/>
              </w:rPr>
            </w:pPr>
          </w:p>
        </w:tc>
        <w:tc>
          <w:tcPr>
            <w:tcW w:w="1130" w:type="dxa"/>
            <w:noWrap w:val="0"/>
            <w:vAlign w:val="center"/>
          </w:tcPr>
          <w:p w14:paraId="52B22CF0">
            <w:pPr>
              <w:jc w:val="center"/>
              <w:outlineLvl w:val="0"/>
              <w:rPr>
                <w:rFonts w:ascii="黑体" w:eastAsia="黑体"/>
                <w:bCs/>
                <w:color w:val="auto"/>
                <w:sz w:val="24"/>
                <w:szCs w:val="24"/>
                <w:highlight w:val="none"/>
              </w:rPr>
            </w:pPr>
          </w:p>
        </w:tc>
        <w:tc>
          <w:tcPr>
            <w:tcW w:w="1576" w:type="dxa"/>
            <w:noWrap w:val="0"/>
            <w:vAlign w:val="center"/>
          </w:tcPr>
          <w:p w14:paraId="7F738F92">
            <w:pPr>
              <w:jc w:val="center"/>
              <w:outlineLvl w:val="0"/>
              <w:rPr>
                <w:rFonts w:ascii="黑体" w:eastAsia="黑体"/>
                <w:bCs/>
                <w:color w:val="auto"/>
                <w:sz w:val="24"/>
                <w:szCs w:val="24"/>
                <w:highlight w:val="none"/>
              </w:rPr>
            </w:pPr>
          </w:p>
        </w:tc>
        <w:tc>
          <w:tcPr>
            <w:tcW w:w="892" w:type="dxa"/>
            <w:noWrap w:val="0"/>
            <w:vAlign w:val="center"/>
          </w:tcPr>
          <w:p w14:paraId="3616D167">
            <w:pPr>
              <w:jc w:val="center"/>
              <w:outlineLvl w:val="0"/>
              <w:rPr>
                <w:rFonts w:ascii="黑体" w:eastAsia="黑体"/>
                <w:bCs/>
                <w:color w:val="auto"/>
                <w:sz w:val="24"/>
                <w:szCs w:val="24"/>
                <w:highlight w:val="none"/>
              </w:rPr>
            </w:pPr>
          </w:p>
        </w:tc>
      </w:tr>
      <w:tr w14:paraId="17434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4" w:type="dxa"/>
            <w:noWrap w:val="0"/>
            <w:vAlign w:val="top"/>
          </w:tcPr>
          <w:p w14:paraId="20541B8A">
            <w:pPr>
              <w:outlineLvl w:val="0"/>
              <w:rPr>
                <w:rFonts w:ascii="黑体" w:eastAsia="黑体"/>
                <w:bCs/>
                <w:color w:val="auto"/>
                <w:sz w:val="24"/>
                <w:szCs w:val="24"/>
                <w:highlight w:val="none"/>
              </w:rPr>
            </w:pPr>
          </w:p>
        </w:tc>
        <w:tc>
          <w:tcPr>
            <w:tcW w:w="1142" w:type="dxa"/>
            <w:noWrap w:val="0"/>
            <w:vAlign w:val="top"/>
          </w:tcPr>
          <w:p w14:paraId="0AADFC52">
            <w:pPr>
              <w:outlineLvl w:val="0"/>
              <w:rPr>
                <w:rFonts w:ascii="黑体" w:eastAsia="黑体"/>
                <w:bCs/>
                <w:color w:val="auto"/>
                <w:sz w:val="24"/>
                <w:szCs w:val="24"/>
                <w:highlight w:val="none"/>
              </w:rPr>
            </w:pPr>
          </w:p>
        </w:tc>
        <w:tc>
          <w:tcPr>
            <w:tcW w:w="690" w:type="dxa"/>
            <w:noWrap w:val="0"/>
            <w:vAlign w:val="center"/>
          </w:tcPr>
          <w:p w14:paraId="75802C01">
            <w:pPr>
              <w:jc w:val="center"/>
              <w:outlineLvl w:val="0"/>
              <w:rPr>
                <w:rFonts w:ascii="黑体" w:eastAsia="黑体"/>
                <w:bCs/>
                <w:color w:val="auto"/>
                <w:sz w:val="24"/>
                <w:szCs w:val="24"/>
                <w:highlight w:val="none"/>
              </w:rPr>
            </w:pPr>
          </w:p>
        </w:tc>
        <w:tc>
          <w:tcPr>
            <w:tcW w:w="662" w:type="dxa"/>
            <w:noWrap w:val="0"/>
            <w:vAlign w:val="center"/>
          </w:tcPr>
          <w:p w14:paraId="3189CE5C">
            <w:pPr>
              <w:jc w:val="center"/>
              <w:outlineLvl w:val="0"/>
              <w:rPr>
                <w:rFonts w:ascii="黑体" w:eastAsia="黑体"/>
                <w:bCs/>
                <w:color w:val="auto"/>
                <w:sz w:val="24"/>
                <w:szCs w:val="24"/>
                <w:highlight w:val="none"/>
              </w:rPr>
            </w:pPr>
          </w:p>
        </w:tc>
        <w:tc>
          <w:tcPr>
            <w:tcW w:w="763" w:type="dxa"/>
            <w:noWrap w:val="0"/>
            <w:vAlign w:val="center"/>
          </w:tcPr>
          <w:p w14:paraId="62FDD8DA">
            <w:pPr>
              <w:jc w:val="center"/>
              <w:outlineLvl w:val="0"/>
              <w:rPr>
                <w:rFonts w:ascii="黑体" w:eastAsia="黑体"/>
                <w:bCs/>
                <w:color w:val="auto"/>
                <w:sz w:val="24"/>
                <w:szCs w:val="24"/>
                <w:highlight w:val="none"/>
              </w:rPr>
            </w:pPr>
          </w:p>
        </w:tc>
        <w:tc>
          <w:tcPr>
            <w:tcW w:w="1123" w:type="dxa"/>
            <w:noWrap w:val="0"/>
            <w:vAlign w:val="center"/>
          </w:tcPr>
          <w:p w14:paraId="47C084BA">
            <w:pPr>
              <w:jc w:val="center"/>
              <w:outlineLvl w:val="0"/>
              <w:rPr>
                <w:rFonts w:ascii="黑体" w:eastAsia="黑体"/>
                <w:bCs/>
                <w:color w:val="auto"/>
                <w:sz w:val="24"/>
                <w:szCs w:val="24"/>
                <w:highlight w:val="none"/>
              </w:rPr>
            </w:pPr>
          </w:p>
        </w:tc>
        <w:tc>
          <w:tcPr>
            <w:tcW w:w="1130" w:type="dxa"/>
            <w:noWrap w:val="0"/>
            <w:vAlign w:val="center"/>
          </w:tcPr>
          <w:p w14:paraId="35ED21CF">
            <w:pPr>
              <w:jc w:val="center"/>
              <w:outlineLvl w:val="0"/>
              <w:rPr>
                <w:rFonts w:ascii="黑体" w:eastAsia="黑体"/>
                <w:bCs/>
                <w:color w:val="auto"/>
                <w:sz w:val="24"/>
                <w:szCs w:val="24"/>
                <w:highlight w:val="none"/>
              </w:rPr>
            </w:pPr>
          </w:p>
        </w:tc>
        <w:tc>
          <w:tcPr>
            <w:tcW w:w="1576" w:type="dxa"/>
            <w:noWrap w:val="0"/>
            <w:vAlign w:val="center"/>
          </w:tcPr>
          <w:p w14:paraId="63ABCCFD">
            <w:pPr>
              <w:jc w:val="center"/>
              <w:outlineLvl w:val="0"/>
              <w:rPr>
                <w:rFonts w:ascii="黑体" w:eastAsia="黑体"/>
                <w:bCs/>
                <w:color w:val="auto"/>
                <w:sz w:val="24"/>
                <w:szCs w:val="24"/>
                <w:highlight w:val="none"/>
              </w:rPr>
            </w:pPr>
          </w:p>
        </w:tc>
        <w:tc>
          <w:tcPr>
            <w:tcW w:w="892" w:type="dxa"/>
            <w:noWrap w:val="0"/>
            <w:vAlign w:val="center"/>
          </w:tcPr>
          <w:p w14:paraId="71D51A50">
            <w:pPr>
              <w:jc w:val="center"/>
              <w:outlineLvl w:val="0"/>
              <w:rPr>
                <w:rFonts w:ascii="黑体" w:eastAsia="黑体"/>
                <w:bCs/>
                <w:color w:val="auto"/>
                <w:sz w:val="24"/>
                <w:szCs w:val="24"/>
                <w:highlight w:val="none"/>
              </w:rPr>
            </w:pPr>
          </w:p>
        </w:tc>
      </w:tr>
      <w:tr w14:paraId="60206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4" w:type="dxa"/>
            <w:noWrap w:val="0"/>
            <w:vAlign w:val="top"/>
          </w:tcPr>
          <w:p w14:paraId="36550C22">
            <w:pPr>
              <w:outlineLvl w:val="0"/>
              <w:rPr>
                <w:rFonts w:ascii="黑体" w:eastAsia="黑体"/>
                <w:bCs/>
                <w:color w:val="auto"/>
                <w:sz w:val="24"/>
                <w:szCs w:val="24"/>
                <w:highlight w:val="none"/>
              </w:rPr>
            </w:pPr>
          </w:p>
        </w:tc>
        <w:tc>
          <w:tcPr>
            <w:tcW w:w="1142" w:type="dxa"/>
            <w:noWrap w:val="0"/>
            <w:vAlign w:val="top"/>
          </w:tcPr>
          <w:p w14:paraId="0EDDA32A">
            <w:pPr>
              <w:outlineLvl w:val="0"/>
              <w:rPr>
                <w:rFonts w:ascii="黑体" w:eastAsia="黑体"/>
                <w:bCs/>
                <w:color w:val="auto"/>
                <w:sz w:val="24"/>
                <w:szCs w:val="24"/>
                <w:highlight w:val="none"/>
              </w:rPr>
            </w:pPr>
          </w:p>
        </w:tc>
        <w:tc>
          <w:tcPr>
            <w:tcW w:w="690" w:type="dxa"/>
            <w:noWrap w:val="0"/>
            <w:vAlign w:val="center"/>
          </w:tcPr>
          <w:p w14:paraId="6274EB5D">
            <w:pPr>
              <w:jc w:val="center"/>
              <w:outlineLvl w:val="0"/>
              <w:rPr>
                <w:rFonts w:ascii="黑体" w:eastAsia="黑体"/>
                <w:bCs/>
                <w:color w:val="auto"/>
                <w:sz w:val="24"/>
                <w:szCs w:val="24"/>
                <w:highlight w:val="none"/>
              </w:rPr>
            </w:pPr>
          </w:p>
        </w:tc>
        <w:tc>
          <w:tcPr>
            <w:tcW w:w="662" w:type="dxa"/>
            <w:noWrap w:val="0"/>
            <w:vAlign w:val="center"/>
          </w:tcPr>
          <w:p w14:paraId="495A1BB3">
            <w:pPr>
              <w:jc w:val="center"/>
              <w:outlineLvl w:val="0"/>
              <w:rPr>
                <w:rFonts w:ascii="黑体" w:eastAsia="黑体"/>
                <w:bCs/>
                <w:color w:val="auto"/>
                <w:sz w:val="24"/>
                <w:szCs w:val="24"/>
                <w:highlight w:val="none"/>
              </w:rPr>
            </w:pPr>
          </w:p>
        </w:tc>
        <w:tc>
          <w:tcPr>
            <w:tcW w:w="763" w:type="dxa"/>
            <w:noWrap w:val="0"/>
            <w:vAlign w:val="center"/>
          </w:tcPr>
          <w:p w14:paraId="2E9EDFC3">
            <w:pPr>
              <w:jc w:val="center"/>
              <w:outlineLvl w:val="0"/>
              <w:rPr>
                <w:rFonts w:ascii="黑体" w:eastAsia="黑体"/>
                <w:bCs/>
                <w:color w:val="auto"/>
                <w:sz w:val="24"/>
                <w:szCs w:val="24"/>
                <w:highlight w:val="none"/>
              </w:rPr>
            </w:pPr>
          </w:p>
        </w:tc>
        <w:tc>
          <w:tcPr>
            <w:tcW w:w="1123" w:type="dxa"/>
            <w:noWrap w:val="0"/>
            <w:vAlign w:val="center"/>
          </w:tcPr>
          <w:p w14:paraId="0E30E86A">
            <w:pPr>
              <w:jc w:val="center"/>
              <w:outlineLvl w:val="0"/>
              <w:rPr>
                <w:rFonts w:ascii="黑体" w:eastAsia="黑体"/>
                <w:bCs/>
                <w:color w:val="auto"/>
                <w:sz w:val="24"/>
                <w:szCs w:val="24"/>
                <w:highlight w:val="none"/>
              </w:rPr>
            </w:pPr>
          </w:p>
        </w:tc>
        <w:tc>
          <w:tcPr>
            <w:tcW w:w="1130" w:type="dxa"/>
            <w:noWrap w:val="0"/>
            <w:vAlign w:val="center"/>
          </w:tcPr>
          <w:p w14:paraId="63DA0148">
            <w:pPr>
              <w:jc w:val="center"/>
              <w:outlineLvl w:val="0"/>
              <w:rPr>
                <w:rFonts w:ascii="黑体" w:eastAsia="黑体"/>
                <w:bCs/>
                <w:color w:val="auto"/>
                <w:sz w:val="24"/>
                <w:szCs w:val="24"/>
                <w:highlight w:val="none"/>
              </w:rPr>
            </w:pPr>
          </w:p>
        </w:tc>
        <w:tc>
          <w:tcPr>
            <w:tcW w:w="1576" w:type="dxa"/>
            <w:noWrap w:val="0"/>
            <w:vAlign w:val="center"/>
          </w:tcPr>
          <w:p w14:paraId="269EAF4F">
            <w:pPr>
              <w:jc w:val="center"/>
              <w:outlineLvl w:val="0"/>
              <w:rPr>
                <w:rFonts w:ascii="黑体" w:eastAsia="黑体"/>
                <w:bCs/>
                <w:color w:val="auto"/>
                <w:sz w:val="24"/>
                <w:szCs w:val="24"/>
                <w:highlight w:val="none"/>
              </w:rPr>
            </w:pPr>
          </w:p>
        </w:tc>
        <w:tc>
          <w:tcPr>
            <w:tcW w:w="892" w:type="dxa"/>
            <w:noWrap w:val="0"/>
            <w:vAlign w:val="center"/>
          </w:tcPr>
          <w:p w14:paraId="014470D7">
            <w:pPr>
              <w:jc w:val="center"/>
              <w:outlineLvl w:val="0"/>
              <w:rPr>
                <w:rFonts w:ascii="黑体" w:eastAsia="黑体"/>
                <w:bCs/>
                <w:color w:val="auto"/>
                <w:sz w:val="24"/>
                <w:szCs w:val="24"/>
                <w:highlight w:val="none"/>
              </w:rPr>
            </w:pPr>
          </w:p>
        </w:tc>
      </w:tr>
      <w:tr w14:paraId="11B01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4" w:type="dxa"/>
            <w:noWrap w:val="0"/>
            <w:vAlign w:val="top"/>
          </w:tcPr>
          <w:p w14:paraId="546B24F3">
            <w:pPr>
              <w:outlineLvl w:val="0"/>
              <w:rPr>
                <w:rFonts w:ascii="黑体" w:eastAsia="黑体"/>
                <w:bCs/>
                <w:color w:val="auto"/>
                <w:sz w:val="24"/>
                <w:szCs w:val="24"/>
                <w:highlight w:val="none"/>
              </w:rPr>
            </w:pPr>
          </w:p>
        </w:tc>
        <w:tc>
          <w:tcPr>
            <w:tcW w:w="1142" w:type="dxa"/>
            <w:noWrap w:val="0"/>
            <w:vAlign w:val="top"/>
          </w:tcPr>
          <w:p w14:paraId="0E67AD9B">
            <w:pPr>
              <w:outlineLvl w:val="0"/>
              <w:rPr>
                <w:rFonts w:ascii="黑体" w:eastAsia="黑体"/>
                <w:bCs/>
                <w:color w:val="auto"/>
                <w:sz w:val="24"/>
                <w:szCs w:val="24"/>
                <w:highlight w:val="none"/>
              </w:rPr>
            </w:pPr>
          </w:p>
        </w:tc>
        <w:tc>
          <w:tcPr>
            <w:tcW w:w="690" w:type="dxa"/>
            <w:noWrap w:val="0"/>
            <w:vAlign w:val="center"/>
          </w:tcPr>
          <w:p w14:paraId="1CC5C964">
            <w:pPr>
              <w:jc w:val="center"/>
              <w:outlineLvl w:val="0"/>
              <w:rPr>
                <w:rFonts w:ascii="黑体" w:eastAsia="黑体"/>
                <w:bCs/>
                <w:color w:val="auto"/>
                <w:sz w:val="24"/>
                <w:szCs w:val="24"/>
                <w:highlight w:val="none"/>
              </w:rPr>
            </w:pPr>
          </w:p>
        </w:tc>
        <w:tc>
          <w:tcPr>
            <w:tcW w:w="662" w:type="dxa"/>
            <w:noWrap w:val="0"/>
            <w:vAlign w:val="center"/>
          </w:tcPr>
          <w:p w14:paraId="2B9389EC">
            <w:pPr>
              <w:jc w:val="center"/>
              <w:outlineLvl w:val="0"/>
              <w:rPr>
                <w:rFonts w:ascii="黑体" w:eastAsia="黑体"/>
                <w:bCs/>
                <w:color w:val="auto"/>
                <w:sz w:val="24"/>
                <w:szCs w:val="24"/>
                <w:highlight w:val="none"/>
              </w:rPr>
            </w:pPr>
          </w:p>
        </w:tc>
        <w:tc>
          <w:tcPr>
            <w:tcW w:w="763" w:type="dxa"/>
            <w:noWrap w:val="0"/>
            <w:vAlign w:val="center"/>
          </w:tcPr>
          <w:p w14:paraId="4F4933A7">
            <w:pPr>
              <w:jc w:val="center"/>
              <w:outlineLvl w:val="0"/>
              <w:rPr>
                <w:rFonts w:ascii="黑体" w:eastAsia="黑体"/>
                <w:bCs/>
                <w:color w:val="auto"/>
                <w:sz w:val="24"/>
                <w:szCs w:val="24"/>
                <w:highlight w:val="none"/>
              </w:rPr>
            </w:pPr>
          </w:p>
        </w:tc>
        <w:tc>
          <w:tcPr>
            <w:tcW w:w="1123" w:type="dxa"/>
            <w:noWrap w:val="0"/>
            <w:vAlign w:val="center"/>
          </w:tcPr>
          <w:p w14:paraId="6B35E225">
            <w:pPr>
              <w:jc w:val="center"/>
              <w:outlineLvl w:val="0"/>
              <w:rPr>
                <w:rFonts w:ascii="黑体" w:eastAsia="黑体"/>
                <w:bCs/>
                <w:color w:val="auto"/>
                <w:sz w:val="24"/>
                <w:szCs w:val="24"/>
                <w:highlight w:val="none"/>
              </w:rPr>
            </w:pPr>
          </w:p>
        </w:tc>
        <w:tc>
          <w:tcPr>
            <w:tcW w:w="1130" w:type="dxa"/>
            <w:noWrap w:val="0"/>
            <w:vAlign w:val="center"/>
          </w:tcPr>
          <w:p w14:paraId="04E07E42">
            <w:pPr>
              <w:jc w:val="center"/>
              <w:outlineLvl w:val="0"/>
              <w:rPr>
                <w:rFonts w:ascii="黑体" w:eastAsia="黑体"/>
                <w:bCs/>
                <w:color w:val="auto"/>
                <w:sz w:val="24"/>
                <w:szCs w:val="24"/>
                <w:highlight w:val="none"/>
              </w:rPr>
            </w:pPr>
          </w:p>
        </w:tc>
        <w:tc>
          <w:tcPr>
            <w:tcW w:w="1576" w:type="dxa"/>
            <w:noWrap w:val="0"/>
            <w:vAlign w:val="center"/>
          </w:tcPr>
          <w:p w14:paraId="58E3B5F7">
            <w:pPr>
              <w:jc w:val="center"/>
              <w:outlineLvl w:val="0"/>
              <w:rPr>
                <w:rFonts w:ascii="黑体" w:eastAsia="黑体"/>
                <w:bCs/>
                <w:color w:val="auto"/>
                <w:sz w:val="24"/>
                <w:szCs w:val="24"/>
                <w:highlight w:val="none"/>
              </w:rPr>
            </w:pPr>
          </w:p>
        </w:tc>
        <w:tc>
          <w:tcPr>
            <w:tcW w:w="892" w:type="dxa"/>
            <w:noWrap w:val="0"/>
            <w:vAlign w:val="center"/>
          </w:tcPr>
          <w:p w14:paraId="2809626A">
            <w:pPr>
              <w:jc w:val="center"/>
              <w:outlineLvl w:val="0"/>
              <w:rPr>
                <w:rFonts w:ascii="黑体" w:eastAsia="黑体"/>
                <w:bCs/>
                <w:color w:val="auto"/>
                <w:sz w:val="24"/>
                <w:szCs w:val="24"/>
                <w:highlight w:val="none"/>
              </w:rPr>
            </w:pPr>
          </w:p>
        </w:tc>
      </w:tr>
      <w:tr w14:paraId="3C2D7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44" w:type="dxa"/>
            <w:noWrap w:val="0"/>
            <w:vAlign w:val="top"/>
          </w:tcPr>
          <w:p w14:paraId="7730D16D">
            <w:pPr>
              <w:outlineLvl w:val="0"/>
              <w:rPr>
                <w:rFonts w:ascii="黑体" w:eastAsia="黑体"/>
                <w:bCs/>
                <w:color w:val="auto"/>
                <w:sz w:val="24"/>
                <w:szCs w:val="24"/>
                <w:highlight w:val="none"/>
              </w:rPr>
            </w:pPr>
          </w:p>
        </w:tc>
        <w:tc>
          <w:tcPr>
            <w:tcW w:w="1142" w:type="dxa"/>
            <w:noWrap w:val="0"/>
            <w:vAlign w:val="top"/>
          </w:tcPr>
          <w:p w14:paraId="2EDDD897">
            <w:pPr>
              <w:outlineLvl w:val="0"/>
              <w:rPr>
                <w:rFonts w:ascii="黑体" w:eastAsia="黑体"/>
                <w:bCs/>
                <w:color w:val="auto"/>
                <w:sz w:val="24"/>
                <w:szCs w:val="24"/>
                <w:highlight w:val="none"/>
              </w:rPr>
            </w:pPr>
          </w:p>
        </w:tc>
        <w:tc>
          <w:tcPr>
            <w:tcW w:w="690" w:type="dxa"/>
            <w:noWrap w:val="0"/>
            <w:vAlign w:val="center"/>
          </w:tcPr>
          <w:p w14:paraId="0E83F2EF">
            <w:pPr>
              <w:jc w:val="center"/>
              <w:outlineLvl w:val="0"/>
              <w:rPr>
                <w:rFonts w:ascii="黑体" w:eastAsia="黑体"/>
                <w:bCs/>
                <w:color w:val="auto"/>
                <w:sz w:val="24"/>
                <w:szCs w:val="24"/>
                <w:highlight w:val="none"/>
              </w:rPr>
            </w:pPr>
          </w:p>
        </w:tc>
        <w:tc>
          <w:tcPr>
            <w:tcW w:w="662" w:type="dxa"/>
            <w:noWrap w:val="0"/>
            <w:vAlign w:val="center"/>
          </w:tcPr>
          <w:p w14:paraId="7CFC1ACD">
            <w:pPr>
              <w:jc w:val="center"/>
              <w:outlineLvl w:val="0"/>
              <w:rPr>
                <w:rFonts w:ascii="黑体" w:eastAsia="黑体"/>
                <w:bCs/>
                <w:color w:val="auto"/>
                <w:sz w:val="24"/>
                <w:szCs w:val="24"/>
                <w:highlight w:val="none"/>
              </w:rPr>
            </w:pPr>
          </w:p>
        </w:tc>
        <w:tc>
          <w:tcPr>
            <w:tcW w:w="763" w:type="dxa"/>
            <w:noWrap w:val="0"/>
            <w:vAlign w:val="center"/>
          </w:tcPr>
          <w:p w14:paraId="68F2852E">
            <w:pPr>
              <w:jc w:val="center"/>
              <w:outlineLvl w:val="0"/>
              <w:rPr>
                <w:rFonts w:ascii="黑体" w:eastAsia="黑体"/>
                <w:bCs/>
                <w:color w:val="auto"/>
                <w:sz w:val="24"/>
                <w:szCs w:val="24"/>
                <w:highlight w:val="none"/>
              </w:rPr>
            </w:pPr>
          </w:p>
        </w:tc>
        <w:tc>
          <w:tcPr>
            <w:tcW w:w="1123" w:type="dxa"/>
            <w:noWrap w:val="0"/>
            <w:vAlign w:val="center"/>
          </w:tcPr>
          <w:p w14:paraId="77165091">
            <w:pPr>
              <w:jc w:val="center"/>
              <w:outlineLvl w:val="0"/>
              <w:rPr>
                <w:rFonts w:ascii="黑体" w:eastAsia="黑体"/>
                <w:bCs/>
                <w:color w:val="auto"/>
                <w:sz w:val="24"/>
                <w:szCs w:val="24"/>
                <w:highlight w:val="none"/>
              </w:rPr>
            </w:pPr>
          </w:p>
        </w:tc>
        <w:tc>
          <w:tcPr>
            <w:tcW w:w="1130" w:type="dxa"/>
            <w:noWrap w:val="0"/>
            <w:vAlign w:val="center"/>
          </w:tcPr>
          <w:p w14:paraId="05C58E86">
            <w:pPr>
              <w:jc w:val="center"/>
              <w:outlineLvl w:val="0"/>
              <w:rPr>
                <w:rFonts w:ascii="黑体" w:eastAsia="黑体"/>
                <w:bCs/>
                <w:color w:val="auto"/>
                <w:sz w:val="24"/>
                <w:szCs w:val="24"/>
                <w:highlight w:val="none"/>
              </w:rPr>
            </w:pPr>
          </w:p>
        </w:tc>
        <w:tc>
          <w:tcPr>
            <w:tcW w:w="1576" w:type="dxa"/>
            <w:noWrap w:val="0"/>
            <w:vAlign w:val="center"/>
          </w:tcPr>
          <w:p w14:paraId="2C845C55">
            <w:pPr>
              <w:jc w:val="center"/>
              <w:outlineLvl w:val="0"/>
              <w:rPr>
                <w:rFonts w:ascii="黑体" w:eastAsia="黑体"/>
                <w:bCs/>
                <w:color w:val="auto"/>
                <w:sz w:val="24"/>
                <w:szCs w:val="24"/>
                <w:highlight w:val="none"/>
              </w:rPr>
            </w:pPr>
          </w:p>
        </w:tc>
        <w:tc>
          <w:tcPr>
            <w:tcW w:w="892" w:type="dxa"/>
            <w:noWrap w:val="0"/>
            <w:vAlign w:val="center"/>
          </w:tcPr>
          <w:p w14:paraId="210D7585">
            <w:pPr>
              <w:jc w:val="center"/>
              <w:outlineLvl w:val="0"/>
              <w:rPr>
                <w:rFonts w:ascii="黑体" w:eastAsia="黑体"/>
                <w:bCs/>
                <w:color w:val="auto"/>
                <w:sz w:val="24"/>
                <w:szCs w:val="24"/>
                <w:highlight w:val="none"/>
              </w:rPr>
            </w:pPr>
          </w:p>
        </w:tc>
      </w:tr>
    </w:tbl>
    <w:p w14:paraId="4AA37DC8">
      <w:pPr>
        <w:widowControl/>
        <w:spacing w:line="499" w:lineRule="atLeast"/>
        <w:ind w:firstLine="480"/>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后附：人员证书原件扫描件。</w:t>
      </w:r>
    </w:p>
    <w:p w14:paraId="5F021525">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ascii="仿宋_GB2312" w:eastAsia="仿宋_GB2312" w:cs="仿宋_GB2312"/>
          <w:color w:val="auto"/>
          <w:sz w:val="21"/>
          <w:szCs w:val="21"/>
          <w:highlight w:val="none"/>
        </w:rPr>
        <w:t xml:space="preserve">            </w:t>
      </w:r>
      <w:r>
        <w:rPr>
          <w:rFonts w:hint="eastAsia" w:ascii="宋体" w:hAnsi="宋体" w:eastAsia="宋体" w:cs="宋体"/>
          <w:color w:val="auto"/>
          <w:sz w:val="21"/>
          <w:szCs w:val="21"/>
          <w:highlight w:val="none"/>
        </w:rPr>
        <w:t>         </w:t>
      </w:r>
    </w:p>
    <w:p w14:paraId="2A5E8EF8">
      <w:pPr>
        <w:rPr>
          <w:rFonts w:hint="default" w:ascii="宋体" w:hAnsi="宋体" w:eastAsia="宋体" w:cs="宋体"/>
          <w:b/>
          <w:bCs/>
          <w:color w:val="auto"/>
          <w:sz w:val="32"/>
          <w:szCs w:val="32"/>
          <w:highlight w:val="none"/>
          <w:lang w:val="en-US" w:eastAsia="zh-CN"/>
        </w:rPr>
      </w:pPr>
    </w:p>
    <w:p w14:paraId="7679DB7C">
      <w:pPr>
        <w:pStyle w:val="34"/>
        <w:spacing w:beforeAutospacing="0" w:afterAutospacing="0"/>
        <w:jc w:val="center"/>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t>十八、履约能力</w:t>
      </w:r>
    </w:p>
    <w:p w14:paraId="68CE1A60">
      <w:pPr>
        <w:pStyle w:val="36"/>
        <w:widowControl w:val="0"/>
        <w:numPr>
          <w:ilvl w:val="0"/>
          <w:numId w:val="0"/>
        </w:numPr>
        <w:jc w:val="both"/>
        <w:rPr>
          <w:rFonts w:hint="eastAsia"/>
          <w:color w:val="auto"/>
          <w:highlight w:val="none"/>
          <w:lang w:val="en-US" w:eastAsia="zh-CN"/>
        </w:rPr>
      </w:pPr>
      <w:r>
        <w:rPr>
          <w:rFonts w:hint="eastAsia"/>
          <w:color w:val="auto"/>
          <w:highlight w:val="none"/>
          <w:lang w:val="en-US" w:eastAsia="zh-CN"/>
        </w:rPr>
        <w:t>1.业绩</w:t>
      </w:r>
    </w:p>
    <w:p w14:paraId="7625BED3">
      <w:pPr>
        <w:pStyle w:val="36"/>
        <w:widowControl w:val="0"/>
        <w:numPr>
          <w:ilvl w:val="0"/>
          <w:numId w:val="0"/>
        </w:numPr>
        <w:jc w:val="both"/>
        <w:rPr>
          <w:rFonts w:hint="eastAsia"/>
          <w:color w:val="auto"/>
          <w:highlight w:val="none"/>
          <w:lang w:val="en-US" w:eastAsia="zh-CN"/>
        </w:rPr>
      </w:pPr>
    </w:p>
    <w:p w14:paraId="00706A0A">
      <w:pPr>
        <w:pStyle w:val="36"/>
        <w:widowControl w:val="0"/>
        <w:numPr>
          <w:ilvl w:val="0"/>
          <w:numId w:val="0"/>
        </w:numPr>
        <w:jc w:val="both"/>
        <w:rPr>
          <w:rFonts w:hint="eastAsia"/>
          <w:color w:val="auto"/>
          <w:highlight w:val="none"/>
          <w:lang w:val="en-US" w:eastAsia="zh-CN"/>
        </w:rPr>
      </w:pPr>
    </w:p>
    <w:p w14:paraId="0FE39B22">
      <w:pPr>
        <w:pStyle w:val="36"/>
        <w:widowControl w:val="0"/>
        <w:numPr>
          <w:ilvl w:val="0"/>
          <w:numId w:val="0"/>
        </w:numPr>
        <w:jc w:val="both"/>
        <w:rPr>
          <w:rFonts w:hint="eastAsia"/>
          <w:color w:val="auto"/>
          <w:highlight w:val="none"/>
          <w:lang w:val="en-US" w:eastAsia="zh-CN"/>
        </w:rPr>
      </w:pPr>
    </w:p>
    <w:p w14:paraId="6B5E723B">
      <w:pPr>
        <w:pStyle w:val="36"/>
        <w:widowControl w:val="0"/>
        <w:numPr>
          <w:ilvl w:val="0"/>
          <w:numId w:val="0"/>
        </w:numPr>
        <w:jc w:val="both"/>
        <w:rPr>
          <w:rFonts w:hint="default"/>
          <w:color w:val="auto"/>
          <w:sz w:val="28"/>
          <w:szCs w:val="28"/>
          <w:highlight w:val="none"/>
          <w:lang w:val="en-US" w:eastAsia="zh-CN"/>
        </w:rPr>
      </w:pPr>
    </w:p>
    <w:p w14:paraId="086E65AF">
      <w:pPr>
        <w:rPr>
          <w:rFonts w:hint="default"/>
          <w:color w:val="auto"/>
          <w:highlight w:val="none"/>
          <w:lang w:val="en-US" w:eastAsia="zh-CN"/>
        </w:rPr>
      </w:pPr>
      <w:r>
        <w:rPr>
          <w:rFonts w:hint="eastAsia"/>
          <w:color w:val="auto"/>
          <w:sz w:val="28"/>
          <w:szCs w:val="28"/>
          <w:highlight w:val="none"/>
          <w:lang w:val="en-US" w:eastAsia="zh-CN"/>
        </w:rPr>
        <w:t>2.</w:t>
      </w:r>
      <w:r>
        <w:rPr>
          <w:rFonts w:hint="eastAsia" w:ascii="宋体" w:hAnsi="宋体" w:cs="宋体"/>
          <w:color w:val="auto"/>
          <w:kern w:val="0"/>
          <w:sz w:val="28"/>
          <w:szCs w:val="28"/>
          <w:highlight w:val="none"/>
        </w:rPr>
        <w:t>认证体系</w:t>
      </w:r>
      <w:r>
        <w:rPr>
          <w:rFonts w:hint="default"/>
          <w:color w:val="auto"/>
          <w:highlight w:val="none"/>
          <w:lang w:val="en-US" w:eastAsia="zh-CN"/>
        </w:rPr>
        <w:br w:type="page" w:clear="all"/>
      </w:r>
    </w:p>
    <w:p w14:paraId="47BA5728">
      <w:pPr>
        <w:widowControl/>
        <w:spacing w:line="499" w:lineRule="atLeast"/>
        <w:ind w:firstLine="1600"/>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lang w:val="en-US" w:eastAsia="zh-CN"/>
        </w:rPr>
        <w:t>十九、</w:t>
      </w:r>
      <w:r>
        <w:rPr>
          <w:rFonts w:hint="eastAsia" w:ascii="宋体" w:hAnsi="宋体" w:eastAsia="宋体" w:cs="宋体"/>
          <w:b/>
          <w:bCs/>
          <w:color w:val="auto"/>
          <w:sz w:val="32"/>
          <w:szCs w:val="32"/>
          <w:highlight w:val="none"/>
        </w:rPr>
        <w:t>盐城市政府采购事前信用承诺书</w:t>
      </w:r>
    </w:p>
    <w:p w14:paraId="6BD36FD2">
      <w:pPr>
        <w:widowControl/>
        <w:spacing w:line="499" w:lineRule="atLeast"/>
        <w:ind w:firstLine="420"/>
        <w:jc w:val="left"/>
        <w:rPr>
          <w:rFonts w:ascii="宋体" w:hAnsi="宋体" w:eastAsia="宋体" w:cs="宋体"/>
          <w:color w:val="auto"/>
          <w:szCs w:val="21"/>
          <w:highlight w:val="none"/>
        </w:rPr>
      </w:pPr>
    </w:p>
    <w:p w14:paraId="5FCCD383">
      <w:pPr>
        <w:widowControl/>
        <w:spacing w:line="499" w:lineRule="atLeast"/>
        <w:ind w:firstLine="420"/>
        <w:jc w:val="left"/>
        <w:rPr>
          <w:rFonts w:ascii="宋体" w:hAnsi="宋体" w:eastAsia="宋体" w:cs="宋体"/>
          <w:color w:val="auto"/>
          <w:szCs w:val="21"/>
          <w:highlight w:val="none"/>
        </w:rPr>
      </w:pPr>
      <w:r>
        <w:rPr>
          <w:rFonts w:hint="eastAsia" w:ascii="宋体" w:hAnsi="宋体" w:eastAsia="宋体" w:cs="宋体"/>
          <w:color w:val="auto"/>
          <w:szCs w:val="21"/>
          <w:highlight w:val="none"/>
        </w:rPr>
        <w:t>为营造我市公开、公平、公正、诚实守信的政府采购交易环境，树立诚信守法的投标人形象，本人代表本单位作出以下承诺：</w:t>
      </w:r>
    </w:p>
    <w:p w14:paraId="78AA2DCC">
      <w:pPr>
        <w:widowControl/>
        <w:spacing w:line="499" w:lineRule="atLeast"/>
        <w:ind w:firstLine="480"/>
        <w:jc w:val="left"/>
        <w:rPr>
          <w:rFonts w:ascii="宋体" w:hAnsi="宋体" w:eastAsia="宋体" w:cs="宋体"/>
          <w:color w:val="auto"/>
          <w:szCs w:val="21"/>
          <w:highlight w:val="none"/>
        </w:rPr>
      </w:pPr>
      <w:r>
        <w:rPr>
          <w:rFonts w:hint="eastAsia" w:ascii="宋体" w:hAnsi="宋体" w:eastAsia="宋体" w:cs="宋体"/>
          <w:color w:val="auto"/>
          <w:szCs w:val="21"/>
          <w:highlight w:val="none"/>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56DA5014">
      <w:pPr>
        <w:widowControl/>
        <w:spacing w:line="499" w:lineRule="atLeast"/>
        <w:ind w:firstLine="480"/>
        <w:jc w:val="left"/>
        <w:rPr>
          <w:rFonts w:ascii="宋体" w:hAnsi="宋体" w:eastAsia="宋体" w:cs="宋体"/>
          <w:color w:val="auto"/>
          <w:szCs w:val="21"/>
          <w:highlight w:val="none"/>
        </w:rPr>
      </w:pPr>
      <w:r>
        <w:rPr>
          <w:rFonts w:hint="eastAsia" w:ascii="宋体" w:hAnsi="宋体" w:eastAsia="宋体" w:cs="宋体"/>
          <w:color w:val="auto"/>
          <w:szCs w:val="21"/>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6304BCC">
      <w:pPr>
        <w:widowControl/>
        <w:spacing w:line="499" w:lineRule="atLeast"/>
        <w:ind w:firstLine="480"/>
        <w:jc w:val="left"/>
        <w:rPr>
          <w:rFonts w:ascii="宋体" w:hAnsi="宋体" w:eastAsia="宋体" w:cs="宋体"/>
          <w:color w:val="auto"/>
          <w:szCs w:val="21"/>
          <w:highlight w:val="none"/>
        </w:rPr>
      </w:pPr>
      <w:r>
        <w:rPr>
          <w:rFonts w:hint="eastAsia" w:ascii="宋体" w:hAnsi="宋体" w:eastAsia="宋体" w:cs="宋体"/>
          <w:color w:val="auto"/>
          <w:szCs w:val="21"/>
          <w:highlight w:val="none"/>
        </w:rPr>
        <w:t>（三）严格依照国家和省、市关于政府采购的</w:t>
      </w:r>
      <w:r>
        <w:rPr>
          <w:rFonts w:hint="eastAsia" w:ascii="宋体" w:hAnsi="宋体" w:eastAsia="宋体" w:cs="宋体"/>
          <w:color w:val="auto"/>
          <w:szCs w:val="21"/>
          <w:highlight w:val="none"/>
          <w:lang w:eastAsia="zh-CN"/>
        </w:rPr>
        <w:t>法律法规</w:t>
      </w:r>
      <w:r>
        <w:rPr>
          <w:rFonts w:hint="eastAsia" w:ascii="宋体" w:hAnsi="宋体" w:eastAsia="宋体" w:cs="宋体"/>
          <w:color w:val="auto"/>
          <w:szCs w:val="21"/>
          <w:highlight w:val="none"/>
        </w:rPr>
        <w:t xml:space="preserve">、规章、规范性文件，参加政府采购投标活动；积极履行社会责任，促进廉政建设； </w:t>
      </w:r>
    </w:p>
    <w:p w14:paraId="1B66EB26">
      <w:pPr>
        <w:widowControl/>
        <w:spacing w:line="499" w:lineRule="atLeast"/>
        <w:ind w:firstLine="480"/>
        <w:jc w:val="left"/>
        <w:rPr>
          <w:rFonts w:ascii="宋体" w:hAnsi="宋体" w:eastAsia="宋体" w:cs="宋体"/>
          <w:color w:val="auto"/>
          <w:szCs w:val="21"/>
          <w:highlight w:val="none"/>
        </w:rPr>
      </w:pPr>
      <w:r>
        <w:rPr>
          <w:rFonts w:hint="eastAsia" w:ascii="宋体" w:hAnsi="宋体" w:eastAsia="宋体" w:cs="宋体"/>
          <w:color w:val="auto"/>
          <w:szCs w:val="21"/>
          <w:highlight w:val="none"/>
        </w:rPr>
        <w:t>（四）严格遵守即时信息公示规定，及时维护和更新盐城市政府采购网中与本单位相关的信息；</w:t>
      </w:r>
    </w:p>
    <w:p w14:paraId="4ACEB395">
      <w:pPr>
        <w:widowControl/>
        <w:spacing w:line="499" w:lineRule="atLeast"/>
        <w:ind w:firstLine="480"/>
        <w:jc w:val="left"/>
        <w:rPr>
          <w:rFonts w:ascii="宋体" w:hAnsi="宋体" w:eastAsia="宋体" w:cs="宋体"/>
          <w:color w:val="auto"/>
          <w:szCs w:val="21"/>
          <w:highlight w:val="none"/>
        </w:rPr>
      </w:pPr>
      <w:r>
        <w:rPr>
          <w:rFonts w:hint="eastAsia" w:ascii="宋体" w:hAnsi="宋体" w:eastAsia="宋体" w:cs="宋体"/>
          <w:color w:val="auto"/>
          <w:szCs w:val="21"/>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5805B302">
      <w:pPr>
        <w:widowControl/>
        <w:spacing w:line="499" w:lineRule="atLeast"/>
        <w:ind w:firstLine="480"/>
        <w:jc w:val="left"/>
        <w:rPr>
          <w:rFonts w:ascii="宋体" w:hAnsi="宋体" w:eastAsia="宋体" w:cs="宋体"/>
          <w:color w:val="auto"/>
          <w:szCs w:val="21"/>
          <w:highlight w:val="none"/>
        </w:rPr>
      </w:pPr>
      <w:r>
        <w:rPr>
          <w:rFonts w:hint="eastAsia" w:ascii="宋体" w:hAnsi="宋体" w:eastAsia="宋体" w:cs="宋体"/>
          <w:color w:val="auto"/>
          <w:szCs w:val="21"/>
          <w:highlight w:val="none"/>
        </w:rPr>
        <w:t>（六）自觉接受政府、行业组织、社会公众、新闻舆论的监督；</w:t>
      </w:r>
    </w:p>
    <w:p w14:paraId="2A254F9B">
      <w:pPr>
        <w:widowControl/>
        <w:spacing w:line="499" w:lineRule="atLeast"/>
        <w:ind w:firstLine="480"/>
        <w:jc w:val="left"/>
        <w:rPr>
          <w:rFonts w:ascii="宋体" w:hAnsi="宋体" w:eastAsia="宋体" w:cs="宋体"/>
          <w:color w:val="auto"/>
          <w:szCs w:val="21"/>
          <w:highlight w:val="none"/>
        </w:rPr>
      </w:pPr>
      <w:r>
        <w:rPr>
          <w:rFonts w:hint="eastAsia" w:ascii="宋体" w:hAnsi="宋体" w:eastAsia="宋体" w:cs="宋体"/>
          <w:color w:val="auto"/>
          <w:szCs w:val="21"/>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6594906">
      <w:pPr>
        <w:widowControl/>
        <w:spacing w:line="499" w:lineRule="atLeast"/>
        <w:ind w:firstLine="480"/>
        <w:jc w:val="left"/>
        <w:rPr>
          <w:rFonts w:ascii="宋体" w:hAnsi="宋体" w:eastAsia="宋体" w:cs="宋体"/>
          <w:color w:val="auto"/>
          <w:szCs w:val="21"/>
          <w:highlight w:val="none"/>
        </w:rPr>
      </w:pPr>
      <w:r>
        <w:rPr>
          <w:rFonts w:hint="eastAsia" w:ascii="宋体" w:hAnsi="宋体" w:eastAsia="宋体" w:cs="宋体"/>
          <w:color w:val="auto"/>
          <w:szCs w:val="21"/>
          <w:highlight w:val="none"/>
        </w:rPr>
        <w:t>（八）本人已认真阅读了上述承诺，并向本单位员</w:t>
      </w:r>
      <w:r>
        <w:rPr>
          <w:rFonts w:hint="eastAsia" w:ascii="宋体" w:hAnsi="宋体" w:eastAsia="宋体" w:cs="宋体"/>
          <w:color w:val="auto"/>
          <w:szCs w:val="21"/>
          <w:highlight w:val="none"/>
          <w:lang w:eastAsia="zh-CN"/>
        </w:rPr>
        <w:t>工作</w:t>
      </w:r>
      <w:r>
        <w:rPr>
          <w:rFonts w:hint="eastAsia" w:ascii="宋体" w:hAnsi="宋体" w:eastAsia="宋体" w:cs="宋体"/>
          <w:color w:val="auto"/>
          <w:szCs w:val="21"/>
          <w:highlight w:val="none"/>
        </w:rPr>
        <w:t>了宣传教育。</w:t>
      </w:r>
      <w:bookmarkStart w:id="213" w:name="_GoBack"/>
      <w:bookmarkEnd w:id="213"/>
    </w:p>
    <w:p w14:paraId="35C6FEE4">
      <w:pPr>
        <w:widowControl/>
        <w:spacing w:line="499" w:lineRule="atLeast"/>
        <w:jc w:val="left"/>
        <w:rPr>
          <w:rFonts w:ascii="宋体" w:hAnsi="宋体" w:eastAsia="宋体" w:cs="宋体"/>
          <w:color w:val="auto"/>
          <w:szCs w:val="21"/>
          <w:highlight w:val="none"/>
        </w:rPr>
      </w:pPr>
      <w:r>
        <w:rPr>
          <w:rFonts w:hint="eastAsia" w:ascii="宋体" w:hAnsi="宋体" w:eastAsia="宋体" w:cs="宋体"/>
          <w:color w:val="auto"/>
          <w:szCs w:val="21"/>
          <w:highlight w:val="none"/>
        </w:rPr>
        <w:t>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盖章或</w:t>
      </w:r>
      <w:r>
        <w:rPr>
          <w:rFonts w:hint="eastAsia" w:ascii="宋体" w:hAnsi="宋体" w:eastAsia="宋体" w:cs="宋体"/>
          <w:color w:val="auto"/>
          <w:szCs w:val="21"/>
          <w:highlight w:val="none"/>
        </w:rPr>
        <w:t>签名</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6D5EB33D">
      <w:pPr>
        <w:widowControl/>
        <w:spacing w:line="499"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                   单位名称（盖章）：</w:t>
      </w:r>
    </w:p>
    <w:p w14:paraId="6668CDD3">
      <w:pPr>
        <w:widowControl/>
        <w:spacing w:line="499" w:lineRule="atLeast"/>
        <w:jc w:val="center"/>
        <w:rPr>
          <w:rFonts w:ascii="宋体" w:hAnsi="宋体" w:eastAsia="宋体" w:cs="宋体"/>
          <w:color w:val="auto"/>
          <w:szCs w:val="21"/>
          <w:highlight w:val="none"/>
        </w:rPr>
      </w:pPr>
      <w:r>
        <w:rPr>
          <w:rFonts w:hint="eastAsia" w:ascii="宋体" w:hAnsi="宋体" w:eastAsia="宋体" w:cs="宋体"/>
          <w:color w:val="auto"/>
          <w:szCs w:val="21"/>
          <w:highlight w:val="none"/>
        </w:rPr>
        <w:t>                      年月日</w:t>
      </w:r>
    </w:p>
    <w:p w14:paraId="165A15CA">
      <w:pPr>
        <w:pStyle w:val="34"/>
        <w:spacing w:beforeAutospacing="0" w:afterAutospacing="0"/>
        <w:jc w:val="center"/>
        <w:rPr>
          <w:color w:val="auto"/>
          <w:highlight w:val="none"/>
        </w:rPr>
      </w:pPr>
    </w:p>
    <w:bookmarkEnd w:id="193"/>
    <w:bookmarkEnd w:id="194"/>
    <w:bookmarkEnd w:id="196"/>
    <w:bookmarkEnd w:id="197"/>
    <w:bookmarkEnd w:id="198"/>
    <w:bookmarkEnd w:id="199"/>
    <w:bookmarkEnd w:id="208"/>
    <w:bookmarkEnd w:id="209"/>
    <w:bookmarkEnd w:id="210"/>
    <w:bookmarkEnd w:id="211"/>
    <w:bookmarkEnd w:id="212"/>
    <w:p w14:paraId="46DC72F9">
      <w:pPr>
        <w:pStyle w:val="34"/>
        <w:spacing w:beforeAutospacing="0" w:afterAutospacing="0"/>
        <w:jc w:val="center"/>
        <w:rPr>
          <w:color w:val="auto"/>
          <w:highlight w:val="none"/>
        </w:rPr>
      </w:pPr>
    </w:p>
    <w:p w14:paraId="6B6BD22A">
      <w:pPr>
        <w:pStyle w:val="34"/>
        <w:spacing w:beforeAutospacing="0" w:afterAutospacing="0"/>
        <w:jc w:val="center"/>
        <w:rPr>
          <w:color w:val="auto"/>
          <w:highlight w:val="none"/>
        </w:rPr>
      </w:pPr>
    </w:p>
    <w:p w14:paraId="32D9672B">
      <w:pPr>
        <w:rPr>
          <w:color w:val="auto"/>
          <w:highlight w:val="none"/>
        </w:rPr>
      </w:pPr>
    </w:p>
    <w:p w14:paraId="62651385">
      <w:pPr>
        <w:pStyle w:val="34"/>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3E877B86">
      <w:pPr>
        <w:pStyle w:val="34"/>
        <w:spacing w:before="290"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一、质疑供应商基本信息</w:t>
      </w:r>
    </w:p>
    <w:p w14:paraId="1BFEBDFD">
      <w:pPr>
        <w:pStyle w:val="34"/>
        <w:spacing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质疑供应商：</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36E218A9">
      <w:pPr>
        <w:pStyle w:val="34"/>
        <w:spacing w:beforeAutospacing="0" w:afterAutospacing="0" w:line="360" w:lineRule="auto"/>
        <w:jc w:val="both"/>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w:t>
      </w:r>
    </w:p>
    <w:p w14:paraId="16812FD2">
      <w:pPr>
        <w:pStyle w:val="34"/>
        <w:spacing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07620973">
      <w:pPr>
        <w:pStyle w:val="34"/>
        <w:spacing w:beforeAutospacing="0" w:afterAutospacing="0" w:line="360" w:lineRule="auto"/>
        <w:jc w:val="both"/>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4AD12DC7">
      <w:pPr>
        <w:pStyle w:val="34"/>
        <w:spacing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p>
    <w:p w14:paraId="0C3206F8">
      <w:pPr>
        <w:pStyle w:val="34"/>
        <w:spacing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授权代表：</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5330235D">
      <w:pPr>
        <w:pStyle w:val="34"/>
        <w:spacing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406D6928">
      <w:pPr>
        <w:pStyle w:val="34"/>
        <w:spacing w:beforeAutospacing="0" w:afterAutospacing="0" w:line="360" w:lineRule="auto"/>
        <w:jc w:val="both"/>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地址： </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07729ACA">
      <w:pPr>
        <w:pStyle w:val="34"/>
        <w:spacing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single"/>
        </w:rPr>
        <w:t xml:space="preserve">                                </w:t>
      </w:r>
    </w:p>
    <w:p w14:paraId="32855C50">
      <w:pPr>
        <w:pStyle w:val="34"/>
        <w:spacing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二、质疑项目基本情况</w:t>
      </w:r>
    </w:p>
    <w:p w14:paraId="32005889">
      <w:pPr>
        <w:pStyle w:val="34"/>
        <w:spacing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质疑项目的名称：</w:t>
      </w:r>
      <w:r>
        <w:rPr>
          <w:rFonts w:hint="eastAsia" w:ascii="宋体" w:hAnsi="宋体" w:eastAsia="宋体" w:cs="宋体"/>
          <w:color w:val="auto"/>
          <w:sz w:val="21"/>
          <w:szCs w:val="21"/>
          <w:highlight w:val="none"/>
          <w:u w:val="single"/>
        </w:rPr>
        <w:t xml:space="preserve">                            </w:t>
      </w:r>
    </w:p>
    <w:p w14:paraId="607EB168">
      <w:pPr>
        <w:pStyle w:val="34"/>
        <w:spacing w:beforeAutospacing="0" w:afterAutospacing="0" w:line="360" w:lineRule="auto"/>
        <w:jc w:val="both"/>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质疑项目的编号：</w:t>
      </w:r>
      <w:r>
        <w:rPr>
          <w:rFonts w:hint="eastAsia" w:ascii="宋体" w:hAnsi="宋体" w:eastAsia="宋体" w:cs="宋体"/>
          <w:color w:val="auto"/>
          <w:sz w:val="21"/>
          <w:szCs w:val="21"/>
          <w:highlight w:val="none"/>
          <w:u w:val="single"/>
        </w:rPr>
        <w:t xml:space="preserve">                          </w:t>
      </w:r>
    </w:p>
    <w:p w14:paraId="74DCE497">
      <w:pPr>
        <w:pStyle w:val="34"/>
        <w:spacing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包号：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09584C9B">
      <w:pPr>
        <w:pStyle w:val="34"/>
        <w:spacing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采购人名称：</w:t>
      </w:r>
      <w:r>
        <w:rPr>
          <w:rFonts w:hint="eastAsia" w:ascii="宋体" w:hAnsi="宋体" w:eastAsia="宋体" w:cs="宋体"/>
          <w:color w:val="auto"/>
          <w:sz w:val="21"/>
          <w:szCs w:val="21"/>
          <w:highlight w:val="none"/>
          <w:u w:val="single"/>
        </w:rPr>
        <w:t xml:space="preserve">                            </w:t>
      </w:r>
    </w:p>
    <w:p w14:paraId="3C352943">
      <w:pPr>
        <w:pStyle w:val="34"/>
        <w:spacing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采购文件获取日期：</w:t>
      </w:r>
      <w:r>
        <w:rPr>
          <w:rFonts w:hint="eastAsia" w:ascii="宋体" w:hAnsi="宋体" w:eastAsia="宋体" w:cs="宋体"/>
          <w:color w:val="auto"/>
          <w:sz w:val="21"/>
          <w:szCs w:val="21"/>
          <w:highlight w:val="none"/>
          <w:u w:val="single"/>
        </w:rPr>
        <w:t xml:space="preserve">                             </w:t>
      </w:r>
    </w:p>
    <w:p w14:paraId="5841C936">
      <w:pPr>
        <w:pStyle w:val="34"/>
        <w:spacing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三、质疑事项具体内容</w:t>
      </w:r>
    </w:p>
    <w:p w14:paraId="621D85CE">
      <w:pPr>
        <w:pStyle w:val="34"/>
        <w:spacing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质疑事项1：</w:t>
      </w:r>
      <w:r>
        <w:rPr>
          <w:rFonts w:hint="eastAsia" w:ascii="宋体" w:hAnsi="宋体" w:eastAsia="宋体" w:cs="宋体"/>
          <w:color w:val="auto"/>
          <w:sz w:val="21"/>
          <w:szCs w:val="21"/>
          <w:highlight w:val="none"/>
          <w:u w:val="single"/>
        </w:rPr>
        <w:t xml:space="preserve">                             </w:t>
      </w:r>
    </w:p>
    <w:p w14:paraId="2A81D571">
      <w:pPr>
        <w:pStyle w:val="34"/>
        <w:spacing w:beforeAutospacing="0" w:afterAutospacing="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事实依据：</w:t>
      </w:r>
      <w:r>
        <w:rPr>
          <w:rFonts w:hint="eastAsia" w:ascii="宋体" w:hAnsi="宋体" w:eastAsia="宋体" w:cs="宋体"/>
          <w:color w:val="auto"/>
          <w:sz w:val="21"/>
          <w:szCs w:val="21"/>
          <w:highlight w:val="none"/>
          <w:u w:val="single"/>
        </w:rPr>
        <w:t xml:space="preserve">                                                   </w:t>
      </w:r>
    </w:p>
    <w:p w14:paraId="12614FF6">
      <w:pPr>
        <w:pStyle w:val="34"/>
        <w:spacing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法律依据：</w:t>
      </w:r>
      <w:r>
        <w:rPr>
          <w:rFonts w:hint="eastAsia" w:ascii="宋体" w:hAnsi="宋体" w:eastAsia="宋体" w:cs="宋体"/>
          <w:color w:val="auto"/>
          <w:sz w:val="21"/>
          <w:szCs w:val="21"/>
          <w:highlight w:val="none"/>
          <w:u w:val="single"/>
        </w:rPr>
        <w:t xml:space="preserve">                                                    </w:t>
      </w:r>
    </w:p>
    <w:p w14:paraId="214CF156">
      <w:pPr>
        <w:pStyle w:val="34"/>
        <w:spacing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质疑事项2</w:t>
      </w:r>
    </w:p>
    <w:p w14:paraId="54A1ECEF">
      <w:pPr>
        <w:pStyle w:val="34"/>
        <w:spacing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3DA0AF42">
      <w:pPr>
        <w:pStyle w:val="34"/>
        <w:spacing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四、与质疑事项相关的质疑请求</w:t>
      </w:r>
    </w:p>
    <w:p w14:paraId="56B7B2AA">
      <w:pPr>
        <w:pStyle w:val="34"/>
        <w:spacing w:beforeAutospacing="0" w:afterAutospacing="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请求：</w:t>
      </w:r>
      <w:r>
        <w:rPr>
          <w:rFonts w:hint="eastAsia" w:ascii="宋体" w:hAnsi="宋体" w:eastAsia="宋体" w:cs="宋体"/>
          <w:color w:val="auto"/>
          <w:sz w:val="21"/>
          <w:szCs w:val="21"/>
          <w:highlight w:val="none"/>
          <w:u w:val="single"/>
        </w:rPr>
        <w:t xml:space="preserve">                                                          </w:t>
      </w:r>
    </w:p>
    <w:p w14:paraId="4C712F6C">
      <w:pPr>
        <w:pStyle w:val="34"/>
        <w:spacing w:beforeAutospacing="0" w:afterAutospacing="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签字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签章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公章：               日期：    </w:t>
      </w:r>
    </w:p>
    <w:p w14:paraId="7C3F69FD">
      <w:pPr>
        <w:pStyle w:val="34"/>
        <w:spacing w:beforeAutospacing="0" w:afterAutospacing="0" w:line="0" w:lineRule="atLeast"/>
        <w:jc w:val="both"/>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质疑函制作说明：</w:t>
      </w:r>
    </w:p>
    <w:p w14:paraId="7F020DA7">
      <w:pPr>
        <w:pStyle w:val="34"/>
        <w:widowControl/>
        <w:spacing w:beforeAutospacing="0" w:afterAutospacing="0" w:line="0" w:lineRule="atLeast"/>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1.供应商提出质疑时，应提交质疑函和必要的证明材料。</w:t>
      </w:r>
    </w:p>
    <w:p w14:paraId="0E8FB878">
      <w:pPr>
        <w:pStyle w:val="34"/>
        <w:widowControl/>
        <w:spacing w:beforeAutospacing="0" w:afterAutospacing="0" w:line="0" w:lineRule="atLeast"/>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F666699">
      <w:pPr>
        <w:pStyle w:val="34"/>
        <w:widowControl/>
        <w:spacing w:beforeAutospacing="0" w:afterAutospacing="0" w:line="0" w:lineRule="atLeast"/>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3.质疑供应商若对项目的某一分包进行质疑，质疑函中应列明具体分包号。</w:t>
      </w:r>
    </w:p>
    <w:p w14:paraId="53001B3A">
      <w:pPr>
        <w:pStyle w:val="34"/>
        <w:widowControl/>
        <w:spacing w:beforeAutospacing="0" w:afterAutospacing="0" w:line="0" w:lineRule="atLeast"/>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4.质疑函的质疑事项应具体、明确，并有必要的事实依据和法律依据。</w:t>
      </w:r>
    </w:p>
    <w:p w14:paraId="2E3B1EC3">
      <w:pPr>
        <w:pStyle w:val="34"/>
        <w:widowControl/>
        <w:spacing w:beforeAutospacing="0" w:afterAutospacing="0" w:line="0" w:lineRule="atLeast"/>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5.质疑函的质疑请求应与质疑事项相关。</w:t>
      </w:r>
    </w:p>
    <w:p w14:paraId="1F320BD4">
      <w:pPr>
        <w:pStyle w:val="34"/>
        <w:widowControl/>
        <w:spacing w:beforeAutospacing="0" w:afterAutospacing="0" w:line="0" w:lineRule="atLeast"/>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6.质疑供应商为自然人的，质疑函应由本人签字；质疑供应商为法人或者其他组织的，质疑函应由法定代表人、主要负责人，或者其授权代表签字或者盖章，并加盖公章。</w:t>
      </w:r>
    </w:p>
    <w:p w14:paraId="73DD765F">
      <w:pPr>
        <w:pStyle w:val="34"/>
        <w:spacing w:beforeAutospacing="0" w:afterAutospacing="0"/>
        <w:ind w:firstLine="420"/>
        <w:jc w:val="both"/>
        <w:rPr>
          <w:color w:val="auto"/>
          <w:highlight w:val="none"/>
        </w:rPr>
      </w:pPr>
      <w:r>
        <w:rPr>
          <w:rFonts w:hint="eastAsia" w:ascii="宋体" w:hAnsi="宋体" w:eastAsia="宋体" w:cs="宋体"/>
          <w:color w:val="auto"/>
          <w:highlight w:val="none"/>
        </w:rPr>
        <w:t> </w:t>
      </w:r>
    </w:p>
    <w:sectPr>
      <w:pgSz w:w="11906" w:h="16838"/>
      <w:pgMar w:top="1440" w:right="1800" w:bottom="1440" w:left="1800"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FKai-SB">
    <w:altName w:val="Microsoft JhengHei Light"/>
    <w:panose1 w:val="03000509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等线">
    <w:panose1 w:val="02010600030101010101"/>
    <w:charset w:val="86"/>
    <w:family w:val="auto"/>
    <w:pitch w:val="default"/>
    <w:sig w:usb0="A00002BF" w:usb1="38CF7CFA" w:usb2="00000016" w:usb3="00000000" w:csb0="0004000F" w:csb1="00000000"/>
  </w:font>
  <w:font w:name="幼圆">
    <w:altName w:val="宋体"/>
    <w:panose1 w:val="02010509060101010101"/>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C0749">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F2C85">
    <w:pPr>
      <w:pStyle w:val="2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5C8CC7">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75C8CC7">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418BCF"/>
    <w:multiLevelType w:val="singleLevel"/>
    <w:tmpl w:val="82418BCF"/>
    <w:lvl w:ilvl="0" w:tentative="0">
      <w:start w:val="4"/>
      <w:numFmt w:val="chineseCounting"/>
      <w:suff w:val="nothing"/>
      <w:lvlText w:val="%1、"/>
      <w:lvlJc w:val="left"/>
      <w:rPr>
        <w:rFonts w:hint="eastAsia"/>
      </w:rPr>
    </w:lvl>
  </w:abstractNum>
  <w:abstractNum w:abstractNumId="1">
    <w:nsid w:val="85C87C07"/>
    <w:multiLevelType w:val="multilevel"/>
    <w:tmpl w:val="85C87C07"/>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7A13E226"/>
    <w:multiLevelType w:val="multilevel"/>
    <w:tmpl w:val="7A13E226"/>
    <w:lvl w:ilvl="0" w:tentative="0">
      <w:start w:val="1"/>
      <w:numFmt w:val="chineseCounting"/>
      <w:suff w:val="nothing"/>
      <w:lvlText w:val="%1、"/>
      <w:lvlJc w:val="left"/>
      <w:rPr>
        <w:rFonts w:hint="eastAsia"/>
        <w:u w:val="single"/>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55F17"/>
    <w:rsid w:val="0160262B"/>
    <w:rsid w:val="01D34B7C"/>
    <w:rsid w:val="029D6F30"/>
    <w:rsid w:val="0379535F"/>
    <w:rsid w:val="044E498E"/>
    <w:rsid w:val="04F574FF"/>
    <w:rsid w:val="06936FD0"/>
    <w:rsid w:val="08B66FA6"/>
    <w:rsid w:val="0D0C3638"/>
    <w:rsid w:val="0DCE0B80"/>
    <w:rsid w:val="0F207EC4"/>
    <w:rsid w:val="11A800E4"/>
    <w:rsid w:val="12F23667"/>
    <w:rsid w:val="13837B4C"/>
    <w:rsid w:val="14B720DC"/>
    <w:rsid w:val="151938F0"/>
    <w:rsid w:val="15BE60D8"/>
    <w:rsid w:val="168D3A3C"/>
    <w:rsid w:val="17566556"/>
    <w:rsid w:val="19744352"/>
    <w:rsid w:val="1C4349B5"/>
    <w:rsid w:val="1C7D3AF2"/>
    <w:rsid w:val="1E7E7150"/>
    <w:rsid w:val="20566C4C"/>
    <w:rsid w:val="21160F34"/>
    <w:rsid w:val="2311256F"/>
    <w:rsid w:val="23210244"/>
    <w:rsid w:val="241A4435"/>
    <w:rsid w:val="246851A0"/>
    <w:rsid w:val="2483022C"/>
    <w:rsid w:val="25076767"/>
    <w:rsid w:val="259321C8"/>
    <w:rsid w:val="268B33C8"/>
    <w:rsid w:val="27AC1848"/>
    <w:rsid w:val="28E31299"/>
    <w:rsid w:val="2A9A6328"/>
    <w:rsid w:val="2AAD17F4"/>
    <w:rsid w:val="2C1B0FB3"/>
    <w:rsid w:val="2CAD4098"/>
    <w:rsid w:val="307D490E"/>
    <w:rsid w:val="309612E7"/>
    <w:rsid w:val="30DC4F4C"/>
    <w:rsid w:val="31AB491E"/>
    <w:rsid w:val="31B23EFF"/>
    <w:rsid w:val="334F0C1A"/>
    <w:rsid w:val="33B65480"/>
    <w:rsid w:val="353F5AA9"/>
    <w:rsid w:val="35FC1BEC"/>
    <w:rsid w:val="376646A6"/>
    <w:rsid w:val="3836588A"/>
    <w:rsid w:val="38593CFE"/>
    <w:rsid w:val="3A88189D"/>
    <w:rsid w:val="3A9B5060"/>
    <w:rsid w:val="3C2E6878"/>
    <w:rsid w:val="3C32768B"/>
    <w:rsid w:val="3C4E73C9"/>
    <w:rsid w:val="3D3A45BF"/>
    <w:rsid w:val="3D7075B6"/>
    <w:rsid w:val="3E3E77C9"/>
    <w:rsid w:val="3E8D7BAE"/>
    <w:rsid w:val="40CB0B39"/>
    <w:rsid w:val="41E727D0"/>
    <w:rsid w:val="420E5181"/>
    <w:rsid w:val="441D16AC"/>
    <w:rsid w:val="46CB3641"/>
    <w:rsid w:val="493B29FB"/>
    <w:rsid w:val="4A633409"/>
    <w:rsid w:val="4ABE5112"/>
    <w:rsid w:val="4BB40B47"/>
    <w:rsid w:val="4BC15012"/>
    <w:rsid w:val="4E0B7867"/>
    <w:rsid w:val="4E2F4DA0"/>
    <w:rsid w:val="4E760336"/>
    <w:rsid w:val="4FC20ADD"/>
    <w:rsid w:val="51C742B2"/>
    <w:rsid w:val="52C11D9C"/>
    <w:rsid w:val="53204D14"/>
    <w:rsid w:val="56240D23"/>
    <w:rsid w:val="57B65C47"/>
    <w:rsid w:val="599D164E"/>
    <w:rsid w:val="59B201BC"/>
    <w:rsid w:val="59D02094"/>
    <w:rsid w:val="5A3050EB"/>
    <w:rsid w:val="5BBA2073"/>
    <w:rsid w:val="5C491B25"/>
    <w:rsid w:val="5DCB6004"/>
    <w:rsid w:val="5DDA04C4"/>
    <w:rsid w:val="5DFB4BE4"/>
    <w:rsid w:val="5EAD1E38"/>
    <w:rsid w:val="61B839E6"/>
    <w:rsid w:val="62046260"/>
    <w:rsid w:val="640A1C82"/>
    <w:rsid w:val="64AA08E2"/>
    <w:rsid w:val="65165F77"/>
    <w:rsid w:val="668B029F"/>
    <w:rsid w:val="670C3750"/>
    <w:rsid w:val="6716400D"/>
    <w:rsid w:val="673821D5"/>
    <w:rsid w:val="682D5AB2"/>
    <w:rsid w:val="68462BBE"/>
    <w:rsid w:val="69232CE1"/>
    <w:rsid w:val="69855479"/>
    <w:rsid w:val="6B7967F0"/>
    <w:rsid w:val="6B80414A"/>
    <w:rsid w:val="6B9213EB"/>
    <w:rsid w:val="6BAC3191"/>
    <w:rsid w:val="6C022212"/>
    <w:rsid w:val="6C8C79B2"/>
    <w:rsid w:val="6D363186"/>
    <w:rsid w:val="6D401DE3"/>
    <w:rsid w:val="6E9E14B7"/>
    <w:rsid w:val="6EEB30F0"/>
    <w:rsid w:val="6FD827A7"/>
    <w:rsid w:val="71DB032D"/>
    <w:rsid w:val="72DA05E4"/>
    <w:rsid w:val="72DB2B37"/>
    <w:rsid w:val="743D61B3"/>
    <w:rsid w:val="75A650F5"/>
    <w:rsid w:val="761B33ED"/>
    <w:rsid w:val="763765C7"/>
    <w:rsid w:val="76773C07"/>
    <w:rsid w:val="77581F4A"/>
    <w:rsid w:val="78754002"/>
    <w:rsid w:val="7AB35031"/>
    <w:rsid w:val="7BE04A9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5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5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2"/>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Body Text"/>
    <w:basedOn w:val="1"/>
    <w:qFormat/>
    <w:uiPriority w:val="0"/>
    <w:rPr>
      <w:rFonts w:ascii="楷体_GB2312" w:hAnsi="Arial" w:eastAsia="楷体_GB2312"/>
      <w:sz w:val="28"/>
      <w:szCs w:val="28"/>
    </w:rPr>
  </w:style>
  <w:style w:type="paragraph" w:styleId="15">
    <w:name w:val="Body Text Indent"/>
    <w:basedOn w:val="1"/>
    <w:next w:val="16"/>
    <w:qFormat/>
    <w:uiPriority w:val="0"/>
    <w:pPr>
      <w:ind w:firstLine="645"/>
    </w:pPr>
    <w:rPr>
      <w:rFonts w:ascii="楷体_GB2312" w:eastAsia="楷体_GB2312"/>
      <w:sz w:val="32"/>
      <w:szCs w:val="32"/>
    </w:rPr>
  </w:style>
  <w:style w:type="paragraph" w:styleId="16">
    <w:name w:val="envelope return"/>
    <w:basedOn w:val="1"/>
    <w:qFormat/>
    <w:uiPriority w:val="0"/>
    <w:pPr>
      <w:tabs>
        <w:tab w:val="left" w:pos="1630"/>
      </w:tabs>
      <w:snapToGrid w:val="0"/>
      <w:jc w:val="left"/>
    </w:pPr>
    <w:rPr>
      <w:rFonts w:ascii="Arial" w:hAnsi="Arial" w:eastAsia="DFKai-SB" w:cs="Arial"/>
      <w:sz w:val="28"/>
      <w:szCs w:val="24"/>
      <w:lang w:eastAsia="zh-TW"/>
    </w:rPr>
  </w:style>
  <w:style w:type="paragraph" w:styleId="17">
    <w:name w:val="index 4"/>
    <w:basedOn w:val="1"/>
    <w:next w:val="1"/>
    <w:qFormat/>
    <w:uiPriority w:val="0"/>
    <w:pPr>
      <w:widowControl/>
      <w:spacing w:before="160" w:after="160" w:line="240" w:lineRule="atLeast"/>
      <w:ind w:left="1260"/>
      <w:jc w:val="left"/>
    </w:pPr>
    <w:rPr>
      <w:rFonts w:hint="eastAsia" w:ascii="Times New Roman" w:hAnsi="Times New Roman" w:cs="Arial"/>
      <w:szCs w:val="21"/>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9"/>
    <w:semiHidden/>
    <w:unhideWhenUsed/>
    <w:qFormat/>
    <w:uiPriority w:val="99"/>
    <w:pPr>
      <w:spacing w:after="0" w:line="240" w:lineRule="auto"/>
    </w:pPr>
    <w:rPr>
      <w:sz w:val="20"/>
    </w:rPr>
  </w:style>
  <w:style w:type="paragraph" w:styleId="22">
    <w:name w:val="Balloon Text"/>
    <w:basedOn w:val="1"/>
    <w:link w:val="217"/>
    <w:qFormat/>
    <w:uiPriority w:val="0"/>
    <w:rPr>
      <w:sz w:val="18"/>
      <w:szCs w:val="18"/>
    </w:rPr>
  </w:style>
  <w:style w:type="paragraph" w:styleId="23">
    <w:name w:val="footer"/>
    <w:basedOn w:val="1"/>
    <w:link w:val="206"/>
    <w:qFormat/>
    <w:uiPriority w:val="0"/>
    <w:pPr>
      <w:tabs>
        <w:tab w:val="center" w:pos="4153"/>
        <w:tab w:val="right" w:pos="8306"/>
      </w:tabs>
      <w:jc w:val="left"/>
    </w:pPr>
    <w:rPr>
      <w:sz w:val="18"/>
      <w:szCs w:val="18"/>
    </w:rPr>
  </w:style>
  <w:style w:type="paragraph" w:styleId="24">
    <w:name w:val="header"/>
    <w:basedOn w:val="1"/>
    <w:link w:val="205"/>
    <w:qFormat/>
    <w:uiPriority w:val="0"/>
    <w:pPr>
      <w:pBdr>
        <w:bottom w:val="single" w:color="auto" w:sz="6" w:space="1"/>
      </w:pBdr>
      <w:tabs>
        <w:tab w:val="center" w:pos="4153"/>
        <w:tab w:val="right" w:pos="8306"/>
      </w:tabs>
      <w:jc w:val="center"/>
    </w:pPr>
    <w:rPr>
      <w:sz w:val="18"/>
      <w:szCs w:val="18"/>
    </w:rPr>
  </w:style>
  <w:style w:type="paragraph" w:styleId="25">
    <w:name w:val="toc 1"/>
    <w:basedOn w:val="1"/>
    <w:next w:val="1"/>
    <w:qFormat/>
    <w:uiPriority w:val="0"/>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65"/>
    <w:qFormat/>
    <w:uiPriority w:val="11"/>
    <w:pPr>
      <w:spacing w:before="200" w:after="200"/>
    </w:pPr>
    <w:rPr>
      <w:sz w:val="24"/>
      <w:szCs w:val="24"/>
    </w:rPr>
  </w:style>
  <w:style w:type="paragraph" w:styleId="28">
    <w:name w:val="footnote text"/>
    <w:basedOn w:val="1"/>
    <w:link w:val="198"/>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Body Text Indent 3"/>
    <w:basedOn w:val="1"/>
    <w:qFormat/>
    <w:uiPriority w:val="0"/>
    <w:pPr>
      <w:ind w:left="645" w:firstLine="645"/>
    </w:pPr>
    <w:rPr>
      <w:rFonts w:ascii="Arial" w:hAnsi="Arial" w:eastAsia="仿宋_GB2312" w:cs="Arial"/>
      <w:color w:val="FFFF00"/>
      <w:sz w:val="32"/>
      <w:szCs w:val="32"/>
    </w:r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0"/>
    <w:pPr>
      <w:spacing w:beforeAutospacing="1" w:afterAutospacing="1"/>
      <w:jc w:val="left"/>
    </w:pPr>
    <w:rPr>
      <w:rFonts w:cs="Times New Roman"/>
      <w:sz w:val="24"/>
    </w:rPr>
  </w:style>
  <w:style w:type="paragraph" w:styleId="35">
    <w:name w:val="Title"/>
    <w:basedOn w:val="1"/>
    <w:next w:val="1"/>
    <w:link w:val="64"/>
    <w:qFormat/>
    <w:uiPriority w:val="10"/>
    <w:pPr>
      <w:spacing w:before="300" w:after="200"/>
      <w:contextualSpacing/>
    </w:pPr>
    <w:rPr>
      <w:sz w:val="48"/>
      <w:szCs w:val="48"/>
    </w:rPr>
  </w:style>
  <w:style w:type="paragraph" w:styleId="36">
    <w:name w:val="Body Text First Indent"/>
    <w:basedOn w:val="14"/>
    <w:unhideWhenUsed/>
    <w:qFormat/>
    <w:uiPriority w:val="99"/>
    <w:pPr>
      <w:ind w:firstLine="420"/>
    </w:pPr>
    <w:rPr>
      <w:rFonts w:ascii="Times New Roman" w:hAnsi="Times New Roman" w:eastAsia="宋体" w:cs="Times New Roman"/>
    </w:rPr>
  </w:style>
  <w:style w:type="paragraph" w:styleId="37">
    <w:name w:val="Body Text First Indent 2"/>
    <w:basedOn w:val="15"/>
    <w:unhideWhenUsed/>
    <w:qFormat/>
    <w:uiPriority w:val="0"/>
    <w:pPr>
      <w:adjustRightInd/>
      <w:snapToGrid/>
      <w:spacing w:after="120" w:line="360" w:lineRule="auto"/>
      <w:ind w:left="420" w:leftChars="200" w:firstLine="420"/>
    </w:pPr>
    <w:rPr>
      <w:rFonts w:ascii="Times New Roman" w:hAnsi="Times New Roman" w:eastAsia="宋体"/>
      <w:sz w:val="24"/>
      <w:szCs w:val="22"/>
    </w:rPr>
  </w:style>
  <w:style w:type="table" w:styleId="39">
    <w:name w:val="Table Grid"/>
    <w:basedOn w:val="3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22"/>
    <w:rPr>
      <w:b/>
    </w:rPr>
  </w:style>
  <w:style w:type="character" w:styleId="42">
    <w:name w:val="endnote reference"/>
    <w:basedOn w:val="40"/>
    <w:semiHidden/>
    <w:unhideWhenUsed/>
    <w:qFormat/>
    <w:uiPriority w:val="99"/>
    <w:rPr>
      <w:vertAlign w:val="superscript"/>
    </w:rPr>
  </w:style>
  <w:style w:type="character" w:styleId="43">
    <w:name w:val="FollowedHyperlink"/>
    <w:basedOn w:val="40"/>
    <w:qFormat/>
    <w:uiPriority w:val="0"/>
    <w:rPr>
      <w:color w:val="FFFFFF"/>
      <w:u w:val="none"/>
    </w:rPr>
  </w:style>
  <w:style w:type="character" w:styleId="44">
    <w:name w:val="HTML Definition"/>
    <w:basedOn w:val="40"/>
    <w:qFormat/>
    <w:uiPriority w:val="0"/>
  </w:style>
  <w:style w:type="character" w:styleId="45">
    <w:name w:val="HTML Typewriter"/>
    <w:basedOn w:val="40"/>
    <w:qFormat/>
    <w:uiPriority w:val="0"/>
    <w:rPr>
      <w:rFonts w:ascii="monospace" w:hAnsi="monospace" w:eastAsia="monospace" w:cs="monospace"/>
      <w:sz w:val="20"/>
    </w:rPr>
  </w:style>
  <w:style w:type="character" w:styleId="46">
    <w:name w:val="HTML Acronym"/>
    <w:basedOn w:val="40"/>
    <w:qFormat/>
    <w:uiPriority w:val="0"/>
  </w:style>
  <w:style w:type="character" w:styleId="47">
    <w:name w:val="HTML Variable"/>
    <w:basedOn w:val="40"/>
    <w:qFormat/>
    <w:uiPriority w:val="0"/>
  </w:style>
  <w:style w:type="character" w:styleId="48">
    <w:name w:val="Hyperlink"/>
    <w:basedOn w:val="40"/>
    <w:qFormat/>
    <w:uiPriority w:val="0"/>
    <w:rPr>
      <w:color w:val="FFFFFF"/>
      <w:u w:val="none"/>
    </w:rPr>
  </w:style>
  <w:style w:type="character" w:styleId="49">
    <w:name w:val="HTML Code"/>
    <w:basedOn w:val="40"/>
    <w:qFormat/>
    <w:uiPriority w:val="0"/>
    <w:rPr>
      <w:rFonts w:hint="default" w:ascii="monospace" w:hAnsi="monospace" w:eastAsia="monospace" w:cs="monospace"/>
      <w:sz w:val="20"/>
    </w:rPr>
  </w:style>
  <w:style w:type="character" w:styleId="50">
    <w:name w:val="HTML Cite"/>
    <w:basedOn w:val="40"/>
    <w:qFormat/>
    <w:uiPriority w:val="0"/>
  </w:style>
  <w:style w:type="character" w:styleId="51">
    <w:name w:val="footnote reference"/>
    <w:basedOn w:val="40"/>
    <w:unhideWhenUsed/>
    <w:qFormat/>
    <w:uiPriority w:val="99"/>
    <w:rPr>
      <w:vertAlign w:val="superscript"/>
    </w:rPr>
  </w:style>
  <w:style w:type="character" w:styleId="52">
    <w:name w:val="HTML Keyboard"/>
    <w:basedOn w:val="40"/>
    <w:qFormat/>
    <w:uiPriority w:val="0"/>
    <w:rPr>
      <w:rFonts w:hint="default" w:ascii="monospace" w:hAnsi="monospace" w:eastAsia="monospace" w:cs="monospace"/>
      <w:sz w:val="20"/>
    </w:rPr>
  </w:style>
  <w:style w:type="character" w:styleId="53">
    <w:name w:val="HTML Sample"/>
    <w:basedOn w:val="40"/>
    <w:qFormat/>
    <w:uiPriority w:val="0"/>
    <w:rPr>
      <w:rFonts w:hint="default" w:ascii="monospace" w:hAnsi="monospace" w:eastAsia="monospace" w:cs="monospace"/>
    </w:rPr>
  </w:style>
  <w:style w:type="character" w:customStyle="1" w:styleId="54">
    <w:name w:val="Heading 1 Char"/>
    <w:basedOn w:val="40"/>
    <w:link w:val="2"/>
    <w:qFormat/>
    <w:uiPriority w:val="9"/>
    <w:rPr>
      <w:rFonts w:ascii="Arial" w:hAnsi="Arial" w:eastAsia="Arial" w:cs="Arial"/>
      <w:sz w:val="40"/>
      <w:szCs w:val="40"/>
    </w:rPr>
  </w:style>
  <w:style w:type="character" w:customStyle="1" w:styleId="55">
    <w:name w:val="Heading 2 Char"/>
    <w:basedOn w:val="40"/>
    <w:qFormat/>
    <w:uiPriority w:val="9"/>
    <w:rPr>
      <w:rFonts w:ascii="Arial" w:hAnsi="Arial" w:eastAsia="Arial" w:cs="Arial"/>
      <w:sz w:val="34"/>
    </w:rPr>
  </w:style>
  <w:style w:type="character" w:customStyle="1" w:styleId="56">
    <w:name w:val="Heading 3 Char"/>
    <w:basedOn w:val="40"/>
    <w:link w:val="4"/>
    <w:qFormat/>
    <w:uiPriority w:val="9"/>
    <w:rPr>
      <w:rFonts w:ascii="Arial" w:hAnsi="Arial" w:eastAsia="Arial" w:cs="Arial"/>
      <w:sz w:val="30"/>
      <w:szCs w:val="30"/>
    </w:rPr>
  </w:style>
  <w:style w:type="character" w:customStyle="1" w:styleId="57">
    <w:name w:val="Heading 4 Char"/>
    <w:basedOn w:val="40"/>
    <w:link w:val="5"/>
    <w:qFormat/>
    <w:uiPriority w:val="9"/>
    <w:rPr>
      <w:rFonts w:ascii="Arial" w:hAnsi="Arial" w:eastAsia="Arial" w:cs="Arial"/>
      <w:b/>
      <w:bCs/>
      <w:sz w:val="26"/>
      <w:szCs w:val="26"/>
    </w:rPr>
  </w:style>
  <w:style w:type="character" w:customStyle="1" w:styleId="58">
    <w:name w:val="Heading 5 Char"/>
    <w:basedOn w:val="40"/>
    <w:link w:val="6"/>
    <w:qFormat/>
    <w:uiPriority w:val="9"/>
    <w:rPr>
      <w:rFonts w:ascii="Arial" w:hAnsi="Arial" w:eastAsia="Arial" w:cs="Arial"/>
      <w:b/>
      <w:bCs/>
      <w:sz w:val="24"/>
      <w:szCs w:val="24"/>
    </w:rPr>
  </w:style>
  <w:style w:type="character" w:customStyle="1" w:styleId="59">
    <w:name w:val="Heading 6 Char"/>
    <w:basedOn w:val="40"/>
    <w:link w:val="7"/>
    <w:qFormat/>
    <w:uiPriority w:val="9"/>
    <w:rPr>
      <w:rFonts w:ascii="Arial" w:hAnsi="Arial" w:eastAsia="Arial" w:cs="Arial"/>
      <w:b/>
      <w:bCs/>
      <w:sz w:val="22"/>
      <w:szCs w:val="22"/>
    </w:rPr>
  </w:style>
  <w:style w:type="character" w:customStyle="1" w:styleId="60">
    <w:name w:val="Heading 7 Char"/>
    <w:basedOn w:val="40"/>
    <w:link w:val="8"/>
    <w:qFormat/>
    <w:uiPriority w:val="9"/>
    <w:rPr>
      <w:rFonts w:ascii="Arial" w:hAnsi="Arial" w:eastAsia="Arial" w:cs="Arial"/>
      <w:b/>
      <w:bCs/>
      <w:i/>
      <w:iCs/>
      <w:sz w:val="22"/>
      <w:szCs w:val="22"/>
    </w:rPr>
  </w:style>
  <w:style w:type="character" w:customStyle="1" w:styleId="61">
    <w:name w:val="Heading 8 Char"/>
    <w:basedOn w:val="40"/>
    <w:link w:val="9"/>
    <w:qFormat/>
    <w:uiPriority w:val="9"/>
    <w:rPr>
      <w:rFonts w:ascii="Arial" w:hAnsi="Arial" w:eastAsia="Arial" w:cs="Arial"/>
      <w:i/>
      <w:iCs/>
      <w:sz w:val="22"/>
      <w:szCs w:val="22"/>
    </w:rPr>
  </w:style>
  <w:style w:type="character" w:customStyle="1" w:styleId="62">
    <w:name w:val="Heading 9 Char"/>
    <w:basedOn w:val="40"/>
    <w:link w:val="10"/>
    <w:qFormat/>
    <w:uiPriority w:val="9"/>
    <w:rPr>
      <w:rFonts w:ascii="Arial" w:hAnsi="Arial" w:eastAsia="Arial" w:cs="Arial"/>
      <w:i/>
      <w:iCs/>
      <w:sz w:val="21"/>
      <w:szCs w:val="21"/>
    </w:rPr>
  </w:style>
  <w:style w:type="paragraph" w:styleId="63">
    <w:name w:val="No Spacing"/>
    <w:qFormat/>
    <w:uiPriority w:val="1"/>
    <w:pPr>
      <w:spacing w:before="0" w:after="0" w:line="240" w:lineRule="auto"/>
    </w:pPr>
    <w:rPr>
      <w:rFonts w:hint="default" w:ascii="Times New Roman" w:hAnsi="Times New Roman" w:eastAsia="宋体" w:cs="Times New Roman"/>
    </w:rPr>
  </w:style>
  <w:style w:type="character" w:customStyle="1" w:styleId="64">
    <w:name w:val="Title Char"/>
    <w:basedOn w:val="40"/>
    <w:link w:val="35"/>
    <w:qFormat/>
    <w:uiPriority w:val="10"/>
    <w:rPr>
      <w:sz w:val="48"/>
      <w:szCs w:val="48"/>
    </w:rPr>
  </w:style>
  <w:style w:type="character" w:customStyle="1" w:styleId="65">
    <w:name w:val="Subtitle Char"/>
    <w:basedOn w:val="40"/>
    <w:link w:val="27"/>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Quote Char"/>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9">
    <w:name w:val="Intense Quote Char"/>
    <w:link w:val="68"/>
    <w:qFormat/>
    <w:uiPriority w:val="30"/>
    <w:rPr>
      <w:i/>
    </w:rPr>
  </w:style>
  <w:style w:type="character" w:customStyle="1" w:styleId="70">
    <w:name w:val="Header Char"/>
    <w:basedOn w:val="40"/>
    <w:qFormat/>
    <w:uiPriority w:val="99"/>
  </w:style>
  <w:style w:type="character" w:customStyle="1" w:styleId="71">
    <w:name w:val="Footer Char"/>
    <w:basedOn w:val="40"/>
    <w:qFormat/>
    <w:uiPriority w:val="99"/>
  </w:style>
  <w:style w:type="character" w:customStyle="1" w:styleId="72">
    <w:name w:val="Caption Char"/>
    <w:qFormat/>
    <w:uiPriority w:val="99"/>
  </w:style>
  <w:style w:type="table" w:customStyle="1" w:styleId="73">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4">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1">
    <w:name w:val="Grid Table 1 Light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2">
    <w:name w:val="Grid Table 1 Light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3">
    <w:name w:val="Grid Table 1 Light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4">
    <w:name w:val="Grid Table 1 Light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5">
    <w:name w:val="Grid Table 1 Light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6">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8">
    <w:name w:val="Grid Table 2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2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2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2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2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5">
    <w:name w:val="Grid Table 3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3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3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3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3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38"/>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2">
    <w:name w:val="Grid Table 4 - Accent 2"/>
    <w:basedOn w:val="38"/>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3">
    <w:name w:val="Grid Table 4 - Accent 3"/>
    <w:basedOn w:val="38"/>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4">
    <w:name w:val="Grid Table 4 - Accent 4"/>
    <w:basedOn w:val="38"/>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5">
    <w:name w:val="Grid Table 4 - Accent 5"/>
    <w:basedOn w:val="38"/>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6">
    <w:name w:val="Grid Table 4 - Accent 6"/>
    <w:basedOn w:val="38"/>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7">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9">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0">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1">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2">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3">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4">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basedOn w:val="38"/>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basedOn w:val="38"/>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8">
    <w:name w:val="Grid Table 6 Colorful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basedOn w:val="38"/>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0">
    <w:name w:val="Grid Table 6 Colorful - Accent 6"/>
    <w:basedOn w:val="38"/>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1">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basedOn w:val="38"/>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basedOn w:val="38"/>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basedOn w:val="38"/>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5">
    <w:name w:val="Grid Table 7 Colorful - Accent 4"/>
    <w:basedOn w:val="38"/>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basedOn w:val="38"/>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7">
    <w:name w:val="Grid Table 7 Colorful - Accent 6"/>
    <w:basedOn w:val="38"/>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8">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38"/>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0">
    <w:name w:val="List Table 1 Light - Accent 2"/>
    <w:basedOn w:val="38"/>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1">
    <w:name w:val="List Table 1 Light - Accent 3"/>
    <w:basedOn w:val="38"/>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2">
    <w:name w:val="List Table 1 Light - Accent 4"/>
    <w:basedOn w:val="38"/>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3">
    <w:name w:val="List Table 1 Light - Accent 5"/>
    <w:basedOn w:val="38"/>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4">
    <w:name w:val="List Table 1 Light - Accent 6"/>
    <w:basedOn w:val="38"/>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5">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38"/>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7">
    <w:name w:val="List Table 2 - Accent 2"/>
    <w:basedOn w:val="38"/>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8">
    <w:name w:val="List Table 2 - Accent 3"/>
    <w:basedOn w:val="38"/>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9">
    <w:name w:val="List Table 2 - Accent 4"/>
    <w:basedOn w:val="38"/>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0">
    <w:name w:val="List Table 2 - Accent 5"/>
    <w:basedOn w:val="38"/>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1">
    <w:name w:val="List Table 2 - Accent 6"/>
    <w:basedOn w:val="38"/>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2">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38"/>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4">
    <w:name w:val="List Table 3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5">
    <w:name w:val="List Table 3 - Accent 3"/>
    <w:basedOn w:val="38"/>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6">
    <w:name w:val="List Table 3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7">
    <w:name w:val="List Table 3 - Accent 5"/>
    <w:basedOn w:val="38"/>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8">
    <w:name w:val="List Table 3 - Accent 6"/>
    <w:basedOn w:val="38"/>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9">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38"/>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1">
    <w:name w:val="List Table 4 - Accent 2"/>
    <w:basedOn w:val="38"/>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2">
    <w:name w:val="List Table 4 - Accent 3"/>
    <w:basedOn w:val="38"/>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3">
    <w:name w:val="List Table 4 - Accent 4"/>
    <w:basedOn w:val="38"/>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4">
    <w:name w:val="List Table 4 - Accent 5"/>
    <w:basedOn w:val="38"/>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5">
    <w:name w:val="List Table 4 - Accent 6"/>
    <w:basedOn w:val="38"/>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6">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38"/>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8">
    <w:name w:val="List Table 5 Dark - Accent 2"/>
    <w:basedOn w:val="38"/>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9">
    <w:name w:val="List Table 5 Dark - Accent 3"/>
    <w:basedOn w:val="38"/>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0">
    <w:name w:val="List Table 5 Dark - Accent 4"/>
    <w:basedOn w:val="38"/>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1">
    <w:name w:val="List Table 5 Dark - Accent 5"/>
    <w:basedOn w:val="38"/>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2">
    <w:name w:val="List Table 5 Dark - Accent 6"/>
    <w:basedOn w:val="38"/>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3">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basedOn w:val="38"/>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5">
    <w:name w:val="List Table 6 Colorful - Accent 2"/>
    <w:basedOn w:val="38"/>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basedOn w:val="38"/>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basedOn w:val="38"/>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basedOn w:val="38"/>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basedOn w:val="38"/>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0">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basedOn w:val="38"/>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2">
    <w:name w:val="List Table 7 Colorful - Accent 2"/>
    <w:basedOn w:val="38"/>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basedOn w:val="38"/>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basedOn w:val="38"/>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basedOn w:val="38"/>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basedOn w:val="38"/>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7">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38"/>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9">
    <w:name w:val="Lined - Accent 2"/>
    <w:basedOn w:val="38"/>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Lined - Accent 3"/>
    <w:basedOn w:val="38"/>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Lined - Accent 4"/>
    <w:basedOn w:val="38"/>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Lined - Accent 5"/>
    <w:basedOn w:val="38"/>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3">
    <w:name w:val="Lined - Accent 6"/>
    <w:basedOn w:val="38"/>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38"/>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6">
    <w:name w:val="Bordered &amp; Lined - Accent 2"/>
    <w:basedOn w:val="38"/>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7">
    <w:name w:val="Bordered &amp; Lined - Accent 3"/>
    <w:basedOn w:val="38"/>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8">
    <w:name w:val="Bordered &amp; Lined - Accent 4"/>
    <w:basedOn w:val="38"/>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9">
    <w:name w:val="Bordered &amp; Lined - Accent 5"/>
    <w:basedOn w:val="38"/>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0">
    <w:name w:val="Bordered &amp; Lined - Accent 6"/>
    <w:basedOn w:val="38"/>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1">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3">
    <w:name w:val="Bordered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4">
    <w:name w:val="Bordered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5">
    <w:name w:val="Bordered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6">
    <w:name w:val="Bordered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7">
    <w:name w:val="Bordered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8">
    <w:name w:val="Footnote Text Char"/>
    <w:link w:val="28"/>
    <w:qFormat/>
    <w:uiPriority w:val="99"/>
    <w:rPr>
      <w:sz w:val="18"/>
    </w:rPr>
  </w:style>
  <w:style w:type="character" w:customStyle="1" w:styleId="199">
    <w:name w:val="Endnote Text Char"/>
    <w:link w:val="21"/>
    <w:qFormat/>
    <w:uiPriority w:val="99"/>
    <w:rPr>
      <w:sz w:val="20"/>
    </w:rPr>
  </w:style>
  <w:style w:type="paragraph" w:customStyle="1" w:styleId="200">
    <w:name w:val="TOC Heading"/>
    <w:unhideWhenUsed/>
    <w:qFormat/>
    <w:uiPriority w:val="39"/>
    <w:rPr>
      <w:rFonts w:hint="default" w:ascii="Times New Roman" w:hAnsi="Times New Roman" w:eastAsia="宋体" w:cs="Times New Roman"/>
    </w:rPr>
  </w:style>
  <w:style w:type="paragraph" w:customStyle="1" w:styleId="201">
    <w:name w:val="正文文本121"/>
    <w:basedOn w:val="1"/>
    <w:qFormat/>
    <w:uiPriority w:val="0"/>
    <w:pPr>
      <w:ind w:left="120"/>
    </w:pPr>
    <w:rPr>
      <w:rFonts w:ascii="宋体" w:eastAsia="宋体" w:cs="宋体"/>
      <w:szCs w:val="21"/>
      <w:lang w:val="zh-CN" w:bidi="zh-CN"/>
    </w:rPr>
  </w:style>
  <w:style w:type="paragraph" w:customStyle="1" w:styleId="202">
    <w:name w:val="Default"/>
    <w:basedOn w:val="1"/>
    <w:semiHidden/>
    <w:qFormat/>
    <w:uiPriority w:val="0"/>
    <w:pPr>
      <w:jc w:val="left"/>
    </w:pPr>
    <w:rPr>
      <w:rFonts w:ascii="宋体" w:hAnsi="Calibri" w:cs="宋体"/>
      <w:color w:val="000000"/>
      <w:sz w:val="24"/>
    </w:rPr>
  </w:style>
  <w:style w:type="paragraph" w:customStyle="1" w:styleId="203">
    <w:name w:val="4"/>
    <w:basedOn w:val="1"/>
    <w:next w:val="30"/>
    <w:qFormat/>
    <w:uiPriority w:val="0"/>
    <w:pPr>
      <w:spacing w:line="360" w:lineRule="auto"/>
      <w:ind w:firstLine="420"/>
    </w:pPr>
    <w:rPr>
      <w:color w:val="FF0000"/>
      <w:sz w:val="24"/>
    </w:rPr>
  </w:style>
  <w:style w:type="paragraph" w:customStyle="1" w:styleId="204">
    <w:name w:val="纯文本1"/>
    <w:basedOn w:val="1"/>
    <w:qFormat/>
    <w:uiPriority w:val="0"/>
    <w:rPr>
      <w:rFonts w:ascii="宋体" w:hAnsi="Courier New" w:eastAsia="楷体_GB2312"/>
      <w:sz w:val="28"/>
      <w:szCs w:val="20"/>
    </w:rPr>
  </w:style>
  <w:style w:type="character" w:customStyle="1" w:styleId="205">
    <w:name w:val="页眉 Char"/>
    <w:basedOn w:val="40"/>
    <w:link w:val="24"/>
    <w:qFormat/>
    <w:uiPriority w:val="0"/>
    <w:rPr>
      <w:sz w:val="18"/>
      <w:szCs w:val="18"/>
    </w:rPr>
  </w:style>
  <w:style w:type="character" w:customStyle="1" w:styleId="206">
    <w:name w:val="页脚 Char"/>
    <w:basedOn w:val="40"/>
    <w:link w:val="23"/>
    <w:qFormat/>
    <w:uiPriority w:val="0"/>
    <w:rPr>
      <w:sz w:val="18"/>
      <w:szCs w:val="18"/>
    </w:rPr>
  </w:style>
  <w:style w:type="paragraph" w:customStyle="1" w:styleId="207">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08">
    <w:name w:val="正文首行缩进 21"/>
    <w:basedOn w:val="209"/>
    <w:qFormat/>
    <w:uiPriority w:val="0"/>
    <w:pPr>
      <w:ind w:firstLine="420"/>
    </w:pPr>
  </w:style>
  <w:style w:type="paragraph" w:customStyle="1" w:styleId="209">
    <w:name w:val="正文文本缩进1"/>
    <w:basedOn w:val="1"/>
    <w:next w:val="210"/>
    <w:qFormat/>
    <w:uiPriority w:val="0"/>
    <w:pPr>
      <w:spacing w:after="120"/>
      <w:ind w:left="420"/>
    </w:pPr>
  </w:style>
  <w:style w:type="paragraph" w:customStyle="1" w:styleId="210">
    <w:name w:val="寄信人地址1"/>
    <w:basedOn w:val="1"/>
    <w:unhideWhenUsed/>
    <w:qFormat/>
    <w:uiPriority w:val="99"/>
    <w:rPr>
      <w:rFonts w:ascii="Arial" w:hAnsi="Arial"/>
    </w:rPr>
  </w:style>
  <w:style w:type="paragraph" w:styleId="211">
    <w:name w:val="List Paragraph"/>
    <w:basedOn w:val="1"/>
    <w:qFormat/>
    <w:uiPriority w:val="1"/>
    <w:pPr>
      <w:ind w:left="1177" w:hanging="530"/>
      <w:jc w:val="left"/>
    </w:pPr>
    <w:rPr>
      <w:rFonts w:ascii="宋体" w:hAnsi="宋体" w:cs="宋体"/>
      <w:sz w:val="22"/>
      <w:szCs w:val="22"/>
      <w:lang w:val="zh-CN" w:bidi="zh-CN"/>
    </w:rPr>
  </w:style>
  <w:style w:type="paragraph" w:customStyle="1" w:styleId="212">
    <w:name w:val="p0"/>
    <w:basedOn w:val="1"/>
    <w:qFormat/>
    <w:uiPriority w:val="0"/>
    <w:pPr>
      <w:widowControl/>
    </w:pPr>
    <w:rPr>
      <w:szCs w:val="21"/>
    </w:rPr>
  </w:style>
  <w:style w:type="character" w:customStyle="1" w:styleId="213">
    <w:name w:val="font21"/>
    <w:basedOn w:val="40"/>
    <w:qFormat/>
    <w:uiPriority w:val="0"/>
    <w:rPr>
      <w:rFonts w:hint="default" w:ascii="Times New Roman" w:hAnsi="Times New Roman" w:cs="Times New Roman"/>
      <w:color w:val="000000"/>
      <w:sz w:val="24"/>
      <w:szCs w:val="24"/>
      <w:u w:val="none"/>
    </w:rPr>
  </w:style>
  <w:style w:type="character" w:customStyle="1" w:styleId="214">
    <w:name w:val="font11"/>
    <w:basedOn w:val="40"/>
    <w:qFormat/>
    <w:uiPriority w:val="0"/>
    <w:rPr>
      <w:rFonts w:hint="eastAsia" w:ascii="宋体" w:hAnsi="宋体" w:eastAsia="宋体" w:cs="宋体"/>
      <w:b/>
      <w:bCs/>
      <w:color w:val="000000"/>
      <w:sz w:val="21"/>
      <w:szCs w:val="21"/>
      <w:u w:val="none"/>
    </w:rPr>
  </w:style>
  <w:style w:type="paragraph" w:customStyle="1" w:styleId="215">
    <w:name w:val="批注文字1"/>
    <w:basedOn w:val="1"/>
    <w:qFormat/>
    <w:uiPriority w:val="0"/>
    <w:pPr>
      <w:jc w:val="left"/>
    </w:pPr>
    <w:rPr>
      <w:rFonts w:ascii="Calibri" w:hAnsi="Calibri"/>
      <w:szCs w:val="22"/>
    </w:rPr>
  </w:style>
  <w:style w:type="paragraph" w:customStyle="1" w:styleId="216">
    <w:name w:val="Table Paragraph"/>
    <w:basedOn w:val="1"/>
    <w:qFormat/>
    <w:uiPriority w:val="1"/>
    <w:rPr>
      <w:rFonts w:ascii="宋体" w:hAnsi="宋体" w:cs="宋体"/>
      <w:lang w:val="zh-CN" w:bidi="zh-CN"/>
    </w:rPr>
  </w:style>
  <w:style w:type="character" w:customStyle="1" w:styleId="217">
    <w:name w:val="批注框文本 Char"/>
    <w:basedOn w:val="40"/>
    <w:link w:val="22"/>
    <w:qFormat/>
    <w:uiPriority w:val="0"/>
    <w:rPr>
      <w:rFonts w:asciiTheme="minorHAnsi" w:hAnsiTheme="minorHAnsi" w:eastAsiaTheme="minorEastAsia" w:cstheme="minorBidi"/>
      <w:sz w:val="18"/>
      <w:szCs w:val="18"/>
    </w:rPr>
  </w:style>
  <w:style w:type="paragraph" w:customStyle="1" w:styleId="218">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character" w:customStyle="1" w:styleId="219">
    <w:name w:val="layui-layer-tabnow"/>
    <w:basedOn w:val="40"/>
    <w:qFormat/>
    <w:uiPriority w:val="0"/>
    <w:rPr>
      <w:shd w:val="clear" w:color="auto" w:fill="FFFFFF"/>
    </w:rPr>
  </w:style>
  <w:style w:type="character" w:customStyle="1" w:styleId="220">
    <w:name w:val="first-child"/>
    <w:basedOn w:val="40"/>
    <w:qFormat/>
    <w:uiPriority w:val="0"/>
  </w:style>
  <w:style w:type="paragraph" w:customStyle="1" w:styleId="221">
    <w:name w:val="正文1"/>
    <w:basedOn w:val="1"/>
    <w:qFormat/>
    <w:uiPriority w:val="0"/>
    <w:pPr>
      <w:spacing w:line="400" w:lineRule="exact"/>
      <w:ind w:firstLine="420" w:firstLineChars="200"/>
    </w:pPr>
    <w:rPr>
      <w:rFonts w:ascii="宋体" w:hAnsi="宋体"/>
      <w:szCs w:val="21"/>
    </w:rPr>
  </w:style>
  <w:style w:type="paragraph" w:customStyle="1" w:styleId="222">
    <w:name w:val="正文文本缩进12"/>
    <w:basedOn w:val="1"/>
    <w:next w:val="223"/>
    <w:unhideWhenUsed/>
    <w:qFormat/>
    <w:uiPriority w:val="0"/>
    <w:pPr>
      <w:spacing w:after="120"/>
      <w:ind w:left="420"/>
    </w:pPr>
    <w:rPr>
      <w:rFonts w:ascii="Times New Roman" w:hAnsi="Times New Roman" w:eastAsia="宋体" w:cs="Times New Roman"/>
      <w:szCs w:val="20"/>
    </w:rPr>
  </w:style>
  <w:style w:type="paragraph" w:customStyle="1" w:styleId="223">
    <w:name w:val="寄信人地址11"/>
    <w:basedOn w:val="1"/>
    <w:qFormat/>
    <w:uiPriority w:val="0"/>
    <w:rPr>
      <w:rFonts w:ascii="Arial" w:hAnsi="Arial" w:eastAsia="楷体_GB2312" w:cs="Times New Roman"/>
      <w:sz w:val="26"/>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a4cf08b5-6376-4e0c-b9f9-1ba2cd9c7625</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3A4B5E47</paraID>
      <start>87</start>
      <end>92</end>
      <status>ignored</status>
      <modifiedWord/>
      <trackRevisions>false</trackRevisions>
    </reviewItem>
    <reviewItem>
      <errorID>7adbeac1-0e53-43d4-8f0a-3dc3b61f0962</errorID>
      <errorWord>[2011]300号</errorWord>
      <group>L1_Knowledge</group>
      <groupName>知识性问题</groupName>
      <ability>L2_Knowledge</ability>
      <abilityName>其他知识</abilityName>
      <candidateList>
        <item>〔2011〕300号</item>
      </candidateList>
      <explain>发文字号格式错误。</explain>
      <paraID>247785BA</paraID>
      <start>91</start>
      <end>101</end>
      <status>ignored</status>
      <modifiedWord/>
      <trackRevisions>false</trackRevisions>
    </reviewItem>
    <reviewItem>
      <errorID>fafce8eb-3020-4ef5-a284-04a292414df2</errorID>
      <errorWord>（</errorWord>
      <group>L1_Punc</group>
      <groupName>标点问题</groupName>
      <ability>L2_Punc_CN</ability>
      <abilityName/>
      <candidateList/>
      <explain>同一形式括号套用。</explain>
      <paraID>5970593B</paraID>
      <start>101</start>
      <end>102</end>
      <status>ignored</status>
      <modifiedWord/>
      <trackRevisions>false</trackRevisions>
    </reviewItem>
    <reviewItem>
      <errorID>817998db-3578-457d-a022-2d0e9019fb2c</errorID>
      <errorWord>）</errorWord>
      <group>L1_Punc</group>
      <groupName>标点问题</groupName>
      <ability>L2_Punc_CN</ability>
      <abilityName/>
      <candidateList/>
      <explain>同一形式括号套用。</explain>
      <paraID>5970593B</paraID>
      <start>112</start>
      <end>113</end>
      <status>ignored</status>
      <modifiedWord/>
      <trackRevisions>false</trackRevisions>
    </reviewItem>
    <reviewItem>
      <errorID>fd45220f-334a-420b-9acc-a80da429c416</errorID>
      <errorWord>-</errorWord>
      <group>L1_Format</group>
      <groupName>格式问题</groupName>
      <ability>L2_HalfPunc_CN</ability>
      <abilityName/>
      <candidateList>
        <item>－</item>
      </candidateList>
      <explain>文本全半角错误。</explain>
      <paraID> DBCAA25</paraID>
      <start>14</start>
      <end>15</end>
      <status>modified</status>
      <modifiedWord>－</modifiedWord>
      <trackRevisions>false</trackRevisions>
    </reviewItem>
    <reviewItem>
      <errorID>7f83b011-88a6-4aa5-b5d9-f4b48d820b6c</errorID>
      <errorWord>-</errorWord>
      <group>L1_Format</group>
      <groupName>格式问题</groupName>
      <ability>L2_HalfPunc_CN</ability>
      <abilityName/>
      <candidateList>
        <item>－</item>
      </candidateList>
      <explain>文本全半角错误。</explain>
      <paraID> DBCAA25</paraID>
      <start>15</start>
      <end>16</end>
      <status>modified</status>
      <modifiedWord>－</modifiedWord>
      <trackRevisions>false</trackRevisions>
    </reviewItem>
    <reviewItem>
      <errorID>7f992680-6c27-4a2f-bcec-63d0a412741f</errorID>
      <errorWord>“.</errorWord>
      <group>L1_Punc</group>
      <groupName>标点问题</groupName>
      <ability>L2_Punc_CN</ability>
      <abilityName/>
      <candidateList>
        <item>“</item>
      </candidateList>
      <explain/>
      <paraID> DBCAA25</paraID>
      <start>57</start>
      <end>59</end>
      <status>ignored</status>
      <modifiedWord/>
      <trackRevisions>false</trackRevisions>
    </reviewItem>
    <reviewItem>
      <errorID>4e4770a6-930a-4b28-899d-c3724c7f0c1e</errorID>
      <errorWord>“.</errorWord>
      <group>L1_Punc</group>
      <groupName>标点问题</groupName>
      <ability>L2_Punc_CN</ability>
      <abilityName/>
      <candidateList>
        <item>“</item>
      </candidateList>
      <explain/>
      <paraID> DBCAA25</paraID>
      <start>72</start>
      <end>74</end>
      <status>ignored</status>
      <modifiedWord/>
      <trackRevisions>false</trackRevisions>
    </reviewItem>
    <reviewItem>
      <errorID>a275d56c-20d7-4bd8-822c-8e376a18d7e1</errorID>
      <errorWord>-</errorWord>
      <group>L1_Format</group>
      <groupName>格式问题</groupName>
      <ability>L2_HalfPunc_CN</ability>
      <abilityName/>
      <candidateList>
        <item>－</item>
      </candidateList>
      <explain>文本全半角错误。</explain>
      <paraID> DBCAA25</paraID>
      <start>95</start>
      <end>96</end>
      <status>ignored</status>
      <modifiedWord/>
      <trackRevisions>false</trackRevisions>
    </reviewItem>
    <reviewItem>
      <errorID>cfb4683d-e9de-441c-8a15-5c3f6c71ebf1</errorID>
      <errorWord>-</errorWord>
      <group>L1_Format</group>
      <groupName>格式问题</groupName>
      <ability>L2_HalfPunc_CN</ability>
      <abilityName/>
      <candidateList>
        <item>－</item>
      </candidateList>
      <explain>文本全半角错误。</explain>
      <paraID> DBCAA25</paraID>
      <start>96</start>
      <end>97</end>
      <status>ignored</status>
      <modifiedWord/>
      <trackRevisions>false</trackRevisions>
    </reviewItem>
    <reviewItem>
      <errorID>83fd7d16-6039-459a-842b-1070066d1f49</errorID>
      <errorWord>-</errorWord>
      <group>L1_Format</group>
      <groupName>格式问题</groupName>
      <ability>L2_HalfPunc_CN</ability>
      <abilityName/>
      <candidateList>
        <item>－</item>
      </candidateList>
      <explain>文本全半角错误。</explain>
      <paraID> DBCAA25</paraID>
      <start>103</start>
      <end>104</end>
      <status>ignored</status>
      <modifiedWord/>
      <trackRevisions>false</trackRevisions>
    </reviewItem>
    <reviewItem>
      <errorID>655c34a2-2ab6-41b1-a91d-cff46d7f5de0</errorID>
      <errorWord>-</errorWord>
      <group>L1_Format</group>
      <groupName>格式问题</groupName>
      <ability>L2_HalfPunc_CN</ability>
      <abilityName/>
      <candidateList>
        <item>－</item>
      </candidateList>
      <explain>文本全半角错误。</explain>
      <paraID> DBCAA25</paraID>
      <start>104</start>
      <end>105</end>
      <status>ignored</status>
      <modifiedWord/>
      <trackRevisions>false</trackRevisions>
    </reviewItem>
    <reviewItem>
      <errorID>ebe95b58-6237-4943-9496-0ff0c8d81ddc</errorID>
      <errorWord>-</errorWord>
      <group>L1_Format</group>
      <groupName>格式问题</groupName>
      <ability>L2_HalfPunc_CN</ability>
      <abilityName/>
      <candidateList>
        <item>－</item>
      </candidateList>
      <explain>文本全半角错误。</explain>
      <paraID> DBCAA25</paraID>
      <start>175</start>
      <end>176</end>
      <status>ignored</status>
      <modifiedWord/>
      <trackRevisions>false</trackRevisions>
    </reviewItem>
    <reviewItem>
      <errorID>79f9bb2d-a781-4eb6-8cda-549557db2c9d</errorID>
      <errorWord>-</errorWord>
      <group>L1_Format</group>
      <groupName>格式问题</groupName>
      <ability>L2_HalfPunc_CN</ability>
      <abilityName/>
      <candidateList>
        <item>－</item>
      </candidateList>
      <explain>文本全半角错误。</explain>
      <paraID>3AD4FE95</paraID>
      <start>31</start>
      <end>32</end>
      <status>ignored</status>
      <modifiedWord/>
      <trackRevisions>false</trackRevisions>
    </reviewItem>
    <reviewItem>
      <errorID>c504f633-0b23-4691-8a7d-e96aff69e65d</errorID>
      <errorWord>“.</errorWord>
      <group>L1_Punc</group>
      <groupName>标点问题</groupName>
      <ability>L2_Punc_CN</ability>
      <abilityName/>
      <candidateList>
        <item>“</item>
      </candidateList>
      <explain/>
      <paraID>4E63AB94</paraID>
      <start>13</start>
      <end>15</end>
      <status>ignored</status>
      <modifiedWord/>
      <trackRevisions>false</trackRevisions>
    </reviewItem>
    <reviewItem>
      <errorID>441664d7-98ce-40f3-9430-ae73ade82387</errorID>
      <errorWord>(</errorWord>
      <group>L1_Format</group>
      <groupName>格式问题</groupName>
      <ability>L2_HalfPunc_CN</ability>
      <abilityName/>
      <candidateList>
        <item>（</item>
      </candidateList>
      <explain>文本全半角错误。</explain>
      <paraID>131738D2</paraID>
      <start>15</start>
      <end>16</end>
      <status>ignored</status>
      <modifiedWord/>
      <trackRevisions>false</trackRevisions>
    </reviewItem>
    <reviewItem>
      <errorID>d632b17b-8d7b-46d1-ab38-8fd4111adf20</errorID>
      <errorWord>)</errorWord>
      <group>L1_Format</group>
      <groupName>格式问题</groupName>
      <ability>L2_HalfPunc_CN</ability>
      <abilityName/>
      <candidateList>
        <item>）</item>
      </candidateList>
      <explain>文本全半角错误。</explain>
      <paraID>131738D2</paraID>
      <start>17</start>
      <end>18</end>
      <status>ignored</status>
      <modifiedWord/>
      <trackRevisions>false</trackRevisions>
    </reviewItem>
    <reviewItem>
      <errorID>92764ce4-ec30-40d8-94e5-4da960f75a3e</errorID>
      <errorWord>&lt;</errorWord>
      <group>L1_Format</group>
      <groupName>格式问题</groupName>
      <ability>L2_HalfPunc_CN</ability>
      <abilityName/>
      <candidateList>
        <item>〈</item>
      </candidateList>
      <explain>文本全半角错误。</explain>
      <paraID>6F0641BE</paraID>
      <start>24</start>
      <end>25</end>
      <status>ignored</status>
      <modifiedWord/>
      <trackRevisions>false</trackRevisions>
    </reviewItem>
    <reviewItem>
      <errorID>88d4f746-c11b-4dbb-a1c2-c7bf64392687</errorID>
      <errorWord>〈</errorWord>
      <group>L1_Punc</group>
      <groupName>标点问题</groupName>
      <ability>L2_Punc_CN</ability>
      <abilityName/>
      <candidateList/>
      <explain>此处标点可能未正确匹配，请检查句子中是否存在标点冗余、缺失或使用错误的情况。</explain>
      <paraID>3A08C3BA</paraID>
      <start>26</start>
      <end>27</end>
      <status>ignored</status>
      <modifiedWord/>
      <trackRevisions>false</trackRevisions>
    </reviewItem>
    <reviewItem>
      <errorID>b5b56190-d96d-4141-a8fa-2dda1f22ba35</errorID>
      <errorWord>，</errorWord>
      <group>L1_Word</group>
      <groupName>字词问题</groupName>
      <ability>L2_Typo</ability>
      <abilityName>字词错误</abilityName>
      <candidateList>
        <item>，并</item>
      </candidateList>
      <explain/>
      <paraID>1B0AE7C4</paraID>
      <start>72</start>
      <end>73</end>
      <status>ignored</status>
      <modifiedWord/>
      <trackRevisions>false</trackRevisions>
    </reviewItem>
    <reviewItem>
      <errorID>cbea92e4-e5f4-4388-9b62-47e037079ec0</errorID>
      <errorWord>(</errorWord>
      <group>L1_Format</group>
      <groupName>格式问题</groupName>
      <ability>L2_HalfPunc_CN</ability>
      <abilityName/>
      <candidateList>
        <item>（</item>
      </candidateList>
      <explain>文本全半角错误。</explain>
      <paraID>60B15163</paraID>
      <start>124</start>
      <end>125</end>
      <status>ignored</status>
      <modifiedWord/>
      <trackRevisions>false</trackRevisions>
    </reviewItem>
    <reviewItem>
      <errorID>3843ee04-24f5-4819-b0b2-e3f6c2831bb6</errorID>
      <errorWord>)</errorWord>
      <group>L1_Format</group>
      <groupName>格式问题</groupName>
      <ability>L2_HalfPunc_CN</ability>
      <abilityName/>
      <candidateList>
        <item>）</item>
      </candidateList>
      <explain>文本全半角错误。</explain>
      <paraID>60B15163</paraID>
      <start>162</start>
      <end>163</end>
      <status>ignored</status>
      <modifiedWord/>
      <trackRevisions>false</trackRevisions>
    </reviewItem>
    <reviewItem>
      <errorID>4ec66e86-f738-42ab-a362-76156aa6bbb7</errorID>
      <errorWord>《</errorWord>
      <group>L1_Punc</group>
      <groupName>标点问题</groupName>
      <ability>L2_Punc_CN</ability>
      <abilityName/>
      <candidateList/>
      <explain>同一形式括号套用。</explain>
      <paraID>6EBE5BF1</paraID>
      <start>33</start>
      <end>34</end>
      <status>ignored</status>
      <modifiedWord/>
      <trackRevisions>false</trackRevisions>
    </reviewItem>
    <reviewItem>
      <errorID>12c68f45-3d62-4b7a-897c-556afb68adec</errorID>
      <errorWord>》</errorWord>
      <group>L1_Punc</group>
      <groupName>标点问题</groupName>
      <ability>L2_Punc_CN</ability>
      <abilityName/>
      <candidateList/>
      <explain>同一形式括号套用。</explain>
      <paraID>6EBE5BF1</paraID>
      <start>50</start>
      <end>51</end>
      <status>ignored</status>
      <modifiedWord/>
      <trackRevisions>false</trackRevisions>
    </reviewItem>
    <reviewItem>
      <errorID>9973111a-839c-464b-b0ec-e29a5dcc7e51</errorID>
      <errorWord>《</errorWord>
      <group>L1_Punc</group>
      <groupName>标点问题</groupName>
      <ability>L2_Punc_CN</ability>
      <abilityName/>
      <candidateList/>
      <explain>同一形式括号套用。</explain>
      <paraID>6EBE5BF1</paraID>
      <start>51</start>
      <end>52</end>
      <status>ignored</status>
      <modifiedWord/>
      <trackRevisions>false</trackRevisions>
    </reviewItem>
    <reviewItem>
      <errorID>1640d5ac-0b5b-49e4-9742-279ff766ce94</errorID>
      <errorWord>》</errorWord>
      <group>L1_Punc</group>
      <groupName>标点问题</groupName>
      <ability>L2_Punc_CN</ability>
      <abilityName/>
      <candidateList/>
      <explain>同一形式括号套用。</explain>
      <paraID>6EBE5BF1</paraID>
      <start>68</start>
      <end>69</end>
      <status>ignored</status>
      <modifiedWord/>
      <trackRevisions>false</trackRevisions>
    </reviewItem>
    <reviewItem>
      <errorID>12b464a0-75ec-4fa7-bc42-9db75d57dd3a</errorID>
      <errorWord>,</errorWord>
      <group>L1_Format</group>
      <groupName>格式问题</groupName>
      <ability>L2_HalfPunc_CN</ability>
      <abilityName/>
      <candidateList>
        <item>，</item>
      </candidateList>
      <explain>文本全半角错误。</explain>
      <paraID>3F1700DF</paraID>
      <start>95</start>
      <end>96</end>
      <status>ignored</status>
      <modifiedWord/>
      <trackRevisions>false</trackRevisions>
    </reviewItem>
    <reviewItem>
      <errorID>a160ad8d-e62f-44ad-835b-e56addb0236d</errorID>
      <errorWord>，</errorWord>
      <group>L1_Word</group>
      <groupName>字词问题</groupName>
      <ability>L2_Typo</ability>
      <abilityName>字词错误</abilityName>
      <candidateList>
        <item>，在</item>
      </candidateList>
      <explain/>
      <paraID>72D96DE2</paraID>
      <start>73</start>
      <end>74</end>
      <status>ignored</status>
      <modifiedWord/>
      <trackRevisions>false</trackRevisions>
    </reviewItem>
    <reviewItem>
      <errorID>fd91b270-b97c-4c2f-8a97-4fdbb40fad9a</errorID>
      <errorWord>，</errorWord>
      <group>L1_Word</group>
      <groupName>字词问题</groupName>
      <ability>L2_Typo</ability>
      <abilityName>字词错误</abilityName>
      <candidateList>
        <item>，具</item>
      </candidateList>
      <explain/>
      <paraID>5E05D4A4</paraID>
      <start>34</start>
      <end>35</end>
      <status>ignored</status>
      <modifiedWord/>
      <trackRevisions>false</trackRevisions>
    </reviewItem>
    <reviewItem>
      <errorID>198975f5-0abe-4334-8e39-39b5979770ef</errorID>
      <errorWord>(</errorWord>
      <group>L1_Format</group>
      <groupName>格式问题</groupName>
      <ability>L2_HalfPunc_CN</ability>
      <abilityName/>
      <candidateList>
        <item>（</item>
      </candidateList>
      <explain>文本全半角错误。</explain>
      <paraID>2D039AA8</paraID>
      <start>36</start>
      <end>37</end>
      <status>ignored</status>
      <modifiedWord/>
      <trackRevisions>false</trackRevisions>
    </reviewItem>
    <reviewItem>
      <errorID>a5a91788-dc80-4d34-a4ff-be898458a963</errorID>
      <errorWord>)</errorWord>
      <group>L1_Format</group>
      <groupName>格式问题</groupName>
      <ability>L2_HalfPunc_CN</ability>
      <abilityName/>
      <candidateList>
        <item>）</item>
      </candidateList>
      <explain>文本全半角错误。</explain>
      <paraID>2D039AA8</paraID>
      <start>46</start>
      <end>47</end>
      <status>ignored</status>
      <modifiedWord/>
      <trackRevisions>false</trackRevisions>
    </reviewItem>
    <reviewItem>
      <errorID>23deef61-1dde-4dcb-b265-b554ff04bafa</errorID>
      <errorWord>（</errorWord>
      <group>L1_Punc</group>
      <groupName>标点问题</groupName>
      <ability>L2_Punc_CN</ability>
      <abilityName/>
      <candidateList/>
      <explain>同一形式括号套用。</explain>
      <paraID>3CD19C45</paraID>
      <start>35</start>
      <end>36</end>
      <status>ignored</status>
      <modifiedWord/>
      <trackRevisions>false</trackRevisions>
    </reviewItem>
    <reviewItem>
      <errorID>e2669b44-70eb-4ffc-9b75-5a63993361c1</errorID>
      <errorWord>）</errorWord>
      <group>L1_Punc</group>
      <groupName>标点问题</groupName>
      <ability>L2_Punc_CN</ability>
      <abilityName/>
      <candidateList/>
      <explain>同一形式括号套用。</explain>
      <paraID>3CD19C45</paraID>
      <start>37</start>
      <end>38</end>
      <status>ignored</status>
      <modifiedWord/>
      <trackRevisions>false</trackRevisions>
    </reviewItem>
    <reviewItem>
      <errorID>9871fa68-f1ab-4f8c-b4b8-896f98d874e7</errorID>
      <errorWord>（</errorWord>
      <group>L1_Punc</group>
      <groupName>标点问题</groupName>
      <ability>L2_Punc_CN</ability>
      <abilityName/>
      <candidateList>
        <item/>
      </candidateList>
      <explain>同一形式括号套用。</explain>
      <paraID>25B31B87</paraID>
      <start>51</start>
      <end>52</end>
      <status>ignored</status>
      <modifiedWord/>
      <trackRevisions>false</trackRevisions>
    </reviewItem>
    <reviewItem>
      <errorID>50bf7de8-7ab6-48f4-a318-b80f110c8d39</errorID>
      <errorWord>（</errorWord>
      <group>L1_Punc</group>
      <groupName>标点问题</groupName>
      <ability>L2_Punc_CN</ability>
      <abilityName/>
      <candidateList/>
      <explain>同一形式括号套用。</explain>
      <paraID>25B31B87</paraID>
      <start>60</start>
      <end>61</end>
      <status>ignored</status>
      <modifiedWord/>
      <trackRevisions>false</trackRevisions>
    </reviewItem>
    <reviewItem>
      <errorID>e144dce6-b1b1-49bb-9e12-d9c1a279da52</errorID>
      <errorWord>（</errorWord>
      <group>L1_Punc</group>
      <groupName>标点问题</groupName>
      <ability>L2_Punc_CN</ability>
      <abilityName/>
      <candidateList/>
      <explain>同一形式括号套用。</explain>
      <paraID>25B31B87</paraID>
      <start>64</start>
      <end>65</end>
      <status>ignored</status>
      <modifiedWord/>
      <trackRevisions>false</trackRevisions>
    </reviewItem>
    <reviewItem>
      <errorID>0afcf4cf-3eb4-4615-81de-ba531f597284</errorID>
      <errorWord>）</errorWord>
      <group>L1_Punc</group>
      <groupName>标点问题</groupName>
      <ability>L2_Punc_CN</ability>
      <abilityName/>
      <candidateList/>
      <explain>同一形式括号套用。</explain>
      <paraID>25B31B87</paraID>
      <start>66</start>
      <end>67</end>
      <status>ignored</status>
      <modifiedWord/>
      <trackRevisions>false</trackRevisions>
    </reviewItem>
    <reviewItem>
      <errorID>694bb9b5-b4c4-4cba-991a-61009682126c</errorID>
      <errorWord>(</errorWord>
      <group>L1_Punc</group>
      <groupName>标点问题</groupName>
      <ability>L2_Punc_CN</ability>
      <abilityName/>
      <candidateList/>
      <explain>同一形式括号套用。</explain>
      <paraID>25B31B87</paraID>
      <start>139</start>
      <end>140</end>
      <status>ignored</status>
      <modifiedWord/>
      <trackRevisions>false</trackRevisions>
    </reviewItem>
    <reviewItem>
      <errorID>5d727da3-443c-4c6e-a675-f5df545bf92e</errorID>
      <errorWord>)</errorWord>
      <group>L1_Punc</group>
      <groupName>标点问题</groupName>
      <ability>L2_Punc_CN</ability>
      <abilityName/>
      <candidateList/>
      <explain>同一形式括号套用。</explain>
      <paraID>25B31B87</paraID>
      <start>155</start>
      <end>156</end>
      <status>ignored</status>
      <modifiedWord/>
      <trackRevisions>false</trackRevisions>
    </reviewItem>
    <reviewItem>
      <errorID>2acd34ca-cb5b-4817-af5f-82d340affa4f</errorID>
      <errorWord>）</errorWord>
      <group>L1_Punc</group>
      <groupName>标点问题</groupName>
      <ability>L2_Punc_CN</ability>
      <abilityName/>
      <candidateList/>
      <explain>同一形式括号套用。</explain>
      <paraID>25B31B87</paraID>
      <start>161</start>
      <end>162</end>
      <status>ignored</status>
      <modifiedWord/>
      <trackRevisions>false</trackRevisions>
    </reviewItem>
    <reviewItem>
      <errorID>3ccac7ba-8989-4e9b-8ca9-deec7ebffdab</errorID>
      <errorWord>......</errorWord>
      <group>L1_Punc</group>
      <groupName>标点问题</groupName>
      <ability>L2_Punc_CN</ability>
      <abilityName/>
      <candidateList>
        <item>……</item>
      </candidateList>
      <explain/>
      <paraID>6BB65813</paraID>
      <start>0</start>
      <end>6</end>
      <status>ignored</status>
      <modifiedWord/>
      <trackRevisions>false</trackRevisions>
    </reviewItem>
    <reviewItem>
      <errorID>86312da0-e861-4a4f-8c95-b1c87f723367</errorID>
      <errorWord>（</errorWord>
      <group>L1_Punc</group>
      <groupName>标点问题</groupName>
      <ability>L2_Punc_CN</ability>
      <abilityName/>
      <candidateList/>
      <explain>此处标点可能未正确匹配，请检查句子中是否存在标点冗余、缺失或使用错误的情况。</explain>
      <paraID>2122A686</paraID>
      <start>59</start>
      <end>60</end>
      <status>ignored</status>
      <modifiedWord/>
      <trackRevisions>false</trackRevisions>
    </reviewItem>
    <reviewItem>
      <errorID>d30d3e66-1df0-4306-bfce-b665b3559073</errorID>
      <errorWord>工做</errorWord>
      <group>L1_Word</group>
      <groupName>字词问题</groupName>
      <ability>L2_Typo</ability>
      <abilityName>字词错误</abilityName>
      <candidateList>
        <item>工作</item>
      </candidateList>
      <explain>存在发音相同字词的误用。</explain>
      <paraID>76594906</paraID>
      <start>22</start>
      <end>24</end>
      <status>modified</status>
      <modifiedWord>工作</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6f66c47-0e60-41a2-985f-2ede78f7548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58</Pages>
  <Words>25780</Words>
  <Characters>27111</Characters>
  <TotalTime>18</TotalTime>
  <ScaleCrop>false</ScaleCrop>
  <LinksUpToDate>false</LinksUpToDate>
  <CharactersWithSpaces>27531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2024-01-18T02:05:00Z</dcterms:created>
  <dc:creator>Administrator</dc:creator>
  <cp:lastModifiedBy>陈胖子</cp:lastModifiedBy>
  <cp:lastPrinted>2026-05-27T02:15:00Z</cp:lastPrinted>
  <dcterms:modified xsi:type="dcterms:W3CDTF">2026-05-27T02:32:33Z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F4A9A2D0B52944748D20DAC286F62383_13</vt:lpwstr>
  </property>
  <property fmtid="{D5CDD505-2E9C-101B-9397-08002B2CF9AE}" pid="4" name="KSOTemplateDocerSaveRecord">
    <vt:lpwstr>eyJoZGlkIjoiNDY4YTEyMGQ2MzE4MDk0ZWNhMjA3ZDQ5MGZlNjJlZjQiLCJ1c2VySWQiOiI4MDA4ODQ5NjEifQ==</vt:lpwstr>
  </property>
</Properties>
</file>