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ascii="Arial" w:hAnsi="Arial"/>
          <w:b/>
          <w:bCs/>
          <w:sz w:val="32"/>
          <w:szCs w:val="24"/>
        </w:rPr>
        <w:t xml:space="preserve">扬州市消防救援支队2025年度消防救援队伍部门集中采购目录外器材采购（第一批次）</w:t>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w:t>
      </w:r>
      <w:r>
        <w:rPr>
          <w:rFonts w:hint="eastAsia" w:ascii="Arial" w:hAnsi="Arial"/>
          <w:b/>
          <w:bCs/>
          <w:sz w:val="32"/>
          <w:szCs w:val="24"/>
          <w:lang w:eastAsia="zh-CN"/>
        </w:rPr>
        <w:t xml:space="preserve">JSZC-321000-JZCG-G2026-0063</w:t>
      </w:r>
      <w:r>
        <w:rPr>
          <w:rFonts w:hint="eastAsia" w:ascii="Arial" w:hAnsi="Arial"/>
          <w:b/>
          <w:bCs/>
          <w:color w:val="000000"/>
          <w:sz w:val="32"/>
          <w:szCs w:val="24"/>
        </w:rPr>
        <w:t xml:space="preserve">    </w:t>
      </w:r>
      <w:r/>
    </w:p>
    <w:p>
      <w:pPr>
        <w:jc w:val="left"/>
        <w:spacing w:line="360" w:lineRule="auto"/>
        <w:rPr>
          <w:b/>
          <w:color w:val="ff0000"/>
          <w:sz w:val="24"/>
          <w:szCs w:val="24"/>
        </w:rPr>
      </w:pPr>
      <w:r>
        <w:rPr>
          <w:b/>
          <w:color w:val="ff0000"/>
          <w:sz w:val="24"/>
          <w:szCs w:val="24"/>
        </w:rPr>
      </w:r>
      <w:r/>
    </w:p>
    <w:p>
      <w:pPr>
        <w:jc w:val="left"/>
        <w:spacing w:line="360" w:lineRule="auto"/>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51</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扬州市消防救援支队2025年度消防救援队伍部门集中采购目录外器材采购（第一批次）</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lang w:eastAsia="zh-CN"/>
        </w:rPr>
        <w:t xml:space="preserve">JSZC-321000-JZCG-G2026-0063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u w:val="single"/>
        </w:rPr>
        <w:t xml:space="preserve">扬州市消防救援支队2025年度消防救援队伍部门集中采购目录外器材采购（第一批次）</w:t>
      </w:r>
      <w:r>
        <w:rPr>
          <w:rFonts w:hint="eastAsia" w:ascii="宋体" w:hAnsi="宋体"/>
          <w:color w:val="000000"/>
          <w:sz w:val="24"/>
          <w:szCs w:val="24"/>
        </w:rPr>
        <w:t xml:space="preserve"> 招标项目的潜在投标人可在</w:t>
      </w:r>
      <w:r>
        <w:rPr>
          <w:rFonts w:hint="eastAsia" w:ascii="宋体" w:hAnsi="宋体"/>
          <w:color w:val="000000"/>
          <w:sz w:val="24"/>
          <w:szCs w:val="24"/>
          <w:highlight w:val="none"/>
          <w:u w:val="single"/>
        </w:rPr>
        <w:t xml:space="preserve">“江苏政府采购网、扬州市政府采购网”</w:t>
      </w:r>
      <w:r>
        <w:rPr>
          <w:rFonts w:hint="eastAsia" w:ascii="宋体" w:hAnsi="宋体"/>
          <w:color w:val="000000"/>
          <w:sz w:val="24"/>
          <w:szCs w:val="24"/>
          <w:highlight w:val="none"/>
        </w:rPr>
        <w:t xml:space="preserve">自行免费下载招标文件，并于</w:t>
      </w:r>
      <w:r>
        <w:rPr>
          <w:rFonts w:ascii="宋体" w:hAnsi="宋体"/>
          <w:color w:val="000000"/>
          <w:sz w:val="24"/>
          <w:szCs w:val="24"/>
          <w:highlight w:val="none"/>
          <w:u w:val="single"/>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06</w:t>
      </w:r>
      <w:r>
        <w:rPr>
          <w:rFonts w:hint="eastAsia" w:ascii="宋体" w:hAnsi="宋体"/>
          <w:bCs/>
          <w:color w:val="000000"/>
          <w:sz w:val="24"/>
          <w:szCs w:val="24"/>
          <w:highlight w:val="none"/>
          <w:u w:val="single"/>
        </w:rPr>
        <w:t xml:space="preserve">月26</w:t>
      </w:r>
      <w:r>
        <w:rPr>
          <w:rFonts w:hint="eastAsia" w:ascii="宋体" w:hAnsi="宋体"/>
          <w:bCs/>
          <w:color w:val="000000"/>
          <w:sz w:val="24"/>
          <w:szCs w:val="24"/>
          <w:highlight w:val="none"/>
          <w:u w:val="single"/>
        </w:rPr>
        <w:t xml:space="preserve">日</w:t>
      </w:r>
      <w:r>
        <w:rPr>
          <w:rFonts w:ascii="宋体" w:hAnsi="宋体"/>
          <w:bCs/>
          <w:color w:val="000000"/>
          <w:sz w:val="24"/>
          <w:szCs w:val="24"/>
          <w:highlight w:val="none"/>
          <w:u w:val="single"/>
        </w:rPr>
        <w:t xml:space="preserve">09</w:t>
      </w:r>
      <w:r>
        <w:rPr>
          <w:rFonts w:hint="eastAsia" w:ascii="宋体" w:hAnsi="宋体"/>
          <w:bCs/>
          <w:color w:val="000000"/>
          <w:sz w:val="24"/>
          <w:szCs w:val="24"/>
          <w:highlight w:val="none"/>
          <w:u w:val="single"/>
        </w:rPr>
        <w:t xml:space="preserve">时3</w:t>
      </w:r>
      <w:r>
        <w:rPr>
          <w:rFonts w:ascii="宋体" w:hAnsi="宋体"/>
          <w:bCs/>
          <w:color w:val="000000"/>
          <w:sz w:val="24"/>
          <w:szCs w:val="24"/>
          <w:highlight w:val="none"/>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JSZC-321000-JZCG-G2026-0063</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2.项目名称：</w:t>
      </w:r>
      <w:bookmarkEnd w:id="11"/>
      <w:r>
        <w:rPr>
          <w:rFonts w:ascii="宋体" w:hAnsi="宋体"/>
          <w:color w:val="000000"/>
          <w:sz w:val="24"/>
          <w:szCs w:val="24"/>
        </w:rPr>
        <w:t xml:space="preserve">扬州市消防救援支队2025年度消防救援队伍部门集中采购目录外器材采购（第一批次）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05"/>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32.473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80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28.367</w:t>
            </w:r>
            <w:r/>
          </w:p>
        </w:tc>
      </w:tr>
    </w:tbl>
    <w:p>
      <w:pPr>
        <w:ind w:firstLine="480"/>
        <w:spacing w:line="400" w:lineRule="exact"/>
        <w:rPr>
          <w:rFonts w:ascii="宋体" w:hAnsi="宋体"/>
          <w:color w:val="000000"/>
          <w:sz w:val="24"/>
          <w:szCs w:val="24"/>
        </w:rPr>
      </w:pPr>
      <w:r>
        <w:rPr>
          <w:rFonts w:ascii="宋体" w:hAnsi="宋体"/>
          <w:color w:val="000000"/>
          <w:sz w:val="24"/>
          <w:szCs w:val="24"/>
        </w:rPr>
        <w:t xml:space="preserve">所有货物最高限制单价</w:t>
      </w:r>
      <w:r>
        <w:rPr>
          <w:rFonts w:hint="eastAsia" w:ascii="宋体" w:hAnsi="宋体"/>
          <w:color w:val="000000"/>
          <w:sz w:val="24"/>
          <w:szCs w:val="24"/>
        </w:rPr>
        <w:t xml:space="preserve">详见本招标文件</w:t>
      </w:r>
      <w:r>
        <w:rPr>
          <w:rFonts w:ascii="宋体" w:hAnsi="宋体"/>
          <w:color w:val="000000"/>
          <w:sz w:val="24"/>
          <w:szCs w:val="24"/>
        </w:rPr>
        <w:t xml:space="preserve">第四章采购需求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扬州市消防救援支队采购2025年度消防救援队伍部门集中采购目录外器材采购（第一批次）本项目</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w:t>
      </w:r>
      <w:r>
        <w:rPr>
          <w:rFonts w:ascii="宋体" w:hAnsi="宋体"/>
          <w:color w:val="000000"/>
          <w:sz w:val="24"/>
          <w:szCs w:val="24"/>
        </w:rPr>
        <w:t xml:space="preserve">水域类</w:t>
      </w:r>
      <w:r>
        <w:rPr>
          <w:rFonts w:hint="eastAsia" w:ascii="宋体" w:hAnsi="宋体"/>
          <w:color w:val="000000"/>
          <w:sz w:val="24"/>
          <w:szCs w:val="24"/>
        </w:rPr>
        <w:t xml:space="preserve">。（详细内容见本招标文件第四章）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bookmarkStart w:id="12" w:name="_Toc35393791"/>
      <w:r/>
      <w:bookmarkStart w:id="13" w:name="_Toc38985264"/>
      <w:r/>
      <w:bookmarkStart w:id="14" w:name="_Toc28359080"/>
      <w:r/>
      <w:bookmarkStart w:id="15" w:name="_Toc28359003"/>
      <w:r/>
      <w:bookmarkStart w:id="16" w:name="_Toc35393622"/>
      <w:r>
        <w:rPr>
          <w:rFonts w:hint="eastAsia" w:ascii="宋体" w:hAnsi="宋体"/>
          <w:color w:val="000000"/>
          <w:sz w:val="24"/>
          <w:szCs w:val="24"/>
        </w:rPr>
        <w:t xml:space="preserve">合同签订后，接到采购人通知之日起30个日历天内供货并完成安装调试。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5"/>
        <w:tblpPr w:horzAnchor="page" w:tblpX="1815" w:vertAnchor="text" w:tblpY="380" w:leftFromText="180" w:topFromText="0" w:rightFromText="180" w:bottomFromText="0"/>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5"/>
        <w:tblW w:w="520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05"/>
        <w:tblW w:w="706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lang w:val="en-US" w:eastAsia="zh-CN"/>
        </w:rPr>
        <w:t xml:space="preserve">06</w:t>
      </w:r>
      <w:r>
        <w:rPr>
          <w:rFonts w:hint="eastAsia" w:ascii="宋体" w:hAnsi="宋体"/>
          <w:sz w:val="24"/>
          <w:szCs w:val="24"/>
        </w:rPr>
        <w:t xml:space="preserve">月26</w:t>
      </w:r>
      <w:r>
        <w:rPr>
          <w:rFonts w:hint="eastAsia" w:ascii="宋体" w:hAnsi="宋体"/>
          <w:sz w:val="24"/>
          <w:szCs w:val="24"/>
        </w:rPr>
        <w:t xml:space="preserve">日09</w:t>
      </w:r>
      <w:r>
        <w:rPr>
          <w:rFonts w:hint="eastAsia" w:ascii="宋体" w:hAnsi="宋体"/>
          <w:sz w:val="24"/>
          <w:szCs w:val="24"/>
        </w:rPr>
        <w:t xml:space="preserve">点30</w:t>
      </w:r>
      <w:r>
        <w:rPr>
          <w:rFonts w:hint="eastAsia" w:ascii="宋体" w:hAnsi="宋体"/>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794"/>
      <w:r/>
      <w:bookmarkStart w:id="28" w:name="_Toc28359084"/>
      <w:r/>
      <w:bookmarkStart w:id="29" w:name="_Toc28359007"/>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sz w:val="24"/>
          <w:szCs w:val="24"/>
        </w:rPr>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35" w:name="_Toc28359085"/>
      <w:r/>
      <w:bookmarkStart w:id="36" w:name="_Toc38985269"/>
      <w:r/>
      <w:bookmarkStart w:id="37" w:name="_Toc35393796"/>
      <w:r/>
      <w:bookmarkStart w:id="38" w:name="_Toc35393627"/>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联系人：陈恩斌、赵祥                        </w:t>
      </w:r>
      <w:r/>
    </w:p>
    <w:p>
      <w:pPr>
        <w:ind w:firstLine="480"/>
        <w:spacing w:line="400" w:lineRule="exact"/>
        <w:rPr>
          <w:rFonts w:ascii="宋体" w:hAnsi="宋体"/>
          <w:sz w:val="24"/>
          <w:szCs w:val="24"/>
        </w:rPr>
      </w:pPr>
      <w:r>
        <w:rPr>
          <w:rFonts w:hint="eastAsia" w:ascii="宋体" w:hAnsi="宋体"/>
          <w:sz w:val="24"/>
          <w:szCs w:val="24"/>
        </w:rPr>
        <w:t xml:space="preserve">联系方式：0514-80926037、15050788598 </w:t>
      </w:r>
      <w:bookmarkStart w:id="40" w:name="_Toc28359086"/>
      <w:r/>
      <w:bookmarkEnd w:id="40"/>
      <w:r/>
      <w:bookmarkStart w:id="41" w:name="_Toc28359009"/>
      <w:r/>
      <w:bookmarkEnd w:id="41"/>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1527室</w:t>
      </w:r>
      <w:r/>
    </w:p>
    <w:p>
      <w:pPr>
        <w:ind w:firstLine="480"/>
        <w:spacing w:line="400" w:lineRule="exact"/>
        <w:rPr>
          <w:rFonts w:ascii="宋体" w:hAnsi="宋体"/>
          <w:sz w:val="24"/>
          <w:szCs w:val="24"/>
        </w:rPr>
      </w:pPr>
      <w:r>
        <w:rPr>
          <w:rFonts w:hint="eastAsia" w:ascii="宋体" w:hAnsi="宋体"/>
          <w:sz w:val="24"/>
          <w:szCs w:val="24"/>
        </w:rPr>
        <w:t xml:space="preserve">联系人：华玲</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b/>
          <w:bCs/>
          <w:color w:val="000000"/>
          <w:sz w:val="32"/>
          <w:szCs w:val="32"/>
        </w:rPr>
        <w:outlineLvl w:val="2"/>
      </w:pPr>
      <w:r/>
      <w:bookmarkStart w:id="47" w:name="_Toc16938519"/>
      <w:r/>
      <w:bookmarkStart w:id="48" w:name="_Toc513029203"/>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6" w:name="_Toc513029205"/>
      <w:r/>
      <w:bookmarkStart w:id="57" w:name="_Toc16938521"/>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9" w:name="_Toc16938523"/>
      <w:r/>
      <w:bookmarkStart w:id="60" w:name="_Toc462564067"/>
      <w:r/>
      <w:bookmarkStart w:id="61" w:name="_Toc20823279"/>
      <w:r/>
      <w:bookmarkStart w:id="62" w:name="_Toc513029207"/>
      <w:r>
        <w:rPr>
          <w:rFonts w:hint="eastAsia" w:ascii="Arial" w:hAnsi="Arial" w:eastAsia="黑体" w:cs="Arial"/>
          <w:color w:val="000000"/>
          <w:sz w:val="28"/>
          <w:szCs w:val="28"/>
        </w:rPr>
        <w:t xml:space="preserve">4、投标费用</w:t>
      </w:r>
      <w:bookmarkEnd w:id="59"/>
      <w:r/>
      <w:bookmarkEnd w:id="60"/>
      <w:r/>
      <w:bookmarkEnd w:id="61"/>
      <w:r/>
      <w:bookmarkEnd w:id="62"/>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3" w:name="_Toc16938525"/>
      <w:r/>
      <w:bookmarkStart w:id="64" w:name="_Toc513029209"/>
      <w:r/>
      <w:bookmarkStart w:id="65" w:name="_Toc120614215"/>
      <w:r/>
      <w:bookmarkStart w:id="66" w:name="_Toc20823281"/>
      <w:r>
        <w:rPr>
          <w:rFonts w:hint="eastAsia"/>
          <w:b/>
          <w:bCs/>
          <w:color w:val="000000"/>
          <w:sz w:val="32"/>
          <w:szCs w:val="32"/>
        </w:rPr>
        <w:t xml:space="preserve">二、招标文件</w:t>
      </w:r>
      <w:bookmarkEnd w:id="63"/>
      <w:r/>
      <w:bookmarkEnd w:id="64"/>
      <w:r/>
      <w:bookmarkEnd w:id="65"/>
      <w:r/>
      <w:bookmarkEnd w:id="66"/>
      <w:r/>
      <w:r/>
    </w:p>
    <w:p>
      <w:pPr>
        <w:ind w:firstLine="420"/>
        <w:keepLines/>
        <w:keepNext/>
        <w:spacing w:line="400" w:lineRule="exact"/>
        <w:rPr>
          <w:rFonts w:ascii="Arial" w:hAnsi="Arial" w:eastAsia="黑体" w:cs="Arial"/>
          <w:color w:val="000000"/>
          <w:sz w:val="28"/>
          <w:szCs w:val="28"/>
        </w:rPr>
        <w:outlineLvl w:val="3"/>
      </w:pPr>
      <w:r/>
      <w:bookmarkStart w:id="67" w:name="_Toc513029210"/>
      <w:r/>
      <w:bookmarkStart w:id="68" w:name="_Toc20823282"/>
      <w:r/>
      <w:bookmarkStart w:id="69" w:name="_Toc16938526"/>
      <w:r>
        <w:rPr>
          <w:rFonts w:hint="eastAsia" w:ascii="Arial" w:hAnsi="Arial" w:eastAsia="黑体" w:cs="Arial"/>
          <w:color w:val="000000"/>
          <w:sz w:val="28"/>
          <w:szCs w:val="28"/>
        </w:rPr>
        <w:t xml:space="preserve">6、招标文件构成</w:t>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0" w:name="_Toc513029212"/>
      <w:r/>
      <w:bookmarkStart w:id="71" w:name="_Toc16938528"/>
      <w:r/>
      <w:bookmarkStart w:id="72" w:name="_Toc462564071"/>
      <w:r/>
      <w:bookmarkStart w:id="7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0"/>
      <w:r/>
      <w:bookmarkEnd w:id="71"/>
      <w:r/>
      <w:bookmarkEnd w:id="72"/>
      <w:r/>
      <w:bookmarkEnd w:id="73"/>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4" w:name="_Toc513029213"/>
      <w:r/>
      <w:bookmarkStart w:id="75" w:name="_Toc462564072"/>
      <w:r/>
      <w:bookmarkStart w:id="76" w:name="_Toc120614216"/>
      <w:r/>
      <w:bookmarkStart w:id="77" w:name="_Toc16938529"/>
      <w:r/>
      <w:bookmarkStart w:id="78" w:name="_Toc20823285"/>
      <w:r>
        <w:rPr>
          <w:rFonts w:hint="eastAsia"/>
          <w:b/>
          <w:bCs/>
          <w:color w:val="000000"/>
          <w:sz w:val="32"/>
          <w:szCs w:val="32"/>
        </w:rPr>
        <w:t xml:space="preserve">三、投标文件的编制</w:t>
      </w:r>
      <w:bookmarkEnd w:id="74"/>
      <w:r/>
      <w:bookmarkEnd w:id="75"/>
      <w:r/>
      <w:bookmarkEnd w:id="76"/>
      <w:r/>
      <w:bookmarkEnd w:id="77"/>
      <w:r/>
      <w:bookmarkEnd w:id="78"/>
      <w:r/>
      <w:r/>
    </w:p>
    <w:p>
      <w:pPr>
        <w:ind w:firstLine="560"/>
        <w:keepLines/>
        <w:keepNext/>
        <w:spacing w:line="400" w:lineRule="exact"/>
        <w:rPr>
          <w:rFonts w:ascii="Arial" w:hAnsi="Arial" w:eastAsia="黑体" w:cs="Arial"/>
          <w:b/>
          <w:color w:val="000000"/>
          <w:sz w:val="28"/>
          <w:szCs w:val="28"/>
        </w:rPr>
        <w:outlineLvl w:val="3"/>
      </w:pPr>
      <w:r/>
      <w:bookmarkStart w:id="79" w:name="_Toc462564073"/>
      <w:r/>
      <w:bookmarkStart w:id="80" w:name="_Toc16938530"/>
      <w:r/>
      <w:bookmarkStart w:id="81" w:name="_Toc20823286"/>
      <w:r/>
      <w:bookmarkStart w:id="8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9"/>
      <w:r/>
      <w:bookmarkEnd w:id="80"/>
      <w:r/>
      <w:bookmarkEnd w:id="81"/>
      <w:r/>
      <w:bookmarkEnd w:id="82"/>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3" w:name="_Toc462564074"/>
      <w:r/>
      <w:bookmarkStart w:id="84" w:name="_Toc513029215"/>
      <w:r/>
      <w:bookmarkStart w:id="85" w:name="_Toc20823287"/>
      <w:r/>
      <w:bookmarkStart w:id="86"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3"/>
      <w:r/>
      <w:bookmarkEnd w:id="84"/>
      <w:r/>
      <w:bookmarkEnd w:id="85"/>
      <w:r/>
      <w:bookmarkEnd w:id="86"/>
      <w:r/>
      <w:r/>
    </w:p>
    <w:p>
      <w:pPr>
        <w:pStyle w:val="840"/>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7" w:name="_Hlt26668975"/>
      <w:r/>
      <w:bookmarkEnd w:id="87"/>
      <w:r/>
      <w:bookmarkStart w:id="88" w:name="_Hlt26954838"/>
      <w:r/>
      <w:bookmarkEnd w:id="88"/>
      <w:r/>
      <w:bookmarkStart w:id="89" w:name="_Hlt26670360"/>
      <w:r/>
      <w:bookmarkEnd w:id="89"/>
      <w:r/>
      <w:bookmarkStart w:id="90" w:name="_Toc14577354"/>
      <w:r/>
      <w:bookmarkStart w:id="91" w:name="_Toc14577357"/>
      <w:r/>
      <w:bookmarkStart w:id="92" w:name="_Toc513029219"/>
      <w:r/>
      <w:bookmarkStart w:id="93" w:name="_Toc49090507"/>
      <w:r/>
      <w:bookmarkStart w:id="94" w:name="_Toc49090509"/>
      <w:r/>
      <w:bookmarkStart w:id="95" w:name="_Toc513029216"/>
      <w:r/>
      <w:bookmarkStart w:id="96" w:name="_Toc14577355"/>
      <w:r/>
      <w:bookmarkStart w:id="97"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0"/>
      <w:r/>
      <w:bookmarkEnd w:id="91"/>
      <w:r/>
      <w:bookmarkEnd w:id="92"/>
      <w:r/>
      <w:bookmarkEnd w:id="93"/>
      <w:r/>
      <w:bookmarkEnd w:id="94"/>
      <w:r/>
      <w:bookmarkEnd w:id="95"/>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6"/>
      <w:r/>
      <w:bookmarkEnd w:id="9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8" w:name="_Hlt26954840"/>
      <w:r/>
      <w:bookmarkEnd w:id="98"/>
      <w:r>
        <w:rPr>
          <w:rFonts w:hint="eastAsia" w:ascii="宋体" w:hAnsi="宋体"/>
          <w:sz w:val="24"/>
          <w:szCs w:val="21"/>
        </w:rPr>
        <w:t xml:space="preserve">标人按照招标文件规定格式填报投标分项报价表</w:t>
      </w:r>
      <w:bookmarkStart w:id="99" w:name="_Hlt26670399"/>
      <w:r/>
      <w:bookmarkEnd w:id="99"/>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0" w:name="_Hlt26954848"/>
      <w:r/>
      <w:bookmarkEnd w:id="100"/>
      <w:r/>
      <w:bookmarkStart w:id="101" w:name="_Hlt26670486"/>
      <w:r/>
      <w:bookmarkEnd w:id="101"/>
      <w:r/>
      <w:bookmarkStart w:id="102" w:name="_Hlt26954731"/>
      <w:r/>
      <w:bookmarkEnd w:id="102"/>
      <w:r/>
      <w:bookmarkStart w:id="103" w:name="_Hlt26954846"/>
      <w:r/>
      <w:bookmarkEnd w:id="103"/>
      <w:r/>
      <w:bookmarkStart w:id="104" w:name="_Hlt26670482"/>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5" w:name="_Toc14577359"/>
      <w:r/>
      <w:bookmarkStart w:id="10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20"/>
        <w:keepLines/>
        <w:keepNext/>
        <w:spacing w:line="400" w:lineRule="exact"/>
        <w:rPr>
          <w:rFonts w:ascii="Arial" w:hAnsi="Arial" w:eastAsia="黑体" w:cs="Arial"/>
          <w:color w:val="000000"/>
          <w:sz w:val="28"/>
          <w:szCs w:val="28"/>
        </w:rPr>
        <w:outlineLvl w:val="3"/>
      </w:pPr>
      <w:r/>
      <w:bookmarkStart w:id="107" w:name="_Toc14577360"/>
      <w:r/>
      <w:bookmarkStart w:id="10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7"/>
      <w:r/>
      <w:bookmarkEnd w:id="108"/>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9" w:name="_Hlt26954852"/>
      <w:r/>
      <w:bookmarkEnd w:id="109"/>
      <w:r/>
      <w:bookmarkStart w:id="110" w:name="_Hlt26954739"/>
      <w:r/>
      <w:bookmarkEnd w:id="110"/>
      <w:r/>
      <w:bookmarkStart w:id="111" w:name="_Toc20823296"/>
      <w:r/>
      <w:bookmarkStart w:id="112" w:name="_Toc120614217"/>
      <w:r/>
      <w:bookmarkStart w:id="113" w:name="_Toc513029224"/>
      <w:r/>
      <w:bookmarkStart w:id="114" w:name="_Toc16938540"/>
      <w:r>
        <w:rPr>
          <w:rFonts w:hint="eastAsia"/>
          <w:b/>
          <w:bCs/>
          <w:color w:val="000000"/>
          <w:sz w:val="32"/>
          <w:szCs w:val="32"/>
        </w:rPr>
        <w:t xml:space="preserve">四、投标文件的递交</w:t>
      </w:r>
      <w:bookmarkEnd w:id="111"/>
      <w:r/>
      <w:bookmarkEnd w:id="112"/>
      <w:r/>
      <w:bookmarkEnd w:id="113"/>
      <w:r/>
      <w:bookmarkEnd w:id="114"/>
      <w:r/>
      <w:r/>
    </w:p>
    <w:p>
      <w:pPr>
        <w:ind w:firstLine="420"/>
        <w:keepLines/>
        <w:keepNext/>
        <w:spacing w:line="400" w:lineRule="exact"/>
        <w:rPr>
          <w:rFonts w:ascii="黑体" w:hAnsi="Arial" w:eastAsia="黑体" w:cs="Arial"/>
          <w:color w:val="000000"/>
          <w:sz w:val="28"/>
          <w:szCs w:val="28"/>
        </w:rPr>
        <w:outlineLvl w:val="3"/>
      </w:pPr>
      <w:r/>
      <w:bookmarkStart w:id="115" w:name="_Toc513029225"/>
      <w:r/>
      <w:bookmarkStart w:id="116" w:name="_Toc16938541"/>
      <w:r/>
      <w:bookmarkStart w:id="117" w:name="_Toc20823297"/>
      <w:r/>
      <w:bookmarkStart w:id="11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5"/>
      <w:r/>
      <w:bookmarkEnd w:id="116"/>
      <w:r/>
      <w:bookmarkEnd w:id="117"/>
      <w:r/>
      <w:bookmarkEnd w:id="11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9" w:name="_Toc513029226"/>
      <w:r/>
      <w:bookmarkStart w:id="120" w:name="_Toc20823298"/>
      <w:r/>
      <w:bookmarkStart w:id="121"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9"/>
      <w:r/>
      <w:bookmarkEnd w:id="120"/>
      <w:r/>
      <w:bookmarkEnd w:id="121"/>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2" w:name="_Toc16938543"/>
      <w:r/>
      <w:bookmarkStart w:id="123" w:name="_Toc20823299"/>
      <w:r/>
      <w:bookmarkStart w:id="124"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5" w:name="_Toc20823300"/>
      <w:r/>
      <w:bookmarkStart w:id="126" w:name="_Toc513029228"/>
      <w:r/>
      <w:bookmarkStart w:id="12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28" w:name="_Toc20823301"/>
      <w:r/>
      <w:bookmarkStart w:id="129" w:name="_Toc16938545"/>
      <w:r/>
      <w:bookmarkStart w:id="130" w:name="_Toc120614218"/>
      <w:r/>
      <w:bookmarkStart w:id="131" w:name="_Toc513029229"/>
      <w:r>
        <w:rPr>
          <w:rFonts w:hint="eastAsia"/>
          <w:b/>
          <w:bCs/>
          <w:color w:val="000000"/>
          <w:sz w:val="32"/>
          <w:szCs w:val="32"/>
        </w:rPr>
        <w:t xml:space="preserve">五、开标与评标</w:t>
      </w:r>
      <w:bookmarkEnd w:id="128"/>
      <w:r/>
      <w:bookmarkEnd w:id="129"/>
      <w:r/>
      <w:bookmarkEnd w:id="130"/>
      <w:r/>
      <w:bookmarkEnd w:id="131"/>
      <w:r/>
      <w:r/>
    </w:p>
    <w:p>
      <w:pPr>
        <w:ind w:firstLine="420"/>
        <w:keepLines/>
        <w:keepNext/>
        <w:spacing w:line="400" w:lineRule="exact"/>
        <w:rPr>
          <w:rFonts w:ascii="Arial" w:hAnsi="Arial" w:eastAsia="黑体" w:cs="Arial"/>
          <w:color w:val="000000"/>
          <w:sz w:val="28"/>
          <w:szCs w:val="28"/>
        </w:rPr>
        <w:outlineLvl w:val="3"/>
      </w:pPr>
      <w:r/>
      <w:bookmarkStart w:id="132" w:name="_Toc20823302"/>
      <w:r/>
      <w:bookmarkStart w:id="133" w:name="_Toc16938546"/>
      <w:r/>
      <w:bookmarkStart w:id="134"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2"/>
      <w:r/>
      <w:bookmarkEnd w:id="133"/>
      <w:r/>
      <w:bookmarkEnd w:id="13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5" w:name="_Toc16938547"/>
      <w:r/>
      <w:bookmarkStart w:id="136" w:name="_Toc20823303"/>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8" w:name="_Toc20823304"/>
      <w:r/>
      <w:bookmarkStart w:id="139" w:name="_Toc513029232"/>
      <w:r/>
      <w:bookmarkStart w:id="14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00" w:lineRule="exact"/>
        <w:rPr>
          <w:rFonts w:ascii="宋体" w:hAnsi="宋体"/>
          <w:color w:val="000000"/>
          <w:sz w:val="24"/>
          <w:szCs w:val="24"/>
        </w:rPr>
      </w:pPr>
      <w:r/>
      <w:bookmarkStart w:id="141" w:name="_Toc16938549"/>
      <w:r/>
      <w:bookmarkStart w:id="142" w:name="_Toc513029233"/>
      <w:r/>
      <w:bookmarkStart w:id="143"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120614221"/>
      <w:r/>
      <w:bookmarkStart w:id="145" w:name="_Toc479757207"/>
      <w:r/>
      <w:bookmarkStart w:id="146" w:name="_Toc16938558"/>
      <w:r/>
      <w:bookmarkStart w:id="147" w:name="_Toc513029242"/>
      <w:r/>
      <w:bookmarkStart w:id="148" w:name="_Toc2082331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2" w:name="_Toc20823307"/>
      <w:r/>
      <w:bookmarkStart w:id="153" w:name="_Toc16938551"/>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26.1.10.3投标（响应）报价低于采购项目最高限价65%的，即投标（响应）报价&lt;采购项目最高限价×65%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20823308"/>
      <w:r/>
      <w:bookmarkStart w:id="161" w:name="_Toc16938552"/>
      <w:r/>
      <w:bookmarkStart w:id="162" w:name="_Toc120614220"/>
      <w:r/>
      <w:bookmarkStart w:id="163" w:name="_Toc513029236"/>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4"/>
      <w:r/>
      <w:bookmarkEnd w:id="145"/>
      <w:r/>
      <w:bookmarkEnd w:id="146"/>
      <w:r/>
      <w:bookmarkEnd w:id="147"/>
      <w:r/>
      <w:bookmarkEnd w:id="148"/>
      <w:r>
        <w:rPr>
          <w:rFonts w:hint="eastAsia" w:ascii="黑体" w:eastAsia="黑体"/>
          <w:bCs/>
          <w:color w:val="000000"/>
          <w:sz w:val="44"/>
          <w:szCs w:val="28"/>
        </w:rPr>
        <w:t xml:space="preserve">文本</w:t>
      </w:r>
      <w:bookmarkStart w:id="167" w:name="_Toc20823315"/>
      <w:r/>
      <w:bookmarkEnd w:id="167"/>
      <w:r/>
      <w:bookmarkStart w:id="168" w:name="_Toc3995"/>
      <w:r/>
      <w:bookmarkEnd w:id="168"/>
      <w:r/>
      <w:bookmarkStart w:id="169" w:name="_Toc513029243"/>
      <w:r/>
      <w:bookmarkEnd w:id="169"/>
      <w:r/>
      <w:bookmarkStart w:id="170" w:name="_Toc16938559"/>
      <w:r/>
      <w:bookmarkEnd w:id="170"/>
      <w:r/>
      <w:bookmarkStart w:id="171" w:name="_Hlt16619350"/>
      <w:r/>
      <w:bookmarkStart w:id="172" w:name="_Toc16938590"/>
      <w:r/>
      <w:bookmarkStart w:id="173" w:name="_Toc120614244"/>
      <w:r/>
      <w:bookmarkStart w:id="174" w:name="_Toc20823346"/>
      <w:r/>
      <w:bookmarkStart w:id="175" w:name="_Toc462564139"/>
      <w:r/>
      <w:bookmarkStart w:id="176" w:name="_Toc479757211"/>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96"/>
        <w:spacing w:line="400" w:lineRule="exact"/>
        <w:rPr>
          <w:rFonts w:ascii="黑体" w:hAnsi="黑体" w:eastAsia="黑体"/>
          <w:sz w:val="28"/>
          <w:szCs w:val="28"/>
        </w:rPr>
      </w:pPr>
      <w:r>
        <w:rPr>
          <w:rFonts w:ascii="黑体" w:hAnsi="黑体" w:eastAsia="黑体"/>
          <w:sz w:val="28"/>
          <w:szCs w:val="28"/>
        </w:rPr>
      </w:r>
      <w:r/>
    </w:p>
    <w:p>
      <w:pPr>
        <w:pStyle w:val="796"/>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96"/>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1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1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1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1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color w:val="000000"/>
          <w:spacing w:val="1"/>
          <w:highlight w:val="yellow"/>
        </w:rPr>
        <w:t xml:space="preserve">☑</w:t>
      </w:r>
      <w:r>
        <w:rPr>
          <w:rFonts w:hint="eastAsia" w:ascii="宋体" w:hAnsi="宋体"/>
          <w:szCs w:val="21"/>
          <w:highlight w:val="yellow"/>
        </w:rPr>
        <w:t xml:space="preserve">分期付款：</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highlight w:val="yellow"/>
          <w:u w:val="single"/>
        </w:rPr>
        <w:t xml:space="preserve">合同</w:t>
      </w:r>
      <w:r>
        <w:rPr>
          <w:rFonts w:ascii="宋体" w:hAnsi="宋体" w:cs="宋体"/>
          <w:color w:val="000000"/>
          <w:highlight w:val="yellow"/>
          <w:u w:val="single"/>
        </w:rPr>
        <w:t xml:space="preserve">金额的100%</w:t>
      </w:r>
      <w:r>
        <w:rPr>
          <w:rFonts w:hint="eastAsia" w:ascii="宋体" w:hAnsi="宋体"/>
          <w:szCs w:val="21"/>
          <w:highlight w:val="yellow"/>
        </w:rPr>
        <w:t xml:space="preserve">，其中涉及预付款的：</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0"/>
        <w:rPr>
          <w:rFonts w:cs="宋体" w:asciiTheme="minorEastAsia" w:hAnsiTheme="minorEastAsia" w:eastAsiaTheme="minorEastAsia"/>
          <w:sz w:val="21"/>
          <w:highlight w:val="yellow"/>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yellow"/>
        </w:rPr>
        <w:t xml:space="preserve">收取履约保证金形式：</w:t>
      </w:r>
      <w:r>
        <w:rPr>
          <w:rFonts w:hint="eastAsia" w:cs="宋体" w:asciiTheme="minorEastAsia" w:hAnsiTheme="minorEastAsia" w:eastAsiaTheme="minorEastAsia"/>
          <w:bCs/>
          <w:highlight w:val="yellow"/>
          <w:u w:val="single"/>
        </w:rPr>
        <w:t xml:space="preserve">乙方可以自主选择支票、汇票、本票、保函（电子保函）等非现金形式缴纳履约保证金。</w:t>
      </w:r>
      <w:r/>
    </w:p>
    <w:p>
      <w:pPr>
        <w:pStyle w:val="940"/>
        <w:ind w:firstLine="420"/>
        <w:rPr>
          <w:rFonts w:ascii="宋体" w:hAnsi="宋体" w:eastAsia="宋体" w:cs="宋体"/>
          <w:sz w:val="21"/>
          <w:highlight w:val="yellow"/>
        </w:rPr>
      </w:pPr>
      <w:r>
        <w:rPr>
          <w:rFonts w:hint="eastAsia" w:ascii="宋体" w:hAnsi="宋体" w:eastAsia="宋体" w:cs="宋体"/>
          <w:sz w:val="21"/>
          <w:highlight w:val="yellow"/>
        </w:rPr>
        <w:t xml:space="preserve"> 收取履约保证金金额：</w:t>
      </w:r>
      <w:r>
        <w:rPr>
          <w:rFonts w:hint="eastAsia" w:cs="宋体" w:asciiTheme="minorEastAsia" w:hAnsiTheme="minorEastAsia" w:eastAsiaTheme="minorEastAsia"/>
          <w:bCs/>
          <w:highlight w:val="yellow"/>
          <w:u w:val="single"/>
        </w:rPr>
        <w:t xml:space="preserve">中标金额的</w:t>
      </w:r>
      <w:r>
        <w:rPr>
          <w:rFonts w:cs="宋体" w:asciiTheme="minorEastAsia" w:hAnsiTheme="minorEastAsia" w:eastAsiaTheme="minorEastAsia"/>
          <w:bCs/>
          <w:highlight w:val="yellow"/>
          <w:u w:val="single"/>
        </w:rPr>
        <w:t xml:space="preserve">5</w:t>
      </w:r>
      <w:r>
        <w:rPr>
          <w:rFonts w:hint="eastAsia" w:cs="宋体" w:asciiTheme="minorEastAsia" w:hAnsiTheme="minorEastAsia" w:eastAsiaTheme="minorEastAsia"/>
          <w:bCs/>
          <w:highlight w:val="yellow"/>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yellow"/>
          <w:u w:val="single"/>
        </w:rPr>
      </w:pPr>
      <w:r>
        <w:rPr>
          <w:rFonts w:hint="eastAsia" w:ascii="宋体" w:hAnsi="宋体" w:cs="宋体"/>
          <w:bCs/>
          <w:szCs w:val="21"/>
          <w:highlight w:val="yellow"/>
        </w:rPr>
        <w:t xml:space="preserve"> 履约担保期限：</w:t>
      </w:r>
      <w:r>
        <w:rPr>
          <w:rFonts w:hint="eastAsia" w:cs="宋体" w:asciiTheme="minorEastAsia" w:hAnsiTheme="minorEastAsia" w:eastAsiaTheme="minorEastAsia"/>
          <w:bCs/>
          <w:sz w:val="22"/>
          <w:szCs w:val="21"/>
          <w:highlight w:val="yellow"/>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yellow"/>
        </w:rPr>
      </w:pPr>
      <w:r>
        <w:rPr>
          <w:rFonts w:hint="eastAsia" w:ascii="宋体" w:hAnsi="宋体" w:cs="宋体"/>
          <w:bCs/>
          <w:szCs w:val="21"/>
          <w:highlight w:val="yellow"/>
        </w:rPr>
        <w:t xml:space="preserve">（4）分期履行要求：</w:t>
      </w:r>
      <w:r>
        <w:rPr>
          <w:rFonts w:hint="eastAsia" w:ascii="宋体" w:hAnsi="宋体" w:cs="宋体"/>
          <w:bCs/>
          <w:szCs w:val="21"/>
          <w:highlight w:val="yellow"/>
          <w:u w:val="single"/>
        </w:rPr>
        <w:t xml:space="preserve">                                                        </w:t>
      </w:r>
      <w:r/>
    </w:p>
    <w:p>
      <w:pPr>
        <w:ind w:firstLine="420"/>
        <w:spacing w:line="400" w:lineRule="exact"/>
        <w:rPr>
          <w:rFonts w:hAnsi="宋体"/>
          <w:color w:val="000000"/>
          <w:sz w:val="24"/>
          <w:szCs w:val="24"/>
          <w:highlight w:val="yellow"/>
        </w:rPr>
      </w:pPr>
      <w:r>
        <w:rPr>
          <w:rFonts w:hint="eastAsia" w:ascii="宋体" w:hAnsi="宋体" w:cs="宋体"/>
          <w:bCs/>
          <w:szCs w:val="21"/>
          <w:highlight w:val="yellow"/>
        </w:rPr>
        <w:t xml:space="preserve">（5）风险处置措施和替代方案：1、</w:t>
      </w:r>
      <w:r>
        <w:rPr>
          <w:rFonts w:hint="eastAsia" w:cs="宋体" w:asciiTheme="minorEastAsia" w:hAnsiTheme="minorEastAsia" w:eastAsiaTheme="minorEastAsia"/>
          <w:bCs/>
          <w:sz w:val="22"/>
          <w:szCs w:val="21"/>
          <w:highlight w:val="yellow"/>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yellow"/>
          <w:u w:val="single"/>
        </w:rPr>
        <w:t xml:space="preserve">2、</w:t>
      </w:r>
      <w:r>
        <w:rPr>
          <w:rFonts w:hint="eastAsia" w:cs="宋体" w:asciiTheme="minorEastAsia" w:hAnsiTheme="minorEastAsia" w:eastAsiaTheme="minorEastAsia"/>
          <w:bCs/>
          <w:sz w:val="22"/>
          <w:szCs w:val="21"/>
          <w:highlight w:val="yellow"/>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szCs w:val="21"/>
          <w:u w:val="single"/>
        </w:rPr>
      </w:pPr>
      <w:r>
        <w:rPr>
          <w:rFonts w:hint="eastAsia" w:hAnsi="宋体" w:cs="宋体"/>
          <w:bCs/>
          <w:highlight w:val="yellow"/>
        </w:rPr>
        <w:t xml:space="preserve">（</w:t>
      </w:r>
      <w:r>
        <w:rPr>
          <w:rFonts w:hAnsi="宋体" w:cs="宋体"/>
          <w:bCs/>
          <w:highlight w:val="yellow"/>
        </w:rPr>
        <w:t xml:space="preserve">6</w:t>
      </w:r>
      <w:r>
        <w:rPr>
          <w:rFonts w:hint="eastAsia" w:hAnsi="宋体" w:cs="宋体"/>
          <w:bCs/>
          <w:highlight w:val="yellow"/>
        </w:rPr>
        <w:t xml:space="preserve">）履约保证金逾期退还的违约责任：</w:t>
      </w:r>
      <w:r>
        <w:rPr>
          <w:rFonts w:hint="eastAsia" w:hAnsi="宋体" w:cs="宋体"/>
          <w:bCs/>
          <w:highlight w:val="yellow"/>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96"/>
        <w:spacing w:line="400" w:lineRule="exact"/>
        <w:rPr>
          <w:rFonts w:ascii="宋体" w:hAnsi="宋体"/>
          <w:b w:val="0"/>
          <w:bCs w:val="0"/>
          <w:sz w:val="21"/>
          <w:szCs w:val="21"/>
        </w:rPr>
      </w:pPr>
      <w:r>
        <w:rPr>
          <w:lang w:val="en"/>
        </w:rPr>
        <w:t xml:space="preserve">   </w:t>
      </w:r>
      <w:r/>
    </w:p>
    <w:p>
      <w:pPr>
        <w:pStyle w:val="908"/>
        <w:rPr>
          <w:lang w:eastAsia="zh-CN"/>
        </w:rPr>
      </w:pPr>
      <w:r>
        <w:rPr>
          <w:lang w:eastAsia="zh-CN"/>
        </w:rPr>
      </w:r>
      <w:r/>
    </w:p>
    <w:tbl>
      <w:tblPr>
        <w:tblStyle w:val="805"/>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81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94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4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96"/>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1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1"/>
      <w:r>
        <w:rPr>
          <w:rFonts w:hint="eastAsia" w:ascii="黑体" w:eastAsia="黑体"/>
          <w:bCs/>
          <w:color w:val="000000"/>
          <w:sz w:val="44"/>
          <w:szCs w:val="28"/>
        </w:rPr>
        <w:t xml:space="preserve">四章 采购需求</w:t>
      </w:r>
      <w:bookmarkEnd w:id="172"/>
      <w:r/>
      <w:bookmarkEnd w:id="173"/>
      <w:r/>
      <w:bookmarkEnd w:id="174"/>
      <w:r/>
      <w:r/>
    </w:p>
    <w:p>
      <w:pPr>
        <w:spacing w:line="0" w:lineRule="atLeast"/>
        <w:rPr>
          <w:rFonts w:ascii="宋体" w:hAnsi="宋体"/>
          <w:b/>
          <w:color w:val="000000"/>
          <w:sz w:val="24"/>
          <w:szCs w:val="24"/>
        </w:rPr>
      </w:pPr>
      <w:r/>
      <w:bookmarkStart w:id="177" w:name="_Toc26554093"/>
      <w:r/>
      <w:bookmarkStart w:id="178" w:name="_Toc49090575"/>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jc w:val="left"/>
        <w:widowControl/>
        <w:rPr>
          <w:bCs/>
          <w:iCs/>
          <w:sz w:val="24"/>
          <w:szCs w:val="24"/>
        </w:rPr>
      </w:pPr>
      <w:r>
        <w:rPr>
          <w:rFonts w:hint="eastAsia"/>
          <w:bCs/>
          <w:iCs/>
          <w:sz w:val="24"/>
          <w:szCs w:val="24"/>
        </w:rPr>
        <w:t xml:space="preserve">5</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widowControl/>
        <w:rPr>
          <w:b/>
          <w:bCs/>
          <w:iCs/>
          <w:sz w:val="24"/>
          <w:szCs w:val="24"/>
        </w:rPr>
      </w:pPr>
      <w:r>
        <w:rPr>
          <w:rFonts w:hint="eastAsia"/>
          <w:b/>
          <w:bCs/>
          <w:iCs/>
          <w:sz w:val="24"/>
          <w:szCs w:val="24"/>
        </w:rPr>
        <w:t xml:space="preserve">6</w:t>
      </w:r>
      <w:r>
        <w:rPr>
          <w:b/>
          <w:bCs/>
          <w:iCs/>
          <w:sz w:val="24"/>
          <w:szCs w:val="24"/>
        </w:rPr>
        <w:t xml:space="preserve">. </w:t>
      </w:r>
      <w:r>
        <w:rPr>
          <w:i/>
          <w:sz w:val="24"/>
          <w:szCs w:val="24"/>
          <w:u w:val="single"/>
        </w:rPr>
        <w:t xml:space="preserve">投标人的每包报价不得超过最高限价，所有产品的单价也不得超过“供货清单”的</w:t>
      </w:r>
      <w:r>
        <w:rPr>
          <w:rFonts w:hint="eastAsia"/>
          <w:i/>
          <w:sz w:val="24"/>
          <w:szCs w:val="24"/>
          <w:u w:val="single"/>
        </w:rPr>
        <w:t xml:space="preserve">单价限价。</w:t>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805"/>
        <w:tblW w:w="79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扬州市消防救援支队采购2025年度消防救援队伍部门集中采购目录外器材采购（第一批次）水域类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hint="eastAsia" w:ascii="宋体" w:hAnsi="宋体"/>
          <w:sz w:val="24"/>
          <w:szCs w:val="24"/>
        </w:rPr>
        <w:t xml:space="preserve">8．核心产品</w:t>
      </w:r>
      <w:r/>
    </w:p>
    <w:tbl>
      <w:tblPr>
        <w:tblStyle w:val="805"/>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cs="宋体"/>
                <w:color w:val="000000"/>
                <w:sz w:val="24"/>
                <w:szCs w:val="24"/>
                <w:lang w:bidi="ar"/>
              </w:rPr>
              <w:t xml:space="preserve">激流救生衣</w:t>
            </w:r>
            <w:r/>
          </w:p>
        </w:tc>
      </w:tr>
    </w:tbl>
    <w:p>
      <w:pPr>
        <w:keepLines/>
        <w:keepNext/>
        <w:spacing w:line="400" w:lineRule="exact"/>
        <w:rPr>
          <w:rFonts w:hint="eastAsia" w:ascii="宋体" w:hAnsi="宋体" w:cs="宋体"/>
          <w:b/>
          <w:color w:val="ff0000"/>
          <w:sz w:val="24"/>
          <w:szCs w:val="24"/>
          <w:highlight w:val="green"/>
        </w:rPr>
        <w:outlineLvl w:val="1"/>
      </w:pPr>
      <w:r>
        <w:rPr>
          <w:rFonts w:hint="eastAsia" w:ascii="宋体" w:hAnsi="宋体" w:cs="宋体"/>
          <w:b/>
          <w:color w:val="ff0000"/>
          <w:sz w:val="24"/>
          <w:szCs w:val="24"/>
          <w:highlight w:val="green"/>
        </w:rPr>
      </w:r>
      <w:r/>
    </w:p>
    <w:p>
      <w:pPr>
        <w:keepLines/>
        <w:keepNext/>
        <w:spacing w:line="400" w:lineRule="exact"/>
        <w:rPr>
          <w:rFonts w:ascii="宋体" w:hAnsi="宋体" w:cs="宋体"/>
          <w:b/>
          <w:color w:val="ff0000"/>
          <w:sz w:val="24"/>
          <w:szCs w:val="24"/>
          <w:highlight w:val="green"/>
        </w:rPr>
        <w:outlineLvl w:val="1"/>
      </w:pPr>
      <w:r>
        <w:rPr>
          <w:rFonts w:hint="eastAsia" w:ascii="宋体" w:hAnsi="宋体" w:cs="宋体"/>
          <w:b/>
          <w:color w:val="ff0000"/>
          <w:sz w:val="24"/>
          <w:szCs w:val="24"/>
          <w:highlight w:val="green"/>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highlight w:val="green"/>
        </w:rPr>
        <w:t xml:space="preserve">三</w:t>
      </w:r>
      <w:r>
        <w:rPr>
          <w:rFonts w:ascii="宋体" w:hAnsi="宋体"/>
          <w:b/>
          <w:color w:val="000000"/>
          <w:sz w:val="24"/>
          <w:szCs w:val="24"/>
          <w:highlight w:val="green"/>
        </w:rPr>
        <w:t xml:space="preserve">、</w:t>
      </w:r>
      <w:r>
        <w:rPr>
          <w:rFonts w:ascii="宋体" w:hAnsi="宋体"/>
          <w:b/>
          <w:color w:val="000000"/>
          <w:sz w:val="24"/>
          <w:szCs w:val="24"/>
        </w:rPr>
        <w:t xml:space="preserve">技术要求</w:t>
      </w:r>
      <w:r/>
    </w:p>
    <w:p>
      <w:pPr>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jc w:val="left"/>
        <w:widowControl/>
        <w:rPr>
          <w:rFonts w:ascii="宋体" w:hAnsi="宋体"/>
          <w:b/>
          <w:i/>
          <w:iCs/>
          <w:color w:val="000000"/>
          <w:sz w:val="28"/>
          <w:szCs w:val="28"/>
          <w:u w:val="single"/>
        </w:rPr>
      </w:pPr>
      <w:r>
        <w:rPr>
          <w:rFonts w:hint="eastAsia" w:ascii="宋体" w:hAnsi="宋体" w:cs="宋体"/>
          <w:bCs/>
          <w:color w:val="000000"/>
          <w:sz w:val="24"/>
          <w:szCs w:val="24"/>
        </w:rPr>
        <w:t xml:space="preserve">以下所有器材需按照顺序提供对应投标的器材清晰图片，以及详细技术规格书或使用说明书；</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jc w:val="left"/>
        <w:rPr>
          <w:rFonts w:ascii="宋体" w:hAnsi="宋体" w:cs="宋体"/>
          <w:sz w:val="22"/>
          <w:lang w:bidi="ar"/>
        </w:rPr>
      </w:pPr>
      <w:r>
        <w:rPr>
          <w:rFonts w:ascii="宋体" w:hAnsi="宋体" w:cs="宋体"/>
          <w:sz w:val="22"/>
          <w:lang w:bidi="ar"/>
        </w:rPr>
      </w:r>
      <w:r/>
    </w:p>
    <w:tbl>
      <w:tblPr>
        <w:tblStyle w:val="805"/>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2"/>
        <w:gridCol w:w="6229"/>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229"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激流救生衣</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1,380.00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激流救生衣又称激流专用救生衣，是一种专为在流速＞1m/s的复杂水域环境中使用而设计的救生装备，主要用于洪水救援、激流横渡、舟艇作业等场景，能保障救援人员及被困人员的安全。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rPr>
                <w:rFonts w:hint="eastAsia" w:ascii="宋体" w:hAnsi="宋体" w:cs="宋体"/>
                <w:sz w:val="22"/>
                <w:highlight w:val="none"/>
                <w:lang w:bidi="ar"/>
              </w:rPr>
              <w:tab/>
            </w:r>
            <w:r/>
          </w:p>
          <w:p>
            <w:pPr>
              <w:ind w:firstLine="220"/>
              <w:jc w:val="left"/>
              <w:widowControl/>
              <w:rPr>
                <w:rFonts w:ascii="宋体" w:hAnsi="宋体" w:cs="宋体"/>
                <w:sz w:val="22"/>
                <w:highlight w:val="none"/>
                <w:lang w:bidi="ar"/>
              </w:rPr>
            </w:pPr>
            <w:r>
              <w:rPr>
                <w:rFonts w:hint="eastAsia" w:ascii="宋体" w:hAnsi="宋体" w:cs="宋体"/>
                <w:b/>
                <w:bCs/>
                <w:sz w:val="22"/>
                <w:highlight w:val="none"/>
                <w:lang w:bidi="ar"/>
              </w:rPr>
              <w:t xml:space="preserve">符合</w:t>
            </w:r>
            <w:r>
              <w:rPr>
                <w:rFonts w:hint="eastAsia" w:ascii="宋体" w:hAnsi="宋体" w:cs="宋体"/>
                <w:b/>
                <w:bCs/>
                <w:szCs w:val="21"/>
                <w:highlight w:val="none"/>
                <w:lang w:bidi="ar"/>
              </w:rPr>
              <w:t xml:space="preserve">GB/T4303-2023《船用救生衣》《消防水域救援个人防护装备试验大纲》</w:t>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 w:val="22"/>
                <w:highlight w:val="none"/>
                <w:u w:val="single"/>
              </w:rPr>
              <w:t xml:space="preserve">斜体且有下划线部分</w:t>
            </w:r>
            <w:r>
              <w:rPr>
                <w:rFonts w:hint="eastAsia" w:ascii="宋体" w:hAnsi="宋体"/>
                <w:b/>
                <w:bCs/>
                <w:color w:val="ff0000"/>
                <w:sz w:val="22"/>
                <w:highlight w:val="none"/>
              </w:rPr>
              <w:t xml:space="preserve">为实质性要求</w:t>
            </w:r>
            <w:r>
              <w:rPr>
                <w:rFonts w:hint="eastAsia" w:ascii="宋体" w:hAnsi="宋体" w:cs="宋体"/>
                <w:b/>
                <w:bCs/>
                <w:sz w:val="22"/>
                <w:highlight w:val="none"/>
                <w:lang w:bidi="ar"/>
              </w:rPr>
              <w:t xml:space="preserve">，“</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ind w:firstLine="440"/>
              <w:jc w:val="left"/>
              <w:widowControl/>
              <w:rPr>
                <w:rFonts w:ascii="宋体" w:hAnsi="宋体" w:cs="宋体"/>
                <w:i/>
                <w:iCs/>
                <w:sz w:val="22"/>
                <w:highlight w:val="none"/>
                <w:u w:val="single"/>
                <w:lang w:bidi="ar"/>
              </w:rPr>
            </w:pPr>
            <w:r>
              <w:rPr>
                <w:rFonts w:hint="eastAsia" w:ascii="宋体" w:hAnsi="宋体" w:cs="宋体"/>
                <w:i/>
                <w:iCs/>
                <w:sz w:val="22"/>
                <w:highlight w:val="none"/>
                <w:u w:val="single"/>
                <w:lang w:bidi="ar"/>
              </w:rPr>
              <w:t xml:space="preserve">1、浮力救生衣固有浮力材料提供的浮力为≥150N。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▲2、浮力损失救生衣在淡水中浸泡24h后，其浮力损失为≤3%。</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▲3、快脱带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①人员穿着救生衣以任意方式下水，能在10s内解开快脱带，且快脱带的开启力不大于110N；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②快脱带在扣件闭合状态下能承受≥2500N的拉力，且扣件未出现开启或损坏现象；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③耐磨性能要求在不小于9KPA压力下，经2000次循环摩擦后未破损。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▲4、强度1.救生衣衣身能承受≥3200N的作用力30min而不损坏。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▲5、救生衣肩部能承受≥900N的作用力≥30min而不损坏。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▲6、裆带与救生衣衣体之间能承受≥900N的作用力而不发生脱离或损坏。</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▲7尼龙织带搭配不锈钢O型环和航空铝快挂，具备高强度抗拉性能，快挂可承受≥22kN拉力，尼龙织带可承受≥4800N拉力。D型环一个，D型环的最小断裂强度需≥30kN。</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▲8、浸水性能：水中姿态人员穿着救生衣以任意方式下水后，在自由漂浮状态下，人嘴高出水面≥120mm。</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▲9、反光条≥2个，救生衣上逆向反光带的总面积不小于300cm</w:t>
            </w:r>
            <w:r>
              <w:rPr>
                <w:rFonts w:hint="eastAsia" w:ascii="宋体" w:hAnsi="宋体" w:cs="宋体"/>
                <w:sz w:val="22"/>
                <w:highlight w:val="none"/>
                <w:vertAlign w:val="superscript"/>
                <w:lang w:bidi="ar"/>
              </w:rPr>
              <w:t xml:space="preserve">2</w:t>
            </w:r>
            <w:r>
              <w:rPr>
                <w:rFonts w:hint="eastAsia" w:ascii="宋体" w:hAnsi="宋体" w:cs="宋体"/>
                <w:sz w:val="22"/>
                <w:highlight w:val="none"/>
                <w:lang w:bidi="ar"/>
              </w:rPr>
              <w:t xml:space="preserve">,且救生衣的胸腹部、肩部和背部的外表面均贴有逆向反光带。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10、腿带：</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▲拉力承受：腿带与救生衣连接部位需承受≥900N的拉力30分钟不脱离或损坏，确保在激流中不会因水流冲击而松脱；</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长度调节：腿带需具备多档调节功能，以适应不同身高和腿围的使用者；</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宽度与舒适性：腿带宽度大约在5-8厘米之间，过宽可能影响活动灵活性，过窄则可能因压力集中导致不适。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△11、每件救生衣配有细索系牢的哨笛1只。使用时，穿着者任何一只手能将哨笛移出或放入。</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△12、每件救生衣配有细索系牢的示位灯1只。牛尾绳一根，牛尾绳长度静态长度≤68cm，伸展后长度≥85cm，能适应不同救援场景的拉伸需求。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13、材料和结构：参照或优于牛津布、漂浮材料。</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△14、外观：救生衣的主体颜色为红色。</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△15、救生衣的系固采用扣件及拉链形式。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16、救生衣的属具及配件无尖角、毛刺等导致穿着者和被救者受伤的缺陷。</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△17、救生衣装有裆带，能防止穿着人员入水后救生衣上浮窜动。</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18、落水和跳水穿着人员落水及跳水后，救生衣符合下列要求：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①救生衣不发生明显移位或对穿着人员造成伤害；</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②没有影响其水中姿态及浮力的破损；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③不对其属具及附件造成破坏。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△19、救生衣全部挂点≥8个且前置挂点≥2个。</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20、根据供货需求可在胸背部增加魔术贴（后期可定制相应内容）。</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△21、左胸口设置四方形割绳刀挂点。</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水域救援头盔是专为水域救援行动设计的头部防护装备。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jc w:val="left"/>
              <w:widowControl/>
              <w:rPr>
                <w:rFonts w:hint="eastAsia" w:ascii="宋体" w:hAnsi="宋体" w:cs="宋体"/>
                <w:szCs w:val="21"/>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▲1、帽壳顶部抗冲击加速度性能：最大加速度≤150gn，加速度超过150gn的作用持续时间≤2ms</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▲2、耐穿透性能钢锥未穿透头盔与头模产生接触。帽壳最大变形≤30（mm)，卸载后变形≤2（mm)，试验现象帽壳无碎片脱落，下颏带抗拉强度延伸长度≥17（mm)，下颏带未出现断裂、滑脱。</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▲3、质量（不包括附件）≤550(g)。</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▲4、材料和结构：参照或优于ABS工程塑料注塑成型盔壳，参照或优于高密度EVA缓冲垫，头箍设有EVA衬垫，魔术贴固位，易于拆卸清洁和更换。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▲5、消防员水域救援防护头盔由帽壳、缓冲层、下须带等组成，有可安装附件的接口。</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△6、外观要求：低重心无帽檐设计，贴合头部。透气孔≥8个。</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7、结构款式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消防员水域救援防护头盔的帽壳有开孔排水设计；</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消防员水域救援防护头盔的头围和下须带尺寸能调节；</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消防员水域救援防护头盔有耳部听力保障设计；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△消防员水域救援防护头盔的帽壳颜色为红色。</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8、冲击吸收性能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最大冲击力（N)≥3500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湿式水域救援服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1,100.00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主要用于消防救援人员水域救援时对救援人员进行防护。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▲1、防水性：非完全防水，但通过紧身设计减少水渗透，内部滞留水层通过体温加热形成保温层，一般能在25℃以内的温水环境中提供有效保温，延缓人体热量散失。温度适应范围：15°C~25°C（温水环境）。</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2、关键功能设计面料耐磨性能：面料经循环次数2000次后，试样未被磨穿。膝部、肘部、臀部等易磨损部位的加固层面料经循环次数6000次后，试样未被磨穿。膝部、肘部、臀部等易磨损部位有防磨层或加固材料，如聚氨酯涂层垫，提供额外保护。衣袖、衣后和裤腿处设有反光带，增强夜间或低能见度环境下的辨识度。反光条（360°高可视性）</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接缝工艺：胶合密封，减少渗水，保证深水或长时间作业。接缝强力经纬向≥100N，面料抗拉强度≥150N。拉链系统：胸部或侧部防水拉链，带防夹设计。颈部、腕部、踝部采用防进水密封设计（魔术贴+弹性束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▲4、活动自由度：关节处预弯曲剪裁，拉伸率≥300%。</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▲5、强度测试：抗撕裂强度≥40N/mm²，耐盐雾腐蚀（96小时测试）。</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▲6、材质与结构</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外层材料：参照或优于高弹性氯丁橡胶，厚度≥3mm，表面覆盖耐磨涂层（参照或优于尼龙和聚酯纤维）。</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内衬：具有柔软，保暖的特性，参照或优于柔软抓绒。</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△7、颜色：主体为红色</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8、有大中小型号可选择分体式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9、穿着者可活动性：穿着消防员湿式水域救援防护服的人员能行走、爬行、游泳并登上平台。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△10、配件：护膝/护肘垫片（高磨损区域加固）。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▲1、耐磨性能≥4000次摩擦循环，抗撕裂力≥100N，抗穿刺强力≥60N、耐静水压≥100kPa、透湿性≥4000g/(m²·24h)（干燥剂法）。</w:t>
            </w:r>
            <w:r/>
          </w:p>
          <w:p>
            <w:pPr>
              <w:ind w:firstLine="440"/>
              <w:jc w:val="left"/>
              <w:widowControl/>
              <w:rPr>
                <w:rFonts w:ascii="宋体" w:hAnsi="宋体" w:cs="宋体"/>
                <w:sz w:val="22"/>
                <w:lang w:bidi="ar"/>
              </w:rPr>
            </w:pPr>
            <w:r>
              <w:rPr>
                <w:rFonts w:hint="eastAsia" w:ascii="宋体" w:hAnsi="宋体" w:cs="宋体"/>
                <w:sz w:val="22"/>
                <w:lang w:bidi="ar"/>
              </w:rPr>
              <w:t xml:space="preserve">▲接缝工艺：胶合密封+暗线缝合，确保防水性。接缝强力≥280N。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2、防水与保温性能</w:t>
            </w:r>
            <w:r/>
          </w:p>
          <w:p>
            <w:pPr>
              <w:jc w:val="left"/>
              <w:widowControl/>
              <w:rPr>
                <w:rFonts w:ascii="宋体" w:hAnsi="宋体" w:cs="宋体"/>
                <w:sz w:val="22"/>
                <w:lang w:bidi="ar"/>
              </w:rPr>
            </w:pPr>
            <w:r>
              <w:rPr>
                <w:rFonts w:hint="eastAsia" w:ascii="宋体" w:hAnsi="宋体" w:cs="宋体"/>
                <w:sz w:val="22"/>
                <w:lang w:bidi="ar"/>
              </w:rPr>
              <w:t xml:space="preserve">防水性：</w:t>
            </w:r>
            <w:r/>
          </w:p>
          <w:p>
            <w:pPr>
              <w:ind w:firstLine="440"/>
              <w:jc w:val="left"/>
              <w:widowControl/>
              <w:rPr>
                <w:rFonts w:ascii="宋体" w:hAnsi="宋体" w:cs="宋体"/>
                <w:sz w:val="22"/>
                <w:lang w:bidi="ar"/>
              </w:rPr>
            </w:pPr>
            <w:r>
              <w:rPr>
                <w:rFonts w:hint="eastAsia" w:ascii="宋体" w:hAnsi="宋体" w:cs="宋体"/>
                <w:sz w:val="22"/>
                <w:lang w:bidi="ar"/>
              </w:rPr>
              <w:t xml:space="preserve">▲整体渗漏进水量≤0.1kg/h；采用防水拉链、乳胶密封颈部和袖口，防止进水。</w:t>
            </w:r>
            <w:r/>
          </w:p>
          <w:p>
            <w:pPr>
              <w:jc w:val="left"/>
              <w:widowControl/>
              <w:rPr>
                <w:rFonts w:ascii="宋体" w:hAnsi="宋体" w:cs="宋体"/>
                <w:sz w:val="22"/>
                <w:lang w:bidi="ar"/>
              </w:rPr>
            </w:pPr>
            <w:r>
              <w:rPr>
                <w:rFonts w:hint="eastAsia" w:ascii="宋体" w:hAnsi="宋体" w:cs="宋体"/>
                <w:sz w:val="22"/>
                <w:lang w:bidi="ar"/>
              </w:rPr>
              <w:t xml:space="preserve">保温性：</w:t>
            </w:r>
            <w:r/>
          </w:p>
          <w:p>
            <w:pPr>
              <w:ind w:firstLine="440"/>
              <w:jc w:val="left"/>
              <w:widowControl/>
              <w:rPr>
                <w:rFonts w:ascii="宋体" w:hAnsi="宋体" w:cs="宋体"/>
                <w:sz w:val="22"/>
                <w:lang w:bidi="ar"/>
              </w:rPr>
            </w:pPr>
            <w:r>
              <w:rPr>
                <w:rFonts w:hint="eastAsia" w:ascii="宋体" w:hAnsi="宋体" w:cs="宋体"/>
                <w:sz w:val="22"/>
                <w:lang w:bidi="ar"/>
              </w:rPr>
              <w:t xml:space="preserve">▲在冷水中浸泡1小时，体温下降≤0.9℃；搭配保暖底衣，增强低温环境适应性。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3、人体工程学设计</w:t>
            </w:r>
            <w:r/>
          </w:p>
          <w:p>
            <w:pPr>
              <w:ind w:firstLine="440"/>
              <w:jc w:val="left"/>
              <w:widowControl/>
              <w:rPr>
                <w:rFonts w:ascii="宋体" w:hAnsi="宋体" w:cs="宋体"/>
                <w:sz w:val="22"/>
                <w:lang w:bidi="ar"/>
              </w:rPr>
            </w:pPr>
            <w:r>
              <w:rPr>
                <w:rFonts w:hint="eastAsia" w:ascii="宋体" w:hAnsi="宋体" w:cs="宋体"/>
                <w:sz w:val="22"/>
                <w:lang w:bidi="ar"/>
              </w:rPr>
              <w:t xml:space="preserve">▲重量：≤3kg（轻量化设计）。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4、防护与功能性</w:t>
            </w:r>
            <w:r/>
          </w:p>
          <w:p>
            <w:pPr>
              <w:ind w:firstLine="440"/>
              <w:jc w:val="left"/>
              <w:widowControl/>
              <w:rPr>
                <w:rFonts w:ascii="宋体" w:hAnsi="宋体" w:cs="宋体"/>
                <w:sz w:val="22"/>
                <w:lang w:bidi="ar"/>
              </w:rPr>
            </w:pPr>
            <w:r>
              <w:rPr>
                <w:rFonts w:hint="eastAsia" w:ascii="宋体" w:hAnsi="宋体" w:cs="宋体"/>
                <w:sz w:val="22"/>
                <w:lang w:bidi="ar"/>
              </w:rPr>
              <w:t xml:space="preserve">▲耐磨补强：肘部、膝盖、臀部加厚处理（耐磨层≥6000次摩擦循环）；反光设计：25mm宽高亮反光条，提升昏暗环境可见性。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▲5、面料：参照或优于防水透气复合面料。</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6、可调节魔术贴袖口、领口及腰部束紧系统。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7、穿脱时间：≤30秒。工具袋：腿部两侧带排水孔工具袋，便于携带装备。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8、颜色：主体颜色为红色</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具有防护、保暖、防滑的功能，可避免尖锐物刺伤手部，放心操作绳索和其他救援工具。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▲1、材料厚度：参照或不低于超纤布、厚度≤0.7mm，参照或不低于氯丁橡胶复合贴片、厚度≤2mm。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▲2、手掌和指缝部分参照或优于Amara超纤材料防滑且握感舒适，参照或优于氯丁橡胶复合贴片≤2mm材料能提供保暖和额外的防护。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▲3、产品结构：消防员水域救援手套由外层、防护保暖复合层组合制成。手套的掌心和手指部位缝有用于增强外层耐磨性的材料，在9kPa压力下，循环摩擦8000次后，手套不应被磨穿。</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▲4、产品款式：消防员水域救援手套为五指分离式，手套本体环形延伸，超出腕骨不少于25mm，且能限制杂物进入手套口。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▲5、手掌和手指覆盖区都经过橡胶涂层的加固处理，保证耐用性同时不失灵活性。穿着后可9.5mm,12.5mm,16mm的绳索进行结绳作业。</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非检验报告内参数如下6、材料描述：参照或不低于超纤布50%参照或不低于氯丁橡胶复合贴片50%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7、在经常性磨损区域都做了非常稳定的加固垫，确保在用手划水和操作绳索的时候都可以得到良好的保护。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8.在手腕处设有魔术贴，可以快速调节和固定，并确保手套不会滑落，增加了保暖性。</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水域救援靴</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660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用于水域救援、消防救援、急速救援时的足部防护。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水域救援靴通常符合XF633-2006《消防员抢险救援防护服装》标准。（提供第三方检测机构出具的与所投产品型号一致、完整有效的检验/检测报告原件扫描上传。）检验报告需包含以下参数要求，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rPr>
                <w:rFonts w:hint="eastAsia" w:ascii="宋体" w:hAnsi="宋体" w:cs="宋体"/>
                <w:sz w:val="22"/>
                <w:highlight w:val="none"/>
                <w:lang w:bidi="ar"/>
              </w:rPr>
              <w:tab/>
            </w:r>
            <w:r/>
          </w:p>
          <w:p>
            <w:pPr>
              <w:ind w:firstLine="420"/>
              <w:jc w:val="left"/>
              <w:widowControl/>
              <w:rPr>
                <w:rFonts w:ascii="宋体" w:hAnsi="宋体" w:cs="宋体"/>
                <w:i/>
                <w:iCs/>
                <w:highlight w:val="none"/>
                <w:u w:val="single"/>
                <w:lang w:bidi="ar"/>
              </w:rPr>
            </w:pPr>
            <w:r>
              <w:rPr>
                <w:rFonts w:hint="eastAsia" w:ascii="宋体" w:hAnsi="宋体" w:cs="宋体"/>
                <w:highlight w:val="none"/>
                <w:lang w:bidi="ar"/>
              </w:rPr>
              <w:t xml:space="preserve">检验报告内参数</w:t>
            </w:r>
            <w:r/>
          </w:p>
          <w:p>
            <w:pPr>
              <w:ind w:firstLine="420"/>
              <w:jc w:val="left"/>
              <w:widowControl/>
              <w:rPr>
                <w:rFonts w:ascii="宋体" w:hAnsi="宋体" w:cs="宋体"/>
                <w:i/>
                <w:iCs/>
                <w:highlight w:val="none"/>
                <w:u w:val="single"/>
                <w:lang w:bidi="ar"/>
              </w:rPr>
            </w:pPr>
            <w:r>
              <w:rPr>
                <w:rFonts w:hint="eastAsia" w:ascii="宋体" w:hAnsi="宋体" w:cs="宋体"/>
                <w:i/>
                <w:iCs/>
                <w:highlight w:val="none"/>
                <w:u w:val="single"/>
                <w:lang w:bidi="ar"/>
              </w:rPr>
              <w:t xml:space="preserve">1、水域救援靴采用一体化设计，整鞋重量≤1.2kg/双；帮面采用质轻耐磨材料制成，湿态下耐磨性能≥6000次无损伤；靴底采用抗穿刺织物材料，靴底抗穿刺性能≥1100N；靴底采用毛毡材质和防滑纹理，始滑角≥15°。</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20"/>
              <w:jc w:val="left"/>
              <w:widowControl/>
              <w:rPr>
                <w:rFonts w:ascii="宋体" w:hAnsi="宋体" w:cs="宋体"/>
                <w:sz w:val="22"/>
                <w:highlight w:val="none"/>
                <w:u w:val="none"/>
                <w:lang w:bidi="ar"/>
              </w:rPr>
            </w:pPr>
            <w:r>
              <w:rPr>
                <w:rFonts w:hint="eastAsia" w:ascii="宋体" w:hAnsi="宋体" w:cs="宋体"/>
                <w:i w:val="0"/>
                <w:iCs w:val="0"/>
                <w:highlight w:val="none"/>
                <w:u w:val="none"/>
                <w:lang w:bidi="ar"/>
              </w:rPr>
              <w:t xml:space="preserve">2、经防水性能试验后，无渗漏现象。</w:t>
            </w:r>
            <w:r/>
          </w:p>
          <w:p>
            <w:pPr>
              <w:ind w:firstLine="420"/>
              <w:jc w:val="left"/>
              <w:widowControl/>
              <w:rPr>
                <w:rFonts w:ascii="宋体" w:hAnsi="宋体" w:cs="宋体"/>
                <w:highlight w:val="none"/>
                <w:lang w:bidi="ar"/>
              </w:rPr>
            </w:pPr>
            <w:r>
              <w:rPr>
                <w:rFonts w:hint="eastAsia" w:ascii="宋体" w:hAnsi="宋体" w:cs="宋体"/>
                <w:highlight w:val="none"/>
                <w:lang w:bidi="ar"/>
              </w:rPr>
              <w:t xml:space="preserve">▲3、参照或优于氯丁橡胶内底的材料提供良好的减震性，增加舒适度。(</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b/>
                <w:bCs/>
                <w:highlight w:val="none"/>
                <w:lang w:bidi="ar"/>
              </w:rPr>
            </w:pPr>
            <w:r>
              <w:rPr>
                <w:rFonts w:hint="eastAsia" w:ascii="宋体" w:hAnsi="宋体" w:cs="宋体"/>
                <w:highlight w:val="none"/>
                <w:lang w:bidi="ar"/>
              </w:rPr>
              <w:t xml:space="preserve">▲4、参照或优于BOA系带系统，能够快速单手穿脱。内置高强度钢丝，结实耐用、灵活轻巧。(</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5、参照或优于氯丁橡胶涂层与一体合成的皮革提供保暖，脚踝需保护以及更好地固定。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6、内部有参照或优于弹性潜水材料的内胆，为足部提供良好的保暖性和踝部支撑。</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7、鞋底采取参照或优于吸盘防滑的设计，能适应水面和陆地的各种地形。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8、经常磨损区域采用参照或优于合成皮革和橡胶的补强处理。</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9、脚跟处凸起设计，方便与脚蹼搭配使用。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△10、靴子内侧设有排水孔，无鞋带设计，方便出水。</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△11、水域救援靴为黑色一体式设计。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防水头灯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val="en-US" w:eastAsia="zh-CN" w:bidi="ar"/>
              </w:rPr>
              <w:t xml:space="preserve">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防水头灯是一种具有防水功能的头戴式照明设备，广泛应用于水域救援、深井作业等场景。</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b/>
                <w:bCs/>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1、外壳防护等级应符合GB/T4208-2017《外壳防护等级（IP代码）》中不低于IP68等级的规定。</w:t>
            </w:r>
            <w:r/>
          </w:p>
          <w:p>
            <w:pPr>
              <w:jc w:val="left"/>
              <w:widowControl/>
              <w:rPr>
                <w:rFonts w:ascii="宋体" w:hAnsi="宋体" w:cs="宋体"/>
                <w:b/>
                <w:bCs/>
                <w:sz w:val="22"/>
                <w:highlight w:val="none"/>
                <w:lang w:bidi="ar"/>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2、符合GB30734-2014《消防员照明灯具》。</w:t>
            </w:r>
            <w:r/>
          </w:p>
          <w:p>
            <w:pPr>
              <w:ind w:firstLine="221"/>
              <w:jc w:val="left"/>
              <w:widowControl/>
              <w:rPr>
                <w:rFonts w:hint="eastAsia" w:ascii="宋体" w:hAnsi="宋体" w:eastAsia="宋体"/>
                <w:b/>
                <w:bCs/>
                <w:color w:val="ff0000"/>
                <w:highlight w:val="none"/>
                <w:lang w:val="en-US" w:eastAsia="zh-CN"/>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3、</w:t>
            </w:r>
            <w:r>
              <w:rPr>
                <w:rFonts w:hint="eastAsia" w:ascii="宋体" w:hAnsi="宋体" w:cs="宋体"/>
                <w:b/>
                <w:bCs/>
                <w:highlight w:val="none"/>
                <w:lang w:bidi="ar"/>
              </w:rPr>
              <w:t xml:space="preserve">3、（提供第三方检测机构出具的与所投产品型号一致、完整有效的检验/检测报告原件扫描上传。）检验报告需包含以下参数要求,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p>
          <w:p>
            <w:pPr>
              <w:jc w:val="left"/>
              <w:widowControl/>
              <w:rPr>
                <w:rFonts w:ascii="宋体" w:hAnsi="宋体"/>
                <w:b/>
                <w:bCs/>
                <w:color w:val="ff0000"/>
                <w:highlight w:val="none"/>
              </w:rPr>
            </w:pPr>
            <w:r>
              <w:rPr>
                <w:rFonts w:hint="eastAsia" w:ascii="宋体" w:hAnsi="宋体" w:cs="宋体"/>
                <w:highlight w:val="none"/>
                <w:lang w:bidi="ar"/>
              </w:rPr>
              <w:t xml:space="preserve">检验报告内参数</w:t>
            </w:r>
            <w:r/>
          </w:p>
          <w:p>
            <w:pPr>
              <w:ind w:firstLine="420"/>
              <w:jc w:val="left"/>
              <w:widowControl/>
              <w:rPr>
                <w:rFonts w:hint="eastAsia" w:ascii="宋体" w:hAnsi="宋体" w:cs="宋体"/>
                <w:i/>
                <w:iCs/>
                <w:highlight w:val="none"/>
                <w:u w:val="single"/>
                <w:lang w:bidi="ar"/>
              </w:rPr>
            </w:pPr>
            <w:r>
              <w:rPr>
                <w:rFonts w:hint="eastAsia" w:ascii="宋体" w:hAnsi="宋体" w:cs="宋体"/>
                <w:i/>
                <w:iCs/>
                <w:highlight w:val="none"/>
                <w:u w:val="single"/>
                <w:lang w:bidi="ar"/>
              </w:rPr>
              <w:t xml:space="preserve">1</w:t>
            </w:r>
            <w:r>
              <w:rPr>
                <w:rFonts w:hint="eastAsia" w:ascii="宋体" w:hAnsi="宋体" w:cs="宋体"/>
                <w:i/>
                <w:iCs/>
                <w:highlight w:val="none"/>
                <w:u w:val="single"/>
                <w:lang w:val="en-US" w:eastAsia="zh-CN" w:bidi="ar"/>
              </w:rPr>
              <w:t xml:space="preserve">.1采用防水设计，</w:t>
            </w:r>
            <w:r>
              <w:rPr>
                <w:rFonts w:hint="eastAsia" w:ascii="宋体" w:hAnsi="宋体" w:cs="宋体"/>
                <w:i/>
                <w:iCs/>
                <w:highlight w:val="none"/>
                <w:u w:val="single"/>
                <w:lang w:bidi="ar"/>
              </w:rPr>
              <w:t xml:space="preserve">防水等级达到IP68</w:t>
            </w:r>
            <w:r/>
          </w:p>
          <w:p>
            <w:pPr>
              <w:ind w:firstLine="420"/>
              <w:jc w:val="left"/>
              <w:widowControl/>
              <w:rPr>
                <w:rFonts w:hint="default" w:ascii="宋体" w:hAnsi="宋体" w:eastAsia="宋体" w:cs="宋体"/>
                <w:i/>
                <w:iCs/>
                <w:highlight w:val="none"/>
                <w:u w:val="single"/>
                <w:lang w:val="en-US" w:eastAsia="zh-CN" w:bidi="ar"/>
              </w:rPr>
            </w:pPr>
            <w:r>
              <w:rPr>
                <w:rFonts w:hint="eastAsia" w:ascii="宋体" w:hAnsi="宋体" w:cs="宋体"/>
                <w:i/>
                <w:iCs/>
                <w:highlight w:val="none"/>
                <w:u w:val="single"/>
                <w:lang w:val="en-US" w:eastAsia="zh-CN" w:bidi="ar"/>
              </w:rPr>
              <w:t xml:space="preserve">1.2</w:t>
            </w:r>
            <w:r>
              <w:rPr>
                <w:rFonts w:hint="eastAsia" w:ascii="宋体" w:hAnsi="宋体" w:cs="宋体"/>
                <w:i/>
                <w:iCs/>
                <w:highlight w:val="none"/>
                <w:u w:val="single"/>
                <w:lang w:bidi="ar"/>
              </w:rPr>
              <w:t xml:space="preserve">连续照明≥90分钟，为水域救援提供光源。</w:t>
            </w:r>
            <w:r/>
          </w:p>
          <w:p>
            <w:pPr>
              <w:jc w:val="left"/>
              <w:widowControl/>
              <w:rPr>
                <w:rFonts w:ascii="宋体" w:hAnsi="宋体" w:cs="宋体"/>
                <w:highlight w:val="none"/>
                <w:lang w:bidi="ar"/>
              </w:rPr>
            </w:pPr>
            <w:r>
              <w:rPr>
                <w:rFonts w:hint="eastAsia" w:ascii="宋体" w:hAnsi="宋体" w:cs="宋体"/>
                <w:highlight w:val="none"/>
                <w:lang w:bidi="ar"/>
              </w:rPr>
              <w:t xml:space="preserve">非检验报告内参数如下：</w:t>
            </w:r>
            <w:r/>
          </w:p>
          <w:p>
            <w:pPr>
              <w:ind w:firstLine="420"/>
              <w:jc w:val="left"/>
              <w:widowControl/>
              <w:rPr>
                <w:rFonts w:hint="eastAsia" w:ascii="宋体" w:hAnsi="宋体" w:eastAsia="宋体" w:cs="宋体"/>
                <w:sz w:val="22"/>
                <w:highlight w:val="none"/>
                <w:lang w:bidi="ar"/>
              </w:rPr>
            </w:pPr>
            <w:r>
              <w:rPr>
                <w:rFonts w:hint="eastAsia" w:ascii="宋体" w:hAnsi="宋体" w:eastAsia="宋体" w:cs="宋体"/>
                <w:sz w:val="22"/>
                <w:highlight w:val="none"/>
                <w:lang w:bidi="ar"/>
              </w:rPr>
              <w:t xml:space="preserve">2、照明挡位：聚光（强光，中光）、泛光（强光，弱光），聚泛光（超强光）（≥5种照明模式），照明模式在任何挡位双击可开启爆闪光，照明模式在任何挡位（含主灯聚光和副灯泛光）具有10%-100%无极调光功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▲3、跌落高度≥1m，跌落次数4次，能正常进行开、关和工作模式切换。</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▲4、额定电压≥3.7V，额定功率≥3W，灯具最强光通量≥350Lm，最小光通量≤10Lm，光源类型为LED；续航时间强光≥4h，续航模式≥50h，节能模式≥200h。</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▲5、防爆标志：ExibIICT4Gb;防爆标准应符合GB/T3836.1-2021，GB/T3836.4-2021（需提供防爆合格证书扫描上传）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6、外壳采用参照或优于高性能工程塑料防弹胶制成，抗强力冲击，防水、防尘，绝缘、耐腐蚀性能好，可在各种恶劣环境下安全可靠使用。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7、灯具采用7号碱性干电池供电，也可选配使用充电锂电池供电，电池采用Type-c或USB充电接口充电。</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8、头戴式，固定在水域头盔上使用，照明角度0-60度可调，为水域救援提供光源。</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9、电量显示：具有不少于4格电量显示。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400.00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刀主要用于快速切割绳索、绳结、带子等材料以便救援人员能够快速解救被困在水中的人员。同时，在水域救援中，遇到缠绕在被困者身上的水草、渔网等障碍物时，也可以用其进行切割清除，为救援工作创造条件。</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 xml:space="preserve"> </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ind w:firstLine="440"/>
              <w:jc w:val="left"/>
              <w:widowControl/>
              <w:rPr>
                <w:rFonts w:ascii="宋体" w:hAnsi="宋体" w:cs="宋体"/>
                <w:sz w:val="22"/>
                <w:lang w:bidi="ar"/>
              </w:rPr>
            </w:pPr>
            <w:r>
              <w:rPr>
                <w:rFonts w:hint="eastAsia" w:ascii="宋体" w:hAnsi="宋体" w:cs="宋体"/>
                <w:sz w:val="22"/>
                <w:lang w:bidi="ar"/>
              </w:rPr>
              <w:t xml:space="preserve">▲3、刀鞘背面的卡扣匹配国际通用四方卡座模块，可稳固的挂载于激流救生衣四方卡座上。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▲4、具有高强耐腐蚀性能，经48h中性盐雾试验后,试样未出现红锈和其他明显可见的腐蚀痕迹。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tab/>
            </w:r>
            <w:r>
              <w:rPr>
                <w:rFonts w:hint="eastAsia" w:ascii="宋体" w:hAnsi="宋体" w:cs="宋体"/>
                <w:sz w:val="22"/>
                <w:lang w:bidi="ar"/>
              </w:rPr>
              <w:t xml:space="preserve">8、双侧同步按扣式刀鞘，可快速释放刀身。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9、安全平头设计，紧急时可以当作工具使用，刀身具有开瓶器功能设计。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390.00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主要用于当被救人员距离岸边不远时，救援人员可以将绳包抛给被救者实施救援。</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▲1、绳包中绳子是采用参照或优于高强度聚丙烯材质，绳子为可漂浮绳直径≥8mm，绳长≥20米左右;断裂强度：一般≥15kN，重量1-2公斤，耐腐蚀抗老化性能好；绳子可反光，方便夜间救援。</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非检验报告内参数如下2、腰包腰围可调节。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3、腰包配置参照或优于PFD快速脱卸装置，方便在水中快速脱离，方便快速救援。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△4、腰带配置≥2个D型环且底部至少有一个D型环，方便提拉挂物，可手提、腰挂，快速脱卸装置结合。</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5、外包带优质反光条，方便夜间救援。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△6、绳包侧面网布设计，可快速出水，方便晾干。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7、绳包盖子收紧口加魔术贴设计，便于流畅的进行抛投动作和更为便捷的填充。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8、绳包主体颜色：橘红色，醒目。</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机动橡皮艇（含拖车）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符合TJFPA《充气救援艇第1部分：通用技术条件》要求（提供第三方检测机构出具的与所投产品型号一致、完整有效的检验/检测报告原件扫描上传。）检验报告需包含以下参数要求，“▲”为评分项。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▲3、耐压性：满载状态，船艇各气囊加压至1.1倍额定压力后静置30min，无异常。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▲4、气密性：空载状态，浮筒额定压力充气至0.025Mpa后，静置60min后剩余压力为0.025Mpa；空载状态，龙骨额定压力充气至0.035Mpa后，静置60min后剩余压力为0.035Mpa。</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9、安全及性能要求：静态稳性≤16°；空载状态，排出500L水所用时间≤120s；载重460kg时，配30马力船外机航速≥29km/h；空载状态，航速≥16km/h时，左右回转直径均≤7m。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扳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13、拖车参数：总长：≥4.75米，宽度：≥1.70米，净重：≤220千克；车轴：单轴；载重：≥500千克；绞盘：≥1200磅；千斤顶：≥1200磅。</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机动橡皮舟M型（带拖车）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用于水域救援、防汛抢险、水上巡逻等场景的快速机动的水上装备。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符合GB/T19626-2021《橡皮舟通用技术条件》要求。（提供第三方检测机构出具的与所投产品型号一致、完整有效的检验/检测报告原件扫描上传。）检验报告需包含以下参数要求，“▲”为评分项。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▲2、耐压性：满载状态，船艇各气囊加压至1.1倍额定压力后静置30min，无异常。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▲3、气密性：空载状态，浮筒额定压力充气至0.025Mpa后，静置60min后剩余压力为0.025Mpa；空载状态，龙骨额定压力充气至0.035Mpa后，静置60min后剩余压力为0.035Mpa。</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▲4、安全及性能要求：静态稳性≤16°；空载状态，排出500L水所用时间≤120s；载重460kg时，配30马力船外机航速≥29km/h；空载状态，航速≥16km/h时，左右回转直径均≤7m。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板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13、搭配本船型的拖车：配备高强度绞盘、可调滚轮组不少于4组、两个高强度轮胎、一个滚轮、适配车辆的LED尾灯、球罩连接器搭配球头沟、载重不小于1000㎏。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水域救援方位灯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外形小巧的灯光信号装置，带有一体式LED手电筒，具有闪光和照明2种功能。</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▲1.防水能力：≥100米。</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高可见性闪光，光穿透能力强，陆地上可视距离不小于3km，空中对地可见距离≥5km。采用不少于3颗高亮LED光源，耗电量低，使用寿命长。筒体两侧设有挂环，附尼龙手环束绳，便于系挂BCD、PFD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3、材料采用抗冲击材料，具有较好的抗冲击力和耐磨性。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4、设有拔动开关，切换轻松自如。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5、设有白色和红色两种信号灯。白色为紧急频闪，提供救援信号。红色为定位信号，为搜救提供定位支持。</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6、设计闪光频率：每分钟50～70次。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7、一体式高效率LED手电筒，续航时间大于24小时。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8、LED寿命：≥10000小时。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9、可靠的密封磁性开关。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10、电池：可充电锂电池或3节AA电池。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11、尺寸：筒头直径约4cm，长度约13cm。</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舟艇舷外机</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是一种安装在船体外部，用于驱动船只前进的动力设备。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符合CB_T4505-2020《舷外机通用技术规范》（提供第三方检测机构出具的与所投产品型号一致、完整有效的检验/检测报告原件扫描上传。）检验报告需包含以下参数要求，“▲”为评分项。</w:t>
            </w:r>
            <w:r>
              <w:rPr>
                <w:rFonts w:hint="eastAsia" w:ascii="宋体" w:hAnsi="宋体" w:cs="宋体"/>
                <w:b/>
                <w:bCs/>
                <w:sz w:val="22"/>
                <w:highlight w:val="none"/>
                <w:lang w:bidi="ar"/>
              </w:rPr>
              <w:tab/>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1、基础参数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▲引擎类型：2缸二冲程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▲排量：≥490cc</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▲最大功率：≥22kW，马力30匹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冷却系统：水冷式（需在水中启动）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2、尺寸与重量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▲艉板高度≥420mm（短轴）</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▲重量：</w:t>
            </w:r>
            <w:r>
              <w:rPr>
                <w:rFonts w:hint="eastAsia" w:ascii="宋体" w:hAnsi="宋体" w:cs="宋体"/>
                <w:szCs w:val="21"/>
                <w:highlight w:val="none"/>
                <w:lang w:bidi="ar"/>
              </w:rPr>
              <w:t xml:space="preserve">≤</w:t>
            </w:r>
            <w:r>
              <w:rPr>
                <w:rFonts w:hint="eastAsia" w:ascii="宋体" w:hAnsi="宋体" w:cs="宋体"/>
                <w:sz w:val="22"/>
                <w:highlight w:val="none"/>
                <w:lang w:bidi="ar"/>
              </w:rPr>
              <w:t xml:space="preserve">54kg</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▲螺旋桨规格：12英寸铝桨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3、燃油与润滑</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燃油类型：无铅汽油+二冲程机油（预混）</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燃油混合比：磨合期（前10小时）：25:1（汽油:机油）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正常使用：50:1</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油箱容量≥24L（随机附带）</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4、操控与启动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启动方式：手动拉绳</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换挡系统：F（前进）-N（空挡）-R（倒挡）</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齿轮比：27:13（2.08）</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5、安全保护：始动齿轮保护、浅滩航行装置并额外配置一套螺旋桨保护罩和舷外机支架</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6、配件：含工具包、备用火花塞、紧急启动绳</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割绳刀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用于在水域救援场景中快速切断绳索、织带、海带、水草等障碍物，帮助被困人员或救援人员脱离危险。</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ind w:firstLine="440"/>
              <w:jc w:val="left"/>
              <w:widowControl/>
              <w:rPr>
                <w:rFonts w:ascii="宋体" w:hAnsi="宋体" w:cs="宋体"/>
                <w:sz w:val="22"/>
                <w:lang w:bidi="ar"/>
              </w:rPr>
            </w:pPr>
            <w:r>
              <w:rPr>
                <w:rFonts w:hint="eastAsia" w:ascii="宋体" w:hAnsi="宋体" w:cs="宋体"/>
                <w:sz w:val="22"/>
                <w:lang w:bidi="ar"/>
              </w:rPr>
              <w:t xml:space="preserve">▲2.具有高强耐腐蚀性能，经48h中性盐雾试验后,试样未出现红锈和其他明显可见的腐蚀痕迹。</w:t>
            </w:r>
            <w:r/>
          </w:p>
          <w:p>
            <w:pPr>
              <w:ind w:firstLine="440"/>
              <w:jc w:val="left"/>
              <w:widowControl/>
              <w:rPr>
                <w:rFonts w:ascii="宋体" w:hAnsi="宋体" w:cs="宋体"/>
                <w:sz w:val="22"/>
                <w:lang w:bidi="ar"/>
              </w:rPr>
            </w:pPr>
            <w:r>
              <w:rPr>
                <w:rFonts w:hint="eastAsia" w:ascii="宋体" w:hAnsi="宋体" w:cs="宋体"/>
                <w:sz w:val="22"/>
                <w:lang w:bidi="ar"/>
              </w:rPr>
              <w:t xml:space="preserve">▲3、参照或优于贯通式钛合金刀体。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非检验报告内参数如下，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9、安全平头设计，紧急时可以当做工具使用，刀身具有开瓶器功能设计。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水域救援拦截网</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 具有多角度斜拉拦截水中被困人员的功能。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▲1、整体宽≥500cm，高≥120cm，织带宽5cm±0.5cm，织带拉力≥40KN。</w:t>
            </w:r>
            <w:r/>
          </w:p>
          <w:p>
            <w:pPr>
              <w:ind w:firstLine="440"/>
              <w:jc w:val="left"/>
              <w:widowControl/>
              <w:rPr>
                <w:rFonts w:ascii="宋体" w:hAnsi="宋体" w:cs="宋体"/>
                <w:sz w:val="22"/>
                <w:lang w:bidi="ar"/>
              </w:rPr>
            </w:pPr>
            <w:r>
              <w:rPr>
                <w:rFonts w:hint="eastAsia" w:ascii="宋体" w:hAnsi="宋体" w:cs="宋体"/>
                <w:sz w:val="22"/>
                <w:lang w:bidi="ar"/>
              </w:rPr>
              <w:t xml:space="preserve">▲2、配置直径≥12mm，拉力≥30KN,长度≥20m的救援绳1根。</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非检验报告内参数如下3、带有连接扣锁≥9个。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4、手提收纳包1个。</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水域救援个人携行包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用于存放个人水域救援防护装备。</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1、装备包外层采用聚氨酯涂层面料与高强度网布相结合，可以使装备快速晾干；主体采用橘红色优质耐磨牛津布、帆布或更优材质，可以分区放下整套服装。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2、采用侧面一个带拉链的口袋可以方便放置小物品拉链封口，铜质拉头。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3、带有可拆卸的肩带，可手提可挂肩两用。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4、规格：不小于75×35×40cm。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5、容量：不小于90L。</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6、颜色：红色为主。</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救生圈</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救生圈是用于水上救生的设备，采用高密度聚乙烯材质作外壳，内充高密度聚氨酯泡沫塑料。</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1、4片高强度反光亮条，夜间更易被发现，实心材质，内充高密度聚氨酯孔泡沫塑，具有浮力大、颜色牢固、表面光滑、抗老化、耐腐蚀等优点，能在恶劣环境中使用。。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水域救援拉杆</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8,000.00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用于激流、洪水、冰面等复杂水域环境下的快速救援装备。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▲1、多功能救援伸缩打捞杆:展开后长度:≥18.0m，折叠后长度:＜2.4m,重量:≤5kg,外观无目视缺陷。材质：参照超轻碳纤维或优于其材质。</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非检验报告内参数如下2、浮球：直径:220mm±50mm，长度:280mm±50mm，浮力:&gt;98N，重量:1250g±50g</w:t>
            </w:r>
            <w:r/>
          </w:p>
          <w:p>
            <w:pPr>
              <w:ind w:firstLine="440"/>
              <w:jc w:val="left"/>
              <w:widowControl/>
              <w:rPr>
                <w:rFonts w:ascii="宋体" w:hAnsi="宋体" w:cs="宋体"/>
                <w:sz w:val="22"/>
                <w:lang w:bidi="ar"/>
              </w:rPr>
            </w:pPr>
            <w:r>
              <w:rPr>
                <w:rFonts w:hint="eastAsia" w:ascii="宋体" w:hAnsi="宋体" w:cs="宋体"/>
                <w:sz w:val="22"/>
                <w:lang w:bidi="ar"/>
              </w:rPr>
              <w:t xml:space="preserve">3、浮力圈：直径:550mm±50mm，浮力&gt;90N，重量:300g±50g，直径重量可增减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4、单钩：钩口宽:130mm±50mm，长度:320±50mm，重量:230±50g</w:t>
            </w:r>
            <w:r/>
          </w:p>
          <w:p>
            <w:pPr>
              <w:ind w:firstLine="440"/>
              <w:jc w:val="left"/>
              <w:widowControl/>
              <w:rPr>
                <w:rFonts w:ascii="宋体" w:hAnsi="宋体" w:cs="宋体"/>
                <w:sz w:val="22"/>
                <w:lang w:bidi="ar"/>
              </w:rPr>
            </w:pPr>
            <w:r>
              <w:rPr>
                <w:rFonts w:hint="eastAsia" w:ascii="宋体" w:hAnsi="宋体" w:cs="宋体"/>
                <w:sz w:val="22"/>
                <w:lang w:bidi="ar"/>
              </w:rPr>
              <w:t xml:space="preserve">5、三爪钩：爪钩间距:240mmn±50mm，半径:120mm±50mm，长度330mm±10mm，重量:570g±50g</w:t>
            </w:r>
            <w:r/>
          </w:p>
          <w:p>
            <w:pPr>
              <w:ind w:firstLine="440"/>
              <w:jc w:val="left"/>
              <w:widowControl/>
              <w:rPr>
                <w:rFonts w:ascii="宋体" w:hAnsi="宋体" w:cs="宋体"/>
                <w:sz w:val="22"/>
                <w:lang w:bidi="ar"/>
              </w:rPr>
            </w:pPr>
            <w:r>
              <w:rPr>
                <w:rFonts w:hint="eastAsia" w:ascii="宋体" w:hAnsi="宋体" w:cs="宋体"/>
                <w:sz w:val="22"/>
                <w:lang w:bidi="ar"/>
              </w:rPr>
              <w:t xml:space="preserve">6、弹性捕获器：张开距离:450mm±50mm，重量:350g±50g，张开距离可变</w:t>
            </w:r>
            <w:r/>
          </w:p>
          <w:p>
            <w:pPr>
              <w:ind w:firstLine="440"/>
              <w:jc w:val="left"/>
              <w:widowControl/>
              <w:rPr>
                <w:rFonts w:ascii="宋体" w:hAnsi="宋体" w:cs="宋体"/>
                <w:sz w:val="22"/>
                <w:lang w:bidi="ar"/>
              </w:rPr>
            </w:pPr>
            <w:r>
              <w:rPr>
                <w:rFonts w:hint="eastAsia" w:ascii="宋体" w:hAnsi="宋体" w:cs="宋体"/>
                <w:sz w:val="22"/>
                <w:lang w:bidi="ar"/>
              </w:rPr>
              <w:t xml:space="preserve">7、U/D自锁钩：锁口内宽:70mm±30mm，长度:320m±50mm，外宽度:115mm±30mm，重量:680g±50g，钳口闭合装置长度:110mm±50mm，拉力&gt;2KN</w:t>
            </w:r>
            <w:r/>
          </w:p>
          <w:p>
            <w:pPr>
              <w:ind w:firstLine="440"/>
              <w:jc w:val="left"/>
              <w:widowControl/>
              <w:rPr>
                <w:rFonts w:ascii="宋体" w:hAnsi="宋体" w:cs="宋体"/>
                <w:sz w:val="22"/>
                <w:lang w:bidi="ar"/>
              </w:rPr>
            </w:pPr>
            <w:r>
              <w:rPr>
                <w:rFonts w:hint="eastAsia" w:ascii="宋体" w:hAnsi="宋体" w:cs="宋体"/>
                <w:sz w:val="22"/>
                <w:lang w:bidi="ar"/>
              </w:rPr>
              <w:t xml:space="preserve">8、弧形钩：弧长度:1000mm±50mm，开口宽度:700mm±20mm，重量:500g±50g，形状尺寸可变</w:t>
            </w:r>
            <w:r/>
          </w:p>
          <w:p>
            <w:pPr>
              <w:ind w:firstLine="440"/>
              <w:jc w:val="left"/>
              <w:widowControl/>
              <w:rPr>
                <w:rFonts w:ascii="宋体" w:hAnsi="宋体" w:cs="宋体"/>
                <w:sz w:val="22"/>
                <w:lang w:bidi="ar"/>
              </w:rPr>
            </w:pPr>
            <w:r>
              <w:rPr>
                <w:rFonts w:hint="eastAsia" w:ascii="宋体" w:hAnsi="宋体" w:cs="宋体"/>
                <w:sz w:val="22"/>
                <w:lang w:bidi="ar"/>
              </w:rPr>
              <w:t xml:space="preserve">9、割绳器：长度:200mm±50mm，宽度:80mm±10mm，开口宽度:50mm±10mm重量:280g±50g，刀片可更换</w:t>
            </w:r>
            <w:r/>
          </w:p>
          <w:p>
            <w:pPr>
              <w:ind w:firstLine="440"/>
              <w:jc w:val="left"/>
              <w:widowControl/>
              <w:rPr>
                <w:rFonts w:ascii="宋体" w:hAnsi="宋体" w:cs="宋体"/>
                <w:sz w:val="22"/>
                <w:lang w:bidi="ar"/>
              </w:rPr>
            </w:pPr>
            <w:r>
              <w:rPr>
                <w:rFonts w:hint="eastAsia" w:ascii="宋体" w:hAnsi="宋体" w:cs="宋体"/>
                <w:sz w:val="22"/>
                <w:lang w:bidi="ar"/>
              </w:rPr>
              <w:t xml:space="preserve">10、救援绳包：长度:30m±1m，直径:8mm±2m，可根据需要搭配所需绳子类型</w:t>
            </w:r>
            <w:r/>
          </w:p>
          <w:p>
            <w:pPr>
              <w:ind w:firstLine="440"/>
              <w:jc w:val="left"/>
              <w:widowControl/>
              <w:rPr>
                <w:rFonts w:ascii="宋体" w:hAnsi="宋体" w:cs="宋体"/>
                <w:sz w:val="22"/>
                <w:lang w:bidi="ar"/>
              </w:rPr>
            </w:pPr>
            <w:r>
              <w:rPr>
                <w:rFonts w:hint="eastAsia" w:ascii="宋体" w:hAnsi="宋体" w:cs="宋体"/>
                <w:sz w:val="22"/>
                <w:lang w:bidi="ar"/>
              </w:rPr>
              <w:t xml:space="preserve">11、浮球救生环：直径:550mm±50mm，浮力:&gt;88.2N，重量:500g±50g，直径重量可增减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12、身体套索：长度:700mm±20mm，重量:200g±20g，尺寸可变</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救生衣裆带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激流救生衣配套裆带。</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1、长度≤60cm卡扣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2、断裂强度≥1.7KN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3、材质为尼龙编织带或优于此材质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4、可根据支队现有型号配备多种样式</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水域救援漂浮救生绳</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用于激流、洪水、海上等水域救援任务的高强度漂浮绳索系统。</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422"/>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符合XF494-2023《消防用防坠落装备》、GB/T8834-2016《绳索纤维 有关物理和机械性能的测定》标准</w:t>
            </w:r>
            <w:r/>
          </w:p>
          <w:p>
            <w:pPr>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Cs w:val="21"/>
                <w:highlight w:val="none"/>
                <w:u w:val="single"/>
              </w:rPr>
              <w:t xml:space="preserve">斜体且有下划线部分</w:t>
            </w:r>
            <w:r>
              <w:rPr>
                <w:rFonts w:hint="eastAsia" w:ascii="宋体" w:hAnsi="宋体"/>
                <w:b/>
                <w:bCs/>
                <w:color w:val="ff0000"/>
                <w:szCs w:val="21"/>
                <w:highlight w:val="none"/>
              </w:rPr>
              <w:t xml:space="preserve">为实质性要求。</w:t>
            </w:r>
            <w:r/>
          </w:p>
          <w:p>
            <w:pPr>
              <w:ind w:firstLine="420"/>
              <w:jc w:val="left"/>
              <w:widowControl/>
              <w:rPr>
                <w:rFonts w:ascii="宋体" w:hAnsi="宋体" w:cs="宋体"/>
                <w:i/>
                <w:iCs/>
                <w:szCs w:val="21"/>
                <w:highlight w:val="none"/>
                <w:u w:val="single"/>
                <w:lang w:bidi="ar"/>
              </w:rPr>
            </w:pPr>
            <w:r>
              <w:rPr>
                <w:rFonts w:hint="eastAsia" w:ascii="宋体" w:hAnsi="宋体" w:cs="宋体"/>
                <w:szCs w:val="21"/>
                <w:highlight w:val="none"/>
                <w:lang w:bidi="ar"/>
              </w:rPr>
              <w:t xml:space="preserve">检验报告内参数：</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1、破断强力≥30kN</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2.延展率≤3.0</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非检验报告内参数如下：</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3、不吸水</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4、可漂浮于水面</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5、直径8-12mm</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▲6.在水中漂浮时间≥48小时不下沉。(</w:t>
            </w:r>
            <w:r>
              <w:rPr>
                <w:rFonts w:hint="eastAsia" w:ascii="宋体" w:hAnsi="宋体" w:cs="宋体"/>
                <w:b/>
                <w:bCs/>
                <w:szCs w:val="21"/>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7、绳长350米（根据实际需求单位进行裁剪）</w:t>
            </w:r>
            <w:r/>
          </w:p>
        </w:tc>
      </w:tr>
    </w:tbl>
    <w:p>
      <w:pPr>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2、供货、安装时间要求：合同签订自接到采购人通知之日起30个日历天内供货并完成安装调试。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numPr>
          <w:ilvl w:val="0"/>
          <w:numId w:val="12"/>
        </w:numPr>
        <w:ind w:firstLine="480"/>
        <w:spacing w:line="360" w:lineRule="auto"/>
        <w:rPr>
          <w:rFonts w:ascii="宋体" w:hAnsi="宋体"/>
          <w:color w:val="000000"/>
          <w:sz w:val="24"/>
          <w:szCs w:val="24"/>
        </w:rPr>
        <w:outlineLvl w:val="3"/>
      </w:pPr>
      <w:r/>
      <w:bookmarkStart w:id="179" w:name="_Toc31360"/>
      <w:r/>
      <w:bookmarkStart w:id="180" w:name="_Toc5545"/>
      <w:r>
        <w:rPr>
          <w:rFonts w:ascii="宋体" w:hAnsi="宋体"/>
          <w:color w:val="000000"/>
          <w:sz w:val="24"/>
          <w:szCs w:val="24"/>
        </w:rPr>
        <w:t xml:space="preserve">系统使用地址</w:t>
      </w:r>
      <w:bookmarkEnd w:id="179"/>
      <w:r/>
      <w:bookmarkEnd w:id="180"/>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numPr>
          <w:ilvl w:val="0"/>
          <w:numId w:val="12"/>
        </w:numPr>
        <w:ind w:firstLine="480"/>
        <w:spacing w:line="360" w:lineRule="auto"/>
        <w:rPr>
          <w:rFonts w:ascii="宋体" w:hAnsi="宋体"/>
          <w:color w:val="000000"/>
          <w:sz w:val="24"/>
          <w:szCs w:val="24"/>
        </w:rPr>
        <w:outlineLvl w:val="3"/>
      </w:pPr>
      <w:r/>
      <w:bookmarkStart w:id="181" w:name="_Toc12324"/>
      <w:r/>
      <w:bookmarkStart w:id="182" w:name="_Toc18456"/>
      <w:r>
        <w:rPr>
          <w:rFonts w:ascii="宋体" w:hAnsi="宋体"/>
          <w:color w:val="000000"/>
          <w:sz w:val="24"/>
          <w:szCs w:val="24"/>
        </w:rPr>
        <w:t xml:space="preserve">使用流程</w:t>
      </w:r>
      <w:bookmarkEnd w:id="181"/>
      <w:r/>
      <w:bookmarkEnd w:id="182"/>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numPr>
          <w:ilvl w:val="0"/>
          <w:numId w:val="13"/>
        </w:numPr>
        <w:ind w:firstLine="480"/>
        <w:spacing w:line="360" w:lineRule="auto"/>
        <w:rPr>
          <w:rFonts w:ascii="宋体" w:hAnsi="宋体"/>
          <w:color w:val="000000"/>
          <w:sz w:val="24"/>
          <w:szCs w:val="24"/>
        </w:rPr>
      </w:pPr>
      <w:r/>
      <w:bookmarkStart w:id="183" w:name="_Toc21713"/>
      <w:r/>
      <w:bookmarkStart w:id="184" w:name="_Toc1223"/>
      <w:r>
        <w:rPr>
          <w:rFonts w:ascii="宋体" w:hAnsi="宋体"/>
          <w:color w:val="000000"/>
          <w:sz w:val="24"/>
          <w:szCs w:val="24"/>
        </w:rPr>
        <w:t xml:space="preserve">企业注册</w:t>
      </w:r>
      <w:bookmarkEnd w:id="183"/>
      <w:r/>
      <w:bookmarkEnd w:id="184"/>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numPr>
          <w:ilvl w:val="0"/>
          <w:numId w:val="13"/>
        </w:numPr>
        <w:ind w:firstLine="480"/>
        <w:spacing w:line="360" w:lineRule="auto"/>
        <w:rPr>
          <w:rFonts w:ascii="宋体" w:hAnsi="宋体"/>
          <w:color w:val="000000"/>
          <w:sz w:val="24"/>
          <w:szCs w:val="24"/>
        </w:rPr>
      </w:pPr>
      <w:r/>
      <w:bookmarkStart w:id="185" w:name="_Toc20057"/>
      <w:r/>
      <w:bookmarkStart w:id="186" w:name="_Toc30016"/>
      <w:r>
        <w:rPr>
          <w:rFonts w:ascii="宋体" w:hAnsi="宋体"/>
          <w:color w:val="000000"/>
          <w:sz w:val="24"/>
          <w:szCs w:val="24"/>
        </w:rPr>
        <w:t xml:space="preserve">企业信息完善</w:t>
      </w:r>
      <w:bookmarkEnd w:id="185"/>
      <w:r/>
      <w:bookmarkEnd w:id="186"/>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numPr>
          <w:ilvl w:val="0"/>
          <w:numId w:val="13"/>
        </w:numPr>
        <w:ind w:firstLine="480"/>
        <w:spacing w:line="360" w:lineRule="auto"/>
        <w:rPr>
          <w:rFonts w:ascii="宋体" w:hAnsi="宋体"/>
          <w:color w:val="000000"/>
          <w:sz w:val="24"/>
          <w:szCs w:val="24"/>
        </w:rPr>
      </w:pPr>
      <w:r/>
      <w:bookmarkStart w:id="187" w:name="_Toc8004"/>
      <w:r/>
      <w:bookmarkStart w:id="188" w:name="_Toc11127"/>
      <w:r>
        <w:rPr>
          <w:rFonts w:ascii="宋体" w:hAnsi="宋体"/>
          <w:color w:val="000000"/>
          <w:sz w:val="24"/>
          <w:szCs w:val="24"/>
        </w:rPr>
        <w:t xml:space="preserve">产品信息录入</w:t>
      </w:r>
      <w:bookmarkEnd w:id="187"/>
      <w:r/>
      <w:bookmarkEnd w:id="188"/>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numPr>
          <w:ilvl w:val="0"/>
          <w:numId w:val="13"/>
        </w:numPr>
        <w:ind w:firstLine="480"/>
        <w:spacing w:line="360" w:lineRule="auto"/>
        <w:rPr>
          <w:rFonts w:ascii="宋体" w:hAnsi="宋体"/>
          <w:color w:val="000000"/>
          <w:sz w:val="24"/>
          <w:szCs w:val="24"/>
        </w:rPr>
      </w:pPr>
      <w:r/>
      <w:bookmarkStart w:id="189" w:name="_Toc22382"/>
      <w:r/>
      <w:bookmarkStart w:id="190" w:name="_Toc16477"/>
      <w:r>
        <w:rPr>
          <w:rFonts w:ascii="宋体" w:hAnsi="宋体"/>
          <w:color w:val="000000"/>
          <w:sz w:val="24"/>
          <w:szCs w:val="24"/>
        </w:rPr>
        <w:t xml:space="preserve">装备赋码申请</w:t>
      </w:r>
      <w:bookmarkEnd w:id="189"/>
      <w:r/>
      <w:bookmarkEnd w:id="190"/>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numPr>
          <w:ilvl w:val="0"/>
          <w:numId w:val="13"/>
        </w:numPr>
        <w:ind w:firstLine="480"/>
        <w:spacing w:line="360" w:lineRule="auto"/>
        <w:rPr>
          <w:rFonts w:ascii="宋体" w:hAnsi="宋体"/>
          <w:color w:val="000000"/>
          <w:sz w:val="24"/>
          <w:szCs w:val="24"/>
        </w:rPr>
      </w:pPr>
      <w:r/>
      <w:bookmarkStart w:id="191" w:name="_Toc12211"/>
      <w:r/>
      <w:bookmarkStart w:id="192" w:name="_Toc17378"/>
      <w:r>
        <w:rPr>
          <w:rFonts w:ascii="宋体" w:hAnsi="宋体"/>
          <w:color w:val="000000"/>
          <w:sz w:val="24"/>
          <w:szCs w:val="24"/>
        </w:rPr>
        <w:t xml:space="preserve">企业装备赋码</w:t>
      </w:r>
      <w:bookmarkEnd w:id="191"/>
      <w:r/>
      <w:bookmarkEnd w:id="192"/>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numPr>
          <w:ilvl w:val="0"/>
          <w:numId w:val="13"/>
        </w:numPr>
        <w:ind w:firstLine="480"/>
        <w:spacing w:line="360" w:lineRule="auto"/>
        <w:rPr>
          <w:rFonts w:ascii="宋体" w:hAnsi="宋体"/>
          <w:color w:val="000000"/>
          <w:sz w:val="24"/>
          <w:szCs w:val="24"/>
        </w:rPr>
      </w:pPr>
      <w:r/>
      <w:bookmarkStart w:id="193" w:name="_Toc6539"/>
      <w:r/>
      <w:bookmarkStart w:id="194" w:name="_Toc16029"/>
      <w:r>
        <w:rPr>
          <w:rFonts w:ascii="宋体" w:hAnsi="宋体"/>
          <w:color w:val="000000"/>
          <w:sz w:val="24"/>
          <w:szCs w:val="24"/>
        </w:rPr>
        <w:t xml:space="preserve">队伍验收</w:t>
      </w:r>
      <w:bookmarkEnd w:id="193"/>
      <w:r/>
      <w:bookmarkEnd w:id="194"/>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numPr>
          <w:ilvl w:val="0"/>
          <w:numId w:val="12"/>
        </w:numPr>
        <w:ind w:firstLine="480"/>
        <w:spacing w:line="360" w:lineRule="auto"/>
        <w:rPr>
          <w:rFonts w:ascii="宋体" w:hAnsi="宋体"/>
          <w:color w:val="000000"/>
          <w:sz w:val="24"/>
          <w:szCs w:val="24"/>
        </w:rPr>
        <w:outlineLvl w:val="3"/>
      </w:pPr>
      <w:r/>
      <w:bookmarkStart w:id="195" w:name="_Toc19836"/>
      <w:r/>
      <w:bookmarkStart w:id="196" w:name="_Toc11945"/>
      <w:r/>
      <w:bookmarkStart w:id="197" w:name="_Toc20824"/>
      <w:r>
        <w:rPr>
          <w:rFonts w:ascii="宋体" w:hAnsi="宋体"/>
          <w:color w:val="000000"/>
          <w:sz w:val="24"/>
          <w:szCs w:val="24"/>
        </w:rPr>
        <w:t xml:space="preserve">技术支持联系方式</w:t>
      </w:r>
      <w:bookmarkEnd w:id="195"/>
      <w:r/>
      <w:bookmarkEnd w:id="196"/>
      <w:r/>
      <w:bookmarkEnd w:id="197"/>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二维码符号及 RFID 标签粘贴位置标准及要求待合同签订后再乙方参照甲方的“二维码符号及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9、售后服务方案要求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t xml:space="preserve">保修要求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11、保修期外维保要求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 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.1样品递交时间：开标当天9:3</w:t>
      </w:r>
      <w:r>
        <w:rPr>
          <w:rFonts w:ascii="宋体" w:hAnsi="宋体"/>
          <w:color w:val="ff0000"/>
          <w:sz w:val="24"/>
          <w:szCs w:val="24"/>
        </w:rPr>
        <w:t xml:space="preserve">0前（逾期不予接收）</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.2样品递交地点：</w:t>
      </w:r>
      <w:r>
        <w:rPr>
          <w:rFonts w:ascii="宋体" w:hAnsi="宋体"/>
          <w:color w:val="ff0000"/>
          <w:sz w:val="24"/>
          <w:szCs w:val="24"/>
        </w:rPr>
        <w:t xml:space="preserve">送至扬州市文昌东路9号广陵新城市民中心1号楼负二楼政府采购样品展示区，并安装摆放整齐。（地下车库限高2.2M）。样品安装结束后，开标前由交易中心工作人员及监督人员统一进行编号、封号，开标后投标人必须退出样品现场，直至样品打分结束。</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.3</w:t>
      </w:r>
      <w:r>
        <w:rPr>
          <w:rFonts w:ascii="宋体" w:hAnsi="宋体"/>
          <w:color w:val="ff0000"/>
          <w:sz w:val="24"/>
          <w:szCs w:val="24"/>
        </w:rPr>
        <w:t xml:space="preserve">样品费用：样品的制作、运输、安装、退场等费用均由投标人承担。</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.4供应商需提交以下样品：</w:t>
      </w:r>
      <w:r/>
    </w:p>
    <w:p>
      <w:pPr>
        <w:spacing w:line="0" w:lineRule="atLeast"/>
        <w:rPr>
          <w:rFonts w:ascii="宋体" w:hAnsi="宋体"/>
          <w:b/>
          <w:color w:val="ff0000"/>
          <w:sz w:val="24"/>
          <w:szCs w:val="24"/>
        </w:rPr>
      </w:pPr>
      <w:r>
        <w:rPr>
          <w:rFonts w:hint="eastAsia" w:ascii="宋体" w:hAnsi="宋体"/>
          <w:b/>
          <w:color w:val="ff0000"/>
          <w:sz w:val="24"/>
          <w:szCs w:val="24"/>
        </w:rPr>
        <w:t xml:space="preserve">激流救生衣1件</w:t>
      </w:r>
      <w:r>
        <w:rPr>
          <w:rFonts w:ascii="宋体" w:hAnsi="宋体"/>
          <w:b/>
          <w:color w:val="ff0000"/>
          <w:sz w:val="24"/>
          <w:szCs w:val="24"/>
        </w:rPr>
        <w:t xml:space="preserve">、</w:t>
      </w:r>
      <w:r>
        <w:rPr>
          <w:rFonts w:hint="eastAsia" w:ascii="宋体" w:hAnsi="宋体"/>
          <w:b/>
          <w:color w:val="ff0000"/>
          <w:sz w:val="24"/>
          <w:szCs w:val="24"/>
        </w:rPr>
        <w:t xml:space="preserve">水域救援头盔1个、湿式水域救援服1件</w:t>
      </w:r>
      <w:r>
        <w:rPr>
          <w:rFonts w:ascii="宋体" w:hAnsi="宋体"/>
          <w:b/>
          <w:color w:val="ff0000"/>
          <w:sz w:val="24"/>
          <w:szCs w:val="24"/>
        </w:rPr>
        <w:t xml:space="preserve">、</w:t>
      </w:r>
      <w:r>
        <w:rPr>
          <w:rFonts w:hint="eastAsia" w:ascii="宋体" w:hAnsi="宋体"/>
          <w:b/>
          <w:color w:val="ff0000"/>
          <w:sz w:val="24"/>
          <w:szCs w:val="24"/>
        </w:rPr>
        <w:t xml:space="preserve">水域救援靴1件、水域救援抛绳包1件</w:t>
      </w:r>
      <w:r/>
    </w:p>
    <w:p>
      <w:pPr>
        <w:spacing w:line="0" w:lineRule="atLeast"/>
        <w:rPr>
          <w:rFonts w:ascii="宋体" w:hAnsi="宋体"/>
          <w:color w:val="ff0000"/>
          <w:sz w:val="24"/>
          <w:szCs w:val="24"/>
        </w:rPr>
      </w:pPr>
      <w:r>
        <w:rPr>
          <w:rFonts w:hint="eastAsia" w:ascii="宋体" w:hAnsi="宋体"/>
          <w:color w:val="ff0000"/>
          <w:sz w:val="24"/>
          <w:szCs w:val="24"/>
        </w:rPr>
        <w:t xml:space="preserve">供应商提交的样品不得含有供应商名称、</w:t>
      </w:r>
      <w:r>
        <w:rPr>
          <w:rFonts w:ascii="宋体" w:hAnsi="宋体"/>
          <w:color w:val="ff0000"/>
          <w:sz w:val="24"/>
          <w:szCs w:val="24"/>
        </w:rPr>
        <w:t xml:space="preserve">品牌、商标等能标明具体投标人的标识。</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.5供应商递交样品时将进行登记，并由样品递交人签字确认。</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.6供应商递交/取回样品时，不得破坏或损毁其他供应商的样品，也不得对其他供应商的样品拍照、录像。</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.7 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交易中心自行处置。</w:t>
      </w:r>
      <w:r/>
    </w:p>
    <w:p>
      <w:pPr>
        <w:jc w:val="center"/>
        <w:keepNext/>
        <w:rPr>
          <w:rFonts w:ascii="黑体" w:eastAsia="黑体"/>
          <w:bCs/>
          <w:color w:val="000000"/>
          <w:sz w:val="44"/>
          <w:szCs w:val="28"/>
        </w:rPr>
        <w:outlineLvl w:val="0"/>
      </w:pPr>
      <w:r/>
      <w:bookmarkStart w:id="198"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05"/>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05"/>
        <w:tblW w:w="733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97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805"/>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报价</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32</w:t>
            </w:r>
            <w:r>
              <w:rPr>
                <w:rFonts w:asciiTheme="minorEastAsia" w:hAnsiTheme="minorEastAsia" w:eastAsiaTheme="minorEastAsia" w:cstheme="minorEastAsia"/>
                <w:color w:val="000000"/>
                <w:sz w:val="24"/>
                <w:szCs w:val="24"/>
                <w:highlight w:val="none"/>
              </w:rPr>
              <w:t xml:space="preserve">分）</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根据技术指标要求提供技术响应偏离表，其中标▲项为重要指标，每有1项满足的得0.5分，满分32分。（未按要求提供证明文件的视为不满足）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业绩</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投标人2023年1月1日（以合同签订时间为准）</w:t>
            </w:r>
            <w:bookmarkStart w:id="199" w:name="OLE_LINK2"/>
            <w:r/>
            <w:bookmarkStart w:id="200" w:name="OLE_LINK1"/>
            <w:r>
              <w:rPr>
                <w:rFonts w:hint="eastAsia" w:asciiTheme="minorEastAsia" w:hAnsiTheme="minorEastAsia" w:eastAsiaTheme="minorEastAsia" w:cstheme="minorEastAsia"/>
                <w:color w:val="000000"/>
                <w:sz w:val="24"/>
                <w:szCs w:val="24"/>
                <w:highlight w:val="none"/>
              </w:rPr>
              <w:t xml:space="preserve">至今</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highlight w:val="none"/>
              </w:rPr>
              <w:t xml:space="preserve">。</w:t>
            </w:r>
            <w:bookmarkEnd w:id="199"/>
            <w:r/>
            <w:bookmarkEnd w:id="200"/>
            <w:r>
              <w:rPr>
                <w:rFonts w:hint="eastAsia" w:asciiTheme="minorEastAsia" w:hAnsiTheme="minorEastAsia" w:eastAsiaTheme="minorEastAsia" w:cstheme="minorEastAsia"/>
                <w:color w:val="000000"/>
                <w:sz w:val="24"/>
                <w:szCs w:val="24"/>
                <w:highlight w:val="none"/>
              </w:rPr>
              <w:t xml:space="preserve">每提供一份业绩证明材料得1分，满分得5分。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2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②</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合同中的产品名称及产品型号请加以明显标记，以方便评审和核对。</w:t>
            </w:r>
            <w:r/>
          </w:p>
          <w:p>
            <w:pPr>
              <w:ind w:firstLine="480"/>
              <w:spacing w:line="400" w:lineRule="exact"/>
              <w:rPr>
                <w:rFonts w:ascii="宋体" w:hAnsi="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3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③</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一、售后服务方案 </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二、保修方案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三、保修期外维保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投标人承诺中标后提供原厂质保服务得2分。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样品（15分）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1.成品大样（15分）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技术参数中，满足或优于“△”条件的，每满足一项得1分，满分</w:t>
            </w:r>
            <w:r>
              <w:rPr>
                <w:rFonts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未提供样品，不得分。</w:t>
            </w:r>
            <w:r/>
          </w:p>
        </w:tc>
      </w:tr>
    </w:tbl>
    <w:p>
      <w:pPr>
        <w:ind w:firstLine="480"/>
        <w:spacing w:before="120" w:after="120" w:line="300" w:lineRule="exact"/>
        <w:rPr>
          <w:rFonts w:ascii="宋体" w:hAnsi="宋体"/>
          <w:color w:val="ff0000"/>
          <w:sz w:val="24"/>
          <w:szCs w:val="24"/>
          <w:highlight w:val="none"/>
        </w:rPr>
      </w:pPr>
      <w:r>
        <w:rPr>
          <w:rFonts w:ascii="宋体" w:hAnsi="宋体"/>
          <w:color w:val="ff0000"/>
          <w:sz w:val="24"/>
          <w:szCs w:val="24"/>
          <w:highlight w:val="none"/>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77"/>
      <w:r/>
      <w:bookmarkEnd w:id="178"/>
      <w:r/>
      <w:bookmarkEnd w:id="19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201" w:name="_Hlt26955039"/>
      <w:r/>
      <w:bookmarkEnd w:id="201"/>
      <w:r/>
      <w:bookmarkStart w:id="202" w:name="_Hlt26671244"/>
      <w:r/>
      <w:bookmarkEnd w:id="202"/>
      <w:r/>
      <w:bookmarkStart w:id="203" w:name="_Toc120614282"/>
      <w:r/>
      <w:bookmarkStart w:id="204" w:name="_Toc49090576"/>
      <w:r/>
      <w:bookmarkStart w:id="205"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上一</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11"/>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w:t>
      </w:r>
      <w:r>
        <w:rPr>
          <w:rFonts w:hint="eastAsia" w:asciiTheme="minorEastAsia" w:hAnsiTheme="minorEastAsia" w:eastAsiaTheme="minorEastAsia"/>
          <w:color w:val="ff0000"/>
          <w:sz w:val="24"/>
          <w:szCs w:val="21"/>
        </w:rPr>
        <w:t xml:space="preserve">如果本项目对投标人</w:t>
      </w:r>
      <w:r>
        <w:rPr>
          <w:rFonts w:asciiTheme="minorEastAsia" w:hAnsiTheme="minorEastAsia" w:eastAsiaTheme="minorEastAsia"/>
          <w:color w:val="ff0000"/>
          <w:sz w:val="24"/>
          <w:szCs w:val="21"/>
        </w:rPr>
        <w:t xml:space="preserve">做出特定资格要求的</w:t>
      </w:r>
      <w:r>
        <w:rPr>
          <w:rFonts w:hint="eastAsia" w:asciiTheme="minorEastAsia" w:hAnsiTheme="minorEastAsia" w:eastAsiaTheme="minorEastAsia"/>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0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80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0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11"/>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203"/>
      <w:r/>
      <w:bookmarkEnd w:id="204"/>
      <w:r/>
      <w:bookmarkEnd w:id="205"/>
      <w:r/>
      <w:bookmarkStart w:id="206"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w:t>
      </w:r>
      <w:bookmarkStart w:id="207" w:name="_GoBack"/>
      <w:r>
        <w:rPr>
          <w:rFonts w:ascii="宋体" w:hAnsi="宋体" w:cs="宋体"/>
          <w:sz w:val="24"/>
          <w:szCs w:val="24"/>
        </w:rPr>
        <w:t xml:space="preserve">分包</w:t>
      </w:r>
      <w:bookmarkEnd w:id="207"/>
      <w:r>
        <w:rPr>
          <w:rFonts w:ascii="宋体" w:hAnsi="宋体" w:cs="宋体"/>
          <w:sz w:val="24"/>
          <w:szCs w:val="24"/>
        </w:rPr>
        <w:t xml:space="preserve">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（工业）</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0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40"/>
        <w:ind w:firstLine="420"/>
        <w:spacing w:before="0" w:beforeAutospacing="0" w:after="0" w:afterAutospacing="0" w:line="360" w:lineRule="auto"/>
        <w:rPr>
          <w:color w:val="ff0000"/>
          <w:highlight w:val="green"/>
        </w:rPr>
      </w:pPr>
      <w:r>
        <w:rPr>
          <w:color w:val="ff0000"/>
          <w:highlight w:val="green"/>
        </w:rPr>
      </w:r>
      <w:r/>
    </w:p>
    <w:p>
      <w:pPr>
        <w:pStyle w:val="840"/>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47"/>
          <w:rFonts w:hint="eastAsia"/>
          <w:i w:val="0"/>
          <w:color w:val="ff0000"/>
          <w:highlight w:val="green"/>
          <w:u w:val="single"/>
          <w:shd w:val="clear" w:color="auto" w:fill="ffffff"/>
        </w:rPr>
        <w:t xml:space="preserve">（产品名称1）</w:t>
      </w:r>
      <w:r>
        <w:rPr>
          <w:rStyle w:val="847"/>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Style w:val="847"/>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47"/>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Style w:val="847"/>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Style w:val="847"/>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Style w:val="847"/>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40"/>
        <w:spacing w:before="30" w:beforeAutospacing="0" w:after="30" w:afterAutospacing="0" w:line="360" w:lineRule="auto"/>
        <w:rPr>
          <w:color w:val="ff0000"/>
          <w:highlight w:val="green"/>
        </w:rPr>
      </w:pPr>
      <w:r>
        <w:rPr>
          <w:color w:val="ff0000"/>
          <w:highlight w:val="green"/>
        </w:rPr>
      </w:r>
      <w:r/>
    </w:p>
    <w:p>
      <w:pPr>
        <w:pStyle w:val="840"/>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40"/>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6.用斜线划除的地方无需填写。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0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5"/>
      <w:r/>
      <w:bookmarkEnd w:id="176"/>
      <w:r/>
      <w:bookmarkEnd w:id="206"/>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0"/>
      <w:isLgl w:val="false"/>
      <w:suff w:val="nothing"/>
      <w:lvlText w:val=""/>
      <w:lvlJc w:val="left"/>
      <w:pPr>
        <w:ind w:left="0" w:firstLine="0"/>
      </w:pPr>
      <w:rPr>
        <w:rFonts w:hint="eastAsia"/>
      </w:rPr>
    </w:lvl>
    <w:lvl w:ilvl="6">
      <w:start w:val="1"/>
      <w:numFmt w:val="none"/>
      <w:pStyle w:val="801"/>
      <w:isLgl w:val="false"/>
      <w:suff w:val="nothing"/>
      <w:lvlText w:val=""/>
      <w:lvlJc w:val="left"/>
      <w:pPr>
        <w:ind w:left="0" w:firstLine="0"/>
      </w:pPr>
      <w:rPr>
        <w:rFonts w:hint="eastAsia"/>
      </w:rPr>
    </w:lvl>
    <w:lvl w:ilvl="7">
      <w:start w:val="1"/>
      <w:numFmt w:val="none"/>
      <w:pStyle w:val="802"/>
      <w:isLgl w:val="false"/>
      <w:suff w:val="nothing"/>
      <w:lvlText w:val=""/>
      <w:lvlJc w:val="left"/>
      <w:pPr>
        <w:ind w:left="0" w:firstLine="0"/>
      </w:pPr>
      <w:rPr>
        <w:rFonts w:hint="eastAsia"/>
      </w:rPr>
    </w:lvl>
    <w:lvl w:ilvl="8">
      <w:start w:val="1"/>
      <w:numFmt w:val="none"/>
      <w:pStyle w:val="803"/>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5">
    <w:name w:val="Heading 1"/>
    <w:basedOn w:val="794"/>
    <w:next w:val="794"/>
    <w:link w:val="878"/>
    <w:uiPriority w:val="0"/>
    <w:qFormat/>
    <w:pPr>
      <w:jc w:val="center"/>
      <w:keepNext/>
      <w:outlineLvl w:val="0"/>
    </w:pPr>
    <w:rPr>
      <w:rFonts w:ascii="楷体_GB2312" w:eastAsia="楷体_GB2312"/>
      <w:sz w:val="28"/>
      <w:szCs w:val="28"/>
    </w:rPr>
  </w:style>
  <w:style w:type="paragraph" w:styleId="796">
    <w:name w:val="Heading 2"/>
    <w:basedOn w:val="794"/>
    <w:next w:val="806"/>
    <w:link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806"/>
    <w:link w:val="881"/>
    <w:uiPriority w:val="0"/>
    <w:qFormat/>
    <w:pPr>
      <w:keepLines/>
      <w:keepNext/>
      <w:spacing w:before="260" w:after="260" w:line="416" w:lineRule="auto"/>
      <w:outlineLvl w:val="2"/>
    </w:pPr>
    <w:rPr>
      <w:b/>
      <w:bCs/>
      <w:sz w:val="32"/>
      <w:szCs w:val="32"/>
    </w:rPr>
  </w:style>
  <w:style w:type="paragraph" w:styleId="798">
    <w:name w:val="Heading 4"/>
    <w:basedOn w:val="794"/>
    <w:next w:val="806"/>
    <w:link w:val="882"/>
    <w:uiPriority w:val="0"/>
    <w:qFormat/>
    <w:pPr>
      <w:keepLines/>
      <w:keepNext/>
      <w:spacing w:before="280" w:after="290" w:line="376" w:lineRule="auto"/>
      <w:outlineLvl w:val="3"/>
    </w:pPr>
    <w:rPr>
      <w:rFonts w:ascii="Arial" w:hAnsi="Arial" w:eastAsia="黑体" w:cs="Arial"/>
      <w:b/>
      <w:bCs/>
      <w:sz w:val="28"/>
      <w:szCs w:val="28"/>
    </w:rPr>
  </w:style>
  <w:style w:type="paragraph" w:styleId="799">
    <w:name w:val="Heading 5"/>
    <w:basedOn w:val="794"/>
    <w:next w:val="806"/>
    <w:link w:val="883"/>
    <w:uiPriority w:val="0"/>
    <w:qFormat/>
    <w:pPr>
      <w:keepNext/>
      <w:outlineLvl w:val="4"/>
    </w:pPr>
    <w:rPr>
      <w:rFonts w:ascii="宋体"/>
      <w:color w:val="000000"/>
      <w:sz w:val="28"/>
      <w:szCs w:val="28"/>
    </w:rPr>
  </w:style>
  <w:style w:type="paragraph" w:styleId="800">
    <w:name w:val="Heading 6"/>
    <w:basedOn w:val="794"/>
    <w:next w:val="794"/>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885"/>
    <w:uiPriority w:val="0"/>
    <w:qFormat/>
    <w:pPr>
      <w:numPr>
        <w:ilvl w:val="6"/>
        <w:numId w:val="1"/>
      </w:numPr>
      <w:keepLines/>
      <w:keepNext/>
      <w:spacing w:before="240" w:after="64" w:line="320" w:lineRule="auto"/>
      <w:outlineLvl w:val="6"/>
    </w:pPr>
    <w:rPr>
      <w:b/>
      <w:bCs/>
      <w:sz w:val="24"/>
      <w:szCs w:val="24"/>
    </w:rPr>
  </w:style>
  <w:style w:type="paragraph" w:styleId="802">
    <w:name w:val="Heading 8"/>
    <w:basedOn w:val="794"/>
    <w:next w:val="794"/>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887"/>
    <w:uiPriority w:val="0"/>
    <w:qFormat/>
    <w:pPr>
      <w:numPr>
        <w:ilvl w:val="8"/>
        <w:numId w:val="1"/>
      </w:numPr>
      <w:keepLines/>
      <w:keepNext/>
      <w:spacing w:before="240" w:after="64" w:line="320" w:lineRule="auto"/>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Layout w:type="fixed"/>
      <w:tblCellMar>
        <w:left w:w="108" w:type="dxa"/>
        <w:top w:w="0" w:type="dxa"/>
        <w:right w:w="108" w:type="dxa"/>
        <w:bottom w:w="0" w:type="dxa"/>
      </w:tblCellMar>
    </w:tblPr>
  </w:style>
  <w:style w:type="paragraph" w:styleId="806">
    <w:name w:val="Normal Indent"/>
    <w:basedOn w:val="794"/>
    <w:link w:val="880"/>
    <w:uiPriority w:val="0"/>
    <w:qFormat/>
    <w:pPr>
      <w:ind w:firstLine="420"/>
    </w:pPr>
    <w:rPr>
      <w:szCs w:val="21"/>
    </w:rPr>
  </w:style>
  <w:style w:type="paragraph" w:styleId="807">
    <w:name w:val="List 3"/>
    <w:basedOn w:val="794"/>
    <w:uiPriority w:val="0"/>
    <w:qFormat/>
    <w:pPr>
      <w:ind w:left="100" w:hanging="200"/>
    </w:pPr>
    <w:rPr>
      <w:szCs w:val="21"/>
    </w:rPr>
  </w:style>
  <w:style w:type="paragraph" w:styleId="808">
    <w:name w:val="annotation subject"/>
    <w:basedOn w:val="809"/>
    <w:next w:val="809"/>
    <w:link w:val="901"/>
    <w:uiPriority w:val="0"/>
    <w:semiHidden/>
    <w:qFormat/>
    <w:rPr>
      <w:b/>
      <w:bCs/>
      <w:szCs w:val="21"/>
    </w:rPr>
  </w:style>
  <w:style w:type="paragraph" w:styleId="809">
    <w:name w:val="annotation text"/>
    <w:basedOn w:val="794"/>
    <w:link w:val="889"/>
    <w:uiPriority w:val="0"/>
    <w:unhideWhenUsed/>
    <w:qFormat/>
    <w:pPr>
      <w:jc w:val="left"/>
    </w:pPr>
  </w:style>
  <w:style w:type="paragraph" w:styleId="810">
    <w:name w:val="toc 7"/>
    <w:basedOn w:val="794"/>
    <w:next w:val="794"/>
    <w:uiPriority w:val="0"/>
    <w:semiHidden/>
    <w:qFormat/>
    <w:pPr>
      <w:ind w:left="1260"/>
      <w:jc w:val="left"/>
    </w:pPr>
    <w:rPr>
      <w:szCs w:val="21"/>
    </w:rPr>
  </w:style>
  <w:style w:type="paragraph" w:styleId="811">
    <w:name w:val="Body Text First Indent"/>
    <w:basedOn w:val="812"/>
    <w:link w:val="902"/>
    <w:uiPriority w:val="0"/>
    <w:qFormat/>
    <w:pPr>
      <w:ind w:firstLine="200"/>
      <w:spacing w:line="360" w:lineRule="auto"/>
    </w:pPr>
    <w:rPr>
      <w:rFonts w:ascii="仿宋_GB2312" w:hAnsi="Times New Roman" w:eastAsia="仿宋_GB2312"/>
      <w:sz w:val="30"/>
      <w:szCs w:val="30"/>
    </w:rPr>
  </w:style>
  <w:style w:type="paragraph" w:styleId="812">
    <w:name w:val="Body Text"/>
    <w:basedOn w:val="794"/>
    <w:link w:val="891"/>
    <w:uiPriority w:val="0"/>
    <w:qFormat/>
    <w:rPr>
      <w:rFonts w:ascii="楷体_GB2312" w:hAnsi="Arial" w:eastAsia="楷体_GB2312"/>
      <w:sz w:val="28"/>
      <w:szCs w:val="28"/>
    </w:rPr>
  </w:style>
  <w:style w:type="paragraph" w:styleId="813">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4"/>
    <w:link w:val="888"/>
    <w:uiPriority w:val="0"/>
    <w:semiHidden/>
    <w:qFormat/>
    <w:pPr>
      <w:shd w:val="clear" w:color="auto" w:fill="000080"/>
    </w:pPr>
    <w:rPr>
      <w:szCs w:val="21"/>
    </w:rPr>
  </w:style>
  <w:style w:type="paragraph" w:styleId="815">
    <w:name w:val="Body Text 3"/>
    <w:basedOn w:val="794"/>
    <w:link w:val="890"/>
    <w:uiPriority w:val="0"/>
    <w:qFormat/>
    <w:rPr>
      <w:rFonts w:ascii="仿宋_GB2312" w:hAnsi="Arial" w:eastAsia="仿宋_GB2312"/>
      <w:sz w:val="32"/>
      <w:szCs w:val="32"/>
    </w:rPr>
  </w:style>
  <w:style w:type="paragraph" w:styleId="816">
    <w:name w:val="Body Text Indent"/>
    <w:basedOn w:val="794"/>
    <w:link w:val="892"/>
    <w:uiPriority w:val="0"/>
    <w:unhideWhenUsed/>
    <w:qFormat/>
    <w:pPr>
      <w:ind w:left="420"/>
      <w:spacing w:after="120"/>
    </w:pPr>
  </w:style>
  <w:style w:type="paragraph" w:styleId="817">
    <w:name w:val="List 2"/>
    <w:basedOn w:val="794"/>
    <w:uiPriority w:val="0"/>
    <w:qFormat/>
    <w:pPr>
      <w:ind w:left="100" w:hanging="200"/>
    </w:pPr>
    <w:rPr>
      <w:szCs w:val="21"/>
    </w:rPr>
  </w:style>
  <w:style w:type="paragraph" w:styleId="818">
    <w:name w:val="toc 5"/>
    <w:basedOn w:val="794"/>
    <w:next w:val="794"/>
    <w:uiPriority w:val="0"/>
    <w:semiHidden/>
    <w:qFormat/>
    <w:pPr>
      <w:ind w:left="840"/>
      <w:jc w:val="left"/>
    </w:pPr>
    <w:rPr>
      <w:szCs w:val="21"/>
    </w:rPr>
  </w:style>
  <w:style w:type="paragraph" w:styleId="819">
    <w:name w:val="toc 3"/>
    <w:basedOn w:val="794"/>
    <w:next w:val="794"/>
    <w:uiPriority w:val="0"/>
    <w:semiHidden/>
    <w:qFormat/>
    <w:pPr>
      <w:ind w:left="420"/>
      <w:jc w:val="left"/>
    </w:pPr>
    <w:rPr>
      <w:i/>
      <w:iCs/>
      <w:szCs w:val="24"/>
    </w:rPr>
  </w:style>
  <w:style w:type="paragraph" w:styleId="820">
    <w:name w:val="Plain Text"/>
    <w:basedOn w:val="794"/>
    <w:link w:val="893"/>
    <w:uiPriority w:val="0"/>
    <w:qFormat/>
    <w:rPr>
      <w:rFonts w:ascii="宋体" w:hAnsi="Courier New" w:cs="Courier New"/>
      <w:szCs w:val="21"/>
    </w:rPr>
  </w:style>
  <w:style w:type="paragraph" w:styleId="821">
    <w:name w:val="toc 8"/>
    <w:basedOn w:val="794"/>
    <w:next w:val="794"/>
    <w:uiPriority w:val="0"/>
    <w:semiHidden/>
    <w:qFormat/>
    <w:pPr>
      <w:ind w:left="1470"/>
      <w:jc w:val="left"/>
    </w:pPr>
    <w:rPr>
      <w:szCs w:val="21"/>
    </w:rPr>
  </w:style>
  <w:style w:type="paragraph" w:styleId="822">
    <w:name w:val="Date"/>
    <w:basedOn w:val="794"/>
    <w:next w:val="794"/>
    <w:link w:val="894"/>
    <w:uiPriority w:val="0"/>
    <w:qFormat/>
    <w:rPr>
      <w:sz w:val="24"/>
      <w:szCs w:val="24"/>
    </w:rPr>
  </w:style>
  <w:style w:type="paragraph" w:styleId="823">
    <w:name w:val="Body Text Indent 2"/>
    <w:basedOn w:val="794"/>
    <w:link w:val="895"/>
    <w:uiPriority w:val="0"/>
    <w:qFormat/>
    <w:pPr>
      <w:ind w:left="630" w:firstLine="645"/>
    </w:pPr>
    <w:rPr>
      <w:rFonts w:ascii="Arial" w:hAnsi="Arial" w:eastAsia="仿宋_GB2312" w:cs="Arial"/>
      <w:sz w:val="32"/>
      <w:szCs w:val="32"/>
    </w:rPr>
  </w:style>
  <w:style w:type="paragraph" w:styleId="824">
    <w:name w:val="endnote text"/>
    <w:basedOn w:val="794"/>
    <w:link w:val="941"/>
    <w:uiPriority w:val="99"/>
    <w:semiHidden/>
    <w:unhideWhenUsed/>
    <w:qFormat/>
    <w:rPr>
      <w:sz w:val="20"/>
    </w:rPr>
  </w:style>
  <w:style w:type="paragraph" w:styleId="825">
    <w:name w:val="Balloon Text"/>
    <w:basedOn w:val="794"/>
    <w:link w:val="896"/>
    <w:uiPriority w:val="0"/>
    <w:semiHidden/>
    <w:qFormat/>
    <w:rPr>
      <w:sz w:val="18"/>
      <w:szCs w:val="18"/>
    </w:rPr>
  </w:style>
  <w:style w:type="paragraph" w:styleId="826">
    <w:name w:val="Footer"/>
    <w:basedOn w:val="794"/>
    <w:link w:val="897"/>
    <w:uiPriority w:val="99"/>
    <w:qFormat/>
    <w:pPr>
      <w:jc w:val="left"/>
      <w:tabs>
        <w:tab w:val="center" w:pos="4153" w:leader="none"/>
        <w:tab w:val="right" w:pos="8306" w:leader="none"/>
      </w:tabs>
    </w:pPr>
    <w:rPr>
      <w:sz w:val="18"/>
      <w:szCs w:val="18"/>
    </w:rPr>
  </w:style>
  <w:style w:type="paragraph" w:styleId="827">
    <w:name w:val="Body Text First Indent 2"/>
    <w:basedOn w:val="816"/>
    <w:link w:val="903"/>
    <w:uiPriority w:val="0"/>
    <w:qFormat/>
    <w:pPr>
      <w:ind w:left="0" w:firstLine="420"/>
      <w:spacing w:after="0" w:line="360" w:lineRule="auto"/>
    </w:pPr>
    <w:rPr>
      <w:rFonts w:ascii="宋体" w:hAnsi="宋体"/>
      <w:szCs w:val="20"/>
    </w:rPr>
  </w:style>
  <w:style w:type="paragraph" w:styleId="828">
    <w:name w:val="Header"/>
    <w:basedOn w:val="794"/>
    <w:link w:val="898"/>
    <w:uiPriority w:val="0"/>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4"/>
    <w:next w:val="794"/>
    <w:uiPriority w:val="0"/>
    <w:semiHidden/>
    <w:qFormat/>
    <w:pPr>
      <w:jc w:val="left"/>
      <w:spacing w:before="120" w:after="120" w:line="400" w:lineRule="exact"/>
      <w:tabs>
        <w:tab w:val="right" w:pos="8720" w:leader="dot"/>
      </w:tabs>
    </w:pPr>
    <w:rPr>
      <w:rFonts w:ascii="宋体" w:hAnsi="宋体"/>
      <w:caps/>
      <w:sz w:val="24"/>
      <w:szCs w:val="24"/>
    </w:rPr>
  </w:style>
  <w:style w:type="paragraph" w:styleId="830">
    <w:name w:val="toc 4"/>
    <w:basedOn w:val="794"/>
    <w:next w:val="794"/>
    <w:uiPriority w:val="0"/>
    <w:semiHidden/>
    <w:qFormat/>
    <w:pPr>
      <w:ind w:left="630"/>
      <w:jc w:val="left"/>
    </w:pPr>
    <w:rPr>
      <w:szCs w:val="21"/>
    </w:rPr>
  </w:style>
  <w:style w:type="paragraph" w:styleId="831">
    <w:name w:val="Subtitle"/>
    <w:basedOn w:val="794"/>
    <w:next w:val="794"/>
    <w:link w:val="942"/>
    <w:uiPriority w:val="11"/>
    <w:qFormat/>
    <w:pPr>
      <w:spacing w:before="200" w:after="200"/>
    </w:pPr>
    <w:rPr>
      <w:sz w:val="24"/>
      <w:szCs w:val="24"/>
    </w:rPr>
  </w:style>
  <w:style w:type="paragraph" w:styleId="832">
    <w:name w:val="List"/>
    <w:basedOn w:val="794"/>
    <w:uiPriority w:val="0"/>
    <w:qFormat/>
    <w:pPr>
      <w:ind w:left="200" w:hanging="200"/>
    </w:pPr>
    <w:rPr>
      <w:szCs w:val="21"/>
    </w:rPr>
  </w:style>
  <w:style w:type="paragraph" w:styleId="833">
    <w:name w:val="footnote text"/>
    <w:basedOn w:val="794"/>
    <w:link w:val="943"/>
    <w:uiPriority w:val="99"/>
    <w:semiHidden/>
    <w:unhideWhenUsed/>
    <w:qFormat/>
    <w:pPr>
      <w:spacing w:after="40"/>
    </w:pPr>
    <w:rPr>
      <w:sz w:val="18"/>
    </w:rPr>
  </w:style>
  <w:style w:type="paragraph" w:styleId="834">
    <w:name w:val="toc 6"/>
    <w:basedOn w:val="794"/>
    <w:next w:val="794"/>
    <w:uiPriority w:val="0"/>
    <w:semiHidden/>
    <w:qFormat/>
    <w:pPr>
      <w:ind w:left="1050"/>
      <w:jc w:val="left"/>
    </w:pPr>
    <w:rPr>
      <w:szCs w:val="21"/>
    </w:rPr>
  </w:style>
  <w:style w:type="paragraph" w:styleId="835">
    <w:name w:val="Body Text Indent 3"/>
    <w:basedOn w:val="794"/>
    <w:link w:val="899"/>
    <w:uiPriority w:val="0"/>
    <w:qFormat/>
    <w:pPr>
      <w:ind w:left="645" w:firstLine="645"/>
    </w:pPr>
    <w:rPr>
      <w:rFonts w:ascii="Arial" w:hAnsi="Arial" w:eastAsia="仿宋_GB2312" w:cs="Arial"/>
      <w:color w:val="ffff00"/>
      <w:sz w:val="32"/>
      <w:szCs w:val="32"/>
    </w:rPr>
  </w:style>
  <w:style w:type="paragraph" w:styleId="836">
    <w:name w:val="table of figures"/>
    <w:basedOn w:val="794"/>
    <w:next w:val="794"/>
    <w:uiPriority w:val="0"/>
    <w:semiHidden/>
    <w:qFormat/>
    <w:pPr>
      <w:ind w:left="840" w:hanging="420"/>
    </w:pPr>
    <w:rPr>
      <w:szCs w:val="21"/>
    </w:rPr>
  </w:style>
  <w:style w:type="paragraph" w:styleId="837">
    <w:name w:val="toc 2"/>
    <w:basedOn w:val="794"/>
    <w:next w:val="794"/>
    <w:uiPriority w:val="0"/>
    <w:semiHidden/>
    <w:qFormat/>
    <w:pPr>
      <w:ind w:left="210"/>
      <w:jc w:val="left"/>
    </w:pPr>
    <w:rPr>
      <w:smallCaps/>
      <w:szCs w:val="24"/>
    </w:rPr>
  </w:style>
  <w:style w:type="paragraph" w:styleId="838">
    <w:name w:val="toc 9"/>
    <w:basedOn w:val="794"/>
    <w:next w:val="794"/>
    <w:uiPriority w:val="0"/>
    <w:semiHidden/>
    <w:qFormat/>
    <w:pPr>
      <w:ind w:left="1680"/>
      <w:jc w:val="left"/>
    </w:pPr>
    <w:rPr>
      <w:szCs w:val="21"/>
    </w:rPr>
  </w:style>
  <w:style w:type="paragraph" w:styleId="839">
    <w:name w:val="Body Text 2"/>
    <w:basedOn w:val="794"/>
    <w:link w:val="900"/>
    <w:uiPriority w:val="0"/>
    <w:qFormat/>
    <w:pPr>
      <w:jc w:val="center"/>
      <w:widowControl/>
    </w:pPr>
    <w:rPr>
      <w:rFonts w:ascii="楷体_GB2312" w:eastAsia="楷体_GB2312"/>
      <w:sz w:val="28"/>
      <w:szCs w:val="28"/>
    </w:rPr>
  </w:style>
  <w:style w:type="paragraph" w:styleId="840">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41">
    <w:name w:val="index 1"/>
    <w:basedOn w:val="794"/>
    <w:next w:val="794"/>
    <w:uiPriority w:val="0"/>
    <w:semiHidden/>
    <w:qFormat/>
    <w:pPr>
      <w:spacing w:line="240" w:lineRule="atLeast"/>
    </w:pPr>
    <w:rPr>
      <w:b/>
      <w:bCs/>
      <w:szCs w:val="21"/>
    </w:rPr>
  </w:style>
  <w:style w:type="paragraph" w:styleId="842">
    <w:name w:val="Title"/>
    <w:basedOn w:val="794"/>
    <w:next w:val="794"/>
    <w:link w:val="944"/>
    <w:uiPriority w:val="10"/>
    <w:qFormat/>
    <w:pPr>
      <w:contextualSpacing/>
      <w:spacing w:before="300" w:after="200"/>
    </w:pPr>
    <w:rPr>
      <w:sz w:val="48"/>
      <w:szCs w:val="48"/>
    </w:rPr>
  </w:style>
  <w:style w:type="character" w:styleId="843">
    <w:name w:val="Strong"/>
    <w:uiPriority w:val="0"/>
    <w:qFormat/>
    <w:rPr>
      <w:b/>
      <w:bCs/>
    </w:rPr>
  </w:style>
  <w:style w:type="character" w:styleId="844">
    <w:name w:val="endnote reference"/>
    <w:basedOn w:val="804"/>
    <w:uiPriority w:val="99"/>
    <w:semiHidden/>
    <w:unhideWhenUsed/>
    <w:qFormat/>
    <w:rPr>
      <w:vertAlign w:val="superscript"/>
    </w:rPr>
  </w:style>
  <w:style w:type="character" w:styleId="845">
    <w:name w:val="page number"/>
    <w:uiPriority w:val="0"/>
    <w:qFormat/>
  </w:style>
  <w:style w:type="character" w:styleId="846">
    <w:name w:val="FollowedHyperlink"/>
    <w:uiPriority w:val="0"/>
    <w:qFormat/>
    <w:rPr>
      <w:color w:val="800080"/>
      <w:u w:val="single"/>
    </w:rPr>
  </w:style>
  <w:style w:type="character" w:styleId="847">
    <w:name w:val="Emphasis"/>
    <w:uiPriority w:val="0"/>
    <w:qFormat/>
    <w:rPr>
      <w:i/>
    </w:rPr>
  </w:style>
  <w:style w:type="character" w:styleId="848">
    <w:name w:val="Hyperlink"/>
    <w:uiPriority w:val="0"/>
    <w:qFormat/>
    <w:rPr>
      <w:color w:val="0000ff"/>
      <w:u w:val="single"/>
    </w:rPr>
  </w:style>
  <w:style w:type="character" w:styleId="849">
    <w:name w:val="annotation reference"/>
    <w:uiPriority w:val="0"/>
    <w:semiHidden/>
    <w:qFormat/>
    <w:rPr>
      <w:sz w:val="21"/>
      <w:szCs w:val="21"/>
    </w:rPr>
  </w:style>
  <w:style w:type="character" w:styleId="850">
    <w:name w:val="footnote reference"/>
    <w:basedOn w:val="804"/>
    <w:uiPriority w:val="99"/>
    <w:unhideWhenUsed/>
    <w:qFormat/>
    <w:rPr>
      <w:vertAlign w:val="superscript"/>
    </w:rPr>
  </w:style>
  <w:style w:type="table" w:styleId="851">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2" w:customStyle="1">
    <w:name w:val="Title Char"/>
    <w:basedOn w:val="804"/>
    <w:uiPriority w:val="10"/>
    <w:qFormat/>
    <w:rPr>
      <w:sz w:val="48"/>
      <w:szCs w:val="48"/>
    </w:rPr>
  </w:style>
  <w:style w:type="character" w:styleId="853" w:customStyle="1">
    <w:name w:val="Subtitle Char"/>
    <w:basedOn w:val="804"/>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table" w:styleId="856" w:customStyle="1">
    <w:name w:val="Plain Table 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lang w:val="en-US" w:eastAsia="zh-CN" w:bidi="ar-SA"/>
    </w:rPr>
  </w:style>
  <w:style w:type="character" w:styleId="878" w:customStyle="1">
    <w:name w:val="标题 1 Char"/>
    <w:link w:val="795"/>
    <w:uiPriority w:val="0"/>
    <w:qFormat/>
    <w:rPr>
      <w:rFonts w:ascii="楷体_GB2312" w:hAnsi="Times New Roman" w:eastAsia="楷体_GB2312" w:cs="Times New Roman"/>
      <w:sz w:val="28"/>
      <w:szCs w:val="28"/>
    </w:rPr>
  </w:style>
  <w:style w:type="character" w:styleId="879" w:customStyle="1">
    <w:name w:val="标题 2 Char"/>
    <w:link w:val="796"/>
    <w:uiPriority w:val="0"/>
    <w:qFormat/>
    <w:rPr>
      <w:rFonts w:ascii="Arial" w:hAnsi="Arial" w:eastAsia="幼圆" w:cs="Arial"/>
      <w:b/>
      <w:bCs/>
      <w:sz w:val="44"/>
      <w:szCs w:val="44"/>
    </w:rPr>
  </w:style>
  <w:style w:type="character" w:styleId="880" w:customStyle="1">
    <w:name w:val="正文缩进 Char"/>
    <w:link w:val="806"/>
    <w:uiPriority w:val="0"/>
    <w:qFormat/>
    <w:rPr>
      <w:szCs w:val="21"/>
    </w:rPr>
  </w:style>
  <w:style w:type="character" w:styleId="881" w:customStyle="1">
    <w:name w:val="标题 3 Char"/>
    <w:link w:val="797"/>
    <w:uiPriority w:val="0"/>
    <w:qFormat/>
    <w:rPr>
      <w:rFonts w:ascii="Times New Roman" w:hAnsi="Times New Roman" w:eastAsia="宋体" w:cs="Times New Roman"/>
      <w:b/>
      <w:bCs/>
      <w:sz w:val="32"/>
      <w:szCs w:val="32"/>
    </w:rPr>
  </w:style>
  <w:style w:type="character" w:styleId="882" w:customStyle="1">
    <w:name w:val="标题 4 Char"/>
    <w:link w:val="798"/>
    <w:uiPriority w:val="0"/>
    <w:qFormat/>
    <w:rPr>
      <w:rFonts w:ascii="Arial" w:hAnsi="Arial" w:eastAsia="黑体" w:cs="Arial"/>
      <w:b/>
      <w:bCs/>
      <w:sz w:val="28"/>
      <w:szCs w:val="28"/>
    </w:rPr>
  </w:style>
  <w:style w:type="character" w:styleId="883" w:customStyle="1">
    <w:name w:val="标题 5 Char"/>
    <w:link w:val="799"/>
    <w:uiPriority w:val="0"/>
    <w:qFormat/>
    <w:rPr>
      <w:rFonts w:ascii="宋体" w:hAnsi="Times New Roman" w:eastAsia="宋体" w:cs="Times New Roman"/>
      <w:color w:val="000000"/>
      <w:sz w:val="28"/>
      <w:szCs w:val="28"/>
    </w:rPr>
  </w:style>
  <w:style w:type="character" w:styleId="884" w:customStyle="1">
    <w:name w:val="标题 6 Char"/>
    <w:link w:val="800"/>
    <w:uiPriority w:val="0"/>
    <w:qFormat/>
    <w:rPr>
      <w:rFonts w:ascii="Arial" w:hAnsi="Arial" w:eastAsia="黑体" w:cs="Times New Roman"/>
      <w:b/>
      <w:bCs/>
      <w:sz w:val="24"/>
      <w:szCs w:val="24"/>
    </w:rPr>
  </w:style>
  <w:style w:type="character" w:styleId="885" w:customStyle="1">
    <w:name w:val="标题 7 Char"/>
    <w:link w:val="801"/>
    <w:uiPriority w:val="0"/>
    <w:qFormat/>
    <w:rPr>
      <w:rFonts w:ascii="Times New Roman" w:hAnsi="Times New Roman" w:eastAsia="宋体" w:cs="Times New Roman"/>
      <w:b/>
      <w:bCs/>
      <w:sz w:val="24"/>
      <w:szCs w:val="24"/>
    </w:rPr>
  </w:style>
  <w:style w:type="character" w:styleId="886" w:customStyle="1">
    <w:name w:val="标题 8 Char"/>
    <w:link w:val="802"/>
    <w:uiPriority w:val="0"/>
    <w:qFormat/>
    <w:rPr>
      <w:rFonts w:ascii="Arial" w:hAnsi="Arial" w:eastAsia="黑体" w:cs="Times New Roman"/>
      <w:sz w:val="24"/>
      <w:szCs w:val="24"/>
    </w:rPr>
  </w:style>
  <w:style w:type="character" w:styleId="887" w:customStyle="1">
    <w:name w:val="标题 9 Char"/>
    <w:link w:val="803"/>
    <w:uiPriority w:val="0"/>
    <w:qFormat/>
    <w:rPr>
      <w:rFonts w:ascii="Arial" w:hAnsi="Arial" w:eastAsia="黑体" w:cs="Times New Roman"/>
      <w:szCs w:val="21"/>
    </w:rPr>
  </w:style>
  <w:style w:type="character" w:styleId="888" w:customStyle="1">
    <w:name w:val="文档结构图 Char"/>
    <w:link w:val="814"/>
    <w:uiPriority w:val="0"/>
    <w:semiHidden/>
    <w:qFormat/>
    <w:rPr>
      <w:rFonts w:ascii="Times New Roman" w:hAnsi="Times New Roman" w:eastAsia="宋体" w:cs="Times New Roman"/>
      <w:szCs w:val="21"/>
      <w:shd w:val="clear" w:color="auto" w:fill="000080"/>
    </w:rPr>
  </w:style>
  <w:style w:type="character" w:styleId="889" w:customStyle="1">
    <w:name w:val="批注文字 Char"/>
    <w:link w:val="809"/>
    <w:uiPriority w:val="99"/>
    <w:semiHidden/>
    <w:qFormat/>
  </w:style>
  <w:style w:type="character" w:styleId="890" w:customStyle="1">
    <w:name w:val="正文文本 3 Char"/>
    <w:link w:val="815"/>
    <w:uiPriority w:val="0"/>
    <w:qFormat/>
    <w:rPr>
      <w:rFonts w:ascii="仿宋_GB2312" w:hAnsi="Arial" w:eastAsia="仿宋_GB2312" w:cs="Times New Roman"/>
      <w:sz w:val="32"/>
      <w:szCs w:val="32"/>
    </w:rPr>
  </w:style>
  <w:style w:type="character" w:styleId="891" w:customStyle="1">
    <w:name w:val="正文文本 Char"/>
    <w:link w:val="812"/>
    <w:uiPriority w:val="0"/>
    <w:qFormat/>
    <w:rPr>
      <w:rFonts w:ascii="楷体_GB2312" w:hAnsi="Arial" w:eastAsia="楷体_GB2312" w:cs="Times New Roman"/>
      <w:sz w:val="28"/>
      <w:szCs w:val="28"/>
    </w:rPr>
  </w:style>
  <w:style w:type="character" w:styleId="892" w:customStyle="1">
    <w:name w:val="正文文本缩进 Char"/>
    <w:link w:val="816"/>
    <w:uiPriority w:val="99"/>
    <w:semiHidden/>
    <w:qFormat/>
  </w:style>
  <w:style w:type="character" w:styleId="893" w:customStyle="1">
    <w:name w:val="纯文本 Char"/>
    <w:link w:val="820"/>
    <w:uiPriority w:val="0"/>
    <w:qFormat/>
    <w:rPr>
      <w:rFonts w:ascii="宋体" w:hAnsi="Courier New" w:eastAsia="宋体" w:cs="Courier New"/>
      <w:szCs w:val="21"/>
    </w:rPr>
  </w:style>
  <w:style w:type="character" w:styleId="894" w:customStyle="1">
    <w:name w:val="日期 Char"/>
    <w:link w:val="822"/>
    <w:uiPriority w:val="0"/>
    <w:qFormat/>
    <w:rPr>
      <w:rFonts w:ascii="Times New Roman" w:hAnsi="Times New Roman" w:eastAsia="宋体" w:cs="Times New Roman"/>
      <w:sz w:val="24"/>
      <w:szCs w:val="24"/>
    </w:rPr>
  </w:style>
  <w:style w:type="character" w:styleId="895" w:customStyle="1">
    <w:name w:val="正文文本缩进 2 Char"/>
    <w:link w:val="823"/>
    <w:uiPriority w:val="0"/>
    <w:qFormat/>
    <w:rPr>
      <w:rFonts w:ascii="Arial" w:hAnsi="Arial" w:eastAsia="仿宋_GB2312" w:cs="Arial"/>
      <w:sz w:val="32"/>
      <w:szCs w:val="32"/>
    </w:rPr>
  </w:style>
  <w:style w:type="character" w:styleId="896" w:customStyle="1">
    <w:name w:val="批注框文本 Char"/>
    <w:link w:val="825"/>
    <w:uiPriority w:val="0"/>
    <w:semiHidden/>
    <w:qFormat/>
    <w:rPr>
      <w:rFonts w:ascii="Times New Roman" w:hAnsi="Times New Roman" w:eastAsia="宋体" w:cs="Times New Roman"/>
      <w:sz w:val="18"/>
      <w:szCs w:val="18"/>
    </w:rPr>
  </w:style>
  <w:style w:type="character" w:styleId="897" w:customStyle="1">
    <w:name w:val="页脚 Char"/>
    <w:link w:val="826"/>
    <w:uiPriority w:val="99"/>
    <w:qFormat/>
    <w:rPr>
      <w:rFonts w:ascii="Times New Roman" w:hAnsi="Times New Roman" w:eastAsia="宋体" w:cs="Times New Roman"/>
      <w:sz w:val="18"/>
      <w:szCs w:val="18"/>
    </w:rPr>
  </w:style>
  <w:style w:type="character" w:styleId="898" w:customStyle="1">
    <w:name w:val="页眉 Char"/>
    <w:link w:val="828"/>
    <w:uiPriority w:val="0"/>
    <w:qFormat/>
    <w:rPr>
      <w:rFonts w:ascii="Times New Roman" w:hAnsi="Times New Roman" w:eastAsia="宋体" w:cs="Times New Roman"/>
      <w:sz w:val="18"/>
      <w:szCs w:val="18"/>
    </w:rPr>
  </w:style>
  <w:style w:type="character" w:styleId="899" w:customStyle="1">
    <w:name w:val="正文文本缩进 3 Char"/>
    <w:link w:val="835"/>
    <w:uiPriority w:val="0"/>
    <w:qFormat/>
    <w:rPr>
      <w:rFonts w:ascii="Arial" w:hAnsi="Arial" w:eastAsia="仿宋_GB2312" w:cs="Arial"/>
      <w:color w:val="ffff00"/>
      <w:sz w:val="32"/>
      <w:szCs w:val="32"/>
    </w:rPr>
  </w:style>
  <w:style w:type="character" w:styleId="900" w:customStyle="1">
    <w:name w:val="正文文本 2 Char"/>
    <w:link w:val="839"/>
    <w:uiPriority w:val="0"/>
    <w:qFormat/>
    <w:rPr>
      <w:rFonts w:ascii="楷体_GB2312" w:hAnsi="Times New Roman" w:eastAsia="楷体_GB2312" w:cs="Times New Roman"/>
      <w:sz w:val="28"/>
      <w:szCs w:val="28"/>
    </w:rPr>
  </w:style>
  <w:style w:type="character" w:styleId="901" w:customStyle="1">
    <w:name w:val="批注主题 Char"/>
    <w:link w:val="808"/>
    <w:uiPriority w:val="0"/>
    <w:semiHidden/>
    <w:qFormat/>
    <w:rPr>
      <w:rFonts w:ascii="Times New Roman" w:hAnsi="Times New Roman" w:eastAsia="宋体" w:cs="Times New Roman"/>
      <w:b/>
      <w:bCs/>
      <w:szCs w:val="21"/>
    </w:rPr>
  </w:style>
  <w:style w:type="character" w:styleId="902" w:customStyle="1">
    <w:name w:val="正文首行缩进 Char"/>
    <w:link w:val="811"/>
    <w:uiPriority w:val="0"/>
    <w:qFormat/>
    <w:rPr>
      <w:rFonts w:ascii="仿宋_GB2312" w:hAnsi="Times New Roman" w:eastAsia="仿宋_GB2312" w:cs="Times New Roman"/>
      <w:sz w:val="30"/>
      <w:szCs w:val="30"/>
    </w:rPr>
  </w:style>
  <w:style w:type="character" w:styleId="903" w:customStyle="1">
    <w:name w:val="正文首行缩进 2 Char"/>
    <w:link w:val="827"/>
    <w:uiPriority w:val="0"/>
    <w:qFormat/>
    <w:rPr>
      <w:rFonts w:ascii="宋体" w:hAnsi="宋体" w:eastAsia="宋体" w:cs="Times New Roman"/>
      <w:szCs w:val="20"/>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794"/>
    <w:link w:val="90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794"/>
    <w:link w:val="907"/>
    <w:uiPriority w:val="0"/>
    <w:qFormat/>
    <w:pPr>
      <w:contextualSpacing/>
      <w:ind w:left="720"/>
      <w:jc w:val="left"/>
      <w:widowControl/>
    </w:pPr>
    <w:rPr>
      <w:rFonts w:ascii="Calibri" w:hAnsi="Calibri"/>
      <w:sz w:val="24"/>
      <w:szCs w:val="24"/>
      <w:lang w:eastAsia="en-US" w:bidi="en-US"/>
    </w:rPr>
  </w:style>
  <w:style w:type="paragraph" w:styleId="909" w:customStyle="1">
    <w:name w:val="Body Text(ch)"/>
    <w:basedOn w:val="794"/>
    <w:next w:val="812"/>
    <w:uiPriority w:val="0"/>
    <w:qFormat/>
    <w:pPr>
      <w:spacing w:after="120"/>
    </w:pPr>
    <w:rPr>
      <w:rFonts w:ascii="宋体" w:hAnsi="Arial"/>
      <w:bCs/>
      <w:iCs/>
      <w:szCs w:val="24"/>
    </w:rPr>
  </w:style>
  <w:style w:type="paragraph" w:styleId="910" w:customStyle="1">
    <w:name w:val="xl2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xl2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2" w:customStyle="1">
    <w:name w:val="Char"/>
    <w:basedOn w:val="794"/>
    <w:uiPriority w:val="0"/>
    <w:qFormat/>
    <w:pPr>
      <w:ind w:firstLine="200"/>
      <w:tabs>
        <w:tab w:val="left" w:pos="360" w:leader="none"/>
      </w:tabs>
    </w:pPr>
    <w:rPr>
      <w:sz w:val="28"/>
      <w:szCs w:val="30"/>
    </w:rPr>
  </w:style>
  <w:style w:type="paragraph" w:styleId="913" w:customStyle="1">
    <w:name w:val="Char11"/>
    <w:basedOn w:val="814"/>
    <w:uiPriority w:val="0"/>
    <w:qFormat/>
    <w:rPr>
      <w:rFonts w:ascii="Tahoma" w:hAnsi="Tahoma"/>
      <w:sz w:val="24"/>
      <w:szCs w:val="24"/>
    </w:rPr>
  </w:style>
  <w:style w:type="paragraph" w:styleId="914"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915" w:customStyle="1">
    <w:name w:val="table_lines"/>
    <w:basedOn w:val="794"/>
    <w:uiPriority w:val="0"/>
    <w:qFormat/>
    <w:pPr>
      <w:jc w:val="left"/>
      <w:widowControl/>
    </w:pPr>
    <w:rPr>
      <w:sz w:val="20"/>
      <w:szCs w:val="20"/>
      <w:lang w:val="de-DE" w:eastAsia="de-DE"/>
    </w:rPr>
  </w:style>
  <w:style w:type="paragraph" w:styleId="9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17" w:customStyle="1">
    <w:name w:val="font7"/>
    <w:basedOn w:val="794"/>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14"/>
    <w:uiPriority w:val="0"/>
    <w:qFormat/>
    <w:pPr>
      <w:spacing w:line="360" w:lineRule="auto"/>
    </w:pPr>
    <w:rPr>
      <w:rFonts w:ascii="Tahoma" w:hAnsi="Tahoma"/>
      <w:sz w:val="24"/>
      <w:szCs w:val="24"/>
    </w:rPr>
  </w:style>
  <w:style w:type="paragraph" w:styleId="919">
    <w:name w:val="List Paragraph"/>
    <w:basedOn w:val="794"/>
    <w:uiPriority w:val="0"/>
    <w:qFormat/>
    <w:pPr>
      <w:contextualSpacing/>
      <w:ind w:left="720"/>
      <w:jc w:val="left"/>
      <w:widowControl/>
    </w:pPr>
    <w:rPr>
      <w:rFonts w:ascii="Calibri" w:hAnsi="Calibri"/>
      <w:sz w:val="24"/>
      <w:szCs w:val="24"/>
      <w:lang w:eastAsia="en-US" w:bidi="en-US"/>
    </w:rPr>
  </w:style>
  <w:style w:type="paragraph" w:styleId="920" w:customStyle="1">
    <w:name w:val="4"/>
    <w:basedOn w:val="794"/>
    <w:next w:val="835"/>
    <w:uiPriority w:val="0"/>
    <w:qFormat/>
    <w:pPr>
      <w:ind w:firstLine="420"/>
      <w:spacing w:line="360" w:lineRule="auto"/>
    </w:pPr>
    <w:rPr>
      <w:color w:val="ff0000"/>
      <w:sz w:val="24"/>
      <w:szCs w:val="24"/>
    </w:rPr>
  </w:style>
  <w:style w:type="paragraph" w:styleId="921" w:customStyle="1">
    <w:name w:val="普通 (Web)"/>
    <w:basedOn w:val="794"/>
    <w:uiPriority w:val="0"/>
    <w:qFormat/>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794"/>
    <w:uiPriority w:val="0"/>
    <w:qFormat/>
    <w:pPr>
      <w:spacing w:line="360" w:lineRule="auto"/>
    </w:pPr>
    <w:rPr>
      <w:sz w:val="24"/>
      <w:szCs w:val="20"/>
    </w:rPr>
  </w:style>
  <w:style w:type="paragraph" w:styleId="923" w:customStyle="1">
    <w:name w:val="样式1"/>
    <w:basedOn w:val="794"/>
    <w:uiPriority w:val="0"/>
    <w:qFormat/>
    <w:pPr>
      <w:numPr>
        <w:ilvl w:val="0"/>
        <w:numId w:val="3"/>
      </w:numPr>
    </w:pPr>
    <w:rPr>
      <w:rFonts w:ascii="宋体" w:hAnsi="宋体"/>
      <w:szCs w:val="21"/>
    </w:rPr>
  </w:style>
  <w:style w:type="paragraph" w:styleId="924" w:customStyle="1">
    <w:name w:val="font6"/>
    <w:basedOn w:val="794"/>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7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794"/>
    <w:next w:val="7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标题3"/>
    <w:basedOn w:val="794"/>
    <w:next w:val="794"/>
    <w:uiPriority w:val="0"/>
    <w:qFormat/>
    <w:pPr>
      <w:ind w:firstLine="624"/>
      <w:spacing w:line="590" w:lineRule="atLeast"/>
    </w:pPr>
    <w:rPr>
      <w:rFonts w:ascii="方正黑体_GBK" w:eastAsia="方正黑体_GBK"/>
      <w:sz w:val="32"/>
      <w:szCs w:val="32"/>
    </w:rPr>
  </w:style>
  <w:style w:type="paragraph" w:styleId="928" w:customStyle="1">
    <w:name w:val="xl2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9"/>
    <w:basedOn w:val="79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931"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2" w:customStyle="1">
    <w:name w:val="Char Char Char Char Char Char Char Char11"/>
    <w:basedOn w:val="794"/>
    <w:uiPriority w:val="0"/>
    <w:qFormat/>
    <w:pPr>
      <w:jc w:val="left"/>
      <w:spacing w:after="160" w:line="240" w:lineRule="exact"/>
      <w:widowControl/>
    </w:pPr>
    <w:rPr>
      <w:rFonts w:ascii="Verdana" w:hAnsi="Verdana"/>
      <w:sz w:val="20"/>
      <w:szCs w:val="20"/>
      <w:lang w:eastAsia="en-US"/>
    </w:rPr>
  </w:style>
  <w:style w:type="paragraph" w:styleId="933" w:customStyle="1">
    <w:name w:val="xl30"/>
    <w:basedOn w:val="794"/>
    <w:uiPriority w:val="0"/>
    <w:qFormat/>
    <w:pPr>
      <w:jc w:val="center"/>
      <w:spacing w:before="100" w:beforeAutospacing="1" w:after="100" w:afterAutospacing="1"/>
      <w:widowControl/>
    </w:pPr>
    <w:rPr>
      <w:rFonts w:ascii="宋体" w:hAnsi="宋体"/>
      <w:b/>
      <w:bCs/>
      <w:sz w:val="36"/>
      <w:szCs w:val="36"/>
    </w:rPr>
  </w:style>
  <w:style w:type="paragraph" w:styleId="934" w:customStyle="1">
    <w:name w:val="Char Char Char Char11"/>
    <w:basedOn w:val="814"/>
    <w:uiPriority w:val="0"/>
    <w:qFormat/>
    <w:pPr>
      <w:spacing w:line="360" w:lineRule="auto"/>
    </w:pPr>
    <w:rPr>
      <w:rFonts w:ascii="Tahoma" w:hAnsi="Tahoma"/>
      <w:sz w:val="24"/>
      <w:szCs w:val="24"/>
    </w:rPr>
  </w:style>
  <w:style w:type="paragraph" w:styleId="935" w:customStyle="1">
    <w:name w:val="table_1stline"/>
    <w:basedOn w:val="794"/>
    <w:uiPriority w:val="0"/>
    <w:qFormat/>
    <w:pPr>
      <w:jc w:val="left"/>
      <w:spacing w:before="120"/>
      <w:widowControl/>
    </w:pPr>
    <w:rPr>
      <w:bCs/>
      <w:sz w:val="20"/>
      <w:szCs w:val="20"/>
      <w:lang w:val="de-DE" w:eastAsia="de-DE"/>
    </w:rPr>
  </w:style>
  <w:style w:type="paragraph" w:styleId="936" w:customStyle="1">
    <w:name w:val="font5"/>
    <w:basedOn w:val="794"/>
    <w:uiPriority w:val="0"/>
    <w:qFormat/>
    <w:pPr>
      <w:jc w:val="left"/>
      <w:spacing w:before="100" w:beforeAutospacing="1" w:after="100" w:afterAutospacing="1"/>
      <w:widowControl/>
    </w:pPr>
    <w:rPr>
      <w:rFonts w:hint="eastAsia" w:ascii="宋体" w:hAnsi="宋体"/>
      <w:sz w:val="28"/>
      <w:szCs w:val="28"/>
    </w:rPr>
  </w:style>
  <w:style w:type="paragraph" w:styleId="937" w:customStyle="1">
    <w:name w:val="标题1"/>
    <w:basedOn w:val="794"/>
    <w:next w:val="7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3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41" w:customStyle="1">
    <w:name w:val="尾注文本 Char"/>
    <w:basedOn w:val="804"/>
    <w:link w:val="824"/>
    <w:uiPriority w:val="99"/>
    <w:semiHidden/>
    <w:qFormat/>
    <w:rPr>
      <w:szCs w:val="22"/>
    </w:rPr>
  </w:style>
  <w:style w:type="character" w:styleId="942" w:customStyle="1">
    <w:name w:val="副标题 Char"/>
    <w:basedOn w:val="804"/>
    <w:link w:val="831"/>
    <w:uiPriority w:val="11"/>
    <w:qFormat/>
    <w:rPr>
      <w:sz w:val="24"/>
      <w:szCs w:val="24"/>
    </w:rPr>
  </w:style>
  <w:style w:type="character" w:styleId="943" w:customStyle="1">
    <w:name w:val="脚注文本 Char"/>
    <w:basedOn w:val="804"/>
    <w:link w:val="833"/>
    <w:uiPriority w:val="99"/>
    <w:semiHidden/>
    <w:qFormat/>
    <w:rPr>
      <w:sz w:val="18"/>
      <w:szCs w:val="22"/>
    </w:rPr>
  </w:style>
  <w:style w:type="character" w:styleId="944" w:customStyle="1">
    <w:name w:val="标题 Char"/>
    <w:basedOn w:val="804"/>
    <w:link w:val="842"/>
    <w:uiPriority w:val="10"/>
    <w:qFormat/>
    <w:rPr>
      <w:sz w:val="48"/>
      <w:szCs w:val="48"/>
    </w:rPr>
  </w:style>
  <w:style w:type="character" w:styleId="945" w:customStyle="1">
    <w:name w:val="Heading 1 Char"/>
    <w:basedOn w:val="804"/>
    <w:uiPriority w:val="9"/>
    <w:qFormat/>
    <w:rPr>
      <w:rFonts w:ascii="Arial" w:hAnsi="Arial" w:eastAsia="Arial" w:cs="Arial"/>
      <w:sz w:val="40"/>
      <w:szCs w:val="40"/>
    </w:rPr>
  </w:style>
  <w:style w:type="character" w:styleId="946" w:customStyle="1">
    <w:name w:val="Heading 2 Char"/>
    <w:basedOn w:val="804"/>
    <w:uiPriority w:val="9"/>
    <w:qFormat/>
    <w:rPr>
      <w:rFonts w:ascii="Arial" w:hAnsi="Arial" w:eastAsia="Arial" w:cs="Arial"/>
      <w:sz w:val="34"/>
    </w:rPr>
  </w:style>
  <w:style w:type="character" w:styleId="947" w:customStyle="1">
    <w:name w:val="Heading 3 Char"/>
    <w:basedOn w:val="804"/>
    <w:uiPriority w:val="9"/>
    <w:qFormat/>
    <w:rPr>
      <w:rFonts w:ascii="Arial" w:hAnsi="Arial" w:eastAsia="Arial" w:cs="Arial"/>
      <w:sz w:val="30"/>
      <w:szCs w:val="30"/>
    </w:rPr>
  </w:style>
  <w:style w:type="character" w:styleId="948" w:customStyle="1">
    <w:name w:val="Heading 4 Char"/>
    <w:basedOn w:val="804"/>
    <w:uiPriority w:val="9"/>
    <w:qFormat/>
    <w:rPr>
      <w:rFonts w:ascii="Arial" w:hAnsi="Arial" w:eastAsia="Arial" w:cs="Arial"/>
      <w:b/>
      <w:bCs/>
      <w:sz w:val="26"/>
      <w:szCs w:val="26"/>
    </w:rPr>
  </w:style>
  <w:style w:type="character" w:styleId="949" w:customStyle="1">
    <w:name w:val="Heading 5 Char"/>
    <w:basedOn w:val="804"/>
    <w:uiPriority w:val="9"/>
    <w:qFormat/>
    <w:rPr>
      <w:rFonts w:ascii="Arial" w:hAnsi="Arial" w:eastAsia="Arial" w:cs="Arial"/>
      <w:b/>
      <w:bCs/>
      <w:sz w:val="24"/>
      <w:szCs w:val="24"/>
    </w:rPr>
  </w:style>
  <w:style w:type="character" w:styleId="950" w:customStyle="1">
    <w:name w:val="Heading 6 Char"/>
    <w:basedOn w:val="804"/>
    <w:uiPriority w:val="9"/>
    <w:qFormat/>
    <w:rPr>
      <w:rFonts w:ascii="Arial" w:hAnsi="Arial" w:eastAsia="Arial" w:cs="Arial"/>
      <w:b/>
      <w:bCs/>
      <w:sz w:val="22"/>
      <w:szCs w:val="22"/>
    </w:rPr>
  </w:style>
  <w:style w:type="character" w:styleId="951" w:customStyle="1">
    <w:name w:val="Heading 7 Char"/>
    <w:basedOn w:val="804"/>
    <w:uiPriority w:val="9"/>
    <w:qFormat/>
    <w:rPr>
      <w:rFonts w:ascii="Arial" w:hAnsi="Arial" w:eastAsia="Arial" w:cs="Arial"/>
      <w:b/>
      <w:bCs/>
      <w:i/>
      <w:iCs/>
      <w:sz w:val="22"/>
      <w:szCs w:val="22"/>
    </w:rPr>
  </w:style>
  <w:style w:type="character" w:styleId="952" w:customStyle="1">
    <w:name w:val="Heading 8 Char"/>
    <w:basedOn w:val="804"/>
    <w:uiPriority w:val="9"/>
    <w:qFormat/>
    <w:rPr>
      <w:rFonts w:ascii="Arial" w:hAnsi="Arial" w:eastAsia="Arial" w:cs="Arial"/>
      <w:i/>
      <w:iCs/>
      <w:sz w:val="22"/>
      <w:szCs w:val="22"/>
    </w:rPr>
  </w:style>
  <w:style w:type="character" w:styleId="953" w:customStyle="1">
    <w:name w:val="Heading 9 Char"/>
    <w:basedOn w:val="804"/>
    <w:uiPriority w:val="9"/>
    <w:qFormat/>
    <w:rPr>
      <w:rFonts w:ascii="Arial" w:hAnsi="Arial" w:eastAsia="Arial" w:cs="Arial"/>
      <w:i/>
      <w:iCs/>
      <w:sz w:val="21"/>
      <w:szCs w:val="21"/>
    </w:rPr>
  </w:style>
  <w:style w:type="paragraph" w:styleId="954">
    <w:name w:val="Quote"/>
    <w:basedOn w:val="794"/>
    <w:next w:val="794"/>
    <w:link w:val="955"/>
    <w:uiPriority w:val="29"/>
    <w:qFormat/>
    <w:pPr>
      <w:ind w:left="720" w:right="720"/>
    </w:pPr>
    <w:rPr>
      <w:i/>
    </w:rPr>
  </w:style>
  <w:style w:type="character" w:styleId="955" w:customStyle="1">
    <w:name w:val="引用 Char"/>
    <w:basedOn w:val="804"/>
    <w:link w:val="954"/>
    <w:uiPriority w:val="29"/>
    <w:qFormat/>
    <w:rPr>
      <w:i/>
      <w:sz w:val="21"/>
      <w:szCs w:val="22"/>
    </w:rPr>
  </w:style>
  <w:style w:type="paragraph" w:styleId="956">
    <w:name w:val="Intense Quote"/>
    <w:basedOn w:val="794"/>
    <w:next w:val="79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basedOn w:val="804"/>
    <w:link w:val="956"/>
    <w:uiPriority w:val="30"/>
    <w:qFormat/>
    <w:rPr>
      <w:i/>
      <w:sz w:val="21"/>
      <w:szCs w:val="22"/>
      <w:shd w:val="clear" w:color="auto" w:fill="f2f2f2"/>
    </w:rPr>
  </w:style>
  <w:style w:type="character" w:styleId="958" w:customStyle="1">
    <w:name w:val="Header Char"/>
    <w:basedOn w:val="804"/>
    <w:uiPriority w:val="99"/>
    <w:qFormat/>
  </w:style>
  <w:style w:type="character" w:styleId="959" w:customStyle="1">
    <w:name w:val="Footer Char"/>
    <w:basedOn w:val="804"/>
    <w:uiPriority w:val="99"/>
    <w:qFormat/>
  </w:style>
  <w:style w:type="character" w:styleId="960" w:customStyle="1">
    <w:name w:val="Caption Char"/>
    <w:uiPriority w:val="99"/>
    <w:qFormat/>
  </w:style>
  <w:style w:type="table" w:styleId="961"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62"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05"/>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05"/>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05"/>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05"/>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05"/>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05"/>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05"/>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05"/>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05"/>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05"/>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05"/>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05"/>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05"/>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6" w:customStyle="1">
    <w:name w:val="TOC 标题1"/>
    <w:uiPriority w:val="39"/>
    <w:unhideWhenUsed/>
    <w:qFormat/>
    <w:rPr>
      <w:rFonts w:hint="default" w:ascii="Times New Roman" w:hAnsi="Times New Roman" w:eastAsia="宋体" w:cs="Times New Roman"/>
      <w:lang w:val="en-US" w:eastAsia="zh-CN" w:bidi="ar-SA"/>
    </w:rPr>
  </w:style>
  <w:style w:type="paragraph" w:styleId="1087" w:customStyle="1">
    <w:name w:val="Char1"/>
    <w:basedOn w:val="814"/>
    <w:uiPriority w:val="0"/>
    <w:qFormat/>
    <w:rPr>
      <w:rFonts w:ascii="Tahoma" w:hAnsi="Tahoma"/>
      <w:sz w:val="24"/>
      <w:szCs w:val="24"/>
    </w:rPr>
  </w:style>
  <w:style w:type="paragraph" w:styleId="1088" w:customStyle="1">
    <w:name w:val="Char Char Char Char Char Char Char Char1"/>
    <w:basedOn w:val="794"/>
    <w:uiPriority w:val="0"/>
    <w:qFormat/>
    <w:pPr>
      <w:jc w:val="left"/>
      <w:spacing w:after="160" w:line="240" w:lineRule="exact"/>
      <w:widowControl/>
    </w:pPr>
    <w:rPr>
      <w:rFonts w:ascii="Verdana" w:hAnsi="Verdana"/>
      <w:sz w:val="20"/>
      <w:szCs w:val="20"/>
      <w:lang w:eastAsia="en-US"/>
    </w:rPr>
  </w:style>
  <w:style w:type="paragraph" w:styleId="1089" w:customStyle="1">
    <w:name w:val="Char Char Char Char1"/>
    <w:basedOn w:val="814"/>
    <w:uiPriority w:val="0"/>
    <w:qFormat/>
    <w:pPr>
      <w:spacing w:line="360" w:lineRule="auto"/>
    </w:pPr>
    <w:rPr>
      <w:rFonts w:ascii="Tahoma" w:hAnsi="Tahoma"/>
      <w:sz w:val="24"/>
      <w:szCs w:val="24"/>
    </w:rPr>
  </w:style>
  <w:style w:type="paragraph" w:styleId="1090" w:customStyle="1">
    <w:name w:val="纯文本1"/>
    <w:basedOn w:val="794"/>
    <w:uiPriority w:val="0"/>
    <w:qFormat/>
    <w:rPr>
      <w:rFonts w:ascii="宋体" w:hAnsi="Courier New" w:cs="Courier New"/>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25</cp:revision>
  <dcterms:created xsi:type="dcterms:W3CDTF">2026-02-25T08:09:00Z</dcterms:created>
  <dcterms:modified xsi:type="dcterms:W3CDTF">2026-06-11T02:35:34Z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eyJoZGlkIjoiZTliMjU2MGJiYzljZDFmMjAxOTkzMGNhYjc4ZjE3ZjAiLCJ1c2VySWQiOiIzODk5MjY5MzgifQ==</vt:lpwstr>
  </property>
  <property fmtid="{D5CDD505-2E9C-101B-9397-08002B2CF9AE}" pid="3" name="KSOProductBuildVer">
    <vt:lpwstr>2052-10.8.2.7072</vt:lpwstr>
  </property>
  <property fmtid="{D5CDD505-2E9C-101B-9397-08002B2CF9AE}" pid="4" name="ICV">
    <vt:lpwstr>E9383573EA944F2D85AFCD74FFCBBE1C_13</vt:lpwstr>
  </property>
</Properties>
</file>