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2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24"/>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pStyle w:val="924"/>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项目名称：学生公寓空调更新采购</w:t>
      </w:r>
      <w:r>
        <w:rPr>
          <w:rFonts w:hint="eastAsia" w:ascii="宋体" w:hAnsi="宋体" w:eastAsia="宋体" w:cs="宋体"/>
          <w:b/>
          <w:bCs/>
          <w:color w:val="000000"/>
          <w:sz w:val="32"/>
          <w:szCs w:val="32"/>
        </w:rPr>
      </w:r>
      <w:r/>
    </w:p>
    <w:p>
      <w:pPr>
        <w:pStyle w:val="924"/>
        <w:ind w:firstLine="640"/>
        <w:keepLines w:val="0"/>
        <w:keepNext w:val="0"/>
        <w:pageBreakBefore w:val="0"/>
        <w:spacing w:before="120" w:after="120" w:line="660" w:lineRule="exact"/>
        <w:widowControl w:val="off"/>
        <w:rPr>
          <w:rFonts w:hint="eastAsia" w:ascii="Arial" w:hAnsi="Arial"/>
          <w:b/>
          <w:bCs/>
          <w:sz w:val="32"/>
          <w:szCs w:val="24"/>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SCZX-G2026-0186</w:t>
      </w:r>
      <w:r>
        <w:rPr>
          <w:rFonts w:hint="eastAsia" w:ascii="Arial" w:hAnsi="Arial"/>
          <w:b/>
          <w:bCs/>
          <w:sz w:val="32"/>
          <w:szCs w:val="24"/>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rPr>
          <w:rFonts w:hint="eastAsia" w:ascii="宋体" w:hAnsi="宋体" w:eastAsia="宋体" w:cs="宋体"/>
          <w:b/>
          <w:bCs/>
          <w:color w:val="000000"/>
          <w:sz w:val="32"/>
          <w:szCs w:val="32"/>
        </w:rPr>
      </w:r>
      <w:r/>
    </w:p>
    <w:p>
      <w:pPr>
        <w:pStyle w:val="924"/>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5</w:t>
      </w:r>
      <w:r>
        <w:rPr>
          <w:rFonts w:hint="eastAsia" w:ascii="宋体" w:hAnsi="宋体" w:eastAsia="宋体" w:cs="宋体"/>
          <w:b/>
          <w:bCs/>
          <w:color w:val="000000"/>
          <w:sz w:val="32"/>
          <w:szCs w:val="32"/>
        </w:rPr>
        <w:t xml:space="preserve">月</w:t>
      </w:r>
      <w:r>
        <w:rPr>
          <w:rFonts w:hint="eastAsia" w:ascii="宋体" w:hAnsi="宋体" w:eastAsia="宋体" w:cs="宋体"/>
          <w:b/>
          <w:bCs/>
          <w:color w:val="000000"/>
          <w:sz w:val="32"/>
          <w:szCs w:val="32"/>
        </w:rPr>
      </w:r>
      <w:r/>
    </w:p>
    <w:p>
      <w:pPr>
        <w:pStyle w:val="924"/>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u w:val="single"/>
        </w:rPr>
      </w:r>
      <w:r/>
    </w:p>
    <w:p>
      <w:pPr>
        <w:pStyle w:val="92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4"/>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cs="黑体"/>
          <w:b w:val="0"/>
          <w:bCs/>
          <w:color w:val="000000"/>
          <w:sz w:val="36"/>
          <w:szCs w:val="36"/>
        </w:rPr>
        <w:t xml:space="preserve">总  目  录</w:t>
      </w:r>
      <w:r>
        <w:rPr>
          <w:rFonts w:hint="eastAsia" w:ascii="黑体" w:hAnsi="黑体" w:eastAsia="黑体" w:cs="黑体"/>
          <w:b/>
          <w:color w:val="000000"/>
          <w:sz w:val="36"/>
          <w:szCs w:val="36"/>
        </w:rPr>
      </w:r>
      <w:r/>
    </w:p>
    <w:p>
      <w:pPr>
        <w:pStyle w:val="924"/>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投标邀请……………………………………3 </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…………………………………6  </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w:t>
      </w:r>
      <w:r>
        <w:rPr>
          <w:rFonts w:hint="eastAsia" w:ascii="黑体" w:hAnsi="黑体" w:eastAsia="黑体" w:cs="黑体"/>
          <w:color w:val="000000"/>
          <w:sz w:val="36"/>
          <w:szCs w:val="36"/>
        </w:rPr>
        <w:t xml:space="preserve">17</w:t>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w:t>
      </w:r>
      <w:r>
        <w:rPr>
          <w:rFonts w:hint="eastAsia" w:ascii="黑体" w:hAnsi="黑体" w:eastAsia="黑体" w:cs="黑体"/>
          <w:color w:val="000000"/>
          <w:sz w:val="36"/>
          <w:szCs w:val="36"/>
        </w:rPr>
        <w:t xml:space="preserve">32</w:t>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rPr>
        <w:t xml:space="preserve">38</w:t>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w:t>
      </w:r>
      <w:r>
        <w:rPr>
          <w:rFonts w:hint="eastAsia" w:ascii="黑体" w:hAnsi="黑体" w:eastAsia="黑体" w:cs="黑体"/>
          <w:color w:val="000000"/>
          <w:sz w:val="36"/>
          <w:szCs w:val="36"/>
        </w:rPr>
        <w:t xml:space="preserve">42</w:t>
      </w:r>
      <w:r/>
    </w:p>
    <w:p>
      <w:pPr>
        <w:pStyle w:val="924"/>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pStyle w:val="924"/>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color w:val="000000"/>
          <w:sz w:val="44"/>
          <w:szCs w:val="4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受江苏海事职业技术学院的委托，江苏省政府采购中心就学生公寓空调更新采购(</w:t>
      </w:r>
      <w:r>
        <w:rPr>
          <w:rFonts w:hint="eastAsia" w:ascii="宋体" w:hAnsi="宋体" w:eastAsia="宋体" w:cs="宋体"/>
          <w:color w:val="000000"/>
          <w:sz w:val="24"/>
          <w:szCs w:val="24"/>
        </w:rPr>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SCZX-G2026-0186</w:t>
      </w:r>
      <w: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)项目进行公开招标采购，欢迎符合条件的供应商投标。</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学生公寓空调更新采购</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bCs/>
          <w:color w:val="000000"/>
          <w:sz w:val="24"/>
          <w:szCs w:val="24"/>
          <w:u w:val="none"/>
        </w:rPr>
        <w:t xml:space="preserve">月12</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4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SCZX-G2026-0186</w:t>
      </w:r>
      <w:r>
        <w:rPr>
          <w:rFonts w:ascii="宋体" w:hAnsi="宋体" w:eastAsia="宋体" w:cs="宋体"/>
          <w:color w:val="000000"/>
          <w:sz w:val="24"/>
          <w:szCs w:val="24"/>
          <w:lang w:val="en-US"/>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学生公寓空调更新采购</w:t>
      </w:r>
      <w:r>
        <w:rPr>
          <w:rFonts w:hint="eastAsia" w:ascii="宋体" w:hAnsi="宋体" w:eastAsia="宋体" w:cs="宋体"/>
          <w:color w:val="000000"/>
          <w:sz w:val="24"/>
          <w:szCs w:val="24"/>
          <w:lang w:eastAsia="zh-CN"/>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bookmarkEnd w:id="11"/>
      <w:r>
        <w:rPr>
          <w:rFonts w:hint="eastAsia" w:ascii="宋体" w:hAnsi="宋体" w:eastAsia="宋体" w:cs="宋体"/>
          <w:sz w:val="24"/>
          <w:szCs w:val="24"/>
        </w:rPr>
        <w:t xml:space="preserve">3.预算金额</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24"/>
              <w:jc w:val="cente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3312" w:type="dxa"/>
            <w:vAlign w:val="top"/>
            <w:textDirection w:val="lrTb"/>
            <w:noWrap w:val="false"/>
          </w:tcPr>
          <w:p>
            <w:pPr>
              <w:pStyle w:val="924"/>
              <w:jc w:val="cente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r>
            <w:r/>
          </w:p>
          <w:p>
            <w:pPr>
              <w:pStyle w:val="924"/>
              <w:jc w:val="cente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rPr>
                <w:rFonts w:hint="eastAsia" w:ascii="宋体" w:hAnsi="宋体" w:eastAsia="宋体" w:cs="宋体"/>
                <w:sz w:val="24"/>
                <w:szCs w:val="24"/>
              </w:rPr>
            </w:r>
            <w:r/>
          </w:p>
        </w:tc>
      </w:tr>
      <w:tr>
        <w:trPr/>
        <w:tc>
          <w:tcPr>
            <w:tcW w:w="1092" w:type="dxa"/>
            <w:vAlign w:val="top"/>
            <w:textDirection w:val="lrTb"/>
            <w:noWrap w:val="false"/>
          </w:tcPr>
          <w:p>
            <w:pPr>
              <w:pStyle w:val="924"/>
              <w:jc w:val="center"/>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12" w:type="dxa"/>
            <w:vAlign w:val="top"/>
            <w:textDirection w:val="lrTb"/>
            <w:noWrap w:val="false"/>
          </w:tcPr>
          <w:p>
            <w:pPr>
              <w:pStyle w:val="924"/>
              <w:ind w:firstLine="960"/>
              <w:jc w:val="both"/>
              <w:keepLines w:val="0"/>
              <w:keepNext w:val="0"/>
              <w:pageBreakBefore w:val="0"/>
              <w:spacing w:line="460" w:lineRule="exac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100</w:t>
            </w:r>
            <w:r>
              <w:rPr>
                <w:rFonts w:ascii="宋体" w:hAnsi="宋体" w:eastAsia="宋体" w:cs="宋体"/>
                <w:sz w:val="24"/>
                <w:szCs w:val="24"/>
                <w:lang w:val="en-US" w:eastAsia="zh-CN"/>
              </w:rPr>
            </w:r>
            <w:r/>
          </w:p>
        </w:tc>
      </w:tr>
    </w:tbl>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24"/>
              <w:jc w:val="center"/>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24"/>
              <w:jc w:val="center"/>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296" w:type="dxa"/>
            <w:vAlign w:val="top"/>
            <w:textDirection w:val="lrTb"/>
            <w:noWrap w:val="false"/>
          </w:tcPr>
          <w:p>
            <w:pPr>
              <w:pStyle w:val="924"/>
              <w:jc w:val="center"/>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r>
            <w:r/>
          </w:p>
          <w:p>
            <w:pPr>
              <w:pStyle w:val="924"/>
              <w:jc w:val="center"/>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85" w:type="dxa"/>
            <w:vAlign w:val="top"/>
            <w:textDirection w:val="lrTb"/>
            <w:noWrap w:val="false"/>
          </w:tcPr>
          <w:p>
            <w:pPr>
              <w:pStyle w:val="924"/>
              <w:jc w:val="center"/>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96" w:type="dxa"/>
            <w:vAlign w:val="top"/>
            <w:textDirection w:val="lrTb"/>
            <w:noWrap w:val="false"/>
          </w:tcPr>
          <w:p>
            <w:pPr>
              <w:pStyle w:val="924"/>
              <w:jc w:val="center"/>
              <w:keepLines w:val="0"/>
              <w:pageBreakBefore w:val="0"/>
              <w:spacing w:line="46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100</w:t>
            </w:r>
            <w:r>
              <w:rPr>
                <w:rFonts w:ascii="宋体" w:hAnsi="宋体" w:eastAsia="宋体" w:cs="宋体"/>
                <w:color w:val="000000"/>
                <w:sz w:val="24"/>
                <w:szCs w:val="24"/>
                <w:lang w:val="en-US" w:eastAsia="zh-CN"/>
              </w:rPr>
            </w:r>
            <w:r/>
          </w:p>
        </w:tc>
      </w:tr>
    </w:tbl>
    <w:p>
      <w:pPr>
        <w:pStyle w:val="924"/>
        <w:ind w:firstLine="480"/>
        <w:keepLines w:val="0"/>
        <w:keepNext w:val="0"/>
        <w:pageBreakBefore w:val="0"/>
        <w:spacing w:line="46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5.采购需求(简介)：</w:t>
      </w:r>
      <w:r>
        <w:rPr>
          <w:rFonts w:hint="eastAsia" w:ascii="宋体" w:hAnsi="宋体" w:eastAsia="宋体" w:cs="宋体"/>
          <w:color w:val="000000"/>
          <w:sz w:val="24"/>
          <w:szCs w:val="24"/>
          <w:lang w:val="en-US" w:eastAsia="zh-CN"/>
        </w:rPr>
        <w:t xml:space="preserve">采购学生公寓空调400台</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color w:val="000000"/>
          <w:sz w:val="24"/>
          <w:szCs w:val="24"/>
          <w:u w:val="single"/>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lang w:eastAsia="zh-CN"/>
        </w:rPr>
        <w:t xml:space="preserve">自合同签订之日起，20个日历日内供货到位。</w:t>
      </w:r>
      <w:r>
        <w:rPr>
          <w:rFonts w:hint="eastAsia" w:ascii="宋体" w:hAnsi="宋体" w:eastAsia="宋体" w:cs="宋体"/>
          <w:color w:val="000000"/>
          <w:sz w:val="24"/>
          <w:szCs w:val="24"/>
          <w:u w:val="single"/>
          <w:lang w:eastAsia="zh-CN"/>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Start w:id="12" w:name="_Toc35393622"/>
      <w:r/>
      <w:bookmarkStart w:id="13" w:name="_Toc35393791"/>
      <w:r/>
      <w:bookmarkStart w:id="14" w:name="_Toc28359003"/>
      <w:r/>
      <w:bookmarkStart w:id="15" w:name="_Toc28359080"/>
      <w:r/>
      <w:bookmarkStart w:id="16" w:name="_Toc38985264"/>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24"/>
        <w:ind w:firstLine="560"/>
        <w:keepLines w:val="0"/>
        <w:keepNext w:val="0"/>
        <w:pageBreakBefore w:val="0"/>
        <w:spacing w:line="460" w:lineRule="exact"/>
        <w:widowControl w:val="off"/>
        <w:rPr>
          <w:rFonts w:hint="eastAsia" w:ascii="方正楷体_GBK" w:hAnsi="方正楷体_GBK" w:eastAsia="方正楷体_GBK" w:cs="方正楷体_GBK"/>
          <w:color w:val="000000"/>
          <w:sz w:val="28"/>
          <w:szCs w:val="28"/>
        </w:rPr>
      </w:pPr>
      <w:r/>
      <w:bookmarkStart w:id="17" w:name="_Toc35393623"/>
      <w:r/>
      <w:bookmarkStart w:id="18" w:name="_Toc28359081"/>
      <w:r/>
      <w:bookmarkStart w:id="19" w:name="_Toc35393792"/>
      <w:r/>
      <w:bookmarkStart w:id="20" w:name="_Toc38985265"/>
      <w:r/>
      <w:bookmarkStart w:id="21" w:name="_Toc28359004"/>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sz w:val="24"/>
          <w:szCs w:val="24"/>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rPr>
      </w:r>
      <w:r/>
    </w:p>
    <w:p>
      <w:pPr>
        <w:pStyle w:val="924"/>
        <w:ind w:firstLine="480"/>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4.联合体投标</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296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rPr>
                <w:rFonts w:hint="eastAsia" w:ascii="宋体" w:hAnsi="宋体" w:eastAsia="宋体" w:cs="宋体"/>
                <w:sz w:val="24"/>
                <w:szCs w:val="24"/>
              </w:rPr>
            </w:r>
            <w:r/>
          </w:p>
        </w:tc>
        <w:tc>
          <w:tcPr>
            <w:tcW w:w="2967"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rPr>
                <w:rFonts w:hint="eastAsia" w:ascii="宋体" w:hAnsi="宋体" w:eastAsia="宋体" w:cs="宋体"/>
                <w:sz w:val="24"/>
                <w:szCs w:val="24"/>
              </w:rPr>
            </w:r>
            <w:r/>
          </w:p>
        </w:tc>
      </w:tr>
      <w:tr>
        <w:trPr/>
        <w:tc>
          <w:tcPr>
            <w:tcW w:w="114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96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c>
          <w:tcPr>
            <w:tcW w:w="2967"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4"/>
        <w:ind w:firstLine="560"/>
        <w:keepLines w:val="0"/>
        <w:keepNext w:val="0"/>
        <w:pageBreakBefore w:val="0"/>
        <w:spacing w:line="4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5921"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rPr>
                <w:rFonts w:hint="eastAsia" w:ascii="宋体" w:hAnsi="宋体" w:eastAsia="宋体" w:cs="宋体"/>
                <w:sz w:val="24"/>
                <w:szCs w:val="24"/>
              </w:rPr>
            </w:r>
            <w:r/>
          </w:p>
        </w:tc>
      </w:tr>
      <w:tr>
        <w:trPr/>
        <w:tc>
          <w:tcPr>
            <w:tcW w:w="1148"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921" w:type="dxa"/>
            <w:vAlign w:val="top"/>
            <w:textDirection w:val="lrTb"/>
            <w:noWrap w:val="false"/>
          </w:tcPr>
          <w:p>
            <w:pPr>
              <w:pStyle w:val="924"/>
              <w:jc w:val="center"/>
              <w:keepLines w:val="0"/>
              <w:pageBreakBefore w:val="0"/>
              <w:spacing w:line="4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rPr>
          <w:rFonts w:hint="eastAsia" w:ascii="宋体" w:hAnsi="宋体" w:eastAsia="宋体" w:cs="宋体"/>
          <w:sz w:val="24"/>
          <w:szCs w:val="24"/>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rPr>
          <w:rFonts w:hint="eastAsia" w:ascii="宋体" w:hAnsi="宋体" w:eastAsia="宋体" w:cs="宋体"/>
          <w:sz w:val="24"/>
          <w:szCs w:val="24"/>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460" w:lineRule="exact"/>
        <w:widowControl w:val="off"/>
        <w:rPr>
          <w:rFonts w:hint="eastAsia" w:ascii="宋体" w:hAnsi="宋体" w:eastAsia="宋体" w:cs="宋体"/>
          <w:bCs/>
          <w:color w:val="000000"/>
          <w:sz w:val="24"/>
          <w:szCs w:val="24"/>
          <w:u w:val="single"/>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6</w:t>
      </w:r>
      <w:r>
        <w:rPr>
          <w:rFonts w:hint="eastAsia" w:ascii="宋体" w:hAnsi="宋体" w:eastAsia="宋体" w:cs="宋体"/>
          <w:bCs/>
          <w:color w:val="000000"/>
          <w:sz w:val="24"/>
          <w:szCs w:val="24"/>
          <w:u w:val="none"/>
        </w:rPr>
        <w:t xml:space="preserve">月12</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rPr>
          <w:rFonts w:hint="eastAsia" w:ascii="宋体" w:hAnsi="宋体" w:eastAsia="宋体" w:cs="宋体"/>
          <w:bCs/>
          <w:color w:val="000000"/>
          <w:sz w:val="24"/>
          <w:szCs w:val="24"/>
          <w:u w:val="single"/>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rPr>
          <w:rFonts w:hint="eastAsia" w:ascii="宋体" w:hAnsi="宋体" w:eastAsia="宋体" w:cs="宋体"/>
          <w:sz w:val="24"/>
          <w:szCs w:val="24"/>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Start w:id="27" w:name="_Toc35393625"/>
      <w:r/>
      <w:bookmarkStart w:id="28" w:name="_Toc28359084"/>
      <w:r/>
      <w:bookmarkStart w:id="29" w:name="_Toc38985267"/>
      <w:r/>
      <w:bookmarkStart w:id="30" w:name="_Toc35393794"/>
      <w:r/>
      <w:bookmarkStart w:id="31" w:name="_Toc28359007"/>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rPr>
          <w:rFonts w:hint="eastAsia" w:ascii="宋体" w:hAnsi="宋体" w:eastAsia="宋体" w:cs="宋体"/>
          <w:sz w:val="24"/>
          <w:szCs w:val="24"/>
          <w:lang w:eastAsia="zh-CN"/>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Start w:id="35" w:name="_Toc35393796"/>
      <w:r/>
      <w:bookmarkStart w:id="36" w:name="_Toc35393627"/>
      <w:r/>
      <w:bookmarkStart w:id="37" w:name="_Toc28359085"/>
      <w:r/>
      <w:bookmarkStart w:id="38" w:name="_Toc28359008"/>
      <w:r/>
      <w:bookmarkStart w:id="39" w:name="_Toc38985269"/>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24"/>
        <w:jc w:val="left"/>
        <w:keepLines w:val="0"/>
        <w:pageBreakBefore w:val="0"/>
        <w:spacing w:line="4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1.采购人信息</w:t>
      </w:r>
      <w:r>
        <w:rPr>
          <w:highlight w:val="none"/>
        </w:rPr>
      </w:r>
      <w:r/>
    </w:p>
    <w:p>
      <w:pPr>
        <w:pStyle w:val="924"/>
        <w:ind w:firstLine="480"/>
        <w:jc w:val="left"/>
        <w:keepLines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江苏海事职业技术学院</w:t>
      </w:r>
      <w:r>
        <w:rPr>
          <w:highlight w:val="none"/>
        </w:rPr>
      </w:r>
      <w:r/>
    </w:p>
    <w:p>
      <w:pPr>
        <w:pStyle w:val="924"/>
        <w:ind w:firstLine="480"/>
        <w:jc w:val="left"/>
        <w:keepLines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lang w:val="en-US" w:eastAsia="zh-CN"/>
        </w:rPr>
        <w:t xml:space="preserve">南京市江宁区格致路309号</w:t>
      </w:r>
      <w:r>
        <w:rPr>
          <w:highlight w:val="none"/>
        </w:rPr>
      </w:r>
      <w:r/>
    </w:p>
    <w:p>
      <w:pPr>
        <w:pStyle w:val="924"/>
        <w:ind w:firstLine="480"/>
        <w:jc w:val="left"/>
        <w:keepLines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唐鹏</w:t>
      </w:r>
      <w:r>
        <w:rPr>
          <w:rFonts w:hint="eastAsia" w:ascii="宋体" w:hAnsi="宋体" w:eastAsia="宋体" w:cs="宋体"/>
          <w:color w:val="000000"/>
          <w:sz w:val="24"/>
          <w:szCs w:val="24"/>
          <w:highlight w:val="none"/>
          <w:u w:val="single"/>
        </w:rPr>
        <w:t xml:space="preserve">                       </w:t>
      </w:r>
      <w:r>
        <w:rPr>
          <w:highlight w:val="none"/>
        </w:rPr>
      </w:r>
      <w:r/>
    </w:p>
    <w:p>
      <w:pPr>
        <w:pStyle w:val="924"/>
        <w:ind w:firstLine="480"/>
        <w:jc w:val="left"/>
        <w:keepLines w:val="0"/>
        <w:pageBreakBefore w:val="0"/>
        <w:spacing w:line="460" w:lineRule="exact"/>
        <w:rPr>
          <w:rFonts w:hint="eastAsia" w:ascii="宋体" w:hAnsi="宋体" w:eastAsia="宋体" w:cs="宋体"/>
          <w:color w:val="000000"/>
          <w:sz w:val="24"/>
          <w:szCs w:val="24"/>
          <w:highlight w:val="yellow"/>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15335169081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yellow"/>
          <w:u w:val="single"/>
        </w:rPr>
        <w:t xml:space="preserve">　　　 </w:t>
      </w:r>
      <w:bookmarkStart w:id="40" w:name="_Toc28359009"/>
      <w:r/>
      <w:bookmarkStart w:id="41" w:name="_Toc28359086"/>
      <w:r>
        <w:rPr>
          <w:rFonts w:hint="eastAsia" w:ascii="宋体" w:hAnsi="宋体" w:eastAsia="宋体" w:cs="宋体"/>
          <w:color w:val="000000"/>
          <w:sz w:val="24"/>
          <w:szCs w:val="24"/>
          <w:highlight w:val="yellow"/>
          <w:u w:val="single"/>
        </w:rPr>
      </w:r>
      <w:r/>
    </w:p>
    <w:p>
      <w:pPr>
        <w:pStyle w:val="924"/>
        <w:ind w:firstLine="480"/>
        <w:jc w:val="left"/>
        <w:keepLines w:val="0"/>
        <w:pageBreakBefore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Pr>
          <w:rFonts w:hint="eastAsia" w:ascii="宋体" w:hAnsi="宋体" w:eastAsia="宋体" w:cs="宋体"/>
          <w:color w:val="000000"/>
          <w:sz w:val="24"/>
          <w:szCs w:val="24"/>
        </w:rPr>
      </w:r>
      <w:r/>
    </w:p>
    <w:p>
      <w:pPr>
        <w:pStyle w:val="924"/>
        <w:ind w:firstLine="480"/>
        <w:jc w:val="left"/>
        <w:spacing w:line="500" w:lineRule="exact"/>
        <w:rPr>
          <w:rFonts w:ascii="宋体" w:hAnsi="宋体" w:eastAsia="宋体" w:cs="Times New Roman"/>
          <w:sz w:val="24"/>
          <w:szCs w:val="24"/>
          <w:u w:val="single"/>
        </w:rPr>
      </w:pPr>
      <w:r/>
      <w:bookmarkStart w:id="42" w:name="_Toc28359087"/>
      <w:r/>
      <w:bookmarkStart w:id="43" w:name="_Toc28359010"/>
      <w:r>
        <w:rPr>
          <w:rFonts w:hint="eastAsia" w:ascii="宋体" w:hAnsi="宋体" w:eastAsia="宋体" w:cs="Times New Roman"/>
          <w:sz w:val="24"/>
          <w:szCs w:val="24"/>
        </w:rPr>
        <w:t xml:space="preserve">地 址：</w:t>
      </w:r>
      <w:r>
        <w:rPr>
          <w:rFonts w:hint="eastAsia" w:ascii="宋体" w:hAnsi="宋体" w:eastAsia="宋体" w:cs="Times New Roman"/>
          <w:sz w:val="24"/>
          <w:szCs w:val="24"/>
          <w:u w:val="single"/>
        </w:rPr>
        <w:t xml:space="preserve">南京市汉中门大街145号省政务中心二期3楼南区</w:t>
      </w:r>
      <w:r>
        <w:rPr>
          <w:rFonts w:ascii="宋体" w:hAnsi="宋体" w:eastAsia="宋体" w:cs="Times New Roman"/>
          <w:sz w:val="24"/>
          <w:szCs w:val="24"/>
          <w:u w:val="single"/>
        </w:rPr>
      </w:r>
      <w:r/>
    </w:p>
    <w:p>
      <w:pPr>
        <w:pStyle w:val="924"/>
        <w:ind w:firstLine="480"/>
        <w:jc w:val="left"/>
        <w:spacing w:line="500" w:lineRule="exact"/>
        <w:rPr>
          <w:rFonts w:ascii="宋体" w:hAnsi="宋体" w:eastAsia="宋体" w:cs="Times New Roman"/>
          <w:sz w:val="24"/>
          <w:szCs w:val="24"/>
          <w:u w:val="single"/>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rPr>
        <w:t xml:space="preserve">程施雪、许滢</w:t>
      </w:r>
      <w:r>
        <w:rPr>
          <w:rFonts w:ascii="宋体" w:hAnsi="宋体" w:eastAsia="宋体" w:cs="Times New Roman"/>
          <w:sz w:val="24"/>
          <w:szCs w:val="24"/>
          <w:u w:val="single"/>
        </w:rPr>
      </w:r>
      <w:r/>
    </w:p>
    <w:p>
      <w:pPr>
        <w:pStyle w:val="924"/>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rPr>
        <w:t xml:space="preserve">025-83668556</w:t>
      </w:r>
      <w:r>
        <w:rPr>
          <w:rFonts w:ascii="宋体" w:hAnsi="宋体" w:eastAsia="宋体" w:cs="Times New Roman"/>
          <w:sz w:val="24"/>
          <w:szCs w:val="24"/>
        </w:rPr>
      </w:r>
      <w:r/>
    </w:p>
    <w:p>
      <w:pPr>
        <w:pStyle w:val="924"/>
        <w:ind w:firstLine="640"/>
        <w:jc w:val="left"/>
        <w:keepLines w:val="0"/>
        <w:keepNext/>
        <w:pageBreakBefore w:val="0"/>
        <w:spacing w:line="460" w:lineRule="exact"/>
        <w:widowControl w:val="off"/>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24"/>
        <w:ind w:firstLine="480"/>
        <w:keepLines w:val="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bCs/>
          <w:sz w:val="24"/>
          <w:szCs w:val="24"/>
        </w:rPr>
      </w:r>
      <w:r/>
    </w:p>
    <w:p>
      <w:pPr>
        <w:pStyle w:val="924"/>
        <w:ind w:firstLine="480"/>
        <w:keepLines w:val="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rPr>
          <w:rFonts w:hint="eastAsia" w:ascii="宋体" w:hAnsi="宋体" w:eastAsia="宋体" w:cs="宋体"/>
          <w:bCs/>
          <w:sz w:val="24"/>
          <w:szCs w:val="24"/>
        </w:rPr>
      </w:r>
      <w:r/>
    </w:p>
    <w:p>
      <w:pPr>
        <w:pStyle w:val="924"/>
        <w:ind w:firstLine="480"/>
        <w:keepLines w:val="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4"/>
          <w:szCs w:val="24"/>
        </w:rPr>
      </w:r>
      <w:r/>
    </w:p>
    <w:p>
      <w:pPr>
        <w:pStyle w:val="924"/>
        <w:ind w:firstLine="480"/>
        <w:keepLines w:val="0"/>
        <w:pageBreakBefore w:val="0"/>
        <w:spacing w:line="4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rPr>
          <w:rFonts w:hint="eastAsia" w:ascii="宋体" w:hAnsi="宋体" w:eastAsia="宋体" w:cs="宋体"/>
          <w:bCs/>
          <w:sz w:val="24"/>
          <w:szCs w:val="24"/>
        </w:rPr>
      </w:r>
      <w:r/>
    </w:p>
    <w:p>
      <w:pPr>
        <w:pStyle w:val="924"/>
        <w:ind w:firstLine="480"/>
        <w:keepLines w:val="0"/>
        <w:pageBreakBefore w:val="0"/>
        <w:spacing w:line="4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rPr>
          <w:rFonts w:hint="eastAsia" w:ascii="方正仿宋_GBK" w:hAnsi="方正仿宋_GBK" w:eastAsia="方正仿宋_GBK" w:cs="方正仿宋_GBK"/>
          <w:bCs/>
          <w:sz w:val="32"/>
          <w:szCs w:val="32"/>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firstLine="2420"/>
        <w:keepLines/>
        <w:keepNext/>
        <w:spacing w:before="260" w:after="260" w:line="416" w:lineRule="auto"/>
        <w:rPr>
          <w:rFonts w:hint="eastAsia" w:ascii="黑体" w:hAnsi="Arial" w:eastAsia="黑体" w:cs="Arial"/>
          <w:b/>
          <w:bCs/>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b/>
          <w:bCs/>
          <w:color w:val="000000"/>
          <w:sz w:val="44"/>
          <w:szCs w:val="44"/>
        </w:rPr>
      </w:r>
      <w:r/>
    </w:p>
    <w:p>
      <w:pPr>
        <w:pStyle w:val="924"/>
        <w:ind w:firstLine="496"/>
        <w:keepLines/>
        <w:keepNext/>
        <w:spacing w:before="156" w:after="156" w:line="400" w:lineRule="exact"/>
        <w:rPr>
          <w:rFonts w:hint="eastAsia" w:ascii="Times New Roman" w:hAnsi="Times New Roman"/>
          <w:b/>
          <w:bCs/>
          <w:color w:val="000000"/>
          <w:sz w:val="32"/>
          <w:szCs w:val="32"/>
        </w:rPr>
        <w:outlineLvl w:val="2"/>
      </w:pPr>
      <w:r/>
      <w:bookmarkStart w:id="49" w:name="_Toc513029203"/>
      <w:r/>
      <w:bookmarkStart w:id="50" w:name="_Toc120614214"/>
      <w:r/>
      <w:bookmarkStart w:id="51" w:name="_Toc16938519"/>
      <w:r/>
      <w:bookmarkStart w:id="52" w:name="_Toc20823275"/>
      <w:r/>
      <w:bookmarkStart w:id="53" w:name="_Toc513029234"/>
      <w:r/>
      <w:bookmarkStart w:id="54" w:name="_Toc20823306"/>
      <w:r/>
      <w:bookmarkStart w:id="55" w:name="_Toc16938550"/>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8"/>
      <w:r/>
      <w:bookmarkEnd w:id="59"/>
      <w:r/>
      <w:bookmarkEnd w:id="60"/>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61" w:name="_Toc20823277"/>
      <w:r/>
      <w:bookmarkStart w:id="62" w:name="_Toc513029205"/>
      <w:r/>
      <w:bookmarkStart w:id="63" w:name="_Toc16938521"/>
      <w:r>
        <w:rPr>
          <w:rFonts w:hint="eastAsia" w:ascii="Arial" w:hAnsi="Arial" w:eastAsia="黑体" w:cs="Arial"/>
          <w:color w:val="000000"/>
          <w:sz w:val="28"/>
          <w:szCs w:val="28"/>
        </w:rPr>
        <w:t xml:space="preserve">2、合格的投标人</w:t>
      </w:r>
      <w:bookmarkEnd w:id="61"/>
      <w:r/>
      <w:bookmarkEnd w:id="62"/>
      <w:r/>
      <w:bookmarkEnd w:id="63"/>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lang w:eastAsia="zh-CN"/>
        </w:rPr>
        <w:outlineLvl w:val="3"/>
      </w:pPr>
      <w:r/>
      <w:bookmarkStart w:id="64" w:name="_Toc513029206"/>
      <w:r/>
      <w:bookmarkStart w:id="65" w:name="_Toc16938522"/>
      <w:r/>
      <w:bookmarkStart w:id="66" w:name="_Toc20823278"/>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24"/>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24"/>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24"/>
        <w:ind w:firstLine="420"/>
        <w:keepLines/>
        <w:keepNext/>
        <w:spacing w:line="400" w:lineRule="exact"/>
        <w:rPr>
          <w:rFonts w:hint="eastAsia" w:ascii="Arial" w:hAnsi="Arial" w:eastAsia="黑体" w:cs="Arial"/>
          <w:color w:val="000000"/>
          <w:sz w:val="28"/>
          <w:szCs w:val="28"/>
        </w:rPr>
        <w:outlineLvl w:val="3"/>
      </w:pPr>
      <w:r/>
      <w:bookmarkStart w:id="67" w:name="_Toc462564067"/>
      <w:r/>
      <w:bookmarkStart w:id="68" w:name="_Toc16938523"/>
      <w:r/>
      <w:bookmarkStart w:id="69" w:name="_Toc20823279"/>
      <w:r/>
      <w:bookmarkStart w:id="70" w:name="_Toc513029207"/>
      <w:r>
        <w:rPr>
          <w:rFonts w:hint="eastAsia" w:ascii="Arial" w:hAnsi="Arial" w:eastAsia="黑体" w:cs="Arial"/>
          <w:color w:val="000000"/>
          <w:sz w:val="28"/>
          <w:szCs w:val="28"/>
        </w:rPr>
        <w:t xml:space="preserve">4、投标费用</w:t>
      </w:r>
      <w:bookmarkEnd w:id="67"/>
      <w:r/>
      <w:bookmarkEnd w:id="68"/>
      <w:r/>
      <w:bookmarkEnd w:id="69"/>
      <w:r/>
      <w:bookmarkEnd w:id="70"/>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24"/>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4"/>
        <w:ind w:firstLine="320"/>
        <w:keepLines/>
        <w:keepNext/>
        <w:spacing w:before="156" w:after="156" w:line="400" w:lineRule="exact"/>
        <w:rPr>
          <w:rFonts w:hint="eastAsia" w:ascii="Times New Roman" w:hAnsi="Times New Roman"/>
          <w:b/>
          <w:bCs/>
          <w:color w:val="000000"/>
          <w:sz w:val="32"/>
          <w:szCs w:val="32"/>
        </w:rPr>
        <w:outlineLvl w:val="2"/>
      </w:pPr>
      <w:r/>
      <w:bookmarkStart w:id="71" w:name="_Toc120614215"/>
      <w:r/>
      <w:bookmarkStart w:id="72" w:name="_Toc20823281"/>
      <w:r/>
      <w:bookmarkStart w:id="73" w:name="_Toc16938525"/>
      <w:r/>
      <w:bookmarkStart w:id="74" w:name="_Toc513029209"/>
      <w:r>
        <w:rPr>
          <w:rFonts w:hint="eastAsia" w:ascii="Times New Roman" w:hAnsi="Times New Roman"/>
          <w:b/>
          <w:bCs/>
          <w:color w:val="000000"/>
          <w:sz w:val="32"/>
          <w:szCs w:val="32"/>
        </w:rPr>
        <w:t xml:space="preserve">二、招标文件</w:t>
      </w:r>
      <w:bookmarkEnd w:id="71"/>
      <w:r/>
      <w:bookmarkEnd w:id="72"/>
      <w:r/>
      <w:bookmarkEnd w:id="73"/>
      <w:r/>
      <w:bookmarkEnd w:id="74"/>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75" w:name="_Toc20823282"/>
      <w:r/>
      <w:bookmarkStart w:id="76" w:name="_Toc513029210"/>
      <w:r/>
      <w:bookmarkStart w:id="77" w:name="_Toc16938526"/>
      <w:r>
        <w:rPr>
          <w:rFonts w:hint="eastAsia" w:ascii="Arial" w:hAnsi="Arial" w:eastAsia="黑体" w:cs="Arial"/>
          <w:color w:val="000000"/>
          <w:sz w:val="28"/>
          <w:szCs w:val="28"/>
        </w:rPr>
        <w:t xml:space="preserve">6、招标文件构成</w:t>
      </w:r>
      <w:bookmarkEnd w:id="75"/>
      <w:r/>
      <w:bookmarkEnd w:id="76"/>
      <w:r/>
      <w:bookmarkEnd w:id="77"/>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24"/>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24"/>
        <w:ind w:firstLine="560"/>
        <w:keepLines/>
        <w:keepNext/>
        <w:spacing w:line="400" w:lineRule="exact"/>
        <w:rPr>
          <w:rFonts w:hint="eastAsia" w:ascii="Arial" w:hAnsi="Arial" w:eastAsia="黑体" w:cs="Arial"/>
          <w:color w:val="000000"/>
          <w:sz w:val="28"/>
          <w:szCs w:val="28"/>
        </w:rPr>
        <w:outlineLvl w:val="3"/>
      </w:pPr>
      <w:r/>
      <w:bookmarkStart w:id="78" w:name="_Toc16938528"/>
      <w:r/>
      <w:bookmarkStart w:id="79" w:name="_Toc20823284"/>
      <w:r/>
      <w:bookmarkStart w:id="80" w:name="_Toc513029212"/>
      <w:r/>
      <w:bookmarkStart w:id="81"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2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Start w:id="82" w:name="_Toc462564072"/>
      <w:r/>
      <w:bookmarkStart w:id="83" w:name="_Toc16938529"/>
      <w:r/>
      <w:bookmarkStart w:id="84" w:name="_Toc120614216"/>
      <w:r/>
      <w:bookmarkStart w:id="85" w:name="_Toc513029213"/>
      <w:r/>
      <w:bookmarkStart w:id="86" w:name="_Toc20823285"/>
      <w:r>
        <w:rPr>
          <w:rFonts w:hint="eastAsia" w:ascii="Times New Roman" w:hAnsi="Times New Roman"/>
          <w:b/>
          <w:bCs/>
          <w:color w:val="000000"/>
          <w:sz w:val="32"/>
          <w:szCs w:val="32"/>
        </w:rPr>
        <w:t xml:space="preserve">三、投标文件的编制</w:t>
      </w:r>
      <w:bookmarkEnd w:id="82"/>
      <w:r/>
      <w:bookmarkEnd w:id="83"/>
      <w:r/>
      <w:bookmarkEnd w:id="84"/>
      <w:r/>
      <w:bookmarkEnd w:id="85"/>
      <w:r/>
      <w:bookmarkEnd w:id="86"/>
      <w:r>
        <w:rPr>
          <w:rFonts w:hint="eastAsia" w:ascii="Times New Roman" w:hAnsi="Times New Roman"/>
          <w:b/>
          <w:bCs/>
          <w:color w:val="000000"/>
          <w:sz w:val="32"/>
          <w:szCs w:val="32"/>
        </w:rPr>
      </w:r>
      <w:r/>
    </w:p>
    <w:p>
      <w:pPr>
        <w:pStyle w:val="924"/>
        <w:ind w:firstLine="560"/>
        <w:keepLines/>
        <w:keepNext/>
        <w:spacing w:line="400" w:lineRule="exact"/>
        <w:rPr>
          <w:rFonts w:hint="eastAsia" w:ascii="Arial" w:hAnsi="Arial" w:eastAsia="黑体" w:cs="Arial"/>
          <w:b/>
          <w:color w:val="000000"/>
          <w:sz w:val="28"/>
          <w:szCs w:val="28"/>
        </w:rPr>
        <w:outlineLvl w:val="3"/>
      </w:pPr>
      <w:r/>
      <w:bookmarkStart w:id="87" w:name="_Toc513029214"/>
      <w:r/>
      <w:bookmarkStart w:id="88" w:name="_Toc20823286"/>
      <w:r/>
      <w:bookmarkStart w:id="89" w:name="_Toc462564073"/>
      <w:r/>
      <w:bookmarkStart w:id="90"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91" w:name="_Toc513029215"/>
      <w:r/>
      <w:bookmarkStart w:id="92" w:name="_Toc462564074"/>
      <w:r/>
      <w:bookmarkStart w:id="93" w:name="_Toc16938531"/>
      <w:r/>
      <w:bookmarkStart w:id="94"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Pr>
          <w:rFonts w:hint="eastAsia" w:ascii="Arial" w:hAnsi="Arial" w:eastAsia="黑体" w:cs="Arial"/>
          <w:color w:val="000000"/>
          <w:sz w:val="28"/>
          <w:szCs w:val="28"/>
        </w:rPr>
      </w:r>
      <w:r/>
    </w:p>
    <w:p>
      <w:pPr>
        <w:pStyle w:val="924"/>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2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14577355"/>
      <w:r/>
      <w:bookmarkStart w:id="102" w:name="_Toc49090508"/>
      <w:r/>
      <w:bookmarkStart w:id="103" w:name="_Hlt26670360"/>
      <w:r/>
      <w:bookmarkEnd w:id="103"/>
      <w:r/>
      <w:bookmarkStart w:id="104" w:name="_Hlt26668975"/>
      <w:r/>
      <w:bookmarkEnd w:id="104"/>
      <w:r/>
      <w:bookmarkStart w:id="105" w:name="_Hlt26954838"/>
      <w:r/>
      <w:bookmarkEnd w:id="10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24"/>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2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924"/>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24"/>
        <w:ind w:firstLine="420"/>
        <w:keepLines/>
        <w:keepNext/>
        <w:spacing w:line="400" w:lineRule="exact"/>
        <w:rPr>
          <w:rFonts w:hint="eastAsia" w:ascii="Arial" w:hAnsi="Arial" w:eastAsia="黑体" w:cs="Arial"/>
          <w:sz w:val="28"/>
          <w:szCs w:val="28"/>
        </w:rPr>
        <w:outlineLvl w:val="3"/>
      </w:pPr>
      <w:r/>
      <w:bookmarkStart w:id="108" w:name="_Hlt26670486"/>
      <w:r/>
      <w:bookmarkEnd w:id="108"/>
      <w:r/>
      <w:bookmarkStart w:id="109" w:name="_Hlt26670482"/>
      <w:r/>
      <w:bookmarkEnd w:id="109"/>
      <w:r/>
      <w:bookmarkStart w:id="110" w:name="_Hlt26954846"/>
      <w:r/>
      <w:bookmarkEnd w:id="110"/>
      <w:r/>
      <w:bookmarkStart w:id="111" w:name="_Hlt26954731"/>
      <w:r/>
      <w:bookmarkEnd w:id="111"/>
      <w:r/>
      <w:bookmarkStart w:id="112" w:name="_Hlt26954848"/>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24"/>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24"/>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13" w:name="_Toc14577359"/>
      <w:r/>
      <w:bookmarkStart w:id="11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End w:id="113"/>
      <w:r/>
      <w:bookmarkEnd w:id="114"/>
      <w:r/>
      <w:bookmarkStart w:id="115" w:name="_Toc49090511"/>
      <w:r/>
      <w:bookmarkStart w:id="11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keepLines/>
        <w:keepNext/>
        <w:spacing w:before="156" w:after="156" w:line="400" w:lineRule="exact"/>
        <w:rPr>
          <w:rFonts w:hint="eastAsia" w:ascii="Times New Roman" w:hAnsi="Times New Roman"/>
          <w:b/>
          <w:bCs/>
          <w:color w:val="000000"/>
          <w:sz w:val="32"/>
          <w:szCs w:val="32"/>
        </w:rPr>
        <w:outlineLvl w:val="2"/>
      </w:pPr>
      <w:r/>
      <w:bookmarkStart w:id="117" w:name="_Hlt26954852"/>
      <w:r/>
      <w:bookmarkEnd w:id="117"/>
      <w:r/>
      <w:bookmarkStart w:id="118" w:name="_Hlt26954739"/>
      <w:r/>
      <w:bookmarkEnd w:id="118"/>
      <w:r/>
      <w:bookmarkStart w:id="119" w:name="_Toc513029224"/>
      <w:r/>
      <w:bookmarkStart w:id="120" w:name="_Toc16938540"/>
      <w:r/>
      <w:bookmarkStart w:id="121" w:name="_Toc120614217"/>
      <w:r/>
      <w:bookmarkStart w:id="122" w:name="_Toc20823296"/>
      <w:r>
        <w:rPr>
          <w:rFonts w:hint="eastAsia" w:ascii="Times New Roman" w:hAnsi="Times New Roman"/>
          <w:b/>
          <w:bCs/>
          <w:color w:val="000000"/>
          <w:sz w:val="32"/>
          <w:szCs w:val="32"/>
        </w:rPr>
        <w:t xml:space="preserve">四、投标文件的递交</w:t>
      </w:r>
      <w:bookmarkEnd w:id="119"/>
      <w:r/>
      <w:bookmarkEnd w:id="120"/>
      <w:r/>
      <w:bookmarkEnd w:id="121"/>
      <w:r/>
      <w:bookmarkEnd w:id="122"/>
      <w:r>
        <w:rPr>
          <w:rFonts w:hint="eastAsia" w:ascii="Times New Roman" w:hAnsi="Times New Roman"/>
          <w:b/>
          <w:bCs/>
          <w:color w:val="000000"/>
          <w:sz w:val="32"/>
          <w:szCs w:val="32"/>
        </w:rPr>
      </w:r>
      <w:r/>
    </w:p>
    <w:p>
      <w:pPr>
        <w:pStyle w:val="924"/>
        <w:ind w:firstLine="420"/>
        <w:keepLines/>
        <w:keepNext/>
        <w:spacing w:line="400" w:lineRule="exact"/>
        <w:rPr>
          <w:rFonts w:hint="eastAsia" w:ascii="黑体" w:hAnsi="Arial" w:eastAsia="黑体" w:cs="Arial"/>
          <w:color w:val="000000"/>
          <w:sz w:val="28"/>
          <w:szCs w:val="28"/>
        </w:rPr>
        <w:outlineLvl w:val="3"/>
      </w:pPr>
      <w:r/>
      <w:bookmarkStart w:id="123" w:name="_Toc16938541"/>
      <w:r/>
      <w:bookmarkStart w:id="124" w:name="_Toc462564084"/>
      <w:r/>
      <w:bookmarkStart w:id="125" w:name="_Toc20823297"/>
      <w:r/>
      <w:bookmarkStart w:id="126"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2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2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20823298"/>
      <w:r/>
      <w:bookmarkStart w:id="128" w:name="_Toc513029226"/>
      <w:r/>
      <w:bookmarkStart w:id="129" w:name="_Toc16938542"/>
      <w:r>
        <w:rPr>
          <w:rFonts w:ascii="宋体" w:hAnsi="宋体"/>
          <w:bCs/>
          <w:color w:val="000000"/>
          <w:sz w:val="24"/>
          <w:szCs w:val="21"/>
        </w:rPr>
      </w:r>
      <w:r/>
    </w:p>
    <w:p>
      <w:pPr>
        <w:pStyle w:val="924"/>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Pr>
          <w:rFonts w:hint="eastAsia" w:ascii="宋体" w:hAnsi="宋体" w:eastAsia="黑体" w:cs="Arial"/>
          <w:bCs/>
          <w:color w:val="000000"/>
          <w:sz w:val="24"/>
          <w:szCs w:val="28"/>
        </w:rPr>
      </w:r>
      <w:r/>
    </w:p>
    <w:p>
      <w:pPr>
        <w:pStyle w:val="92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30" w:name="_Toc20823299"/>
      <w:r/>
      <w:bookmarkStart w:id="131" w:name="_Toc16938543"/>
      <w:r/>
      <w:bookmarkStart w:id="132"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33" w:name="_Toc20823300"/>
      <w:r/>
      <w:bookmarkStart w:id="134" w:name="_Toc513029228"/>
      <w:r/>
      <w:bookmarkStart w:id="13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Start w:id="136" w:name="_Toc20823301"/>
      <w:r/>
      <w:bookmarkStart w:id="137" w:name="_Toc16938545"/>
      <w:r/>
      <w:bookmarkStart w:id="138" w:name="_Toc513029229"/>
      <w:r/>
      <w:bookmarkStart w:id="139" w:name="_Toc120614218"/>
      <w:r>
        <w:rPr>
          <w:rFonts w:hint="eastAsia" w:ascii="Times New Roman" w:hAnsi="Times New Roman"/>
          <w:b/>
          <w:bCs/>
          <w:color w:val="000000"/>
          <w:sz w:val="32"/>
          <w:szCs w:val="32"/>
        </w:rPr>
        <w:t xml:space="preserve">五、开标与评标</w:t>
      </w:r>
      <w:bookmarkEnd w:id="136"/>
      <w:r/>
      <w:bookmarkEnd w:id="137"/>
      <w:r/>
      <w:bookmarkEnd w:id="138"/>
      <w:r/>
      <w:bookmarkEnd w:id="139"/>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40" w:name="_Toc20823302"/>
      <w:r/>
      <w:bookmarkStart w:id="141" w:name="_Toc513029230"/>
      <w:r/>
      <w:bookmarkStart w:id="142"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Pr>
          <w:rFonts w:hint="eastAsia" w:ascii="Arial" w:hAnsi="Arial" w:eastAsia="黑体" w:cs="Arial"/>
          <w:color w:val="000000"/>
          <w:sz w:val="28"/>
          <w:szCs w:val="28"/>
        </w:rPr>
      </w:r>
      <w:r/>
    </w:p>
    <w:p>
      <w:pPr>
        <w:pStyle w:val="924"/>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24"/>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4"/>
        <w:ind w:firstLine="420"/>
        <w:keepLines/>
        <w:keepNext/>
        <w:spacing w:line="400" w:lineRule="exact"/>
        <w:rPr>
          <w:rFonts w:hint="eastAsia" w:ascii="Arial" w:hAnsi="Arial" w:eastAsia="黑体" w:cs="Arial"/>
          <w:sz w:val="28"/>
          <w:szCs w:val="28"/>
        </w:rPr>
        <w:outlineLvl w:val="3"/>
      </w:pPr>
      <w:r/>
      <w:bookmarkStart w:id="143" w:name="_Toc20823303"/>
      <w:r/>
      <w:bookmarkStart w:id="144" w:name="_Toc16938547"/>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2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2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2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24"/>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bookmarkEnd w:id="143"/>
      <w:r/>
      <w:bookmarkEnd w:id="144"/>
      <w:r/>
      <w:bookmarkEnd w:id="14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46" w:name="_Toc20823304"/>
      <w:r/>
      <w:bookmarkStart w:id="147" w:name="_Toc16938548"/>
      <w:r/>
      <w:bookmarkStart w:id="14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Pr>
          <w:rFonts w:hint="eastAsia" w:ascii="Arial" w:hAnsi="Arial" w:eastAsia="黑体" w:cs="Arial"/>
          <w:color w:val="000000"/>
          <w:sz w:val="28"/>
          <w:szCs w:val="28"/>
        </w:rPr>
      </w:r>
      <w:r/>
    </w:p>
    <w:p>
      <w:pPr>
        <w:pStyle w:val="924"/>
        <w:ind w:firstLine="480"/>
        <w:spacing w:line="400" w:lineRule="exact"/>
        <w:rPr>
          <w:rFonts w:ascii="宋体" w:hAnsi="宋体"/>
          <w:color w:val="000000"/>
          <w:sz w:val="24"/>
          <w:szCs w:val="24"/>
        </w:rPr>
      </w:pPr>
      <w:r/>
      <w:bookmarkStart w:id="149" w:name="_Toc16938549"/>
      <w:r/>
      <w:bookmarkStart w:id="150" w:name="_Toc513029233"/>
      <w:r/>
      <w:bookmarkStart w:id="151"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24"/>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24"/>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24"/>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4"/>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 异常低价投标审查</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）投标报价低于采购项目最高限价45%的，即投标报价&lt;采购项目最高限价×45%；</w:t>
      </w:r>
      <w:r>
        <w:rPr>
          <w:rFonts w:hint="eastAsia" w:ascii="宋体" w:hAnsi="宋体" w:eastAsia="宋体" w:cs="宋体"/>
          <w:bCs/>
          <w:sz w:val="24"/>
          <w:szCs w:val="24"/>
          <w:highlight w:val="none"/>
          <w:lang w:eastAsia="zh-CN"/>
        </w:rPr>
      </w:r>
      <w:r/>
    </w:p>
    <w:p>
      <w:pPr>
        <w:pStyle w:val="924"/>
        <w:ind w:firstLine="480"/>
        <w:keepLines w:val="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Cs/>
          <w:sz w:val="24"/>
          <w:szCs w:val="24"/>
          <w:lang w:val="en-US" w:eastAsia="zh-CN"/>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Cs/>
          <w:sz w:val="24"/>
          <w:szCs w:val="24"/>
          <w:lang w:val="en-US" w:eastAsia="zh-CN"/>
        </w:rPr>
      </w:r>
      <w:r/>
    </w:p>
    <w:p>
      <w:pPr>
        <w:pStyle w:val="924"/>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3"/>
      <w:r/>
      <w:bookmarkEnd w:id="54"/>
      <w:r/>
      <w:bookmarkEnd w:id="55"/>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2" w:name="_Toc20823307"/>
      <w:r/>
      <w:bookmarkStart w:id="153" w:name="_Toc16938551"/>
      <w:r/>
      <w:bookmarkStart w:id="154" w:name="_Toc513029235"/>
      <w:r>
        <w:rPr>
          <w:rFonts w:hint="eastAsia" w:ascii="宋体" w:hAnsi="宋体" w:eastAsia="宋体" w:cs="宋体"/>
          <w:sz w:val="24"/>
          <w:szCs w:val="24"/>
        </w:rPr>
      </w:r>
      <w:r/>
    </w:p>
    <w:p>
      <w:pPr>
        <w:pStyle w:val="924"/>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924"/>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rPr>
          <w:rFonts w:hint="eastAsia" w:ascii="宋体" w:hAnsi="宋体" w:eastAsia="宋体" w:cs="宋体"/>
          <w:bCs/>
          <w:i/>
          <w:color w:val="000000"/>
          <w:sz w:val="24"/>
          <w:szCs w:val="24"/>
          <w:u w:val="single"/>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rPr>
          <w:rFonts w:hint="eastAsia" w:ascii="宋体" w:hAnsi="宋体" w:eastAsia="宋体" w:cs="宋体"/>
          <w:sz w:val="24"/>
          <w:szCs w:val="24"/>
        </w:rPr>
      </w:r>
      <w:r/>
    </w:p>
    <w:p>
      <w:pPr>
        <w:pStyle w:val="924"/>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rPr>
          <w:rFonts w:hint="eastAsia" w:ascii="宋体" w:hAnsi="宋体" w:eastAsia="宋体" w:cs="宋体"/>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End w:id="152"/>
      <w:r/>
      <w:bookmarkEnd w:id="153"/>
      <w:r/>
      <w:bookmarkEnd w:id="154"/>
      <w:r/>
      <w:bookmarkStart w:id="155" w:name="_Toc120614219"/>
      <w:r>
        <w:rPr>
          <w:rFonts w:hint="eastAsia" w:ascii="Times New Roman" w:hAnsi="Times New Roman"/>
          <w:b/>
          <w:bCs/>
          <w:color w:val="000000"/>
          <w:sz w:val="32"/>
          <w:szCs w:val="32"/>
        </w:rPr>
        <w:t xml:space="preserve">六、定标</w:t>
      </w:r>
      <w:bookmarkEnd w:id="155"/>
      <w:r>
        <w:rPr>
          <w:rFonts w:hint="eastAsia" w:ascii="Times New Roman" w:hAnsi="Times New Roman"/>
          <w:b/>
          <w:bCs/>
          <w:color w:val="000000"/>
          <w:sz w:val="32"/>
          <w:szCs w:val="32"/>
        </w:rPr>
      </w:r>
      <w:r/>
    </w:p>
    <w:p>
      <w:pPr>
        <w:pStyle w:val="924"/>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24"/>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24"/>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24"/>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4"/>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24"/>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方正仿宋_GBK" w:hAnsi="方正仿宋_GBK" w:eastAsia="方正仿宋_GBK" w:cs="方正仿宋_GBK"/>
          <w:b w:val="0"/>
          <w:bCs/>
          <w:sz w:val="32"/>
          <w:szCs w:val="32"/>
          <w:highlight w:val="yellow"/>
        </w:rPr>
      </w:r>
      <w:r/>
    </w:p>
    <w:p>
      <w:pPr>
        <w:pStyle w:val="924"/>
        <w:ind w:firstLine="480"/>
        <w:spacing w:line="400" w:lineRule="exact"/>
        <w:rPr>
          <w:rFonts w:hint="eastAsia" w:ascii="宋体" w:hAnsi="宋体"/>
          <w:color w:val="000000"/>
          <w:sz w:val="24"/>
          <w:szCs w:val="24"/>
        </w:rPr>
      </w:pPr>
      <w:r/>
      <w:bookmarkStart w:id="160" w:name="_Toc513029242"/>
      <w:r/>
      <w:bookmarkStart w:id="161" w:name="_Toc120614221"/>
      <w:r/>
      <w:bookmarkStart w:id="162" w:name="_Toc20823314"/>
      <w:r/>
      <w:bookmarkStart w:id="163" w:name="_Toc16938558"/>
      <w:r/>
      <w:bookmarkStart w:id="164" w:name="_Toc479757207"/>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2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24"/>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4"/>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16938552"/>
      <w:r/>
      <w:bookmarkStart w:id="167" w:name="_Toc20823308"/>
      <w:r/>
      <w:bookmarkStart w:id="168" w:name="_Toc513029236"/>
      <w:r>
        <w:rPr>
          <w:rFonts w:hint="eastAsia" w:ascii="Times New Roman" w:hAnsi="Times New Roman"/>
          <w:b/>
          <w:bCs/>
          <w:color w:val="000000"/>
          <w:sz w:val="32"/>
          <w:szCs w:val="32"/>
        </w:rPr>
        <w:t xml:space="preserve">七、授予合同</w:t>
      </w:r>
      <w:bookmarkEnd w:id="165"/>
      <w:r>
        <w:rPr>
          <w:rFonts w:hint="eastAsia" w:ascii="Times New Roman" w:hAnsi="Times New Roman"/>
          <w:b/>
          <w:bCs/>
          <w:color w:val="000000"/>
          <w:sz w:val="32"/>
          <w:szCs w:val="32"/>
        </w:rPr>
      </w:r>
      <w:r/>
    </w:p>
    <w:p>
      <w:pPr>
        <w:pStyle w:val="924"/>
        <w:ind w:firstLine="600"/>
        <w:keepLines/>
        <w:keepNext/>
        <w:spacing w:line="400" w:lineRule="exact"/>
        <w:rPr>
          <w:rFonts w:hint="eastAsia" w:ascii="黑体" w:hAnsi="宋体" w:eastAsia="黑体"/>
          <w:bCs/>
          <w:color w:val="000000"/>
          <w:sz w:val="30"/>
          <w:szCs w:val="30"/>
        </w:rPr>
        <w:outlineLvl w:val="3"/>
      </w:pPr>
      <w:r/>
      <w:bookmarkEnd w:id="166"/>
      <w:r/>
      <w:bookmarkEnd w:id="167"/>
      <w:r/>
      <w:bookmarkEnd w:id="168"/>
      <w:r/>
      <w:bookmarkStart w:id="169" w:name="_Toc513029237"/>
      <w:r/>
      <w:bookmarkStart w:id="170" w:name="_Toc16938553"/>
      <w:r/>
      <w:bookmarkStart w:id="171"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2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2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2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24"/>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24"/>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24"/>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924"/>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2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Next/>
        <w:rPr>
          <w:rFonts w:hint="eastAsia" w:ascii="黑体" w:hAnsi="Times New Roman" w:eastAsia="黑体"/>
          <w:bCs/>
          <w:color w:val="000000"/>
          <w:sz w:val="44"/>
          <w:szCs w:val="28"/>
        </w:rPr>
        <w:outlineLvl w:val="0"/>
      </w:pPr>
      <w:r/>
      <w:bookmarkEnd w:id="160"/>
      <w:r/>
      <w:bookmarkEnd w:id="161"/>
      <w:r/>
      <w:bookmarkEnd w:id="162"/>
      <w:r/>
      <w:bookmarkEnd w:id="163"/>
      <w:r/>
      <w:bookmarkEnd w:id="164"/>
      <w:r/>
      <w:bookmarkStart w:id="172" w:name="_Toc120614244"/>
      <w:r/>
      <w:bookmarkStart w:id="173" w:name="_Toc20823346"/>
      <w:r/>
      <w:bookmarkStart w:id="174" w:name="_Hlt16619350"/>
      <w:r/>
      <w:bookmarkStart w:id="175" w:name="_Toc16938590"/>
      <w:r/>
      <w:bookmarkStart w:id="176" w:name="_Toc462564139"/>
      <w:r/>
      <w:bookmarkStart w:id="177" w:name="_Toc479757211"/>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924"/>
        <w:spacing w:line="400" w:lineRule="exact"/>
        <w:rPr>
          <w:rFonts w:ascii="宋体" w:hAnsi="宋体"/>
          <w:bCs/>
          <w:color w:val="ff0000"/>
          <w:sz w:val="24"/>
          <w:szCs w:val="24"/>
          <w:highlight w:val="yellow"/>
        </w:rPr>
      </w:pPr>
      <w:r/>
      <w:bookmarkStart w:id="178" w:name="_Toc16938559"/>
      <w:r/>
      <w:bookmarkStart w:id="179" w:name="_Toc513029243"/>
      <w:r/>
      <w:bookmarkStart w:id="180" w:name="_Toc20823315"/>
      <w:r/>
      <w:bookmarkStart w:id="181" w:name="_Toc3995"/>
      <w:r>
        <w:rPr>
          <w:rFonts w:ascii="宋体" w:hAnsi="宋体"/>
          <w:bCs/>
          <w:color w:val="ff0000"/>
          <w:sz w:val="24"/>
          <w:szCs w:val="24"/>
          <w:highlight w:val="yellow"/>
        </w:rPr>
      </w:r>
      <w:r/>
    </w:p>
    <w:p>
      <w:pPr>
        <w:pStyle w:val="980"/>
        <w:jc w:val="both"/>
        <w:rPr>
          <w:rFonts w:ascii="宋体" w:hAnsi="宋体" w:eastAsia="宋体" w:cs="宋体"/>
          <w:b/>
          <w:bCs/>
          <w:spacing w:val="-20"/>
          <w:sz w:val="32"/>
          <w:szCs w:val="32"/>
        </w:rPr>
      </w:pPr>
      <w:r/>
      <w:bookmarkEnd w:id="178"/>
      <w:r/>
      <w:bookmarkEnd w:id="179"/>
      <w:r/>
      <w:bookmarkEnd w:id="180"/>
      <w:r/>
      <w:bookmarkEnd w:id="181"/>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80"/>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2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2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2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2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24"/>
      </w:p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2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24"/>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24"/>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24"/>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24"/>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2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2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2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4"/>
        <w:spacing w:line="400" w:lineRule="exact"/>
      </w:pPr>
      <w:r/>
      <w:r/>
    </w:p>
    <w:p>
      <w:pPr>
        <w:pStyle w:val="97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72"/>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72"/>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7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2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2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2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2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13"/>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1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13"/>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13"/>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13"/>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2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2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2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2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2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2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2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2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2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1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2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2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2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2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13"/>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1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1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2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2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2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2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2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2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2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20"/>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2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24"/>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2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24"/>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ascii="宋体" w:hAnsi="宋体" w:cs="宋体"/>
          <w:szCs w:val="21"/>
          <w:highlight w:val="none"/>
        </w:rPr>
      </w:r>
      <w:r/>
    </w:p>
    <w:p>
      <w:pPr>
        <w:pStyle w:val="1013"/>
        <w:rPr>
          <w:rFonts w:ascii="宋体" w:hAnsi="宋体" w:eastAsia="宋体" w:cs="宋体"/>
          <w:sz w:val="24"/>
          <w:szCs w:val="24"/>
          <w:highlight w:val="none"/>
          <w:u w:val="single"/>
        </w:rPr>
      </w:pPr>
      <w:r>
        <w:rPr>
          <w:rFonts w:hint="eastAsia" w:ascii="宋体" w:hAnsi="宋体" w:cs="宋体"/>
          <w:bCs/>
          <w:highlight w:val="none"/>
        </w:rPr>
        <w:t xml:space="preserve"> </w:t>
      </w: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rPr>
          <w:rFonts w:ascii="宋体" w:hAnsi="宋体" w:eastAsia="宋体" w:cs="宋体"/>
          <w:sz w:val="24"/>
          <w:szCs w:val="24"/>
          <w:highlight w:val="none"/>
          <w:u w:val="single"/>
        </w:rPr>
        <w:t xml:space="preserve">签订合同后7日内，乙方需将合同总金额的5％作为履约保证金通过银行转账提交至江苏海事职业技术学院指定账户，账户名称：江苏海事职业技术学院，账号 ：8110501013201663203，开户行：中信银行股份有限公司南京上海路支行，备注：项目名称+履约保证金。</w:t>
      </w:r>
      <w:r>
        <w:rPr>
          <w:rFonts w:ascii="宋体" w:hAnsi="宋体" w:eastAsia="宋体" w:cs="宋体"/>
          <w:sz w:val="24"/>
          <w:szCs w:val="24"/>
          <w:highlight w:val="none"/>
          <w:u w:val="single"/>
        </w:rPr>
      </w:r>
      <w:r/>
    </w:p>
    <w:p>
      <w:pPr>
        <w:pStyle w:val="1013"/>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bCs/>
          <w:sz w:val="21"/>
          <w:highlight w:val="none"/>
          <w:u w:val="single"/>
          <w:lang w:val="en-US" w:eastAsia="zh-CN"/>
        </w:rPr>
        <w:t xml:space="preserve">合同总金额5%</w:t>
      </w:r>
      <w:r>
        <w:rPr>
          <w:rFonts w:hint="eastAsia" w:ascii="宋体" w:hAnsi="宋体" w:eastAsia="宋体" w:cs="宋体"/>
          <w:bCs/>
          <w:sz w:val="21"/>
          <w:highlight w:val="none"/>
          <w:u w:val="single"/>
        </w:rPr>
        <w:t xml:space="preserve">                           </w:t>
      </w:r>
      <w:r>
        <w:rPr>
          <w:rFonts w:ascii="宋体" w:hAnsi="宋体" w:eastAsia="宋体" w:cs="宋体"/>
          <w:sz w:val="21"/>
          <w:highlight w:val="none"/>
        </w:rPr>
      </w:r>
      <w:r/>
    </w:p>
    <w:p>
      <w:pPr>
        <w:pStyle w:val="924"/>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ascii="宋体" w:hAnsi="宋体" w:eastAsia="宋体" w:cs="宋体"/>
          <w:sz w:val="24"/>
          <w:szCs w:val="24"/>
          <w:highlight w:val="none"/>
          <w:u w:val="single"/>
        </w:rPr>
        <w:t xml:space="preserve">自甲方最终书面确认验收合格之日起算【12】 个月后，甲方确认无质量问题且乙方无违约情形后将履约保证金无息退还给乙方。乙方 若有违约情形的或产品存在质量问题，甲方有权依据合同约定在履约保证金中先行扣除 相应金额的违约金或质量赔偿金。履约保证金不足扣除的，乙方应在接到甲方通知后及时补足</w:t>
      </w:r>
      <w:r>
        <w:rPr>
          <w:rFonts w:hint="eastAsia" w:ascii="宋体" w:hAnsi="宋体" w:cs="宋体"/>
          <w:bCs/>
          <w:szCs w:val="21"/>
          <w:highlight w:val="none"/>
          <w:u w:val="single"/>
        </w:rPr>
        <w:t xml:space="preserve">                                 </w:t>
      </w:r>
      <w:r>
        <w:rPr>
          <w:rFonts w:ascii="宋体" w:hAnsi="宋体" w:cs="宋体"/>
          <w:highlight w:val="none"/>
        </w:rPr>
      </w:r>
      <w:r/>
    </w:p>
    <w:p>
      <w:pPr>
        <w:pStyle w:val="92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24"/>
        <w:ind w:firstLine="420"/>
        <w:spacing w:line="400" w:lineRule="exact"/>
        <w:rPr>
          <w:rFonts w:ascii="宋体" w:hAnsi="宋体" w:cs="Courier New"/>
          <w:bCs/>
          <w:sz w:val="24"/>
          <w:szCs w:val="24"/>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Courier New"/>
          <w:bCs/>
          <w:sz w:val="24"/>
          <w:szCs w:val="24"/>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24"/>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2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2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2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2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2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2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1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2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24"/>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20"/>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2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24"/>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2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24"/>
              <w:jc w:val="center"/>
              <w:spacing w:line="300" w:lineRule="exact"/>
              <w:rPr>
                <w:szCs w:val="21"/>
              </w:rPr>
            </w:pPr>
            <w:r>
              <w:rPr>
                <w:szCs w:val="21"/>
              </w:rPr>
              <w:t xml:space="preserve">法定代表人</w:t>
            </w:r>
            <w:r>
              <w:rPr>
                <w:szCs w:val="21"/>
              </w:rPr>
            </w:r>
            <w:r/>
          </w:p>
          <w:p>
            <w:pPr>
              <w:pStyle w:val="92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法定代表人</w:t>
            </w:r>
            <w:r>
              <w:rPr>
                <w:szCs w:val="21"/>
              </w:rPr>
            </w:r>
            <w:r/>
          </w:p>
          <w:p>
            <w:pPr>
              <w:pStyle w:val="92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24"/>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24"/>
              <w:jc w:val="center"/>
              <w:spacing w:line="300" w:lineRule="exact"/>
              <w:rPr>
                <w:szCs w:val="21"/>
              </w:rPr>
            </w:pPr>
            <w:r>
              <w:rPr>
                <w:szCs w:val="21"/>
              </w:rPr>
            </w:r>
            <w:r/>
          </w:p>
        </w:tc>
        <w:tc>
          <w:tcPr>
            <w:tcW w:w="2413" w:type="dxa"/>
            <w:vAlign w:val="center"/>
            <w:vMerge w:val="continue"/>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7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2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2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2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2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2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4"/>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2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2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2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2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24"/>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2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1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2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86"/>
        <w:ind w:firstLine="420"/>
        <w:jc w:val="left"/>
        <w:spacing w:line="400" w:lineRule="exact"/>
        <w:rPr>
          <w:rFonts w:hAnsi="宋体"/>
          <w:b/>
        </w:rPr>
      </w:pPr>
      <w:r>
        <w:rPr>
          <w:rFonts w:hint="eastAsia" w:hAnsi="宋体"/>
        </w:rPr>
        <w:t xml:space="preserve">8.1 质量标准</w:t>
      </w:r>
      <w:r>
        <w:rPr>
          <w:rFonts w:hAnsi="宋体"/>
          <w:b/>
        </w:rPr>
      </w:r>
      <w:r/>
    </w:p>
    <w:p>
      <w:pPr>
        <w:pStyle w:val="92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8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2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2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2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2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2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24"/>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2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24"/>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2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1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2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24"/>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2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2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2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24"/>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24"/>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1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2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24"/>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2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1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1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24"/>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24"/>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2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2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2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24"/>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1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2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1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13"/>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24"/>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24"/>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24"/>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2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24"/>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pPr>
            <w:r>
              <w:rPr>
                <w:rFonts w:hint="eastAsia" w:ascii="宋体" w:hAnsi="宋体"/>
                <w:szCs w:val="21"/>
              </w:rPr>
              <w:t xml:space="preserve">第5.4款</w:t>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24"/>
            </w:pPr>
            <w:r/>
            <w:r/>
          </w:p>
        </w:tc>
      </w:tr>
      <w:tr>
        <w:trPr>
          <w:trHeight w:val="667"/>
        </w:trPr>
        <w:tc>
          <w:tcPr>
            <w:tcW w:w="1607" w:type="dxa"/>
            <w:vAlign w:val="center"/>
            <w:vMerge w:val="continue"/>
            <w:textDirection w:val="lrTb"/>
            <w:noWrap w:val="false"/>
          </w:tcPr>
          <w:p>
            <w:pPr>
              <w:pStyle w:val="924"/>
              <w:jc w:val="center"/>
              <w:rPr>
                <w:rFonts w:ascii="宋体" w:hAnsi="宋体"/>
                <w:szCs w:val="21"/>
              </w:rPr>
            </w:pP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24"/>
            </w:pPr>
            <w:r/>
            <w:r/>
          </w:p>
        </w:tc>
      </w:tr>
      <w:tr>
        <w:trPr>
          <w:trHeight w:val="772"/>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24"/>
            </w:pPr>
            <w:r/>
            <w:r/>
          </w:p>
        </w:tc>
      </w:tr>
      <w:tr>
        <w:trPr>
          <w:trHeight w:val="66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24"/>
            </w:p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2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2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1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2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2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2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bl>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4"/>
        <w:jc w:val="center"/>
        <w:spacing w:before="120" w:after="120" w:line="0" w:lineRule="atLeast"/>
        <w:rPr>
          <w:rFonts w:hint="eastAsia" w:ascii="宋体" w:hAnsi="宋体" w:cs="Courier New"/>
          <w:color w:val="000000"/>
          <w:sz w:val="24"/>
          <w:szCs w:val="24"/>
        </w:rPr>
      </w:pPr>
      <w:r/>
      <w:bookmarkEnd w:id="172"/>
      <w:r/>
      <w:bookmarkEnd w:id="173"/>
      <w:r/>
      <w:bookmarkEnd w:id="174"/>
      <w:r/>
      <w:bookmarkEnd w:id="175"/>
      <w:r/>
      <w:bookmarkStart w:id="182" w:name="_Toc49090575"/>
      <w:r/>
      <w:bookmarkStart w:id="183" w:name="_Toc120614281"/>
      <w:r/>
      <w:bookmarkStart w:id="184" w:name="_Toc26554093"/>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24"/>
        <w:spacing w:line="0" w:lineRule="atLeast"/>
        <w:rPr>
          <w:rFonts w:ascii="宋体" w:hAnsi="宋体"/>
          <w:color w:val="000000"/>
          <w:sz w:val="24"/>
          <w:szCs w:val="24"/>
        </w:rPr>
      </w:pPr>
      <w:r>
        <w:rPr>
          <w:rFonts w:ascii="宋体" w:hAnsi="宋体"/>
          <w:color w:val="000000"/>
          <w:sz w:val="24"/>
          <w:szCs w:val="24"/>
        </w:rPr>
      </w:r>
      <w:r/>
    </w:p>
    <w:p>
      <w:pPr>
        <w:pStyle w:val="92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2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rPr>
                <w:rFonts w:hint="eastAsia" w:ascii="宋体" w:hAnsi="宋体"/>
                <w:sz w:val="24"/>
                <w:szCs w:val="24"/>
                <w:highlight w:val="none"/>
              </w:rPr>
            </w:r>
            <w:r/>
          </w:p>
        </w:tc>
        <w:tc>
          <w:tcPr>
            <w:tcW w:w="545" w:type="dxa"/>
            <w:vAlign w:val="center"/>
            <w:textDirection w:val="lrTb"/>
            <w:noWrap w:val="false"/>
          </w:tcPr>
          <w:p>
            <w:pPr>
              <w:pStyle w:val="924"/>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p>
        </w:tc>
        <w:tc>
          <w:tcPr>
            <w:tcW w:w="3291" w:type="dxa"/>
            <w:vAlign w:val="center"/>
            <w:textDirection w:val="lrTb"/>
            <w:noWrap w:val="false"/>
          </w:tcPr>
          <w:p>
            <w:pPr>
              <w:pStyle w:val="924"/>
              <w:jc w:val="center"/>
              <w:spacing w:line="0" w:lineRule="atLeas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ascii="宋体" w:hAnsi="宋体"/>
                <w:sz w:val="24"/>
                <w:szCs w:val="24"/>
                <w:highlight w:val="none"/>
              </w:rPr>
            </w:r>
            <w:r/>
          </w:p>
        </w:tc>
        <w:tc>
          <w:tcPr>
            <w:tcW w:w="2852" w:type="dxa"/>
            <w:vAlign w:val="center"/>
            <w:textDirection w:val="lrTb"/>
            <w:noWrap w:val="false"/>
          </w:tcPr>
          <w:p>
            <w:pPr>
              <w:pStyle w:val="924"/>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ascii="宋体" w:hAnsi="宋体"/>
                <w:sz w:val="24"/>
                <w:szCs w:val="24"/>
                <w:highlight w:val="none"/>
              </w:rPr>
            </w:r>
            <w:r/>
          </w:p>
        </w:tc>
      </w:tr>
      <w:tr>
        <w:trPr>
          <w:cantSplit/>
          <w:trHeight w:val="291"/>
        </w:trPr>
        <w:tc>
          <w:tcPr>
            <w:tcW w:w="545" w:type="dxa"/>
            <w:vAlign w:val="top"/>
            <w:textDirection w:val="lrTb"/>
            <w:noWrap w:val="false"/>
          </w:tcPr>
          <w:p>
            <w:pPr>
              <w:pStyle w:val="92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w:t>
            </w:r>
            <w:r>
              <w:rPr>
                <w:rFonts w:hint="eastAsia" w:ascii="宋体" w:hAnsi="宋体"/>
                <w:sz w:val="24"/>
                <w:szCs w:val="24"/>
                <w:highlight w:val="none"/>
              </w:rPr>
            </w:r>
            <w:r/>
          </w:p>
        </w:tc>
        <w:tc>
          <w:tcPr>
            <w:tcW w:w="545" w:type="dxa"/>
            <w:vAlign w:val="top"/>
            <w:textDirection w:val="lrTb"/>
            <w:noWrap w:val="false"/>
          </w:tcPr>
          <w:p>
            <w:pPr>
              <w:pStyle w:val="924"/>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3291" w:type="dxa"/>
            <w:vAlign w:val="top"/>
            <w:textDirection w:val="lrTb"/>
            <w:noWrap w:val="false"/>
          </w:tcPr>
          <w:p>
            <w:pPr>
              <w:pStyle w:val="924"/>
              <w:jc w:val="center"/>
              <w:spacing w:line="0" w:lineRule="atLeast"/>
              <w:tabs>
                <w:tab w:val="left" w:pos="2020" w:leader="none"/>
              </w:tabs>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空调</w:t>
            </w:r>
            <w:r>
              <w:rPr>
                <w:rFonts w:ascii="宋体" w:hAnsi="宋体" w:eastAsia="宋体"/>
                <w:sz w:val="24"/>
                <w:szCs w:val="24"/>
                <w:highlight w:val="none"/>
                <w:lang w:val="en-US" w:eastAsia="zh-CN"/>
              </w:rPr>
            </w:r>
            <w:r/>
          </w:p>
        </w:tc>
        <w:tc>
          <w:tcPr>
            <w:tcW w:w="2852" w:type="dxa"/>
            <w:vAlign w:val="top"/>
            <w:textDirection w:val="lrTb"/>
            <w:noWrap w:val="false"/>
          </w:tcPr>
          <w:p>
            <w:pPr>
              <w:pStyle w:val="924"/>
              <w:jc w:val="center"/>
              <w:spacing w:line="0" w:lineRule="atLeas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工业</w:t>
            </w:r>
            <w:r>
              <w:rPr>
                <w:rFonts w:ascii="宋体" w:hAnsi="宋体" w:eastAsia="宋体"/>
                <w:sz w:val="24"/>
                <w:szCs w:val="24"/>
                <w:highlight w:val="none"/>
                <w:lang w:val="en-US" w:eastAsia="zh-CN"/>
              </w:rPr>
            </w:r>
            <w:r/>
          </w:p>
        </w:tc>
      </w:tr>
    </w:tbl>
    <w:p>
      <w:pPr>
        <w:pStyle w:val="924"/>
        <w:spacing w:line="0" w:lineRule="atLeast"/>
        <w:rPr>
          <w:rFonts w:hint="eastAsia" w:ascii="宋体" w:hAnsi="宋体"/>
          <w:sz w:val="24"/>
          <w:szCs w:val="24"/>
          <w:highlight w:val="yellow"/>
        </w:rPr>
      </w:pPr>
      <w:r>
        <w:rPr>
          <w:rFonts w:hint="eastAsia" w:ascii="宋体" w:hAnsi="宋体"/>
          <w:sz w:val="24"/>
          <w:szCs w:val="24"/>
          <w:highlight w:val="yellow"/>
        </w:rPr>
      </w:r>
      <w:r/>
    </w:p>
    <w:tbl>
      <w:tblPr>
        <w:tblW w:w="0" w:type="auto"/>
        <w:jc w:val="center"/>
        <w:tblInd w:w="-262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0" w:type="dxa"/>
          <w:top w:w="20" w:type="dxa"/>
          <w:right w:w="20" w:type="dxa"/>
          <w:bottom w:w="20" w:type="dxa"/>
        </w:tblCellMar>
        <w:tblLook w:val="04A0" w:firstRow="1" w:lastRow="0" w:firstColumn="1" w:lastColumn="0" w:noHBand="0" w:noVBand="1"/>
      </w:tblPr>
      <w:tblGrid>
        <w:gridCol w:w="837"/>
        <w:gridCol w:w="2219"/>
        <w:gridCol w:w="615"/>
        <w:gridCol w:w="750"/>
        <w:gridCol w:w="3541"/>
      </w:tblGrid>
      <w:tr>
        <w:trPr>
          <w:trHeight w:val="540"/>
        </w:trPr>
        <w:tc>
          <w:tcPr>
            <w:tcMar>
              <w:left w:w="20" w:type="dxa"/>
              <w:top w:w="20" w:type="dxa"/>
              <w:right w:w="20" w:type="dxa"/>
              <w:bottom w:w="20" w:type="dxa"/>
            </w:tcMar>
            <w:tcW w:w="837" w:type="dxa"/>
            <w:vAlign w:val="center"/>
            <w:textDirection w:val="lrTb"/>
            <w:noWrap w:val="false"/>
          </w:tcPr>
          <w:p>
            <w:pPr>
              <w:pStyle w:val="924"/>
              <w:jc w:val="center"/>
              <w:spacing w:line="273" w:lineRule="exact"/>
            </w:pPr>
            <w:r>
              <w:rPr>
                <w:rFonts w:ascii="宋体" w:hAnsi="宋体" w:eastAsia="宋体" w:cs="宋体"/>
                <w:b/>
                <w:color w:val="000000"/>
                <w:sz w:val="21"/>
              </w:rPr>
              <w:t xml:space="preserve">序号</w:t>
            </w:r>
            <w:r/>
          </w:p>
        </w:tc>
        <w:tc>
          <w:tcPr>
            <w:tcMar>
              <w:left w:w="20" w:type="dxa"/>
              <w:top w:w="20" w:type="dxa"/>
              <w:right w:w="20" w:type="dxa"/>
              <w:bottom w:w="20" w:type="dxa"/>
            </w:tcMar>
            <w:tcW w:w="2219" w:type="dxa"/>
            <w:vAlign w:val="center"/>
            <w:textDirection w:val="lrTb"/>
            <w:noWrap w:val="false"/>
          </w:tcPr>
          <w:p>
            <w:pPr>
              <w:pStyle w:val="924"/>
              <w:jc w:val="center"/>
              <w:spacing w:line="273" w:lineRule="exact"/>
            </w:pPr>
            <w:r>
              <w:rPr>
                <w:rFonts w:ascii="宋体" w:hAnsi="宋体" w:eastAsia="宋体" w:cs="宋体"/>
                <w:b/>
                <w:color w:val="000000"/>
                <w:sz w:val="21"/>
              </w:rPr>
              <w:t xml:space="preserve">名称</w:t>
            </w:r>
            <w:r/>
          </w:p>
        </w:tc>
        <w:tc>
          <w:tcPr>
            <w:tcMar>
              <w:left w:w="20" w:type="dxa"/>
              <w:top w:w="20" w:type="dxa"/>
              <w:right w:w="20" w:type="dxa"/>
              <w:bottom w:w="20" w:type="dxa"/>
            </w:tcMar>
            <w:tcW w:w="615" w:type="dxa"/>
            <w:vAlign w:val="center"/>
            <w:textDirection w:val="lrTb"/>
            <w:noWrap w:val="false"/>
          </w:tcPr>
          <w:p>
            <w:pPr>
              <w:pStyle w:val="924"/>
              <w:jc w:val="center"/>
              <w:spacing w:line="273" w:lineRule="exact"/>
            </w:pPr>
            <w:r>
              <w:rPr>
                <w:rFonts w:ascii="宋体" w:hAnsi="宋体" w:eastAsia="宋体" w:cs="宋体"/>
                <w:b/>
                <w:color w:val="000000"/>
                <w:sz w:val="21"/>
              </w:rPr>
              <w:t xml:space="preserve">单位</w:t>
            </w:r>
            <w:r/>
          </w:p>
        </w:tc>
        <w:tc>
          <w:tcPr>
            <w:tcMar>
              <w:left w:w="20" w:type="dxa"/>
              <w:top w:w="20" w:type="dxa"/>
              <w:right w:w="20" w:type="dxa"/>
              <w:bottom w:w="20" w:type="dxa"/>
            </w:tcMar>
            <w:tcW w:w="750" w:type="dxa"/>
            <w:vAlign w:val="center"/>
            <w:textDirection w:val="lrTb"/>
            <w:noWrap w:val="false"/>
          </w:tcPr>
          <w:p>
            <w:pPr>
              <w:pStyle w:val="924"/>
              <w:jc w:val="center"/>
              <w:spacing w:line="273" w:lineRule="exact"/>
            </w:pPr>
            <w:r>
              <w:rPr>
                <w:rFonts w:ascii="宋体" w:hAnsi="宋体" w:eastAsia="宋体" w:cs="宋体"/>
                <w:b/>
                <w:color w:val="000000"/>
                <w:sz w:val="21"/>
              </w:rPr>
              <w:t xml:space="preserve">数量</w:t>
            </w:r>
            <w:r/>
          </w:p>
        </w:tc>
        <w:tc>
          <w:tcPr>
            <w:tcMar>
              <w:left w:w="20" w:type="dxa"/>
              <w:top w:w="20" w:type="dxa"/>
              <w:right w:w="20" w:type="dxa"/>
              <w:bottom w:w="20" w:type="dxa"/>
            </w:tcMar>
            <w:tcW w:w="3541" w:type="dxa"/>
            <w:vAlign w:val="center"/>
            <w:textDirection w:val="lrTb"/>
            <w:noWrap w:val="false"/>
          </w:tcPr>
          <w:p>
            <w:pPr>
              <w:pStyle w:val="924"/>
              <w:jc w:val="center"/>
              <w:spacing w:line="273" w:lineRule="exact"/>
            </w:pPr>
            <w:r>
              <w:rPr>
                <w:rFonts w:ascii="宋体" w:hAnsi="宋体" w:eastAsia="宋体" w:cs="宋体"/>
                <w:b/>
                <w:color w:val="000000"/>
                <w:sz w:val="21"/>
              </w:rPr>
              <w:t xml:space="preserve">产品要求</w:t>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1</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i w:val="0"/>
                <w:iCs w:val="0"/>
                <w:color w:val="000000"/>
                <w:sz w:val="21"/>
              </w:rPr>
              <w:t xml:space="preserve">1.5匹</w:t>
            </w:r>
            <w:r>
              <w:rPr>
                <w:rFonts w:ascii="宋体" w:hAnsi="宋体" w:eastAsia="宋体" w:cs="宋体"/>
                <w:b/>
                <w:bCs/>
                <w:i/>
                <w:iCs/>
                <w:color w:val="000000"/>
                <w:sz w:val="21"/>
                <w:u w:val="single"/>
              </w:rPr>
              <w:t xml:space="preserve">新风</w:t>
            </w:r>
            <w:r>
              <w:rPr>
                <w:rFonts w:ascii="宋体" w:hAnsi="宋体" w:eastAsia="宋体" w:cs="宋体"/>
                <w:i w:val="0"/>
                <w:iCs w:val="0"/>
                <w:color w:val="000000"/>
                <w:sz w:val="21"/>
              </w:rPr>
              <w:t xml:space="preserve">变频冷暖壁挂式空调</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套</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400</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rPr>
                <w:rFonts w:eastAsia="宋体"/>
                <w:lang w:val="en-US" w:eastAsia="zh-CN"/>
              </w:rPr>
            </w:pPr>
            <w:r>
              <w:rPr>
                <w:rFonts w:ascii="宋体" w:hAnsi="宋体" w:eastAsia="宋体" w:cs="宋体"/>
                <w:color w:val="000000"/>
                <w:sz w:val="21"/>
              </w:rPr>
              <w:t xml:space="preserve">投标人在投标时应明确所选的厂家品牌产品。详细参数要求见以下</w:t>
            </w:r>
            <w:r>
              <w:rPr>
                <w:rFonts w:hint="eastAsia" w:ascii="宋体" w:hAnsi="宋体" w:eastAsia="宋体" w:cs="宋体"/>
                <w:color w:val="000000"/>
                <w:sz w:val="21"/>
                <w:lang w:val="en-US" w:eastAsia="zh-CN"/>
              </w:rPr>
              <w:t xml:space="preserve">2-8项。</w:t>
            </w:r>
            <w:r>
              <w:rPr>
                <w:rFonts w:eastAsia="宋体"/>
                <w:lang w:val="en-US" w:eastAsia="zh-CN"/>
              </w:rPr>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rPr>
                <w:highlight w:val="none"/>
              </w:rPr>
            </w:pPr>
            <w:r>
              <w:rPr>
                <w:rFonts w:ascii="宋体" w:hAnsi="宋体" w:eastAsia="宋体" w:cs="宋体"/>
                <w:color w:val="000000"/>
                <w:sz w:val="21"/>
                <w:highlight w:val="none"/>
              </w:rPr>
              <w:t xml:space="preserve">2</w:t>
            </w:r>
            <w:r>
              <w:rPr>
                <w:highlight w:val="none"/>
              </w:rPr>
            </w:r>
            <w:r/>
          </w:p>
        </w:tc>
        <w:tc>
          <w:tcPr>
            <w:tcMar>
              <w:left w:w="20" w:type="dxa"/>
              <w:top w:w="20" w:type="dxa"/>
              <w:right w:w="20" w:type="dxa"/>
              <w:bottom w:w="20" w:type="dxa"/>
            </w:tcMar>
            <w:tcW w:w="2219" w:type="dxa"/>
            <w:vAlign w:val="center"/>
            <w:textDirection w:val="lrTb"/>
            <w:noWrap w:val="false"/>
          </w:tcPr>
          <w:p>
            <w:pPr>
              <w:pStyle w:val="924"/>
              <w:jc w:val="left"/>
              <w:spacing w:line="273" w:lineRule="exact"/>
              <w:rPr>
                <w:rFonts w:hint="eastAsia" w:eastAsia="宋体"/>
                <w:highlight w:val="none"/>
                <w:lang w:eastAsia="zh-CN"/>
              </w:rPr>
            </w:pPr>
            <w:r>
              <w:rPr>
                <w:rFonts w:ascii="宋体" w:hAnsi="宋体" w:eastAsia="宋体" w:cs="宋体"/>
                <w:color w:val="000000"/>
                <w:sz w:val="21"/>
                <w:highlight w:val="none"/>
              </w:rPr>
              <w:t xml:space="preserve">加长铜管</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加长</w:t>
            </w:r>
            <w:r>
              <w:rPr>
                <w:rFonts w:hint="eastAsia" w:ascii="宋体" w:hAnsi="宋体" w:cs="宋体"/>
                <w:color w:val="000000"/>
                <w:szCs w:val="21"/>
                <w:highlight w:val="none"/>
                <w:lang w:val="en-US" w:eastAsia="zh-CN"/>
              </w:rPr>
              <w:t xml:space="preserve">排水软管</w:t>
            </w:r>
            <w:r>
              <w:rPr>
                <w:rFonts w:hint="eastAsia" w:eastAsia="宋体"/>
                <w:highlight w:val="none"/>
                <w:lang w:eastAsia="zh-CN"/>
              </w:rPr>
            </w:r>
            <w:r/>
          </w:p>
        </w:tc>
        <w:tc>
          <w:tcPr>
            <w:tcMar>
              <w:left w:w="20" w:type="dxa"/>
              <w:top w:w="20" w:type="dxa"/>
              <w:right w:w="20" w:type="dxa"/>
              <w:bottom w:w="20" w:type="dxa"/>
            </w:tcMar>
            <w:tcW w:w="615" w:type="dxa"/>
            <w:vAlign w:val="center"/>
            <w:textDirection w:val="lrTb"/>
            <w:noWrap w:val="false"/>
          </w:tcPr>
          <w:p>
            <w:pPr>
              <w:pStyle w:val="924"/>
              <w:jc w:val="center"/>
              <w:rPr>
                <w:highlight w:val="none"/>
              </w:rPr>
            </w:pPr>
            <w:r>
              <w:rPr>
                <w:rFonts w:ascii="宋体" w:hAnsi="宋体" w:eastAsia="宋体" w:cs="宋体"/>
                <w:color w:val="000000"/>
                <w:sz w:val="21"/>
                <w:highlight w:val="none"/>
              </w:rPr>
              <w:t xml:space="preserve">米</w:t>
            </w:r>
            <w:r>
              <w:rPr>
                <w:highlight w:val="none"/>
              </w:rPr>
            </w:r>
            <w:r/>
          </w:p>
        </w:tc>
        <w:tc>
          <w:tcPr>
            <w:tcMar>
              <w:left w:w="20" w:type="dxa"/>
              <w:top w:w="20" w:type="dxa"/>
              <w:right w:w="20" w:type="dxa"/>
              <w:bottom w:w="20" w:type="dxa"/>
            </w:tcMar>
            <w:tcW w:w="750" w:type="dxa"/>
            <w:vAlign w:val="center"/>
            <w:textDirection w:val="lrTb"/>
            <w:noWrap w:val="false"/>
          </w:tcPr>
          <w:p>
            <w:pPr>
              <w:pStyle w:val="924"/>
              <w:jc w:val="center"/>
              <w:rPr>
                <w:highlight w:val="none"/>
              </w:rPr>
            </w:pPr>
            <w:r>
              <w:rPr>
                <w:rFonts w:ascii="宋体" w:hAnsi="宋体" w:eastAsia="宋体" w:cs="宋体"/>
                <w:color w:val="000000"/>
                <w:sz w:val="18"/>
                <w:highlight w:val="none"/>
              </w:rPr>
              <w:t xml:space="preserve">1200</w:t>
            </w:r>
            <w:r>
              <w:rPr>
                <w:highlight w:val="none"/>
              </w:rPr>
            </w:r>
            <w:r/>
          </w:p>
        </w:tc>
        <w:tc>
          <w:tcPr>
            <w:tcMar>
              <w:left w:w="20" w:type="dxa"/>
              <w:top w:w="20" w:type="dxa"/>
              <w:right w:w="20" w:type="dxa"/>
              <w:bottom w:w="20" w:type="dxa"/>
            </w:tcMar>
            <w:tcW w:w="3541" w:type="dxa"/>
            <w:vAlign w:val="center"/>
            <w:textDirection w:val="lrTb"/>
            <w:noWrap w:val="false"/>
          </w:tcPr>
          <w:p>
            <w:pPr>
              <w:pStyle w:val="924"/>
              <w:jc w:val="left"/>
              <w:spacing w:line="273" w:lineRule="exact"/>
              <w:rPr>
                <w:highlight w:val="none"/>
              </w:rPr>
            </w:pPr>
            <w:r>
              <w:rPr>
                <w:rFonts w:ascii="宋体" w:hAnsi="宋体" w:eastAsia="宋体" w:cs="宋体"/>
                <w:color w:val="000000"/>
                <w:sz w:val="21"/>
                <w:highlight w:val="none"/>
              </w:rPr>
              <w:t xml:space="preserve">1.含保温材料</w:t>
            </w:r>
            <w:r>
              <w:rPr>
                <w:highlight w:val="none"/>
              </w:rPr>
            </w:r>
            <w:r/>
          </w:p>
          <w:p>
            <w:pPr>
              <w:pStyle w:val="924"/>
              <w:jc w:val="left"/>
              <w:spacing w:before="0" w:after="0" w:line="273" w:lineRule="exact"/>
              <w:rPr>
                <w:highlight w:val="none"/>
              </w:rPr>
            </w:pPr>
            <w:r>
              <w:rPr>
                <w:rFonts w:ascii="宋体" w:hAnsi="宋体" w:eastAsia="宋体" w:cs="宋体"/>
                <w:color w:val="000000"/>
                <w:sz w:val="21"/>
                <w:highlight w:val="none"/>
              </w:rPr>
              <w:t xml:space="preserve">2.此为预估量(不含每台空调自带的3米铜管</w:t>
            </w:r>
            <w:r>
              <w:rPr>
                <w:rFonts w:hint="eastAsia" w:ascii="宋体" w:hAnsi="宋体" w:eastAsia="宋体" w:cs="宋体"/>
                <w:color w:val="000000"/>
                <w:sz w:val="21"/>
                <w:highlight w:val="none"/>
                <w:lang w:val="en-US" w:eastAsia="zh-CN"/>
              </w:rPr>
              <w:t xml:space="preserve">、排水软管</w:t>
            </w:r>
            <w:r>
              <w:rPr>
                <w:rFonts w:ascii="宋体" w:hAnsi="宋体" w:eastAsia="宋体" w:cs="宋体"/>
                <w:color w:val="000000"/>
                <w:sz w:val="21"/>
                <w:highlight w:val="none"/>
              </w:rPr>
              <w:t xml:space="preserve">)</w:t>
            </w:r>
            <w:r>
              <w:rPr>
                <w:highlight w:val="none"/>
              </w:rPr>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rPr>
                <w:highlight w:val="none"/>
              </w:rPr>
            </w:pPr>
            <w:r>
              <w:rPr>
                <w:rFonts w:ascii="宋体" w:hAnsi="宋体" w:eastAsia="宋体" w:cs="宋体"/>
                <w:color w:val="000000"/>
                <w:sz w:val="21"/>
                <w:highlight w:val="none"/>
              </w:rPr>
              <w:t xml:space="preserve">3</w:t>
            </w:r>
            <w:r>
              <w:rPr>
                <w:highlight w:val="none"/>
              </w:rPr>
            </w:r>
            <w:r/>
          </w:p>
        </w:tc>
        <w:tc>
          <w:tcPr>
            <w:tcMar>
              <w:left w:w="20" w:type="dxa"/>
              <w:top w:w="20" w:type="dxa"/>
              <w:right w:w="20" w:type="dxa"/>
              <w:bottom w:w="20" w:type="dxa"/>
            </w:tcMar>
            <w:tcW w:w="2219" w:type="dxa"/>
            <w:vAlign w:val="center"/>
            <w:textDirection w:val="lrTb"/>
            <w:noWrap w:val="false"/>
          </w:tcPr>
          <w:p>
            <w:pPr>
              <w:pStyle w:val="924"/>
              <w:jc w:val="left"/>
              <w:spacing w:line="273" w:lineRule="exact"/>
              <w:rPr>
                <w:highlight w:val="none"/>
              </w:rPr>
            </w:pPr>
            <w:r>
              <w:rPr>
                <w:rFonts w:ascii="宋体" w:hAnsi="宋体" w:eastAsia="宋体" w:cs="宋体"/>
                <w:color w:val="000000"/>
                <w:sz w:val="21"/>
                <w:highlight w:val="none"/>
              </w:rPr>
              <w:t xml:space="preserve">室外机支架</w:t>
            </w:r>
            <w:r>
              <w:rPr>
                <w:highlight w:val="none"/>
              </w:rPr>
            </w:r>
            <w:r/>
          </w:p>
        </w:tc>
        <w:tc>
          <w:tcPr>
            <w:tcMar>
              <w:left w:w="20" w:type="dxa"/>
              <w:top w:w="20" w:type="dxa"/>
              <w:right w:w="20" w:type="dxa"/>
              <w:bottom w:w="20" w:type="dxa"/>
            </w:tcMar>
            <w:tcW w:w="615" w:type="dxa"/>
            <w:vAlign w:val="center"/>
            <w:textDirection w:val="lrTb"/>
            <w:noWrap w:val="false"/>
          </w:tcPr>
          <w:p>
            <w:pPr>
              <w:pStyle w:val="924"/>
              <w:jc w:val="center"/>
              <w:rPr>
                <w:highlight w:val="none"/>
              </w:rPr>
            </w:pPr>
            <w:r>
              <w:rPr>
                <w:rFonts w:ascii="宋体" w:hAnsi="宋体" w:eastAsia="宋体" w:cs="宋体"/>
                <w:color w:val="000000"/>
                <w:sz w:val="21"/>
                <w:highlight w:val="none"/>
              </w:rPr>
              <w:t xml:space="preserve">个</w:t>
            </w:r>
            <w:r>
              <w:rPr>
                <w:highlight w:val="none"/>
              </w:rPr>
            </w:r>
            <w:r/>
          </w:p>
        </w:tc>
        <w:tc>
          <w:tcPr>
            <w:tcMar>
              <w:left w:w="20" w:type="dxa"/>
              <w:top w:w="20" w:type="dxa"/>
              <w:right w:w="20" w:type="dxa"/>
              <w:bottom w:w="20" w:type="dxa"/>
            </w:tcMar>
            <w:tcW w:w="750" w:type="dxa"/>
            <w:vAlign w:val="center"/>
            <w:textDirection w:val="lrTb"/>
            <w:noWrap w:val="false"/>
          </w:tcPr>
          <w:p>
            <w:pPr>
              <w:pStyle w:val="924"/>
              <w:jc w:val="center"/>
              <w:rPr>
                <w:highlight w:val="none"/>
              </w:rPr>
            </w:pPr>
            <w:r>
              <w:rPr>
                <w:rFonts w:ascii="宋体" w:hAnsi="宋体" w:eastAsia="宋体" w:cs="宋体"/>
                <w:color w:val="000000"/>
                <w:sz w:val="18"/>
                <w:highlight w:val="none"/>
              </w:rPr>
              <w:t xml:space="preserve">400</w:t>
            </w:r>
            <w:r>
              <w:rPr>
                <w:highlight w:val="none"/>
              </w:rPr>
            </w:r>
            <w:r/>
          </w:p>
        </w:tc>
        <w:tc>
          <w:tcPr>
            <w:tcMar>
              <w:left w:w="20" w:type="dxa"/>
              <w:top w:w="20" w:type="dxa"/>
              <w:right w:w="20" w:type="dxa"/>
              <w:bottom w:w="20" w:type="dxa"/>
            </w:tcMar>
            <w:tcW w:w="3541" w:type="dxa"/>
            <w:vAlign w:val="center"/>
            <w:textDirection w:val="lrTb"/>
            <w:noWrap w:val="false"/>
          </w:tcPr>
          <w:p>
            <w:pPr>
              <w:pStyle w:val="924"/>
              <w:jc w:val="left"/>
              <w:spacing w:line="273" w:lineRule="exact"/>
              <w:rPr>
                <w:rFonts w:ascii="宋体" w:hAnsi="宋体" w:eastAsia="宋体" w:cs="宋体"/>
                <w:color w:val="000000"/>
                <w:sz w:val="21"/>
                <w:highlight w:val="none"/>
              </w:rPr>
            </w:pPr>
            <w:r>
              <w:rPr>
                <w:rFonts w:ascii="宋体" w:hAnsi="宋体" w:eastAsia="宋体" w:cs="宋体"/>
                <w:color w:val="000000"/>
                <w:sz w:val="21"/>
                <w:highlight w:val="none"/>
              </w:rPr>
              <w:t xml:space="preserve">1.选用</w:t>
            </w:r>
            <w:r>
              <w:rPr>
                <w:rFonts w:hint="eastAsia" w:ascii="宋体" w:hAnsi="宋体" w:cs="宋体"/>
                <w:color w:val="000000"/>
                <w:szCs w:val="21"/>
                <w:highlight w:val="none"/>
              </w:rPr>
              <w:t xml:space="preserve">不锈钢材质</w:t>
            </w:r>
            <w:r>
              <w:rPr>
                <w:rFonts w:ascii="宋体" w:hAnsi="宋体" w:eastAsia="宋体" w:cs="宋体"/>
                <w:color w:val="000000"/>
                <w:sz w:val="21"/>
                <w:highlight w:val="none"/>
              </w:rPr>
              <w:t xml:space="preserve">。</w:t>
            </w:r>
            <w:r>
              <w:rPr>
                <w:rFonts w:ascii="宋体" w:hAnsi="宋体" w:eastAsia="宋体" w:cs="宋体"/>
                <w:color w:val="000000"/>
                <w:sz w:val="21"/>
                <w:highlight w:val="none"/>
              </w:rPr>
            </w:r>
            <w:r/>
          </w:p>
          <w:p>
            <w:pPr>
              <w:pStyle w:val="924"/>
              <w:jc w:val="left"/>
              <w:spacing w:line="273" w:lineRule="exact"/>
              <w:rPr>
                <w:highlight w:val="none"/>
              </w:rPr>
            </w:pPr>
            <w:r>
              <w:rPr>
                <w:rFonts w:ascii="宋体" w:hAnsi="宋体" w:eastAsia="宋体" w:cs="宋体"/>
                <w:color w:val="000000"/>
                <w:sz w:val="21"/>
                <w:highlight w:val="none"/>
              </w:rPr>
              <w:t xml:space="preserve">2.钢板厚度不低于2毫米。</w:t>
            </w:r>
            <w:r>
              <w:rPr>
                <w:highlight w:val="none"/>
              </w:rPr>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4</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color w:val="000000"/>
                <w:sz w:val="21"/>
              </w:rPr>
              <w:t xml:space="preserve">房间开孔及原孔洞封堵恢复</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间</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400</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pPr>
            <w:r>
              <w:rPr>
                <w:rFonts w:ascii="宋体" w:hAnsi="宋体" w:eastAsia="宋体" w:cs="宋体"/>
                <w:color w:val="000000"/>
                <w:sz w:val="21"/>
              </w:rPr>
              <w:t xml:space="preserve">1.原房价阳台未封闭，需从新封闭阳台处新开孔或对原有空洞进行扩孔处理。</w:t>
            </w:r>
            <w:r/>
          </w:p>
          <w:p>
            <w:pPr>
              <w:pStyle w:val="924"/>
              <w:jc w:val="left"/>
              <w:spacing w:before="0" w:after="0" w:line="273" w:lineRule="exact"/>
            </w:pPr>
            <w:r>
              <w:rPr>
                <w:rFonts w:ascii="宋体" w:hAnsi="宋体" w:eastAsia="宋体" w:cs="宋体"/>
                <w:color w:val="000000"/>
                <w:sz w:val="21"/>
              </w:rPr>
              <w:t xml:space="preserve">2.将不能利用的原孔洞使用胶泥或发泡进行封堵；</w:t>
            </w:r>
            <w:r/>
          </w:p>
          <w:p>
            <w:pPr>
              <w:pStyle w:val="924"/>
              <w:jc w:val="left"/>
              <w:spacing w:before="0" w:after="0" w:line="273" w:lineRule="exact"/>
            </w:pPr>
            <w:r>
              <w:rPr>
                <w:rFonts w:ascii="宋体" w:hAnsi="宋体" w:eastAsia="宋体" w:cs="宋体"/>
                <w:color w:val="000000"/>
                <w:sz w:val="21"/>
              </w:rPr>
              <w:t xml:space="preserve">3.此项报价需包含开孔、扩孔和封堵过程中可能产生的墙面污染恢复费用；</w:t>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5</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color w:val="000000"/>
                <w:sz w:val="21"/>
              </w:rPr>
              <w:t xml:space="preserve">外立面PVC排水总管</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米</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1000</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pPr>
            <w:r>
              <w:rPr>
                <w:rFonts w:ascii="宋体" w:hAnsi="宋体" w:eastAsia="宋体" w:cs="宋体"/>
                <w:color w:val="000000"/>
                <w:sz w:val="21"/>
              </w:rPr>
              <w:t xml:space="preserve">1.对原有外立面PVC排水总管进行调整和固定；</w:t>
            </w:r>
            <w:r/>
          </w:p>
          <w:p>
            <w:pPr>
              <w:pStyle w:val="924"/>
              <w:jc w:val="left"/>
              <w:spacing w:before="0" w:after="0" w:line="273" w:lineRule="exact"/>
            </w:pPr>
            <w:r>
              <w:rPr>
                <w:rFonts w:ascii="宋体" w:hAnsi="宋体" w:eastAsia="宋体" w:cs="宋体"/>
                <w:color w:val="000000"/>
                <w:sz w:val="21"/>
              </w:rPr>
              <w:t xml:space="preserve">2.数量请投标单位踏勘现场自行估算，此项报价含预留多余水管切断、补接和弯头转接头等连接。</w:t>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6</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color w:val="000000"/>
                <w:sz w:val="21"/>
              </w:rPr>
              <w:t xml:space="preserve">安装及辅材</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项</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1</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pPr>
            <w:r>
              <w:rPr>
                <w:rFonts w:ascii="宋体" w:hAnsi="宋体" w:eastAsia="宋体" w:cs="宋体"/>
                <w:color w:val="000000"/>
                <w:sz w:val="21"/>
              </w:rPr>
              <w:t xml:space="preserve">为保障空调正常使用，其他所必要的安装工序及所需要的辅材。</w:t>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7</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color w:val="000000"/>
                <w:sz w:val="21"/>
              </w:rPr>
              <w:t xml:space="preserve">新风管道</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间</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400</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pPr>
            <w:r>
              <w:rPr>
                <w:rFonts w:ascii="宋体" w:hAnsi="宋体" w:eastAsia="宋体" w:cs="宋体"/>
                <w:color w:val="000000"/>
                <w:sz w:val="21"/>
              </w:rPr>
              <w:t xml:space="preserve">1．每套设备预计加装2米新风管道</w:t>
            </w:r>
            <w:r/>
          </w:p>
          <w:p>
            <w:pPr>
              <w:pStyle w:val="924"/>
              <w:jc w:val="left"/>
              <w:spacing w:before="0" w:after="0" w:line="273" w:lineRule="exact"/>
            </w:pPr>
            <w:r>
              <w:rPr>
                <w:rFonts w:ascii="宋体" w:hAnsi="宋体" w:eastAsia="宋体" w:cs="宋体"/>
                <w:color w:val="000000"/>
                <w:sz w:val="21"/>
              </w:rPr>
              <w:t xml:space="preserve">2.新风管道材质为新风软管</w:t>
            </w:r>
            <w:r/>
          </w:p>
        </w:tc>
      </w:tr>
      <w:tr>
        <w:trPr>
          <w:trHeight w:val="360"/>
        </w:trPr>
        <w:tc>
          <w:tcPr>
            <w:tcMar>
              <w:left w:w="20" w:type="dxa"/>
              <w:top w:w="20" w:type="dxa"/>
              <w:right w:w="20" w:type="dxa"/>
              <w:bottom w:w="20" w:type="dxa"/>
            </w:tcMar>
            <w:tcW w:w="837" w:type="dxa"/>
            <w:vAlign w:val="center"/>
            <w:textDirection w:val="lrTb"/>
            <w:noWrap w:val="false"/>
          </w:tcPr>
          <w:p>
            <w:pPr>
              <w:pStyle w:val="924"/>
              <w:jc w:val="center"/>
            </w:pPr>
            <w:r>
              <w:rPr>
                <w:rFonts w:ascii="宋体" w:hAnsi="宋体" w:eastAsia="宋体" w:cs="宋体"/>
                <w:color w:val="000000"/>
                <w:sz w:val="21"/>
              </w:rPr>
              <w:t xml:space="preserve">8</w:t>
            </w:r>
            <w:r/>
          </w:p>
        </w:tc>
        <w:tc>
          <w:tcPr>
            <w:tcMar>
              <w:left w:w="20" w:type="dxa"/>
              <w:top w:w="20" w:type="dxa"/>
              <w:right w:w="20" w:type="dxa"/>
              <w:bottom w:w="20" w:type="dxa"/>
            </w:tcMar>
            <w:tcW w:w="2219" w:type="dxa"/>
            <w:vAlign w:val="center"/>
            <w:textDirection w:val="lrTb"/>
            <w:noWrap w:val="false"/>
          </w:tcPr>
          <w:p>
            <w:pPr>
              <w:pStyle w:val="924"/>
              <w:jc w:val="left"/>
              <w:spacing w:line="273" w:lineRule="exact"/>
            </w:pPr>
            <w:r>
              <w:rPr>
                <w:rFonts w:ascii="宋体" w:hAnsi="宋体" w:eastAsia="宋体" w:cs="宋体"/>
                <w:color w:val="000000"/>
                <w:sz w:val="21"/>
              </w:rPr>
              <w:t xml:space="preserve">旧机拆除（包含室内外机及所有管线、辅材）运送至校园甲方指定位置。</w:t>
            </w:r>
            <w:r/>
          </w:p>
        </w:tc>
        <w:tc>
          <w:tcPr>
            <w:tcMar>
              <w:left w:w="20" w:type="dxa"/>
              <w:top w:w="20" w:type="dxa"/>
              <w:right w:w="20" w:type="dxa"/>
              <w:bottom w:w="20" w:type="dxa"/>
            </w:tcMar>
            <w:tcW w:w="615" w:type="dxa"/>
            <w:vAlign w:val="center"/>
            <w:textDirection w:val="lrTb"/>
            <w:noWrap w:val="false"/>
          </w:tcPr>
          <w:p>
            <w:pPr>
              <w:pStyle w:val="924"/>
              <w:jc w:val="center"/>
            </w:pPr>
            <w:r>
              <w:rPr>
                <w:rFonts w:ascii="宋体" w:hAnsi="宋体" w:eastAsia="宋体" w:cs="宋体"/>
                <w:color w:val="000000"/>
                <w:sz w:val="21"/>
              </w:rPr>
              <w:t xml:space="preserve">间</w:t>
            </w:r>
            <w:r/>
          </w:p>
        </w:tc>
        <w:tc>
          <w:tcPr>
            <w:tcMar>
              <w:left w:w="20" w:type="dxa"/>
              <w:top w:w="20" w:type="dxa"/>
              <w:right w:w="20" w:type="dxa"/>
              <w:bottom w:w="20" w:type="dxa"/>
            </w:tcMar>
            <w:tcW w:w="750" w:type="dxa"/>
            <w:vAlign w:val="center"/>
            <w:textDirection w:val="lrTb"/>
            <w:noWrap w:val="false"/>
          </w:tcPr>
          <w:p>
            <w:pPr>
              <w:pStyle w:val="924"/>
              <w:jc w:val="center"/>
            </w:pPr>
            <w:r>
              <w:rPr>
                <w:rFonts w:ascii="宋体" w:hAnsi="宋体" w:eastAsia="宋体" w:cs="宋体"/>
                <w:color w:val="000000"/>
                <w:sz w:val="18"/>
              </w:rPr>
              <w:t xml:space="preserve">400</w:t>
            </w:r>
            <w:r/>
          </w:p>
        </w:tc>
        <w:tc>
          <w:tcPr>
            <w:tcMar>
              <w:left w:w="20" w:type="dxa"/>
              <w:top w:w="20" w:type="dxa"/>
              <w:right w:w="20" w:type="dxa"/>
              <w:bottom w:w="20" w:type="dxa"/>
            </w:tcMar>
            <w:tcW w:w="3541" w:type="dxa"/>
            <w:vAlign w:val="center"/>
            <w:textDirection w:val="lrTb"/>
            <w:noWrap w:val="false"/>
          </w:tcPr>
          <w:p>
            <w:pPr>
              <w:pStyle w:val="924"/>
              <w:jc w:val="left"/>
              <w:spacing w:line="273" w:lineRule="exact"/>
            </w:pPr>
            <w:r>
              <w:rPr>
                <w:rFonts w:ascii="宋体" w:hAnsi="宋体" w:eastAsia="宋体" w:cs="宋体"/>
                <w:color w:val="000000"/>
                <w:sz w:val="21"/>
              </w:rPr>
              <w:t xml:space="preserve">以上8项报价应包含相关税费及售后服务费用</w:t>
            </w:r>
            <w:r/>
          </w:p>
        </w:tc>
      </w:tr>
    </w:tbl>
    <w:p>
      <w:pPr>
        <w:pStyle w:val="92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24"/>
        <w:spacing w:line="0" w:lineRule="atLeast"/>
        <w:rPr>
          <w:rFonts w:hint="eastAsia" w:ascii="宋体" w:hAnsi="宋体"/>
          <w:sz w:val="24"/>
          <w:szCs w:val="24"/>
          <w:highlight w:val="none"/>
        </w:rPr>
      </w:pPr>
      <w:r>
        <w:rPr>
          <w:rFonts w:hint="eastAsia" w:ascii="宋体" w:hAnsi="宋体"/>
          <w:sz w:val="24"/>
          <w:szCs w:val="24"/>
          <w:highlight w:val="none"/>
        </w:rPr>
        <w:t xml:space="preserve">1．本项目采用总承包方式，因此投标人的报价应包括全部货物、运输到指定地点、工程和服务的价格及相关税费、运输到指定地点的装运费用、安装调试、延长铜管、新风管道及开孔等、培训、售后服务、空调插座和有组织排水改</w:t>
      </w:r>
      <w:r>
        <w:rPr>
          <w:rFonts w:hint="eastAsia" w:ascii="宋体" w:hAnsi="宋体"/>
          <w:sz w:val="24"/>
          <w:szCs w:val="24"/>
          <w:highlight w:val="none"/>
        </w:rPr>
        <w:t xml:space="preserve">造</w:t>
      </w:r>
      <w:r>
        <w:rPr>
          <w:rFonts w:hint="eastAsia" w:ascii="宋体" w:hAnsi="宋体"/>
          <w:sz w:val="24"/>
          <w:szCs w:val="24"/>
          <w:highlight w:val="none"/>
        </w:rPr>
        <w:t xml:space="preserve">（需现场实地勘察</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t xml:space="preserve">时间</w:t>
      </w:r>
      <w:r>
        <w:rPr>
          <w:rFonts w:hint="eastAsia" w:ascii="宋体" w:hAnsi="宋体"/>
          <w:sz w:val="24"/>
          <w:szCs w:val="24"/>
          <w:highlight w:val="none"/>
          <w:lang w:eastAsia="zh-CN"/>
        </w:rPr>
        <w:t xml:space="preserve">：2026</w:t>
      </w:r>
      <w:r>
        <w:rPr>
          <w:rFonts w:hint="eastAsia" w:ascii="宋体" w:hAnsi="宋体"/>
          <w:sz w:val="24"/>
          <w:szCs w:val="24"/>
          <w:highlight w:val="none"/>
          <w:lang w:eastAsia="zh-CN"/>
        </w:rPr>
        <w:t xml:space="preserve">年5</w:t>
      </w:r>
      <w:r>
        <w:rPr>
          <w:rFonts w:hint="eastAsia" w:ascii="宋体" w:hAnsi="宋体"/>
          <w:sz w:val="24"/>
          <w:szCs w:val="24"/>
          <w:highlight w:val="none"/>
          <w:lang w:eastAsia="zh-CN"/>
        </w:rPr>
        <w:t xml:space="preserve">月28</w:t>
      </w:r>
      <w:r>
        <w:rPr>
          <w:rFonts w:hint="eastAsia" w:ascii="宋体" w:hAnsi="宋体"/>
          <w:sz w:val="24"/>
          <w:szCs w:val="24"/>
          <w:highlight w:val="none"/>
          <w:lang w:eastAsia="zh-CN"/>
        </w:rPr>
        <w:t xml:space="preserve">日</w:t>
      </w:r>
      <w:r>
        <w:rPr>
          <w:rFonts w:hint="eastAsia" w:ascii="宋体" w:hAnsi="宋体"/>
          <w:sz w:val="24"/>
          <w:szCs w:val="24"/>
          <w:highlight w:val="none"/>
          <w:lang w:eastAsia="zh-CN"/>
        </w:rPr>
        <w:t xml:space="preserve">上午</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联系人：唐鹏，联系方式：15335169081</w:t>
      </w:r>
      <w:r>
        <w:rPr>
          <w:rFonts w:hint="eastAsia" w:ascii="宋体" w:hAnsi="宋体"/>
          <w:sz w:val="24"/>
          <w:szCs w:val="24"/>
          <w:highlight w:val="none"/>
        </w:rPr>
        <w:t xml:space="preserve">）</w:t>
      </w:r>
      <w:r>
        <w:rPr>
          <w:rFonts w:hint="eastAsia" w:ascii="宋体" w:hAnsi="宋体"/>
          <w:sz w:val="24"/>
          <w:szCs w:val="24"/>
          <w:highlight w:val="none"/>
        </w:rPr>
        <w:t xml:space="preserve">等其他与本项目相关的所有费用。</w:t>
      </w:r>
      <w:r>
        <w:rPr>
          <w:rFonts w:hint="eastAsia" w:ascii="宋体" w:hAnsi="宋体"/>
          <w:sz w:val="24"/>
          <w:szCs w:val="24"/>
          <w:highlight w:val="none"/>
        </w:rPr>
      </w:r>
      <w:r/>
    </w:p>
    <w:p>
      <w:pPr>
        <w:pStyle w:val="924"/>
        <w:spacing w:line="0" w:lineRule="atLeast"/>
        <w:rPr>
          <w:rFonts w:hint="eastAsia" w:ascii="宋体" w:hAnsi="宋体"/>
          <w:sz w:val="24"/>
          <w:szCs w:val="24"/>
          <w:highlight w:val="none"/>
        </w:rPr>
      </w:pPr>
      <w:r>
        <w:rPr>
          <w:rFonts w:hint="eastAsia" w:ascii="宋体" w:hAnsi="宋体"/>
          <w:sz w:val="24"/>
          <w:szCs w:val="24"/>
          <w:highlight w:val="none"/>
        </w:rPr>
        <w:t xml:space="preserve">2．本招标文件提出的是最低限度的技术要求，并未对一切技术细节作出规定也未完全充分列举、引述有关标准的条文，投标人应保证投标前对项目情况充分了解，提供符合本招标文件需求和最新相关标准的优质产品和服务。</w:t>
      </w:r>
      <w:r>
        <w:rPr>
          <w:rFonts w:hint="eastAsia" w:ascii="宋体" w:hAnsi="宋体"/>
          <w:sz w:val="24"/>
          <w:szCs w:val="24"/>
          <w:highlight w:val="none"/>
        </w:rPr>
      </w:r>
      <w:r/>
    </w:p>
    <w:p>
      <w:pPr>
        <w:pStyle w:val="924"/>
        <w:spacing w:line="0" w:lineRule="atLeast"/>
        <w:rPr>
          <w:rFonts w:hint="eastAsia" w:ascii="宋体" w:hAnsi="宋体"/>
          <w:sz w:val="24"/>
          <w:szCs w:val="24"/>
          <w:highlight w:val="none"/>
        </w:rPr>
      </w:pPr>
      <w:r>
        <w:rPr>
          <w:rFonts w:hint="eastAsia" w:ascii="宋体" w:hAnsi="宋体"/>
          <w:sz w:val="24"/>
          <w:szCs w:val="24"/>
          <w:highlight w:val="none"/>
        </w:rPr>
      </w:r>
      <w:r/>
    </w:p>
    <w:p>
      <w:pPr>
        <w:pStyle w:val="924"/>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24"/>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24"/>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24"/>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24"/>
        <w:spacing w:line="0" w:lineRule="atLeast"/>
        <w:rPr>
          <w:rFonts w:ascii="宋体" w:hAnsi="宋体"/>
          <w:b/>
          <w:color w:val="000000"/>
          <w:sz w:val="24"/>
          <w:szCs w:val="24"/>
        </w:rPr>
      </w:pPr>
      <w:r>
        <w:rPr>
          <w:rFonts w:ascii="宋体" w:hAnsi="宋体"/>
          <w:b/>
          <w:color w:val="000000"/>
          <w:sz w:val="24"/>
          <w:szCs w:val="24"/>
        </w:rPr>
      </w:r>
      <w:r/>
    </w:p>
    <w:p>
      <w:pPr>
        <w:pStyle w:val="924"/>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24"/>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924"/>
        <w:jc w:val="left"/>
        <w:spacing w:before="0" w:after="0" w:line="315" w:lineRule="exact"/>
      </w:pPr>
      <w:r>
        <w:rPr>
          <w:rFonts w:ascii="宋体" w:hAnsi="宋体" w:eastAsia="宋体" w:cs="宋体"/>
          <w:color w:val="000000"/>
          <w:sz w:val="21"/>
        </w:rPr>
        <w:t xml:space="preserve">（一）设计依据</w:t>
      </w:r>
      <w:r/>
    </w:p>
    <w:p>
      <w:pPr>
        <w:pStyle w:val="924"/>
        <w:jc w:val="left"/>
        <w:spacing w:before="0" w:after="0" w:line="315" w:lineRule="exact"/>
      </w:pPr>
      <w:r>
        <w:rPr>
          <w:rFonts w:ascii="宋体" w:hAnsi="宋体" w:eastAsia="宋体" w:cs="宋体"/>
          <w:color w:val="000000"/>
          <w:sz w:val="21"/>
        </w:rPr>
        <w:t xml:space="preserve">本项目采购的空调须根据现行国家颁发的有关暖通规范、标准进行设计。规范、标准具体为：</w:t>
      </w:r>
      <w:r/>
    </w:p>
    <w:p>
      <w:pPr>
        <w:pStyle w:val="924"/>
        <w:jc w:val="left"/>
        <w:spacing w:before="0" w:after="0" w:line="315" w:lineRule="exact"/>
      </w:pPr>
      <w:r>
        <w:rPr>
          <w:rFonts w:ascii="宋体" w:hAnsi="宋体" w:eastAsia="宋体" w:cs="宋体"/>
          <w:color w:val="000000"/>
          <w:sz w:val="21"/>
        </w:rPr>
        <w:t xml:space="preserve">1.GBJ19《采暖通风与空气调节设计规范》</w:t>
      </w:r>
      <w:r/>
    </w:p>
    <w:p>
      <w:pPr>
        <w:pStyle w:val="924"/>
        <w:jc w:val="left"/>
        <w:spacing w:before="0" w:after="0" w:line="315" w:lineRule="exact"/>
      </w:pPr>
      <w:r>
        <w:rPr>
          <w:rFonts w:ascii="宋体" w:hAnsi="宋体" w:eastAsia="宋体" w:cs="宋体"/>
          <w:color w:val="000000"/>
          <w:sz w:val="21"/>
        </w:rPr>
        <w:t xml:space="preserve">2.GB50243《通风与空调工程施工及验收规范》</w:t>
      </w:r>
      <w:r/>
    </w:p>
    <w:p>
      <w:pPr>
        <w:pStyle w:val="924"/>
        <w:jc w:val="left"/>
        <w:spacing w:before="0" w:after="0" w:line="315" w:lineRule="exact"/>
      </w:pPr>
      <w:r>
        <w:rPr>
          <w:rFonts w:ascii="宋体" w:hAnsi="宋体" w:eastAsia="宋体" w:cs="宋体"/>
          <w:color w:val="000000"/>
          <w:sz w:val="21"/>
        </w:rPr>
        <w:t xml:space="preserve">3.GBJ16《建筑设计防火规范》</w:t>
      </w:r>
      <w:r/>
    </w:p>
    <w:p>
      <w:pPr>
        <w:pStyle w:val="924"/>
        <w:jc w:val="left"/>
        <w:spacing w:before="0" w:after="0" w:line="315" w:lineRule="exact"/>
      </w:pPr>
      <w:r>
        <w:rPr>
          <w:rFonts w:ascii="宋体" w:hAnsi="宋体" w:eastAsia="宋体" w:cs="宋体"/>
          <w:color w:val="000000"/>
          <w:sz w:val="21"/>
        </w:rPr>
        <w:t xml:space="preserve">4.GBJ300《通风与空调工程质量评定标准》</w:t>
      </w:r>
      <w:r/>
    </w:p>
    <w:p>
      <w:pPr>
        <w:pStyle w:val="924"/>
        <w:jc w:val="left"/>
        <w:spacing w:before="0" w:after="0" w:line="315" w:lineRule="exact"/>
      </w:pPr>
      <w:r>
        <w:rPr>
          <w:rFonts w:ascii="宋体" w:hAnsi="宋体" w:eastAsia="宋体" w:cs="宋体"/>
          <w:color w:val="000000"/>
          <w:sz w:val="21"/>
        </w:rPr>
        <w:t xml:space="preserve">5.DB32/307《江苏省建筑安装工程施工技工规程——通风空调工程》</w:t>
      </w:r>
      <w:r/>
    </w:p>
    <w:p>
      <w:pPr>
        <w:pStyle w:val="924"/>
        <w:jc w:val="left"/>
        <w:spacing w:before="0" w:after="0" w:line="315" w:lineRule="exact"/>
      </w:pPr>
      <w:r>
        <w:rPr>
          <w:rFonts w:ascii="宋体" w:hAnsi="宋体" w:eastAsia="宋体" w:cs="宋体"/>
          <w:color w:val="000000"/>
          <w:sz w:val="21"/>
        </w:rPr>
        <w:t xml:space="preserve">6.DB32/311《江苏省建筑安装工程技术操作规程——保温防腐工程》</w:t>
      </w:r>
      <w:r/>
    </w:p>
    <w:p>
      <w:pPr>
        <w:pStyle w:val="924"/>
        <w:jc w:val="left"/>
        <w:spacing w:before="0" w:after="0" w:line="315" w:lineRule="exact"/>
      </w:pPr>
      <w:r>
        <w:rPr>
          <w:rFonts w:ascii="宋体" w:hAnsi="宋体" w:eastAsia="宋体" w:cs="宋体"/>
          <w:color w:val="000000"/>
          <w:sz w:val="21"/>
        </w:rPr>
        <w:t xml:space="preserve">7.机械制冷《ANSIB9.1 安全规范》</w:t>
      </w:r>
      <w:r/>
    </w:p>
    <w:p>
      <w:pPr>
        <w:pStyle w:val="924"/>
        <w:jc w:val="left"/>
        <w:spacing w:before="0" w:after="0" w:line="315" w:lineRule="exact"/>
      </w:pPr>
      <w:r>
        <w:rPr>
          <w:rFonts w:ascii="宋体" w:hAnsi="宋体" w:eastAsia="宋体" w:cs="宋体"/>
          <w:color w:val="000000"/>
          <w:sz w:val="21"/>
        </w:rPr>
        <w:t xml:space="preserve">8.《电气装置施工及验收规范》</w:t>
      </w:r>
      <w:r/>
    </w:p>
    <w:p>
      <w:pPr>
        <w:pStyle w:val="924"/>
        <w:jc w:val="left"/>
        <w:spacing w:before="0" w:after="0" w:line="315" w:lineRule="exact"/>
      </w:pPr>
      <w:r>
        <w:rPr>
          <w:rFonts w:ascii="宋体" w:hAnsi="宋体" w:eastAsia="宋体" w:cs="宋体"/>
          <w:color w:val="000000"/>
          <w:sz w:val="21"/>
        </w:rPr>
        <w:t xml:space="preserve">9.《公共建筑节能设计标准》 </w:t>
      </w:r>
      <w:r/>
    </w:p>
    <w:p>
      <w:pPr>
        <w:pStyle w:val="924"/>
        <w:jc w:val="left"/>
        <w:spacing w:before="0" w:after="0" w:line="315" w:lineRule="exact"/>
      </w:pPr>
      <w:r>
        <w:rPr>
          <w:rFonts w:ascii="宋体" w:hAnsi="宋体" w:eastAsia="宋体" w:cs="宋体"/>
          <w:color w:val="000000"/>
          <w:sz w:val="21"/>
        </w:rPr>
        <w:t xml:space="preserve">10.《建筑节能工程施工质量验收规范》</w:t>
      </w:r>
      <w:r/>
    </w:p>
    <w:p>
      <w:pPr>
        <w:pStyle w:val="924"/>
        <w:jc w:val="left"/>
        <w:spacing w:before="0" w:after="0" w:line="315" w:lineRule="exact"/>
      </w:pPr>
      <w:r>
        <w:rPr>
          <w:rFonts w:ascii="宋体" w:hAnsi="宋体" w:eastAsia="宋体" w:cs="宋体"/>
          <w:color w:val="000000"/>
          <w:sz w:val="21"/>
        </w:rPr>
        <w:t xml:space="preserve">11.《实用供热空调设计手册》</w:t>
      </w:r>
      <w:r/>
    </w:p>
    <w:p>
      <w:pPr>
        <w:pStyle w:val="924"/>
        <w:jc w:val="left"/>
        <w:spacing w:before="0" w:after="0" w:line="315" w:lineRule="exact"/>
      </w:pPr>
      <w:r>
        <w:rPr>
          <w:rFonts w:ascii="宋体" w:hAnsi="宋体" w:eastAsia="宋体" w:cs="宋体"/>
          <w:color w:val="000000"/>
          <w:sz w:val="21"/>
        </w:rPr>
        <w:t xml:space="preserve">12.《全国民用建筑工程设计技术措施暖通空调·动力》</w:t>
      </w:r>
      <w:r/>
    </w:p>
    <w:p>
      <w:pPr>
        <w:pStyle w:val="924"/>
        <w:jc w:val="left"/>
        <w:spacing w:before="0" w:after="0" w:line="315" w:lineRule="exact"/>
      </w:pPr>
      <w:r>
        <w:rPr>
          <w:rFonts w:ascii="宋体" w:hAnsi="宋体" w:eastAsia="宋体" w:cs="宋体"/>
          <w:color w:val="000000"/>
          <w:sz w:val="21"/>
        </w:rPr>
        <w:t xml:space="preserve">13.国家其他相应标准或规范</w:t>
      </w:r>
      <w:r/>
    </w:p>
    <w:p>
      <w:pPr>
        <w:pStyle w:val="924"/>
        <w:jc w:val="left"/>
        <w:spacing w:before="0" w:after="0" w:line="315" w:lineRule="exact"/>
      </w:pPr>
      <w:r>
        <w:rPr>
          <w:rFonts w:ascii="宋体" w:hAnsi="宋体" w:eastAsia="宋体" w:cs="宋体"/>
          <w:color w:val="000000"/>
          <w:sz w:val="21"/>
        </w:rPr>
        <w:t xml:space="preserve">若有新的技术规范及材料标准出台则以新规范、新标准为依据，若以上规范有与现行规范不一致的，以现行规范为准。</w:t>
      </w:r>
      <w:r/>
    </w:p>
    <w:p>
      <w:pPr>
        <w:pStyle w:val="924"/>
        <w:jc w:val="left"/>
        <w:spacing w:before="0" w:after="0" w:line="315" w:lineRule="exact"/>
      </w:pPr>
      <w:r>
        <w:rPr>
          <w:rFonts w:ascii="宋体" w:hAnsi="宋体" w:eastAsia="宋体" w:cs="宋体"/>
          <w:color w:val="000000"/>
          <w:sz w:val="21"/>
        </w:rPr>
        <w:t xml:space="preserve">（二）空调室内外设计参数及标准</w:t>
      </w:r>
      <w:r/>
    </w:p>
    <w:p>
      <w:pPr>
        <w:pStyle w:val="924"/>
        <w:jc w:val="left"/>
        <w:spacing w:before="0" w:after="0" w:line="315" w:lineRule="exact"/>
      </w:pPr>
      <w:r>
        <w:rPr>
          <w:rFonts w:ascii="宋体" w:hAnsi="宋体" w:eastAsia="宋体" w:cs="宋体"/>
          <w:color w:val="000000"/>
          <w:sz w:val="21"/>
        </w:rPr>
        <w:t xml:space="preserve">南京室外设计参数：参照南京室内外气象参数。</w:t>
      </w:r>
      <w:r/>
    </w:p>
    <w:p>
      <w:pPr>
        <w:pStyle w:val="924"/>
        <w:jc w:val="left"/>
        <w:spacing w:before="0" w:after="0" w:line="315" w:lineRule="exact"/>
      </w:pPr>
      <w:r>
        <w:rPr>
          <w:rFonts w:ascii="宋体" w:hAnsi="宋体" w:eastAsia="宋体" w:cs="宋体"/>
          <w:color w:val="000000"/>
          <w:sz w:val="21"/>
        </w:rPr>
        <w:t xml:space="preserve">夏季计算干球温度：35℃；   夏季计算湿球温度：28.3℃</w:t>
      </w:r>
      <w:r/>
    </w:p>
    <w:p>
      <w:pPr>
        <w:pStyle w:val="924"/>
        <w:jc w:val="left"/>
        <w:spacing w:before="0" w:after="0" w:line="315" w:lineRule="exact"/>
      </w:pPr>
      <w:r>
        <w:rPr>
          <w:rFonts w:ascii="宋体" w:hAnsi="宋体" w:eastAsia="宋体" w:cs="宋体"/>
          <w:color w:val="000000"/>
          <w:sz w:val="21"/>
        </w:rPr>
        <w:t xml:space="preserve">南京室内设计参数：室内计算参数按国标GB50189/P12附录一级标准执行。</w:t>
      </w:r>
      <w:r/>
    </w:p>
    <w:p>
      <w:pPr>
        <w:pStyle w:val="924"/>
        <w:jc w:val="left"/>
        <w:spacing w:before="0" w:after="0" w:line="315" w:lineRule="exact"/>
      </w:pPr>
      <w:r>
        <w:rPr>
          <w:rFonts w:ascii="宋体" w:hAnsi="宋体" w:eastAsia="宋体" w:cs="宋体"/>
          <w:color w:val="000000"/>
          <w:sz w:val="21"/>
        </w:rPr>
        <w:t xml:space="preserve">冬季计算干球温度：-6℃；  冬季空调相对湿度：73％</w:t>
      </w:r>
      <w:r/>
    </w:p>
    <w:p>
      <w:pPr>
        <w:pStyle w:val="924"/>
        <w:jc w:val="left"/>
        <w:spacing w:before="0" w:after="0" w:line="315" w:lineRule="exact"/>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三</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设备技术指标要求</w:t>
      </w:r>
      <w:r/>
    </w:p>
    <w:p>
      <w:pPr>
        <w:pStyle w:val="924"/>
        <w:jc w:val="left"/>
        <w:spacing w:before="0" w:after="0" w:line="315" w:lineRule="exact"/>
      </w:pPr>
      <w:r>
        <w:rPr>
          <w:rFonts w:ascii="宋体" w:hAnsi="宋体" w:eastAsia="宋体" w:cs="宋体"/>
          <w:color w:val="000000"/>
          <w:sz w:val="21"/>
        </w:rPr>
        <w:t xml:space="preserve">1．▲供应商需提供具体产品型号，书面承诺该型号为其品牌旗下成熟稳定的主流在售型号（非淘汰款、定制缩水款、翻新机或工程样机），且具备持续供货能力及完善的售后服务支持。（提供承诺函，格式自拟，加盖供应商公章）</w:t>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2．投标产品属于新风空调，具备从室外环境换新风功能</w:t>
      </w:r>
      <w:r>
        <w:rPr>
          <w:b/>
          <w:bCs/>
          <w:i/>
          <w:iCs/>
          <w:u w:val="single"/>
        </w:rPr>
      </w:r>
      <w:r/>
    </w:p>
    <w:p>
      <w:pPr>
        <w:pStyle w:val="924"/>
        <w:jc w:val="left"/>
        <w:spacing w:before="0" w:after="0" w:line="315" w:lineRule="exact"/>
        <w:rPr>
          <w:b/>
          <w:bCs/>
        </w:rPr>
      </w:pPr>
      <w:r>
        <w:rPr>
          <w:rFonts w:ascii="宋体" w:hAnsi="宋体" w:eastAsia="宋体" w:cs="宋体"/>
          <w:b/>
          <w:bCs/>
          <w:i/>
          <w:iCs/>
          <w:color w:val="000000"/>
          <w:sz w:val="21"/>
          <w:u w:val="single"/>
        </w:rPr>
        <w:t xml:space="preserve">3．匹数：1.5 匹</w:t>
      </w:r>
      <w:r>
        <w:rPr>
          <w:b/>
          <w:bCs/>
        </w:rPr>
      </w:r>
      <w:r/>
    </w:p>
    <w:p>
      <w:pPr>
        <w:pStyle w:val="924"/>
        <w:jc w:val="left"/>
        <w:spacing w:before="0" w:after="0" w:line="315" w:lineRule="exact"/>
        <w:rPr>
          <w:b/>
          <w:bCs/>
        </w:rPr>
      </w:pPr>
      <w:r>
        <w:rPr>
          <w:rFonts w:ascii="宋体" w:hAnsi="宋体" w:eastAsia="宋体" w:cs="宋体"/>
          <w:b/>
          <w:bCs/>
          <w:i/>
          <w:iCs/>
          <w:color w:val="000000"/>
          <w:sz w:val="21"/>
          <w:u w:val="single"/>
        </w:rPr>
        <w:t xml:space="preserve">4．机器自带3米铜管</w:t>
      </w:r>
      <w:r>
        <w:rPr>
          <w:b/>
          <w:bCs/>
        </w:rPr>
      </w:r>
      <w:r/>
    </w:p>
    <w:p>
      <w:pPr>
        <w:pStyle w:val="924"/>
        <w:jc w:val="left"/>
        <w:spacing w:before="0" w:after="0" w:line="315" w:lineRule="exact"/>
        <w:rPr>
          <w:b/>
          <w:bCs/>
        </w:rPr>
      </w:pPr>
      <w:r>
        <w:rPr>
          <w:rFonts w:ascii="宋体" w:hAnsi="宋体" w:eastAsia="宋体" w:cs="宋体"/>
          <w:b/>
          <w:bCs/>
          <w:i/>
          <w:iCs/>
          <w:color w:val="000000"/>
          <w:sz w:val="21"/>
          <w:u w:val="single"/>
        </w:rPr>
        <w:t xml:space="preserve">5．一级能源效率等级及以上（提供能效标识网截图，并加盖供应商公章）</w:t>
      </w:r>
      <w:r>
        <w:rPr>
          <w:b/>
          <w:bCs/>
        </w:rPr>
      </w:r>
      <w:r/>
    </w:p>
    <w:p>
      <w:pPr>
        <w:pStyle w:val="924"/>
        <w:jc w:val="left"/>
        <w:spacing w:before="0" w:after="0" w:line="315" w:lineRule="exact"/>
        <w:rPr>
          <w:b/>
          <w:bCs/>
        </w:rPr>
      </w:pPr>
      <w:r>
        <w:rPr>
          <w:rFonts w:ascii="宋体" w:hAnsi="宋体" w:eastAsia="宋体" w:cs="宋体"/>
          <w:b/>
          <w:bCs/>
          <w:i/>
          <w:iCs/>
          <w:color w:val="000000"/>
          <w:sz w:val="21"/>
          <w:u w:val="single"/>
        </w:rPr>
        <w:t xml:space="preserve">6．定频/变频：变频</w:t>
      </w:r>
      <w:r>
        <w:rPr>
          <w:b/>
          <w:bCs/>
        </w:rPr>
      </w:r>
      <w:r/>
    </w:p>
    <w:p>
      <w:pPr>
        <w:pStyle w:val="924"/>
        <w:jc w:val="left"/>
        <w:spacing w:before="0" w:after="0" w:line="315" w:lineRule="exact"/>
      </w:pPr>
      <w:r>
        <w:rPr>
          <w:rFonts w:ascii="宋体" w:hAnsi="宋体" w:eastAsia="宋体" w:cs="宋体"/>
          <w:color w:val="000000"/>
          <w:sz w:val="21"/>
        </w:rPr>
        <w:t xml:space="preserve">7．功能：自清洁</w:t>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8．单冷/冷暖：冷暖</w:t>
      </w:r>
      <w:r>
        <w:rPr>
          <w:b/>
          <w:bCs/>
          <w:i/>
          <w:iCs/>
          <w:u w:val="single"/>
        </w:rPr>
      </w:r>
      <w:r/>
    </w:p>
    <w:p>
      <w:pPr>
        <w:pStyle w:val="924"/>
        <w:jc w:val="left"/>
        <w:spacing w:before="0" w:after="0" w:line="315" w:lineRule="exact"/>
      </w:pPr>
      <w:r>
        <w:rPr>
          <w:rFonts w:ascii="宋体" w:hAnsi="宋体" w:eastAsia="宋体" w:cs="宋体"/>
          <w:color w:val="000000"/>
          <w:sz w:val="21"/>
        </w:rPr>
        <w:t xml:space="preserve">9．▲制热量≥5000W</w:t>
      </w:r>
      <w:r/>
    </w:p>
    <w:p>
      <w:pPr>
        <w:pStyle w:val="924"/>
        <w:jc w:val="left"/>
        <w:spacing w:before="0" w:after="0" w:line="315" w:lineRule="exact"/>
      </w:pPr>
      <w:r>
        <w:rPr>
          <w:rFonts w:ascii="宋体" w:hAnsi="宋体" w:eastAsia="宋体" w:cs="宋体"/>
          <w:color w:val="000000"/>
          <w:sz w:val="21"/>
        </w:rPr>
        <w:t xml:space="preserve">10．▲制冷量≥ 3500W </w:t>
      </w:r>
      <w:r/>
    </w:p>
    <w:p>
      <w:pPr>
        <w:pStyle w:val="924"/>
        <w:jc w:val="left"/>
        <w:spacing w:before="0" w:after="0" w:line="315" w:lineRule="exact"/>
      </w:pPr>
      <w:r>
        <w:rPr>
          <w:rFonts w:ascii="宋体" w:hAnsi="宋体" w:eastAsia="宋体" w:cs="宋体"/>
          <w:color w:val="000000"/>
          <w:sz w:val="21"/>
        </w:rPr>
        <w:t xml:space="preserve">11．▲制热功率：≤1340W</w:t>
      </w:r>
      <w:r/>
    </w:p>
    <w:p>
      <w:pPr>
        <w:pStyle w:val="924"/>
        <w:jc w:val="left"/>
        <w:spacing w:before="0" w:after="0" w:line="315" w:lineRule="exact"/>
      </w:pPr>
      <w:r>
        <w:rPr>
          <w:rFonts w:ascii="宋体" w:hAnsi="宋体" w:eastAsia="宋体" w:cs="宋体"/>
          <w:color w:val="000000"/>
          <w:sz w:val="21"/>
        </w:rPr>
        <w:t xml:space="preserve">12．▲制冷功率：≤890W</w:t>
      </w:r>
      <w:r/>
    </w:p>
    <w:p>
      <w:pPr>
        <w:pStyle w:val="924"/>
        <w:jc w:val="left"/>
        <w:spacing w:before="0" w:after="0" w:line="315" w:lineRule="exact"/>
      </w:pPr>
      <w:r>
        <w:rPr>
          <w:rFonts w:ascii="宋体" w:hAnsi="宋体" w:eastAsia="宋体" w:cs="宋体"/>
          <w:color w:val="000000"/>
          <w:sz w:val="21"/>
        </w:rPr>
        <w:t xml:space="preserve">13．▲循环风量 m³/h： ≥750</w:t>
      </w:r>
      <w:r/>
    </w:p>
    <w:p>
      <w:pPr>
        <w:pStyle w:val="924"/>
        <w:jc w:val="left"/>
        <w:spacing w:before="0" w:after="0" w:line="315" w:lineRule="exact"/>
      </w:pPr>
      <w:r>
        <w:rPr>
          <w:rFonts w:ascii="宋体" w:hAnsi="宋体" w:eastAsia="宋体" w:cs="宋体"/>
          <w:color w:val="000000"/>
          <w:sz w:val="21"/>
        </w:rPr>
        <w:t xml:space="preserve">14．▲外机噪音 dB(A)：≤51</w:t>
      </w:r>
      <w:r/>
    </w:p>
    <w:p>
      <w:pPr>
        <w:pStyle w:val="924"/>
        <w:jc w:val="left"/>
        <w:spacing w:before="0" w:after="0" w:line="315" w:lineRule="exact"/>
      </w:pPr>
      <w:r>
        <w:rPr>
          <w:rFonts w:ascii="宋体" w:hAnsi="宋体" w:eastAsia="宋体" w:cs="宋体"/>
          <w:color w:val="000000"/>
          <w:sz w:val="21"/>
        </w:rPr>
        <w:t xml:space="preserve">15．▲内机噪音 dB(A)：≤41</w:t>
      </w:r>
      <w:r/>
    </w:p>
    <w:p>
      <w:pPr>
        <w:pStyle w:val="924"/>
        <w:jc w:val="left"/>
        <w:spacing w:before="0" w:after="0" w:line="315" w:lineRule="exact"/>
      </w:pPr>
      <w:r>
        <w:rPr>
          <w:rFonts w:ascii="宋体" w:hAnsi="宋体" w:eastAsia="宋体" w:cs="宋体"/>
          <w:color w:val="000000"/>
          <w:sz w:val="21"/>
        </w:rPr>
        <w:t xml:space="preserve">（以上▲标注的主要参数，需提供相应国家确定的认证机构出具的检测报告）</w:t>
      </w:r>
      <w:r/>
    </w:p>
    <w:p>
      <w:pPr>
        <w:pStyle w:val="924"/>
        <w:jc w:val="left"/>
        <w:spacing w:before="0" w:after="0" w:line="315" w:lineRule="exact"/>
      </w:pPr>
      <w:r>
        <w:rPr>
          <w:rFonts w:ascii="宋体" w:hAnsi="宋体" w:eastAsia="宋体" w:cs="宋体"/>
          <w:color w:val="000000"/>
          <w:sz w:val="21"/>
        </w:rPr>
        <w:t xml:space="preserve">16．扫风方式：上下/左右扫风</w:t>
      </w:r>
      <w:r/>
    </w:p>
    <w:p>
      <w:pPr>
        <w:pStyle w:val="924"/>
        <w:jc w:val="left"/>
        <w:spacing w:before="0" w:after="0" w:line="315" w:lineRule="exact"/>
      </w:pPr>
      <w:r>
        <w:rPr>
          <w:rFonts w:ascii="宋体" w:hAnsi="宋体" w:eastAsia="宋体" w:cs="宋体"/>
          <w:color w:val="000000"/>
          <w:sz w:val="21"/>
        </w:rPr>
        <w:t xml:space="preserve">17．▲制冷剂：R32</w:t>
      </w:r>
      <w:r/>
    </w:p>
    <w:p>
      <w:pPr>
        <w:pStyle w:val="924"/>
        <w:jc w:val="left"/>
        <w:spacing w:before="0" w:after="0" w:line="315" w:lineRule="exact"/>
        <w:rPr>
          <w:b/>
          <w:bCs/>
        </w:rPr>
      </w:pPr>
      <w:r>
        <w:rPr>
          <w:rFonts w:ascii="宋体" w:hAnsi="宋体" w:eastAsia="宋体" w:cs="宋体"/>
          <w:b/>
          <w:bCs/>
          <w:i/>
          <w:iCs/>
          <w:color w:val="000000"/>
          <w:sz w:val="21"/>
          <w:u w:val="single"/>
        </w:rPr>
        <w:t xml:space="preserve">18．投标产品必须通过国家“3C”强制认证（提供3c认证强制性认证证书，并加盖供应商公章）</w:t>
      </w:r>
      <w:r>
        <w:rPr>
          <w:b/>
          <w:bCs/>
        </w:rPr>
      </w:r>
      <w:r/>
    </w:p>
    <w:p>
      <w:pPr>
        <w:pStyle w:val="924"/>
        <w:jc w:val="left"/>
        <w:spacing w:before="0" w:after="0" w:line="315" w:lineRule="exact"/>
        <w:rPr>
          <w:highlight w:val="none"/>
        </w:rPr>
      </w:pPr>
      <w:r>
        <w:rPr>
          <w:rFonts w:ascii="宋体" w:hAnsi="宋体" w:eastAsia="宋体" w:cs="宋体"/>
          <w:color w:val="000000"/>
          <w:sz w:val="21"/>
        </w:rPr>
        <w:t xml:space="preserve">19．▲投标设备必须全新合格产品，所有总成件应为全新</w:t>
      </w:r>
      <w:r>
        <w:rPr>
          <w:rFonts w:ascii="宋体" w:hAnsi="宋体" w:eastAsia="宋体" w:cs="宋体"/>
          <w:color w:val="000000"/>
          <w:sz w:val="21"/>
          <w:highlight w:val="none"/>
        </w:rPr>
        <w:t xml:space="preserve">产品（提供承诺函，格式自拟，加盖供应商公章）。投标设备必须无污染、低噪声，符合国家环保规定。投标设备必须安全、可靠，符合国家有关消防规定，包装内含遥控器及干电池。</w:t>
      </w:r>
      <w:r>
        <w:rPr>
          <w:highlight w:val="none"/>
        </w:rPr>
      </w:r>
      <w:r/>
    </w:p>
    <w:p>
      <w:pPr>
        <w:pStyle w:val="924"/>
        <w:jc w:val="left"/>
        <w:spacing w:before="0" w:after="0" w:line="315" w:lineRule="exact"/>
        <w:rPr>
          <w:highlight w:val="none"/>
        </w:rPr>
      </w:pP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四</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安装</w:t>
      </w:r>
      <w:r>
        <w:rPr>
          <w:rFonts w:ascii="宋体" w:hAnsi="宋体" w:eastAsia="宋体" w:cs="宋体"/>
          <w:color w:val="000000"/>
          <w:sz w:val="21"/>
          <w:highlight w:val="none"/>
        </w:rPr>
        <w:t xml:space="preserve">施工</w:t>
      </w:r>
      <w:r>
        <w:rPr>
          <w:rFonts w:ascii="宋体" w:hAnsi="宋体" w:eastAsia="宋体" w:cs="宋体"/>
          <w:color w:val="000000"/>
          <w:sz w:val="21"/>
          <w:highlight w:val="none"/>
        </w:rPr>
        <w:t xml:space="preserve">管理要求</w:t>
      </w:r>
      <w:r>
        <w:rPr>
          <w:highlight w:val="none"/>
        </w:rPr>
      </w:r>
      <w:r/>
    </w:p>
    <w:p>
      <w:pPr>
        <w:pStyle w:val="924"/>
        <w:jc w:val="left"/>
        <w:spacing w:before="0" w:after="0" w:line="315" w:lineRule="exact"/>
        <w:rPr>
          <w:highlight w:val="none"/>
        </w:rPr>
      </w:pPr>
      <w:r>
        <w:rPr>
          <w:rFonts w:ascii="宋体" w:hAnsi="宋体" w:eastAsia="宋体" w:cs="宋体"/>
          <w:color w:val="000000"/>
          <w:sz w:val="21"/>
          <w:highlight w:val="none"/>
        </w:rPr>
        <w:t xml:space="preserve">1．规范：安装必须严格遵守地方及行业相关标准规范，以及采购人现场管理规定 。</w:t>
      </w:r>
      <w:r>
        <w:rPr>
          <w:highlight w:val="none"/>
        </w:rPr>
      </w:r>
      <w:r/>
    </w:p>
    <w:p>
      <w:pPr>
        <w:pStyle w:val="924"/>
        <w:jc w:val="left"/>
        <w:spacing w:before="0" w:after="0" w:line="315" w:lineRule="exact"/>
        <w:rPr>
          <w:b/>
          <w:bCs/>
          <w:i/>
          <w:iCs/>
          <w:highlight w:val="none"/>
          <w:u w:val="single"/>
        </w:rPr>
      </w:pPr>
      <w:r>
        <w:rPr>
          <w:rFonts w:ascii="宋体" w:hAnsi="宋体" w:eastAsia="宋体" w:cs="宋体"/>
          <w:b/>
          <w:bCs/>
          <w:i/>
          <w:iCs/>
          <w:color w:val="000000"/>
          <w:sz w:val="21"/>
          <w:highlight w:val="none"/>
          <w:u w:val="single"/>
        </w:rPr>
        <w:t xml:space="preserve">2．安装必须严格遵守《房间空气调节器安装规范》（GB 17790）、《制冷设备、空气分离设备安装工程施工及验收规范》（GB 50274）国家规范。（提供承诺函，格式自拟，加盖供应商公章）</w:t>
      </w:r>
      <w:r>
        <w:rPr>
          <w:b/>
          <w:bCs/>
          <w:i/>
          <w:iCs/>
          <w:highlight w:val="none"/>
          <w:u w:val="single"/>
        </w:rPr>
      </w:r>
      <w:r/>
    </w:p>
    <w:p>
      <w:pPr>
        <w:pStyle w:val="924"/>
        <w:jc w:val="left"/>
        <w:spacing w:before="0" w:after="0" w:line="315" w:lineRule="exact"/>
        <w:rPr>
          <w:b/>
          <w:bCs/>
          <w:i/>
          <w:iCs/>
          <w:highlight w:val="none"/>
          <w:u w:val="single"/>
        </w:rPr>
      </w:pPr>
      <w:r>
        <w:rPr>
          <w:rFonts w:ascii="宋体" w:hAnsi="宋体" w:eastAsia="宋体" w:cs="宋体"/>
          <w:b/>
          <w:bCs/>
          <w:i/>
          <w:iCs/>
          <w:color w:val="000000"/>
          <w:sz w:val="21"/>
          <w:highlight w:val="none"/>
          <w:u w:val="single"/>
        </w:rPr>
        <w:t xml:space="preserve">3．合同签订后的</w:t>
      </w:r>
      <w:r>
        <w:rPr>
          <w:rFonts w:hint="eastAsia" w:ascii="宋体" w:hAnsi="宋体" w:eastAsia="宋体" w:cs="宋体"/>
          <w:b/>
          <w:bCs/>
          <w:i/>
          <w:iCs/>
          <w:color w:val="000000"/>
          <w:sz w:val="21"/>
          <w:highlight w:val="none"/>
          <w:u w:val="single"/>
          <w:lang w:val="en-US" w:eastAsia="zh-CN"/>
        </w:rPr>
        <w:t xml:space="preserve">20</w:t>
      </w:r>
      <w:r>
        <w:rPr>
          <w:rFonts w:ascii="宋体" w:hAnsi="宋体" w:eastAsia="宋体" w:cs="宋体"/>
          <w:b/>
          <w:bCs/>
          <w:i/>
          <w:iCs/>
          <w:color w:val="000000"/>
          <w:sz w:val="21"/>
          <w:highlight w:val="none"/>
          <w:u w:val="single"/>
        </w:rPr>
        <w:t xml:space="preserve">日历日内全部安装完毕，交付使用。由校方指定两间宿舍作为安装样板间。样板间安装验收合格后，方可开展大规模安装工作，后续所有安装及验收标准，均不得低于合格样板间标准。（提供承诺函，格式自拟，加盖供应商公章）</w:t>
      </w:r>
      <w:r>
        <w:rPr>
          <w:b/>
          <w:bCs/>
          <w:i/>
          <w:iCs/>
          <w:highlight w:val="none"/>
          <w:u w:val="single"/>
        </w:rPr>
      </w:r>
      <w:r/>
    </w:p>
    <w:p>
      <w:pPr>
        <w:pStyle w:val="924"/>
        <w:jc w:val="left"/>
        <w:spacing w:before="0" w:after="0" w:line="315" w:lineRule="exact"/>
      </w:pPr>
      <w:r>
        <w:rPr>
          <w:rFonts w:ascii="宋体" w:hAnsi="宋体" w:eastAsia="宋体" w:cs="宋体"/>
          <w:color w:val="000000"/>
          <w:sz w:val="21"/>
        </w:rPr>
        <w:t xml:space="preserve">4．室外机安装位置：安装在宿舍楼统一规划的室外机位格栅内，少量安装在指定位置，均需确保安全、牢固、通风散热良好，不影响建筑美观和行人安全。严禁安装在非承重墙、雨棚、阳台栏杆等不牢固结构上。</w:t>
      </w:r>
      <w:r/>
    </w:p>
    <w:p>
      <w:pPr>
        <w:pStyle w:val="924"/>
        <w:jc w:val="left"/>
        <w:spacing w:before="0" w:after="0" w:line="315" w:lineRule="exact"/>
        <w:rPr>
          <w:i/>
          <w:iCs/>
          <w:u w:val="single"/>
        </w:rPr>
      </w:pPr>
      <w:r>
        <w:rPr>
          <w:rFonts w:ascii="宋体" w:hAnsi="宋体" w:eastAsia="宋体" w:cs="宋体"/>
          <w:b/>
          <w:bCs/>
          <w:i/>
          <w:iCs/>
          <w:color w:val="000000"/>
          <w:sz w:val="21"/>
          <w:u w:val="single"/>
        </w:rPr>
        <w:t xml:space="preserve">5．投标单位自行评估现有外机格栅密度是否满足空调设备的散热要求。若评估结果表明不满足散热要求，供应商需拆除部分格栅，在确保整体外观美观的前提下，合理降低格栅密度；若评估结果表明满足散热要求，则须提供书面承诺函，承诺在质保期内，若出现因格栅通风不足导致空调运行效果不佳的情况，由投标单位负责进行二次改造（包括但不限于格栅拆除或调整）。以上改造恢复费用已包含在总价报价之中。（提供承诺函，格式自拟，加盖供应商公章）</w:t>
      </w:r>
      <w:r>
        <w:rPr>
          <w:rFonts w:ascii="宋体" w:hAnsi="宋体" w:eastAsia="宋体" w:cs="宋体"/>
          <w:i/>
          <w:iCs/>
          <w:color w:val="000000"/>
          <w:sz w:val="21"/>
          <w:u w:val="single"/>
        </w:rPr>
        <w:t xml:space="preserve"> </w:t>
      </w:r>
      <w:r>
        <w:rPr>
          <w:i/>
          <w:iCs/>
          <w:u w:val="single"/>
        </w:rPr>
      </w:r>
      <w:r/>
    </w:p>
    <w:p>
      <w:pPr>
        <w:pStyle w:val="924"/>
        <w:jc w:val="left"/>
        <w:spacing w:before="0" w:after="0" w:line="315" w:lineRule="exact"/>
      </w:pPr>
      <w:r>
        <w:rPr>
          <w:rFonts w:ascii="宋体" w:hAnsi="宋体" w:eastAsia="宋体" w:cs="宋体"/>
          <w:color w:val="000000"/>
          <w:sz w:val="21"/>
        </w:rPr>
        <w:t xml:space="preserve">6．管线连接：铜管焊接需使用氮气保护焊，确保无泄漏。保温管连接处需用专用胶粘接密封，无裸露。排水管坡度符合要求（≥1％），排水畅通，接入指定排水点，不得随意排放。电源线、信号线连接正确、牢固，穿墙孔需使用专用穿墙套管并密封防水。</w:t>
      </w:r>
      <w:r/>
    </w:p>
    <w:p>
      <w:pPr>
        <w:pStyle w:val="924"/>
        <w:jc w:val="left"/>
        <w:spacing w:before="0" w:after="0" w:line="315" w:lineRule="exact"/>
      </w:pPr>
      <w:r>
        <w:rPr>
          <w:rFonts w:ascii="宋体" w:hAnsi="宋体" w:eastAsia="宋体" w:cs="宋体"/>
          <w:color w:val="000000"/>
          <w:sz w:val="21"/>
        </w:rPr>
        <w:t xml:space="preserve">7．抽真空：必须使用专用真空泵对制冷系统进行严格抽真空（时间、压力需符合规范），确保系统无空气和水分。</w:t>
      </w:r>
      <w:r/>
    </w:p>
    <w:p>
      <w:pPr>
        <w:pStyle w:val="924"/>
        <w:jc w:val="left"/>
        <w:spacing w:before="0" w:after="0" w:line="315" w:lineRule="exact"/>
      </w:pPr>
      <w:r>
        <w:rPr>
          <w:rFonts w:ascii="宋体" w:hAnsi="宋体" w:eastAsia="宋体" w:cs="宋体"/>
          <w:color w:val="000000"/>
          <w:sz w:val="21"/>
        </w:rPr>
        <w:t xml:space="preserve">8．充注冷媒：按设备铭牌标注的标准量精确充注原厂同型号冷媒。</w:t>
      </w:r>
      <w:r/>
    </w:p>
    <w:p>
      <w:pPr>
        <w:pStyle w:val="924"/>
        <w:jc w:val="left"/>
        <w:spacing w:before="0" w:after="0" w:line="315" w:lineRule="exact"/>
      </w:pPr>
      <w:r>
        <w:rPr>
          <w:rFonts w:ascii="宋体" w:hAnsi="宋体" w:eastAsia="宋体" w:cs="宋体"/>
          <w:color w:val="000000"/>
          <w:sz w:val="21"/>
        </w:rPr>
        <w:t xml:space="preserve">9．电源线规格必须满足设备功率及线路长度要求，符合国家电气规范。所有电气连接必须安全、规范、绝缘良好。</w:t>
      </w:r>
      <w:r/>
    </w:p>
    <w:p>
      <w:pPr>
        <w:pStyle w:val="924"/>
        <w:jc w:val="left"/>
        <w:spacing w:before="0" w:after="0" w:line="315" w:lineRule="exact"/>
        <w:rPr>
          <w:b/>
          <w:bCs/>
        </w:rPr>
      </w:pPr>
      <w:r>
        <w:rPr>
          <w:rFonts w:ascii="宋体" w:hAnsi="宋体" w:eastAsia="宋体" w:cs="宋体"/>
          <w:b/>
          <w:bCs/>
          <w:i/>
          <w:iCs/>
          <w:color w:val="000000"/>
          <w:sz w:val="21"/>
          <w:u w:val="single"/>
        </w:rPr>
        <w:t xml:space="preserve">10．调试与运行：安装完成后，必须逐台进行开机调试，测试制冷、制热、送风、除湿等功能是否正常，检查排水是否顺畅，测量运行电流、电压、进出风温差等参数是否在正常范围内，确保无异常噪音、振动和泄漏。（提供承诺函，格式自拟，加盖供应商公章）</w:t>
      </w:r>
      <w:r>
        <w:rPr>
          <w:b/>
          <w:bCs/>
        </w:rPr>
      </w:r>
      <w:r/>
    </w:p>
    <w:p>
      <w:pPr>
        <w:pStyle w:val="924"/>
        <w:jc w:val="left"/>
        <w:spacing w:before="0" w:after="0" w:line="315" w:lineRule="exact"/>
      </w:pPr>
      <w:r>
        <w:rPr>
          <w:rFonts w:ascii="宋体" w:hAnsi="宋体" w:eastAsia="宋体" w:cs="宋体"/>
          <w:color w:val="000000"/>
          <w:sz w:val="21"/>
        </w:rPr>
        <w:t xml:space="preserve">11．现场管理：安装人员需遵守校园安全管理规定，统一着装（工装），佩戴工牌，保持现场整洁，及时清理安装垃圾，做好安全防护措施（安全带、安全帽等），办理动火手续，文明施工。因施工不当造成的设施损坏，需自行赔偿。</w:t>
      </w:r>
      <w:r/>
    </w:p>
    <w:p>
      <w:pPr>
        <w:pStyle w:val="924"/>
        <w:jc w:val="left"/>
        <w:spacing w:before="0" w:after="0" w:line="315" w:lineRule="exact"/>
      </w:pPr>
      <w:r>
        <w:rPr>
          <w:rFonts w:ascii="宋体" w:hAnsi="宋体" w:eastAsia="宋体" w:cs="宋体"/>
          <w:color w:val="000000"/>
          <w:sz w:val="21"/>
        </w:rPr>
        <w:t xml:space="preserve">12．施工过程中因施工方操作不当、管理疏漏等自身原因引发的现场安全事故、人员伤亡、财产损失等一切责任及经济赔偿，均由乙方独立承担，与甲方无关；乙方需提前投保工程一切险、人身意外伤害险等相关保险。</w:t>
      </w:r>
      <w:r/>
    </w:p>
    <w:p>
      <w:pPr>
        <w:pStyle w:val="924"/>
        <w:spacing w:line="0" w:lineRule="atLeast"/>
        <w:rPr>
          <w:rFonts w:hint="eastAsia" w:ascii="宋体" w:hAnsi="宋体"/>
          <w:b/>
          <w:bCs/>
          <w:sz w:val="24"/>
          <w:szCs w:val="24"/>
        </w:rPr>
      </w:pPr>
      <w:r>
        <w:rPr>
          <w:rFonts w:hint="eastAsia" w:ascii="宋体" w:hAnsi="宋体"/>
          <w:b/>
          <w:bCs/>
          <w:sz w:val="24"/>
          <w:szCs w:val="24"/>
        </w:rPr>
      </w:r>
      <w:r/>
    </w:p>
    <w:p>
      <w:pPr>
        <w:pStyle w:val="924"/>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24"/>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924"/>
        <w:jc w:val="left"/>
        <w:spacing w:before="0" w:after="0" w:line="315" w:lineRule="exact"/>
        <w:rPr>
          <w:rFonts w:hint="eastAsia" w:ascii="宋体" w:hAnsi="宋体" w:eastAsia="宋体" w:cs="宋体"/>
          <w:i w:val="0"/>
          <w:iCs w:val="0"/>
          <w:color w:val="000000"/>
          <w:sz w:val="21"/>
          <w:u w:val="none"/>
          <w:lang w:eastAsia="zh-CN"/>
        </w:rPr>
      </w:pPr>
      <w:r>
        <w:rPr>
          <w:rFonts w:hint="eastAsia" w:ascii="宋体" w:hAnsi="宋体" w:eastAsia="宋体" w:cs="宋体"/>
          <w:i w:val="0"/>
          <w:iCs w:val="0"/>
          <w:color w:val="000000"/>
          <w:sz w:val="21"/>
          <w:u w:val="none"/>
          <w:lang w:eastAsia="zh-CN"/>
        </w:rPr>
        <w:t xml:space="preserve">（</w:t>
      </w:r>
      <w:r>
        <w:rPr>
          <w:rFonts w:hint="eastAsia" w:ascii="宋体" w:hAnsi="宋体" w:eastAsia="宋体" w:cs="宋体"/>
          <w:i w:val="0"/>
          <w:iCs w:val="0"/>
          <w:color w:val="000000"/>
          <w:sz w:val="21"/>
          <w:u w:val="none"/>
          <w:lang w:val="en-US" w:eastAsia="zh-CN"/>
        </w:rPr>
        <w:t xml:space="preserve">一</w:t>
      </w:r>
      <w:r>
        <w:rPr>
          <w:rFonts w:hint="eastAsia" w:ascii="宋体" w:hAnsi="宋体" w:eastAsia="宋体" w:cs="宋体"/>
          <w:i w:val="0"/>
          <w:iCs w:val="0"/>
          <w:color w:val="000000"/>
          <w:sz w:val="21"/>
          <w:u w:val="none"/>
          <w:lang w:eastAsia="zh-CN"/>
        </w:rPr>
        <w:t xml:space="preserve">）</w:t>
      </w:r>
      <w:r>
        <w:rPr>
          <w:rFonts w:hint="eastAsia" w:ascii="宋体" w:hAnsi="宋体" w:eastAsia="宋体" w:cs="宋体"/>
          <w:i w:val="0"/>
          <w:iCs w:val="0"/>
          <w:color w:val="000000"/>
          <w:sz w:val="21"/>
          <w:u w:val="none"/>
          <w:lang w:val="en-US" w:eastAsia="zh-CN"/>
        </w:rPr>
        <w:t xml:space="preserve">商务部分</w:t>
      </w:r>
      <w:r>
        <w:rPr>
          <w:rFonts w:hint="eastAsia" w:ascii="宋体" w:hAnsi="宋体" w:eastAsia="宋体" w:cs="宋体"/>
          <w:i w:val="0"/>
          <w:iCs w:val="0"/>
          <w:color w:val="000000"/>
          <w:sz w:val="21"/>
          <w:u w:val="none"/>
          <w:lang w:eastAsia="zh-CN"/>
        </w:rPr>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1.自验收之日起，投标单位均承诺整机质保6年。（提供承诺函，格式自拟，承诺在签订合同时提供原厂质保函，承诺函加盖供应商公章）。</w:t>
      </w:r>
      <w:r>
        <w:rPr>
          <w:b/>
          <w:bCs/>
          <w:i/>
          <w:iCs/>
          <w:u w:val="single"/>
        </w:rPr>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2.除故障维修外，质保期内需提供每年2次清洗保养（包括室内机滤网清洗、室外机高压清洗、检查并补充制冷剂等），相关费用已包含在总价报价当中。（提供承诺函，格式自拟，加盖供应商公章）</w:t>
      </w:r>
      <w:r>
        <w:rPr>
          <w:b/>
          <w:bCs/>
          <w:i/>
          <w:iCs/>
          <w:u w:val="single"/>
        </w:rPr>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3.质保期内，单台设备累计返修3次以上，或单次维修时间超过 5 个工作日仍未修复的（不含人为破坏），均视为质量瑕疵产品，校方有权要求换新。供应商须在收到校方书面通知后，为校方更换同型号、同规格的全新合格设备，并承担设备拆卸、安装、运输及旧设备回收的全部费用。（提供承诺函，格式自拟，加盖供应商公章）</w:t>
      </w:r>
      <w:r>
        <w:rPr>
          <w:b/>
          <w:bCs/>
          <w:i/>
          <w:iCs/>
          <w:u w:val="single"/>
        </w:rPr>
      </w:r>
      <w:r/>
    </w:p>
    <w:p>
      <w:pPr>
        <w:pStyle w:val="924"/>
        <w:jc w:val="left"/>
        <w:spacing w:before="0" w:after="0" w:line="315" w:lineRule="exact"/>
        <w:rPr>
          <w:b/>
          <w:bCs/>
        </w:rPr>
      </w:pPr>
      <w:r>
        <w:rPr>
          <w:rFonts w:ascii="宋体" w:hAnsi="宋体" w:eastAsia="宋体" w:cs="宋体"/>
          <w:b/>
          <w:bCs/>
          <w:i/>
          <w:iCs/>
          <w:color w:val="000000"/>
          <w:sz w:val="21"/>
          <w:u w:val="single"/>
        </w:rPr>
        <w:t xml:space="preserve">4.另需2台全新备用机放置于学校指定位置，以备遇到重大故障，无法及时维修时启用。质保期内备用机数量需轮动保持为2台，使用后应及时补齐，质保期结束后备用机归校方所有。（提供承诺函，格式自拟，加盖供应商公章）</w:t>
      </w:r>
      <w:r>
        <w:rPr>
          <w:b/>
          <w:bCs/>
        </w:rPr>
      </w:r>
      <w:r/>
    </w:p>
    <w:p>
      <w:pPr>
        <w:pStyle w:val="924"/>
        <w:jc w:val="left"/>
        <w:spacing w:before="0" w:after="0" w:line="315" w:lineRule="exact"/>
      </w:pPr>
      <w:r>
        <w:rPr>
          <w:rFonts w:ascii="宋体" w:hAnsi="宋体" w:eastAsia="宋体" w:cs="宋体"/>
          <w:color w:val="000000"/>
          <w:sz w:val="21"/>
        </w:rPr>
        <w:t xml:space="preserve">5.质保期内整机质保，无偿更换配件（不含人为破坏），包括不限于以下：</w:t>
      </w:r>
      <w:r/>
    </w:p>
    <w:p>
      <w:pPr>
        <w:pStyle w:val="924"/>
        <w:jc w:val="left"/>
        <w:spacing w:before="0" w:after="0" w:line="315" w:lineRule="exact"/>
      </w:pPr>
      <w:r>
        <w:rPr>
          <w:rFonts w:ascii="宋体" w:hAnsi="宋体" w:eastAsia="宋体" w:cs="宋体"/>
          <w:color w:val="000000"/>
          <w:sz w:val="21"/>
        </w:rPr>
        <w:t xml:space="preserve">（1）核心制冷与动力部件</w:t>
      </w:r>
      <w:r/>
    </w:p>
    <w:p>
      <w:pPr>
        <w:pStyle w:val="924"/>
        <w:jc w:val="left"/>
        <w:spacing w:before="0" w:after="0" w:line="315" w:lineRule="exact"/>
      </w:pPr>
      <w:r>
        <w:rPr>
          <w:rFonts w:ascii="宋体" w:hAnsi="宋体" w:eastAsia="宋体" w:cs="宋体"/>
          <w:color w:val="000000"/>
          <w:sz w:val="21"/>
        </w:rPr>
        <w:t xml:space="preserve">包括空调的压缩机；负责热量交换的蒸发器、冷凝器；调控制冷系统介质流向的四通阀；调节制冷剂流量的节流部件（毛细管、电子膨胀阀等）；储存制冷剂的储液罐等。</w:t>
      </w:r>
      <w:r/>
    </w:p>
    <w:p>
      <w:pPr>
        <w:pStyle w:val="924"/>
        <w:jc w:val="left"/>
        <w:spacing w:before="0" w:after="0" w:line="315" w:lineRule="exact"/>
      </w:pPr>
      <w:r>
        <w:rPr>
          <w:rFonts w:ascii="宋体" w:hAnsi="宋体" w:eastAsia="宋体" w:cs="宋体"/>
          <w:color w:val="000000"/>
          <w:sz w:val="21"/>
        </w:rPr>
        <w:t xml:space="preserve">（2）电气与控制部件</w:t>
      </w:r>
      <w:r/>
    </w:p>
    <w:p>
      <w:pPr>
        <w:pStyle w:val="924"/>
        <w:jc w:val="left"/>
        <w:spacing w:before="0" w:after="0" w:line="315" w:lineRule="exact"/>
      </w:pPr>
      <w:r>
        <w:rPr>
          <w:rFonts w:ascii="宋体" w:hAnsi="宋体" w:eastAsia="宋体" w:cs="宋体"/>
          <w:color w:val="000000"/>
          <w:sz w:val="21"/>
        </w:rPr>
        <w:t xml:space="preserve">涵盖控制整机运行的主控板、显示板；传递温度信号的感温包、接收头；保障电路安全稳定的变压器、继电器、保险丝等；变频驱动板。</w:t>
      </w:r>
      <w:r/>
    </w:p>
    <w:p>
      <w:pPr>
        <w:pStyle w:val="924"/>
        <w:jc w:val="left"/>
        <w:spacing w:before="0" w:after="0" w:line="315" w:lineRule="exact"/>
      </w:pPr>
      <w:r>
        <w:rPr>
          <w:rFonts w:ascii="宋体" w:hAnsi="宋体" w:eastAsia="宋体" w:cs="宋体"/>
          <w:color w:val="000000"/>
          <w:sz w:val="21"/>
        </w:rPr>
        <w:t xml:space="preserve">（3）通风与辅助功能配件</w:t>
      </w:r>
      <w:r/>
    </w:p>
    <w:p>
      <w:pPr>
        <w:pStyle w:val="924"/>
        <w:jc w:val="left"/>
        <w:spacing w:before="0" w:after="0" w:line="315" w:lineRule="exact"/>
      </w:pPr>
      <w:r>
        <w:rPr>
          <w:rFonts w:ascii="宋体" w:hAnsi="宋体" w:eastAsia="宋体" w:cs="宋体"/>
          <w:color w:val="000000"/>
          <w:sz w:val="21"/>
        </w:rPr>
        <w:t xml:space="preserve">驱动风叶运转的室内外风扇电机；带动气流循环的贯流风叶（室内机）、轴流风叶（室外机）；部分机型带有的辅助制热电加热管及其保护部件限温器；还有保障空调排水的接水盘、排水泵等。</w:t>
      </w:r>
      <w:r/>
    </w:p>
    <w:p>
      <w:pPr>
        <w:pStyle w:val="924"/>
        <w:jc w:val="left"/>
        <w:spacing w:before="0" w:after="0" w:line="315" w:lineRule="exact"/>
      </w:pPr>
      <w:r>
        <w:rPr>
          <w:rFonts w:ascii="宋体" w:hAnsi="宋体" w:eastAsia="宋体" w:cs="宋体"/>
          <w:color w:val="000000"/>
          <w:sz w:val="21"/>
        </w:rPr>
        <w:t xml:space="preserve">（4）结构与连接配件</w:t>
      </w:r>
      <w:r/>
    </w:p>
    <w:p>
      <w:pPr>
        <w:pStyle w:val="924"/>
        <w:jc w:val="left"/>
        <w:spacing w:before="0" w:after="0" w:line="315" w:lineRule="exact"/>
      </w:pPr>
      <w:r>
        <w:rPr>
          <w:rFonts w:ascii="宋体" w:hAnsi="宋体" w:eastAsia="宋体" w:cs="宋体"/>
          <w:color w:val="000000"/>
          <w:sz w:val="21"/>
        </w:rPr>
        <w:t xml:space="preserve">包括内外机的壳体、导风板、导风机构等结构件，以及机身内部连接电路的电源线、控制连接线等。</w:t>
      </w:r>
      <w:r/>
    </w:p>
    <w:p>
      <w:pPr>
        <w:pStyle w:val="924"/>
        <w:jc w:val="left"/>
        <w:spacing w:before="0" w:after="0" w:line="315" w:lineRule="exact"/>
      </w:pPr>
      <w:r>
        <w:rPr>
          <w:rFonts w:ascii="宋体" w:hAnsi="宋体" w:eastAsia="宋体" w:cs="宋体"/>
          <w:color w:val="000000"/>
          <w:sz w:val="21"/>
        </w:rPr>
        <w:t xml:space="preserve">（5）整机质保范围内的其他配件及安装部分的内容。</w:t>
      </w:r>
      <w:r/>
    </w:p>
    <w:p>
      <w:pPr>
        <w:pStyle w:val="924"/>
        <w:jc w:val="left"/>
        <w:spacing w:before="0" w:after="0" w:line="315" w:lineRule="exact"/>
        <w:rPr>
          <w:b/>
          <w:bCs/>
          <w:i/>
          <w:iCs/>
          <w:u w:val="single"/>
        </w:rPr>
      </w:pPr>
      <w:r>
        <w:rPr>
          <w:rFonts w:ascii="宋体" w:hAnsi="宋体" w:eastAsia="宋体" w:cs="宋体"/>
          <w:b/>
          <w:bCs/>
          <w:i/>
          <w:iCs/>
          <w:color w:val="000000"/>
          <w:sz w:val="21"/>
          <w:u w:val="single"/>
        </w:rPr>
        <w:t xml:space="preserve">6.</w:t>
      </w:r>
      <w:r>
        <w:rPr>
          <w:rFonts w:ascii="宋体" w:hAnsi="宋体" w:eastAsia="宋体" w:cs="宋体"/>
          <w:b/>
          <w:bCs/>
          <w:i/>
          <w:iCs/>
          <w:color w:val="000000"/>
          <w:sz w:val="21"/>
          <w:u w:val="single"/>
        </w:rPr>
        <w:t xml:space="preserve">质</w:t>
      </w:r>
      <w:r>
        <w:rPr>
          <w:rFonts w:ascii="宋体" w:hAnsi="宋体" w:eastAsia="宋体" w:cs="宋体"/>
          <w:b/>
          <w:bCs/>
          <w:i/>
          <w:iCs/>
          <w:color w:val="000000"/>
          <w:sz w:val="21"/>
          <w:u w:val="single"/>
        </w:rPr>
        <w:t xml:space="preserve">保期结束后，中标供应商可继续提供各项技术支持和咨询，以优惠价格提供维修服务，按成本价供应备品备件。（提供承诺函，格式自拟，加盖供应商公章）</w:t>
      </w:r>
      <w:r>
        <w:rPr>
          <w:b/>
          <w:bCs/>
          <w:i/>
          <w:iCs/>
          <w:u w:val="single"/>
        </w:rPr>
      </w:r>
      <w:r/>
    </w:p>
    <w:p>
      <w:pPr>
        <w:pStyle w:val="924"/>
        <w:jc w:val="left"/>
        <w:spacing w:before="0" w:after="0" w:line="315" w:lineRule="exact"/>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二</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其他要求</w:t>
      </w:r>
      <w:r/>
    </w:p>
    <w:p>
      <w:pPr>
        <w:pStyle w:val="924"/>
        <w:jc w:val="left"/>
        <w:spacing w:before="0" w:after="0" w:line="315" w:lineRule="exact"/>
      </w:pPr>
      <w:r>
        <w:rPr>
          <w:rFonts w:ascii="宋体" w:hAnsi="宋体" w:eastAsia="宋体" w:cs="宋体"/>
          <w:color w:val="000000"/>
          <w:sz w:val="21"/>
        </w:rPr>
        <w:t xml:space="preserve">1.业绩要求</w:t>
      </w:r>
      <w:r/>
    </w:p>
    <w:p>
      <w:pPr>
        <w:pStyle w:val="924"/>
        <w:jc w:val="left"/>
        <w:spacing w:before="0" w:after="0" w:line="315" w:lineRule="exact"/>
      </w:pPr>
      <w:r>
        <w:rPr>
          <w:rFonts w:ascii="宋体" w:hAnsi="宋体" w:eastAsia="宋体" w:cs="宋体"/>
          <w:color w:val="000000"/>
          <w:sz w:val="21"/>
        </w:rPr>
        <w:t xml:space="preserve">投标人2023年1月1日以来参与类似采购项目，提供清晰的中标通知书、合同复印件、开给甲方的发票作为业绩证明材料，缺一项视为无效证明材料。</w:t>
      </w:r>
      <w:r/>
    </w:p>
    <w:p>
      <w:pPr>
        <w:pStyle w:val="924"/>
        <w:jc w:val="left"/>
        <w:spacing w:before="0" w:after="0" w:line="315" w:lineRule="exact"/>
      </w:pPr>
      <w:r>
        <w:rPr>
          <w:rFonts w:ascii="宋体" w:hAnsi="宋体" w:eastAsia="宋体" w:cs="宋体"/>
          <w:color w:val="000000"/>
          <w:sz w:val="21"/>
        </w:rPr>
        <w:t xml:space="preserve">2.企业具备有效期内的质量管理体系（ISO9001）</w:t>
      </w:r>
      <w:r/>
    </w:p>
    <w:p>
      <w:pPr>
        <w:pStyle w:val="924"/>
        <w:jc w:val="left"/>
        <w:spacing w:before="0" w:after="0" w:line="315" w:lineRule="exact"/>
      </w:pPr>
      <w:r>
        <w:rPr>
          <w:rFonts w:ascii="宋体" w:hAnsi="宋体" w:eastAsia="宋体" w:cs="宋体"/>
          <w:color w:val="000000"/>
          <w:sz w:val="21"/>
        </w:rPr>
        <w:t xml:space="preserve">3.人员资质要求</w:t>
      </w:r>
      <w:r/>
    </w:p>
    <w:p>
      <w:pPr>
        <w:pStyle w:val="924"/>
        <w:jc w:val="left"/>
        <w:spacing w:before="0" w:after="0" w:line="315" w:lineRule="exact"/>
      </w:pPr>
      <w:r>
        <w:rPr>
          <w:rFonts w:ascii="宋体" w:hAnsi="宋体" w:eastAsia="宋体" w:cs="宋体"/>
          <w:color w:val="000000"/>
          <w:sz w:val="21"/>
        </w:rPr>
        <w:t xml:space="preserve">本项目为空调采购项目，项目组成员不少于6人，包含空调的安装工作，涉及到电工作业，高空作业等，必须配备专业的安装维修服务人员，要求人员持有电工专业、焊接作业、高处作业证、制冷与空调设备安装修理作业操作证证书。</w:t>
      </w:r>
      <w:r/>
    </w:p>
    <w:p>
      <w:pPr>
        <w:pStyle w:val="924"/>
        <w:jc w:val="left"/>
        <w:spacing w:before="0" w:after="0" w:line="315" w:lineRule="exact"/>
      </w:pPr>
      <w:r>
        <w:rPr>
          <w:rFonts w:hint="eastAsia" w:ascii="宋体" w:hAnsi="宋体" w:eastAsia="宋体" w:cs="宋体"/>
          <w:color w:val="000000"/>
          <w:sz w:val="21"/>
          <w:lang w:val="en-US" w:eastAsia="zh-CN"/>
        </w:rPr>
        <w:t xml:space="preserve">4</w:t>
      </w:r>
      <w:r>
        <w:rPr>
          <w:rFonts w:ascii="宋体" w:hAnsi="宋体" w:eastAsia="宋体" w:cs="宋体"/>
          <w:color w:val="000000"/>
          <w:sz w:val="21"/>
        </w:rPr>
        <w:t xml:space="preserve">.方案要求</w:t>
      </w:r>
      <w:r/>
    </w:p>
    <w:p>
      <w:pPr>
        <w:pStyle w:val="924"/>
        <w:jc w:val="left"/>
        <w:spacing w:before="0" w:after="0" w:line="315" w:lineRule="exact"/>
      </w:pPr>
      <w:r>
        <w:rPr>
          <w:rFonts w:ascii="宋体" w:hAnsi="宋体" w:eastAsia="宋体" w:cs="宋体"/>
          <w:color w:val="000000"/>
          <w:sz w:val="21"/>
        </w:rPr>
        <w:t xml:space="preserve">（1）实施总体方案</w:t>
      </w:r>
      <w:r/>
    </w:p>
    <w:p>
      <w:pPr>
        <w:pStyle w:val="924"/>
        <w:jc w:val="left"/>
        <w:spacing w:before="0" w:after="0" w:line="315" w:lineRule="exact"/>
      </w:pPr>
      <w:r>
        <w:rPr>
          <w:rFonts w:ascii="宋体" w:hAnsi="宋体" w:eastAsia="宋体" w:cs="宋体"/>
          <w:color w:val="000000"/>
          <w:sz w:val="21"/>
        </w:rPr>
        <w:t xml:space="preserve">投标人根据本项目特点，制定本项目实施总体方案。方案应当包含本项目施工总进度计划、备货计划、施工安装、施工设备配置、现场施工平面布置、拟投入的劳动力计划、施工人员培训等内容。方案以科学性、合理性、可操作性为核心，要求进度节点清晰、资源配置充足、组织协调高效、风险防控到位，符合现场实际与工期要求，具备可靠落地执行能力。</w:t>
      </w:r>
      <w:r/>
    </w:p>
    <w:p>
      <w:pPr>
        <w:pStyle w:val="924"/>
        <w:jc w:val="left"/>
        <w:spacing w:before="0" w:after="0" w:line="315" w:lineRule="exact"/>
      </w:pPr>
      <w:r>
        <w:rPr>
          <w:rFonts w:ascii="宋体" w:hAnsi="宋体" w:eastAsia="宋体" w:cs="宋体"/>
          <w:color w:val="000000"/>
          <w:sz w:val="21"/>
        </w:rPr>
        <w:t xml:space="preserve">（2）安全文明施工及环境保护方案</w:t>
      </w:r>
      <w:r/>
    </w:p>
    <w:p>
      <w:pPr>
        <w:pStyle w:val="924"/>
        <w:jc w:val="left"/>
        <w:spacing w:before="0" w:after="0" w:line="315" w:lineRule="exact"/>
      </w:pPr>
      <w:r>
        <w:rPr>
          <w:rFonts w:ascii="宋体" w:hAnsi="宋体" w:eastAsia="宋体" w:cs="宋体"/>
          <w:color w:val="000000"/>
          <w:sz w:val="21"/>
        </w:rPr>
        <w:t xml:space="preserve">投标人根据本项目特点，提供的关于本项目的安全文明施工及环境保护方案。包括高空作业管理、动火作业管理、应急处理、安全管理机构设立、施工前的安全教育与培训、安全管理规范、环境保护措施等。方案以合规性、针对性、可操作性为核心，要求责任明确、措施具体、管控到位，符合现行安全环保法规及现场管理要求，具备有效风险防控与应急处置能力。</w:t>
      </w:r>
      <w:r/>
    </w:p>
    <w:p>
      <w:pPr>
        <w:pStyle w:val="924"/>
        <w:jc w:val="left"/>
        <w:spacing w:before="0" w:after="0" w:line="315" w:lineRule="exact"/>
      </w:pPr>
      <w:r>
        <w:rPr>
          <w:rFonts w:ascii="宋体" w:hAnsi="宋体" w:eastAsia="宋体" w:cs="宋体"/>
          <w:color w:val="000000"/>
          <w:sz w:val="21"/>
        </w:rPr>
        <w:t xml:space="preserve">（3）安装质量保障方案</w:t>
      </w:r>
      <w:r/>
    </w:p>
    <w:p>
      <w:pPr>
        <w:pStyle w:val="924"/>
        <w:jc w:val="left"/>
        <w:spacing w:before="0" w:after="0" w:line="315" w:lineRule="exact"/>
      </w:pPr>
      <w:r>
        <w:rPr>
          <w:rFonts w:ascii="宋体" w:hAnsi="宋体" w:eastAsia="宋体" w:cs="宋体"/>
          <w:color w:val="000000"/>
          <w:sz w:val="21"/>
        </w:rPr>
        <w:t xml:space="preserve">投标人根据本项目空调安装特点，提供本项目空调安装质量保障方案。方案包括空调安装施工质量检查机制、空调设备及管路成品保护、现状设施的拆除与恢复、空调安装常见隐患排查、空调安装各工序验收标准、空调安装质量问题排查整改机制等。方案需贴合本项目大批量空调安装的实际工况，兼具科学性、针对性和可操作性，严格满足空调安装质量达标要求，做到责任分工明确、安装过程管控具体、质量整改闭环高效，有效防范各类空调安装质量隐患，符合空调安装行业规范及本项目相关质量要求。</w:t>
      </w:r>
      <w:r/>
    </w:p>
    <w:p>
      <w:pPr>
        <w:pStyle w:val="924"/>
        <w:jc w:val="left"/>
        <w:spacing w:before="0" w:after="0" w:line="315" w:lineRule="exact"/>
      </w:pPr>
      <w:r>
        <w:rPr>
          <w:rFonts w:ascii="宋体" w:hAnsi="宋体" w:eastAsia="宋体" w:cs="宋体"/>
          <w:color w:val="000000"/>
          <w:sz w:val="21"/>
        </w:rPr>
        <w:t xml:space="preserve">（4）售后服务方案</w:t>
      </w:r>
      <w:r/>
    </w:p>
    <w:p>
      <w:pPr>
        <w:pStyle w:val="924"/>
        <w:jc w:val="left"/>
        <w:spacing w:before="0" w:after="0" w:line="315" w:lineRule="exact"/>
      </w:pPr>
      <w:r>
        <w:rPr>
          <w:rFonts w:ascii="宋体" w:hAnsi="宋体" w:eastAsia="宋体" w:cs="宋体"/>
          <w:color w:val="000000"/>
          <w:sz w:val="21"/>
        </w:rPr>
        <w:t xml:space="preserve">投标人根据本项目特点，提供完整的售后服务方案。需全面包含服务体系架构、核心服务内容、故障应急解决方案、专业技术人员保障、24 小时服务热线及响应机制、操作使用培训方案、备品备件保障、定期巡检维护、质保期内及质保期后服务细则、客户投诉处理流程、售后服务台账管理等核心内容。方案以响应高效、保障到位、流程规范、可落地性强为标准，要求人员专业、备件充足、机制健全、记录完整，满足项目全周期使用与运维需求。</w:t>
      </w:r>
      <w:r/>
    </w:p>
    <w:p>
      <w:pPr>
        <w:pStyle w:val="924"/>
        <w:jc w:val="left"/>
        <w:spacing w:before="0" w:after="0" w:line="315" w:lineRule="exact"/>
      </w:pPr>
      <w:r>
        <w:rPr>
          <w:rFonts w:ascii="宋体" w:hAnsi="宋体" w:eastAsia="宋体" w:cs="宋体"/>
          <w:color w:val="000000"/>
          <w:sz w:val="21"/>
        </w:rPr>
        <w:t xml:space="preserve">7.投标单位具有国家认监委认可的机构颁发的售后服务认证证书（GB/T27922-2011）。</w:t>
      </w:r>
      <w:r/>
    </w:p>
    <w:p>
      <w:pPr>
        <w:pStyle w:val="924"/>
        <w:jc w:val="left"/>
        <w:spacing w:before="0" w:after="0" w:line="315" w:lineRule="exact"/>
      </w:pPr>
      <w:r>
        <w:rPr>
          <w:rFonts w:ascii="宋体" w:hAnsi="宋体" w:eastAsia="宋体" w:cs="宋体"/>
          <w:color w:val="000000"/>
          <w:sz w:val="21"/>
        </w:rPr>
        <w:t xml:space="preserve">8.售后服务人员：配备专职售后服务人员不少于3人。</w:t>
      </w:r>
      <w:r/>
    </w:p>
    <w:p>
      <w:pPr>
        <w:pStyle w:val="924"/>
        <w:jc w:val="left"/>
        <w:spacing w:before="0" w:after="0" w:line="315" w:lineRule="exact"/>
        <w:rPr>
          <w:rFonts w:ascii="宋体" w:hAnsi="宋体"/>
          <w:b/>
          <w:bCs/>
          <w:color w:val="ff0000"/>
          <w:sz w:val="24"/>
          <w:szCs w:val="21"/>
        </w:rPr>
      </w:pPr>
      <w:r>
        <w:rPr>
          <w:rFonts w:ascii="宋体" w:hAnsi="宋体" w:eastAsia="宋体" w:cs="宋体"/>
          <w:color w:val="000000"/>
          <w:sz w:val="21"/>
        </w:rPr>
        <w:t xml:space="preserve">9.成交供应商对本项目不得以任何形式进行分包、转包，如有违反，即被视为违约，将被取消成交资格、终止合同，并承担相应法律责任和赔偿损失。</w:t>
      </w:r>
      <w:r>
        <w:rPr>
          <w:rFonts w:ascii="宋体" w:hAnsi="宋体"/>
          <w:b/>
          <w:bCs/>
          <w:color w:val="ff0000"/>
          <w:sz w:val="24"/>
          <w:szCs w:val="21"/>
        </w:rPr>
      </w:r>
      <w:r/>
    </w:p>
    <w:p>
      <w:pPr>
        <w:pStyle w:val="924"/>
        <w:spacing w:line="0" w:lineRule="atLeast"/>
        <w:rPr>
          <w:rFonts w:ascii="宋体" w:hAnsi="宋体"/>
          <w:color w:val="000000"/>
          <w:sz w:val="24"/>
          <w:szCs w:val="24"/>
        </w:rPr>
      </w:pPr>
      <w:r>
        <w:rPr>
          <w:rFonts w:ascii="宋体" w:hAnsi="宋体"/>
          <w:color w:val="000000"/>
          <w:sz w:val="24"/>
          <w:szCs w:val="24"/>
        </w:rPr>
      </w:r>
      <w:r/>
    </w:p>
    <w:p>
      <w:pPr>
        <w:pStyle w:val="924"/>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24"/>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2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采购</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24"/>
              <w:jc w:val="center"/>
              <w:rPr>
                <w:rFonts w:hint="eastAsia" w:ascii="宋体" w:hAnsi="宋体"/>
                <w:szCs w:val="21"/>
              </w:rPr>
            </w:pPr>
            <w:r>
              <w:rPr>
                <w:rFonts w:ascii="宋体" w:hAnsi="宋体" w:eastAsia="宋体" w:cs="宋体"/>
                <w:color w:val="000000"/>
                <w:sz w:val="21"/>
              </w:rPr>
              <w:t xml:space="preserve">1.5P壁挂式变频新风冷暖空调</w:t>
            </w:r>
            <w:r>
              <w:rPr>
                <w:rFonts w:hint="eastAsia" w:ascii="宋体" w:hAnsi="宋体"/>
                <w:szCs w:val="21"/>
              </w:rPr>
            </w:r>
            <w:r/>
          </w:p>
        </w:tc>
      </w:tr>
    </w:tbl>
    <w:p>
      <w:pPr>
        <w:pStyle w:val="924"/>
        <w:spacing w:line="0" w:lineRule="atLeast"/>
        <w:rPr>
          <w:rFonts w:hint="eastAsia" w:ascii="宋体" w:hAnsi="宋体"/>
          <w:sz w:val="24"/>
          <w:szCs w:val="24"/>
        </w:rPr>
      </w:pPr>
      <w:r>
        <w:rPr>
          <w:rFonts w:hint="eastAsia" w:ascii="宋体" w:hAnsi="宋体"/>
          <w:sz w:val="24"/>
          <w:szCs w:val="24"/>
        </w:rPr>
      </w:r>
      <w:r/>
    </w:p>
    <w:p>
      <w:pPr>
        <w:pStyle w:val="924"/>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采购</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24"/>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24"/>
      </w:pPr>
      <w:r/>
      <w:r/>
    </w:p>
    <w:p>
      <w:pPr>
        <w:pStyle w:val="924"/>
      </w:pPr>
      <w:r/>
      <w:r/>
    </w:p>
    <w:p>
      <w:pPr>
        <w:pStyle w:val="924"/>
      </w:pPr>
      <w:r/>
      <w:r/>
    </w:p>
    <w:p>
      <w:pPr>
        <w:pStyle w:val="924"/>
      </w:pPr>
      <w:r/>
      <w:r/>
    </w:p>
    <w:p>
      <w:pPr>
        <w:pStyle w:val="924"/>
      </w:p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jc w:val="center"/>
        <w:keepNext/>
        <w:rPr>
          <w:rFonts w:hint="eastAsia" w:ascii="黑体" w:hAnsi="Times New Roman" w:eastAsia="黑体"/>
          <w:b w:val="0"/>
          <w:bCs w:val="0"/>
          <w:color w:val="000000"/>
          <w:sz w:val="44"/>
          <w:szCs w:val="44"/>
        </w:rPr>
        <w:outlineLvl w:val="0"/>
      </w:pPr>
      <w:r>
        <w:rPr>
          <w:rFonts w:hint="eastAsia" w:ascii="黑体" w:hAnsi="Times New Roman" w:eastAsia="黑体"/>
          <w:b w:val="0"/>
          <w:bCs/>
          <w:color w:val="000000"/>
          <w:sz w:val="44"/>
          <w:szCs w:val="28"/>
          <w:highlight w:val="none"/>
        </w:rPr>
      </w:r>
      <w:r>
        <w:rPr>
          <w:rFonts w:hint="eastAsia" w:ascii="黑体" w:hAnsi="Times New Roman" w:eastAsia="黑体"/>
          <w:b w:val="0"/>
          <w:bCs/>
          <w:color w:val="000000"/>
          <w:sz w:val="44"/>
          <w:szCs w:val="28"/>
          <w:highlight w:val="none"/>
        </w:rPr>
      </w:r>
      <w:r/>
    </w:p>
    <w:p>
      <w:pPr>
        <w:jc w:val="center"/>
        <w:keepNext/>
        <w:rPr>
          <w:rFonts w:hint="eastAsia" w:ascii="黑体" w:hAnsi="Times New Roman" w:eastAsia="黑体"/>
          <w:b w:val="0"/>
          <w:bCs w:val="0"/>
          <w:color w:val="000000"/>
          <w:sz w:val="44"/>
          <w:szCs w:val="44"/>
          <w:highlight w:val="none"/>
        </w:rPr>
        <w:outlineLvl w:val="0"/>
      </w:pPr>
      <w:r>
        <w:rPr>
          <w:rFonts w:hint="eastAsia" w:ascii="黑体" w:hAnsi="Times New Roman" w:eastAsia="黑体"/>
          <w:b w:val="0"/>
          <w:bCs/>
          <w:color w:val="000000"/>
          <w:sz w:val="44"/>
          <w:szCs w:val="28"/>
          <w:highlight w:val="none"/>
        </w:rPr>
      </w:r>
      <w:r>
        <w:rPr>
          <w:rFonts w:hint="eastAsia" w:ascii="黑体" w:hAnsi="Times New Roman" w:eastAsia="黑体"/>
          <w:b w:val="0"/>
          <w:bCs/>
          <w:color w:val="000000"/>
          <w:sz w:val="44"/>
          <w:szCs w:val="28"/>
          <w:highlight w:val="none"/>
        </w:rPr>
      </w:r>
      <w:r/>
    </w:p>
    <w:p>
      <w:pPr>
        <w:jc w:val="center"/>
        <w:keepNext/>
        <w:rPr>
          <w:rFonts w:hint="eastAsia" w:ascii="黑体" w:hAnsi="Times New Roman" w:eastAsia="黑体"/>
          <w:b w:val="0"/>
          <w:bCs w:val="0"/>
          <w:color w:val="000000"/>
          <w:sz w:val="44"/>
          <w:szCs w:val="44"/>
          <w:highlight w:val="none"/>
        </w:rPr>
        <w:outlineLvl w:val="0"/>
      </w:pPr>
      <w:r>
        <w:rPr>
          <w:rFonts w:hint="eastAsia" w:ascii="黑体" w:hAnsi="Times New Roman" w:eastAsia="黑体"/>
          <w:b w:val="0"/>
          <w:bCs/>
          <w:color w:val="000000"/>
          <w:sz w:val="44"/>
          <w:szCs w:val="28"/>
          <w:highlight w:val="none"/>
        </w:rPr>
      </w:r>
      <w:r>
        <w:rPr>
          <w:rFonts w:hint="eastAsia" w:ascii="黑体" w:hAnsi="Times New Roman" w:eastAsia="黑体"/>
          <w:b w:val="0"/>
          <w:bCs/>
          <w:color w:val="000000"/>
          <w:sz w:val="44"/>
          <w:szCs w:val="28"/>
          <w:highlight w:val="none"/>
        </w:rPr>
      </w:r>
      <w:r/>
    </w:p>
    <w:p>
      <w:pPr>
        <w:pStyle w:val="924"/>
        <w:jc w:val="left"/>
        <w:keepNext/>
        <w:rPr>
          <w:rFonts w:hint="eastAsia" w:ascii="黑体" w:hAnsi="Times New Roman" w:eastAsia="黑体"/>
          <w:b w:val="0"/>
          <w:bCs w:val="0"/>
          <w:color w:val="000000"/>
          <w:sz w:val="44"/>
          <w:szCs w:val="44"/>
        </w:rPr>
        <w:outlineLvl w:val="0"/>
      </w:pPr>
      <w:r>
        <w:rPr>
          <w:rFonts w:hint="eastAsia" w:ascii="黑体" w:hAnsi="Times New Roman" w:eastAsia="黑体"/>
          <w:b w:val="0"/>
          <w:bCs/>
          <w:color w:val="000000"/>
          <w:sz w:val="44"/>
          <w:szCs w:val="28"/>
        </w:rPr>
        <w:t xml:space="preserve">     </w:t>
      </w:r>
      <w:r>
        <w:rPr>
          <w:rFonts w:hint="eastAsia" w:ascii="黑体" w:hAnsi="Times New Roman" w:eastAsia="黑体"/>
          <w:b w:val="0"/>
          <w:bCs w:val="0"/>
          <w:color w:val="000000"/>
          <w:sz w:val="44"/>
          <w:szCs w:val="44"/>
          <w:highlight w:val="none"/>
        </w:rPr>
      </w:r>
      <w:r/>
    </w:p>
    <w:p>
      <w:pPr>
        <w:shd w:val="nil" w:color="auto"/>
        <w:rPr>
          <w:rFonts w:hint="eastAsia" w:ascii="黑体" w:hAnsi="Times New Roman" w:eastAsia="黑体"/>
          <w:b w:val="0"/>
          <w:bCs w:val="0"/>
          <w:color w:val="000000"/>
          <w:sz w:val="44"/>
          <w:szCs w:val="44"/>
          <w:highlight w:val="none"/>
        </w:rPr>
        <w:outlineLvl w:val="0"/>
      </w:pPr>
      <w:r>
        <w:rPr>
          <w:rFonts w:hint="eastAsia" w:ascii="黑体" w:hAnsi="Times New Roman" w:eastAsia="黑体"/>
          <w:b w:val="0"/>
          <w:bCs/>
          <w:color w:val="000000"/>
          <w:sz w:val="44"/>
          <w:szCs w:val="28"/>
          <w:highlight w:val="none"/>
        </w:rPr>
        <w:br w:type="page" w:clear="all"/>
      </w:r>
      <w:r>
        <w:rPr>
          <w:rFonts w:hint="eastAsia" w:ascii="黑体" w:hAnsi="Times New Roman" w:eastAsia="黑体"/>
          <w:b w:val="0"/>
          <w:bCs/>
          <w:color w:val="000000"/>
          <w:sz w:val="44"/>
          <w:szCs w:val="28"/>
          <w:highlight w:val="none"/>
        </w:rPr>
      </w:r>
      <w:r/>
    </w:p>
    <w:p>
      <w:pPr>
        <w:jc w:val="left"/>
        <w:keepNext/>
        <w:rPr>
          <w:rFonts w:hint="eastAsia" w:ascii="黑体" w:hAnsi="Times New Roman" w:eastAsia="黑体"/>
          <w:b w:val="0"/>
          <w:bCs w:val="0"/>
          <w:color w:val="000000"/>
          <w:sz w:val="44"/>
          <w:szCs w:val="44"/>
          <w:highlight w:val="none"/>
        </w:rPr>
        <w:outlineLvl w:val="0"/>
      </w:pPr>
      <w:r>
        <w:rPr>
          <w:rFonts w:hint="eastAsia" w:ascii="黑体" w:hAnsi="Times New Roman" w:eastAsia="黑体"/>
          <w:b w:val="0"/>
          <w:bCs/>
          <w:color w:val="000000"/>
          <w:sz w:val="44"/>
          <w:szCs w:val="28"/>
        </w:rPr>
        <w:t xml:space="preserve">    第五章  评标方法与评标标准</w:t>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24"/>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24"/>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24"/>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2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4"/>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24"/>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pStyle w:val="924"/>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0" w:type="auto"/>
        <w:jc w:val="center"/>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20" w:type="dxa"/>
          <w:top w:w="20" w:type="dxa"/>
          <w:right w:w="20" w:type="dxa"/>
          <w:bottom w:w="20" w:type="dxa"/>
        </w:tblCellMar>
        <w:tblLook w:val="04A0" w:firstRow="1" w:lastRow="0" w:firstColumn="1" w:lastColumn="0" w:noHBand="0" w:noVBand="1"/>
      </w:tblPr>
      <w:tblGrid>
        <w:gridCol w:w="1215"/>
        <w:gridCol w:w="705"/>
        <w:gridCol w:w="7245"/>
      </w:tblGrid>
      <w:tr>
        <w:trPr>
          <w:trHeight w:val="60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b/>
                <w:color w:val="000000"/>
                <w:sz w:val="21"/>
              </w:rPr>
              <w:t xml:space="preserve">评分因素</w:t>
            </w:r>
            <w:r/>
          </w:p>
        </w:tc>
        <w:tc>
          <w:tcPr>
            <w:tcMar>
              <w:left w:w="20" w:type="dxa"/>
              <w:top w:w="20" w:type="dxa"/>
              <w:right w:w="20" w:type="dxa"/>
              <w:bottom w:w="20" w:type="dxa"/>
            </w:tcMar>
            <w:tcW w:w="705" w:type="dxa"/>
            <w:vAlign w:val="center"/>
            <w:textDirection w:val="lrTb"/>
            <w:noWrap w:val="false"/>
          </w:tcPr>
          <w:p>
            <w:pPr>
              <w:pStyle w:val="924"/>
              <w:jc w:val="center"/>
              <w:spacing w:line="315" w:lineRule="exact"/>
            </w:pPr>
            <w:r>
              <w:rPr>
                <w:rFonts w:ascii="宋体" w:hAnsi="宋体" w:eastAsia="宋体" w:cs="宋体"/>
                <w:b/>
                <w:color w:val="000000"/>
                <w:sz w:val="21"/>
              </w:rPr>
              <w:t xml:space="preserve">分值</w:t>
            </w:r>
            <w:r/>
          </w:p>
        </w:tc>
        <w:tc>
          <w:tcPr>
            <w:tcMar>
              <w:left w:w="20" w:type="dxa"/>
              <w:top w:w="20" w:type="dxa"/>
              <w:right w:w="20" w:type="dxa"/>
              <w:bottom w:w="20" w:type="dxa"/>
            </w:tcMar>
            <w:tcW w:w="7245" w:type="dxa"/>
            <w:vAlign w:val="center"/>
            <w:textDirection w:val="lrTb"/>
            <w:noWrap w:val="false"/>
          </w:tcPr>
          <w:p>
            <w:pPr>
              <w:pStyle w:val="924"/>
              <w:jc w:val="center"/>
              <w:spacing w:line="315" w:lineRule="exact"/>
            </w:pPr>
            <w:r>
              <w:rPr>
                <w:rFonts w:ascii="宋体" w:hAnsi="宋体" w:eastAsia="宋体" w:cs="宋体"/>
                <w:b/>
                <w:color w:val="000000"/>
                <w:sz w:val="21"/>
              </w:rPr>
              <w:t xml:space="preserve">评分标准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投标报价</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60</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b/>
                <w:color w:val="000000"/>
                <w:sz w:val="21"/>
              </w:rPr>
              <w:t xml:space="preserve">投标最低报价为评标基准价</w:t>
            </w:r>
            <w:r>
              <w:rPr>
                <w:rFonts w:ascii="宋体" w:hAnsi="宋体" w:eastAsia="宋体" w:cs="宋体"/>
                <w:color w:val="000000"/>
                <w:sz w:val="21"/>
              </w:rPr>
              <w:t xml:space="preserve">：满足招标文件要求且投标价格最低的投标报价为评标基准价，其价格分为满分。其他投标人的价格分统一按照下列公式计算：投标报价得分=(评标基准价/投标报价)×60。</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技术参数</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8</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设备技术参数全部满足招标文件第四章采购需求中“设备技术指标要求”“安装施工管理要求”“商务要求”的得8分。斜体且有下划线部分为实质性技术参数要求，有一条负偏离作无效投标处理；带▲的为重要技术参数，</w:t>
            </w:r>
            <w:r>
              <w:rPr>
                <w:rFonts w:ascii="宋体" w:hAnsi="宋体" w:eastAsia="宋体" w:cs="宋体"/>
                <w:color w:val="000000"/>
                <w:sz w:val="21"/>
                <w:highlight w:val="none"/>
              </w:rPr>
              <w:t xml:space="preserve">共</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条</w:t>
            </w:r>
            <w:r>
              <w:rPr>
                <w:rFonts w:ascii="宋体" w:hAnsi="宋体" w:eastAsia="宋体" w:cs="宋体"/>
                <w:color w:val="000000"/>
                <w:sz w:val="21"/>
              </w:rPr>
              <w:t xml:space="preserve">，总分8分，每个负偏离项扣0.8分，扣完为止；注：供应商针对本项评分内容在响应文件《技术响应偏离表》中逐条列出响应及偏离情况，采购技术参数要求提供证明材料的，以证明材料为准，并详细标明所在投标文件中的位置；采购需求中未要求提供证明材料的，以《技术响应偏离表》为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业绩</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4</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供应商自2023年1月1日（以合同签订时间为准）以来类似业绩，有一个得1分，本项最高得4分。提供清晰的中标通知书、合同复印件、开给甲方的发票作为业绩证明材料，缺一项视为无效证明材料。</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项目组成员</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8</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1.项目经理具有中级工程师职称及以上的得2分，不符合要求不得分。（需提供项目经理身份证、有效证书及投标人为其缴纳的近六个月任意一个月的社保证明材料）</w:t>
            </w:r>
            <w:r/>
          </w:p>
          <w:p>
            <w:pPr>
              <w:pStyle w:val="924"/>
              <w:jc w:val="left"/>
              <w:spacing w:before="0" w:after="0" w:line="315" w:lineRule="exact"/>
            </w:pPr>
            <w:r>
              <w:rPr>
                <w:rFonts w:ascii="宋体" w:hAnsi="宋体" w:eastAsia="宋体" w:cs="宋体"/>
                <w:color w:val="000000"/>
                <w:sz w:val="21"/>
              </w:rPr>
              <w:t xml:space="preserve">2.项目组成员具有特种操作证其中须包含电工专业2个、焊接作业1个、高处作业证1个、制冷与空调设备安装修理作业操作证2个，每有一个，得1分，最高得6分。</w:t>
            </w:r>
            <w:r/>
          </w:p>
          <w:p>
            <w:pPr>
              <w:pStyle w:val="924"/>
              <w:jc w:val="left"/>
              <w:spacing w:before="0" w:after="0" w:line="315" w:lineRule="exact"/>
            </w:pPr>
            <w:r>
              <w:rPr>
                <w:rFonts w:ascii="宋体" w:hAnsi="宋体" w:eastAsia="宋体" w:cs="宋体"/>
                <w:color w:val="000000"/>
                <w:sz w:val="21"/>
              </w:rPr>
              <w:t xml:space="preserve">（1）须提供上述人员名单（格式自拟）及相关证书扫描件或复印件；</w:t>
            </w:r>
            <w:r/>
          </w:p>
          <w:p>
            <w:pPr>
              <w:pStyle w:val="924"/>
              <w:jc w:val="left"/>
              <w:spacing w:before="0" w:after="0" w:line="315" w:lineRule="exact"/>
            </w:pPr>
            <w:r>
              <w:rPr>
                <w:rFonts w:ascii="宋体" w:hAnsi="宋体" w:eastAsia="宋体" w:cs="宋体"/>
                <w:color w:val="000000"/>
                <w:sz w:val="21"/>
              </w:rPr>
              <w:t xml:space="preserve">（2）须提供供应商为拟委任人员缴纳近六个月任意一个月社保证明材料扫描件或复印件。</w:t>
            </w:r>
            <w:r/>
          </w:p>
          <w:p>
            <w:pPr>
              <w:pStyle w:val="924"/>
              <w:jc w:val="left"/>
              <w:spacing w:before="0" w:after="0" w:line="315" w:lineRule="exact"/>
            </w:pPr>
            <w:r>
              <w:rPr>
                <w:rFonts w:ascii="宋体" w:hAnsi="宋体" w:eastAsia="宋体" w:cs="宋体"/>
                <w:color w:val="000000"/>
                <w:sz w:val="21"/>
              </w:rPr>
              <w:t xml:space="preserve">（3）社保缴费证明（或社保的有效证明材料）指的是至少含养老保险、医疗保险、工伤保险、失业保险中任意一项即可</w:t>
            </w:r>
            <w:r>
              <w:rPr>
                <w:rFonts w:ascii="宋体" w:hAnsi="宋体" w:eastAsia="宋体" w:cs="宋体"/>
                <w:color w:val="000000"/>
                <w:sz w:val="21"/>
              </w:rPr>
              <w:t xml:space="preserve">。</w:t>
            </w:r>
            <w:r/>
          </w:p>
          <w:p>
            <w:pPr>
              <w:pStyle w:val="924"/>
              <w:jc w:val="left"/>
              <w:spacing w:before="0" w:after="0" w:line="315" w:lineRule="exact"/>
            </w:pPr>
            <w:r>
              <w:rPr>
                <w:rFonts w:ascii="宋体" w:hAnsi="宋体" w:eastAsia="宋体" w:cs="宋体"/>
                <w:color w:val="000000"/>
                <w:sz w:val="21"/>
              </w:rPr>
              <w:t xml:space="preserve">（4）以上证书人员不可兼任。</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项目实施方案</w:t>
            </w:r>
            <w:r/>
          </w:p>
        </w:tc>
        <w:tc>
          <w:tcPr>
            <w:tcMar>
              <w:left w:w="20" w:type="dxa"/>
              <w:top w:w="20" w:type="dxa"/>
              <w:right w:w="20" w:type="dxa"/>
              <w:bottom w:w="20" w:type="dxa"/>
            </w:tcMar>
            <w:tcW w:w="705" w:type="dxa"/>
            <w:vAlign w:val="center"/>
            <w:textDirection w:val="lrTb"/>
            <w:noWrap w:val="false"/>
          </w:tcPr>
          <w:p>
            <w:pPr>
              <w:pStyle w:val="924"/>
              <w:jc w:val="center"/>
            </w:pPr>
            <w:r>
              <w:rPr>
                <w:rFonts w:hint="eastAsia" w:ascii="宋体" w:hAnsi="宋体" w:cs="宋体"/>
                <w:color w:val="000000"/>
                <w:sz w:val="21"/>
                <w:lang w:val="en-US" w:eastAsia="zh-CN"/>
              </w:rPr>
              <w:t xml:space="preserve">5</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5.1投标人应根据本项目特点，制定本项目实施总体方案。方案应当包含本项目施工总进度计划、备货计划、施工安装、施工设备配置、现场施工平面布置、拟投入的劳动力计划、施工人员培训等内容。方案以科学性、合理性、可操作性为核心，要求进度节点清晰、资源配置充足、组织协调高效、风险防控到位，符合现场实际与工期要求，具备可靠落地执行能力。</w:t>
            </w:r>
            <w:r/>
          </w:p>
          <w:p>
            <w:pPr>
              <w:pStyle w:val="924"/>
              <w:jc w:val="left"/>
              <w:spacing w:before="0" w:after="0" w:line="315" w:lineRule="exact"/>
            </w:pPr>
            <w:r>
              <w:rPr>
                <w:rFonts w:ascii="宋体" w:hAnsi="宋体" w:eastAsia="宋体" w:cs="宋体"/>
                <w:color w:val="000000"/>
                <w:sz w:val="21"/>
              </w:rPr>
              <w:t xml:space="preserve">1.方案优于项目需求的，得</w:t>
            </w:r>
            <w:r>
              <w:rPr>
                <w:rFonts w:hint="eastAsia" w:ascii="宋体" w:hAnsi="宋体" w:cs="宋体"/>
                <w:color w:val="000000"/>
                <w:sz w:val="21"/>
                <w:lang w:val="en-US" w:eastAsia="zh-CN"/>
              </w:rPr>
              <w:t xml:space="preserve">5</w:t>
            </w:r>
            <w:r>
              <w:rPr>
                <w:rFonts w:ascii="宋体" w:hAnsi="宋体" w:eastAsia="宋体" w:cs="宋体"/>
                <w:color w:val="000000"/>
                <w:sz w:val="21"/>
              </w:rPr>
              <w:t xml:space="preserve">分；</w:t>
            </w:r>
            <w:r/>
          </w:p>
          <w:p>
            <w:pPr>
              <w:pStyle w:val="924"/>
              <w:jc w:val="left"/>
              <w:spacing w:before="0" w:after="0" w:line="315" w:lineRule="exact"/>
            </w:pPr>
            <w:r>
              <w:rPr>
                <w:rFonts w:ascii="宋体" w:hAnsi="宋体" w:eastAsia="宋体" w:cs="宋体"/>
                <w:color w:val="000000"/>
                <w:sz w:val="21"/>
              </w:rPr>
              <w:t xml:space="preserve">2.方案符合项目需求的，得</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分；</w:t>
            </w:r>
            <w:r/>
          </w:p>
          <w:p>
            <w:pPr>
              <w:pStyle w:val="924"/>
              <w:jc w:val="left"/>
              <w:spacing w:before="0" w:after="0" w:line="315" w:lineRule="exact"/>
            </w:pPr>
            <w:r>
              <w:rPr>
                <w:rFonts w:ascii="宋体" w:hAnsi="宋体" w:eastAsia="宋体" w:cs="宋体"/>
                <w:color w:val="000000"/>
                <w:sz w:val="21"/>
              </w:rPr>
              <w:t xml:space="preserve">3.方案不符合或未提供的，得0分。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项目实施方案</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4</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5.2投标人根据本项目特点，提供的关于本项目的安全文明施工及环境保护方案。包括高空作业管理、动火作业管理、应急处理、安全管理机构设立、施工前的安全教育与培训、安全管理规范、环境保护措施等。方案以合规性、针对性、可操作性为核心，要求责任明确、措施具体、管控到位，符合现行安全环保法规及现场管理要求，具备有效风险防控与应急处置能力。</w:t>
            </w:r>
            <w:r/>
          </w:p>
          <w:p>
            <w:pPr>
              <w:pStyle w:val="924"/>
              <w:jc w:val="left"/>
              <w:spacing w:before="0" w:after="0" w:line="315" w:lineRule="exact"/>
            </w:pPr>
            <w:r>
              <w:rPr>
                <w:rFonts w:ascii="宋体" w:hAnsi="宋体" w:eastAsia="宋体" w:cs="宋体"/>
                <w:color w:val="000000"/>
                <w:sz w:val="21"/>
              </w:rPr>
              <w:t xml:space="preserve">1.方案优于项目需求的，得4分；</w:t>
            </w:r>
            <w:r/>
          </w:p>
          <w:p>
            <w:pPr>
              <w:pStyle w:val="924"/>
              <w:jc w:val="left"/>
              <w:spacing w:before="0" w:after="0" w:line="315" w:lineRule="exact"/>
            </w:pPr>
            <w:r>
              <w:rPr>
                <w:rFonts w:ascii="宋体" w:hAnsi="宋体" w:eastAsia="宋体" w:cs="宋体"/>
                <w:color w:val="000000"/>
                <w:sz w:val="21"/>
              </w:rPr>
              <w:t xml:space="preserve">2.方案符合项目需求的，得2分；</w:t>
            </w:r>
            <w:r/>
          </w:p>
          <w:p>
            <w:pPr>
              <w:pStyle w:val="924"/>
              <w:jc w:val="left"/>
              <w:spacing w:before="0" w:after="0" w:line="315" w:lineRule="exact"/>
            </w:pPr>
            <w:r>
              <w:rPr>
                <w:rFonts w:ascii="宋体" w:hAnsi="宋体" w:eastAsia="宋体" w:cs="宋体"/>
                <w:color w:val="000000"/>
                <w:sz w:val="21"/>
              </w:rPr>
              <w:t xml:space="preserve">3.方案不符合或未提供的，得0分。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项目实施方案</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4</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5.3投标人根据本项目空调安装特点，提供本项目空调安装质量保障方案。方案包括空调安装施工质量检查机制、空调设备及管路成品保护、现状设施的拆除与恢复、空调安装常见隐患排查、空调安装各工序验收标准、空调安装质量问题排查整改机制等。方案需贴合本项目大批量空调安装的实际工况，兼具科学性、针对性和可操作性，严格满足空调安装质量达标要求，做到责任分工明确、安装过程管控具体、质量整改闭环高效，有效防范各类空调安装质量隐患，符合空调安装行业规范及本项目相关质量要求。</w:t>
            </w:r>
            <w:r/>
          </w:p>
          <w:p>
            <w:pPr>
              <w:pStyle w:val="924"/>
              <w:jc w:val="left"/>
              <w:spacing w:before="0" w:after="0" w:line="315" w:lineRule="exact"/>
            </w:pPr>
            <w:r>
              <w:rPr>
                <w:rFonts w:ascii="宋体" w:hAnsi="宋体" w:eastAsia="宋体" w:cs="宋体"/>
                <w:color w:val="000000"/>
                <w:sz w:val="21"/>
              </w:rPr>
              <w:t xml:space="preserve">1.方案优于项目需求的，4分；</w:t>
            </w:r>
            <w:r/>
          </w:p>
          <w:p>
            <w:pPr>
              <w:pStyle w:val="924"/>
              <w:jc w:val="left"/>
              <w:spacing w:before="0" w:after="0" w:line="315" w:lineRule="exact"/>
            </w:pPr>
            <w:r>
              <w:rPr>
                <w:rFonts w:ascii="宋体" w:hAnsi="宋体" w:eastAsia="宋体" w:cs="宋体"/>
                <w:color w:val="000000"/>
                <w:sz w:val="21"/>
              </w:rPr>
              <w:t xml:space="preserve">2.方案符合项目需求的，得2分；</w:t>
            </w:r>
            <w:r/>
          </w:p>
          <w:p>
            <w:pPr>
              <w:pStyle w:val="924"/>
              <w:jc w:val="left"/>
              <w:spacing w:before="0" w:after="0" w:line="315" w:lineRule="exact"/>
            </w:pPr>
            <w:r>
              <w:rPr>
                <w:rFonts w:ascii="宋体" w:hAnsi="宋体" w:eastAsia="宋体" w:cs="宋体"/>
                <w:color w:val="000000"/>
                <w:sz w:val="21"/>
              </w:rPr>
              <w:t xml:space="preserve">3.方案不符合或未提供的，得0分。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项目实施方案</w:t>
            </w:r>
            <w:r/>
          </w:p>
        </w:tc>
        <w:tc>
          <w:tcPr>
            <w:tcMar>
              <w:left w:w="20" w:type="dxa"/>
              <w:top w:w="20" w:type="dxa"/>
              <w:right w:w="20" w:type="dxa"/>
              <w:bottom w:w="20" w:type="dxa"/>
            </w:tcMar>
            <w:tcW w:w="705" w:type="dxa"/>
            <w:vAlign w:val="center"/>
            <w:textDirection w:val="lrTb"/>
            <w:noWrap w:val="false"/>
          </w:tcPr>
          <w:p>
            <w:pPr>
              <w:pStyle w:val="924"/>
              <w:jc w:val="center"/>
            </w:pPr>
            <w:r>
              <w:rPr>
                <w:rFonts w:ascii="宋体" w:hAnsi="宋体" w:eastAsia="宋体" w:cs="宋体"/>
                <w:color w:val="000000"/>
                <w:sz w:val="21"/>
              </w:rPr>
              <w:t xml:space="preserve">4</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5.4投标人根据本项目特点，提供完整的售后服务方案。需全面包含服务体系架构、核心服务内容、故障应急解决方案、专业技术人员保障、24 小时服务热线及响应机制、操作使用培训方案、备品备件保障、定期巡检维护、质保期内及质保期后服务细则、客户投诉处理流程、售后服务台账管理等核心内容。方案以响应高效、保障到位、流程规范、可落地性强为标准，要求人员专业、备件充足、机制健全、记录完整，满足项目全周期使用与运维需求。</w:t>
            </w:r>
            <w:r/>
          </w:p>
          <w:p>
            <w:pPr>
              <w:pStyle w:val="924"/>
              <w:jc w:val="left"/>
              <w:spacing w:before="0" w:after="0" w:line="315" w:lineRule="exact"/>
            </w:pPr>
            <w:r>
              <w:rPr>
                <w:rFonts w:ascii="宋体" w:hAnsi="宋体" w:eastAsia="宋体" w:cs="宋体"/>
                <w:color w:val="000000"/>
                <w:sz w:val="21"/>
              </w:rPr>
              <w:t xml:space="preserve">1.方案优于项目需求的，得4分；</w:t>
            </w:r>
            <w:r/>
          </w:p>
          <w:p>
            <w:pPr>
              <w:pStyle w:val="924"/>
              <w:jc w:val="left"/>
              <w:spacing w:before="0" w:after="0" w:line="315" w:lineRule="exact"/>
            </w:pPr>
            <w:r>
              <w:rPr>
                <w:rFonts w:ascii="宋体" w:hAnsi="宋体" w:eastAsia="宋体" w:cs="宋体"/>
                <w:color w:val="000000"/>
                <w:sz w:val="21"/>
              </w:rPr>
              <w:t xml:space="preserve">2.方案符合项目需求的，得2分；</w:t>
            </w:r>
            <w:r/>
          </w:p>
          <w:p>
            <w:pPr>
              <w:pStyle w:val="924"/>
              <w:jc w:val="left"/>
              <w:spacing w:before="0" w:after="0" w:line="315" w:lineRule="exact"/>
            </w:pPr>
            <w:r>
              <w:rPr>
                <w:rFonts w:ascii="宋体" w:hAnsi="宋体" w:eastAsia="宋体" w:cs="宋体"/>
                <w:color w:val="000000"/>
                <w:sz w:val="21"/>
              </w:rPr>
              <w:t xml:space="preserve">3.方案不符合或未提供的，得0分。</w:t>
            </w:r>
            <w:r/>
          </w:p>
        </w:tc>
      </w:tr>
      <w:tr>
        <w:trPr>
          <w:trHeight w:val="720"/>
        </w:trPr>
        <w:tc>
          <w:tcPr>
            <w:tcMar>
              <w:left w:w="20" w:type="dxa"/>
              <w:top w:w="20" w:type="dxa"/>
              <w:right w:w="20" w:type="dxa"/>
              <w:bottom w:w="20" w:type="dxa"/>
            </w:tcMar>
            <w:tcW w:w="1215" w:type="dxa"/>
            <w:vAlign w:val="center"/>
            <w:textDirection w:val="lrTb"/>
            <w:noWrap w:val="false"/>
          </w:tcPr>
          <w:p>
            <w:pPr>
              <w:pStyle w:val="924"/>
              <w:jc w:val="center"/>
              <w:spacing w:line="315" w:lineRule="exact"/>
            </w:pPr>
            <w:r>
              <w:rPr>
                <w:rFonts w:ascii="宋体" w:hAnsi="宋体" w:eastAsia="宋体" w:cs="宋体"/>
                <w:color w:val="000000"/>
                <w:sz w:val="21"/>
              </w:rPr>
              <w:t xml:space="preserve">质保期</w:t>
            </w:r>
            <w:r/>
          </w:p>
        </w:tc>
        <w:tc>
          <w:tcPr>
            <w:tcMar>
              <w:left w:w="20" w:type="dxa"/>
              <w:top w:w="20" w:type="dxa"/>
              <w:right w:w="20" w:type="dxa"/>
              <w:bottom w:w="20" w:type="dxa"/>
            </w:tcMar>
            <w:tcW w:w="705" w:type="dxa"/>
            <w:vAlign w:val="center"/>
            <w:textDirection w:val="lrTb"/>
            <w:noWrap w:val="false"/>
          </w:tcPr>
          <w:p>
            <w:pPr>
              <w:pStyle w:val="924"/>
              <w:jc w:val="center"/>
            </w:pPr>
            <w:r>
              <w:rPr>
                <w:rFonts w:hint="eastAsia" w:ascii="宋体" w:hAnsi="宋体" w:cs="宋体"/>
                <w:color w:val="000000"/>
                <w:sz w:val="21"/>
                <w:lang w:val="en-US" w:eastAsia="zh-CN"/>
              </w:rPr>
              <w:t xml:space="preserve">2</w:t>
            </w:r>
            <w:r/>
          </w:p>
        </w:tc>
        <w:tc>
          <w:tcPr>
            <w:tcMar>
              <w:left w:w="20" w:type="dxa"/>
              <w:top w:w="20" w:type="dxa"/>
              <w:right w:w="20" w:type="dxa"/>
              <w:bottom w:w="20" w:type="dxa"/>
            </w:tcMar>
            <w:tcW w:w="7245" w:type="dxa"/>
            <w:vAlign w:val="top"/>
            <w:textDirection w:val="lrTb"/>
            <w:noWrap w:val="false"/>
          </w:tcPr>
          <w:p>
            <w:pPr>
              <w:pStyle w:val="924"/>
              <w:jc w:val="left"/>
              <w:spacing w:line="315" w:lineRule="exact"/>
            </w:pPr>
            <w:r>
              <w:rPr>
                <w:rFonts w:ascii="宋体" w:hAnsi="宋体" w:eastAsia="宋体" w:cs="宋体"/>
                <w:color w:val="000000"/>
                <w:sz w:val="21"/>
              </w:rPr>
              <w:t xml:space="preserve">供应商质保期在满足招标文件的基础每增加一年得0.5分，本项最高得2分（提供相关承诺书加盖公章）。</w:t>
            </w:r>
            <w:r/>
          </w:p>
        </w:tc>
      </w:tr>
      <w:tr>
        <w:trPr>
          <w:trHeight w:val="1065" w:hRule="exact"/>
        </w:trPr>
        <w:tc>
          <w:tcPr>
            <w:tcMar>
              <w:left w:w="20" w:type="dxa"/>
              <w:top w:w="20" w:type="dxa"/>
              <w:right w:w="20" w:type="dxa"/>
              <w:bottom w:w="20" w:type="dxa"/>
            </w:tcMar>
            <w:tcW w:w="1215" w:type="dxa"/>
            <w:vAlign w:val="top"/>
            <w:textDirection w:val="lrTb"/>
            <w:noWrap w:val="false"/>
          </w:tcPr>
          <w:p>
            <w:pPr>
              <w:pStyle w:val="924"/>
              <w:jc w:val="center"/>
              <w:rPr>
                <w:rFonts w:hint="eastAsia" w:eastAsia="宋体"/>
                <w:lang w:val="en-US" w:eastAsia="zh-CN"/>
              </w:rPr>
            </w:pPr>
            <w:r>
              <w:rPr>
                <w:rFonts w:hint="eastAsia"/>
                <w:lang w:val="en-US" w:eastAsia="zh-CN"/>
              </w:rPr>
              <w:t xml:space="preserve">环保分</w:t>
            </w:r>
            <w:r>
              <w:rPr>
                <w:rFonts w:hint="eastAsia" w:eastAsia="宋体"/>
                <w:lang w:val="en-US" w:eastAsia="zh-CN"/>
              </w:rPr>
            </w:r>
            <w:r/>
          </w:p>
        </w:tc>
        <w:tc>
          <w:tcPr>
            <w:tcMar>
              <w:left w:w="20" w:type="dxa"/>
              <w:top w:w="20" w:type="dxa"/>
              <w:right w:w="20" w:type="dxa"/>
              <w:bottom w:w="20" w:type="dxa"/>
            </w:tcMar>
            <w:tcW w:w="705" w:type="dxa"/>
            <w:vAlign w:val="top"/>
            <w:textDirection w:val="lrTb"/>
            <w:noWrap w:val="false"/>
          </w:tcPr>
          <w:p>
            <w:pPr>
              <w:pStyle w:val="924"/>
              <w:jc w:val="center"/>
              <w:rPr>
                <w:rFonts w:hint="eastAsia" w:eastAsia="宋体"/>
                <w:lang w:val="en-US" w:eastAsia="zh-CN"/>
              </w:rPr>
            </w:pPr>
            <w:r>
              <w:rPr>
                <w:rFonts w:hint="eastAsia"/>
                <w:lang w:val="en-US" w:eastAsia="zh-CN"/>
              </w:rPr>
              <w:t xml:space="preserve">1</w:t>
            </w:r>
            <w:r>
              <w:rPr>
                <w:rFonts w:hint="eastAsia" w:eastAsia="宋体"/>
                <w:lang w:val="en-US" w:eastAsia="zh-CN"/>
              </w:rPr>
            </w:r>
            <w:r/>
          </w:p>
        </w:tc>
        <w:tc>
          <w:tcPr>
            <w:tcMar>
              <w:left w:w="20" w:type="dxa"/>
              <w:top w:w="20" w:type="dxa"/>
              <w:right w:w="20" w:type="dxa"/>
              <w:bottom w:w="20" w:type="dxa"/>
            </w:tcMar>
            <w:tcW w:w="7245" w:type="dxa"/>
            <w:vAlign w:val="top"/>
            <w:textDirection w:val="lrTb"/>
            <w:noWrap w:val="false"/>
          </w:tcPr>
          <w:p>
            <w:pPr>
              <w:pStyle w:val="924"/>
            </w:pPr>
            <w:r>
              <w:rPr>
                <w:rFonts w:hint="eastAsia" w:ascii="宋体" w:hAnsi="宋体"/>
                <w:color w:val="000000"/>
                <w:sz w:val="21"/>
                <w:szCs w:val="21"/>
              </w:rPr>
              <w:t xml:space="preserve">投标产品属于财政部、生态环境部公布的“环境标志产品品目清单”范围内的，投标人提供国家确定的认证机构出具的、处于有效期内的</w:t>
            </w:r>
            <w:r>
              <w:rPr>
                <w:rFonts w:hint="eastAsia" w:ascii="宋体" w:hAnsi="宋体" w:eastAsia="宋体" w:cs="Times New Roman"/>
                <w:color w:val="000000"/>
                <w:sz w:val="21"/>
                <w:szCs w:val="21"/>
              </w:rPr>
              <w:t xml:space="preserve">该投标产品环境标志产品认证证书</w:t>
            </w:r>
            <w:r>
              <w:rPr>
                <w:rFonts w:hint="eastAsia" w:ascii="宋体" w:hAnsi="宋体"/>
                <w:color w:val="000000"/>
                <w:sz w:val="21"/>
                <w:szCs w:val="21"/>
              </w:rPr>
              <w:t xml:space="preserve">复印件的，有1个得0.5分，最多得1分。</w:t>
            </w:r>
            <w:r/>
          </w:p>
        </w:tc>
      </w:tr>
    </w:tbl>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bookmarkEnd w:id="176"/>
      <w:r/>
      <w:bookmarkEnd w:id="177"/>
      <w:r/>
      <w:bookmarkEnd w:id="182"/>
      <w:r/>
      <w:bookmarkEnd w:id="183"/>
      <w:r/>
      <w:bookmarkEnd w:id="184"/>
      <w:r>
        <w:rPr>
          <w:rFonts w:hint="eastAsia"/>
        </w:rPr>
      </w:r>
      <w:r/>
    </w:p>
    <w:p>
      <w:pPr>
        <w:shd w:val="nil"/>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r>
    </w:p>
    <w:p>
      <w:pPr>
        <w:pStyle w:val="924"/>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投标文件格式</w:t>
      </w:r>
      <w:r>
        <w:rPr>
          <w:rFonts w:hint="eastAsia" w:ascii="黑体" w:hAnsi="Times New Roman" w:eastAsia="黑体"/>
          <w:bCs/>
          <w:color w:val="000000"/>
          <w:sz w:val="44"/>
          <w:szCs w:val="28"/>
        </w:rPr>
      </w:r>
      <w:r/>
    </w:p>
    <w:p>
      <w:pPr>
        <w:pStyle w:val="924"/>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120614282"/>
      <w:r/>
      <w:bookmarkStart w:id="188" w:name="_Toc26554094"/>
      <w:r/>
      <w:bookmarkStart w:id="189" w:name="_Toc49090576"/>
      <w:r>
        <w:rPr>
          <w:rFonts w:hint="eastAsia" w:ascii="宋体" w:hAnsi="宋体"/>
          <w:b/>
          <w:color w:val="000000"/>
          <w:sz w:val="72"/>
          <w:szCs w:val="21"/>
        </w:rPr>
      </w:r>
      <w:r/>
    </w:p>
    <w:p>
      <w:pPr>
        <w:pStyle w:val="92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4"/>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4"/>
        <w:jc w:val="center"/>
        <w:spacing w:line="440" w:lineRule="exact"/>
        <w:rPr>
          <w:rFonts w:hint="eastAsia" w:ascii="宋体" w:hAnsi="宋体"/>
          <w:b/>
          <w:bCs/>
          <w:sz w:val="32"/>
          <w:szCs w:val="32"/>
        </w:rPr>
      </w:pPr>
      <w:r>
        <w:rPr>
          <w:rFonts w:hint="eastAsia" w:ascii="宋体" w:hAnsi="宋体"/>
          <w:b/>
          <w:bCs/>
          <w:sz w:val="32"/>
          <w:szCs w:val="32"/>
        </w:rPr>
      </w:r>
      <w:r/>
    </w:p>
    <w:p>
      <w:pPr>
        <w:pStyle w:val="924"/>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24"/>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24"/>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24"/>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24"/>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24"/>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24"/>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24"/>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24"/>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24"/>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24"/>
        <w:ind w:firstLine="480"/>
        <w:spacing w:line="400" w:lineRule="exact"/>
        <w:rPr>
          <w:rFonts w:hint="eastAsia" w:ascii="宋体" w:hAnsi="宋体"/>
          <w:sz w:val="24"/>
          <w:szCs w:val="21"/>
        </w:rPr>
      </w:pPr>
      <w:r>
        <w:rPr>
          <w:rFonts w:hint="eastAsia" w:ascii="宋体" w:hAnsi="宋体"/>
          <w:sz w:val="24"/>
          <w:szCs w:val="21"/>
        </w:rPr>
      </w:r>
      <w:r/>
    </w:p>
    <w:p>
      <w:pPr>
        <w:pStyle w:val="924"/>
        <w:ind w:left="480"/>
        <w:rPr>
          <w:rFonts w:ascii="宋体" w:hAnsi="宋体"/>
          <w:b/>
          <w:sz w:val="24"/>
          <w:szCs w:val="21"/>
        </w:rPr>
      </w:pPr>
      <w:r>
        <w:rPr>
          <w:rFonts w:ascii="宋体" w:hAnsi="宋体"/>
          <w:b/>
          <w:sz w:val="24"/>
          <w:szCs w:val="21"/>
        </w:rPr>
      </w:r>
      <w:r/>
    </w:p>
    <w:p>
      <w:pPr>
        <w:pStyle w:val="924"/>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24"/>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4"/>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24"/>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24"/>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24"/>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24"/>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24"/>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24"/>
        <w:rPr>
          <w:rFonts w:ascii="宋体" w:hAnsi="宋体"/>
          <w:sz w:val="24"/>
          <w:szCs w:val="24"/>
        </w:rPr>
      </w:pPr>
      <w:r>
        <w:rPr>
          <w:rFonts w:ascii="宋体" w:hAnsi="宋体"/>
          <w:sz w:val="24"/>
          <w:szCs w:val="24"/>
        </w:rPr>
      </w:r>
      <w:r/>
    </w:p>
    <w:p>
      <w:pPr>
        <w:pStyle w:val="924"/>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24"/>
        <w:jc w:val="center"/>
        <w:rPr>
          <w:rFonts w:ascii="宋体" w:hAnsi="宋体"/>
          <w:b/>
          <w:sz w:val="24"/>
          <w:szCs w:val="24"/>
        </w:rPr>
      </w:pPr>
      <w:r>
        <w:rPr>
          <w:rFonts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2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2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24"/>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71"/>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4"/>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24"/>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24"/>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24"/>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24"/>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bl>
    <w:p>
      <w:pPr>
        <w:pStyle w:val="92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4"/>
        <w:spacing w:line="400" w:lineRule="exact"/>
        <w:rPr>
          <w:rFonts w:ascii="宋体" w:hAnsi="宋体"/>
          <w:sz w:val="24"/>
          <w:szCs w:val="24"/>
        </w:rPr>
      </w:pP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bl>
    <w:p>
      <w:pPr>
        <w:pStyle w:val="92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4"/>
        <w:spacing w:line="400" w:lineRule="exact"/>
        <w:rPr>
          <w:rFonts w:ascii="宋体" w:hAnsi="宋体"/>
          <w:sz w:val="24"/>
          <w:szCs w:val="24"/>
        </w:rPr>
      </w:pP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4"/>
        <w:rPr>
          <w:rFonts w:hint="eastAsia" w:ascii="宋体" w:hAnsi="宋体"/>
          <w:b/>
          <w:sz w:val="24"/>
          <w:szCs w:val="21"/>
        </w:rPr>
      </w:pPr>
      <w:r>
        <w:rPr>
          <w:rFonts w:hint="eastAsia" w:ascii="宋体" w:hAnsi="宋体"/>
          <w:b/>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r>
      <w:r/>
    </w:p>
    <w:p>
      <w:pPr>
        <w:pStyle w:val="924"/>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24"/>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2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color w:val="000000"/>
          <w:sz w:val="24"/>
          <w:szCs w:val="21"/>
        </w:rPr>
      </w:r>
      <w:r/>
    </w:p>
    <w:p>
      <w:pPr>
        <w:pStyle w:val="924"/>
        <w:spacing w:line="460" w:lineRule="exact"/>
        <w:rPr>
          <w:rFonts w:hint="eastAsia" w:ascii="宋体" w:hAnsi="宋体"/>
          <w:b/>
          <w:color w:val="000000"/>
          <w:sz w:val="24"/>
          <w:szCs w:val="21"/>
        </w:rPr>
      </w:pPr>
      <w:r>
        <w:rPr>
          <w:rFonts w:hint="eastAsia"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2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24"/>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24"/>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Hlt26671380"/>
      <w:r/>
      <w:bookmarkEnd w:id="191"/>
      <w:r/>
      <w:bookmarkStart w:id="192" w:name="_格式3__银行出具的资信证明"/>
      <w:r/>
      <w:bookmarkEnd w:id="192"/>
      <w:r/>
      <w:bookmarkStart w:id="193" w:name="_Hlt26955070"/>
      <w:r/>
      <w:bookmarkEnd w:id="193"/>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24"/>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24"/>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24"/>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24"/>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4"/>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924"/>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24"/>
        <w:spacing w:line="560" w:lineRule="exact"/>
        <w:rPr>
          <w:rFonts w:ascii="宋体" w:hAnsi="宋体"/>
          <w:b/>
          <w:color w:val="ff0000"/>
          <w:sz w:val="24"/>
          <w:szCs w:val="21"/>
        </w:rPr>
      </w:pPr>
      <w:r>
        <w:rPr>
          <w:rFonts w:ascii="宋体" w:hAnsi="宋体"/>
          <w:b/>
          <w:color w:val="ff0000"/>
          <w:sz w:val="24"/>
          <w:szCs w:val="21"/>
        </w:rPr>
      </w:r>
      <w:r/>
    </w:p>
    <w:p>
      <w:pPr>
        <w:pStyle w:val="924"/>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2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2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4"/>
        <w:ind w:right="720"/>
        <w:spacing w:line="400" w:lineRule="exact"/>
        <w:rPr>
          <w:rFonts w:hint="eastAsia" w:ascii="宋体" w:hAnsi="宋体"/>
          <w:sz w:val="24"/>
          <w:szCs w:val="24"/>
        </w:rPr>
      </w:pPr>
      <w:r>
        <w:rPr>
          <w:rFonts w:hint="eastAsia" w:ascii="宋体" w:hAnsi="宋体"/>
          <w:sz w:val="24"/>
          <w:szCs w:val="24"/>
        </w:rPr>
      </w:r>
      <w:r/>
    </w:p>
    <w:p>
      <w:pPr>
        <w:pStyle w:val="92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24"/>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24"/>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24"/>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24"/>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2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24"/>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2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24"/>
        <w:ind w:firstLine="645"/>
        <w:spacing w:line="400" w:lineRule="exact"/>
        <w:rPr>
          <w:rFonts w:hint="eastAsia" w:ascii="宋体" w:hAnsi="宋体"/>
          <w:sz w:val="24"/>
          <w:szCs w:val="21"/>
        </w:rPr>
      </w:pPr>
      <w:r>
        <w:rPr>
          <w:rFonts w:hint="eastAsia" w:ascii="宋体" w:hAnsi="宋体"/>
          <w:sz w:val="24"/>
          <w:szCs w:val="21"/>
        </w:rPr>
      </w:r>
      <w:r/>
    </w:p>
    <w:p>
      <w:pPr>
        <w:pStyle w:val="92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24"/>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2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r>
      <w:r/>
    </w:p>
    <w:p>
      <w:pPr>
        <w:pStyle w:val="92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2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4"/>
        <w:spacing w:line="400" w:lineRule="exact"/>
        <w:rPr>
          <w:rFonts w:ascii="宋体" w:hAnsi="宋体"/>
          <w:color w:val="000000"/>
          <w:sz w:val="24"/>
          <w:szCs w:val="24"/>
        </w:rPr>
      </w:pPr>
      <w:r>
        <w:rPr>
          <w:rFonts w:ascii="宋体" w:hAnsi="宋体"/>
          <w:color w:val="000000"/>
          <w:sz w:val="24"/>
          <w:szCs w:val="24"/>
        </w:rPr>
      </w:r>
      <w:r/>
    </w:p>
    <w:p>
      <w:pPr>
        <w:pStyle w:val="92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4"/>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3"/>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3"/>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rPr>
        <w:t xml:space="preserve">（厂名）</w:t>
      </w:r>
      <w:r>
        <w:rPr>
          <w:rStyle w:val="943"/>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3"/>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3"/>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1"/>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1"/>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1"/>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1"/>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1"/>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3"/>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4"/>
        <w:rPr>
          <w:rFonts w:hint="eastAsia" w:ascii="宋体" w:hAnsi="宋体" w:cs="仿宋"/>
          <w:b/>
          <w:bCs/>
          <w:color w:val="000000"/>
          <w:sz w:val="32"/>
          <w:szCs w:val="32"/>
        </w:rPr>
      </w:pPr>
      <w:r/>
      <w:bookmarkEnd w:id="190"/>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9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09"/>
      <w:isLgl w:val="false"/>
      <w:suff w:val="tab"/>
      <w:lvlText w:val="附录%1."/>
      <w:lvlJc w:val="left"/>
      <w:pPr>
        <w:pStyle w:val="9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8"/>
      <w:isLgl w:val="false"/>
      <w:suff w:val="tab"/>
      <w:lvlText w:val="%1."/>
      <w:lvlJc w:val="left"/>
      <w:pPr>
        <w:pStyle w:val="924"/>
        <w:ind w:left="709" w:hanging="709"/>
        <w:tabs>
          <w:tab w:val="num" w:pos="709" w:leader="none"/>
        </w:tabs>
      </w:pPr>
      <w:rPr>
        <w:rFonts w:hint="eastAsia"/>
      </w:rPr>
    </w:lvl>
    <w:lvl w:ilvl="1">
      <w:start w:val="1"/>
      <w:numFmt w:val="decimal"/>
      <w:isLgl w:val="false"/>
      <w:suff w:val="tab"/>
      <w:lvlText w:val="%1.%2"/>
      <w:lvlJc w:val="left"/>
      <w:pPr>
        <w:pStyle w:val="924"/>
        <w:ind w:left="709" w:hanging="709"/>
        <w:tabs>
          <w:tab w:val="num" w:pos="709" w:leader="none"/>
        </w:tabs>
      </w:pPr>
      <w:rPr>
        <w:rFonts w:hint="eastAsia"/>
      </w:rPr>
    </w:lvl>
    <w:lvl w:ilvl="2">
      <w:start w:val="1"/>
      <w:numFmt w:val="decimal"/>
      <w:isLgl w:val="false"/>
      <w:suff w:val="tab"/>
      <w:lvlText w:val="%1.%2.%3."/>
      <w:lvlJc w:val="left"/>
      <w:pPr>
        <w:pStyle w:val="924"/>
        <w:ind w:left="425" w:hanging="425"/>
        <w:tabs>
          <w:tab w:val="num" w:pos="425" w:leader="none"/>
        </w:tabs>
      </w:pPr>
      <w:rPr>
        <w:rFonts w:hint="eastAsia"/>
      </w:rPr>
    </w:lvl>
    <w:lvl w:ilvl="3">
      <w:start w:val="1"/>
      <w:numFmt w:val="decimal"/>
      <w:isLgl w:val="false"/>
      <w:suff w:val="tab"/>
      <w:lvlText w:val="%1.%2.%3.%4."/>
      <w:lvlJc w:val="left"/>
      <w:pPr>
        <w:pStyle w:val="924"/>
        <w:ind w:left="851" w:hanging="851"/>
        <w:tabs>
          <w:tab w:val="num" w:pos="851" w:leader="none"/>
        </w:tabs>
      </w:pPr>
      <w:rPr>
        <w:rFonts w:hint="eastAsia"/>
      </w:rPr>
    </w:lvl>
    <w:lvl w:ilvl="4">
      <w:start w:val="1"/>
      <w:numFmt w:val="decimal"/>
      <w:isLgl w:val="false"/>
      <w:suff w:val="tab"/>
      <w:lvlText w:val="%1.%2.%3.%4.%5."/>
      <w:lvlJc w:val="left"/>
      <w:pPr>
        <w:pStyle w:val="924"/>
        <w:ind w:left="992" w:hanging="992"/>
        <w:tabs>
          <w:tab w:val="num" w:pos="992" w:leader="none"/>
        </w:tabs>
      </w:pPr>
      <w:rPr>
        <w:rFonts w:hint="eastAsia"/>
      </w:rPr>
    </w:lvl>
    <w:lvl w:ilvl="5">
      <w:start w:val="1"/>
      <w:numFmt w:val="decimal"/>
      <w:isLgl w:val="false"/>
      <w:suff w:val="tab"/>
      <w:lvlText w:val="%1.%2.%3.%4.%5.%6."/>
      <w:lvlJc w:val="left"/>
      <w:pPr>
        <w:pStyle w:val="924"/>
        <w:ind w:left="1134" w:hanging="1134"/>
        <w:tabs>
          <w:tab w:val="num" w:pos="1134" w:leader="none"/>
        </w:tabs>
      </w:pPr>
      <w:rPr>
        <w:rFonts w:hint="eastAsia"/>
      </w:rPr>
    </w:lvl>
    <w:lvl w:ilvl="6">
      <w:start w:val="1"/>
      <w:numFmt w:val="decimal"/>
      <w:isLgl w:val="false"/>
      <w:suff w:val="tab"/>
      <w:lvlText w:val="%1.%2.%3.%4.%5.%6.%7."/>
      <w:lvlJc w:val="left"/>
      <w:pPr>
        <w:pStyle w:val="924"/>
        <w:ind w:left="1276" w:hanging="1276"/>
        <w:tabs>
          <w:tab w:val="num" w:pos="1276" w:leader="none"/>
        </w:tabs>
      </w:pPr>
      <w:rPr>
        <w:rFonts w:hint="eastAsia"/>
      </w:rPr>
    </w:lvl>
    <w:lvl w:ilvl="7">
      <w:start w:val="1"/>
      <w:numFmt w:val="decimal"/>
      <w:isLgl w:val="false"/>
      <w:suff w:val="tab"/>
      <w:lvlText w:val="%1.%2.%3.%4.%5.%6.%7.%8."/>
      <w:lvlJc w:val="left"/>
      <w:pPr>
        <w:pStyle w:val="924"/>
        <w:ind w:left="1418" w:hanging="1418"/>
        <w:tabs>
          <w:tab w:val="num" w:pos="1418" w:leader="none"/>
        </w:tabs>
      </w:pPr>
      <w:rPr>
        <w:rFonts w:hint="eastAsia"/>
      </w:rPr>
    </w:lvl>
    <w:lvl w:ilvl="8">
      <w:start w:val="1"/>
      <w:numFmt w:val="decimal"/>
      <w:isLgl w:val="false"/>
      <w:suff w:val="tab"/>
      <w:lvlText w:val="%1.%2.%3.%4.%5.%6.%7.%8.%9."/>
      <w:lvlJc w:val="left"/>
      <w:pPr>
        <w:pStyle w:val="92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24"/>
        <w:ind w:left="0" w:firstLine="0"/>
      </w:pPr>
      <w:rPr>
        <w:rFonts w:hint="eastAsia"/>
      </w:rPr>
    </w:lvl>
    <w:lvl w:ilvl="1">
      <w:start w:val="1"/>
      <w:numFmt w:val="decimal"/>
      <w:isLgl w:val="false"/>
      <w:suff w:val="nothing"/>
      <w:lvlText w:val="%2、"/>
      <w:lvlJc w:val="left"/>
      <w:pPr>
        <w:pStyle w:val="924"/>
        <w:ind w:left="0" w:firstLine="0"/>
      </w:pPr>
      <w:rPr>
        <w:rFonts w:hint="eastAsia"/>
      </w:rPr>
    </w:lvl>
    <w:lvl w:ilvl="2">
      <w:start w:val="1"/>
      <w:numFmt w:val="decimal"/>
      <w:isLgl w:val="false"/>
      <w:suff w:val="nothing"/>
      <w:lvlText w:val="%2.%3 "/>
      <w:lvlJc w:val="left"/>
      <w:pPr>
        <w:pStyle w:val="924"/>
        <w:ind w:left="0" w:firstLine="0"/>
      </w:pPr>
      <w:rPr>
        <w:rFonts w:hint="eastAsia"/>
      </w:rPr>
    </w:lvl>
    <w:lvl w:ilvl="3">
      <w:start w:val="1"/>
      <w:numFmt w:val="decimal"/>
      <w:isLgl w:val="false"/>
      <w:suff w:val="nothing"/>
      <w:lvlText w:val="%2.%3.%4 "/>
      <w:lvlJc w:val="left"/>
      <w:pPr>
        <w:pStyle w:val="924"/>
        <w:ind w:left="0" w:firstLine="0"/>
      </w:pPr>
      <w:rPr>
        <w:rFonts w:hint="eastAsia"/>
      </w:rPr>
    </w:lvl>
    <w:lvl w:ilvl="4">
      <w:start w:val="1"/>
      <w:numFmt w:val="decimal"/>
      <w:isLgl w:val="false"/>
      <w:suff w:val="nothing"/>
      <w:lvlText w:val="%2.%3.%4.%5 "/>
      <w:lvlJc w:val="left"/>
      <w:pPr>
        <w:pStyle w:val="924"/>
        <w:ind w:left="0" w:firstLine="0"/>
      </w:pPr>
      <w:rPr>
        <w:rFonts w:hint="eastAsia"/>
      </w:rPr>
    </w:lvl>
    <w:lvl w:ilvl="5">
      <w:start w:val="1"/>
      <w:numFmt w:val="decimal"/>
      <w:pStyle w:val="930"/>
      <w:isLgl w:val="false"/>
      <w:suff w:val="nothing"/>
      <w:lvlText w:val=""/>
      <w:lvlJc w:val="left"/>
      <w:pPr>
        <w:pStyle w:val="924"/>
        <w:ind w:left="0" w:firstLine="0"/>
      </w:pPr>
      <w:rPr>
        <w:rFonts w:hint="eastAsia"/>
      </w:rPr>
    </w:lvl>
    <w:lvl w:ilvl="6">
      <w:start w:val="1"/>
      <w:numFmt w:val="decimal"/>
      <w:pStyle w:val="931"/>
      <w:isLgl w:val="false"/>
      <w:suff w:val="nothing"/>
      <w:lvlText w:val=""/>
      <w:lvlJc w:val="left"/>
      <w:pPr>
        <w:pStyle w:val="924"/>
        <w:ind w:left="0" w:firstLine="0"/>
      </w:pPr>
      <w:rPr>
        <w:rFonts w:hint="eastAsia"/>
      </w:rPr>
    </w:lvl>
    <w:lvl w:ilvl="7">
      <w:start w:val="1"/>
      <w:numFmt w:val="decimal"/>
      <w:pStyle w:val="932"/>
      <w:isLgl w:val="false"/>
      <w:suff w:val="nothing"/>
      <w:lvlText w:val=""/>
      <w:lvlJc w:val="left"/>
      <w:pPr>
        <w:pStyle w:val="924"/>
        <w:ind w:left="0" w:firstLine="0"/>
      </w:pPr>
      <w:rPr>
        <w:rFonts w:hint="eastAsia"/>
      </w:rPr>
    </w:lvl>
    <w:lvl w:ilvl="8">
      <w:start w:val="1"/>
      <w:numFmt w:val="decimal"/>
      <w:pStyle w:val="933"/>
      <w:isLgl w:val="false"/>
      <w:suff w:val="nothing"/>
      <w:lvlText w:val=""/>
      <w:lvlJc w:val="left"/>
      <w:pPr>
        <w:pStyle w:val="924"/>
        <w:ind w:left="0" w:firstLine="0"/>
      </w:pPr>
      <w:rPr>
        <w:rFonts w:hint="eastAsia"/>
      </w:rPr>
    </w:lvl>
  </w:abstractNum>
  <w:abstractNum w:abstractNumId="9">
    <w:multiLevelType w:val="hybridMultilevel"/>
    <w:lvl w:ilvl="0">
      <w:start w:val="1"/>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6"/>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4"/>
    <w:next w:val="924"/>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4"/>
    <w:next w:val="924"/>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4"/>
    <w:next w:val="924"/>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4"/>
    <w:next w:val="924"/>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4"/>
    <w:next w:val="924"/>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4"/>
    <w:next w:val="924"/>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4"/>
    <w:next w:val="924"/>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4"/>
    <w:next w:val="924"/>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4"/>
    <w:next w:val="924"/>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4"/>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24"/>
    <w:link w:val="924"/>
    <w:qFormat/>
    <w:pPr>
      <w:jc w:val="both"/>
      <w:widowControl w:val="off"/>
    </w:pPr>
    <w:rPr>
      <w:sz w:val="21"/>
      <w:szCs w:val="22"/>
      <w:lang w:val="en-US" w:eastAsia="zh-CN" w:bidi="ar-SA"/>
    </w:rPr>
  </w:style>
  <w:style w:type="paragraph" w:styleId="925">
    <w:name w:val="标题 1"/>
    <w:basedOn w:val="924"/>
    <w:next w:val="924"/>
    <w:link w:val="951"/>
    <w:qFormat/>
    <w:pPr>
      <w:jc w:val="center"/>
      <w:keepNext/>
      <w:outlineLvl w:val="0"/>
    </w:pPr>
    <w:rPr>
      <w:rFonts w:ascii="楷体_GB2312" w:hAnsi="Times New Roman" w:eastAsia="楷体_GB2312" w:cs="Times New Roman"/>
      <w:sz w:val="28"/>
      <w:szCs w:val="28"/>
    </w:rPr>
  </w:style>
  <w:style w:type="paragraph" w:styleId="926">
    <w:name w:val="标题 2"/>
    <w:basedOn w:val="924"/>
    <w:next w:val="989"/>
    <w:link w:val="952"/>
    <w:qFormat/>
    <w:pPr>
      <w:jc w:val="center"/>
      <w:keepLines/>
      <w:keepNext/>
      <w:spacing w:before="260" w:after="260" w:line="416" w:lineRule="auto"/>
      <w:outlineLvl w:val="1"/>
    </w:pPr>
    <w:rPr>
      <w:rFonts w:ascii="Arial" w:hAnsi="Arial" w:eastAsia="幼圆" w:cs="Arial"/>
      <w:b/>
      <w:bCs/>
      <w:sz w:val="44"/>
      <w:szCs w:val="44"/>
    </w:rPr>
  </w:style>
  <w:style w:type="paragraph" w:styleId="927">
    <w:name w:val="标题 3"/>
    <w:basedOn w:val="924"/>
    <w:next w:val="989"/>
    <w:link w:val="93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8">
    <w:name w:val="标题 4"/>
    <w:basedOn w:val="924"/>
    <w:next w:val="989"/>
    <w:link w:val="954"/>
    <w:qFormat/>
    <w:pPr>
      <w:keepLines/>
      <w:keepNext/>
      <w:spacing w:before="280" w:after="290" w:line="376" w:lineRule="auto"/>
      <w:outlineLvl w:val="3"/>
    </w:pPr>
    <w:rPr>
      <w:rFonts w:ascii="Arial" w:hAnsi="Arial" w:eastAsia="黑体" w:cs="Arial"/>
      <w:b/>
      <w:bCs/>
      <w:sz w:val="28"/>
      <w:szCs w:val="28"/>
    </w:rPr>
  </w:style>
  <w:style w:type="paragraph" w:styleId="929">
    <w:name w:val="标题 5"/>
    <w:basedOn w:val="924"/>
    <w:next w:val="989"/>
    <w:link w:val="955"/>
    <w:qFormat/>
    <w:pPr>
      <w:keepNext/>
      <w:outlineLvl w:val="4"/>
    </w:pPr>
    <w:rPr>
      <w:rFonts w:ascii="宋体" w:hAnsi="Times New Roman" w:eastAsia="宋体" w:cs="Times New Roman"/>
      <w:color w:val="000000"/>
      <w:sz w:val="28"/>
      <w:szCs w:val="28"/>
    </w:rPr>
  </w:style>
  <w:style w:type="paragraph" w:styleId="930">
    <w:name w:val="标题 6"/>
    <w:basedOn w:val="924"/>
    <w:next w:val="924"/>
    <w:link w:val="95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1">
    <w:name w:val="标题 7"/>
    <w:basedOn w:val="924"/>
    <w:next w:val="924"/>
    <w:link w:val="93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2">
    <w:name w:val="标题 8"/>
    <w:basedOn w:val="924"/>
    <w:next w:val="924"/>
    <w:link w:val="94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3">
    <w:name w:val="标题 9"/>
    <w:basedOn w:val="924"/>
    <w:next w:val="924"/>
    <w:link w:val="941"/>
    <w:qFormat/>
    <w:pPr>
      <w:numPr>
        <w:ilvl w:val="8"/>
        <w:numId w:val="1"/>
      </w:numPr>
      <w:keepLines/>
      <w:keepNext/>
      <w:spacing w:before="240" w:after="64" w:line="320" w:lineRule="auto"/>
      <w:outlineLvl w:val="8"/>
    </w:pPr>
    <w:rPr>
      <w:rFonts w:ascii="Arial" w:hAnsi="Arial" w:eastAsia="黑体" w:cs="Times New Roman"/>
      <w:szCs w:val="21"/>
    </w:rPr>
  </w:style>
  <w:style w:type="character" w:styleId="934">
    <w:name w:val="默认段落字体"/>
    <w:next w:val="934"/>
    <w:link w:val="924"/>
    <w:uiPriority w:val="1"/>
    <w:unhideWhenUsed/>
  </w:style>
  <w:style w:type="table" w:styleId="935">
    <w:name w:val="普通表格"/>
    <w:next w:val="935"/>
    <w:link w:val="924"/>
    <w:uiPriority w:val="99"/>
    <w:unhideWhenUsed/>
    <w:tblPr/>
  </w:style>
  <w:style w:type="character" w:styleId="936">
    <w:name w:val="要点"/>
    <w:basedOn w:val="934"/>
    <w:next w:val="936"/>
    <w:link w:val="924"/>
    <w:qFormat/>
    <w:rPr>
      <w:b/>
      <w:bCs/>
    </w:rPr>
  </w:style>
  <w:style w:type="character" w:styleId="937">
    <w:name w:val="标题 3 Char"/>
    <w:next w:val="937"/>
    <w:link w:val="927"/>
    <w:rPr>
      <w:rFonts w:ascii="Times New Roman" w:hAnsi="Times New Roman" w:eastAsia="宋体" w:cs="Times New Roman"/>
      <w:b/>
      <w:bCs/>
      <w:sz w:val="32"/>
      <w:szCs w:val="32"/>
    </w:rPr>
  </w:style>
  <w:style w:type="character" w:styleId="938">
    <w:name w:val="超链接"/>
    <w:next w:val="938"/>
    <w:link w:val="924"/>
    <w:rPr>
      <w:color w:val="0000ff"/>
      <w:u w:val="single"/>
    </w:rPr>
  </w:style>
  <w:style w:type="character" w:styleId="939">
    <w:name w:val="标题 7 Char"/>
    <w:next w:val="939"/>
    <w:link w:val="931"/>
    <w:rPr>
      <w:rFonts w:ascii="Times New Roman" w:hAnsi="Times New Roman" w:eastAsia="宋体" w:cs="Times New Roman"/>
      <w:b/>
      <w:bCs/>
      <w:sz w:val="24"/>
      <w:szCs w:val="24"/>
    </w:rPr>
  </w:style>
  <w:style w:type="character" w:styleId="940">
    <w:name w:val="页码"/>
    <w:next w:val="940"/>
    <w:link w:val="924"/>
  </w:style>
  <w:style w:type="character" w:styleId="941">
    <w:name w:val="标题 9 Char"/>
    <w:next w:val="941"/>
    <w:link w:val="933"/>
    <w:rPr>
      <w:rFonts w:ascii="Arial" w:hAnsi="Arial" w:eastAsia="黑体" w:cs="Times New Roman"/>
      <w:szCs w:val="21"/>
    </w:rPr>
  </w:style>
  <w:style w:type="character" w:styleId="942">
    <w:name w:val="已访问的超链接"/>
    <w:next w:val="942"/>
    <w:link w:val="924"/>
    <w:rPr>
      <w:color w:val="800080"/>
      <w:u w:val="single"/>
    </w:rPr>
  </w:style>
  <w:style w:type="character" w:styleId="943">
    <w:name w:val="强调"/>
    <w:basedOn w:val="934"/>
    <w:next w:val="943"/>
    <w:link w:val="924"/>
    <w:qFormat/>
    <w:rPr>
      <w:i/>
    </w:rPr>
  </w:style>
  <w:style w:type="character" w:styleId="944">
    <w:name w:val="标题 8 Char"/>
    <w:next w:val="944"/>
    <w:link w:val="932"/>
    <w:rPr>
      <w:rFonts w:ascii="Arial" w:hAnsi="Arial" w:eastAsia="黑体" w:cs="Times New Roman"/>
      <w:sz w:val="24"/>
      <w:szCs w:val="24"/>
    </w:rPr>
  </w:style>
  <w:style w:type="character" w:styleId="945">
    <w:name w:val="批注引用"/>
    <w:next w:val="945"/>
    <w:link w:val="924"/>
    <w:semiHidden/>
    <w:rPr>
      <w:sz w:val="21"/>
      <w:szCs w:val="21"/>
    </w:rPr>
  </w:style>
  <w:style w:type="character" w:styleId="946">
    <w:name w:val="文档结构图 Char"/>
    <w:next w:val="946"/>
    <w:link w:val="973"/>
    <w:semiHidden/>
    <w:rPr>
      <w:rFonts w:ascii="Times New Roman" w:hAnsi="Times New Roman" w:eastAsia="宋体" w:cs="Times New Roman"/>
      <w:szCs w:val="21"/>
      <w:shd w:val="clear" w:color="auto" w:fill="000080"/>
    </w:rPr>
  </w:style>
  <w:style w:type="character" w:styleId="947">
    <w:name w:val="日期 Char"/>
    <w:next w:val="947"/>
    <w:link w:val="1001"/>
    <w:rPr>
      <w:rFonts w:ascii="Times New Roman" w:hAnsi="Times New Roman" w:eastAsia="宋体" w:cs="Times New Roman"/>
      <w:sz w:val="24"/>
      <w:szCs w:val="24"/>
    </w:rPr>
  </w:style>
  <w:style w:type="character" w:styleId="948">
    <w:name w:val="列出段落 Char,Bullet List Char,numbered Char,FooterText Char,List Paragraph1 Char,Paragraphe de liste1 Char"/>
    <w:next w:val="948"/>
    <w:link w:val="1020"/>
    <w:rPr>
      <w:rFonts w:ascii="Calibri" w:hAnsi="Calibri"/>
      <w:sz w:val="24"/>
      <w:szCs w:val="24"/>
      <w:lang w:eastAsia="en-US" w:bidi="en-US"/>
    </w:rPr>
  </w:style>
  <w:style w:type="character" w:styleId="949">
    <w:name w:val="正文首行缩进 2 Char"/>
    <w:next w:val="949"/>
    <w:link w:val="981"/>
    <w:rPr>
      <w:rFonts w:ascii="宋体" w:hAnsi="宋体" w:eastAsia="宋体" w:cs="Times New Roman"/>
      <w:szCs w:val="20"/>
    </w:rPr>
  </w:style>
  <w:style w:type="character" w:styleId="950">
    <w:name w:val="正文文本 3 Char"/>
    <w:next w:val="950"/>
    <w:link w:val="974"/>
    <w:rPr>
      <w:rFonts w:ascii="仿宋_GB2312" w:hAnsi="Arial" w:eastAsia="仿宋_GB2312" w:cs="Times New Roman"/>
      <w:sz w:val="32"/>
      <w:szCs w:val="32"/>
    </w:rPr>
  </w:style>
  <w:style w:type="character" w:styleId="951">
    <w:name w:val="标题 1 Char"/>
    <w:next w:val="951"/>
    <w:link w:val="925"/>
    <w:rPr>
      <w:rFonts w:ascii="楷体_GB2312" w:hAnsi="Times New Roman" w:eastAsia="楷体_GB2312" w:cs="Times New Roman"/>
      <w:sz w:val="28"/>
      <w:szCs w:val="28"/>
    </w:rPr>
  </w:style>
  <w:style w:type="character" w:styleId="952">
    <w:name w:val="标题 2 Char"/>
    <w:next w:val="952"/>
    <w:link w:val="926"/>
    <w:rPr>
      <w:rFonts w:ascii="Arial" w:hAnsi="Arial" w:eastAsia="幼圆" w:cs="Arial"/>
      <w:b/>
      <w:bCs/>
      <w:sz w:val="44"/>
      <w:szCs w:val="44"/>
    </w:rPr>
  </w:style>
  <w:style w:type="character" w:styleId="953">
    <w:name w:val="正文缩进 Char"/>
    <w:next w:val="953"/>
    <w:link w:val="989"/>
    <w:rPr>
      <w:szCs w:val="21"/>
    </w:rPr>
  </w:style>
  <w:style w:type="character" w:styleId="954">
    <w:name w:val="标题 4 Char"/>
    <w:next w:val="954"/>
    <w:link w:val="928"/>
    <w:rPr>
      <w:rFonts w:ascii="Arial" w:hAnsi="Arial" w:eastAsia="黑体" w:cs="Arial"/>
      <w:b/>
      <w:bCs/>
      <w:sz w:val="28"/>
      <w:szCs w:val="28"/>
    </w:rPr>
  </w:style>
  <w:style w:type="character" w:styleId="955">
    <w:name w:val="标题 5 Char"/>
    <w:next w:val="955"/>
    <w:link w:val="929"/>
    <w:rPr>
      <w:rFonts w:ascii="宋体" w:hAnsi="Times New Roman" w:eastAsia="宋体" w:cs="Times New Roman"/>
      <w:color w:val="000000"/>
      <w:sz w:val="28"/>
      <w:szCs w:val="28"/>
    </w:rPr>
  </w:style>
  <w:style w:type="character" w:styleId="956">
    <w:name w:val="标题 6 Char"/>
    <w:next w:val="956"/>
    <w:link w:val="930"/>
    <w:rPr>
      <w:rFonts w:ascii="Arial" w:hAnsi="Arial" w:eastAsia="黑体" w:cs="Times New Roman"/>
      <w:b/>
      <w:bCs/>
      <w:sz w:val="24"/>
      <w:szCs w:val="24"/>
    </w:rPr>
  </w:style>
  <w:style w:type="character" w:styleId="957">
    <w:name w:val="批注文字 Char"/>
    <w:next w:val="957"/>
    <w:link w:val="1002"/>
    <w:uiPriority w:val="99"/>
    <w:semiHidden/>
  </w:style>
  <w:style w:type="character" w:styleId="958">
    <w:name w:val="正文文本 Char"/>
    <w:next w:val="958"/>
    <w:link w:val="980"/>
    <w:rPr>
      <w:rFonts w:ascii="楷体_GB2312" w:hAnsi="Arial" w:eastAsia="楷体_GB2312" w:cs="Times New Roman"/>
      <w:sz w:val="28"/>
      <w:szCs w:val="28"/>
    </w:rPr>
  </w:style>
  <w:style w:type="character" w:styleId="959">
    <w:name w:val="正文文本缩进 Char"/>
    <w:next w:val="959"/>
    <w:link w:val="972"/>
    <w:uiPriority w:val="99"/>
    <w:semiHidden/>
  </w:style>
  <w:style w:type="character" w:styleId="960">
    <w:name w:val="纯文本 Char"/>
    <w:next w:val="960"/>
    <w:link w:val="986"/>
    <w:rPr>
      <w:rFonts w:ascii="宋体" w:hAnsi="Courier New" w:eastAsia="宋体" w:cs="Courier New"/>
      <w:szCs w:val="21"/>
    </w:rPr>
  </w:style>
  <w:style w:type="character" w:styleId="961">
    <w:name w:val="正文文本缩进 2 Char"/>
    <w:next w:val="961"/>
    <w:link w:val="995"/>
    <w:rPr>
      <w:rFonts w:ascii="Arial" w:hAnsi="Arial" w:eastAsia="仿宋_GB2312" w:cs="Arial"/>
      <w:sz w:val="32"/>
      <w:szCs w:val="32"/>
    </w:rPr>
  </w:style>
  <w:style w:type="character" w:styleId="962">
    <w:name w:val="批注框文本 Char"/>
    <w:next w:val="962"/>
    <w:link w:val="1000"/>
    <w:semiHidden/>
    <w:rPr>
      <w:rFonts w:ascii="Times New Roman" w:hAnsi="Times New Roman" w:eastAsia="宋体" w:cs="Times New Roman"/>
      <w:sz w:val="18"/>
      <w:szCs w:val="18"/>
    </w:rPr>
  </w:style>
  <w:style w:type="character" w:styleId="963">
    <w:name w:val="页脚 Char"/>
    <w:next w:val="963"/>
    <w:link w:val="993"/>
    <w:uiPriority w:val="99"/>
    <w:rPr>
      <w:rFonts w:ascii="Times New Roman" w:hAnsi="Times New Roman" w:eastAsia="宋体" w:cs="Times New Roman"/>
      <w:sz w:val="18"/>
      <w:szCs w:val="18"/>
    </w:rPr>
  </w:style>
  <w:style w:type="character" w:styleId="964">
    <w:name w:val="页眉 Char"/>
    <w:next w:val="964"/>
    <w:link w:val="978"/>
    <w:rPr>
      <w:rFonts w:ascii="Times New Roman" w:hAnsi="Times New Roman" w:eastAsia="宋体" w:cs="Times New Roman"/>
      <w:sz w:val="18"/>
      <w:szCs w:val="18"/>
    </w:rPr>
  </w:style>
  <w:style w:type="character" w:styleId="965">
    <w:name w:val="正文文本缩进 3 Char"/>
    <w:next w:val="965"/>
    <w:link w:val="985"/>
    <w:rPr>
      <w:rFonts w:ascii="Arial" w:hAnsi="Arial" w:eastAsia="仿宋_GB2312" w:cs="Arial"/>
      <w:color w:val="ffff00"/>
      <w:sz w:val="32"/>
      <w:szCs w:val="32"/>
    </w:rPr>
  </w:style>
  <w:style w:type="character" w:styleId="966">
    <w:name w:val="正文文本 2 Char"/>
    <w:next w:val="966"/>
    <w:link w:val="976"/>
    <w:rPr>
      <w:rFonts w:ascii="楷体_GB2312" w:hAnsi="Times New Roman" w:eastAsia="楷体_GB2312" w:cs="Times New Roman"/>
      <w:sz w:val="28"/>
      <w:szCs w:val="28"/>
    </w:rPr>
  </w:style>
  <w:style w:type="character" w:styleId="967">
    <w:name w:val="批注主题 Char"/>
    <w:next w:val="967"/>
    <w:link w:val="975"/>
    <w:semiHidden/>
    <w:rPr>
      <w:rFonts w:ascii="Times New Roman" w:hAnsi="Times New Roman" w:eastAsia="宋体" w:cs="Times New Roman"/>
      <w:b/>
      <w:bCs/>
      <w:szCs w:val="21"/>
    </w:rPr>
  </w:style>
  <w:style w:type="character" w:styleId="968">
    <w:name w:val="正文首行缩进 Char"/>
    <w:next w:val="968"/>
    <w:link w:val="990"/>
    <w:rPr>
      <w:rFonts w:ascii="仿宋_GB2312" w:hAnsi="Times New Roman" w:eastAsia="仿宋_GB2312" w:cs="Times New Roman"/>
      <w:sz w:val="30"/>
      <w:szCs w:val="30"/>
    </w:rPr>
  </w:style>
  <w:style w:type="character" w:styleId="969">
    <w:name w:val="font5 Char"/>
    <w:next w:val="969"/>
    <w:link w:val="924"/>
    <w:rPr>
      <w:rFonts w:ascii="宋体" w:hAnsi="宋体" w:eastAsia="宋体"/>
      <w:sz w:val="28"/>
      <w:szCs w:val="28"/>
      <w:lang w:val="en-US" w:eastAsia="zh-CN" w:bidi="ar-SA"/>
    </w:rPr>
  </w:style>
  <w:style w:type="character" w:styleId="970">
    <w:name w:val="二级目录 Char"/>
    <w:next w:val="970"/>
    <w:link w:val="1009"/>
    <w:rPr>
      <w:b/>
      <w:sz w:val="30"/>
      <w:szCs w:val="28"/>
    </w:rPr>
  </w:style>
  <w:style w:type="paragraph" w:styleId="971">
    <w:name w:val="普通(网站)"/>
    <w:basedOn w:val="924"/>
    <w:next w:val="971"/>
    <w:link w:val="924"/>
    <w:uiPriority w:val="99"/>
    <w:pPr>
      <w:jc w:val="left"/>
      <w:spacing w:before="100" w:beforeAutospacing="1" w:after="100" w:afterAutospacing="1"/>
      <w:widowControl/>
    </w:pPr>
    <w:rPr>
      <w:rFonts w:ascii="宋体" w:hAnsi="宋体" w:eastAsia="宋体" w:cs="宋体"/>
      <w:sz w:val="24"/>
      <w:szCs w:val="24"/>
    </w:rPr>
  </w:style>
  <w:style w:type="paragraph" w:styleId="972">
    <w:name w:val="正文文本缩进"/>
    <w:basedOn w:val="924"/>
    <w:next w:val="972"/>
    <w:link w:val="959"/>
    <w:unhideWhenUsed/>
    <w:pPr>
      <w:ind w:left="420"/>
      <w:spacing w:after="120"/>
    </w:pPr>
  </w:style>
  <w:style w:type="paragraph" w:styleId="973">
    <w:name w:val="文档结构图"/>
    <w:basedOn w:val="924"/>
    <w:next w:val="973"/>
    <w:link w:val="946"/>
    <w:semiHidden/>
    <w:pPr>
      <w:shd w:val="clear" w:color="auto" w:fill="000080"/>
    </w:pPr>
    <w:rPr>
      <w:rFonts w:ascii="Times New Roman" w:hAnsi="Times New Roman" w:eastAsia="宋体" w:cs="Times New Roman"/>
      <w:szCs w:val="21"/>
    </w:rPr>
  </w:style>
  <w:style w:type="paragraph" w:styleId="974">
    <w:name w:val="正文文本 3"/>
    <w:basedOn w:val="924"/>
    <w:next w:val="974"/>
    <w:link w:val="950"/>
    <w:rPr>
      <w:rFonts w:ascii="仿宋_GB2312" w:hAnsi="Arial" w:eastAsia="仿宋_GB2312" w:cs="Times New Roman"/>
      <w:sz w:val="32"/>
      <w:szCs w:val="32"/>
    </w:rPr>
  </w:style>
  <w:style w:type="paragraph" w:styleId="975">
    <w:name w:val="批注主题"/>
    <w:basedOn w:val="1002"/>
    <w:next w:val="1002"/>
    <w:link w:val="967"/>
    <w:semiHidden/>
    <w:rPr>
      <w:rFonts w:ascii="Times New Roman" w:hAnsi="Times New Roman" w:eastAsia="宋体" w:cs="Times New Roman"/>
      <w:b/>
      <w:bCs/>
      <w:szCs w:val="21"/>
    </w:rPr>
  </w:style>
  <w:style w:type="paragraph" w:styleId="976">
    <w:name w:val="正文文本 2"/>
    <w:basedOn w:val="924"/>
    <w:next w:val="976"/>
    <w:link w:val="966"/>
    <w:pPr>
      <w:jc w:val="center"/>
      <w:widowControl/>
    </w:pPr>
    <w:rPr>
      <w:rFonts w:ascii="楷体_GB2312" w:hAnsi="Times New Roman" w:eastAsia="楷体_GB2312" w:cs="Times New Roman"/>
      <w:sz w:val="28"/>
      <w:szCs w:val="28"/>
    </w:rPr>
  </w:style>
  <w:style w:type="paragraph" w:styleId="977">
    <w:name w:val="目录 4"/>
    <w:basedOn w:val="924"/>
    <w:next w:val="924"/>
    <w:link w:val="924"/>
    <w:semiHidden/>
    <w:pPr>
      <w:ind w:left="630"/>
      <w:jc w:val="left"/>
    </w:pPr>
    <w:rPr>
      <w:rFonts w:ascii="Times New Roman" w:hAnsi="Times New Roman" w:eastAsia="宋体" w:cs="Times New Roman"/>
      <w:szCs w:val="21"/>
    </w:rPr>
  </w:style>
  <w:style w:type="paragraph" w:styleId="978">
    <w:name w:val="页眉"/>
    <w:basedOn w:val="924"/>
    <w:next w:val="978"/>
    <w:link w:val="96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79">
    <w:name w:val="目录 3"/>
    <w:basedOn w:val="924"/>
    <w:next w:val="924"/>
    <w:link w:val="924"/>
    <w:semiHidden/>
    <w:pPr>
      <w:ind w:left="420"/>
      <w:jc w:val="left"/>
    </w:pPr>
    <w:rPr>
      <w:rFonts w:ascii="Times New Roman" w:hAnsi="Times New Roman" w:eastAsia="宋体" w:cs="Times New Roman"/>
      <w:i/>
      <w:iCs/>
      <w:szCs w:val="24"/>
    </w:rPr>
  </w:style>
  <w:style w:type="paragraph" w:styleId="980">
    <w:name w:val="正文文本"/>
    <w:basedOn w:val="924"/>
    <w:next w:val="980"/>
    <w:link w:val="958"/>
    <w:rPr>
      <w:rFonts w:ascii="楷体_GB2312" w:hAnsi="Arial" w:eastAsia="楷体_GB2312" w:cs="Times New Roman"/>
      <w:sz w:val="28"/>
      <w:szCs w:val="28"/>
    </w:rPr>
  </w:style>
  <w:style w:type="paragraph" w:styleId="981">
    <w:name w:val="正文首行缩进 2"/>
    <w:basedOn w:val="972"/>
    <w:next w:val="981"/>
    <w:link w:val="949"/>
    <w:pPr>
      <w:ind w:left="0" w:firstLine="420"/>
      <w:spacing w:after="0" w:line="360" w:lineRule="auto"/>
    </w:pPr>
    <w:rPr>
      <w:rFonts w:ascii="宋体" w:hAnsi="宋体" w:eastAsia="宋体" w:cs="Times New Roman"/>
      <w:szCs w:val="20"/>
    </w:rPr>
  </w:style>
  <w:style w:type="paragraph" w:styleId="982">
    <w:name w:val="目录 9"/>
    <w:basedOn w:val="924"/>
    <w:next w:val="924"/>
    <w:link w:val="924"/>
    <w:semiHidden/>
    <w:pPr>
      <w:ind w:left="1680"/>
      <w:jc w:val="left"/>
    </w:pPr>
    <w:rPr>
      <w:rFonts w:ascii="Times New Roman" w:hAnsi="Times New Roman" w:eastAsia="宋体" w:cs="Times New Roman"/>
      <w:szCs w:val="21"/>
    </w:rPr>
  </w:style>
  <w:style w:type="paragraph" w:styleId="983">
    <w:name w:val="目录 1"/>
    <w:basedOn w:val="924"/>
    <w:next w:val="924"/>
    <w:link w:val="92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8"/>
    <w:basedOn w:val="924"/>
    <w:next w:val="924"/>
    <w:link w:val="924"/>
    <w:semiHidden/>
    <w:pPr>
      <w:ind w:left="1470"/>
      <w:jc w:val="left"/>
    </w:pPr>
    <w:rPr>
      <w:rFonts w:ascii="Times New Roman" w:hAnsi="Times New Roman" w:eastAsia="宋体" w:cs="Times New Roman"/>
      <w:szCs w:val="21"/>
    </w:rPr>
  </w:style>
  <w:style w:type="paragraph" w:styleId="985">
    <w:name w:val="正文文本缩进 3"/>
    <w:basedOn w:val="924"/>
    <w:next w:val="985"/>
    <w:link w:val="965"/>
    <w:pPr>
      <w:ind w:left="645" w:firstLine="645"/>
    </w:pPr>
    <w:rPr>
      <w:rFonts w:ascii="Arial" w:hAnsi="Arial" w:eastAsia="仿宋_GB2312" w:cs="Arial"/>
      <w:color w:val="ffff00"/>
      <w:sz w:val="32"/>
      <w:szCs w:val="32"/>
    </w:rPr>
  </w:style>
  <w:style w:type="paragraph" w:styleId="986">
    <w:name w:val="纯文本"/>
    <w:basedOn w:val="924"/>
    <w:next w:val="986"/>
    <w:link w:val="960"/>
    <w:qFormat/>
    <w:rPr>
      <w:rFonts w:ascii="宋体" w:hAnsi="Courier New" w:eastAsia="宋体" w:cs="Courier New"/>
      <w:szCs w:val="21"/>
    </w:rPr>
  </w:style>
  <w:style w:type="paragraph" w:styleId="987">
    <w:name w:val="目录 5"/>
    <w:basedOn w:val="924"/>
    <w:next w:val="924"/>
    <w:link w:val="924"/>
    <w:semiHidden/>
    <w:pPr>
      <w:ind w:left="840"/>
      <w:jc w:val="left"/>
    </w:pPr>
    <w:rPr>
      <w:rFonts w:ascii="Times New Roman" w:hAnsi="Times New Roman" w:eastAsia="宋体" w:cs="Times New Roman"/>
      <w:szCs w:val="21"/>
    </w:rPr>
  </w:style>
  <w:style w:type="paragraph" w:styleId="988">
    <w:name w:val="目录 7"/>
    <w:basedOn w:val="924"/>
    <w:next w:val="924"/>
    <w:link w:val="924"/>
    <w:semiHidden/>
    <w:pPr>
      <w:ind w:left="1260"/>
      <w:jc w:val="left"/>
    </w:pPr>
    <w:rPr>
      <w:rFonts w:ascii="Times New Roman" w:hAnsi="Times New Roman" w:eastAsia="宋体" w:cs="Times New Roman"/>
      <w:szCs w:val="21"/>
    </w:rPr>
  </w:style>
  <w:style w:type="paragraph" w:styleId="989">
    <w:name w:val="正文缩进"/>
    <w:basedOn w:val="924"/>
    <w:next w:val="989"/>
    <w:link w:val="953"/>
    <w:pPr>
      <w:ind w:firstLine="420"/>
    </w:pPr>
    <w:rPr>
      <w:szCs w:val="21"/>
    </w:rPr>
  </w:style>
  <w:style w:type="paragraph" w:styleId="990">
    <w:name w:val="正文首行缩进"/>
    <w:basedOn w:val="924"/>
    <w:next w:val="990"/>
    <w:link w:val="968"/>
    <w:pPr>
      <w:ind w:firstLine="200"/>
      <w:spacing w:line="360" w:lineRule="auto"/>
    </w:pPr>
    <w:rPr>
      <w:rFonts w:ascii="仿宋_GB2312" w:hAnsi="Times New Roman" w:eastAsia="仿宋_GB2312" w:cs="Times New Roman"/>
      <w:sz w:val="30"/>
      <w:szCs w:val="30"/>
    </w:rPr>
  </w:style>
  <w:style w:type="paragraph" w:styleId="991">
    <w:name w:val="目录 2"/>
    <w:basedOn w:val="924"/>
    <w:next w:val="924"/>
    <w:link w:val="924"/>
    <w:semiHidden/>
    <w:pPr>
      <w:ind w:left="210"/>
      <w:jc w:val="left"/>
    </w:pPr>
    <w:rPr>
      <w:rFonts w:ascii="Times New Roman" w:hAnsi="Times New Roman" w:eastAsia="宋体" w:cs="Times New Roman"/>
      <w:smallCaps/>
      <w:szCs w:val="24"/>
    </w:rPr>
  </w:style>
  <w:style w:type="paragraph" w:styleId="992">
    <w:name w:val="目录 6"/>
    <w:basedOn w:val="924"/>
    <w:next w:val="924"/>
    <w:link w:val="924"/>
    <w:semiHidden/>
    <w:pPr>
      <w:ind w:left="1050"/>
      <w:jc w:val="left"/>
    </w:pPr>
    <w:rPr>
      <w:rFonts w:ascii="Times New Roman" w:hAnsi="Times New Roman" w:eastAsia="宋体" w:cs="Times New Roman"/>
      <w:szCs w:val="21"/>
    </w:rPr>
  </w:style>
  <w:style w:type="paragraph" w:styleId="993">
    <w:name w:val="页脚"/>
    <w:basedOn w:val="924"/>
    <w:next w:val="993"/>
    <w:link w:val="963"/>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94">
    <w:name w:val="列表 2"/>
    <w:basedOn w:val="924"/>
    <w:next w:val="994"/>
    <w:link w:val="924"/>
    <w:pPr>
      <w:ind w:left="100" w:hanging="200"/>
    </w:pPr>
    <w:rPr>
      <w:rFonts w:ascii="Times New Roman" w:hAnsi="Times New Roman" w:eastAsia="宋体" w:cs="Times New Roman"/>
      <w:szCs w:val="21"/>
    </w:rPr>
  </w:style>
  <w:style w:type="paragraph" w:styleId="995">
    <w:name w:val="正文文本缩进 2"/>
    <w:basedOn w:val="924"/>
    <w:next w:val="995"/>
    <w:link w:val="961"/>
    <w:pPr>
      <w:ind w:left="630" w:firstLine="645"/>
    </w:pPr>
    <w:rPr>
      <w:rFonts w:ascii="Arial" w:hAnsi="Arial" w:eastAsia="仿宋_GB2312" w:cs="Arial"/>
      <w:sz w:val="32"/>
      <w:szCs w:val="32"/>
    </w:rPr>
  </w:style>
  <w:style w:type="paragraph" w:styleId="996">
    <w:name w:val="索引 1"/>
    <w:basedOn w:val="924"/>
    <w:next w:val="924"/>
    <w:link w:val="924"/>
    <w:semiHidden/>
    <w:pPr>
      <w:spacing w:line="240" w:lineRule="atLeast"/>
    </w:pPr>
    <w:rPr>
      <w:rFonts w:ascii="Times New Roman" w:hAnsi="Times New Roman" w:eastAsia="宋体" w:cs="Times New Roman"/>
      <w:b/>
      <w:bCs/>
      <w:szCs w:val="21"/>
    </w:rPr>
  </w:style>
  <w:style w:type="paragraph" w:styleId="997">
    <w:name w:val="图表目录"/>
    <w:basedOn w:val="924"/>
    <w:next w:val="924"/>
    <w:link w:val="924"/>
    <w:semiHidden/>
    <w:pPr>
      <w:ind w:left="840" w:hanging="420"/>
    </w:pPr>
    <w:rPr>
      <w:rFonts w:ascii="Times New Roman" w:hAnsi="Times New Roman" w:eastAsia="宋体" w:cs="Times New Roman"/>
      <w:szCs w:val="21"/>
    </w:rPr>
  </w:style>
  <w:style w:type="paragraph" w:styleId="998">
    <w:name w:val="列表 3"/>
    <w:basedOn w:val="924"/>
    <w:next w:val="998"/>
    <w:link w:val="924"/>
    <w:pPr>
      <w:ind w:left="100" w:hanging="200"/>
    </w:pPr>
    <w:rPr>
      <w:rFonts w:ascii="Times New Roman" w:hAnsi="Times New Roman" w:eastAsia="宋体" w:cs="Times New Roman"/>
      <w:szCs w:val="21"/>
    </w:rPr>
  </w:style>
  <w:style w:type="paragraph" w:styleId="999">
    <w:name w:val="列表"/>
    <w:basedOn w:val="924"/>
    <w:next w:val="999"/>
    <w:link w:val="924"/>
    <w:pPr>
      <w:ind w:left="200" w:hanging="200"/>
    </w:pPr>
    <w:rPr>
      <w:rFonts w:ascii="Times New Roman" w:hAnsi="Times New Roman" w:eastAsia="宋体" w:cs="Times New Roman"/>
      <w:szCs w:val="21"/>
    </w:rPr>
  </w:style>
  <w:style w:type="paragraph" w:styleId="1000">
    <w:name w:val="批注框文本"/>
    <w:basedOn w:val="924"/>
    <w:next w:val="1000"/>
    <w:link w:val="962"/>
    <w:semiHidden/>
    <w:rPr>
      <w:rFonts w:ascii="Times New Roman" w:hAnsi="Times New Roman" w:eastAsia="宋体" w:cs="Times New Roman"/>
      <w:sz w:val="18"/>
      <w:szCs w:val="18"/>
    </w:rPr>
  </w:style>
  <w:style w:type="paragraph" w:styleId="1001">
    <w:name w:val="日期"/>
    <w:basedOn w:val="924"/>
    <w:next w:val="924"/>
    <w:link w:val="947"/>
    <w:rPr>
      <w:rFonts w:ascii="Times New Roman" w:hAnsi="Times New Roman" w:eastAsia="宋体" w:cs="Times New Roman"/>
      <w:sz w:val="24"/>
      <w:szCs w:val="24"/>
    </w:rPr>
  </w:style>
  <w:style w:type="paragraph" w:styleId="1002">
    <w:name w:val="批注文字"/>
    <w:basedOn w:val="924"/>
    <w:next w:val="1002"/>
    <w:link w:val="957"/>
    <w:unhideWhenUsed/>
    <w:pPr>
      <w:jc w:val="left"/>
    </w:pPr>
  </w:style>
  <w:style w:type="paragraph" w:styleId="1003">
    <w:name w:val=" Char Char Char Char"/>
    <w:basedOn w:val="973"/>
    <w:next w:val="1003"/>
    <w:link w:val="924"/>
    <w:pPr>
      <w:spacing w:line="360" w:lineRule="auto"/>
    </w:pPr>
    <w:rPr>
      <w:rFonts w:ascii="Tahoma" w:hAnsi="Tahoma"/>
      <w:sz w:val="24"/>
      <w:szCs w:val="24"/>
    </w:rPr>
  </w:style>
  <w:style w:type="paragraph" w:styleId="1004">
    <w:name w:val="font7"/>
    <w:basedOn w:val="924"/>
    <w:next w:val="1004"/>
    <w:link w:val="924"/>
    <w:pPr>
      <w:jc w:val="left"/>
      <w:spacing w:before="100" w:beforeAutospacing="1" w:after="100" w:afterAutospacing="1"/>
      <w:widowControl/>
    </w:pPr>
    <w:rPr>
      <w:rFonts w:hint="eastAsia" w:ascii="宋体" w:hAnsi="宋体" w:eastAsia="宋体" w:cs="Times New Roman"/>
      <w:sz w:val="18"/>
      <w:szCs w:val="18"/>
    </w:rPr>
  </w:style>
  <w:style w:type="paragraph" w:styleId="1005">
    <w:name w:val="图标"/>
    <w:basedOn w:val="924"/>
    <w:next w:val="924"/>
    <w:link w:val="92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name w:val="xl25"/>
    <w:basedOn w:val="924"/>
    <w:next w:val="1006"/>
    <w:link w:val="9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xl26"/>
    <w:basedOn w:val="924"/>
    <w:next w:val="1007"/>
    <w:link w:val="9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样式1"/>
    <w:basedOn w:val="924"/>
    <w:next w:val="1008"/>
    <w:link w:val="924"/>
    <w:pPr>
      <w:numPr>
        <w:ilvl w:val="0"/>
        <w:numId w:val="2"/>
      </w:numPr>
      <w:tabs>
        <w:tab w:val="left" w:pos="709" w:leader="none"/>
      </w:tabs>
    </w:pPr>
    <w:rPr>
      <w:rFonts w:ascii="宋体" w:hAnsi="宋体" w:eastAsia="宋体" w:cs="Times New Roman"/>
      <w:szCs w:val="21"/>
    </w:rPr>
  </w:style>
  <w:style w:type="paragraph" w:styleId="1009">
    <w:name w:val="二级目录"/>
    <w:next w:val="924"/>
    <w:link w:val="970"/>
    <w:pPr>
      <w:numPr>
        <w:ilvl w:val="0"/>
        <w:numId w:val="3"/>
      </w:numPr>
      <w:tabs>
        <w:tab w:val="left" w:pos="907" w:leader="none"/>
        <w:tab w:val="left" w:pos="1145" w:leader="none"/>
      </w:tabs>
      <w:outlineLvl w:val="1"/>
    </w:pPr>
    <w:rPr>
      <w:b/>
      <w:sz w:val="30"/>
      <w:szCs w:val="28"/>
      <w:lang w:val="en-US" w:eastAsia="zh-CN" w:bidi="ar-SA"/>
    </w:rPr>
  </w:style>
  <w:style w:type="paragraph" w:styleId="1010">
    <w:name w:val=" Char Char Char Char Char Char Char Char Char Char"/>
    <w:basedOn w:val="924"/>
    <w:next w:val="1010"/>
    <w:link w:val="924"/>
    <w:pPr>
      <w:spacing w:line="360" w:lineRule="auto"/>
    </w:pPr>
    <w:rPr>
      <w:rFonts w:ascii="Times New Roman" w:hAnsi="Times New Roman" w:eastAsia="宋体" w:cs="Times New Roman"/>
      <w:sz w:val="24"/>
      <w:szCs w:val="20"/>
    </w:rPr>
  </w:style>
  <w:style w:type="paragraph" w:styleId="1011">
    <w:name w:val="标题1"/>
    <w:basedOn w:val="924"/>
    <w:next w:val="924"/>
    <w:link w:val="92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name w:val="xl30"/>
    <w:basedOn w:val="924"/>
    <w:next w:val="1012"/>
    <w:link w:val="924"/>
    <w:pPr>
      <w:jc w:val="center"/>
      <w:spacing w:before="100" w:beforeAutospacing="1" w:after="100" w:afterAutospacing="1"/>
      <w:widowControl/>
    </w:pPr>
    <w:rPr>
      <w:rFonts w:ascii="宋体" w:hAnsi="宋体" w:eastAsia="宋体" w:cs="Times New Roman"/>
      <w:b/>
      <w:bCs/>
      <w:sz w:val="36"/>
      <w:szCs w:val="36"/>
    </w:rPr>
  </w:style>
  <w:style w:type="paragraph" w:styleId="1013">
    <w:name w:val="AONormal"/>
    <w:next w:val="1013"/>
    <w:link w:val="924"/>
    <w:qFormat/>
    <w:pPr>
      <w:ind w:firstLine="440"/>
      <w:spacing w:line="400" w:lineRule="exact"/>
    </w:pPr>
    <w:rPr>
      <w:rFonts w:ascii="华文楷体" w:hAnsi="华文楷体" w:eastAsia="华文楷体" w:cs="华文楷体"/>
      <w:sz w:val="22"/>
      <w:szCs w:val="21"/>
      <w:lang w:val="en-US" w:eastAsia="zh-CN" w:bidi="ar-SA"/>
    </w:rPr>
  </w:style>
  <w:style w:type="paragraph" w:styleId="1014">
    <w:name w:val="font6"/>
    <w:basedOn w:val="924"/>
    <w:next w:val="1014"/>
    <w:link w:val="924"/>
    <w:pPr>
      <w:jc w:val="left"/>
      <w:spacing w:before="100" w:beforeAutospacing="1" w:after="100" w:afterAutospacing="1"/>
      <w:widowControl/>
    </w:pPr>
    <w:rPr>
      <w:rFonts w:hint="eastAsia" w:ascii="宋体" w:hAnsi="宋体" w:eastAsia="宋体" w:cs="Times New Roman"/>
      <w:sz w:val="28"/>
      <w:szCs w:val="28"/>
      <w:u w:val="single"/>
    </w:rPr>
  </w:style>
  <w:style w:type="paragraph" w:styleId="1015">
    <w:name w:val="Char Char Char Char"/>
    <w:basedOn w:val="973"/>
    <w:next w:val="1015"/>
    <w:link w:val="924"/>
    <w:pPr>
      <w:spacing w:line="360" w:lineRule="auto"/>
    </w:pPr>
    <w:rPr>
      <w:rFonts w:ascii="Tahoma" w:hAnsi="Tahoma"/>
      <w:sz w:val="24"/>
      <w:szCs w:val="24"/>
    </w:rPr>
  </w:style>
  <w:style w:type="paragraph" w:styleId="1016">
    <w:name w:val="普通正文"/>
    <w:basedOn w:val="924"/>
    <w:next w:val="1016"/>
    <w:link w:val="924"/>
    <w:pPr>
      <w:ind w:firstLine="480"/>
      <w:jc w:val="left"/>
      <w:spacing w:before="120" w:after="120" w:line="360" w:lineRule="auto"/>
    </w:pPr>
    <w:rPr>
      <w:rFonts w:ascii="Arial" w:hAnsi="Arial" w:eastAsia="宋体" w:cs="Times New Roman"/>
      <w:sz w:val="24"/>
      <w:szCs w:val="24"/>
    </w:rPr>
  </w:style>
  <w:style w:type="paragraph" w:styleId="1017">
    <w:name w:val="Body Text(ch)"/>
    <w:basedOn w:val="924"/>
    <w:next w:val="980"/>
    <w:link w:val="924"/>
    <w:pPr>
      <w:spacing w:after="120"/>
    </w:pPr>
    <w:rPr>
      <w:rFonts w:ascii="宋体" w:hAnsi="Arial" w:eastAsia="宋体" w:cs="Times New Roman"/>
      <w:bCs/>
      <w:iCs/>
      <w:szCs w:val="24"/>
    </w:rPr>
  </w:style>
  <w:style w:type="paragraph" w:styleId="1018">
    <w:name w:val="xl27"/>
    <w:basedOn w:val="924"/>
    <w:next w:val="1018"/>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xl24"/>
    <w:basedOn w:val="924"/>
    <w:next w:val="1019"/>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name w:val="列出段落1"/>
    <w:basedOn w:val="924"/>
    <w:next w:val="1020"/>
    <w:link w:val="948"/>
    <w:qFormat/>
    <w:pPr>
      <w:contextualSpacing/>
      <w:ind w:left="720"/>
      <w:jc w:val="left"/>
      <w:widowControl/>
    </w:pPr>
    <w:rPr>
      <w:rFonts w:ascii="Calibri" w:hAnsi="Calibri"/>
      <w:sz w:val="24"/>
      <w:szCs w:val="24"/>
      <w:lang w:eastAsia="en-US" w:bidi="en-US"/>
    </w:rPr>
  </w:style>
  <w:style w:type="paragraph" w:styleId="1021">
    <w:name w:val="列出段落"/>
    <w:basedOn w:val="924"/>
    <w:next w:val="1021"/>
    <w:link w:val="924"/>
    <w:qFormat/>
    <w:pPr>
      <w:contextualSpacing/>
      <w:ind w:left="720"/>
      <w:jc w:val="left"/>
      <w:widowControl/>
    </w:pPr>
    <w:rPr>
      <w:rFonts w:ascii="Calibri" w:hAnsi="Calibri" w:eastAsia="宋体" w:cs="Times New Roman"/>
      <w:sz w:val="24"/>
      <w:szCs w:val="24"/>
      <w:lang w:eastAsia="en-US" w:bidi="en-US"/>
    </w:rPr>
  </w:style>
  <w:style w:type="paragraph" w:styleId="1022">
    <w:name w:val="标题3"/>
    <w:basedOn w:val="924"/>
    <w:next w:val="924"/>
    <w:link w:val="924"/>
    <w:pPr>
      <w:ind w:firstLine="624"/>
      <w:spacing w:line="590" w:lineRule="atLeast"/>
    </w:pPr>
    <w:rPr>
      <w:rFonts w:ascii="方正黑体_GBK" w:hAnsi="Times New Roman" w:eastAsia="方正黑体_GBK" w:cs="Times New Roman"/>
      <w:sz w:val="32"/>
      <w:szCs w:val="32"/>
    </w:rPr>
  </w:style>
  <w:style w:type="paragraph" w:styleId="1023">
    <w:name w:val="xl28"/>
    <w:basedOn w:val="924"/>
    <w:next w:val="1023"/>
    <w:link w:val="9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4">
    <w:name w:val="table_lines"/>
    <w:basedOn w:val="924"/>
    <w:next w:val="1024"/>
    <w:link w:val="924"/>
    <w:pPr>
      <w:jc w:val="left"/>
      <w:widowControl/>
    </w:pPr>
    <w:rPr>
      <w:rFonts w:ascii="Times New Roman" w:hAnsi="Times New Roman" w:eastAsia="宋体" w:cs="Times New Roman"/>
      <w:sz w:val="20"/>
      <w:szCs w:val="20"/>
      <w:lang w:val="de-DE" w:eastAsia="de-DE"/>
    </w:rPr>
  </w:style>
  <w:style w:type="paragraph" w:styleId="1025">
    <w:name w:val="无间隔"/>
    <w:next w:val="1025"/>
    <w:link w:val="924"/>
    <w:uiPriority w:val="99"/>
    <w:qFormat/>
    <w:pPr>
      <w:jc w:val="both"/>
      <w:widowControl w:val="off"/>
    </w:pPr>
    <w:rPr>
      <w:rFonts w:ascii="Times New Roman" w:hAnsi="Times New Roman"/>
      <w:sz w:val="21"/>
      <w:szCs w:val="21"/>
      <w:lang w:val="en-US" w:eastAsia="zh-CN" w:bidi="ar-SA"/>
    </w:rPr>
  </w:style>
  <w:style w:type="paragraph" w:styleId="1026">
    <w:name w:val="普通 (Web)"/>
    <w:basedOn w:val="924"/>
    <w:next w:val="1026"/>
    <w:link w:val="924"/>
    <w:pPr>
      <w:jc w:val="left"/>
      <w:spacing w:before="100" w:beforeAutospacing="1" w:after="100" w:afterAutospacing="1"/>
      <w:widowControl/>
    </w:pPr>
    <w:rPr>
      <w:rFonts w:ascii="宋体" w:hAnsi="宋体" w:eastAsia="宋体" w:cs="Times New Roman"/>
      <w:sz w:val="24"/>
      <w:szCs w:val="24"/>
    </w:rPr>
  </w:style>
  <w:style w:type="paragraph" w:styleId="1027">
    <w:name w:val="table_1stline"/>
    <w:basedOn w:val="924"/>
    <w:next w:val="1027"/>
    <w:link w:val="924"/>
    <w:pPr>
      <w:jc w:val="left"/>
      <w:spacing w:before="120"/>
      <w:widowControl/>
    </w:pPr>
    <w:rPr>
      <w:rFonts w:ascii="Times New Roman" w:hAnsi="Times New Roman" w:eastAsia="宋体" w:cs="Times New Roman"/>
      <w:bCs/>
      <w:sz w:val="20"/>
      <w:szCs w:val="20"/>
      <w:lang w:val="de-DE" w:eastAsia="de-DE"/>
    </w:rPr>
  </w:style>
  <w:style w:type="paragraph" w:styleId="1028">
    <w:name w:val="xl29"/>
    <w:basedOn w:val="924"/>
    <w:next w:val="1028"/>
    <w:link w:val="92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9">
    <w:name w:val="4"/>
    <w:basedOn w:val="924"/>
    <w:next w:val="985"/>
    <w:link w:val="924"/>
    <w:pPr>
      <w:ind w:firstLine="420"/>
      <w:spacing w:line="360" w:lineRule="auto"/>
    </w:pPr>
    <w:rPr>
      <w:rFonts w:ascii="Times New Roman" w:hAnsi="Times New Roman" w:eastAsia="宋体" w:cs="Times New Roman"/>
      <w:color w:val="ff0000"/>
      <w:sz w:val="24"/>
      <w:szCs w:val="24"/>
    </w:rPr>
  </w:style>
  <w:style w:type="paragraph" w:styleId="1030">
    <w:name w:val="font5"/>
    <w:basedOn w:val="924"/>
    <w:next w:val="1030"/>
    <w:link w:val="924"/>
    <w:pPr>
      <w:jc w:val="left"/>
      <w:spacing w:before="100" w:beforeAutospacing="1" w:after="100" w:afterAutospacing="1"/>
      <w:widowControl/>
    </w:pPr>
    <w:rPr>
      <w:rFonts w:hint="eastAsia" w:ascii="宋体" w:hAnsi="宋体" w:eastAsia="宋体" w:cs="Times New Roman"/>
      <w:sz w:val="28"/>
      <w:szCs w:val="28"/>
    </w:rPr>
  </w:style>
  <w:style w:type="paragraph" w:styleId="1031">
    <w:name w:val=" Char"/>
    <w:basedOn w:val="973"/>
    <w:next w:val="1031"/>
    <w:link w:val="924"/>
    <w:rPr>
      <w:rFonts w:ascii="Tahoma" w:hAnsi="Tahoma"/>
      <w:sz w:val="24"/>
      <w:szCs w:val="24"/>
    </w:rPr>
  </w:style>
  <w:style w:type="paragraph" w:styleId="1032">
    <w:name w:val="Char"/>
    <w:basedOn w:val="924"/>
    <w:next w:val="1032"/>
    <w:link w:val="924"/>
    <w:pPr>
      <w:ind w:firstLine="200"/>
      <w:tabs>
        <w:tab w:val="left" w:pos="360" w:leader="none"/>
      </w:tabs>
    </w:pPr>
    <w:rPr>
      <w:rFonts w:ascii="Times New Roman" w:hAnsi="Times New Roman" w:eastAsia="宋体" w:cs="Times New Roman"/>
      <w:sz w:val="28"/>
      <w:szCs w:val="30"/>
    </w:rPr>
  </w:style>
  <w:style w:type="paragraph" w:styleId="1033">
    <w:name w:val="附录1"/>
    <w:next w:val="1033"/>
    <w:link w:val="924"/>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34">
    <w:name w:val="修订"/>
    <w:next w:val="1034"/>
    <w:link w:val="924"/>
    <w:uiPriority w:val="99"/>
    <w:semiHidden/>
    <w:rPr>
      <w:rFonts w:ascii="Times New Roman" w:hAnsi="Times New Roman"/>
      <w:sz w:val="21"/>
      <w:szCs w:val="21"/>
      <w:lang w:val="en-US" w:eastAsia="zh-CN" w:bidi="ar-SA"/>
    </w:rPr>
  </w:style>
  <w:style w:type="paragraph" w:styleId="1035">
    <w:name w:val="Char Char Char Char Char Char Char Char"/>
    <w:basedOn w:val="924"/>
    <w:next w:val="1035"/>
    <w:link w:val="924"/>
    <w:pPr>
      <w:jc w:val="left"/>
      <w:spacing w:after="160" w:line="240" w:lineRule="exact"/>
      <w:widowControl/>
    </w:pPr>
    <w:rPr>
      <w:rFonts w:ascii="Verdana" w:hAnsi="Verdana" w:eastAsia="宋体" w:cs="Times New Roman"/>
      <w:sz w:val="20"/>
      <w:szCs w:val="20"/>
      <w:lang w:eastAsia="en-US"/>
    </w:rPr>
  </w:style>
  <w:style w:type="paragraph" w:styleId="1036">
    <w:name w:val=" Char Char Char Char Char Char Char Char"/>
    <w:basedOn w:val="924"/>
    <w:next w:val="1036"/>
    <w:link w:val="924"/>
    <w:pPr>
      <w:jc w:val="left"/>
      <w:spacing w:after="160" w:line="240" w:lineRule="exact"/>
      <w:widowControl/>
    </w:pPr>
    <w:rPr>
      <w:rFonts w:ascii="Verdana" w:hAnsi="Verdana" w:eastAsia="宋体" w:cs="Times New Roman"/>
      <w:sz w:val="20"/>
      <w:szCs w:val="20"/>
      <w:lang w:eastAsia="en-US"/>
    </w:rPr>
  </w:style>
  <w:style w:type="table" w:styleId="1037">
    <w:name w:val="网格型"/>
    <w:basedOn w:val="935"/>
    <w:next w:val="1037"/>
    <w:link w:val="924"/>
    <w:pPr>
      <w:jc w:val="both"/>
      <w:widowControl w:val="off"/>
    </w:pPr>
    <w:rPr>
      <w:rFonts w:ascii="Times New Roman" w:hAnsi="Times New Roman" w:eastAsia="宋体" w:cs="Times New Roman"/>
      <w:sz w:val="20"/>
      <w:szCs w:val="20"/>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8</cp:revision>
  <dcterms:created xsi:type="dcterms:W3CDTF">2023-03-16T02:13:00Z</dcterms:created>
  <dcterms:modified xsi:type="dcterms:W3CDTF">2026-05-20T06:26:27Z</dcterms:modified>
</cp:coreProperties>
</file>