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黑体" w:hAnsi="黑体" w:eastAsia="黑体" w:cs="黑体"/>
          <w:b/>
          <w:spacing w:val="20"/>
          <w:sz w:val="44"/>
        </w:rPr>
      </w:pPr>
      <w:r/>
      <w:bookmarkStart w:id="0" w:name="OLE_LINK67"/>
      <w:r/>
      <w:bookmarkStart w:id="1" w:name="OLE_LINK16"/>
      <w:r/>
      <w:bookmarkStart w:id="2" w:name="OLE_LINK57"/>
      <w:r>
        <w:rPr>
          <w:rFonts w:hint="eastAsia" w:ascii="黑体" w:hAnsi="黑体" w:eastAsia="黑体" w:cs="黑体"/>
          <w:b/>
          <w:spacing w:val="20"/>
          <w:sz w:val="44"/>
        </w:rPr>
        <w:t xml:space="preserve">启东市</w:t>
      </w:r>
      <w:bookmarkStart w:id="3" w:name="OLE_LINK11"/>
      <w:r>
        <w:rPr>
          <w:rFonts w:hint="eastAsia" w:ascii="黑体" w:hAnsi="黑体" w:eastAsia="黑体" w:cs="黑体"/>
          <w:b/>
          <w:spacing w:val="20"/>
          <w:sz w:val="44"/>
        </w:rPr>
        <w:t xml:space="preserve">社会治安防控体系建设第九期</w:t>
      </w:r>
      <w:bookmarkEnd w:id="0"/>
      <w:r/>
      <w:bookmarkEnd w:id="1"/>
      <w:r/>
      <w:bookmarkEnd w:id="2"/>
      <w:r/>
      <w:bookmarkEnd w:id="3"/>
      <w:r>
        <w:rPr>
          <w:rFonts w:hint="eastAsia" w:ascii="黑体" w:hAnsi="黑体" w:eastAsia="黑体" w:cs="黑体"/>
          <w:b/>
          <w:spacing w:val="20"/>
          <w:sz w:val="44"/>
        </w:rPr>
        <w:t xml:space="preserve">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854"/>
        <w:spacing w:line="500" w:lineRule="exact"/>
        <w:rPr>
          <w:rFonts w:eastAsia="方正小标宋_GBK"/>
          <w:b w:val="0"/>
          <w:bCs/>
        </w:rPr>
      </w:pPr>
      <w:r>
        <w:rPr>
          <w:rFonts w:eastAsia="方正小标宋_GBK"/>
          <w:b w:val="0"/>
          <w:bCs/>
        </w:rPr>
      </w:r>
      <w:r/>
    </w:p>
    <w:p>
      <w:pPr>
        <w:pStyle w:val="854"/>
        <w:spacing w:line="500" w:lineRule="exact"/>
        <w:rPr>
          <w:rFonts w:eastAsia="方正小标宋_GBK"/>
          <w:b w:val="0"/>
          <w:bCs/>
          <w:sz w:val="36"/>
          <w:szCs w:val="36"/>
        </w:rPr>
      </w:pPr>
      <w:r>
        <w:rPr>
          <w:rFonts w:eastAsia="方正小标宋_GBK"/>
          <w:b w:val="0"/>
          <w:bCs/>
          <w:sz w:val="36"/>
          <w:szCs w:val="36"/>
        </w:rPr>
        <w:t xml:space="preserve">项目编号：JSZC-320681-JZCG-G2026-003</w:t>
      </w:r>
      <w:r>
        <w:rPr>
          <w:rFonts w:hint="default" w:eastAsia="方正小标宋_GBK"/>
          <w:b w:val="0"/>
          <w:bCs/>
          <w:sz w:val="36"/>
          <w:szCs w:val="36"/>
          <w:lang w:val="en-US"/>
        </w:rPr>
        <w:t xml:space="preserve">3</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5"/>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hint="eastAsia" w:ascii="Times New Roman" w:hAnsi="Times New Roman" w:eastAsia="楷体"/>
          <w:sz w:val="44"/>
          <w:szCs w:val="44"/>
        </w:rPr>
        <w:t xml:space="preserve">6</w:t>
      </w:r>
      <w:r>
        <w:rPr>
          <w:rFonts w:ascii="Times New Roman" w:hAnsi="Times New Roman" w:eastAsia="楷体"/>
          <w:sz w:val="44"/>
          <w:szCs w:val="44"/>
        </w:rPr>
        <w:t xml:space="preserve">月18日</w:t>
      </w:r>
      <w:r/>
    </w:p>
    <w:p>
      <w:pPr>
        <w:ind w:left="-158"/>
        <w:rPr>
          <w:b/>
          <w:sz w:val="26"/>
          <w:szCs w:val="28"/>
          <w:u w:val="single"/>
        </w:rPr>
      </w:pPr>
      <w:r/>
      <w:bookmarkStart w:id="4" w:name="_Hlk194478377"/>
      <w:r>
        <w:rPr>
          <w:b/>
          <w:sz w:val="26"/>
          <w:szCs w:val="28"/>
          <w:u w:val="single"/>
        </w:rPr>
        <w:t xml:space="preserve">________________________________________________________________</w:t>
      </w:r>
      <w:bookmarkEnd w:id="4"/>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启东市金桥路199号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  </w:t>
      </w:r>
      <w:bookmarkStart w:id="5" w:name="OLE_LINK5"/>
      <w:r/>
      <w:bookmarkStart w:id="6"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7" w:name="OLE_LINK6"/>
      <w:r>
        <w:rPr>
          <w:rFonts w:eastAsia="方正仿宋_GBK"/>
          <w:sz w:val="28"/>
          <w:szCs w:val="28"/>
        </w:rPr>
        <w:t xml:space="preserve">受[</w:t>
      </w:r>
      <w:r>
        <w:rPr>
          <w:rFonts w:hint="eastAsia" w:eastAsia="方正仿宋_GBK"/>
          <w:sz w:val="28"/>
          <w:szCs w:val="28"/>
        </w:rPr>
        <w:t xml:space="preserve">启东市公安局</w:t>
      </w:r>
      <w:r>
        <w:rPr>
          <w:rFonts w:eastAsia="方正仿宋_GBK"/>
          <w:sz w:val="28"/>
          <w:szCs w:val="28"/>
        </w:rPr>
        <w:t xml:space="preserve">]的委托，启东市公共资源交易中心就[</w:t>
      </w:r>
      <w:r>
        <w:rPr>
          <w:rFonts w:hint="eastAsia" w:eastAsia="方正仿宋_GBK"/>
          <w:sz w:val="28"/>
          <w:szCs w:val="28"/>
        </w:rPr>
        <w:t xml:space="preserve">启东市社会治安防控体系建设第九期项目</w:t>
      </w:r>
      <w:r>
        <w:rPr>
          <w:rFonts w:eastAsia="方正仿宋_GBK"/>
          <w:sz w:val="28"/>
          <w:szCs w:val="28"/>
        </w:rPr>
        <w:t xml:space="preserve">]（项目编号：JSZC-320681-JZCG-G2026-003</w:t>
      </w:r>
      <w:r>
        <w:rPr>
          <w:rFonts w:hint="default" w:eastAsia="方正仿宋_GBK"/>
          <w:sz w:val="28"/>
          <w:szCs w:val="28"/>
          <w:lang w:val="en-US"/>
        </w:rPr>
        <w:t xml:space="preserve">3</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启东市社会治安防控体系建设第九期项目</w:t>
      </w:r>
      <w:r>
        <w:rPr>
          <w:rFonts w:eastAsia="方正仿宋_GBK"/>
          <w:sz w:val="28"/>
          <w:szCs w:val="28"/>
        </w:rPr>
        <w:t xml:space="preserve">]的潜在投标人应在江苏政府采购网获取招标文件，并于2026年7月10日9点00分（北京时间）前递交投标文件。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hint="default" w:eastAsia="方正仿宋_GBK"/>
          <w:sz w:val="28"/>
          <w:szCs w:val="28"/>
          <w:lang w:val="en-US"/>
        </w:rPr>
      </w:pPr>
      <w:r>
        <w:rPr>
          <w:rFonts w:eastAsia="方正仿宋_GBK"/>
          <w:sz w:val="28"/>
          <w:szCs w:val="28"/>
        </w:rPr>
        <w:t xml:space="preserve">项目编号：JSZC-320681-JZCG-G2026-003</w:t>
      </w:r>
      <w:r>
        <w:rPr>
          <w:rFonts w:hint="default" w:eastAsia="方正仿宋_GBK"/>
          <w:sz w:val="28"/>
          <w:szCs w:val="28"/>
          <w:lang w:val="en-US"/>
        </w:rPr>
        <w:t xml:space="preserve">3</w:t>
      </w:r>
      <w:r/>
    </w:p>
    <w:p>
      <w:pPr>
        <w:ind w:firstLine="560"/>
        <w:spacing w:line="500" w:lineRule="exact"/>
        <w:rPr>
          <w:rFonts w:eastAsia="方正仿宋_GBK"/>
          <w:sz w:val="28"/>
          <w:szCs w:val="28"/>
        </w:rPr>
      </w:pPr>
      <w:r/>
      <w:bookmarkStart w:id="163" w:name="_GoBack"/>
      <w:r/>
      <w:bookmarkEnd w:id="163"/>
      <w:r>
        <w:rPr>
          <w:rFonts w:eastAsia="方正仿宋_GBK"/>
          <w:sz w:val="28"/>
          <w:szCs w:val="28"/>
        </w:rPr>
        <w:t xml:space="preserve">项目名称：</w:t>
      </w:r>
      <w:r>
        <w:rPr>
          <w:rFonts w:hint="eastAsia" w:eastAsia="方正仿宋_GBK"/>
          <w:sz w:val="28"/>
          <w:szCs w:val="28"/>
        </w:rPr>
        <w:t xml:space="preserve">启东市社会治安防控体系建设第九期项目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ascii="仿宋" w:hAnsi="仿宋" w:eastAsia="仿宋" w:cs="仿宋"/>
          <w:bCs/>
          <w:color w:val="000000"/>
          <w:sz w:val="28"/>
          <w:szCs w:val="28"/>
        </w:rPr>
        <w:t xml:space="preserve">1000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 </w:t>
      </w:r>
      <w:r>
        <w:rPr>
          <w:rFonts w:hint="eastAsia" w:ascii="仿宋" w:hAnsi="仿宋" w:eastAsia="仿宋" w:cs="仿宋"/>
          <w:bCs/>
          <w:color w:val="000000"/>
          <w:sz w:val="28"/>
          <w:szCs w:val="28"/>
        </w:rPr>
        <w:t xml:space="preserve">一标包：301万元，二标包：400万元，三标包：299万元</w:t>
      </w:r>
      <w:r>
        <w:rPr>
          <w:rFonts w:eastAsia="方正仿宋_GBK"/>
          <w:sz w:val="28"/>
          <w:szCs w:val="28"/>
        </w:rPr>
        <w:t xml:space="preserve"> </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bookmarkStart w:id="8" w:name="_Hlk212714035"/>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8"/>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时间：自本公告发布之日起至2026年6月26日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1.2026年7月10日9点00分（北京时间）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eastAsia="方正仿宋_GBK"/>
          <w:sz w:val="28"/>
          <w:szCs w:val="28"/>
        </w:rPr>
      </w:pPr>
      <w:r>
        <w:rPr>
          <w:rFonts w:eastAsia="方正仿宋_GBK"/>
          <w:sz w:val="28"/>
          <w:szCs w:val="28"/>
        </w:rPr>
        <w:t xml:space="preserve">3.项目演示、样品、答辩等：无</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rPr>
      </w:pPr>
      <w:r>
        <w:rPr>
          <w:rFonts w:eastAsia="方正仿宋_GBK"/>
          <w:sz w:val="28"/>
          <w:szCs w:val="28"/>
        </w:rPr>
        <w:t xml:space="preserve">名  称：</w:t>
      </w:r>
      <w:r>
        <w:rPr>
          <w:rFonts w:hint="eastAsia" w:eastAsia="方正仿宋_GBK"/>
          <w:sz w:val="28"/>
          <w:szCs w:val="28"/>
        </w:rPr>
        <w:t xml:space="preserve">启东市公安局</w:t>
      </w:r>
      <w:r/>
    </w:p>
    <w:p>
      <w:pPr>
        <w:ind w:firstLine="560"/>
        <w:spacing w:line="500" w:lineRule="exact"/>
        <w:rPr>
          <w:rFonts w:eastAsia="方正仿宋_GBK"/>
          <w:sz w:val="28"/>
          <w:szCs w:val="28"/>
        </w:rPr>
      </w:pPr>
      <w:r>
        <w:rPr>
          <w:rFonts w:eastAsia="方正仿宋_GBK"/>
          <w:sz w:val="28"/>
          <w:szCs w:val="28"/>
        </w:rPr>
        <w:t xml:space="preserve">地  址：</w:t>
      </w:r>
      <w:r>
        <w:rPr>
          <w:rFonts w:hint="eastAsia" w:eastAsia="方正仿宋_GBK"/>
          <w:sz w:val="28"/>
          <w:szCs w:val="28"/>
        </w:rPr>
        <w:t xml:space="preserve">启东市汇龙镇金沙江路668号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陆警官</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ascii="宋体" w:hAnsi="宋体" w:cs="宋体"/>
          <w:sz w:val="28"/>
          <w:szCs w:val="28"/>
          <w:shd w:val="clear" w:color="auto" w:fill="ffffff"/>
        </w:rPr>
        <w:t xml:space="preserve">13962899328</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eastAsia="方正仿宋_GBK"/>
          <w:sz w:val="28"/>
          <w:szCs w:val="28"/>
        </w:rPr>
      </w:pPr>
      <w:r>
        <w:rPr>
          <w:rFonts w:eastAsia="方正仿宋_GBK"/>
          <w:sz w:val="28"/>
          <w:szCs w:val="28"/>
        </w:rPr>
        <w:t xml:space="preserve">名  称：启东市公共资源交易中心</w:t>
      </w:r>
      <w:r/>
    </w:p>
    <w:p>
      <w:pPr>
        <w:ind w:firstLine="560"/>
        <w:spacing w:line="500" w:lineRule="exact"/>
        <w:rPr>
          <w:rFonts w:eastAsia="方正仿宋_GBK"/>
          <w:sz w:val="28"/>
          <w:szCs w:val="28"/>
        </w:rPr>
      </w:pPr>
      <w:r>
        <w:rPr>
          <w:rFonts w:eastAsia="方正仿宋_GBK"/>
          <w:sz w:val="28"/>
          <w:szCs w:val="28"/>
        </w:rPr>
        <w:t xml:space="preserve">地  址：启东市金桥路199号</w:t>
      </w:r>
      <w:r/>
    </w:p>
    <w:p>
      <w:pPr>
        <w:ind w:firstLine="560"/>
        <w:spacing w:line="500" w:lineRule="exact"/>
        <w:rPr>
          <w:rFonts w:eastAsia="方正仿宋_GBK"/>
          <w:sz w:val="28"/>
          <w:szCs w:val="28"/>
        </w:rPr>
      </w:pPr>
      <w:r>
        <w:rPr>
          <w:rFonts w:eastAsia="方正仿宋_GBK"/>
          <w:sz w:val="28"/>
          <w:szCs w:val="28"/>
        </w:rPr>
        <w:t xml:space="preserve">联系方式：0513-83340291</w:t>
      </w:r>
      <w:r/>
    </w:p>
    <w:p>
      <w:pPr>
        <w:ind w:firstLine="560"/>
        <w:spacing w:line="500" w:lineRule="exact"/>
        <w:rPr>
          <w:rFonts w:eastAsia="方正仿宋_GBK"/>
          <w:sz w:val="28"/>
          <w:szCs w:val="28"/>
        </w:rPr>
      </w:pPr>
      <w:r>
        <w:rPr>
          <w:rFonts w:eastAsia="方正仿宋_GBK"/>
          <w:sz w:val="28"/>
          <w:szCs w:val="28"/>
        </w:rPr>
        <w:t xml:space="preserve">3.软件技术支持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交易系统软件维护人员：0519-86722801、0519-86722806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  投标须知</w:t>
      </w:r>
      <w:r/>
    </w:p>
    <w:p>
      <w:pPr>
        <w:ind w:firstLine="560"/>
        <w:spacing w:line="500" w:lineRule="exact"/>
        <w:rPr>
          <w:rFonts w:ascii="方正黑体_GBK" w:hAnsi="方正黑体_GBK" w:eastAsia="方正黑体_GBK" w:cs="方正黑体_GBK"/>
          <w:bCs/>
          <w:sz w:val="28"/>
          <w:szCs w:val="28"/>
        </w:rPr>
      </w:pPr>
      <w:r/>
      <w:bookmarkStart w:id="9" w:name="_Toc120614214"/>
      <w:r/>
      <w:bookmarkStart w:id="10" w:name="_Toc513029203"/>
      <w:r/>
      <w:bookmarkStart w:id="11" w:name="_Toc16938519"/>
      <w:r/>
      <w:bookmarkStart w:id="12" w:name="_Toc20823275"/>
      <w:r>
        <w:rPr>
          <w:rFonts w:ascii="方正黑体_GBK" w:hAnsi="方正黑体_GBK" w:eastAsia="方正黑体_GBK" w:cs="方正黑体_GBK"/>
          <w:bCs/>
          <w:sz w:val="28"/>
          <w:szCs w:val="28"/>
        </w:rPr>
        <w:t xml:space="preserve">一、总则</w:t>
      </w:r>
      <w:bookmarkEnd w:id="9"/>
      <w:r/>
      <w:bookmarkEnd w:id="10"/>
      <w:r/>
      <w:bookmarkEnd w:id="11"/>
      <w:r/>
      <w:bookmarkEnd w:id="12"/>
      <w:r/>
      <w:r/>
    </w:p>
    <w:p>
      <w:pPr>
        <w:pStyle w:val="852"/>
        <w:ind w:firstLine="560"/>
        <w:jc w:val="both"/>
        <w:spacing w:line="500" w:lineRule="exact"/>
        <w:rPr>
          <w:rFonts w:eastAsia="方正仿宋_GBK"/>
          <w:b/>
          <w:bCs/>
          <w:sz w:val="28"/>
          <w:szCs w:val="28"/>
        </w:rPr>
      </w:pPr>
      <w:r/>
      <w:bookmarkStart w:id="13" w:name="_Hlt16619475"/>
      <w:r/>
      <w:bookmarkEnd w:id="13"/>
      <w:r/>
      <w:bookmarkStart w:id="14" w:name="_Toc458694821"/>
      <w:r/>
      <w:bookmarkStart w:id="15" w:name="_Toc513029204"/>
      <w:r/>
      <w:bookmarkStart w:id="16" w:name="_Toc16938520"/>
      <w:r/>
      <w:bookmarkStart w:id="17" w:name="_Toc20823276"/>
      <w:r>
        <w:rPr>
          <w:rFonts w:eastAsia="方正仿宋_GBK"/>
          <w:sz w:val="28"/>
          <w:szCs w:val="28"/>
        </w:rPr>
        <w:t xml:space="preserve">1</w:t>
      </w:r>
      <w:bookmarkEnd w:id="14"/>
      <w:r>
        <w:rPr>
          <w:rFonts w:eastAsia="方正仿宋_GBK"/>
          <w:sz w:val="28"/>
          <w:szCs w:val="28"/>
        </w:rPr>
        <w:t xml:space="preserve">.招标方式</w:t>
      </w:r>
      <w:bookmarkEnd w:id="15"/>
      <w:r/>
      <w:bookmarkEnd w:id="16"/>
      <w:r/>
      <w:bookmarkEnd w:id="17"/>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852"/>
        <w:ind w:firstLine="560"/>
        <w:jc w:val="both"/>
        <w:spacing w:line="500" w:lineRule="exact"/>
        <w:rPr>
          <w:rFonts w:eastAsia="方正仿宋_GBK"/>
          <w:sz w:val="28"/>
          <w:szCs w:val="28"/>
        </w:rPr>
      </w:pPr>
      <w:r/>
      <w:bookmarkStart w:id="18" w:name="_Toc513029205"/>
      <w:r/>
      <w:bookmarkStart w:id="19" w:name="_Toc16938521"/>
      <w:r/>
      <w:bookmarkStart w:id="20" w:name="_Toc20823277"/>
      <w:r>
        <w:rPr>
          <w:rFonts w:eastAsia="方正仿宋_GBK"/>
          <w:sz w:val="28"/>
          <w:szCs w:val="28"/>
        </w:rPr>
        <w:t xml:space="preserve">2.合格的投标人</w:t>
      </w:r>
      <w:bookmarkEnd w:id="18"/>
      <w:r/>
      <w:bookmarkEnd w:id="19"/>
      <w:r/>
      <w:bookmarkEnd w:id="20"/>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852"/>
        <w:ind w:firstLine="560"/>
        <w:jc w:val="both"/>
        <w:spacing w:line="500" w:lineRule="exact"/>
        <w:rPr>
          <w:rFonts w:eastAsia="方正仿宋_GBK"/>
          <w:sz w:val="28"/>
          <w:szCs w:val="28"/>
        </w:rPr>
      </w:pPr>
      <w:r/>
      <w:bookmarkStart w:id="21" w:name="_Toc16938522"/>
      <w:r/>
      <w:bookmarkStart w:id="22" w:name="_Toc20823278"/>
      <w:r/>
      <w:bookmarkStart w:id="23" w:name="_Toc513029206"/>
      <w:r>
        <w:rPr>
          <w:rFonts w:eastAsia="方正仿宋_GBK"/>
          <w:sz w:val="28"/>
          <w:szCs w:val="28"/>
        </w:rPr>
        <w:t xml:space="preserve">3.适用法律</w:t>
      </w:r>
      <w:bookmarkEnd w:id="21"/>
      <w:r/>
      <w:bookmarkEnd w:id="22"/>
      <w:r/>
      <w:bookmarkEnd w:id="23"/>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852"/>
        <w:ind w:firstLine="560"/>
        <w:jc w:val="both"/>
        <w:spacing w:line="500" w:lineRule="exact"/>
        <w:rPr>
          <w:rFonts w:eastAsia="方正仿宋_GBK"/>
          <w:sz w:val="28"/>
          <w:szCs w:val="28"/>
        </w:rPr>
      </w:pPr>
      <w:r/>
      <w:bookmarkStart w:id="24" w:name="_Toc20823279"/>
      <w:r/>
      <w:bookmarkStart w:id="25" w:name="_Toc513029207"/>
      <w:r/>
      <w:bookmarkStart w:id="26" w:name="_Toc16938523"/>
      <w:r/>
      <w:bookmarkStart w:id="27" w:name="_Toc462564067"/>
      <w:r>
        <w:rPr>
          <w:rFonts w:eastAsia="方正仿宋_GBK"/>
          <w:sz w:val="28"/>
          <w:szCs w:val="28"/>
        </w:rPr>
        <w:t xml:space="preserve">4.投标费用</w:t>
      </w:r>
      <w:bookmarkEnd w:id="24"/>
      <w:r/>
      <w:bookmarkEnd w:id="25"/>
      <w:r/>
      <w:bookmarkEnd w:id="26"/>
      <w:r/>
      <w:bookmarkEnd w:id="27"/>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4.2本次招标交易中心和采购人不收取标书工本费与中标服务费。</w:t>
      </w:r>
      <w:r/>
    </w:p>
    <w:p>
      <w:pPr>
        <w:pStyle w:val="852"/>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2"/>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8" w:name="_Toc120614215"/>
      <w:r/>
      <w:bookmarkStart w:id="29" w:name="_Toc20823281"/>
      <w:r/>
      <w:bookmarkStart w:id="30" w:name="_Toc16938525"/>
      <w:r/>
      <w:bookmarkStart w:id="31" w:name="_Toc513029209"/>
      <w:r>
        <w:rPr>
          <w:rFonts w:ascii="方正黑体_GBK" w:hAnsi="方正黑体_GBK" w:eastAsia="方正黑体_GBK" w:cs="方正黑体_GBK"/>
          <w:bCs/>
          <w:sz w:val="28"/>
          <w:szCs w:val="28"/>
        </w:rPr>
        <w:t xml:space="preserve">二、招标文件</w:t>
      </w:r>
      <w:bookmarkEnd w:id="28"/>
      <w:r/>
      <w:bookmarkEnd w:id="29"/>
      <w:r/>
      <w:bookmarkEnd w:id="30"/>
      <w:r/>
      <w:bookmarkEnd w:id="31"/>
      <w:r/>
      <w:r/>
    </w:p>
    <w:p>
      <w:pPr>
        <w:pStyle w:val="852"/>
        <w:ind w:firstLine="560"/>
        <w:jc w:val="both"/>
        <w:spacing w:line="500" w:lineRule="exact"/>
        <w:rPr>
          <w:rFonts w:eastAsia="方正仿宋_GBK"/>
          <w:sz w:val="28"/>
          <w:szCs w:val="28"/>
        </w:rPr>
      </w:pPr>
      <w:r/>
      <w:bookmarkStart w:id="32" w:name="_Toc16938526"/>
      <w:r/>
      <w:bookmarkStart w:id="33" w:name="_Toc513029210"/>
      <w:r/>
      <w:bookmarkStart w:id="34" w:name="_Toc20823282"/>
      <w:r>
        <w:rPr>
          <w:rFonts w:eastAsia="方正仿宋_GBK"/>
          <w:sz w:val="28"/>
          <w:szCs w:val="28"/>
        </w:rPr>
        <w:t xml:space="preserve">1.招标文件构成</w:t>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560"/>
        <w:jc w:val="both"/>
        <w:spacing w:line="500" w:lineRule="exact"/>
        <w:rPr>
          <w:rFonts w:eastAsia="方正仿宋_GBK"/>
          <w:sz w:val="28"/>
          <w:szCs w:val="28"/>
        </w:rPr>
      </w:pPr>
      <w:r/>
      <w:bookmarkStart w:id="35" w:name="_Toc462564070"/>
      <w:r/>
      <w:bookmarkStart w:id="36" w:name="_Toc20823283"/>
      <w:r/>
      <w:bookmarkStart w:id="37" w:name="_Toc16938527"/>
      <w:r/>
      <w:bookmarkStart w:id="38" w:name="_Toc513029211"/>
      <w:r>
        <w:rPr>
          <w:rFonts w:eastAsia="方正仿宋_GBK"/>
          <w:sz w:val="28"/>
          <w:szCs w:val="28"/>
        </w:rPr>
        <w:t xml:space="preserve">2.招标文件的澄清</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852"/>
        <w:ind w:firstLine="560"/>
        <w:jc w:val="both"/>
        <w:spacing w:line="500" w:lineRule="exact"/>
        <w:rPr>
          <w:rFonts w:eastAsia="方正仿宋_GBK"/>
          <w:sz w:val="28"/>
          <w:szCs w:val="28"/>
        </w:rPr>
      </w:pPr>
      <w:r/>
      <w:bookmarkStart w:id="39" w:name="_Toc20823284"/>
      <w:r/>
      <w:bookmarkStart w:id="40" w:name="_Toc16938528"/>
      <w:r/>
      <w:bookmarkStart w:id="41" w:name="_Toc462564071"/>
      <w:r/>
      <w:bookmarkStart w:id="42" w:name="_Toc513029212"/>
      <w:r>
        <w:rPr>
          <w:rFonts w:eastAsia="方正仿宋_GBK"/>
          <w:sz w:val="28"/>
          <w:szCs w:val="28"/>
        </w:rPr>
        <w:t xml:space="preserve">3.招标文件的修改</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43" w:name="_Toc16938529"/>
      <w:r/>
      <w:bookmarkStart w:id="44" w:name="_Toc20823285"/>
      <w:r/>
      <w:bookmarkStart w:id="45" w:name="_Toc462564072"/>
      <w:r/>
      <w:bookmarkStart w:id="46" w:name="_Toc120614216"/>
      <w:r/>
      <w:bookmarkStart w:id="47" w:name="_Toc513029213"/>
      <w:r>
        <w:rPr>
          <w:rFonts w:ascii="方正黑体_GBK" w:hAnsi="方正黑体_GBK" w:eastAsia="方正黑体_GBK" w:cs="方正黑体_GBK"/>
          <w:bCs/>
          <w:sz w:val="28"/>
          <w:szCs w:val="28"/>
        </w:rPr>
        <w:t xml:space="preserve">三、投标文件的编制</w:t>
      </w:r>
      <w:bookmarkEnd w:id="43"/>
      <w:r/>
      <w:bookmarkEnd w:id="44"/>
      <w:r/>
      <w:bookmarkEnd w:id="45"/>
      <w:r/>
      <w:bookmarkEnd w:id="46"/>
      <w:r/>
      <w:bookmarkEnd w:id="47"/>
      <w:r/>
      <w:r/>
    </w:p>
    <w:p>
      <w:pPr>
        <w:pStyle w:val="852"/>
        <w:ind w:firstLine="560"/>
        <w:jc w:val="both"/>
        <w:spacing w:line="500" w:lineRule="exact"/>
        <w:rPr>
          <w:rFonts w:eastAsia="方正仿宋_GBK"/>
          <w:sz w:val="28"/>
          <w:szCs w:val="28"/>
        </w:rPr>
      </w:pPr>
      <w:r/>
      <w:bookmarkStart w:id="48" w:name="_Toc513029214"/>
      <w:r/>
      <w:bookmarkStart w:id="49" w:name="_Toc16938530"/>
      <w:r/>
      <w:bookmarkStart w:id="50" w:name="_Toc462564073"/>
      <w:r/>
      <w:bookmarkStart w:id="51" w:name="_Toc20823286"/>
      <w:r>
        <w:rPr>
          <w:rFonts w:eastAsia="方正仿宋_GBK"/>
          <w:sz w:val="28"/>
          <w:szCs w:val="28"/>
        </w:rPr>
        <w:t xml:space="preserve">1.投标文件的语言及度量衡单位</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2"/>
        <w:ind w:firstLine="560"/>
        <w:jc w:val="both"/>
        <w:spacing w:line="500" w:lineRule="exact"/>
        <w:rPr>
          <w:rFonts w:eastAsia="方正仿宋_GBK"/>
          <w:sz w:val="28"/>
          <w:szCs w:val="28"/>
        </w:rPr>
      </w:pPr>
      <w:r/>
      <w:bookmarkStart w:id="52" w:name="_Toc16938531"/>
      <w:r/>
      <w:bookmarkStart w:id="53" w:name="_Toc462564074"/>
      <w:r/>
      <w:bookmarkStart w:id="54" w:name="_Toc20823287"/>
      <w:r/>
      <w:bookmarkStart w:id="55" w:name="_Toc513029215"/>
      <w:r>
        <w:rPr>
          <w:rFonts w:eastAsia="方正仿宋_GBK"/>
          <w:sz w:val="28"/>
          <w:szCs w:val="28"/>
        </w:rPr>
        <w:t xml:space="preserve">2.投标文件构成</w:t>
      </w:r>
      <w:bookmarkEnd w:id="52"/>
      <w:r/>
      <w:bookmarkEnd w:id="53"/>
      <w:r/>
      <w:bookmarkEnd w:id="54"/>
      <w:r/>
      <w:bookmarkEnd w:id="55"/>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6" w:name="_Toc513029219"/>
      <w:r/>
      <w:bookmarkStart w:id="57" w:name="_Toc14577357"/>
      <w:r/>
      <w:bookmarkStart w:id="58" w:name="_Toc49090509"/>
      <w:r/>
      <w:bookmarkStart w:id="59" w:name="_Toc513029216"/>
      <w:r/>
      <w:bookmarkStart w:id="60" w:name="_Toc49090507"/>
      <w:r/>
      <w:bookmarkStart w:id="61" w:name="_Toc14577354"/>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6"/>
      <w:r/>
      <w:bookmarkEnd w:id="57"/>
      <w:r/>
      <w:bookmarkEnd w:id="58"/>
      <w:r/>
      <w:bookmarkEnd w:id="59"/>
      <w:r/>
      <w:bookmarkEnd w:id="60"/>
      <w:r/>
      <w:bookmarkEnd w:id="61"/>
      <w:r/>
      <w:r/>
    </w:p>
    <w:p>
      <w:pPr>
        <w:ind w:firstLine="560"/>
        <w:spacing w:line="500" w:lineRule="exact"/>
        <w:rPr>
          <w:rFonts w:eastAsia="方正仿宋_GBK"/>
          <w:sz w:val="28"/>
          <w:szCs w:val="28"/>
        </w:rPr>
      </w:pPr>
      <w:r/>
      <w:bookmarkStart w:id="62" w:name="_Toc14577355"/>
      <w:r/>
      <w:bookmarkStart w:id="63" w:name="_Toc49090508"/>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62"/>
      <w:r/>
      <w:bookmarkEnd w:id="63"/>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4" w:name="_Hlt26954840"/>
      <w:r/>
      <w:bookmarkEnd w:id="64"/>
      <w:r>
        <w:rPr>
          <w:rFonts w:eastAsia="方正仿宋_GBK"/>
          <w:sz w:val="28"/>
          <w:szCs w:val="28"/>
        </w:rPr>
        <w:t xml:space="preserve">标人应按照招标文件规定格式填报</w:t>
      </w:r>
      <w:bookmarkStart w:id="65" w:name="_Hlt26670399"/>
      <w:r/>
      <w:bookmarkEnd w:id="65"/>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6" w:name="_Hlt26670425"/>
      <w:r/>
      <w:bookmarkEnd w:id="66"/>
      <w:r/>
      <w:bookmarkStart w:id="67" w:name="_Hlt26954842"/>
      <w:r/>
      <w:bookmarkEnd w:id="67"/>
      <w:r/>
      <w:bookmarkStart w:id="68" w:name="_Hlt26670486"/>
      <w:r/>
      <w:bookmarkEnd w:id="68"/>
      <w:r/>
      <w:bookmarkStart w:id="69" w:name="_Hlt26668983"/>
      <w:r/>
      <w:bookmarkEnd w:id="69"/>
      <w:r/>
      <w:bookmarkStart w:id="70" w:name="_Hlt26954731"/>
      <w:r/>
      <w:bookmarkEnd w:id="70"/>
      <w:r/>
      <w:bookmarkStart w:id="71" w:name="_Hlt26670403"/>
      <w:r/>
      <w:bookmarkEnd w:id="71"/>
      <w:r/>
      <w:bookmarkStart w:id="72" w:name="_Hlt26954844"/>
      <w:r/>
      <w:bookmarkEnd w:id="72"/>
      <w:r/>
      <w:bookmarkStart w:id="73" w:name="_Hlt26670482"/>
      <w:r/>
      <w:bookmarkEnd w:id="73"/>
      <w:r/>
      <w:bookmarkStart w:id="74" w:name="_Hlt26954848"/>
      <w:r/>
      <w:bookmarkEnd w:id="74"/>
      <w:r/>
      <w:bookmarkStart w:id="75" w:name="_Hlt26954846"/>
      <w:r/>
      <w:bookmarkEnd w:id="75"/>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6" w:name="_Toc14577359"/>
      <w:r/>
      <w:bookmarkStart w:id="77" w:name="_Toc49090510"/>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6"/>
      <w:r/>
      <w:bookmarkEnd w:id="77"/>
      <w:r/>
      <w:r/>
    </w:p>
    <w:p>
      <w:pPr>
        <w:pStyle w:val="852"/>
        <w:ind w:firstLine="560"/>
        <w:jc w:val="both"/>
        <w:spacing w:line="500" w:lineRule="exact"/>
        <w:rPr>
          <w:rFonts w:eastAsia="方正仿宋_GBK"/>
          <w:sz w:val="28"/>
          <w:szCs w:val="28"/>
        </w:rPr>
      </w:pPr>
      <w:r/>
      <w:bookmarkStart w:id="78" w:name="_Hlt26670360"/>
      <w:r/>
      <w:bookmarkEnd w:id="78"/>
      <w:r/>
      <w:bookmarkStart w:id="79" w:name="_Hlt26954838"/>
      <w:r/>
      <w:bookmarkEnd w:id="79"/>
      <w:r/>
      <w:bookmarkStart w:id="80" w:name="_Hlt26668975"/>
      <w:r/>
      <w:bookmarkEnd w:id="80"/>
      <w:r/>
      <w:bookmarkStart w:id="81" w:name="_Toc14577360"/>
      <w:r/>
      <w:bookmarkStart w:id="82" w:name="_Toc49090511"/>
      <w:r>
        <w:rPr>
          <w:rFonts w:eastAsia="方正仿宋_GBK"/>
          <w:sz w:val="28"/>
          <w:szCs w:val="28"/>
        </w:rPr>
        <w:t xml:space="preserve">7.投标有效期</w:t>
      </w:r>
      <w:bookmarkEnd w:id="81"/>
      <w:r/>
      <w:bookmarkEnd w:id="82"/>
      <w:r/>
      <w:r/>
    </w:p>
    <w:p>
      <w:pPr>
        <w:ind w:firstLine="560"/>
        <w:spacing w:line="500" w:lineRule="exact"/>
        <w:rPr>
          <w:rFonts w:eastAsia="方正仿宋_GBK"/>
          <w:bCs/>
          <w:sz w:val="28"/>
          <w:szCs w:val="28"/>
        </w:rPr>
      </w:pPr>
      <w:r>
        <w:rPr>
          <w:rFonts w:eastAsia="方正仿宋_GBK"/>
          <w:bCs/>
          <w:sz w:val="28"/>
          <w:szCs w:val="28"/>
        </w:rPr>
        <w:t xml:space="preserve">7.1投标有效期为交易中心规定的开标之日后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83" w:name="_Hlt26954739"/>
      <w:r/>
      <w:bookmarkEnd w:id="83"/>
      <w:r/>
      <w:bookmarkStart w:id="84" w:name="_Hlt26954852"/>
      <w:r/>
      <w:bookmarkEnd w:id="84"/>
      <w:r/>
      <w:bookmarkStart w:id="85" w:name="_Toc513029224"/>
      <w:r/>
      <w:bookmarkStart w:id="86" w:name="_Toc16938540"/>
      <w:r/>
      <w:bookmarkStart w:id="87" w:name="_Toc120614217"/>
      <w:r/>
      <w:bookmarkStart w:id="88" w:name="_Toc20823296"/>
      <w:r>
        <w:rPr>
          <w:rFonts w:ascii="方正黑体_GBK" w:hAnsi="方正黑体_GBK" w:eastAsia="方正黑体_GBK" w:cs="方正黑体_GBK"/>
          <w:bCs/>
          <w:sz w:val="28"/>
          <w:szCs w:val="28"/>
        </w:rPr>
        <w:t xml:space="preserve">四、投标文件的递交</w:t>
      </w:r>
      <w:bookmarkEnd w:id="85"/>
      <w:r/>
      <w:bookmarkEnd w:id="86"/>
      <w:r/>
      <w:bookmarkEnd w:id="87"/>
      <w:r/>
      <w:bookmarkEnd w:id="88"/>
      <w:r/>
      <w:r/>
    </w:p>
    <w:p>
      <w:pPr>
        <w:pStyle w:val="852"/>
        <w:ind w:firstLine="560"/>
        <w:jc w:val="both"/>
        <w:spacing w:line="500" w:lineRule="exact"/>
        <w:rPr>
          <w:rFonts w:eastAsia="方正仿宋_GBK"/>
          <w:sz w:val="28"/>
          <w:szCs w:val="28"/>
        </w:rPr>
      </w:pPr>
      <w:r/>
      <w:bookmarkStart w:id="89" w:name="_Toc462564084"/>
      <w:r/>
      <w:bookmarkStart w:id="90" w:name="_Toc513029225"/>
      <w:r/>
      <w:bookmarkStart w:id="91" w:name="_Toc20823297"/>
      <w:r/>
      <w:bookmarkStart w:id="92" w:name="_Toc16938541"/>
      <w:r>
        <w:rPr>
          <w:rFonts w:eastAsia="方正仿宋_GBK"/>
          <w:sz w:val="28"/>
          <w:szCs w:val="28"/>
        </w:rPr>
        <w:t xml:space="preserve">1.投标文件</w:t>
      </w:r>
      <w:bookmarkEnd w:id="89"/>
      <w:r/>
      <w:bookmarkEnd w:id="90"/>
      <w:r/>
      <w:bookmarkEnd w:id="91"/>
      <w:r/>
      <w:bookmarkEnd w:id="92"/>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93" w:name="_Toc513029226"/>
      <w:r/>
      <w:bookmarkStart w:id="94" w:name="_Toc16938542"/>
      <w:r/>
      <w:bookmarkStart w:id="95" w:name="_Toc20823298"/>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2"/>
        <w:ind w:firstLine="560"/>
        <w:jc w:val="both"/>
        <w:spacing w:line="500" w:lineRule="exact"/>
        <w:rPr>
          <w:rFonts w:eastAsia="方正仿宋_GBK"/>
          <w:sz w:val="28"/>
          <w:szCs w:val="28"/>
        </w:rPr>
      </w:pPr>
      <w:r>
        <w:rPr>
          <w:rFonts w:eastAsia="方正仿宋_GBK"/>
          <w:sz w:val="28"/>
          <w:szCs w:val="28"/>
        </w:rPr>
        <w:t xml:space="preserve">2.投标截止日期</w:t>
      </w:r>
      <w:bookmarkEnd w:id="93"/>
      <w:r/>
      <w:bookmarkEnd w:id="94"/>
      <w:r/>
      <w:bookmarkEnd w:id="95"/>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52"/>
        <w:ind w:firstLine="560"/>
        <w:jc w:val="both"/>
        <w:spacing w:line="500" w:lineRule="exact"/>
        <w:rPr>
          <w:rFonts w:eastAsia="方正仿宋_GBK"/>
          <w:sz w:val="28"/>
          <w:szCs w:val="28"/>
        </w:rPr>
      </w:pPr>
      <w:r/>
      <w:bookmarkStart w:id="96" w:name="_Toc16938543"/>
      <w:r/>
      <w:bookmarkStart w:id="97" w:name="_Toc513029227"/>
      <w:r/>
      <w:bookmarkStart w:id="98" w:name="_Toc20823299"/>
      <w:r>
        <w:rPr>
          <w:rFonts w:eastAsia="方正仿宋_GBK"/>
          <w:sz w:val="28"/>
          <w:szCs w:val="28"/>
        </w:rPr>
        <w:t xml:space="preserve">3.投标文件</w:t>
      </w:r>
      <w:bookmarkEnd w:id="96"/>
      <w:r/>
      <w:bookmarkEnd w:id="97"/>
      <w:r/>
      <w:bookmarkEnd w:id="98"/>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3.1交易中心拒绝接收在其规定的投标截止时间后上传的任何投标文件。</w:t>
      </w:r>
      <w:r/>
    </w:p>
    <w:p>
      <w:pPr>
        <w:pStyle w:val="852"/>
        <w:ind w:firstLine="560"/>
        <w:jc w:val="both"/>
        <w:spacing w:line="500" w:lineRule="exact"/>
        <w:rPr>
          <w:rFonts w:eastAsia="方正仿宋_GBK"/>
          <w:sz w:val="28"/>
          <w:szCs w:val="28"/>
        </w:rPr>
      </w:pPr>
      <w:r/>
      <w:bookmarkStart w:id="99" w:name="_Toc16938544"/>
      <w:r/>
      <w:bookmarkStart w:id="100" w:name="_Toc513029228"/>
      <w:r/>
      <w:bookmarkStart w:id="101" w:name="_Toc20823300"/>
      <w:r>
        <w:rPr>
          <w:rFonts w:eastAsia="方正仿宋_GBK"/>
          <w:sz w:val="28"/>
          <w:szCs w:val="28"/>
        </w:rPr>
        <w:t xml:space="preserve">4.投标文件的撤回和修改</w:t>
      </w:r>
      <w:bookmarkEnd w:id="99"/>
      <w:r/>
      <w:bookmarkEnd w:id="100"/>
      <w:r/>
      <w:bookmarkEnd w:id="101"/>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102" w:name="_Toc20823301"/>
      <w:r/>
      <w:bookmarkStart w:id="103" w:name="_Toc513029229"/>
      <w:r/>
      <w:bookmarkStart w:id="104" w:name="_Toc16938545"/>
      <w:r/>
      <w:bookmarkStart w:id="105" w:name="_Toc120614218"/>
      <w:r>
        <w:rPr>
          <w:rFonts w:ascii="方正黑体_GBK" w:hAnsi="方正黑体_GBK" w:eastAsia="方正黑体_GBK" w:cs="方正黑体_GBK"/>
          <w:bCs/>
          <w:sz w:val="28"/>
          <w:szCs w:val="28"/>
        </w:rPr>
        <w:t xml:space="preserve">五、开标与评标</w:t>
      </w:r>
      <w:bookmarkEnd w:id="102"/>
      <w:r/>
      <w:bookmarkEnd w:id="103"/>
      <w:r/>
      <w:bookmarkEnd w:id="104"/>
      <w:r/>
      <w:bookmarkEnd w:id="105"/>
      <w:r/>
      <w:r/>
    </w:p>
    <w:p>
      <w:pPr>
        <w:pStyle w:val="852"/>
        <w:ind w:firstLine="560"/>
        <w:jc w:val="both"/>
        <w:spacing w:line="500" w:lineRule="exact"/>
        <w:rPr>
          <w:rFonts w:eastAsia="方正仿宋_GBK"/>
          <w:sz w:val="28"/>
          <w:szCs w:val="28"/>
        </w:rPr>
      </w:pPr>
      <w:r/>
      <w:bookmarkStart w:id="106" w:name="_Toc16938546"/>
      <w:r/>
      <w:bookmarkStart w:id="107" w:name="_Toc20823302"/>
      <w:r/>
      <w:bookmarkStart w:id="108" w:name="_Toc513029230"/>
      <w:r>
        <w:rPr>
          <w:rFonts w:eastAsia="方正仿宋_GBK"/>
          <w:sz w:val="28"/>
          <w:szCs w:val="28"/>
        </w:rPr>
        <w:t xml:space="preserve">1开标</w:t>
      </w:r>
      <w:bookmarkEnd w:id="106"/>
      <w:r/>
      <w:bookmarkEnd w:id="107"/>
      <w:r/>
      <w:bookmarkEnd w:id="108"/>
      <w:r/>
      <w:r/>
    </w:p>
    <w:p>
      <w:pPr>
        <w:ind w:firstLine="556"/>
        <w:spacing w:line="500" w:lineRule="exact"/>
        <w:rPr>
          <w:rFonts w:eastAsia="方正仿宋_GBK"/>
          <w:bCs/>
          <w:sz w:val="28"/>
          <w:szCs w:val="28"/>
        </w:rPr>
      </w:pPr>
      <w:r>
        <w:rPr>
          <w:rFonts w:eastAsia="方正仿宋_GBK"/>
          <w:bCs/>
          <w:sz w:val="28"/>
          <w:szCs w:val="28"/>
        </w:rPr>
        <w:t xml:space="preserve">1.1交易中心将在招标公告中规定的时间和地点组织公开开标。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式由交易中心组织，在“苏采云”系统中进行开标，并公布各投标人的报价。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2"/>
        <w:ind w:firstLine="560"/>
        <w:jc w:val="both"/>
        <w:spacing w:line="500" w:lineRule="exact"/>
        <w:rPr>
          <w:rFonts w:eastAsia="方正仿宋_GBK"/>
          <w:sz w:val="28"/>
          <w:szCs w:val="28"/>
        </w:rPr>
      </w:pPr>
      <w:r/>
      <w:bookmarkStart w:id="109" w:name="_Toc20823303"/>
      <w:r/>
      <w:bookmarkStart w:id="110" w:name="_Toc16938547"/>
      <w:r/>
      <w:bookmarkStart w:id="111" w:name="_Toc513029231"/>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852"/>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9"/>
      <w:r/>
      <w:bookmarkEnd w:id="110"/>
      <w:r/>
      <w:bookmarkEnd w:id="111"/>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852"/>
        <w:ind w:firstLine="560"/>
        <w:jc w:val="both"/>
        <w:spacing w:line="500" w:lineRule="exact"/>
        <w:rPr>
          <w:rFonts w:eastAsia="方正仿宋_GBK"/>
          <w:sz w:val="28"/>
          <w:szCs w:val="28"/>
        </w:rPr>
      </w:pPr>
      <w:r/>
      <w:bookmarkStart w:id="112" w:name="_Toc513029232"/>
      <w:r/>
      <w:bookmarkStart w:id="113" w:name="_Toc20823304"/>
      <w:r/>
      <w:bookmarkStart w:id="114" w:name="_Toc16938548"/>
      <w:r>
        <w:rPr>
          <w:rFonts w:eastAsia="方正仿宋_GBK"/>
          <w:sz w:val="28"/>
          <w:szCs w:val="28"/>
        </w:rPr>
        <w:t xml:space="preserve">4.投标的澄清</w:t>
      </w:r>
      <w:bookmarkEnd w:id="112"/>
      <w:r/>
      <w:bookmarkEnd w:id="113"/>
      <w:r/>
      <w:bookmarkEnd w:id="114"/>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852"/>
        <w:ind w:firstLine="560"/>
        <w:jc w:val="both"/>
        <w:spacing w:line="500" w:lineRule="exact"/>
        <w:rPr>
          <w:rFonts w:eastAsia="方正仿宋_GBK"/>
          <w:sz w:val="28"/>
          <w:szCs w:val="28"/>
        </w:rPr>
      </w:pPr>
      <w:r/>
      <w:bookmarkStart w:id="115" w:name="_Toc513029233"/>
      <w:r/>
      <w:bookmarkStart w:id="116" w:name="_Toc20823305"/>
      <w:r/>
      <w:bookmarkStart w:id="117" w:name="_Toc16938549"/>
      <w:r>
        <w:rPr>
          <w:rFonts w:eastAsia="方正仿宋_GBK"/>
          <w:sz w:val="28"/>
          <w:szCs w:val="28"/>
        </w:rPr>
        <w:t xml:space="preserve">5对投标文件的初审</w:t>
      </w:r>
      <w:bookmarkEnd w:id="115"/>
      <w:r/>
      <w:bookmarkEnd w:id="116"/>
      <w:r/>
      <w:bookmarkEnd w:id="117"/>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8" w:name="_Toc16938550"/>
      <w:r/>
      <w:bookmarkStart w:id="119" w:name="_Toc20823306"/>
      <w:r/>
      <w:bookmarkStart w:id="120" w:name="_Toc513029234"/>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5.8投标人在开、评标全过程中应保持通信畅通，并安排专人与交</w:t>
      </w:r>
      <w:r>
        <w:rPr>
          <w:rFonts w:eastAsia="方正仿宋_GBK"/>
          <w:sz w:val="28"/>
          <w:szCs w:val="28"/>
        </w:rPr>
        <w:t xml:space="preserve">易中心及评标委员会联系。</w:t>
      </w:r>
      <w:bookmarkEnd w:id="118"/>
      <w:r/>
      <w:bookmarkEnd w:id="119"/>
      <w:r/>
      <w:bookmarkEnd w:id="120"/>
      <w:r/>
      <w:r/>
    </w:p>
    <w:p>
      <w:pPr>
        <w:pStyle w:val="852"/>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21" w:name="_Toc16938551"/>
      <w:r/>
      <w:bookmarkStart w:id="122" w:name="_Toc513029235"/>
      <w:r/>
      <w:bookmarkStart w:id="123" w:name="_Toc20823307"/>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sz w:val="28"/>
          <w:szCs w:val="28"/>
        </w:rPr>
      </w:pPr>
      <w:r>
        <w:rPr>
          <w:rFonts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sz w:val="28"/>
          <w:szCs w:val="28"/>
        </w:rPr>
      </w:pPr>
      <w:r>
        <w:rPr>
          <w:rFonts w:eastAsia="方正仿宋_GBK"/>
          <w:bCs/>
          <w:sz w:val="28"/>
          <w:szCs w:val="28"/>
        </w:rPr>
        <w:t xml:space="preserve">③投标（响应）报价低于采购项目最高限价45%的，即投标（响应）报价&lt;采购项目最高限价×45%；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21"/>
      <w:r/>
      <w:bookmarkEnd w:id="122"/>
      <w:r/>
      <w:bookmarkEnd w:id="123"/>
      <w:r/>
      <w:r/>
    </w:p>
    <w:p>
      <w:pPr>
        <w:ind w:firstLine="560"/>
        <w:spacing w:line="500" w:lineRule="exact"/>
        <w:rPr>
          <w:rFonts w:ascii="方正黑体_GBK" w:hAnsi="方正黑体_GBK" w:eastAsia="方正黑体_GBK" w:cs="方正黑体_GBK"/>
          <w:bCs/>
          <w:sz w:val="28"/>
          <w:szCs w:val="28"/>
        </w:rPr>
      </w:pPr>
      <w:r/>
      <w:bookmarkStart w:id="124" w:name="_Toc120614219"/>
      <w:r>
        <w:rPr>
          <w:rFonts w:ascii="方正黑体_GBK" w:hAnsi="方正黑体_GBK" w:eastAsia="方正黑体_GBK" w:cs="方正黑体_GBK"/>
          <w:bCs/>
          <w:sz w:val="28"/>
          <w:szCs w:val="28"/>
        </w:rPr>
        <w:t xml:space="preserve">六、定标</w:t>
      </w:r>
      <w:bookmarkEnd w:id="124"/>
      <w:r/>
      <w:r/>
    </w:p>
    <w:p>
      <w:pPr>
        <w:ind w:firstLine="560"/>
        <w:spacing w:line="500" w:lineRule="exact"/>
        <w:rPr>
          <w:rFonts w:eastAsia="方正仿宋_GBK"/>
          <w:bCs/>
          <w:sz w:val="28"/>
          <w:szCs w:val="28"/>
        </w:rPr>
      </w:pPr>
      <w:r/>
      <w:bookmarkStart w:id="125" w:name="_Toc20823310"/>
      <w:r/>
      <w:bookmarkStart w:id="126" w:name="_Toc16938554"/>
      <w:r>
        <w:rPr>
          <w:rFonts w:eastAsia="方正仿宋_GBK"/>
          <w:bCs/>
          <w:sz w:val="28"/>
          <w:szCs w:val="28"/>
        </w:rPr>
        <w:t xml:space="preserve">1.确定</w:t>
      </w:r>
      <w:bookmarkEnd w:id="125"/>
      <w:r/>
      <w:bookmarkEnd w:id="126"/>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7"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7"/>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中心政府采购项目质疑受理部门为政府采购科，联系地址：启东市金桥路199号，联系电话：0513-83340291。</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8" w:name="_Toc120614220"/>
      <w:r/>
      <w:bookmarkStart w:id="129" w:name="_Toc20823308"/>
      <w:r/>
      <w:bookmarkStart w:id="130" w:name="_Toc513029236"/>
      <w:r/>
      <w:bookmarkStart w:id="131" w:name="_Toc16938552"/>
      <w:r>
        <w:rPr>
          <w:rFonts w:ascii="方正黑体_GBK" w:hAnsi="方正黑体_GBK" w:eastAsia="方正黑体_GBK" w:cs="方正黑体_GBK"/>
          <w:bCs/>
          <w:sz w:val="28"/>
          <w:szCs w:val="28"/>
        </w:rPr>
        <w:t xml:space="preserve">七、授予合同</w:t>
      </w:r>
      <w:bookmarkEnd w:id="128"/>
      <w:r/>
      <w:bookmarkEnd w:id="129"/>
      <w:r/>
      <w:bookmarkEnd w:id="130"/>
      <w:r/>
      <w:bookmarkEnd w:id="131"/>
      <w:r/>
      <w:r/>
    </w:p>
    <w:p>
      <w:pPr>
        <w:ind w:firstLine="560"/>
        <w:spacing w:line="500" w:lineRule="exact"/>
        <w:rPr>
          <w:rFonts w:eastAsia="方正仿宋_GBK"/>
          <w:sz w:val="28"/>
          <w:szCs w:val="28"/>
        </w:rPr>
      </w:pPr>
      <w:r/>
      <w:bookmarkStart w:id="132" w:name="_Toc20823309"/>
      <w:r/>
      <w:bookmarkStart w:id="133" w:name="_Toc513029237"/>
      <w:r/>
      <w:bookmarkStart w:id="134" w:name="_Toc16938553"/>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32"/>
      <w:r/>
      <w:bookmarkEnd w:id="133"/>
      <w:r/>
      <w:bookmarkEnd w:id="134"/>
      <w:r/>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一、采购需求</w:t>
      </w:r>
      <w:r/>
    </w:p>
    <w:p>
      <w:pPr>
        <w:pStyle w:val="963"/>
        <w:ind w:left="0" w:firstLine="56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本项目财政预算1000万元。</w:t>
      </w:r>
      <w:bookmarkStart w:id="135" w:name="OLE_LINK13"/>
      <w:r/>
      <w:bookmarkStart w:id="136" w:name="OLE_LINK12"/>
      <w:r>
        <w:rPr>
          <w:rFonts w:hint="eastAsia" w:ascii="仿宋" w:hAnsi="仿宋" w:eastAsia="仿宋" w:cs="仿宋"/>
          <w:bCs/>
          <w:color w:val="000000"/>
          <w:sz w:val="28"/>
          <w:szCs w:val="28"/>
        </w:rPr>
        <w:t xml:space="preserve">主要针对启东市沿江沿海地区及其周边小区安装智能相机。共分三个标包，</w:t>
      </w:r>
      <w:bookmarkEnd w:id="135"/>
      <w:r/>
      <w:bookmarkEnd w:id="136"/>
      <w:r>
        <w:rPr>
          <w:rFonts w:hint="eastAsia" w:ascii="仿宋" w:hAnsi="仿宋" w:eastAsia="仿宋" w:cs="仿宋"/>
          <w:bCs/>
          <w:color w:val="000000"/>
          <w:sz w:val="28"/>
          <w:szCs w:val="28"/>
        </w:rPr>
        <w:t xml:space="preserve">其中</w:t>
      </w:r>
      <w:bookmarkStart w:id="137" w:name="OLE_LINK77"/>
      <w:r>
        <w:rPr>
          <w:rFonts w:hint="eastAsia" w:ascii="仿宋" w:hAnsi="仿宋" w:eastAsia="仿宋" w:cs="仿宋"/>
          <w:bCs/>
          <w:color w:val="000000"/>
          <w:sz w:val="28"/>
          <w:szCs w:val="28"/>
        </w:rPr>
        <w:t xml:space="preserve">一标包预算301万元，二标包预算400万元，三标包预算299万元。</w:t>
      </w:r>
      <w:bookmarkEnd w:id="137"/>
      <w:r/>
      <w:r/>
    </w:p>
    <w:p>
      <w:pPr>
        <w:pStyle w:val="963"/>
        <w:ind w:left="0" w:firstLine="562"/>
        <w:spacing w:line="440" w:lineRule="exact"/>
        <w:rPr>
          <w:rFonts w:eastAsia="仿宋"/>
          <w:b/>
        </w:rPr>
      </w:pPr>
      <w:r>
        <w:rPr>
          <w:rFonts w:hint="eastAsia" w:ascii="仿宋" w:hAnsi="仿宋" w:eastAsia="仿宋" w:cs="仿宋"/>
          <w:b/>
          <w:color w:val="000000"/>
          <w:sz w:val="28"/>
          <w:szCs w:val="28"/>
        </w:rPr>
        <w:t xml:space="preserve">（一）一标包采购清单</w:t>
      </w:r>
      <w:r/>
    </w:p>
    <w:tbl>
      <w:tblPr>
        <w:tblStyle w:val="85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072"/>
        <w:gridCol w:w="4692"/>
        <w:gridCol w:w="707"/>
        <w:gridCol w:w="1324"/>
      </w:tblGrid>
      <w:tr>
        <w:trPr/>
        <w:tc>
          <w:tcPr>
            <w:tcW w:w="72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序号</w:t>
            </w:r>
            <w:r/>
          </w:p>
        </w:tc>
        <w:tc>
          <w:tcPr>
            <w:tcW w:w="1072"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名称</w:t>
            </w:r>
            <w:r/>
          </w:p>
        </w:tc>
        <w:tc>
          <w:tcPr>
            <w:tcW w:w="4692" w:type="dxa"/>
            <w:vAlign w:val="center"/>
            <w:textDirection w:val="lrTb"/>
            <w:noWrap w:val="false"/>
          </w:tcPr>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参数</w:t>
            </w:r>
            <w:r/>
          </w:p>
        </w:tc>
        <w:tc>
          <w:tcPr>
            <w:tcW w:w="70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单位</w:t>
            </w:r>
            <w:r/>
          </w:p>
        </w:tc>
        <w:tc>
          <w:tcPr>
            <w:tcW w:w="1324" w:type="dxa"/>
            <w:vAlign w:val="center"/>
            <w:textDirection w:val="lrTb"/>
            <w:noWrap w:val="false"/>
          </w:tcPr>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数量</w:t>
            </w:r>
            <w:r/>
          </w:p>
        </w:tc>
      </w:tr>
      <w:tr>
        <w:trPr/>
        <w:tc>
          <w:tcPr>
            <w:tcW w:w="727" w:type="dxa"/>
            <w:vAlign w:val="center"/>
            <w:textDirection w:val="lrTb"/>
            <w:noWrap w:val="false"/>
          </w:tcPr>
          <w:p>
            <w:pPr>
              <w:pStyle w:val="876"/>
              <w:ind w:left="0"/>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1</w:t>
            </w:r>
            <w:r/>
          </w:p>
        </w:tc>
        <w:tc>
          <w:tcPr>
            <w:tcW w:w="1072"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400万像素全彩相 机</w:t>
            </w:r>
            <w:r/>
          </w:p>
        </w:tc>
        <w:tc>
          <w:tcPr>
            <w:tcW w:w="4692" w:type="dxa"/>
            <w:vAlign w:val="center"/>
            <w:textDirection w:val="lrTb"/>
            <w:noWrap w:val="false"/>
          </w:tcPr>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传感器类型：不小于1/1.8英寸CMOS；</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像素：400万；</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最大补光距离：40m；</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内置不少于4颗灯珠；</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镜头光圈：F1.0；</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镜头焦距：3.6mm；</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接入标准：GB/T28181；</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功能：超低照高灵敏度传感器，低照度无主动补光场景提供24小时全天候彩色图像；内置麦克风；</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支持5行标注；</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防护等级：IP67。</w:t>
            </w:r>
            <w:r/>
          </w:p>
        </w:tc>
        <w:tc>
          <w:tcPr>
            <w:tcW w:w="707" w:type="dxa"/>
            <w:vAlign w:val="center"/>
            <w:textDirection w:val="lrTb"/>
            <w:noWrap w:val="false"/>
          </w:tcPr>
          <w:p>
            <w:pPr>
              <w:pStyle w:val="876"/>
              <w:ind w:left="0"/>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500</w:t>
            </w:r>
            <w:r/>
          </w:p>
        </w:tc>
      </w:tr>
      <w:tr>
        <w:trPr/>
        <w:tc>
          <w:tcPr>
            <w:tcW w:w="72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2</w:t>
            </w:r>
            <w:r/>
          </w:p>
        </w:tc>
        <w:tc>
          <w:tcPr>
            <w:tcW w:w="1072"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800万像素全结构化相机</w:t>
            </w:r>
            <w:r/>
          </w:p>
        </w:tc>
        <w:tc>
          <w:tcPr>
            <w:tcW w:w="4692" w:type="dxa"/>
            <w:vAlign w:val="center"/>
            <w:textDirection w:val="lrTb"/>
            <w:noWrap w:val="false"/>
          </w:tcPr>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传感器类型：1/1.8英寸CMOS；</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像素：800万；</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最低照度：0.002lux（彩色模式）；0.0002lux（黑白模式）；</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最大补光距离：60m（暖光）；</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镜头类型：电动变焦</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镜头焦距：不低于8mm-32mm；</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功能：支持结构化，支持识别是否戴口罩、头盔等功能；内置麦克风；</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接入标准：GB/T28181，GA/T1400， GB/35114A；</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防护等级：IP67；</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支持5行标注。</w:t>
            </w:r>
            <w:r/>
          </w:p>
        </w:tc>
        <w:tc>
          <w:tcPr>
            <w:tcW w:w="70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100</w:t>
            </w:r>
            <w:r/>
          </w:p>
        </w:tc>
      </w:tr>
      <w:tr>
        <w:trPr/>
        <w:tc>
          <w:tcPr>
            <w:tcW w:w="72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3</w:t>
            </w:r>
            <w:r/>
          </w:p>
        </w:tc>
        <w:tc>
          <w:tcPr>
            <w:tcW w:w="1072"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400万像素智能相机</w:t>
            </w:r>
            <w:r/>
          </w:p>
        </w:tc>
        <w:tc>
          <w:tcPr>
            <w:tcW w:w="4692" w:type="dxa"/>
            <w:vAlign w:val="center"/>
            <w:textDirection w:val="lrTb"/>
            <w:noWrap w:val="false"/>
          </w:tcPr>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传感器类型：1/1.8英寸CMOS；</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像素：400万；</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最低照度：0.001lux（彩色模式）；0.0001lux（黑白模式）；0lux（补光灯开启）；</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最大补光距离：60m（红外）；40m（暖光）；6m（目标检测距离）；</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补光灯：（红外+暖光）灯；</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镜头类型：电动变焦；</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镜头焦距：不低于8mm-32mm；</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支持目标检测；支持抓拍；支持目标抓图增强，支持目标曝光；支持目标属性提取；内置麦克风，内置扬声器；</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接入标准：GB/T28181；GA/T1400；GB/35114A；</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防护等级：IP67。</w:t>
            </w:r>
            <w:r/>
          </w:p>
        </w:tc>
        <w:tc>
          <w:tcPr>
            <w:tcW w:w="70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500</w:t>
            </w:r>
            <w:r/>
          </w:p>
        </w:tc>
      </w:tr>
      <w:tr>
        <w:trPr/>
        <w:tc>
          <w:tcPr>
            <w:tcW w:w="72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4</w:t>
            </w:r>
            <w:r/>
          </w:p>
        </w:tc>
        <w:tc>
          <w:tcPr>
            <w:tcW w:w="1072"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900万像素环保抓拍单元</w:t>
            </w:r>
            <w:r/>
          </w:p>
        </w:tc>
        <w:tc>
          <w:tcPr>
            <w:tcW w:w="4692" w:type="dxa"/>
            <w:vAlign w:val="center"/>
            <w:textDirection w:val="lrTb"/>
            <w:noWrap w:val="false"/>
          </w:tcPr>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传感器类型：不小于1/1英寸CMOS；</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像素：900万；</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镜头焦距：50mm;特殊情况下，需置换25mm；</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功能：生态无光污染，内置处理器；</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接入标准：GB/T28181； GA/T1400， GB/35114A；</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防护等级：IP67。</w:t>
            </w:r>
            <w:r/>
          </w:p>
        </w:tc>
        <w:tc>
          <w:tcPr>
            <w:tcW w:w="70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10</w:t>
            </w:r>
            <w:r/>
          </w:p>
        </w:tc>
      </w:tr>
      <w:tr>
        <w:trPr/>
        <w:tc>
          <w:tcPr>
            <w:tcW w:w="72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5</w:t>
            </w:r>
            <w:r/>
          </w:p>
        </w:tc>
        <w:tc>
          <w:tcPr>
            <w:tcW w:w="1072" w:type="dxa"/>
            <w:vAlign w:val="center"/>
            <w:textDirection w:val="lrTb"/>
            <w:noWrap w:val="false"/>
          </w:tcPr>
          <w:p>
            <w:pPr>
              <w:pStyle w:val="876"/>
              <w:ind w:left="0"/>
              <w:jc w:val="center"/>
              <w:rPr>
                <w:rFonts w:ascii="方正仿宋_GBK" w:hAnsi="仿宋" w:eastAsia="方正仿宋_GBK" w:cs="仿宋"/>
                <w:sz w:val="21"/>
                <w:szCs w:val="21"/>
              </w:rPr>
            </w:pPr>
            <w:r/>
            <w:bookmarkStart w:id="138" w:name="OLE_LINK3"/>
            <w:r/>
            <w:bookmarkStart w:id="139" w:name="OLE_LINK2"/>
            <w:r>
              <w:rPr>
                <w:rFonts w:hint="eastAsia" w:ascii="方正仿宋_GBK" w:hAnsi="仿宋" w:eastAsia="方正仿宋_GBK" w:cs="仿宋"/>
                <w:sz w:val="21"/>
                <w:szCs w:val="21"/>
              </w:rPr>
              <w:t xml:space="preserve">环保多功能补光灯</w:t>
            </w:r>
            <w:bookmarkEnd w:id="138"/>
            <w:r/>
            <w:bookmarkEnd w:id="139"/>
            <w:r/>
            <w:r/>
          </w:p>
        </w:tc>
        <w:tc>
          <w:tcPr>
            <w:tcW w:w="4692" w:type="dxa"/>
            <w:vAlign w:val="center"/>
            <w:textDirection w:val="lrTb"/>
            <w:noWrap w:val="false"/>
          </w:tcPr>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频闪、爆闪、白光、红外，红外白光切换；</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寿命≥1000万次；</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亮度可调</w:t>
            </w:r>
            <w:r/>
          </w:p>
        </w:tc>
        <w:tc>
          <w:tcPr>
            <w:tcW w:w="70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20</w:t>
            </w:r>
            <w:r/>
          </w:p>
        </w:tc>
      </w:tr>
      <w:tr>
        <w:trPr/>
        <w:tc>
          <w:tcPr>
            <w:tcW w:w="72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6</w:t>
            </w:r>
            <w:r/>
          </w:p>
        </w:tc>
        <w:tc>
          <w:tcPr>
            <w:tcW w:w="1072"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400万像素球机</w:t>
            </w:r>
            <w:r/>
          </w:p>
        </w:tc>
        <w:tc>
          <w:tcPr>
            <w:tcW w:w="4692" w:type="dxa"/>
            <w:vAlign w:val="center"/>
            <w:textDirection w:val="lrTb"/>
            <w:noWrap w:val="false"/>
          </w:tcPr>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传感器类型：1/2.8英寸CMOS；</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像素：400万；</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最大分辨率：2560×1440；</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补光类型：白光+红外；</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镜头焦距：4.8mm～154mm；32倍光学变焦；</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水平方向360°连续旋转，垂直方向-20°～90°自动翻转180°后连续观察；</w:t>
            </w:r>
            <w:r/>
          </w:p>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接入标准：GB/T28181，GA/T1400， GB/35114A；</w:t>
            </w:r>
            <w:r/>
          </w:p>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防护等级：IP67。</w:t>
            </w:r>
            <w:r/>
          </w:p>
        </w:tc>
        <w:tc>
          <w:tcPr>
            <w:tcW w:w="70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只</w:t>
            </w:r>
            <w:r/>
          </w:p>
        </w:tc>
        <w:tc>
          <w:tcPr>
            <w:tcW w:w="1324"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10</w:t>
            </w:r>
            <w:r/>
          </w:p>
        </w:tc>
      </w:tr>
      <w:tr>
        <w:trPr>
          <w:trHeight w:val="794"/>
        </w:trPr>
        <w:tc>
          <w:tcPr>
            <w:tcBorders>
              <w:top w:val="single" w:color="auto" w:sz="4" w:space="0"/>
            </w:tcBorders>
            <w:tcW w:w="72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7</w:t>
            </w:r>
            <w:r/>
          </w:p>
        </w:tc>
        <w:tc>
          <w:tcPr>
            <w:tcBorders>
              <w:top w:val="single" w:color="auto" w:sz="4" w:space="0"/>
            </w:tcBorders>
            <w:tcW w:w="1072"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普通杆件</w:t>
            </w:r>
            <w:r/>
          </w:p>
        </w:tc>
        <w:tc>
          <w:tcPr>
            <w:tcBorders>
              <w:top w:val="single" w:color="auto" w:sz="4" w:space="0"/>
            </w:tcBorders>
            <w:tcW w:w="4692" w:type="dxa"/>
            <w:vAlign w:val="center"/>
            <w:textDirection w:val="lrTb"/>
            <w:noWrap w:val="false"/>
          </w:tcPr>
          <w:p>
            <w:pPr>
              <w:pStyle w:val="876"/>
              <w:jc w:val="center"/>
              <w:rPr>
                <w:rFonts w:ascii="方正仿宋_GBK" w:hAnsi="仿宋" w:eastAsia="方正仿宋_GBK" w:cs="仿宋"/>
                <w:b/>
                <w:sz w:val="21"/>
                <w:szCs w:val="21"/>
              </w:rPr>
            </w:pPr>
            <w:r>
              <w:rPr>
                <w:rFonts w:hint="eastAsia" w:ascii="方正仿宋_GBK" w:hAnsi="仿宋" w:eastAsia="方正仿宋_GBK" w:cs="仿宋"/>
                <w:sz w:val="21"/>
                <w:szCs w:val="21"/>
              </w:rPr>
              <w:t xml:space="preserve">杆件立杆高度3.5-6.5米左右；整体热镀锌/喷塑；立杆为等径≥140mm，壁厚≥4mm；横臂为等径Φ≥89mm，壁厚≥3mm，横臂与立杆使用法兰连接，杆的底座应牢靠地固定在路边用地脚螺栓预埋的钢筋混凝土基座上。立杆上应合理设置避雷装置。杆件中附控制箱，控制箱为全天候防风雨壁挂式机箱。用于放置所有的单元模块、电源系统、防雷电系统等。基础采用C25混凝土浇筑。杆件喷涂的颜色需符合采购方需求。</w:t>
            </w:r>
            <w:r/>
          </w:p>
        </w:tc>
        <w:tc>
          <w:tcPr>
            <w:tcBorders>
              <w:top w:val="single" w:color="auto" w:sz="4" w:space="0"/>
            </w:tcBorders>
            <w:tcW w:w="70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根</w:t>
            </w:r>
            <w:r/>
          </w:p>
        </w:tc>
        <w:tc>
          <w:tcPr>
            <w:tcBorders>
              <w:top w:val="single" w:color="auto" w:sz="4" w:space="0"/>
            </w:tcBorders>
            <w:tcW w:w="1324"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50</w:t>
            </w:r>
            <w:r/>
          </w:p>
        </w:tc>
      </w:tr>
      <w:tr>
        <w:trPr/>
        <w:tc>
          <w:tcPr>
            <w:tcW w:w="72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8</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光纤线路</w:t>
            </w:r>
            <w:r/>
          </w:p>
        </w:tc>
        <w:tc>
          <w:tcPr>
            <w:tcW w:w="4692" w:type="dxa"/>
            <w:vAlign w:val="center"/>
            <w:textDirection w:val="lrTb"/>
            <w:noWrap w:val="false"/>
          </w:tcPr>
          <w:p>
            <w:pPr>
              <w:jc w:val="center"/>
              <w:spacing w:line="520" w:lineRule="exact"/>
              <w:widowControl/>
              <w:rPr>
                <w:rFonts w:ascii="方正仿宋_GBK" w:hAnsi="仿宋" w:eastAsia="方正仿宋_GBK" w:cs="仿宋"/>
                <w:color w:val="000000"/>
                <w:szCs w:val="21"/>
              </w:rPr>
            </w:pPr>
            <w:r>
              <w:rPr>
                <w:rFonts w:hint="eastAsia" w:ascii="方正仿宋_GBK" w:hAnsi="仿宋" w:eastAsia="方正仿宋_GBK" w:cs="仿宋"/>
                <w:color w:val="000000"/>
                <w:szCs w:val="21"/>
              </w:rPr>
              <w:t xml:space="preserve">为治安图像服务配置光纤资源、要求裸光纤，至少千兆，两端配置网络设备接入指定网络</w:t>
            </w:r>
            <w:r/>
          </w:p>
        </w:tc>
        <w:tc>
          <w:tcPr>
            <w:tcW w:w="70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条</w:t>
            </w:r>
            <w:r/>
          </w:p>
        </w:tc>
        <w:tc>
          <w:tcPr>
            <w:tcW w:w="1324"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40</w:t>
            </w:r>
            <w:r/>
          </w:p>
        </w:tc>
      </w:tr>
      <w:tr>
        <w:trPr/>
        <w:tc>
          <w:tcPr>
            <w:tcW w:w="72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9</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其他费用</w:t>
            </w:r>
            <w:r/>
          </w:p>
        </w:tc>
        <w:tc>
          <w:tcPr>
            <w:tcW w:w="4692" w:type="dxa"/>
            <w:vAlign w:val="center"/>
            <w:textDirection w:val="lrTb"/>
            <w:noWrap w:val="false"/>
          </w:tcPr>
          <w:p>
            <w:pPr>
              <w:jc w:val="center"/>
              <w:spacing w:line="520" w:lineRule="exact"/>
              <w:widowControl/>
              <w:rPr>
                <w:rFonts w:ascii="方正仿宋_GBK" w:hAnsi="仿宋" w:eastAsia="方正仿宋_GBK" w:cs="仿宋"/>
                <w:color w:val="000000"/>
                <w:szCs w:val="21"/>
              </w:rPr>
            </w:pPr>
            <w:r>
              <w:rPr>
                <w:rFonts w:hint="eastAsia" w:ascii="方正仿宋_GBK" w:hAnsi="仿宋" w:eastAsia="方正仿宋_GBK" w:cs="仿宋"/>
                <w:color w:val="000000"/>
                <w:szCs w:val="21"/>
              </w:rPr>
              <w:t xml:space="preserve">电费、辅材及安装维护及其他不可预见费用</w:t>
            </w:r>
            <w:r/>
          </w:p>
        </w:tc>
        <w:tc>
          <w:tcPr>
            <w:tcW w:w="707"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批</w:t>
            </w:r>
            <w:r/>
          </w:p>
        </w:tc>
        <w:tc>
          <w:tcPr>
            <w:tcW w:w="1324" w:type="dxa"/>
            <w:vAlign w:val="center"/>
            <w:textDirection w:val="lrTb"/>
            <w:noWrap w:val="false"/>
          </w:tcPr>
          <w:p>
            <w:pPr>
              <w:pStyle w:val="876"/>
              <w:ind w:left="0"/>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1</w:t>
            </w:r>
            <w:r/>
          </w:p>
        </w:tc>
      </w:tr>
    </w:tbl>
    <w:p>
      <w:pPr>
        <w:pStyle w:val="860"/>
        <w:ind w:firstLine="562"/>
      </w:pPr>
      <w:r>
        <w:rPr>
          <w:rFonts w:hint="eastAsia" w:ascii="仿宋" w:hAnsi="仿宋" w:eastAsia="仿宋" w:cs="仿宋"/>
          <w:b/>
          <w:bCs/>
          <w:sz w:val="28"/>
          <w:szCs w:val="28"/>
        </w:rPr>
        <w:t xml:space="preserve">注：上述采购要求为最低要求，不得负偏离，否则视为无效报价</w:t>
      </w:r>
      <w:r/>
    </w:p>
    <w:p>
      <w:pPr>
        <w:pStyle w:val="963"/>
        <w:ind w:left="0" w:firstLine="562"/>
        <w:spacing w:line="440" w:lineRule="exact"/>
        <w:rPr>
          <w:rFonts w:eastAsia="仿宋"/>
          <w:b/>
        </w:rPr>
      </w:pPr>
      <w:r>
        <w:rPr>
          <w:rFonts w:hint="eastAsia" w:ascii="仿宋" w:hAnsi="仿宋" w:eastAsia="仿宋" w:cs="仿宋"/>
          <w:b/>
          <w:color w:val="000000"/>
          <w:sz w:val="28"/>
          <w:szCs w:val="28"/>
        </w:rPr>
        <w:t xml:space="preserve">（二）二标包采购清单</w:t>
      </w:r>
      <w:r/>
    </w:p>
    <w:tbl>
      <w:tblPr>
        <w:tblStyle w:val="85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072"/>
        <w:gridCol w:w="4692"/>
        <w:gridCol w:w="707"/>
        <w:gridCol w:w="1324"/>
      </w:tblGrid>
      <w:tr>
        <w:trPr>
          <w:trHeight w:val="468"/>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序号</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名称</w:t>
            </w:r>
            <w:r/>
          </w:p>
        </w:tc>
        <w:tc>
          <w:tcPr>
            <w:tcW w:w="469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参数</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单位</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数量</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400万像素全彩相机</w:t>
            </w:r>
            <w:r/>
          </w:p>
        </w:tc>
        <w:tc>
          <w:tcPr>
            <w:tcW w:w="469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传感器类型：不小于1/1.8英寸CMOS；</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像素：400万；</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最大补光距离：40m；</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内置不少于4颗灯珠；</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镜头光圈：F1.0；</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镜头焦距：</w:t>
            </w:r>
            <w:r>
              <w:rPr>
                <w:rFonts w:hint="eastAsia" w:ascii="方正仿宋_GBK" w:hAnsi="仿宋" w:eastAsia="方正仿宋_GBK" w:cs="仿宋"/>
                <w:szCs w:val="21"/>
              </w:rPr>
              <w:t xml:space="preserve">3.6mm</w:t>
            </w:r>
            <w:r>
              <w:rPr>
                <w:rFonts w:ascii="方正仿宋_GBK" w:hAnsi="仿宋" w:eastAsia="方正仿宋_GBK" w:cs="仿宋"/>
                <w:szCs w:val="21"/>
              </w:rPr>
              <w:t xml:space="preserve">；</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接入标准：GB/T28181；</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功能：超低照高灵敏度传感器，低照度无主动补光场景提供24小时</w:t>
            </w:r>
            <w:r>
              <w:rPr>
                <w:rFonts w:hint="eastAsia" w:ascii="方正仿宋_GBK" w:hAnsi="仿宋" w:eastAsia="方正仿宋_GBK" w:cs="仿宋"/>
                <w:szCs w:val="21"/>
              </w:rPr>
              <w:t xml:space="preserve">全天候</w:t>
            </w:r>
            <w:r>
              <w:rPr>
                <w:rFonts w:ascii="方正仿宋_GBK" w:hAnsi="仿宋" w:eastAsia="方正仿宋_GBK" w:cs="仿宋"/>
                <w:szCs w:val="21"/>
              </w:rPr>
              <w:t xml:space="preserve">彩色图像；</w:t>
            </w:r>
            <w:r>
              <w:rPr>
                <w:rFonts w:hint="eastAsia" w:ascii="方正仿宋_GBK" w:hAnsi="仿宋" w:eastAsia="方正仿宋_GBK" w:cs="仿宋"/>
                <w:szCs w:val="21"/>
              </w:rPr>
              <w:t xml:space="preserve">内置麦克风；</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支持5行标注；</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防护等级：IP67。</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500</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2</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800万像素全结构化相机</w:t>
            </w:r>
            <w:r/>
          </w:p>
        </w:tc>
        <w:tc>
          <w:tcPr>
            <w:tcW w:w="469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传感器类型：1/1.8英寸CMOS；</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像素：800万；</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最低照度：0.002lux（彩色模式）；0.0002lux（黑白模式）；</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最大补光距离：60m（暖光）；</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镜头类型：电动变焦</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镜头焦距：不低于8mm-32mm；</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功能：支持结构化，支持识别是否戴口罩、头盔等功能</w:t>
            </w:r>
            <w:r>
              <w:rPr>
                <w:rFonts w:hint="eastAsia" w:ascii="方正仿宋_GBK" w:hAnsi="仿宋" w:eastAsia="方正仿宋_GBK" w:cs="仿宋"/>
                <w:szCs w:val="21"/>
              </w:rPr>
              <w:t xml:space="preserve">；</w:t>
            </w:r>
            <w:r>
              <w:rPr>
                <w:rFonts w:ascii="方正仿宋_GBK" w:hAnsi="仿宋" w:eastAsia="方正仿宋_GBK" w:cs="仿宋"/>
                <w:szCs w:val="21"/>
              </w:rPr>
              <w:t xml:space="preserve">内置麦克风</w:t>
            </w:r>
            <w:r>
              <w:rPr>
                <w:rFonts w:hint="eastAsia" w:ascii="方正仿宋_GBK" w:hAnsi="仿宋" w:eastAsia="方正仿宋_GBK" w:cs="仿宋"/>
                <w:szCs w:val="21"/>
              </w:rPr>
              <w:t xml:space="preserve">；</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接入标准：GB/T28181，GA/T1400， GB/35114A；</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防护等级：IP67</w:t>
            </w:r>
            <w:r>
              <w:rPr>
                <w:rFonts w:hint="eastAsia" w:ascii="方正仿宋_GBK" w:hAnsi="仿宋" w:eastAsia="方正仿宋_GBK" w:cs="仿宋"/>
                <w:szCs w:val="21"/>
              </w:rPr>
              <w:t xml:space="preserve">；</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支持5行标注。</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400</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400万像素智能相机</w:t>
            </w:r>
            <w:r/>
          </w:p>
        </w:tc>
        <w:tc>
          <w:tcPr>
            <w:tcW w:w="469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传感器类型：1/1.8英寸CMOS；</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像素：400万；</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最低照度：0.001lux（彩色模式）；0.0001lux（黑白模式）；0lux（补光灯开启）；</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最大补光距离：60m（红外）；40m（暖光）；6m（目标检测距离）；</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补光灯：（红外+暖光）灯；</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镜头类型：电动变焦；</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镜头焦距：不低于8mm-32mm；</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支持目标检测；支持抓拍；支持目标抓图增强，支持目标曝光；支持目标属性提取；内置麦克风，内置扬声器；</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接入标准：GB/T28181；GA/T1400；</w:t>
            </w:r>
            <w:r>
              <w:rPr>
                <w:rFonts w:ascii="方正仿宋_GBK" w:hAnsi="仿宋" w:eastAsia="方正仿宋_GBK" w:cs="仿宋"/>
                <w:szCs w:val="21"/>
              </w:rPr>
              <w:t xml:space="preserve">GB/35114A；</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防护等级：IP67。</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200</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w:t>
            </w:r>
            <w:r/>
          </w:p>
        </w:tc>
        <w:tc>
          <w:tcPr>
            <w:tcW w:w="107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900万</w:t>
            </w:r>
            <w:r>
              <w:rPr>
                <w:rFonts w:hint="eastAsia" w:ascii="方正仿宋_GBK" w:hAnsi="仿宋" w:eastAsia="方正仿宋_GBK" w:cs="仿宋"/>
                <w:szCs w:val="21"/>
              </w:rPr>
              <w:t xml:space="preserve">像素</w:t>
            </w:r>
            <w:r>
              <w:rPr>
                <w:rFonts w:ascii="方正仿宋_GBK" w:hAnsi="仿宋" w:eastAsia="方正仿宋_GBK" w:cs="仿宋"/>
                <w:szCs w:val="21"/>
              </w:rPr>
              <w:t xml:space="preserve">环保抓拍单元</w:t>
            </w:r>
            <w:r/>
          </w:p>
        </w:tc>
        <w:tc>
          <w:tcPr>
            <w:tcW w:w="469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传感器类型：不小于1/1英寸CMOS；</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像素：900万；</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镜头焦距：50mm;特殊情况下，需置换25mm；</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功能：生态无光污染，内置处理器</w:t>
            </w:r>
            <w:r>
              <w:rPr>
                <w:rFonts w:hint="eastAsia" w:ascii="方正仿宋_GBK" w:hAnsi="仿宋" w:eastAsia="方正仿宋_GBK" w:cs="仿宋"/>
                <w:szCs w:val="21"/>
              </w:rPr>
              <w:t xml:space="preserve">；</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接入标准：GB/T28181； GA/T1400， GB/35114A；</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防护等级：IP67。</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16</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5</w:t>
            </w:r>
            <w:r/>
          </w:p>
        </w:tc>
        <w:tc>
          <w:tcPr>
            <w:tcW w:w="107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环保多功能补光灯</w:t>
            </w:r>
            <w:r/>
          </w:p>
        </w:tc>
        <w:tc>
          <w:tcPr>
            <w:tcW w:w="469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频闪、爆闪、白光、红外，红外白光切换；</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寿命≥1000万次；</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亮度可调</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32</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6</w:t>
            </w:r>
            <w:r/>
          </w:p>
        </w:tc>
        <w:tc>
          <w:tcPr>
            <w:tcW w:w="107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高空全景相机</w:t>
            </w:r>
            <w:r/>
          </w:p>
        </w:tc>
        <w:tc>
          <w:tcPr>
            <w:tcW w:w="4692" w:type="dxa"/>
            <w:vAlign w:val="center"/>
            <w:textDirection w:val="lrTb"/>
            <w:noWrap w:val="false"/>
          </w:tcPr>
          <w:p>
            <w:pPr>
              <w:jc w:val="center"/>
              <w:widowControl/>
              <w:rPr>
                <w:rFonts w:ascii="方正仿宋_GBK" w:hAnsi="仿宋" w:eastAsia="方正仿宋_GBK" w:cs="仿宋"/>
                <w:szCs w:val="21"/>
              </w:rPr>
            </w:pPr>
            <w:r>
              <w:rPr>
                <w:rFonts w:ascii="方正仿宋_GBK" w:hAnsi="仿宋" w:eastAsia="方正仿宋_GBK" w:cs="仿宋"/>
                <w:szCs w:val="21"/>
              </w:rPr>
              <w:t xml:space="preserve">传感器类型：通道1（全景）：1/1.8英寸CMOS；通道2（球机）：1/1.8英寸CMOS；</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像素：通道1（全景）：1200万；通道2（球机）：400万；</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补光灯：通道2（球机）：6颗（混光灯）；</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镜头焦距：通道1（全景）：2.8mm，通道2（球机）：5.2mm～210mm</w:t>
            </w:r>
            <w:r>
              <w:rPr>
                <w:rFonts w:hint="eastAsia" w:ascii="方正仿宋_GBK" w:hAnsi="仿宋" w:eastAsia="方正仿宋_GBK" w:cs="仿宋"/>
                <w:szCs w:val="21"/>
              </w:rPr>
              <w:t xml:space="preserve">，40倍光学变焦；</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视场角：通道1（全景）：水平：270°；垂直：103°；</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通道1（全景）： 不少于五类统计效果；</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支持雨刷功能；</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支持AR全景展示，可添加各类AR标签；</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内置水平仪；</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支持任意目拼接，自由裁剪；</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内置双麦克风，内置双扬声器；</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支持玻璃加热；</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接入标准：GB/T28181，GA/T1400， GB/35114A；</w:t>
            </w:r>
            <w:r/>
          </w:p>
          <w:p>
            <w:pPr>
              <w:jc w:val="center"/>
              <w:widowControl/>
              <w:rPr>
                <w:rFonts w:ascii="方正仿宋_GBK" w:hAnsi="仿宋" w:eastAsia="方正仿宋_GBK" w:cs="仿宋"/>
                <w:szCs w:val="21"/>
              </w:rPr>
            </w:pPr>
            <w:r>
              <w:rPr>
                <w:rFonts w:ascii="方正仿宋_GBK" w:hAnsi="仿宋" w:eastAsia="方正仿宋_GBK" w:cs="仿宋"/>
                <w:szCs w:val="21"/>
              </w:rPr>
              <w:t xml:space="preserve">防护等级：IP67。</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r>
      <w:tr>
        <w:trPr>
          <w:trHeight w:val="794"/>
        </w:trPr>
        <w:tc>
          <w:tcPr>
            <w:tcBorders>
              <w:top w:val="single" w:color="auto" w:sz="4" w:space="0"/>
            </w:tcBorders>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7</w:t>
            </w:r>
            <w:r/>
          </w:p>
        </w:tc>
        <w:tc>
          <w:tcPr>
            <w:tcBorders>
              <w:top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普通杆件</w:t>
            </w:r>
            <w:r/>
          </w:p>
        </w:tc>
        <w:tc>
          <w:tcPr>
            <w:tcBorders>
              <w:top w:val="single" w:color="auto" w:sz="4" w:space="0"/>
            </w:tcBorders>
            <w:tcW w:w="4692" w:type="dxa"/>
            <w:vAlign w:val="center"/>
            <w:textDirection w:val="lrTb"/>
            <w:noWrap w:val="false"/>
          </w:tcPr>
          <w:p>
            <w:pPr>
              <w:pStyle w:val="876"/>
              <w:jc w:val="center"/>
              <w:rPr>
                <w:rFonts w:ascii="方正仿宋_GBK" w:hAnsi="仿宋" w:eastAsia="方正仿宋_GBK" w:cs="仿宋"/>
                <w:sz w:val="21"/>
                <w:szCs w:val="21"/>
              </w:rPr>
            </w:pPr>
            <w:r>
              <w:rPr>
                <w:rFonts w:hint="eastAsia" w:ascii="方正仿宋_GBK" w:hAnsi="仿宋" w:eastAsia="方正仿宋_GBK" w:cs="仿宋"/>
                <w:sz w:val="21"/>
                <w:szCs w:val="21"/>
              </w:rPr>
              <w:t xml:space="preserve">杆件立杆高度3.5-6.5米左右；整体热镀锌/喷塑；立杆为等径≥140mm，壁厚≥4mm；横臂为等径Φ≥89mm，壁厚≥3mm，横臂与立杆使用法兰连接，杆的底座应牢靠地固定在路边用地脚螺栓预埋的钢筋混凝土基座上。立杆上应合理设置避雷装置。杆件中附控制箱，控制箱为全天候防风雨壁挂式机箱。用于放置所有的单元模块、电源系统、防雷电系统等。基础采用C25混凝土浇筑。杆件喷涂的颜色需符合采购方需求。</w:t>
            </w:r>
            <w:r/>
          </w:p>
        </w:tc>
        <w:tc>
          <w:tcPr>
            <w:tcBorders>
              <w:top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根</w:t>
            </w:r>
            <w:r/>
          </w:p>
        </w:tc>
        <w:tc>
          <w:tcPr>
            <w:tcBorders>
              <w:top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100</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8</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光纤线路</w:t>
            </w:r>
            <w:r/>
          </w:p>
        </w:tc>
        <w:tc>
          <w:tcPr>
            <w:tcW w:w="469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为治安图像服务配置光纤资源、要求裸光纤，至少千兆，两端配置网络设备接入指定网络</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条</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60</w:t>
            </w:r>
            <w:r/>
          </w:p>
        </w:tc>
      </w:tr>
      <w:tr>
        <w:trPr/>
        <w:tc>
          <w:tcPr>
            <w:tcW w:w="72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9</w:t>
            </w:r>
            <w:r/>
          </w:p>
        </w:tc>
        <w:tc>
          <w:tcPr>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其他费用</w:t>
            </w:r>
            <w:r/>
          </w:p>
        </w:tc>
        <w:tc>
          <w:tcPr>
            <w:tcW w:w="469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电费、辅材及安装维护及其他不可预见费用</w:t>
            </w:r>
            <w:r/>
          </w:p>
        </w:tc>
        <w:tc>
          <w:tcPr>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批</w:t>
            </w:r>
            <w:r/>
          </w:p>
        </w:tc>
        <w:tc>
          <w:tcPr>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r>
    </w:tbl>
    <w:p>
      <w:pPr>
        <w:ind w:firstLine="562"/>
        <w:spacing w:line="500" w:lineRule="exact"/>
        <w:rPr>
          <w:rFonts w:ascii="方正黑体_GBK" w:hAnsi="方正黑体_GBK" w:eastAsia="方正黑体_GBK" w:cs="方正黑体_GBK"/>
          <w:sz w:val="28"/>
          <w:szCs w:val="28"/>
          <w:highlight w:val="yellow"/>
        </w:rPr>
      </w:pPr>
      <w:r>
        <w:rPr>
          <w:rFonts w:hint="eastAsia" w:ascii="仿宋" w:hAnsi="仿宋" w:eastAsia="仿宋" w:cs="仿宋"/>
          <w:b/>
          <w:bCs/>
          <w:sz w:val="28"/>
          <w:szCs w:val="28"/>
        </w:rPr>
        <w:t xml:space="preserve">注：上述采购要求为最低要求，不得负偏离，否则视为无效报价</w:t>
      </w:r>
      <w:r/>
    </w:p>
    <w:p>
      <w:pPr>
        <w:ind w:left="562"/>
        <w:spacing w:line="440" w:lineRule="exact"/>
        <w:rPr>
          <w:rFonts w:eastAsia="仿宋"/>
        </w:rPr>
      </w:pPr>
      <w:r>
        <w:rPr>
          <w:rFonts w:hint="eastAsia" w:ascii="仿宋" w:hAnsi="仿宋" w:eastAsia="仿宋" w:cs="仿宋"/>
          <w:b/>
          <w:color w:val="000000"/>
          <w:sz w:val="28"/>
          <w:szCs w:val="28"/>
        </w:rPr>
        <w:t xml:space="preserve">（三）三标包采购清单</w:t>
      </w:r>
      <w:r/>
    </w:p>
    <w:tbl>
      <w:tblPr>
        <w:tblStyle w:val="859"/>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072"/>
        <w:gridCol w:w="4691"/>
        <w:gridCol w:w="707"/>
        <w:gridCol w:w="1324"/>
      </w:tblGrid>
      <w:tr>
        <w:trPr>
          <w:trHeight w:val="502"/>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序号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名称</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参数</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单位</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数量</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900万像素环保抓拍单元</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传感器类型：不小于1/1英寸CMOS；</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像素：900万；</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镜头焦距：50mm;特殊情况下，需置换25mm；</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功能：生态无光污染，内置处理器；</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接入标准：GB/T28181； GA/T1400， GB/35114A；</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防护等级：IP67。</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46</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2</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环保多功能补光灯</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频闪、爆闪、白光、红外，红外白光切换；</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寿命≥1000万次；</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亮度可调</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92</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治安卡口杆件</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杆件立杆高度6.5米左右；多边棱锥形管，立柱管材壁厚≥6mm，横杆管材壁厚≥4mm，立柱底端口径对角≥280mm，横臂口径对角≥100mm。立柱采用的钢材符合国标及行业标准的要求，顶部采用3mm厚的钢板焊接封盖；F杆、法兰盘、抱箍、抱箍底衬、柱帽、加劲肋及连接螺栓、螺母、垫圈等钢铁件，采用热镀锌进行防锈处理，立杆、横杆采用双面焊，所有的对接焊缝和贴角焊缝，其厚度和强度与被焊构件相等，焊缝打磨光滑。并在非机动车道上方增加尾臂，用于安装相机。控制箱及杆件颜色要求同上。</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根</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12</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4</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大数据服务器</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配置不少于2颗国产化处理器，单处理器物理核心数≥24核，主频≥2.2GHz；</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内存不少512G DDR4；</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硬盘不少于2块600G SAS、1块480G M.2 SSD、6块960G SSD、6块8T SATA；</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配置1张RAID 1G阵列卡，带电池；</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网口不少于2个千兆电口、2个万兆光口（含光模块）配置冗余电源；</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具备不少于20亿的感知数据存储及服务；</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具备感知数据服务总览，支持数据总量统计，支持查看数据接入趋势；</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具备感知数据资产管理。支持统计原始库、资源库和主题库数量；支持数据表分类管理和数据表查询；</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台</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2</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5</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移动图像设备</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支持5G全网通网络，兼容4G网络，内置摄像机、红外灯、白光灯、拾音器、扬声器、显示屏 ；可外接高清摄像头。</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内置存储≥64GB;不低于2.4英寸的彩色触摸屏。</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支持图片抓拍；</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接入标准：GB/T28182； GA/T1400；无缝接入本地原有管理平台；</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只</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60</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6</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350兆数字基站</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制式：PDT;载频数量:3</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频率;上行:351~356 MHz;下行:361~366MHz;</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工作温度:</w:t>
            </w:r>
            <w:r>
              <w:rPr>
                <w:rFonts w:hint="eastAsia" w:ascii="方正仿宋_GBK" w:hAnsi="仿宋" w:eastAsia="方正仿宋_GBK" w:cs="仿宋"/>
                <w:szCs w:val="21"/>
              </w:rPr>
              <w:tab/>
            </w:r>
            <w:r>
              <w:rPr>
                <w:rFonts w:hint="eastAsia" w:ascii="方正仿宋_GBK" w:hAnsi="仿宋" w:eastAsia="方正仿宋_GBK" w:cs="仿宋"/>
                <w:szCs w:val="21"/>
              </w:rPr>
              <w:t xml:space="preserve">-40°C～55°C;</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工作湿度:5%RH to 100%RH;</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防护等级:</w:t>
            </w:r>
            <w:r>
              <w:rPr>
                <w:rFonts w:hint="eastAsia" w:ascii="方正仿宋_GBK" w:hAnsi="仿宋" w:eastAsia="方正仿宋_GBK" w:cs="仿宋"/>
                <w:szCs w:val="21"/>
              </w:rPr>
              <w:tab/>
            </w:r>
            <w:r>
              <w:rPr>
                <w:rFonts w:hint="eastAsia" w:ascii="方正仿宋_GBK" w:hAnsi="仿宋" w:eastAsia="方正仿宋_GBK" w:cs="仿宋"/>
                <w:szCs w:val="21"/>
              </w:rPr>
              <w:t xml:space="preserve">IP68;</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防风等级:</w:t>
            </w:r>
            <w:r>
              <w:rPr>
                <w:rFonts w:hint="eastAsia" w:ascii="方正仿宋_GBK" w:hAnsi="仿宋" w:eastAsia="方正仿宋_GBK" w:cs="仿宋"/>
                <w:szCs w:val="21"/>
              </w:rPr>
              <w:tab/>
            </w:r>
            <w:r>
              <w:rPr>
                <w:rFonts w:hint="eastAsia" w:ascii="方正仿宋_GBK" w:hAnsi="仿宋" w:eastAsia="方正仿宋_GBK" w:cs="仿宋"/>
                <w:szCs w:val="21"/>
              </w:rPr>
              <w:t xml:space="preserve">240Km/h;</w:t>
            </w:r>
            <w:r/>
          </w:p>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防雷等级:</w:t>
            </w:r>
            <w:r>
              <w:rPr>
                <w:rFonts w:hint="eastAsia" w:ascii="方正仿宋_GBK" w:hAnsi="仿宋" w:eastAsia="方正仿宋_GBK" w:cs="仿宋"/>
                <w:szCs w:val="21"/>
              </w:rPr>
              <w:tab/>
            </w:r>
            <w:r>
              <w:rPr>
                <w:rFonts w:hint="eastAsia" w:ascii="方正仿宋_GBK" w:hAnsi="仿宋" w:eastAsia="方正仿宋_GBK" w:cs="仿宋"/>
                <w:szCs w:val="21"/>
              </w:rPr>
              <w:t xml:space="preserve">电源端口防雷等级：20KA</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座</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7</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风险识别预警系统</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对数据进行分析研判，建立预警机制，具体方案与采购方联系。</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套</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8</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启隆派出所图像室改造</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对启隆派出所图像室进行改造。</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批</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r>
      <w:tr>
        <w:trPr/>
        <w:tc>
          <w:tcPr>
            <w:tcBorders>
              <w:top w:val="single" w:color="auto" w:sz="4" w:space="0"/>
              <w:left w:val="single" w:color="auto" w:sz="4" w:space="0"/>
              <w:bottom w:val="single" w:color="auto" w:sz="4" w:space="0"/>
              <w:right w:val="single" w:color="auto" w:sz="4" w:space="0"/>
            </w:tcBorders>
            <w:tcW w:w="726"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9</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其他费用</w:t>
            </w:r>
            <w:r/>
          </w:p>
        </w:tc>
        <w:tc>
          <w:tcPr>
            <w:tcBorders>
              <w:top w:val="single" w:color="auto" w:sz="4" w:space="0"/>
              <w:left w:val="single" w:color="auto" w:sz="4" w:space="0"/>
              <w:bottom w:val="single" w:color="auto" w:sz="4" w:space="0"/>
              <w:right w:val="single" w:color="auto" w:sz="4" w:space="0"/>
            </w:tcBorders>
            <w:tcW w:w="4691"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网络光纤费用、电费、辅材及安装维护及其他不可预见费用</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批</w:t>
            </w:r>
            <w:r/>
          </w:p>
        </w:tc>
        <w:tc>
          <w:tcPr>
            <w:tcBorders>
              <w:top w:val="single" w:color="auto" w:sz="4" w:space="0"/>
              <w:left w:val="single" w:color="auto" w:sz="4" w:space="0"/>
              <w:bottom w:val="single" w:color="auto" w:sz="4" w:space="0"/>
              <w:right w:val="single" w:color="auto" w:sz="4" w:space="0"/>
            </w:tcBorders>
            <w:tcW w:w="1324" w:type="dxa"/>
            <w:vAlign w:val="center"/>
            <w:textDirection w:val="lrTb"/>
            <w:noWrap w:val="false"/>
          </w:tcPr>
          <w:p>
            <w:pPr>
              <w:jc w:val="center"/>
              <w:widowControl/>
              <w:rPr>
                <w:rFonts w:ascii="方正仿宋_GBK" w:hAnsi="仿宋" w:eastAsia="方正仿宋_GBK" w:cs="仿宋"/>
                <w:szCs w:val="21"/>
              </w:rPr>
            </w:pPr>
            <w:r>
              <w:rPr>
                <w:rFonts w:hint="eastAsia" w:ascii="方正仿宋_GBK" w:hAnsi="仿宋" w:eastAsia="方正仿宋_GBK" w:cs="仿宋"/>
                <w:szCs w:val="21"/>
              </w:rPr>
              <w:t xml:space="preserve">1</w:t>
            </w:r>
            <w:r/>
          </w:p>
        </w:tc>
      </w:tr>
    </w:tbl>
    <w:p>
      <w:pPr>
        <w:pStyle w:val="963"/>
        <w:ind w:left="0"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注：上述采购要求为最低要求，不得负偏离，否则视为无效报价。</w:t>
      </w:r>
      <w:r/>
    </w:p>
    <w:p>
      <w:pPr>
        <w:pStyle w:val="963"/>
        <w:ind w:left="0"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为确保平台平稳升级，需要提前沟通、对接好原有平台，确定对接方案，无缝接入指定平台；所有接入设备均需要配置万兆多模光模块接入网络，避免网络卡顿。</w:t>
      </w:r>
      <w:r/>
    </w:p>
    <w:p>
      <w:pPr>
        <w:ind w:left="562"/>
        <w:spacing w:line="44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二、建设要求</w:t>
      </w:r>
      <w:r/>
    </w:p>
    <w:p>
      <w:pPr>
        <w:ind w:left="562"/>
        <w:spacing w:line="440" w:lineRule="exact"/>
        <w:rPr>
          <w:rFonts w:ascii="仿宋" w:hAnsi="仿宋" w:eastAsia="仿宋" w:cs="仿宋"/>
          <w:bCs/>
          <w:color w:val="000000"/>
          <w:sz w:val="28"/>
          <w:szCs w:val="28"/>
        </w:rPr>
      </w:pPr>
      <w:r>
        <w:rPr>
          <w:rFonts w:hint="eastAsia" w:ascii="仿宋" w:hAnsi="仿宋" w:eastAsia="仿宋" w:cs="仿宋"/>
          <w:b/>
          <w:color w:val="000000"/>
          <w:sz w:val="28"/>
          <w:szCs w:val="28"/>
        </w:rPr>
        <w:t xml:space="preserve">（一）一标包、二标包建设要求</w:t>
      </w:r>
      <w:r/>
    </w:p>
    <w:p>
      <w:pPr>
        <w:ind w:firstLine="560"/>
        <w:spacing w:line="500" w:lineRule="exact"/>
        <w:rPr>
          <w:rFonts w:eastAsia="方正仿宋_GBK"/>
          <w:sz w:val="28"/>
          <w:szCs w:val="28"/>
        </w:rPr>
      </w:pPr>
      <w:r>
        <w:rPr>
          <w:rFonts w:hint="eastAsia" w:eastAsia="方正仿宋_GBK"/>
          <w:sz w:val="28"/>
          <w:szCs w:val="28"/>
        </w:rPr>
        <w:t xml:space="preserve">1、一标包以圆陀角旅游度假区建设为主，二标包以启东其他区域建设为主。</w:t>
      </w:r>
      <w:r/>
    </w:p>
    <w:p>
      <w:pPr>
        <w:ind w:firstLine="560"/>
        <w:spacing w:line="500" w:lineRule="exact"/>
        <w:rPr>
          <w:rFonts w:eastAsia="方正仿宋_GBK"/>
          <w:sz w:val="28"/>
          <w:szCs w:val="28"/>
        </w:rPr>
      </w:pPr>
      <w:r>
        <w:rPr>
          <w:rFonts w:hint="eastAsia" w:eastAsia="方正仿宋_GBK"/>
          <w:sz w:val="28"/>
          <w:szCs w:val="28"/>
        </w:rPr>
        <w:t xml:space="preserve">2、两个标包共需建设安装1000只全彩相机、500只结构化相机、700只智能相机、10只普通球机、3只高空全景相机、150根普通杆件。其余部分提供借杆安装服务，借助于原有的网络及电路，通过壁装、挂杆等方式安装相机，并通过线材连接到最近的社会面点位上。如数据传输不能满足要求，中标供应商须升级网络交换容量，所涉及的费用由中标供应商负责，且前端点位产生的电费由中标供应商负责。新建点位中前端交换机须有3-4个网口空余，用于接入其他网络设备。安装位置、高度要满足安全、视频图片质量等要求。视频清楚，抓拍清晰。</w:t>
      </w:r>
      <w:r/>
    </w:p>
    <w:p>
      <w:pPr>
        <w:ind w:firstLine="560"/>
        <w:spacing w:line="500" w:lineRule="exact"/>
        <w:rPr>
          <w:rFonts w:eastAsia="方正仿宋_GBK"/>
          <w:sz w:val="28"/>
          <w:szCs w:val="28"/>
        </w:rPr>
      </w:pPr>
      <w:r>
        <w:rPr>
          <w:rFonts w:hint="eastAsia" w:eastAsia="方正仿宋_GBK"/>
          <w:sz w:val="28"/>
          <w:szCs w:val="28"/>
        </w:rPr>
        <w:t xml:space="preserve">3、两个标包共需升级安装900万像素环保抓拍单元26只，环保多功能补光灯至少52只。根据道路情况配置相关相机和灯具，相机可以管理单向两车道或三车道，灯具管理一车道。（因车道数量问题，环保多功能补光灯总数可能大于52只，多余灯具由中标供应商提供。）卡口改造中包含特定卡口（具体请联系采购方），在升级过程中，中标供应商需充分考虑确保平台数据不丢失。</w:t>
      </w:r>
      <w:r/>
    </w:p>
    <w:p>
      <w:pPr>
        <w:ind w:firstLine="560"/>
        <w:spacing w:line="500" w:lineRule="exact"/>
        <w:rPr>
          <w:rFonts w:eastAsia="方正仿宋_GBK"/>
          <w:sz w:val="28"/>
          <w:szCs w:val="28"/>
        </w:rPr>
      </w:pPr>
      <w:r>
        <w:rPr>
          <w:rFonts w:hint="eastAsia" w:eastAsia="方正仿宋_GBK"/>
          <w:sz w:val="28"/>
          <w:szCs w:val="28"/>
        </w:rPr>
        <w:t xml:space="preserve">4、两个标包中共为图像服务点位配置光纤资源100条、要求裸光纤，至少千兆带宽，两端配置网络设备接入指定网络。</w:t>
      </w:r>
      <w:r/>
    </w:p>
    <w:p>
      <w:pPr>
        <w:ind w:firstLine="560"/>
        <w:spacing w:line="500" w:lineRule="exact"/>
        <w:rPr>
          <w:rFonts w:eastAsia="方正仿宋_GBK"/>
          <w:sz w:val="28"/>
          <w:szCs w:val="28"/>
        </w:rPr>
      </w:pPr>
      <w:r>
        <w:rPr>
          <w:rFonts w:hint="eastAsia" w:eastAsia="方正仿宋_GBK"/>
          <w:sz w:val="28"/>
          <w:szCs w:val="28"/>
        </w:rPr>
        <w:t xml:space="preserve">5、其他要求</w:t>
      </w:r>
      <w:r/>
    </w:p>
    <w:p>
      <w:pPr>
        <w:ind w:firstLine="560"/>
        <w:spacing w:line="500" w:lineRule="exact"/>
        <w:rPr>
          <w:rFonts w:eastAsia="方正仿宋_GBK"/>
          <w:sz w:val="28"/>
          <w:szCs w:val="28"/>
        </w:rPr>
      </w:pPr>
      <w:r>
        <w:rPr>
          <w:rFonts w:hint="eastAsia" w:eastAsia="方正仿宋_GBK"/>
          <w:sz w:val="28"/>
          <w:szCs w:val="28"/>
        </w:rPr>
        <w:t xml:space="preserve">（1）在点位确认完毕后，中标供应商需提供方案，经采购方认可后，方可实施。</w:t>
      </w:r>
      <w:r/>
    </w:p>
    <w:p>
      <w:pPr>
        <w:ind w:firstLine="560"/>
        <w:spacing w:line="500" w:lineRule="exact"/>
        <w:rPr>
          <w:rFonts w:eastAsia="方正仿宋_GBK"/>
          <w:sz w:val="28"/>
          <w:szCs w:val="28"/>
        </w:rPr>
      </w:pPr>
      <w:r>
        <w:rPr>
          <w:rFonts w:hint="eastAsia" w:eastAsia="方正仿宋_GBK"/>
          <w:sz w:val="28"/>
          <w:szCs w:val="28"/>
        </w:rPr>
        <w:t xml:space="preserve">（2）如变更或增加点位后，造成原有网络不稳定，由中标供应商负责改造网络用以满足要求。</w:t>
      </w:r>
      <w:r/>
    </w:p>
    <w:p>
      <w:pPr>
        <w:ind w:firstLine="560"/>
        <w:spacing w:line="500" w:lineRule="exact"/>
        <w:rPr>
          <w:rFonts w:eastAsia="方正仿宋_GBK"/>
          <w:sz w:val="28"/>
          <w:szCs w:val="28"/>
        </w:rPr>
      </w:pPr>
      <w:r>
        <w:rPr>
          <w:rFonts w:hint="eastAsia" w:eastAsia="方正仿宋_GBK"/>
          <w:sz w:val="28"/>
          <w:szCs w:val="28"/>
        </w:rPr>
        <w:t xml:space="preserve">（3）中标供应商应为施工作业人员配置必要的安全防护、劳动保护用品及作业工具，并督促员工遵守各项安全制度。工作中注重安全，若发生伤亡事故，责任由中标供应商负责。</w:t>
      </w:r>
      <w:r/>
    </w:p>
    <w:p>
      <w:pPr>
        <w:ind w:firstLine="560"/>
        <w:spacing w:line="500" w:lineRule="exact"/>
        <w:rPr>
          <w:rFonts w:eastAsia="方正仿宋_GBK"/>
          <w:sz w:val="28"/>
          <w:szCs w:val="28"/>
        </w:rPr>
      </w:pPr>
      <w:r>
        <w:rPr>
          <w:rFonts w:hint="eastAsia" w:eastAsia="方正仿宋_GBK"/>
          <w:sz w:val="28"/>
          <w:szCs w:val="28"/>
        </w:rPr>
        <w:t xml:space="preserve">（4）中标供应商负责前期基础设施建设及建设过程中所有协调事项和费用，如开挖、埋管、立杆、防雷、接电、传输网络等项及服务使用中产生的各类费用（包括传输网络使用资费、电费、开挖赔偿等）。前端点位建设维护期内所产生的安装、辅材、人工、电费等均有中标供应商负责。 </w:t>
      </w:r>
      <w:r/>
    </w:p>
    <w:p>
      <w:pPr>
        <w:ind w:firstLine="560"/>
        <w:spacing w:line="500" w:lineRule="exact"/>
        <w:rPr>
          <w:rFonts w:eastAsia="方正仿宋_GBK"/>
          <w:sz w:val="28"/>
          <w:szCs w:val="28"/>
        </w:rPr>
      </w:pPr>
      <w:r>
        <w:rPr>
          <w:rFonts w:hint="eastAsia" w:eastAsia="方正仿宋_GBK"/>
          <w:sz w:val="28"/>
          <w:szCs w:val="28"/>
        </w:rPr>
        <w:t xml:space="preserve">（5）项目在质保期内，使用权属于采购方，采购方有权使用与项目有关的所有设备。项目到期后，除数据专线外，所有设备皆属于采购方。</w:t>
      </w:r>
      <w:r/>
    </w:p>
    <w:p>
      <w:pPr>
        <w:ind w:firstLine="560"/>
        <w:spacing w:line="500" w:lineRule="exact"/>
        <w:rPr>
          <w:rFonts w:eastAsia="方正仿宋_GBK"/>
          <w:sz w:val="28"/>
          <w:szCs w:val="28"/>
        </w:rPr>
      </w:pPr>
      <w:r>
        <w:rPr>
          <w:rFonts w:hint="eastAsia" w:eastAsia="方正仿宋_GBK"/>
          <w:sz w:val="28"/>
          <w:szCs w:val="28"/>
        </w:rPr>
        <w:t xml:space="preserve">（6）前端点位应根据采购方要求，接入指定平台，并做好相关台账工作。</w:t>
      </w:r>
      <w:r/>
    </w:p>
    <w:p>
      <w:pPr>
        <w:pStyle w:val="963"/>
        <w:ind w:left="0"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（二）三标包建设要求</w:t>
      </w:r>
      <w:r/>
    </w:p>
    <w:p>
      <w:pPr>
        <w:ind w:firstLine="560"/>
        <w:spacing w:line="500" w:lineRule="exact"/>
        <w:rPr>
          <w:rFonts w:eastAsia="方正仿宋_GBK"/>
          <w:sz w:val="28"/>
          <w:szCs w:val="28"/>
        </w:rPr>
      </w:pPr>
      <w:r>
        <w:rPr>
          <w:rFonts w:hint="eastAsia" w:eastAsia="方正仿宋_GBK"/>
          <w:sz w:val="28"/>
          <w:szCs w:val="28"/>
        </w:rPr>
        <w:t xml:space="preserve">1、本标包安装治安抓拍单元46只，环保多功能补光灯至少92只。其中新建治安卡口6对，配置治安卡口杆件12根，裸光纤6根，900万像素环保抓拍单元12只，环保多功能补光灯至少24只，其余治安抓拍单元及环保多功能补光灯用于原有卡口改造。根据道路情况配置相关相机和灯具，相机可以管理单向两车道或三车道，灯具管理一车道。（因车道数量问题，环保多功能补光灯总数可能大于92只，多余灯具由中标供应商提供）卡口改造中包含特定卡口（具体请联系采购方），在升级过程中，中标供应商需确充分考虑确保平台数据不丢失。</w:t>
      </w:r>
      <w:r/>
    </w:p>
    <w:p>
      <w:pPr>
        <w:ind w:firstLine="560"/>
        <w:spacing w:line="500" w:lineRule="exact"/>
        <w:rPr>
          <w:rFonts w:eastAsia="方正仿宋_GBK"/>
          <w:sz w:val="28"/>
          <w:szCs w:val="28"/>
        </w:rPr>
      </w:pPr>
      <w:r>
        <w:rPr>
          <w:rFonts w:hint="eastAsia" w:eastAsia="方正仿宋_GBK"/>
          <w:sz w:val="28"/>
          <w:szCs w:val="28"/>
        </w:rPr>
        <w:t xml:space="preserve">2、本标包中的大数据服务器、移动图像设备均需无缝接入指定平台，并确保平台运行稳定。在对接过程中，所需要的如网线、光纤、光模块等均由中标供应商提供，对接所产生的费用由中标供应商负责。</w:t>
      </w:r>
      <w:r/>
    </w:p>
    <w:p>
      <w:pPr>
        <w:ind w:firstLine="560"/>
        <w:spacing w:line="500" w:lineRule="exact"/>
        <w:rPr>
          <w:rFonts w:eastAsia="方正仿宋_GBK"/>
          <w:sz w:val="28"/>
          <w:szCs w:val="28"/>
        </w:rPr>
      </w:pPr>
      <w:r>
        <w:rPr>
          <w:rFonts w:hint="eastAsia" w:eastAsia="方正仿宋_GBK"/>
          <w:sz w:val="28"/>
          <w:szCs w:val="28"/>
        </w:rPr>
        <w:t xml:space="preserve">3、本标包中的设备涉及硬盘的，均为不返还维保；涉及到授权的，均为正式授权，且满足平台升级后正常使用，硬件能充分发挥性能。</w:t>
      </w:r>
      <w:r/>
    </w:p>
    <w:p>
      <w:pPr>
        <w:ind w:firstLine="560"/>
        <w:spacing w:line="500" w:lineRule="exact"/>
        <w:rPr>
          <w:rFonts w:eastAsia="方正仿宋_GBK"/>
          <w:sz w:val="28"/>
          <w:szCs w:val="28"/>
        </w:rPr>
      </w:pPr>
      <w:r>
        <w:rPr>
          <w:rFonts w:hint="eastAsia" w:eastAsia="方正仿宋_GBK"/>
          <w:sz w:val="28"/>
          <w:szCs w:val="28"/>
        </w:rPr>
        <w:t xml:space="preserve">4、在启东指定</w:t>
      </w:r>
      <w:r>
        <w:rPr>
          <w:rFonts w:hint="eastAsia" w:eastAsia="方正仿宋_GBK"/>
          <w:sz w:val="28"/>
          <w:szCs w:val="28"/>
        </w:rPr>
        <w:t xml:space="preserve">地点建设一座350兆数字基站，并做好防雷措施，新建基站与南通350兆现有数字中心必须按照原有基站建设模式通过有线光纤连接至启东节点，也可直连南通基站网络，并能够通过原有统一网管软件实现控制管理。350兆系统建设期间，必须保证原有无线通信原有的运行质态，不得改变原系统的基站设备及系统、网管软件，必须确保350兆数字集群中心及基站不停机和各基站正常运行。用户应能在基站之间自动漫游，无需手动切换。建设350兆基站所需的电费、网络光纤费用、机房租用费用、建设安装费用等费用均包含在报价表中，请供应商充分考虑各种因素。</w:t>
      </w:r>
      <w:r/>
    </w:p>
    <w:p>
      <w:pPr>
        <w:ind w:firstLine="560"/>
        <w:spacing w:line="500" w:lineRule="exact"/>
        <w:rPr>
          <w:rFonts w:eastAsia="方正仿宋_GBK"/>
          <w:sz w:val="28"/>
          <w:szCs w:val="28"/>
        </w:rPr>
      </w:pPr>
      <w:r>
        <w:rPr>
          <w:rFonts w:hint="eastAsia" w:eastAsia="方正仿宋_GBK"/>
          <w:sz w:val="28"/>
          <w:szCs w:val="28"/>
        </w:rPr>
        <w:t xml:space="preserve">5、对启隆图像室进行改造，一是对室内原有设备设施拆除清运，涉及机房设备、网络设备拆除整理，勤务办公区搬迁及吊顶、灯具等通用设施拆除；二是改造设备采购安装，包含室内全彩 LED 屏（点间距≤2.0mm，屏幕面积≥9.5平方米）、音频系统、控制系统及操作台等，满足信息化与办公需求；三是改造设施施工，涵盖墙面装饰、标识系统、吊顶、地面等装饰工程，以及强弱电、空调拆装保养、顶面防尘处理等配套工程，同时包含系统集成服务。中标供应商在改造前需提供施工图，经采购方认可后方可改造。</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三、</w:t>
      </w:r>
      <w:r>
        <w:rPr>
          <w:rFonts w:hint="eastAsia" w:ascii="方正黑体_GBK" w:hAnsi="方正黑体_GBK" w:eastAsia="方正黑体_GBK" w:cs="方正黑体_GBK"/>
          <w:sz w:val="28"/>
          <w:szCs w:val="28"/>
        </w:rPr>
        <w:t xml:space="preserve">服务要求</w:t>
      </w:r>
      <w:r/>
    </w:p>
    <w:p>
      <w:pPr>
        <w:pStyle w:val="861"/>
        <w:ind w:firstLine="640"/>
        <w:rPr>
          <w:rFonts w:ascii="仿宋" w:hAnsi="仿宋" w:cs="仿宋"/>
          <w:b/>
          <w:color w:val="000000"/>
          <w:sz w:val="28"/>
          <w:szCs w:val="28"/>
        </w:rPr>
        <w:outlineLvl w:val="1"/>
      </w:pPr>
      <w:r/>
      <w:bookmarkStart w:id="140" w:name="_Toc17699"/>
      <w:r/>
      <w:bookmarkStart w:id="141" w:name="_Toc3351"/>
      <w:r/>
      <w:bookmarkStart w:id="142" w:name="_Toc12235"/>
      <w:r>
        <w:rPr>
          <w:rFonts w:hint="eastAsia" w:ascii="仿宋" w:hAnsi="仿宋" w:cs="仿宋"/>
          <w:b/>
          <w:color w:val="000000"/>
          <w:sz w:val="28"/>
          <w:szCs w:val="28"/>
        </w:rPr>
        <w:t xml:space="preserve">（一）安全要求</w:t>
      </w:r>
      <w:bookmarkEnd w:id="140"/>
      <w:r/>
      <w:bookmarkEnd w:id="141"/>
      <w:r/>
      <w:bookmarkEnd w:id="142"/>
      <w:r/>
      <w:r/>
    </w:p>
    <w:p>
      <w:pPr>
        <w:ind w:firstLine="560"/>
        <w:spacing w:line="500" w:lineRule="exact"/>
        <w:rPr>
          <w:rFonts w:eastAsia="方正仿宋_GBK"/>
          <w:sz w:val="28"/>
          <w:szCs w:val="28"/>
        </w:rPr>
      </w:pPr>
      <w:r/>
      <w:bookmarkStart w:id="143" w:name="_Toc63"/>
      <w:r/>
      <w:bookmarkStart w:id="144" w:name="_Toc17350"/>
      <w:r/>
      <w:bookmarkStart w:id="145" w:name="_Toc823"/>
      <w:r>
        <w:rPr>
          <w:rFonts w:hint="eastAsia" w:eastAsia="方正仿宋_GBK"/>
          <w:sz w:val="28"/>
          <w:szCs w:val="28"/>
        </w:rPr>
        <w:t xml:space="preserve">1、施工安全</w:t>
      </w:r>
      <w:bookmarkEnd w:id="143"/>
      <w:r/>
      <w:bookmarkEnd w:id="144"/>
      <w:r/>
      <w:bookmarkEnd w:id="145"/>
      <w:r/>
      <w:r/>
    </w:p>
    <w:p>
      <w:pPr>
        <w:ind w:firstLine="560"/>
        <w:spacing w:line="500" w:lineRule="exact"/>
        <w:rPr>
          <w:rFonts w:eastAsia="方正仿宋_GBK"/>
          <w:sz w:val="28"/>
          <w:szCs w:val="28"/>
        </w:rPr>
      </w:pPr>
      <w:r>
        <w:rPr>
          <w:rFonts w:hint="eastAsia" w:eastAsia="方正仿宋_GBK"/>
          <w:sz w:val="28"/>
          <w:szCs w:val="28"/>
        </w:rPr>
        <w:t xml:space="preserve">在建设施工时，提供安全设施，对前后端施工进行安全管理，并督促员工遵守各项安全制度。工作中注重安全，若发生伤亡事故，责任由供应商负责。</w:t>
      </w:r>
      <w:r/>
    </w:p>
    <w:p>
      <w:pPr>
        <w:ind w:firstLine="560"/>
        <w:spacing w:line="500" w:lineRule="exact"/>
        <w:rPr>
          <w:rFonts w:eastAsia="方正仿宋_GBK"/>
          <w:sz w:val="28"/>
          <w:szCs w:val="28"/>
        </w:rPr>
      </w:pPr>
      <w:r/>
      <w:bookmarkStart w:id="146" w:name="_Toc28305"/>
      <w:r/>
      <w:bookmarkStart w:id="147" w:name="_Toc21718"/>
      <w:r/>
      <w:bookmarkStart w:id="148" w:name="_Toc7521"/>
      <w:r>
        <w:rPr>
          <w:rFonts w:hint="eastAsia" w:eastAsia="方正仿宋_GBK"/>
          <w:sz w:val="28"/>
          <w:szCs w:val="28"/>
        </w:rPr>
        <w:t xml:space="preserve">2、网络安全</w:t>
      </w:r>
      <w:bookmarkEnd w:id="146"/>
      <w:r/>
      <w:bookmarkEnd w:id="147"/>
      <w:r/>
      <w:bookmarkEnd w:id="148"/>
      <w:r/>
      <w:r/>
    </w:p>
    <w:p>
      <w:pPr>
        <w:ind w:firstLine="560"/>
        <w:spacing w:line="500" w:lineRule="exact"/>
        <w:rPr>
          <w:rFonts w:eastAsia="方正仿宋_GBK"/>
          <w:sz w:val="28"/>
          <w:szCs w:val="28"/>
        </w:rPr>
      </w:pPr>
      <w:r>
        <w:rPr>
          <w:rFonts w:hint="eastAsia" w:eastAsia="方正仿宋_GBK"/>
          <w:sz w:val="28"/>
          <w:szCs w:val="28"/>
        </w:rPr>
        <w:t xml:space="preserve">严格网络安全教育，项目所有涉及人员都能清楚知道网络安全的重要性，如何规范操作网络，以及熟知网络安全规定。</w:t>
      </w:r>
      <w:r/>
    </w:p>
    <w:p>
      <w:pPr>
        <w:ind w:firstLine="560"/>
        <w:spacing w:line="500" w:lineRule="exact"/>
        <w:rPr>
          <w:rFonts w:eastAsia="方正仿宋_GBK"/>
          <w:sz w:val="28"/>
          <w:szCs w:val="28"/>
        </w:rPr>
      </w:pPr>
      <w:r>
        <w:rPr>
          <w:rFonts w:hint="eastAsia" w:eastAsia="方正仿宋_GBK"/>
          <w:sz w:val="28"/>
          <w:szCs w:val="28"/>
        </w:rPr>
        <w:t xml:space="preserve">3、信息安全</w:t>
      </w:r>
      <w:r/>
    </w:p>
    <w:p>
      <w:pPr>
        <w:ind w:firstLine="560"/>
        <w:spacing w:line="500" w:lineRule="exact"/>
        <w:rPr>
          <w:rFonts w:eastAsia="方正仿宋_GBK"/>
          <w:sz w:val="28"/>
          <w:szCs w:val="28"/>
        </w:rPr>
      </w:pPr>
      <w:r>
        <w:rPr>
          <w:rFonts w:hint="eastAsia" w:eastAsia="方正仿宋_GBK"/>
          <w:sz w:val="28"/>
          <w:szCs w:val="28"/>
        </w:rPr>
        <w:t xml:space="preserve">中标供应商须严格保守过程中获悉的公安警务秘密和公民的隐私，签订保密承诺书、安全责任书等，并配合公安局做好数据信息的安全防范工作。</w:t>
      </w:r>
      <w:r/>
    </w:p>
    <w:p>
      <w:pPr>
        <w:pStyle w:val="861"/>
        <w:ind w:firstLine="640"/>
        <w:spacing w:line="440" w:lineRule="exact"/>
        <w:rPr>
          <w:rFonts w:ascii="仿宋" w:hAnsi="仿宋" w:cs="仿宋"/>
          <w:b/>
          <w:color w:val="000000"/>
          <w:sz w:val="28"/>
          <w:szCs w:val="28"/>
        </w:rPr>
      </w:pPr>
      <w:r/>
      <w:bookmarkStart w:id="149" w:name="_Toc25834"/>
      <w:r/>
      <w:bookmarkStart w:id="150" w:name="_Toc12071"/>
      <w:r/>
      <w:bookmarkStart w:id="151" w:name="_Toc18890"/>
      <w:r/>
      <w:bookmarkStart w:id="152" w:name="_Toc11705"/>
      <w:r>
        <w:rPr>
          <w:rFonts w:hint="eastAsia" w:ascii="仿宋" w:hAnsi="仿宋" w:cs="仿宋"/>
          <w:b/>
          <w:color w:val="000000"/>
          <w:sz w:val="28"/>
          <w:szCs w:val="28"/>
        </w:rPr>
        <w:t xml:space="preserve">（二）服务保障要求</w:t>
      </w:r>
      <w:bookmarkEnd w:id="149"/>
      <w:r/>
      <w:bookmarkEnd w:id="150"/>
      <w:r/>
      <w:bookmarkEnd w:id="151"/>
      <w:r/>
      <w:bookmarkEnd w:id="152"/>
      <w:r/>
      <w:r/>
    </w:p>
    <w:p>
      <w:pPr>
        <w:ind w:firstLine="560"/>
        <w:spacing w:line="500" w:lineRule="exact"/>
        <w:rPr>
          <w:rFonts w:eastAsia="方正仿宋_GBK"/>
          <w:sz w:val="28"/>
          <w:szCs w:val="28"/>
        </w:rPr>
      </w:pPr>
      <w:r/>
      <w:bookmarkStart w:id="153" w:name="_Toc26955"/>
      <w:r/>
      <w:bookmarkStart w:id="154" w:name="_Toc30010"/>
      <w:r/>
      <w:bookmarkStart w:id="155" w:name="_Toc16636"/>
      <w:r>
        <w:rPr>
          <w:rFonts w:hint="eastAsia" w:eastAsia="方正仿宋_GBK"/>
          <w:sz w:val="28"/>
          <w:szCs w:val="28"/>
        </w:rPr>
        <w:t xml:space="preserve">1、标准要求</w:t>
      </w:r>
      <w:bookmarkEnd w:id="153"/>
      <w:r/>
      <w:bookmarkEnd w:id="154"/>
      <w:r/>
      <w:bookmarkEnd w:id="155"/>
      <w:r/>
      <w:r/>
    </w:p>
    <w:p>
      <w:pPr>
        <w:ind w:firstLine="560"/>
        <w:spacing w:line="500" w:lineRule="exact"/>
        <w:rPr>
          <w:rFonts w:eastAsia="方正仿宋_GBK"/>
          <w:sz w:val="28"/>
          <w:szCs w:val="28"/>
        </w:rPr>
      </w:pPr>
      <w:r>
        <w:rPr>
          <w:rFonts w:hint="eastAsia" w:eastAsia="方正仿宋_GBK"/>
          <w:sz w:val="28"/>
          <w:szCs w:val="28"/>
        </w:rPr>
        <w:t xml:space="preserve">本项目施工期限：2026年12月31日止，项目主体完工，完成初验，试运行1个月后，完成验收工作。</w:t>
      </w:r>
      <w:r/>
    </w:p>
    <w:p>
      <w:pPr>
        <w:ind w:firstLine="560"/>
        <w:spacing w:line="500" w:lineRule="exact"/>
        <w:rPr>
          <w:rFonts w:eastAsia="方正仿宋_GBK"/>
          <w:sz w:val="28"/>
          <w:szCs w:val="28"/>
        </w:rPr>
      </w:pPr>
      <w:r>
        <w:rPr>
          <w:rFonts w:hint="eastAsia" w:eastAsia="方正仿宋_GBK"/>
          <w:sz w:val="28"/>
          <w:szCs w:val="28"/>
        </w:rPr>
        <w:t xml:space="preserve">本项目维保期限为5年，从项目验收合格之日起止，建设标准和考核要求，以社会面六期要求为准，如有冲突的，或设备、参数和考核内容等等不一致的地方，以本项目要求为准。 </w:t>
      </w:r>
      <w:r/>
    </w:p>
    <w:p>
      <w:pPr>
        <w:ind w:firstLine="560"/>
        <w:spacing w:line="500" w:lineRule="exact"/>
        <w:rPr>
          <w:rFonts w:eastAsia="方正仿宋_GBK"/>
          <w:sz w:val="28"/>
          <w:szCs w:val="28"/>
        </w:rPr>
      </w:pPr>
      <w:r/>
      <w:bookmarkStart w:id="156" w:name="_Toc19953"/>
      <w:r/>
      <w:bookmarkStart w:id="157" w:name="_Toc16344"/>
      <w:r/>
      <w:bookmarkStart w:id="158" w:name="_Toc3744"/>
      <w:r>
        <w:rPr>
          <w:rFonts w:hint="eastAsia" w:eastAsia="方正仿宋_GBK"/>
          <w:sz w:val="28"/>
          <w:szCs w:val="28"/>
        </w:rPr>
        <w:t xml:space="preserve">2、保障要求</w:t>
      </w:r>
      <w:bookmarkEnd w:id="156"/>
      <w:r/>
      <w:bookmarkEnd w:id="157"/>
      <w:r/>
      <w:bookmarkEnd w:id="158"/>
      <w:r/>
      <w:r/>
    </w:p>
    <w:p>
      <w:pPr>
        <w:ind w:firstLine="560"/>
        <w:spacing w:line="500" w:lineRule="exact"/>
        <w:rPr>
          <w:rFonts w:eastAsia="方正仿宋_GBK"/>
          <w:sz w:val="28"/>
          <w:szCs w:val="28"/>
        </w:rPr>
      </w:pPr>
      <w:r>
        <w:rPr>
          <w:rFonts w:hint="eastAsia" w:eastAsia="方正仿宋_GBK"/>
          <w:sz w:val="28"/>
          <w:szCs w:val="28"/>
        </w:rPr>
        <w:t xml:space="preserve">为应急工作需要，在规定的时间内响应并提供团队负责配合好采购人的视频图像保障工作；项目建设需要协调的，由中标供应商自行负责处理。</w:t>
      </w:r>
      <w:r/>
    </w:p>
    <w:p>
      <w:pPr>
        <w:ind w:firstLine="560"/>
        <w:spacing w:line="500" w:lineRule="exact"/>
        <w:rPr>
          <w:rFonts w:eastAsia="方正仿宋_GBK"/>
          <w:sz w:val="28"/>
          <w:szCs w:val="28"/>
        </w:rPr>
      </w:pPr>
      <w:r>
        <w:rPr>
          <w:rFonts w:hint="eastAsia" w:eastAsia="方正仿宋_GBK"/>
          <w:sz w:val="28"/>
          <w:szCs w:val="28"/>
        </w:rPr>
        <w:t xml:space="preserve">3、人员要求</w:t>
      </w:r>
      <w:r/>
    </w:p>
    <w:p>
      <w:pPr>
        <w:ind w:firstLine="560"/>
        <w:spacing w:line="500" w:lineRule="exact"/>
        <w:rPr>
          <w:rFonts w:eastAsia="方正仿宋_GBK"/>
          <w:sz w:val="28"/>
          <w:szCs w:val="28"/>
        </w:rPr>
      </w:pPr>
      <w:r>
        <w:rPr>
          <w:rFonts w:hint="eastAsia" w:eastAsia="方正仿宋_GBK"/>
          <w:sz w:val="28"/>
          <w:szCs w:val="28"/>
        </w:rPr>
        <w:t xml:space="preserve">为确保本项目顺利进行，在维保期内，三个标包中标供应商需为本项目提供技术人员驻场服务。如两个标包为同一中标供应商的，则只需提供一人驻场服务。该员工必须为中标供应商的正式员工，且无正当理由不得更换。</w:t>
      </w:r>
      <w:r/>
    </w:p>
    <w:p>
      <w:pPr>
        <w:pStyle w:val="861"/>
        <w:ind w:firstLine="640"/>
        <w:spacing w:line="440" w:lineRule="exact"/>
        <w:rPr>
          <w:rFonts w:ascii="仿宋" w:hAnsi="仿宋" w:cs="仿宋"/>
          <w:b/>
          <w:sz w:val="28"/>
          <w:szCs w:val="28"/>
        </w:rPr>
      </w:pPr>
      <w:r>
        <w:rPr>
          <w:rFonts w:hint="eastAsia" w:ascii="仿宋" w:hAnsi="仿宋" w:cs="仿宋"/>
          <w:b/>
          <w:sz w:val="28"/>
          <w:szCs w:val="28"/>
        </w:rPr>
        <w:t xml:space="preserve">（三）考核要求 </w:t>
      </w:r>
      <w:r/>
    </w:p>
    <w:p>
      <w:pPr>
        <w:ind w:firstLine="560"/>
        <w:spacing w:line="500" w:lineRule="exact"/>
        <w:rPr>
          <w:rFonts w:eastAsia="方正仿宋_GBK"/>
          <w:sz w:val="28"/>
          <w:szCs w:val="28"/>
        </w:rPr>
      </w:pPr>
      <w:r/>
      <w:bookmarkStart w:id="159" w:name="OLE_LINK14"/>
      <w:r>
        <w:rPr>
          <w:rFonts w:hint="eastAsia" w:eastAsia="方正仿宋_GBK"/>
          <w:sz w:val="28"/>
          <w:szCs w:val="28"/>
        </w:rPr>
        <w:t xml:space="preserve">1、一标包、二标包：视频图片质量结合《启东市公安局“超融合”运维考核系统》进行考核，并按照考核结果支付费用。点位无录像，扣款计算方法如下：录像丢失小时数（不满1小时按1小时计算）×(合同子项金额/相机总数/365/5/24)：如果建设的点位纳入重点考核点位的，扣款翻倍。</w:t>
      </w:r>
      <w:r/>
    </w:p>
    <w:p>
      <w:pPr>
        <w:ind w:firstLine="560"/>
        <w:spacing w:line="500" w:lineRule="exact"/>
        <w:rPr>
          <w:rFonts w:eastAsia="方正仿宋_GBK"/>
          <w:sz w:val="28"/>
          <w:szCs w:val="28"/>
        </w:rPr>
      </w:pPr>
      <w:r>
        <w:rPr>
          <w:rFonts w:hint="eastAsia" w:eastAsia="方正仿宋_GBK"/>
          <w:sz w:val="28"/>
          <w:szCs w:val="28"/>
        </w:rPr>
        <w:t xml:space="preserve">社会面视频图像质量参照《启东市公安局“超融合”运维考核系统》进行综合考核。</w:t>
      </w:r>
      <w:r/>
    </w:p>
    <w:p>
      <w:pPr>
        <w:ind w:firstLine="560"/>
        <w:spacing w:line="500" w:lineRule="exact"/>
        <w:rPr>
          <w:rFonts w:eastAsia="方正仿宋_GBK"/>
          <w:sz w:val="28"/>
          <w:szCs w:val="28"/>
        </w:rPr>
      </w:pPr>
      <w:r>
        <w:rPr>
          <w:rFonts w:hint="eastAsia" w:eastAsia="方正仿宋_GBK"/>
          <w:sz w:val="28"/>
          <w:szCs w:val="28"/>
        </w:rPr>
        <w:t xml:space="preserve">2、三标包：每日需做好巡检工作，并记录在册，每少1次扣款100元，弄虚作假的每次扣款1000元，因设备故障未及时修复，造成重大影响的，每次扣款10000元。</w:t>
      </w:r>
      <w:r/>
    </w:p>
    <w:p>
      <w:pPr>
        <w:ind w:firstLine="560"/>
        <w:spacing w:line="500" w:lineRule="exact"/>
        <w:rPr>
          <w:rFonts w:eastAsia="方正仿宋_GBK"/>
          <w:sz w:val="28"/>
          <w:szCs w:val="28"/>
        </w:rPr>
      </w:pPr>
      <w:r>
        <w:rPr>
          <w:rFonts w:hint="eastAsia" w:eastAsia="方正仿宋_GBK"/>
          <w:sz w:val="28"/>
          <w:szCs w:val="28"/>
        </w:rPr>
        <w:t xml:space="preserve">3、共性要求：</w:t>
      </w:r>
      <w:r/>
    </w:p>
    <w:p>
      <w:pPr>
        <w:ind w:firstLine="560"/>
        <w:spacing w:line="500" w:lineRule="exact"/>
        <w:rPr>
          <w:rFonts w:eastAsia="方正仿宋_GBK"/>
          <w:sz w:val="28"/>
          <w:szCs w:val="28"/>
        </w:rPr>
      </w:pPr>
      <w:r>
        <w:rPr>
          <w:rFonts w:hint="eastAsia" w:eastAsia="方正仿宋_GBK"/>
          <w:sz w:val="28"/>
          <w:szCs w:val="28"/>
        </w:rPr>
        <w:t xml:space="preserve">各标包中标供应商须在规定时间内完成初验工作，每延时1日，扣款200元。</w:t>
      </w:r>
      <w:r/>
    </w:p>
    <w:p>
      <w:pPr>
        <w:ind w:firstLine="560"/>
        <w:spacing w:line="500" w:lineRule="exact"/>
        <w:rPr>
          <w:rFonts w:eastAsia="方正仿宋_GBK"/>
          <w:sz w:val="28"/>
          <w:szCs w:val="28"/>
        </w:rPr>
      </w:pPr>
      <w:r>
        <w:rPr>
          <w:rFonts w:hint="eastAsia" w:eastAsia="方正仿宋_GBK"/>
          <w:sz w:val="28"/>
          <w:szCs w:val="28"/>
        </w:rPr>
        <w:t xml:space="preserve">中标供应商应在中标通知书公示之后一个月内，提供项目相关人员身份信息，由采购方进行人员背景审查，并签订保密协议，未能完成的，扣1000元/日。</w:t>
      </w:r>
      <w:r/>
    </w:p>
    <w:p>
      <w:pPr>
        <w:ind w:firstLine="560"/>
        <w:spacing w:line="500" w:lineRule="exact"/>
        <w:rPr>
          <w:rFonts w:eastAsia="方正仿宋_GBK"/>
          <w:sz w:val="28"/>
          <w:szCs w:val="28"/>
        </w:rPr>
      </w:pPr>
      <w:r>
        <w:rPr>
          <w:rFonts w:hint="eastAsia" w:eastAsia="方正仿宋_GBK"/>
          <w:sz w:val="28"/>
          <w:szCs w:val="28"/>
        </w:rPr>
        <w:t xml:space="preserve">维护响应人员必须保持24小时通信畅通，如发生电话关机、不接电话、不回电话的情况，每发生一次扣款500元。</w:t>
      </w:r>
      <w:r/>
    </w:p>
    <w:p>
      <w:pPr>
        <w:ind w:firstLine="560"/>
        <w:spacing w:line="500" w:lineRule="exact"/>
        <w:rPr>
          <w:rFonts w:eastAsia="方正仿宋_GBK"/>
          <w:sz w:val="28"/>
          <w:szCs w:val="28"/>
        </w:rPr>
      </w:pPr>
      <w:r>
        <w:rPr>
          <w:rFonts w:hint="eastAsia" w:eastAsia="方正仿宋_GBK"/>
          <w:sz w:val="28"/>
          <w:szCs w:val="28"/>
        </w:rPr>
        <w:t xml:space="preserve">应急情况下，维护人员应无条件听从采购方安排进行紧急保障、维护，如违反本条规定，每次扣款2000元。</w:t>
      </w:r>
      <w:r/>
    </w:p>
    <w:p>
      <w:pPr>
        <w:ind w:firstLine="560"/>
        <w:spacing w:line="500" w:lineRule="exact"/>
        <w:rPr>
          <w:rFonts w:eastAsia="方正仿宋_GBK"/>
          <w:sz w:val="28"/>
          <w:szCs w:val="28"/>
        </w:rPr>
      </w:pPr>
      <w:r>
        <w:rPr>
          <w:rFonts w:hint="eastAsia" w:eastAsia="方正仿宋_GBK"/>
          <w:sz w:val="28"/>
          <w:szCs w:val="28"/>
        </w:rPr>
        <w:t xml:space="preserve">未能提供全程驻场服务的，按500元/人/日进行扣款。</w:t>
      </w:r>
      <w:r/>
    </w:p>
    <w:p>
      <w:pPr>
        <w:ind w:firstLine="560"/>
        <w:spacing w:line="500" w:lineRule="exact"/>
        <w:rPr>
          <w:rFonts w:eastAsia="方正仿宋_GBK"/>
          <w:sz w:val="28"/>
          <w:szCs w:val="28"/>
        </w:rPr>
      </w:pPr>
      <w:r>
        <w:rPr>
          <w:rFonts w:hint="eastAsia" w:eastAsia="方正仿宋_GBK"/>
          <w:sz w:val="28"/>
          <w:szCs w:val="28"/>
        </w:rPr>
        <w:t xml:space="preserve">未能在规定的时间内完成指定的工作，按1000元/日/次扣款。</w:t>
      </w:r>
      <w:r/>
    </w:p>
    <w:p>
      <w:pPr>
        <w:ind w:firstLine="560"/>
        <w:spacing w:line="500" w:lineRule="exact"/>
        <w:rPr>
          <w:rFonts w:eastAsia="方正仿宋_GBK"/>
          <w:sz w:val="28"/>
          <w:szCs w:val="28"/>
        </w:rPr>
      </w:pPr>
      <w:r>
        <w:rPr>
          <w:rFonts w:hint="eastAsia" w:eastAsia="方正仿宋_GBK"/>
          <w:sz w:val="28"/>
          <w:szCs w:val="28"/>
        </w:rPr>
        <w:t xml:space="preserve">驻场人员未经采购方同意，擅自更换，扣5000元/次。</w:t>
      </w:r>
      <w:r/>
    </w:p>
    <w:p>
      <w:pPr>
        <w:ind w:firstLine="560"/>
        <w:spacing w:line="500" w:lineRule="exact"/>
        <w:rPr>
          <w:rFonts w:eastAsia="方正仿宋_GBK"/>
          <w:sz w:val="28"/>
          <w:szCs w:val="28"/>
        </w:rPr>
      </w:pPr>
      <w:r>
        <w:rPr>
          <w:rFonts w:hint="eastAsia" w:eastAsia="方正仿宋_GBK"/>
          <w:sz w:val="28"/>
          <w:szCs w:val="28"/>
        </w:rPr>
        <w:t xml:space="preserve">发生安全事故、被上级通报的网络违规、视频图像或截图外泄造成影响的，一经查实，扣款3万元。</w:t>
      </w:r>
      <w:bookmarkEnd w:id="159"/>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四、报价要求：</w:t>
      </w:r>
      <w:r/>
    </w:p>
    <w:p>
      <w:pPr>
        <w:ind w:firstLine="560"/>
        <w:spacing w:line="500" w:lineRule="exact"/>
        <w:rPr>
          <w:rFonts w:ascii="方正黑体_GBK" w:hAnsi="方正黑体_GBK" w:eastAsia="方正黑体_GBK" w:cs="方正黑体_GBK"/>
          <w:sz w:val="28"/>
          <w:szCs w:val="28"/>
          <w:highlight w:val="yellow"/>
        </w:rPr>
      </w:pPr>
      <w:r>
        <w:rPr>
          <w:rFonts w:hint="eastAsia" w:ascii="仿宋" w:hAnsi="仿宋" w:eastAsia="仿宋" w:cs="仿宋"/>
          <w:bCs/>
          <w:sz w:val="28"/>
          <w:szCs w:val="28"/>
        </w:rPr>
        <w:t xml:space="preserve">本项目投标报价应包括招标文件所确定的招标范围内的全部工作内容，</w:t>
      </w:r>
      <w:bookmarkStart w:id="160" w:name="OLE_LINK55"/>
      <w:r/>
      <w:bookmarkStart w:id="161" w:name="OLE_LINK56"/>
      <w:r>
        <w:rPr>
          <w:rFonts w:hint="eastAsia" w:ascii="仿宋" w:hAnsi="仿宋" w:eastAsia="仿宋" w:cs="仿宋"/>
          <w:bCs/>
          <w:sz w:val="28"/>
          <w:szCs w:val="28"/>
        </w:rPr>
        <w:t xml:space="preserve">包括租赁费、人工费、交通费、运输、装卸、保险、税金、安装、调试及售后服务等一切费用。投标人自行考虑包含在投标报价内，并考虑了应由供应商承担的义务、责任和风险所存在的费用</w:t>
      </w:r>
      <w:bookmarkEnd w:id="160"/>
      <w:r/>
      <w:bookmarkEnd w:id="161"/>
      <w:r>
        <w:rPr>
          <w:rFonts w:hint="eastAsia" w:ascii="仿宋" w:hAnsi="仿宋" w:eastAsia="仿宋" w:cs="仿宋"/>
          <w:bCs/>
          <w:sz w:val="28"/>
          <w:szCs w:val="28"/>
        </w:rPr>
        <w:t xml:space="preserve">。</w:t>
      </w:r>
      <w:r/>
    </w:p>
    <w:p>
      <w:pPr>
        <w:ind w:firstLine="600"/>
        <w:spacing w:line="5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备注：</w:t>
      </w:r>
      <w:r/>
    </w:p>
    <w:p>
      <w:pPr>
        <w:numPr>
          <w:ilvl w:val="0"/>
          <w:numId w:val="2"/>
        </w:numPr>
        <w:ind w:firstLine="600"/>
        <w:spacing w:line="5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项目采购设备需经启东市市场监督管理局抽样检测并出具合格报告或相关证明文件，此为验收前置条件。</w:t>
      </w:r>
      <w:r/>
    </w:p>
    <w:p>
      <w:pPr>
        <w:ind w:firstLine="560"/>
        <w:spacing w:line="500" w:lineRule="exact"/>
        <w:rPr>
          <w:rFonts w:ascii="方正黑体_GBK" w:hAnsi="方正黑体_GBK" w:eastAsia="方正黑体_GBK" w:cs="方正黑体_GBK"/>
          <w:sz w:val="28"/>
          <w:szCs w:val="28"/>
          <w:highlight w:val="yellow"/>
        </w:rPr>
      </w:pPr>
      <w:r>
        <w:rPr>
          <w:rFonts w:hint="eastAsia" w:ascii="仿宋" w:hAnsi="仿宋" w:eastAsia="仿宋" w:cs="仿宋"/>
          <w:bCs/>
          <w:color w:val="000000"/>
          <w:sz w:val="28"/>
          <w:szCs w:val="28"/>
        </w:rPr>
        <w:t xml:space="preserve">2、投标保证金：按省财政厅规定，免予收取；</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1.本项目对采购本国产品给予政策支持，具体内容见招标文件“第四部分 开标和评标”。</w:t>
      </w:r>
      <w:r/>
    </w:p>
    <w:p>
      <w:pPr>
        <w:ind w:firstLine="560"/>
        <w:spacing w:line="500" w:lineRule="exact"/>
        <w:rPr>
          <w:rFonts w:eastAsia="方正仿宋_GBK"/>
          <w:sz w:val="28"/>
          <w:szCs w:val="28"/>
        </w:rPr>
      </w:pPr>
      <w:r>
        <w:rPr>
          <w:rFonts w:eastAsia="方正仿宋_GBK"/>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w:t>
      </w:r>
      <w:r>
        <w:rPr>
          <w:rFonts w:ascii="方正黑体_GBK" w:hAnsi="方正黑体_GBK" w:eastAsia="方正黑体_GBK" w:cs="方正黑体_GBK"/>
          <w:sz w:val="28"/>
          <w:szCs w:val="28"/>
        </w:rPr>
        <w:t xml:space="preserve">、采购标的中的核心产品</w:t>
      </w:r>
      <w:r>
        <w:rPr>
          <w:rFonts w:hint="eastAsia" w:ascii="方正黑体_GBK" w:hAnsi="方正黑体_GBK" w:eastAsia="方正黑体_GBK" w:cs="方正黑体_GBK"/>
          <w:sz w:val="28"/>
          <w:szCs w:val="28"/>
        </w:rPr>
        <w:t xml:space="preserve">及主要标的</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1、核心产品</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一标包：400万像素全彩相机，二标包：400万像素全彩相机，三标包：900万像素环保抓拍单元。</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2、主要标的</w:t>
      </w:r>
      <w:r/>
    </w:p>
    <w:p>
      <w:pPr>
        <w:ind w:firstLine="560"/>
        <w:spacing w:line="500" w:lineRule="exact"/>
        <w:rPr>
          <w:rFonts w:ascii="仿宋" w:hAnsi="仿宋" w:eastAsia="仿宋" w:cs="仿宋"/>
          <w:bCs/>
          <w:sz w:val="28"/>
          <w:szCs w:val="28"/>
        </w:rPr>
      </w:pPr>
      <w:r>
        <w:rPr>
          <w:rFonts w:hint="eastAsia" w:ascii="仿宋" w:hAnsi="仿宋" w:eastAsia="仿宋" w:cs="仿宋"/>
          <w:bCs/>
          <w:sz w:val="28"/>
          <w:szCs w:val="28"/>
        </w:rPr>
        <w:t xml:space="preserve">一标包：400万像素全彩相机、800万像素全结构化相机，二标包：400万像素全彩相机、800万像素全结构化相机，三标包：900万像素环保抓拍单元、大数据服务器。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w:t>
      </w:r>
      <w:r>
        <w:rPr>
          <w:rFonts w:ascii="方正黑体_GBK" w:hAnsi="方正黑体_GBK" w:eastAsia="方正黑体_GBK" w:cs="方正黑体_GBK"/>
          <w:sz w:val="28"/>
          <w:szCs w:val="28"/>
        </w:rPr>
        <w:t xml:space="preserve">、付款方式</w:t>
      </w:r>
      <w:r/>
    </w:p>
    <w:p>
      <w:pPr>
        <w:pStyle w:val="963"/>
        <w:ind w:left="0" w:firstLine="560"/>
        <w:spacing w:line="440" w:lineRule="exact"/>
        <w:rPr>
          <w:rFonts w:ascii="仿宋" w:hAnsi="仿宋" w:eastAsia="仿宋" w:cs="仿宋"/>
          <w:bCs/>
          <w:sz w:val="28"/>
          <w:szCs w:val="28"/>
        </w:rPr>
      </w:pPr>
      <w:r>
        <w:rPr>
          <w:rFonts w:hint="eastAsia" w:ascii="仿宋" w:hAnsi="仿宋" w:eastAsia="仿宋" w:cs="仿宋"/>
          <w:bCs/>
          <w:sz w:val="28"/>
          <w:szCs w:val="28"/>
        </w:rPr>
        <w:t xml:space="preserve">1、一标包、二标包：硬件设备基本到位，经启东市市场监督管理局抽验合格并出具相关证明后，支付合同款的40%，项目验收合格后支付合同款的35%，余款经审计后根据考核情况分五年支付，每年实际支付款=（决算审计款-合同款×75%）÷5–考核扣款。</w:t>
      </w:r>
      <w:r/>
    </w:p>
    <w:p>
      <w:pPr>
        <w:ind w:firstLine="600"/>
        <w:spacing w:line="500" w:lineRule="exact"/>
        <w:rPr>
          <w:rFonts w:ascii="仿宋" w:hAnsi="仿宋" w:eastAsia="仿宋" w:cs="仿宋"/>
          <w:bCs/>
          <w:sz w:val="28"/>
          <w:szCs w:val="28"/>
        </w:rPr>
      </w:pPr>
      <w:r>
        <w:rPr>
          <w:rFonts w:hint="eastAsia" w:ascii="仿宋" w:hAnsi="仿宋" w:eastAsia="仿宋" w:cs="仿宋"/>
          <w:bCs/>
          <w:sz w:val="28"/>
          <w:szCs w:val="28"/>
        </w:rPr>
        <w:t xml:space="preserve">三标包：项目验收合格后支付合同款的40%，次年支付至合同审计款的80%，余款经审计后根据考核情况分四年支付，每年实际支付款=（决算审计款-合同款×80%）÷4–考核扣款。</w:t>
      </w:r>
      <w:r/>
    </w:p>
    <w:p>
      <w:pPr>
        <w:numPr>
          <w:ilvl w:val="0"/>
          <w:numId w:val="2"/>
        </w:numPr>
        <w:ind w:firstLine="600"/>
        <w:spacing w:line="5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项目采购设备需经启东市市场监督管理局抽样检测并出具合格报告或相关证明文件，此为验收前置条件。</w:t>
      </w:r>
      <w:r/>
    </w:p>
    <w:p>
      <w:pPr>
        <w:ind w:firstLine="560"/>
        <w:spacing w:line="500" w:lineRule="exact"/>
        <w:rPr>
          <w:rFonts w:eastAsia="方正仿宋_GBK"/>
          <w:sz w:val="28"/>
          <w:szCs w:val="28"/>
        </w:rPr>
      </w:pPr>
      <w:r>
        <w:rPr>
          <w:rFonts w:eastAsia="方正仿宋_GBK"/>
          <w:sz w:val="28"/>
          <w:szCs w:val="28"/>
        </w:rPr>
        <w:t xml:space="preserve">（备注：对满足合同支付条件的，采购人应当自收到发票后30日内支付资金）</w:t>
      </w:r>
      <w:r/>
    </w:p>
    <w:p>
      <w:pPr>
        <w:ind w:firstLine="560"/>
        <w:spacing w:line="500" w:lineRule="exact"/>
        <w:rPr>
          <w:rFonts w:eastAsia="方正仿宋_GBK"/>
          <w:sz w:val="28"/>
          <w:szCs w:val="28"/>
        </w:rPr>
      </w:pPr>
      <w:r>
        <w:rPr>
          <w:rFonts w:hint="eastAsia" w:ascii="方正黑体_GBK" w:hAnsi="方正黑体_GBK" w:eastAsia="方正黑体_GBK" w:cs="方正黑体_GBK"/>
          <w:sz w:val="28"/>
          <w:szCs w:val="28"/>
        </w:rPr>
        <w:t xml:space="preserve">八</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九、本项目三个标包均不接受进口产品投标</w:t>
      </w:r>
      <w:bookmarkEnd w:id="5"/>
      <w:r/>
      <w:bookmarkEnd w:id="6"/>
      <w:r/>
      <w:bookmarkEnd w:id="7"/>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十、合同条款</w:t>
      </w:r>
      <w:r/>
    </w:p>
    <w:p>
      <w:pPr>
        <w:ind w:firstLine="480"/>
        <w:spacing w:line="360" w:lineRule="exact"/>
        <w:rPr>
          <w:rFonts w:ascii="仿宋" w:hAnsi="仿宋" w:eastAsia="仿宋" w:cs="仿宋"/>
          <w:sz w:val="24"/>
          <w:u w:val="single"/>
        </w:rPr>
      </w:pPr>
      <w:r>
        <w:rPr>
          <w:rFonts w:hint="eastAsia" w:ascii="仿宋" w:hAnsi="仿宋" w:eastAsia="仿宋" w:cs="仿宋"/>
          <w:sz w:val="24"/>
        </w:rPr>
        <w:t xml:space="preserve">甲方（采购人）：</w:t>
      </w:r>
      <w:r>
        <w:rPr>
          <w:rFonts w:hint="eastAsia" w:ascii="仿宋" w:hAnsi="仿宋" w:eastAsia="仿宋" w:cs="仿宋"/>
          <w:sz w:val="24"/>
          <w:u w:val="single"/>
        </w:rPr>
        <w:t xml:space="preserve">                  </w:t>
      </w:r>
      <w:r>
        <w:rPr>
          <w:rFonts w:hint="eastAsia" w:ascii="仿宋" w:hAnsi="仿宋" w:eastAsia="仿宋" w:cs="仿宋"/>
          <w:sz w:val="24"/>
        </w:rPr>
        <w:t xml:space="preserve">     签订地点：</w:t>
      </w:r>
      <w:r>
        <w:rPr>
          <w:rFonts w:hint="eastAsia" w:ascii="仿宋" w:hAnsi="仿宋" w:eastAsia="仿宋" w:cs="仿宋"/>
          <w:sz w:val="24"/>
          <w:u w:val="single"/>
        </w:rPr>
        <w:t xml:space="preserve">                                </w:t>
      </w:r>
      <w:r/>
    </w:p>
    <w:p>
      <w:pPr>
        <w:spacing w:line="360" w:lineRule="exact"/>
        <w:rPr>
          <w:rFonts w:ascii="仿宋" w:hAnsi="仿宋" w:eastAsia="仿宋" w:cs="仿宋"/>
          <w:sz w:val="24"/>
        </w:rPr>
      </w:pPr>
      <w:r>
        <w:rPr>
          <w:rFonts w:hint="eastAsia" w:ascii="仿宋" w:hAnsi="仿宋" w:eastAsia="仿宋" w:cs="仿宋"/>
          <w:sz w:val="24"/>
        </w:rPr>
        <w:t xml:space="preserve">    乙方（中标人）：</w:t>
      </w:r>
      <w:r>
        <w:rPr>
          <w:rFonts w:hint="eastAsia" w:ascii="仿宋" w:hAnsi="仿宋" w:eastAsia="仿宋" w:cs="仿宋"/>
          <w:sz w:val="24"/>
          <w:u w:val="single"/>
        </w:rPr>
        <w:t xml:space="preserve">                    </w:t>
      </w:r>
      <w:r>
        <w:rPr>
          <w:rFonts w:hint="eastAsia" w:ascii="仿宋" w:hAnsi="仿宋" w:eastAsia="仿宋" w:cs="仿宋"/>
          <w:sz w:val="24"/>
        </w:rPr>
        <w:t xml:space="preserve">      签订时间：</w:t>
      </w:r>
      <w:r>
        <w:rPr>
          <w:rFonts w:hint="eastAsia" w:ascii="仿宋" w:hAnsi="仿宋" w:eastAsia="仿宋" w:cs="仿宋"/>
          <w:sz w:val="24"/>
          <w:u w:val="single"/>
        </w:rPr>
        <w:t xml:space="preserve">     </w:t>
      </w:r>
      <w:r>
        <w:rPr>
          <w:rFonts w:hint="eastAsia" w:ascii="仿宋" w:hAnsi="仿宋" w:eastAsia="仿宋" w:cs="仿宋"/>
          <w:sz w:val="24"/>
        </w:rPr>
        <w:t xml:space="preserve">年</w:t>
      </w:r>
      <w:r>
        <w:rPr>
          <w:rFonts w:hint="eastAsia" w:ascii="仿宋" w:hAnsi="仿宋" w:eastAsia="仿宋" w:cs="仿宋"/>
          <w:sz w:val="24"/>
          <w:u w:val="single"/>
        </w:rPr>
        <w:t xml:space="preserve">   </w:t>
      </w:r>
      <w:r>
        <w:rPr>
          <w:rFonts w:hint="eastAsia" w:ascii="仿宋" w:hAnsi="仿宋" w:eastAsia="仿宋" w:cs="仿宋"/>
          <w:sz w:val="24"/>
        </w:rPr>
        <w:t xml:space="preserve">月</w:t>
      </w:r>
      <w:r>
        <w:rPr>
          <w:rFonts w:hint="eastAsia" w:ascii="仿宋" w:hAnsi="仿宋" w:eastAsia="仿宋" w:cs="仿宋"/>
          <w:sz w:val="24"/>
          <w:u w:val="single"/>
        </w:rPr>
        <w:t xml:space="preserve">   </w:t>
      </w:r>
      <w:r>
        <w:rPr>
          <w:rFonts w:hint="eastAsia" w:ascii="仿宋" w:hAnsi="仿宋" w:eastAsia="仿宋" w:cs="仿宋"/>
          <w:sz w:val="24"/>
        </w:rPr>
        <w:t xml:space="preserve">日</w:t>
      </w:r>
      <w:r/>
    </w:p>
    <w:p>
      <w:pPr>
        <w:ind w:firstLine="420"/>
        <w:spacing w:line="360" w:lineRule="exact"/>
        <w:rPr>
          <w:rFonts w:ascii="仿宋" w:hAnsi="仿宋" w:eastAsia="仿宋" w:cs="仿宋"/>
          <w:sz w:val="24"/>
        </w:rPr>
      </w:pPr>
      <w:r>
        <w:rPr>
          <w:rFonts w:hint="eastAsia" w:ascii="仿宋" w:hAnsi="仿宋" w:eastAsia="仿宋" w:cs="仿宋"/>
          <w:sz w:val="24"/>
        </w:rPr>
        <w:t xml:space="preserve">根据《中华人民共和国政府采购法》、《中华人民共和国民法典》等有关政府采购法规，甲乙双方按照启东市社会治安防控体系建设第九期</w:t>
      </w:r>
      <w:r>
        <w:rPr>
          <w:rFonts w:hint="eastAsia" w:ascii="仿宋" w:hAnsi="仿宋" w:eastAsia="仿宋" w:cs="仿宋"/>
          <w:sz w:val="24"/>
          <w:u w:val="single"/>
        </w:rPr>
        <w:t xml:space="preserve">项目（  标包）</w:t>
      </w:r>
      <w:r>
        <w:rPr>
          <w:rFonts w:hint="eastAsia" w:ascii="仿宋" w:hAnsi="仿宋" w:eastAsia="仿宋" w:cs="仿宋"/>
          <w:sz w:val="24"/>
        </w:rPr>
        <w:t xml:space="preserve">（</w:t>
      </w:r>
      <w:r>
        <w:rPr>
          <w:rFonts w:hint="eastAsia" w:ascii="仿宋" w:hAnsi="仿宋" w:eastAsia="仿宋" w:cs="仿宋"/>
          <w:sz w:val="24"/>
          <w:u w:val="single"/>
        </w:rPr>
        <w:t xml:space="preserve">项目编号：  </w:t>
      </w:r>
      <w:r>
        <w:rPr>
          <w:rFonts w:hint="eastAsia" w:ascii="仿宋" w:hAnsi="仿宋" w:eastAsia="仿宋" w:cs="仿宋"/>
          <w:sz w:val="24"/>
        </w:rPr>
        <w:t xml:space="preserve">）采购结果，签订本合同。</w:t>
      </w:r>
      <w:r/>
    </w:p>
    <w:p>
      <w:pPr>
        <w:ind w:firstLine="420"/>
        <w:spacing w:line="360" w:lineRule="exact"/>
        <w:rPr>
          <w:rFonts w:ascii="仿宋" w:hAnsi="仿宋" w:eastAsia="仿宋" w:cs="仿宋"/>
          <w:b/>
          <w:bCs/>
          <w:sz w:val="24"/>
        </w:rPr>
      </w:pPr>
      <w:r>
        <w:rPr>
          <w:rFonts w:hint="eastAsia" w:ascii="仿宋" w:hAnsi="仿宋" w:eastAsia="仿宋" w:cs="仿宋"/>
          <w:b/>
          <w:bCs/>
          <w:sz w:val="24"/>
        </w:rPr>
        <w:t xml:space="preserve">一、建设内容</w:t>
      </w:r>
      <w:r/>
    </w:p>
    <w:p>
      <w:pPr>
        <w:ind w:firstLine="420"/>
        <w:spacing w:line="360" w:lineRule="exact"/>
        <w:rPr>
          <w:rFonts w:ascii="仿宋" w:hAnsi="仿宋" w:eastAsia="仿宋" w:cs="仿宋"/>
          <w:sz w:val="24"/>
        </w:rPr>
      </w:pPr>
      <w:r>
        <w:rPr>
          <w:rFonts w:hint="eastAsia" w:ascii="仿宋" w:hAnsi="仿宋" w:eastAsia="仿宋" w:cs="仿宋"/>
          <w:sz w:val="24"/>
        </w:rPr>
        <w:t xml:space="preserve">按招标文件要求。</w:t>
      </w:r>
      <w:r/>
    </w:p>
    <w:p>
      <w:pPr>
        <w:ind w:firstLine="482"/>
        <w:spacing w:line="400" w:lineRule="exact"/>
        <w:rPr>
          <w:rFonts w:ascii="仿宋" w:hAnsi="仿宋" w:eastAsia="仿宋" w:cs="仿宋"/>
          <w:b/>
          <w:sz w:val="24"/>
        </w:rPr>
      </w:pPr>
      <w:r>
        <w:rPr>
          <w:rFonts w:hint="eastAsia" w:ascii="仿宋" w:hAnsi="仿宋" w:eastAsia="仿宋" w:cs="仿宋"/>
          <w:b/>
          <w:sz w:val="24"/>
        </w:rPr>
        <w:t xml:space="preserve">二、供货、安装、服务周期、地点：</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1、供货与安装周期：</w:t>
      </w:r>
      <w:r>
        <w:rPr>
          <w:rFonts w:hint="eastAsia" w:ascii="仿宋" w:hAnsi="仿宋" w:eastAsia="仿宋" w:cs="仿宋"/>
          <w:sz w:val="24"/>
        </w:rPr>
        <w:t xml:space="preserve">按招标文件要求。</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2、本项目服务期为5年，自验收合格之日起开始计算。</w:t>
      </w:r>
      <w:r/>
    </w:p>
    <w:p>
      <w:pPr>
        <w:ind w:firstLine="480"/>
        <w:spacing w:line="400" w:lineRule="exact"/>
        <w:rPr>
          <w:rFonts w:ascii="仿宋" w:hAnsi="仿宋" w:eastAsia="仿宋" w:cs="仿宋"/>
          <w:bCs/>
          <w:sz w:val="24"/>
        </w:rPr>
      </w:pPr>
      <w:r>
        <w:rPr>
          <w:rFonts w:hint="eastAsia" w:ascii="仿宋" w:hAnsi="仿宋" w:eastAsia="仿宋" w:cs="仿宋"/>
          <w:bCs/>
          <w:sz w:val="24"/>
        </w:rPr>
        <w:t xml:space="preserve">3、供货地点：甲方指定地点。</w:t>
      </w:r>
      <w:r/>
    </w:p>
    <w:p>
      <w:pPr>
        <w:ind w:firstLine="420"/>
        <w:spacing w:line="400" w:lineRule="exact"/>
        <w:rPr>
          <w:rFonts w:ascii="仿宋" w:hAnsi="仿宋" w:eastAsia="仿宋" w:cs="仿宋"/>
          <w:b/>
          <w:bCs/>
          <w:sz w:val="24"/>
        </w:rPr>
      </w:pPr>
      <w:r>
        <w:rPr>
          <w:rFonts w:hint="eastAsia" w:ascii="仿宋" w:hAnsi="仿宋" w:eastAsia="仿宋" w:cs="仿宋"/>
          <w:b/>
          <w:bCs/>
          <w:sz w:val="24"/>
        </w:rPr>
        <w:t xml:space="preserve">三、考核要求 </w:t>
      </w:r>
      <w:r/>
    </w:p>
    <w:p>
      <w:pPr>
        <w:ind w:firstLine="420"/>
        <w:spacing w:line="400" w:lineRule="exact"/>
        <w:rPr>
          <w:rFonts w:ascii="仿宋" w:hAnsi="仿宋" w:eastAsia="仿宋" w:cs="仿宋"/>
          <w:sz w:val="24"/>
        </w:rPr>
      </w:pPr>
      <w:r>
        <w:rPr>
          <w:rFonts w:hint="eastAsia" w:ascii="仿宋" w:hAnsi="仿宋" w:eastAsia="仿宋" w:cs="仿宋"/>
          <w:sz w:val="24"/>
        </w:rPr>
        <w:t xml:space="preserve">按招标文件要求。</w:t>
      </w:r>
      <w:r/>
    </w:p>
    <w:p>
      <w:pPr>
        <w:ind w:firstLine="420"/>
        <w:spacing w:line="400" w:lineRule="exact"/>
        <w:rPr>
          <w:rFonts w:ascii="仿宋" w:hAnsi="仿宋" w:eastAsia="仿宋" w:cs="仿宋"/>
          <w:sz w:val="24"/>
        </w:rPr>
      </w:pPr>
      <w:r>
        <w:rPr>
          <w:rFonts w:hint="eastAsia" w:ascii="仿宋" w:hAnsi="仿宋" w:eastAsia="仿宋" w:cs="仿宋"/>
          <w:b/>
          <w:bCs/>
          <w:sz w:val="24"/>
        </w:rPr>
        <w:t xml:space="preserve">四、质量要求：</w:t>
      </w:r>
      <w:r>
        <w:rPr>
          <w:rFonts w:hint="eastAsia" w:ascii="仿宋" w:hAnsi="仿宋" w:eastAsia="仿宋" w:cs="仿宋"/>
          <w:sz w:val="24"/>
        </w:rPr>
        <w:t xml:space="preserve">产品必须是全新、未使用过的原装合格正品(包括零部件)，完全符合采购文件规定的质量、规格和性能的要求，达到国家或行业规定的标准。实行生产许可证制度的，应提供生产许可证；属于国家强制认证的产品，必须通过认证。</w:t>
      </w:r>
      <w:r/>
    </w:p>
    <w:p>
      <w:pPr>
        <w:ind w:firstLine="420"/>
        <w:spacing w:line="400" w:lineRule="exact"/>
        <w:rPr>
          <w:rFonts w:ascii="仿宋" w:hAnsi="仿宋" w:eastAsia="仿宋" w:cs="仿宋"/>
          <w:b/>
          <w:bCs/>
          <w:sz w:val="24"/>
        </w:rPr>
      </w:pPr>
      <w:r>
        <w:rPr>
          <w:rFonts w:hint="eastAsia" w:ascii="仿宋" w:hAnsi="仿宋" w:eastAsia="仿宋" w:cs="仿宋"/>
          <w:b/>
          <w:bCs/>
          <w:sz w:val="24"/>
        </w:rPr>
        <w:t xml:space="preserve">五、质保、售后服务要求：</w:t>
      </w:r>
      <w:r/>
    </w:p>
    <w:p>
      <w:pPr>
        <w:ind w:firstLine="420"/>
        <w:spacing w:line="400" w:lineRule="exact"/>
        <w:rPr>
          <w:rFonts w:ascii="仿宋" w:hAnsi="仿宋" w:eastAsia="仿宋" w:cs="仿宋"/>
          <w:sz w:val="24"/>
        </w:rPr>
      </w:pPr>
      <w:r>
        <w:rPr>
          <w:rFonts w:hint="eastAsia" w:ascii="仿宋" w:hAnsi="仿宋" w:eastAsia="仿宋" w:cs="仿宋"/>
          <w:sz w:val="24"/>
        </w:rPr>
        <w:t xml:space="preserve">1、质保期限：自验收合格之日起五年（包括原厂质保和乙方免费维护，涉及软件升级五年内免费提供），原厂质保期高于乙方承诺质保期的，按原厂质保期计算。自验收合格报告签字确认日起，开始进入质保期。</w:t>
      </w:r>
      <w:r/>
    </w:p>
    <w:p>
      <w:pPr>
        <w:ind w:firstLine="420"/>
        <w:spacing w:line="400" w:lineRule="exact"/>
        <w:rPr>
          <w:rFonts w:ascii="仿宋" w:hAnsi="仿宋" w:eastAsia="仿宋" w:cs="仿宋"/>
          <w:sz w:val="24"/>
        </w:rPr>
      </w:pPr>
      <w:r>
        <w:rPr>
          <w:rFonts w:hint="eastAsia" w:ascii="仿宋" w:hAnsi="仿宋" w:eastAsia="仿宋" w:cs="仿宋"/>
          <w:sz w:val="24"/>
        </w:rPr>
        <w:t xml:space="preserve">2、售后服务要求：</w:t>
      </w:r>
      <w:r/>
    </w:p>
    <w:p>
      <w:pPr>
        <w:ind w:firstLine="420"/>
        <w:spacing w:line="400" w:lineRule="exact"/>
        <w:rPr>
          <w:rFonts w:ascii="仿宋" w:hAnsi="仿宋" w:eastAsia="仿宋" w:cs="仿宋"/>
          <w:sz w:val="24"/>
        </w:rPr>
      </w:pPr>
      <w:r>
        <w:rPr>
          <w:rFonts w:hint="eastAsia" w:ascii="仿宋" w:hAnsi="仿宋" w:eastAsia="仿宋" w:cs="仿宋"/>
          <w:sz w:val="24"/>
        </w:rPr>
        <w:t xml:space="preserve">（1）质保期内，产品因设计、材质、制造、装配生产缺陷而导致的质量故障及非因甲方人为因素而出现的质量问题，乙方须负责进行免费修理或更换。在质保期外出现故障，乙方应免费提供咨询、更换损坏的零件和维修服务。</w:t>
      </w:r>
      <w:r/>
    </w:p>
    <w:p>
      <w:pPr>
        <w:ind w:firstLine="420"/>
        <w:spacing w:line="400" w:lineRule="exact"/>
        <w:rPr>
          <w:rFonts w:ascii="仿宋" w:hAnsi="仿宋" w:eastAsia="仿宋" w:cs="仿宋"/>
          <w:sz w:val="24"/>
        </w:rPr>
      </w:pPr>
      <w:r>
        <w:rPr>
          <w:rFonts w:hint="eastAsia" w:ascii="仿宋" w:hAnsi="仿宋" w:eastAsia="仿宋" w:cs="仿宋"/>
          <w:sz w:val="24"/>
        </w:rPr>
        <w:t xml:space="preserve">（2）维修服务的响应时间：在质保期内发生故障时成交供应商在接到甲方故障通知后1小时内到达现场，24小时内解决问题，如不能及时解决应提供备用设备。所有设备自验收合格之日起质保期内凡出现故障，包换不低于同品牌同配置的新设备。</w:t>
      </w:r>
      <w:r/>
    </w:p>
    <w:p>
      <w:pPr>
        <w:ind w:firstLine="420"/>
        <w:spacing w:line="400" w:lineRule="exact"/>
        <w:rPr>
          <w:rFonts w:ascii="仿宋" w:hAnsi="仿宋" w:eastAsia="仿宋" w:cs="仿宋"/>
          <w:sz w:val="24"/>
        </w:rPr>
      </w:pPr>
      <w:r>
        <w:rPr>
          <w:rFonts w:hint="eastAsia" w:ascii="仿宋" w:hAnsi="仿宋" w:eastAsia="仿宋" w:cs="仿宋"/>
          <w:sz w:val="24"/>
        </w:rPr>
        <w:t xml:space="preserve">（3）乙方免费对甲方委派的相关人员进行使用操作等的技术培训。</w:t>
      </w:r>
      <w:r/>
    </w:p>
    <w:p>
      <w:pPr>
        <w:ind w:firstLine="420"/>
        <w:spacing w:line="400" w:lineRule="exact"/>
        <w:rPr>
          <w:rFonts w:ascii="仿宋" w:hAnsi="仿宋" w:eastAsia="仿宋" w:cs="仿宋"/>
          <w:b/>
          <w:bCs/>
          <w:sz w:val="24"/>
        </w:rPr>
      </w:pPr>
      <w:r>
        <w:rPr>
          <w:rFonts w:hint="eastAsia" w:ascii="仿宋" w:hAnsi="仿宋" w:eastAsia="仿宋" w:cs="仿宋"/>
          <w:b/>
          <w:bCs/>
          <w:sz w:val="24"/>
        </w:rPr>
        <w:t xml:space="preserve">六、项目验收要求</w:t>
      </w:r>
      <w:r/>
    </w:p>
    <w:p>
      <w:pPr>
        <w:ind w:firstLine="420"/>
        <w:spacing w:line="400" w:lineRule="exact"/>
        <w:rPr>
          <w:rFonts w:ascii="仿宋" w:hAnsi="仿宋" w:eastAsia="仿宋" w:cs="仿宋"/>
          <w:sz w:val="24"/>
        </w:rPr>
      </w:pPr>
      <w:r>
        <w:rPr>
          <w:rFonts w:hint="eastAsia" w:ascii="仿宋" w:hAnsi="仿宋" w:eastAsia="仿宋" w:cs="仿宋"/>
          <w:sz w:val="24"/>
        </w:rPr>
        <w:t xml:space="preserve">经启东市市场监督管理局组织抽样检验并取得合格的检测报告或有效的证</w:t>
      </w:r>
      <w:r>
        <w:rPr>
          <w:rFonts w:hint="eastAsia" w:ascii="仿宋" w:hAnsi="仿宋" w:eastAsia="仿宋" w:cs="仿宋"/>
          <w:sz w:val="24"/>
        </w:rPr>
        <w:t xml:space="preserve">明文件后方可安装，安装、调试完毕后，由乙方向甲方提出书面验收申请，甲方在收到乙方提交的书面项目验收申请后7个工作日内，将组织验收小组根据招标公告和供应商投标文件对乙方所供货物及相关产品合格证等进行验收。如验收时发现所供货物的数量、品牌、技术参数等与招投标文件不一致，或无有效产品合格证、存在安全隐患等，根据启东市市场监督管理局意见，甲方将向乙方签发整改通知书。乙方在收到整改通知书后七日内必须按要求整改，如再次不符合要求或逾期，甲方将视作项目整体验收不合格，终止合同履行，履约保证金不予退还并报相关部门进行处理。</w:t>
      </w:r>
      <w:r/>
    </w:p>
    <w:p>
      <w:pPr>
        <w:ind w:firstLine="420"/>
        <w:spacing w:line="400" w:lineRule="exact"/>
        <w:rPr>
          <w:rFonts w:ascii="仿宋" w:hAnsi="仿宋" w:eastAsia="仿宋" w:cs="仿宋"/>
          <w:sz w:val="24"/>
        </w:rPr>
      </w:pPr>
      <w:r>
        <w:rPr>
          <w:rFonts w:hint="eastAsia" w:ascii="仿宋" w:hAnsi="仿宋" w:eastAsia="仿宋" w:cs="仿宋"/>
          <w:sz w:val="24"/>
        </w:rPr>
        <w:t xml:space="preserve">若部分货物启东市市场监督管理局无法进行检测鉴定的，甲方保留在例行送检之外随机抽检及送检货物的权利，检验机构为通过国家计量认证（CMA资质）的第三方检测机构。对于产品的任何技术及质量不合格，乙方承担检测费用，甲方有权拒收、部分拒收、退货、部分退货直至解除本合同，并要求乙方支付因此造成的所有损失。破拆部件由乙方负责补齐且甲方不支付任何补偿费用。</w:t>
      </w:r>
      <w:r/>
    </w:p>
    <w:p>
      <w:pPr>
        <w:ind w:firstLine="420"/>
        <w:spacing w:line="400" w:lineRule="exact"/>
        <w:rPr>
          <w:rFonts w:ascii="仿宋" w:hAnsi="仿宋" w:eastAsia="仿宋" w:cs="仿宋"/>
          <w:b/>
          <w:bCs/>
          <w:sz w:val="24"/>
        </w:rPr>
      </w:pPr>
      <w:r>
        <w:rPr>
          <w:rFonts w:hint="eastAsia" w:ascii="仿宋" w:hAnsi="仿宋" w:eastAsia="仿宋" w:cs="仿宋"/>
          <w:b/>
          <w:bCs/>
          <w:sz w:val="24"/>
        </w:rPr>
        <w:t xml:space="preserve">七、其他事项:</w:t>
      </w:r>
      <w:r/>
    </w:p>
    <w:p>
      <w:pPr>
        <w:ind w:firstLine="420"/>
        <w:spacing w:line="400" w:lineRule="exact"/>
        <w:rPr>
          <w:rFonts w:ascii="仿宋" w:hAnsi="仿宋" w:eastAsia="仿宋" w:cs="仿宋"/>
          <w:sz w:val="24"/>
        </w:rPr>
      </w:pPr>
      <w:r>
        <w:rPr>
          <w:rFonts w:hint="eastAsia" w:ascii="仿宋" w:hAnsi="仿宋" w:eastAsia="仿宋" w:cs="仿宋"/>
          <w:sz w:val="24"/>
        </w:rPr>
        <w:t xml:space="preserve">1、在点位确认完毕后，乙方需提供设计方案，经甲方认可后，方可实施。</w:t>
      </w:r>
      <w:r/>
    </w:p>
    <w:p>
      <w:pPr>
        <w:ind w:firstLine="420"/>
        <w:spacing w:line="400" w:lineRule="exact"/>
        <w:rPr>
          <w:rFonts w:ascii="仿宋" w:hAnsi="仿宋" w:eastAsia="仿宋" w:cs="仿宋"/>
          <w:sz w:val="24"/>
        </w:rPr>
      </w:pPr>
      <w:r>
        <w:rPr>
          <w:rFonts w:hint="eastAsia" w:ascii="仿宋" w:hAnsi="仿宋" w:eastAsia="仿宋" w:cs="仿宋"/>
          <w:sz w:val="24"/>
        </w:rPr>
        <w:t xml:space="preserve">2、乙方应为施工作业人员配置必要的安全防护、劳动保护用品及作业工具，并督促员工遵守各项安全制度。工作中注重安全，若项目实施过程中发生任何安全事故或人身伤害，则均由乙方自行承担。</w:t>
      </w:r>
      <w:r/>
    </w:p>
    <w:p>
      <w:pPr>
        <w:ind w:firstLine="420"/>
        <w:spacing w:line="400" w:lineRule="exact"/>
        <w:rPr>
          <w:rFonts w:ascii="仿宋" w:hAnsi="仿宋" w:eastAsia="仿宋" w:cs="仿宋"/>
          <w:sz w:val="24"/>
        </w:rPr>
      </w:pPr>
      <w:r>
        <w:rPr>
          <w:rFonts w:hint="eastAsia" w:ascii="仿宋" w:hAnsi="仿宋" w:eastAsia="仿宋" w:cs="仿宋"/>
          <w:sz w:val="24"/>
        </w:rPr>
        <w:t xml:space="preserve">3、合同签订前，乙方应按照甲方要求提供企业及为本项目服务的工作人员相关信息，用于备案登记；且与甲方签订保密协议，并遵照执行。</w:t>
      </w:r>
      <w:r/>
    </w:p>
    <w:p>
      <w:pPr>
        <w:ind w:firstLine="420"/>
        <w:spacing w:line="400" w:lineRule="exact"/>
        <w:rPr>
          <w:rFonts w:ascii="仿宋" w:hAnsi="仿宋" w:eastAsia="仿宋" w:cs="仿宋"/>
          <w:sz w:val="24"/>
        </w:rPr>
      </w:pPr>
      <w:r>
        <w:rPr>
          <w:rFonts w:hint="eastAsia" w:ascii="仿宋" w:hAnsi="仿宋" w:eastAsia="仿宋" w:cs="仿宋"/>
          <w:sz w:val="24"/>
        </w:rPr>
        <w:t xml:space="preserve">4、项目在质保期内，使用权属于甲方，甲方有权使用与项目有关的所有设备。项目到期后，除数据专线外，所有设备皆属于甲方。</w:t>
      </w:r>
      <w:r/>
    </w:p>
    <w:p>
      <w:pPr>
        <w:ind w:firstLine="420"/>
        <w:spacing w:line="400" w:lineRule="exact"/>
        <w:rPr>
          <w:rFonts w:ascii="仿宋" w:hAnsi="仿宋" w:eastAsia="仿宋" w:cs="仿宋"/>
          <w:sz w:val="24"/>
        </w:rPr>
      </w:pPr>
      <w:r>
        <w:rPr>
          <w:rFonts w:hint="eastAsia" w:ascii="仿宋" w:hAnsi="仿宋" w:eastAsia="仿宋" w:cs="仿宋"/>
          <w:sz w:val="24"/>
        </w:rPr>
        <w:t xml:space="preserve">5、合同价为本项目服务期内所包含的一切费用，包括但不限于前期基础设施建设及建设过程中所有协调事项和费用（如开挖、埋管、立杆、防雷、接电、传输网络等项目）、全部货物及辅材、安装、调试、质保（易损件、备品备件、辅材等）、售后服务、培训、技术指导、咨询费、专家评审费、规费、税金、材料价格涨跌和国家政策性调整等风险，及服务使用中产生的各类费用（包括传输网络使用资费、开挖赔偿等）。</w:t>
      </w:r>
      <w:r/>
    </w:p>
    <w:p>
      <w:pPr>
        <w:pStyle w:val="964"/>
        <w:ind w:firstLine="482"/>
        <w:spacing w:line="440" w:lineRule="exact"/>
        <w:rPr>
          <w:rFonts w:ascii="仿宋" w:hAnsi="仿宋" w:eastAsia="仿宋" w:cs="仿宋"/>
          <w:sz w:val="24"/>
          <w:szCs w:val="24"/>
        </w:rPr>
        <w:outlineLvl w:val="0"/>
      </w:pPr>
      <w:r>
        <w:rPr>
          <w:rFonts w:hint="eastAsia" w:ascii="仿宋" w:hAnsi="仿宋" w:eastAsia="仿宋" w:cs="仿宋"/>
          <w:b/>
          <w:sz w:val="24"/>
          <w:szCs w:val="24"/>
        </w:rPr>
        <w:t xml:space="preserve">八、付款方式：</w:t>
      </w:r>
      <w:r>
        <w:rPr>
          <w:rFonts w:hint="eastAsia" w:ascii="仿宋" w:hAnsi="仿宋" w:eastAsia="仿宋" w:cs="仿宋"/>
          <w:sz w:val="24"/>
          <w:szCs w:val="24"/>
        </w:rPr>
        <w:t xml:space="preserve">按招标文件支付</w:t>
      </w:r>
      <w:r/>
    </w:p>
    <w:p>
      <w:pPr>
        <w:ind w:firstLine="241"/>
        <w:spacing w:line="440" w:lineRule="exact"/>
        <w:rPr>
          <w:rFonts w:ascii="仿宋" w:hAnsi="仿宋" w:eastAsia="仿宋" w:cs="仿宋"/>
          <w:b/>
          <w:bCs/>
          <w:sz w:val="24"/>
        </w:rPr>
      </w:pPr>
      <w:r>
        <w:rPr>
          <w:rFonts w:hint="eastAsia" w:ascii="仿宋" w:hAnsi="仿宋" w:eastAsia="仿宋" w:cs="仿宋"/>
          <w:b/>
          <w:bCs/>
          <w:sz w:val="24"/>
        </w:rPr>
        <w:t xml:space="preserve">  九、项目负责人：</w:t>
      </w:r>
      <w:r/>
    </w:p>
    <w:p>
      <w:pPr>
        <w:ind w:firstLine="480"/>
        <w:spacing w:line="440" w:lineRule="exact"/>
        <w:rPr>
          <w:rFonts w:ascii="仿宋" w:hAnsi="仿宋" w:eastAsia="仿宋" w:cs="仿宋"/>
          <w:sz w:val="24"/>
        </w:rPr>
      </w:pPr>
      <w:r>
        <w:rPr>
          <w:rFonts w:hint="eastAsia" w:ascii="仿宋" w:hAnsi="仿宋" w:eastAsia="仿宋" w:cs="仿宋"/>
          <w:sz w:val="24"/>
        </w:rPr>
        <w:t xml:space="preserve">乙方项目联系人员：</w:t>
      </w:r>
      <w:r>
        <w:rPr>
          <w:rFonts w:hint="eastAsia" w:ascii="仿宋" w:hAnsi="仿宋" w:eastAsia="仿宋" w:cs="仿宋"/>
          <w:sz w:val="24"/>
          <w:u w:val="single"/>
        </w:rPr>
        <w:t xml:space="preserve">                </w:t>
      </w:r>
      <w:r>
        <w:rPr>
          <w:rFonts w:hint="eastAsia" w:ascii="仿宋" w:hAnsi="仿宋" w:eastAsia="仿宋" w:cs="仿宋"/>
          <w:sz w:val="24"/>
        </w:rPr>
        <w:t xml:space="preserve">，联系号码：</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482"/>
        <w:spacing w:line="400" w:lineRule="exact"/>
        <w:rPr>
          <w:rFonts w:ascii="仿宋" w:hAnsi="仿宋" w:eastAsia="仿宋" w:cs="仿宋"/>
          <w:b/>
          <w:sz w:val="24"/>
        </w:rPr>
      </w:pPr>
      <w:r>
        <w:rPr>
          <w:rFonts w:hint="eastAsia" w:ascii="仿宋" w:hAnsi="仿宋" w:eastAsia="仿宋" w:cs="仿宋"/>
          <w:b/>
          <w:sz w:val="24"/>
        </w:rPr>
        <w:t xml:space="preserve">十、履约保证金：</w:t>
      </w:r>
      <w:r/>
    </w:p>
    <w:p>
      <w:pPr>
        <w:pStyle w:val="964"/>
        <w:ind w:firstLine="480"/>
        <w:spacing w:line="440" w:lineRule="exact"/>
        <w:rPr>
          <w:rFonts w:ascii="仿宋" w:hAnsi="仿宋" w:eastAsia="仿宋" w:cs="仿宋"/>
          <w:bCs/>
          <w:sz w:val="24"/>
          <w:szCs w:val="24"/>
        </w:rPr>
        <w:outlineLvl w:val="0"/>
      </w:pPr>
      <w:r>
        <w:rPr>
          <w:rFonts w:hint="eastAsia" w:ascii="仿宋" w:hAnsi="仿宋" w:eastAsia="仿宋" w:cs="仿宋"/>
          <w:bCs/>
          <w:sz w:val="24"/>
          <w:szCs w:val="24"/>
        </w:rPr>
        <w:t xml:space="preserve">1、本项目中标后的履约保证金为项目成交价的10%（ 元），</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的履约保证金须在成交通知书发出之日起至合同签订前汇入甲方账户（应当以数字人民币、支票、汇票或者金融机构、担保机构出具的保函等非现金形式提交），</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凭中标通知书与采购单位签订合同。超期或未有协商，则视为自动放弃成交资格。</w:t>
      </w:r>
      <w:r/>
    </w:p>
    <w:p>
      <w:pPr>
        <w:pStyle w:val="964"/>
        <w:ind w:firstLine="480"/>
        <w:spacing w:line="440" w:lineRule="exact"/>
        <w:rPr>
          <w:rFonts w:ascii="仿宋" w:hAnsi="仿宋" w:eastAsia="仿宋" w:cs="仿宋"/>
          <w:bCs/>
          <w:sz w:val="24"/>
          <w:szCs w:val="24"/>
        </w:rPr>
        <w:outlineLvl w:val="0"/>
      </w:pPr>
      <w:r>
        <w:rPr>
          <w:rFonts w:hint="eastAsia" w:ascii="仿宋" w:hAnsi="仿宋" w:eastAsia="仿宋" w:cs="仿宋"/>
          <w:bCs/>
          <w:sz w:val="24"/>
          <w:szCs w:val="24"/>
        </w:rPr>
        <w:t xml:space="preserve">2、</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全部履约合同义务，经甲方验收合格无质量、进度等问题的，甲方在验收合格后一次性退还履约保证金，甲方若逾期退还履约保证金的，按照逾期部分的每日0.05%支付违约金。</w:t>
      </w:r>
      <w:r/>
    </w:p>
    <w:p>
      <w:pPr>
        <w:pStyle w:val="964"/>
        <w:ind w:firstLine="480"/>
        <w:spacing w:line="440" w:lineRule="exact"/>
        <w:rPr>
          <w:rFonts w:ascii="仿宋" w:hAnsi="仿宋" w:eastAsia="仿宋" w:cs="仿宋"/>
          <w:bCs/>
          <w:sz w:val="24"/>
          <w:szCs w:val="24"/>
        </w:rPr>
        <w:outlineLvl w:val="0"/>
      </w:pPr>
      <w:r>
        <w:rPr>
          <w:rFonts w:hint="eastAsia" w:ascii="仿宋" w:hAnsi="仿宋" w:eastAsia="仿宋" w:cs="仿宋"/>
          <w:bCs/>
          <w:sz w:val="24"/>
          <w:szCs w:val="24"/>
        </w:rPr>
        <w:t xml:space="preserve">3、发生以下情况的，履约保证金不予退还或部分退还：</w:t>
      </w:r>
      <w:r/>
    </w:p>
    <w:p>
      <w:pPr>
        <w:pStyle w:val="964"/>
        <w:ind w:firstLine="480"/>
        <w:spacing w:line="440" w:lineRule="exact"/>
        <w:rPr>
          <w:rFonts w:ascii="仿宋" w:hAnsi="仿宋" w:eastAsia="仿宋" w:cs="仿宋"/>
          <w:bCs/>
          <w:sz w:val="24"/>
          <w:szCs w:val="24"/>
        </w:rPr>
        <w:outlineLvl w:val="0"/>
      </w:pPr>
      <w:r>
        <w:rPr>
          <w:rFonts w:hint="eastAsia" w:ascii="仿宋" w:hAnsi="仿宋" w:eastAsia="仿宋" w:cs="仿宋"/>
          <w:bCs/>
          <w:sz w:val="24"/>
          <w:szCs w:val="24"/>
        </w:rPr>
        <w:t xml:space="preserve">a.签订合同后，</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不履行合同义务的，甲方有权全额扣除履约保证金，全额不予退还，同时甲方亦有权终止合同，</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还须承担相应的法律赔偿责任。</w:t>
      </w:r>
      <w:r/>
    </w:p>
    <w:p>
      <w:pPr>
        <w:pStyle w:val="964"/>
        <w:ind w:firstLine="480"/>
        <w:spacing w:line="440" w:lineRule="exact"/>
        <w:rPr>
          <w:rFonts w:ascii="仿宋" w:hAnsi="仿宋" w:eastAsia="仿宋" w:cs="仿宋"/>
          <w:sz w:val="24"/>
          <w:szCs w:val="24"/>
        </w:rPr>
        <w:outlineLvl w:val="0"/>
      </w:pPr>
      <w:r>
        <w:rPr>
          <w:rFonts w:hint="eastAsia" w:ascii="仿宋" w:hAnsi="仿宋" w:eastAsia="仿宋" w:cs="仿宋"/>
          <w:bCs/>
          <w:sz w:val="24"/>
          <w:szCs w:val="24"/>
        </w:rPr>
        <w:t xml:space="preserve">b.</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在履约过程中发生违约行为，给甲方造成损失的，甲方有权在</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缴纳的履约保证金中予以扣款，以弥补甲方经济损失，不足的部分</w:t>
      </w:r>
      <w:r>
        <w:rPr>
          <w:rFonts w:hint="eastAsia" w:ascii="仿宋" w:hAnsi="仿宋" w:eastAsia="仿宋" w:cs="仿宋"/>
          <w:sz w:val="24"/>
          <w:szCs w:val="24"/>
        </w:rPr>
        <w:t xml:space="preserve">乙方</w:t>
      </w:r>
      <w:r>
        <w:rPr>
          <w:rFonts w:hint="eastAsia" w:ascii="仿宋" w:hAnsi="仿宋" w:eastAsia="仿宋" w:cs="仿宋"/>
          <w:bCs/>
          <w:sz w:val="24"/>
          <w:szCs w:val="24"/>
        </w:rPr>
        <w:t xml:space="preserve">另外补齐。</w:t>
      </w:r>
      <w:r/>
    </w:p>
    <w:p>
      <w:pPr>
        <w:ind w:firstLine="420"/>
        <w:spacing w:line="400" w:lineRule="exact"/>
        <w:rPr>
          <w:rFonts w:ascii="仿宋" w:hAnsi="仿宋" w:eastAsia="仿宋" w:cs="仿宋"/>
          <w:sz w:val="24"/>
        </w:rPr>
      </w:pPr>
      <w:r>
        <w:rPr>
          <w:rFonts w:hint="eastAsia" w:ascii="仿宋" w:hAnsi="仿宋" w:eastAsia="仿宋" w:cs="仿宋"/>
          <w:b/>
          <w:sz w:val="24"/>
        </w:rPr>
        <w:t xml:space="preserve">十一、违约责任：</w:t>
      </w:r>
      <w:r/>
    </w:p>
    <w:p>
      <w:pPr>
        <w:ind w:firstLine="480"/>
        <w:spacing w:line="400" w:lineRule="exact"/>
        <w:rPr>
          <w:rFonts w:ascii="仿宋" w:hAnsi="仿宋" w:eastAsia="仿宋" w:cs="仿宋"/>
          <w:sz w:val="24"/>
        </w:rPr>
      </w:pPr>
      <w:r>
        <w:rPr>
          <w:rFonts w:hint="eastAsia" w:ascii="仿宋" w:hAnsi="仿宋" w:eastAsia="仿宋" w:cs="仿宋"/>
          <w:sz w:val="24"/>
        </w:rPr>
        <w:t xml:space="preserve">1、如乙方延期交(提)货，除人力不可抗拒的因素外，乙方应偿还延期违约金，按单台设备价值每日0.4％的标准从款项中扣除。</w:t>
      </w:r>
      <w:r/>
    </w:p>
    <w:p>
      <w:pPr>
        <w:ind w:firstLine="480"/>
        <w:spacing w:line="400" w:lineRule="exact"/>
        <w:rPr>
          <w:rFonts w:ascii="仿宋" w:hAnsi="仿宋" w:eastAsia="仿宋" w:cs="仿宋"/>
          <w:sz w:val="24"/>
        </w:rPr>
      </w:pPr>
      <w:r>
        <w:rPr>
          <w:rFonts w:hint="eastAsia" w:ascii="仿宋" w:hAnsi="仿宋" w:eastAsia="仿宋" w:cs="仿宋"/>
          <w:sz w:val="24"/>
        </w:rPr>
        <w:t xml:space="preserve">2、如甲方延期付款时(有正当拒付理由者除外)应向乙方偿还延期付款违约金，按每日托收金额的0.4％计算。</w:t>
      </w:r>
      <w:r/>
    </w:p>
    <w:p>
      <w:pPr>
        <w:ind w:firstLine="480"/>
        <w:spacing w:line="400" w:lineRule="exact"/>
        <w:rPr>
          <w:rFonts w:ascii="仿宋" w:hAnsi="仿宋" w:eastAsia="仿宋" w:cs="仿宋"/>
          <w:sz w:val="24"/>
        </w:rPr>
      </w:pPr>
      <w:r>
        <w:rPr>
          <w:rFonts w:hint="eastAsia" w:ascii="仿宋" w:hAnsi="仿宋" w:eastAsia="仿宋" w:cs="仿宋"/>
          <w:sz w:val="24"/>
        </w:rPr>
        <w:t xml:space="preserve">3、由于甲方的使用单位延期的原因要求延期交货时，甲方使用单位应按规定承付货款，并承担供方所提供的代为保管费用(按有关仓储规定另议)。</w:t>
      </w:r>
      <w:r/>
    </w:p>
    <w:p>
      <w:pPr>
        <w:ind w:firstLine="480"/>
        <w:spacing w:line="400" w:lineRule="exact"/>
        <w:rPr>
          <w:rFonts w:ascii="仿宋" w:hAnsi="仿宋" w:eastAsia="仿宋" w:cs="仿宋"/>
          <w:sz w:val="24"/>
        </w:rPr>
      </w:pPr>
      <w:r>
        <w:rPr>
          <w:rFonts w:hint="eastAsia" w:ascii="仿宋" w:hAnsi="仿宋" w:eastAsia="仿宋" w:cs="仿宋"/>
          <w:sz w:val="24"/>
        </w:rPr>
        <w:t xml:space="preserve">4、如乙方实际提供的货物与投标书上的设备清单不符，每项不符处从质保金内扣一万，并须赔偿本项设备的差价。</w:t>
      </w:r>
      <w:r/>
    </w:p>
    <w:p>
      <w:pPr>
        <w:ind w:firstLine="482"/>
        <w:spacing w:line="400" w:lineRule="exact"/>
        <w:rPr>
          <w:rFonts w:ascii="仿宋" w:hAnsi="仿宋" w:eastAsia="仿宋" w:cs="仿宋"/>
          <w:sz w:val="24"/>
        </w:rPr>
      </w:pPr>
      <w:r>
        <w:rPr>
          <w:rFonts w:hint="eastAsia" w:ascii="仿宋" w:hAnsi="仿宋" w:eastAsia="仿宋" w:cs="仿宋"/>
          <w:b/>
          <w:sz w:val="24"/>
        </w:rPr>
        <w:t xml:space="preserve">十二、合同相关文件：</w:t>
      </w:r>
      <w:r>
        <w:rPr>
          <w:rFonts w:hint="eastAsia" w:ascii="仿宋" w:hAnsi="仿宋" w:eastAsia="仿宋" w:cs="仿宋"/>
          <w:sz w:val="24"/>
        </w:rPr>
        <w:t xml:space="preserve">有关本次采购项目的采购文件以及相关的函件如答疑函、承诺函等均为本合同不可分割的一部分。若“本次采购项目的采购文件以及相关的函件、如答疑函、承诺函”与本合同有出入时，以“本次采购项目的采购文件以及相关的函件如答疑函、承诺函”为准。</w:t>
      </w:r>
      <w:r/>
    </w:p>
    <w:p>
      <w:pPr>
        <w:ind w:firstLine="482"/>
        <w:spacing w:line="400" w:lineRule="exact"/>
        <w:rPr>
          <w:rFonts w:ascii="仿宋" w:hAnsi="仿宋" w:eastAsia="仿宋" w:cs="仿宋"/>
          <w:sz w:val="24"/>
        </w:rPr>
      </w:pPr>
      <w:r>
        <w:rPr>
          <w:rFonts w:hint="eastAsia" w:ascii="仿宋" w:hAnsi="仿宋" w:eastAsia="仿宋" w:cs="仿宋"/>
          <w:b/>
          <w:sz w:val="24"/>
        </w:rPr>
        <w:t xml:space="preserve">十三、合同在执行过程中出现的未尽事宜，</w:t>
      </w:r>
      <w:r>
        <w:rPr>
          <w:rFonts w:hint="eastAsia" w:ascii="仿宋" w:hAnsi="仿宋" w:eastAsia="仿宋" w:cs="仿宋"/>
          <w:sz w:val="24"/>
        </w:rPr>
        <w:t xml:space="preserve">双方在不违背本合同和采购(招标)文件的原则下，协商解决，协商结果以书面形式盖章记录在案，作为本合同的附件，具有同等效力。</w:t>
      </w:r>
      <w:r/>
    </w:p>
    <w:p>
      <w:pPr>
        <w:ind w:firstLine="482"/>
        <w:spacing w:line="400" w:lineRule="exact"/>
        <w:rPr>
          <w:rFonts w:ascii="仿宋" w:hAnsi="仿宋" w:eastAsia="仿宋" w:cs="仿宋"/>
          <w:sz w:val="24"/>
        </w:rPr>
      </w:pPr>
      <w:r>
        <w:rPr>
          <w:rFonts w:hint="eastAsia" w:ascii="仿宋" w:hAnsi="仿宋" w:eastAsia="仿宋" w:cs="仿宋"/>
          <w:b/>
          <w:sz w:val="24"/>
        </w:rPr>
        <w:t xml:space="preserve">十四、合同争议处理方式：</w:t>
      </w:r>
      <w:r>
        <w:rPr>
          <w:rFonts w:hint="eastAsia" w:ascii="仿宋" w:hAnsi="仿宋" w:eastAsia="仿宋" w:cs="仿宋"/>
          <w:sz w:val="24"/>
        </w:rPr>
        <w:t xml:space="preserve">本合同在履行中若发生争议，双方应协商解决。协商不成时，按下列第</w:t>
      </w:r>
      <w:r>
        <w:rPr>
          <w:rFonts w:hint="eastAsia" w:ascii="仿宋" w:hAnsi="仿宋" w:eastAsia="仿宋" w:cs="仿宋"/>
          <w:sz w:val="24"/>
          <w:u w:val="single"/>
        </w:rPr>
        <w:t xml:space="preserve">（2）</w:t>
      </w:r>
      <w:r>
        <w:rPr>
          <w:rFonts w:hint="eastAsia" w:ascii="仿宋" w:hAnsi="仿宋" w:eastAsia="仿宋" w:cs="仿宋"/>
          <w:sz w:val="24"/>
        </w:rPr>
        <w:t xml:space="preserve">种方式处理：</w:t>
      </w:r>
      <w:r/>
    </w:p>
    <w:p>
      <w:pPr>
        <w:ind w:firstLine="480"/>
        <w:spacing w:line="400" w:lineRule="exact"/>
        <w:rPr>
          <w:rFonts w:ascii="仿宋" w:hAnsi="仿宋" w:eastAsia="仿宋" w:cs="仿宋"/>
          <w:sz w:val="24"/>
        </w:rPr>
      </w:pPr>
      <w:r>
        <w:rPr>
          <w:rFonts w:hint="eastAsia" w:ascii="仿宋" w:hAnsi="仿宋" w:eastAsia="仿宋" w:cs="仿宋"/>
          <w:sz w:val="24"/>
        </w:rPr>
        <w:t xml:space="preserve">(1)提交</w:t>
      </w:r>
      <w:r>
        <w:rPr>
          <w:rFonts w:hint="eastAsia" w:ascii="仿宋" w:hAnsi="仿宋" w:eastAsia="仿宋" w:cs="仿宋"/>
          <w:sz w:val="24"/>
          <w:u w:val="single"/>
        </w:rPr>
        <w:t xml:space="preserve">     </w:t>
      </w:r>
      <w:r>
        <w:rPr>
          <w:rFonts w:hint="eastAsia" w:ascii="仿宋" w:hAnsi="仿宋" w:eastAsia="仿宋" w:cs="仿宋"/>
          <w:sz w:val="24"/>
        </w:rPr>
        <w:t xml:space="preserve">仲裁委员会仲裁。    (2)依法向启东市人民法院起诉。</w:t>
      </w:r>
      <w:r/>
    </w:p>
    <w:p>
      <w:pPr>
        <w:ind w:firstLine="482"/>
        <w:spacing w:line="400" w:lineRule="exact"/>
        <w:rPr>
          <w:rFonts w:ascii="仿宋" w:hAnsi="仿宋" w:eastAsia="仿宋" w:cs="仿宋"/>
          <w:b/>
          <w:bCs/>
          <w:sz w:val="24"/>
        </w:rPr>
      </w:pPr>
      <w:r>
        <w:rPr>
          <w:rFonts w:hint="eastAsia" w:ascii="仿宋" w:hAnsi="仿宋" w:eastAsia="仿宋" w:cs="仿宋"/>
          <w:b/>
          <w:bCs/>
          <w:sz w:val="24"/>
        </w:rPr>
        <w:t xml:space="preserve">十五、合同签署</w:t>
      </w:r>
      <w:r/>
    </w:p>
    <w:p>
      <w:pPr>
        <w:ind w:firstLine="480"/>
        <w:spacing w:line="400" w:lineRule="exact"/>
        <w:rPr>
          <w:rFonts w:ascii="仿宋" w:hAnsi="仿宋" w:eastAsia="仿宋" w:cs="仿宋"/>
          <w:sz w:val="24"/>
        </w:rPr>
      </w:pPr>
      <w:r>
        <w:rPr>
          <w:rFonts w:hint="eastAsia" w:ascii="仿宋" w:hAnsi="仿宋" w:eastAsia="仿宋" w:cs="仿宋"/>
          <w:sz w:val="24"/>
        </w:rPr>
        <w:t xml:space="preserve">本合同一式</w:t>
      </w:r>
      <w:r>
        <w:rPr>
          <w:rFonts w:hint="eastAsia" w:ascii="仿宋" w:hAnsi="仿宋" w:eastAsia="仿宋" w:cs="仿宋"/>
          <w:sz w:val="24"/>
          <w:u w:val="single"/>
        </w:rPr>
        <w:t xml:space="preserve"> 伍 </w:t>
      </w:r>
      <w:r>
        <w:rPr>
          <w:rFonts w:hint="eastAsia" w:ascii="仿宋" w:hAnsi="仿宋" w:eastAsia="仿宋" w:cs="仿宋"/>
          <w:sz w:val="24"/>
        </w:rPr>
        <w:t xml:space="preserve">份，甲乙双方各执</w:t>
      </w:r>
      <w:r>
        <w:rPr>
          <w:rFonts w:hint="eastAsia" w:ascii="仿宋" w:hAnsi="仿宋" w:eastAsia="仿宋" w:cs="仿宋"/>
          <w:sz w:val="24"/>
          <w:u w:val="single"/>
        </w:rPr>
        <w:t xml:space="preserve"> 贰 </w:t>
      </w:r>
      <w:r>
        <w:rPr>
          <w:rFonts w:hint="eastAsia" w:ascii="仿宋" w:hAnsi="仿宋" w:eastAsia="仿宋" w:cs="仿宋"/>
          <w:sz w:val="24"/>
        </w:rPr>
        <w:t xml:space="preserve">份，行政主管部门备案</w:t>
      </w:r>
      <w:r>
        <w:rPr>
          <w:rFonts w:hint="eastAsia" w:ascii="仿宋" w:hAnsi="仿宋" w:eastAsia="仿宋" w:cs="仿宋"/>
          <w:sz w:val="24"/>
          <w:u w:val="single"/>
        </w:rPr>
        <w:t xml:space="preserve"> 壹 </w:t>
      </w:r>
      <w:r>
        <w:rPr>
          <w:rFonts w:hint="eastAsia" w:ascii="仿宋" w:hAnsi="仿宋" w:eastAsia="仿宋" w:cs="仿宋"/>
          <w:sz w:val="24"/>
        </w:rPr>
        <w:t xml:space="preserve">份。合同附件和本合同均具有同等法律效力。自签订之日起生效。</w:t>
      </w:r>
      <w:r/>
    </w:p>
    <w:tbl>
      <w:tblPr>
        <w:tblStyle w:val="859"/>
        <w:tblW w:w="88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73"/>
        <w:gridCol w:w="4488"/>
      </w:tblGrid>
      <w:tr>
        <w:trPr>
          <w:jc w:val="center"/>
          <w:trHeight w:val="2912"/>
        </w:trPr>
        <w:tc>
          <w:tcPr>
            <w:tcW w:w="4373" w:type="dxa"/>
            <w:textDirection w:val="lrTb"/>
            <w:noWrap w:val="false"/>
          </w:tcPr>
          <w:p>
            <w:pPr>
              <w:spacing w:line="400" w:lineRule="exact"/>
              <w:rPr>
                <w:rFonts w:ascii="仿宋" w:hAnsi="仿宋" w:eastAsia="仿宋" w:cs="仿宋"/>
                <w:sz w:val="24"/>
              </w:rPr>
            </w:pPr>
            <w:r>
              <w:rPr>
                <w:rFonts w:hint="eastAsia" w:ascii="仿宋" w:hAnsi="仿宋" w:eastAsia="仿宋" w:cs="仿宋"/>
                <w:sz w:val="24"/>
              </w:rPr>
              <w:t xml:space="preserve">甲方（公章）：                  </w:t>
            </w:r>
            <w:r/>
          </w:p>
          <w:p>
            <w:pPr>
              <w:spacing w:line="400" w:lineRule="exact"/>
              <w:rPr>
                <w:rFonts w:ascii="仿宋" w:hAnsi="仿宋" w:eastAsia="仿宋" w:cs="仿宋"/>
                <w:sz w:val="24"/>
              </w:rPr>
            </w:pPr>
            <w:r>
              <w:rPr>
                <w:rFonts w:hint="eastAsia" w:ascii="仿宋" w:hAnsi="仿宋" w:eastAsia="仿宋" w:cs="仿宋"/>
                <w:sz w:val="24"/>
              </w:rPr>
              <w:t xml:space="preserve">地址：                     </w:t>
            </w:r>
            <w:r/>
          </w:p>
          <w:p>
            <w:pPr>
              <w:spacing w:line="400" w:lineRule="exact"/>
              <w:rPr>
                <w:rFonts w:ascii="仿宋" w:hAnsi="仿宋" w:eastAsia="仿宋" w:cs="仿宋"/>
                <w:sz w:val="24"/>
              </w:rPr>
            </w:pPr>
            <w:r>
              <w:rPr>
                <w:rFonts w:hint="eastAsia" w:ascii="仿宋" w:hAnsi="仿宋" w:eastAsia="仿宋" w:cs="仿宋"/>
                <w:sz w:val="24"/>
              </w:rPr>
              <w:t xml:space="preserve">法定（授权）代表人：                       </w:t>
            </w:r>
            <w:r/>
          </w:p>
          <w:p>
            <w:pPr>
              <w:spacing w:line="400" w:lineRule="exact"/>
              <w:rPr>
                <w:rFonts w:ascii="仿宋" w:hAnsi="仿宋" w:eastAsia="仿宋" w:cs="仿宋"/>
                <w:sz w:val="24"/>
              </w:rPr>
            </w:pPr>
            <w:r>
              <w:rPr>
                <w:rFonts w:hint="eastAsia" w:ascii="仿宋" w:hAnsi="仿宋" w:eastAsia="仿宋" w:cs="仿宋"/>
                <w:sz w:val="24"/>
              </w:rPr>
              <w:t xml:space="preserve">委托代理人：                                 </w:t>
            </w:r>
            <w:r/>
          </w:p>
          <w:p>
            <w:pPr>
              <w:spacing w:line="400" w:lineRule="exact"/>
              <w:rPr>
                <w:rFonts w:ascii="仿宋" w:hAnsi="仿宋" w:eastAsia="仿宋" w:cs="仿宋"/>
                <w:sz w:val="24"/>
              </w:rPr>
            </w:pPr>
            <w:r>
              <w:rPr>
                <w:rFonts w:hint="eastAsia" w:ascii="仿宋" w:hAnsi="仿宋" w:eastAsia="仿宋" w:cs="仿宋"/>
                <w:sz w:val="24"/>
              </w:rPr>
              <w:t xml:space="preserve">开户银行：</w:t>
            </w:r>
            <w:r/>
          </w:p>
          <w:p>
            <w:pPr>
              <w:spacing w:line="400" w:lineRule="exact"/>
              <w:rPr>
                <w:rFonts w:ascii="仿宋" w:hAnsi="仿宋" w:eastAsia="仿宋" w:cs="仿宋"/>
                <w:sz w:val="24"/>
              </w:rPr>
            </w:pPr>
            <w:r>
              <w:rPr>
                <w:rFonts w:hint="eastAsia" w:ascii="仿宋" w:hAnsi="仿宋" w:eastAsia="仿宋" w:cs="仿宋"/>
                <w:sz w:val="24"/>
              </w:rPr>
              <w:t xml:space="preserve">账号：                          </w:t>
            </w:r>
            <w:r/>
          </w:p>
          <w:p>
            <w:pPr>
              <w:spacing w:line="400" w:lineRule="exact"/>
              <w:rPr>
                <w:rFonts w:ascii="仿宋" w:hAnsi="仿宋" w:eastAsia="仿宋" w:cs="仿宋"/>
                <w:sz w:val="24"/>
              </w:rPr>
            </w:pPr>
            <w:r>
              <w:rPr>
                <w:rFonts w:hint="eastAsia" w:ascii="仿宋" w:hAnsi="仿宋" w:eastAsia="仿宋" w:cs="仿宋"/>
                <w:sz w:val="24"/>
              </w:rPr>
              <w:t xml:space="preserve">签订日期：                               </w:t>
            </w:r>
            <w:r/>
          </w:p>
        </w:tc>
        <w:tc>
          <w:tcPr>
            <w:tcW w:w="4488" w:type="dxa"/>
            <w:textDirection w:val="lrTb"/>
            <w:noWrap w:val="false"/>
          </w:tcPr>
          <w:p>
            <w:pPr>
              <w:spacing w:line="400" w:lineRule="exact"/>
              <w:rPr>
                <w:rFonts w:ascii="仿宋" w:hAnsi="仿宋" w:eastAsia="仿宋" w:cs="仿宋"/>
                <w:sz w:val="24"/>
              </w:rPr>
            </w:pPr>
            <w:r>
              <w:rPr>
                <w:rFonts w:hint="eastAsia" w:ascii="仿宋" w:hAnsi="仿宋" w:eastAsia="仿宋" w:cs="仿宋"/>
                <w:sz w:val="24"/>
              </w:rPr>
              <w:t xml:space="preserve">乙方（公章）：</w:t>
            </w:r>
            <w:r/>
          </w:p>
          <w:p>
            <w:pPr>
              <w:spacing w:line="400" w:lineRule="exact"/>
              <w:rPr>
                <w:rFonts w:ascii="仿宋" w:hAnsi="仿宋" w:eastAsia="仿宋" w:cs="仿宋"/>
                <w:sz w:val="24"/>
              </w:rPr>
            </w:pPr>
            <w:r>
              <w:rPr>
                <w:rFonts w:hint="eastAsia" w:ascii="仿宋" w:hAnsi="仿宋" w:eastAsia="仿宋" w:cs="仿宋"/>
                <w:sz w:val="24"/>
              </w:rPr>
              <w:t xml:space="preserve">地址：</w:t>
            </w:r>
            <w:r/>
          </w:p>
          <w:p>
            <w:pPr>
              <w:spacing w:line="400" w:lineRule="exact"/>
              <w:rPr>
                <w:rFonts w:ascii="仿宋" w:hAnsi="仿宋" w:eastAsia="仿宋" w:cs="仿宋"/>
                <w:sz w:val="24"/>
              </w:rPr>
            </w:pPr>
            <w:r>
              <w:rPr>
                <w:rFonts w:hint="eastAsia" w:ascii="仿宋" w:hAnsi="仿宋" w:eastAsia="仿宋" w:cs="仿宋"/>
                <w:sz w:val="24"/>
              </w:rPr>
              <w:t xml:space="preserve">法定（授权）代表人：</w:t>
            </w:r>
            <w:r/>
          </w:p>
          <w:p>
            <w:pPr>
              <w:spacing w:line="400" w:lineRule="exact"/>
              <w:rPr>
                <w:rFonts w:ascii="仿宋" w:hAnsi="仿宋" w:eastAsia="仿宋" w:cs="仿宋"/>
                <w:sz w:val="24"/>
              </w:rPr>
            </w:pPr>
            <w:r>
              <w:rPr>
                <w:rFonts w:hint="eastAsia" w:ascii="仿宋" w:hAnsi="仿宋" w:eastAsia="仿宋" w:cs="仿宋"/>
                <w:sz w:val="24"/>
              </w:rPr>
              <w:t xml:space="preserve">委托代理人：</w:t>
            </w:r>
            <w:r/>
          </w:p>
          <w:p>
            <w:pPr>
              <w:spacing w:line="400" w:lineRule="exact"/>
              <w:rPr>
                <w:rFonts w:ascii="仿宋" w:hAnsi="仿宋" w:eastAsia="仿宋" w:cs="仿宋"/>
                <w:sz w:val="24"/>
              </w:rPr>
            </w:pPr>
            <w:r>
              <w:rPr>
                <w:rFonts w:hint="eastAsia" w:ascii="仿宋" w:hAnsi="仿宋" w:eastAsia="仿宋" w:cs="仿宋"/>
                <w:sz w:val="24"/>
              </w:rPr>
              <w:t xml:space="preserve">开户银行：</w:t>
            </w:r>
            <w:r/>
          </w:p>
          <w:p>
            <w:pPr>
              <w:spacing w:line="400" w:lineRule="exact"/>
              <w:rPr>
                <w:rFonts w:ascii="仿宋" w:hAnsi="仿宋" w:eastAsia="仿宋" w:cs="仿宋"/>
                <w:sz w:val="24"/>
              </w:rPr>
            </w:pPr>
            <w:r>
              <w:rPr>
                <w:rFonts w:hint="eastAsia" w:ascii="仿宋" w:hAnsi="仿宋" w:eastAsia="仿宋" w:cs="仿宋"/>
                <w:sz w:val="24"/>
              </w:rPr>
              <w:t xml:space="preserve">账号：</w:t>
            </w:r>
            <w:r/>
          </w:p>
          <w:p>
            <w:pPr>
              <w:spacing w:line="400" w:lineRule="exact"/>
              <w:rPr>
                <w:rFonts w:ascii="仿宋" w:hAnsi="仿宋" w:eastAsia="仿宋" w:cs="仿宋"/>
                <w:sz w:val="24"/>
              </w:rPr>
            </w:pPr>
            <w:r>
              <w:rPr>
                <w:rFonts w:hint="eastAsia" w:ascii="仿宋" w:hAnsi="仿宋" w:eastAsia="仿宋" w:cs="仿宋"/>
                <w:sz w:val="24"/>
              </w:rPr>
              <w:t xml:space="preserve">签订日期：</w:t>
            </w:r>
            <w:r/>
          </w:p>
        </w:tc>
      </w:tr>
    </w:tbl>
    <w:p>
      <w:pPr>
        <w:jc w:val="left"/>
        <w:spacing w:line="500" w:lineRule="exact"/>
        <w:rPr>
          <w:rFonts w:ascii="仿宋" w:hAnsi="仿宋" w:eastAsia="仿宋" w:cs="仿宋"/>
          <w:bCs/>
          <w:sz w:val="24"/>
        </w:rPr>
        <w:outlineLvl w:val="0"/>
      </w:pPr>
      <w:r>
        <w:rPr>
          <w:rFonts w:hint="eastAsia" w:ascii="仿宋" w:hAnsi="仿宋" w:eastAsia="仿宋" w:cs="仿宋"/>
          <w:b/>
          <w:sz w:val="24"/>
        </w:rPr>
        <w:t xml:space="preserve">注：此合同样本仅作参考，采购人、供应商可根据采购项目的实际情况进行修改。</w:t>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  开标和评标</w:t>
      </w:r>
      <w:r/>
    </w:p>
    <w:p>
      <w:pPr>
        <w:pStyle w:val="915"/>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915"/>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19"/>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p>
    <w:p>
      <w:pPr>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查</w:t>
      </w:r>
      <w:r/>
    </w:p>
    <w:p>
      <w:pPr>
        <w:pStyle w:val="919"/>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商务技术分：</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eastAsia="方正仿宋_GBK"/>
          <w:b/>
          <w:bCs/>
          <w:sz w:val="24"/>
        </w:rPr>
        <w:t xml:space="preserve">1</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Style w:val="8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276"/>
        <w:gridCol w:w="6095"/>
        <w:gridCol w:w="992"/>
      </w:tblGrid>
      <w:tr>
        <w:trPr>
          <w:trHeight w:val="490"/>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序号</w:t>
            </w:r>
            <w:r/>
          </w:p>
        </w:tc>
        <w:tc>
          <w:tcPr>
            <w:tcW w:w="1276" w:type="dxa"/>
            <w:vAlign w:val="center"/>
            <w:textDirection w:val="lrTb"/>
            <w:noWrap w:val="false"/>
          </w:tcPr>
          <w:p>
            <w:pPr>
              <w:jc w:val="center"/>
              <w:spacing w:line="300" w:lineRule="exact"/>
              <w:rPr>
                <w:rFonts w:ascii="方正仿宋_GBK" w:hAnsi="仿宋" w:eastAsia="方正仿宋_GBK" w:cs="仿宋"/>
                <w:sz w:val="24"/>
                <w:lang w:val="zh-CN"/>
              </w:rPr>
            </w:pPr>
            <w:r>
              <w:rPr>
                <w:rFonts w:hint="eastAsia" w:ascii="方正仿宋_GBK" w:hAnsi="仿宋" w:eastAsia="方正仿宋_GBK" w:cs="仿宋"/>
                <w:bCs/>
                <w:sz w:val="24"/>
              </w:rPr>
              <w:t xml:space="preserve">评分项</w:t>
            </w:r>
            <w:r/>
          </w:p>
        </w:tc>
        <w:tc>
          <w:tcPr>
            <w:tcW w:w="6095" w:type="dxa"/>
            <w:vAlign w:val="center"/>
            <w:textDirection w:val="lrTb"/>
            <w:noWrap w:val="false"/>
          </w:tcPr>
          <w:p>
            <w:pPr>
              <w:jc w:val="center"/>
              <w:spacing w:line="300" w:lineRule="exact"/>
              <w:rPr>
                <w:rFonts w:ascii="方正仿宋_GBK" w:hAnsi="仿宋" w:eastAsia="方正仿宋_GBK" w:cs="仿宋"/>
                <w:sz w:val="24"/>
                <w:lang w:val="zh-CN"/>
              </w:rPr>
            </w:pPr>
            <w:r>
              <w:rPr>
                <w:rFonts w:hint="eastAsia" w:ascii="方正仿宋_GBK" w:hAnsi="仿宋" w:eastAsia="方正仿宋_GBK" w:cs="仿宋"/>
                <w:bCs/>
                <w:sz w:val="24"/>
              </w:rPr>
              <w:t xml:space="preserve">评分细则</w:t>
            </w:r>
            <w:r/>
          </w:p>
        </w:tc>
        <w:tc>
          <w:tcPr>
            <w:tcW w:w="992" w:type="dxa"/>
            <w:vAlign w:val="center"/>
            <w:textDirection w:val="lrTb"/>
            <w:noWrap w:val="false"/>
          </w:tcPr>
          <w:p>
            <w:pPr>
              <w:jc w:val="center"/>
              <w:spacing w:line="300" w:lineRule="exact"/>
              <w:rPr>
                <w:rFonts w:ascii="方正仿宋_GBK" w:hAnsi="仿宋" w:eastAsia="方正仿宋_GBK" w:cs="仿宋"/>
                <w:sz w:val="24"/>
                <w:lang w:val="zh-CN"/>
              </w:rPr>
            </w:pPr>
            <w:r>
              <w:rPr>
                <w:rFonts w:hint="eastAsia" w:ascii="方正仿宋_GBK" w:hAnsi="仿宋" w:eastAsia="方正仿宋_GBK" w:cs="仿宋"/>
                <w:bCs/>
                <w:sz w:val="24"/>
              </w:rPr>
              <w:t xml:space="preserve">分值（分）</w:t>
            </w:r>
            <w:r/>
          </w:p>
        </w:tc>
      </w:tr>
      <w:tr>
        <w:trPr>
          <w:trHeight w:val="4973"/>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1</w:t>
            </w:r>
            <w:r/>
          </w:p>
        </w:tc>
        <w:tc>
          <w:tcPr>
            <w:tcW w:w="127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项目实施</w:t>
            </w:r>
            <w:r/>
          </w:p>
          <w:p>
            <w:pPr>
              <w:jc w:val="center"/>
              <w:spacing w:line="300" w:lineRule="exact"/>
              <w:rPr>
                <w:rFonts w:ascii="方正仿宋_GBK" w:hAnsi="仿宋" w:eastAsia="方正仿宋_GBK" w:cs="仿宋"/>
                <w:sz w:val="24"/>
                <w:lang w:val="zh-CN"/>
              </w:rPr>
            </w:pPr>
            <w:r>
              <w:rPr>
                <w:rFonts w:hint="eastAsia" w:ascii="方正仿宋_GBK" w:hAnsi="仿宋" w:eastAsia="方正仿宋_GBK" w:cs="仿宋"/>
                <w:bCs/>
                <w:sz w:val="24"/>
              </w:rPr>
              <w:t xml:space="preserve">（15分）</w:t>
            </w:r>
            <w:r/>
          </w:p>
        </w:tc>
        <w:tc>
          <w:tcPr>
            <w:tcW w:w="6095" w:type="dxa"/>
            <w:vAlign w:val="center"/>
            <w:textDirection w:val="lrTb"/>
            <w:noWrap w:val="false"/>
          </w:tcPr>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1.项目技术与实施方案（一标包、二标包含前端建设部分、网络架构、运维保障、人员保障等；三标包含设备对接平台建设方案，含建设、兼容性等）。</w:t>
            </w:r>
            <w:r/>
          </w:p>
          <w:p>
            <w:pPr>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评分要求：能全面理解和把握本项目建设意图，方案</w:t>
            </w:r>
            <w:r>
              <w:rPr>
                <w:rFonts w:hint="eastAsia" w:ascii="方正仿宋_GBK" w:hAnsi="仿宋" w:eastAsia="方正仿宋_GBK" w:cs="仿宋"/>
                <w:sz w:val="24"/>
              </w:rPr>
              <w:t xml:space="preserve">内容阐述详细、完整、合理可行，得5分；内容阐述合理，但方案内容描述简单或未结合本项目实际情况描述的，得2分；方案内容存在缺失或不合理，得1分；方案整体思路不清晰，或未提供相关内容不得分。</w:t>
            </w:r>
            <w:r/>
          </w:p>
          <w:p>
            <w:pPr>
              <w:ind w:firstLine="480"/>
              <w:jc w:val="left"/>
              <w:spacing w:line="300" w:lineRule="exact"/>
              <w:rPr>
                <w:rFonts w:ascii="方正仿宋_GBK" w:hAnsi="仿宋" w:eastAsia="方正仿宋_GBK" w:cs="仿宋"/>
                <w:sz w:val="24"/>
              </w:rPr>
            </w:pPr>
            <w:r>
              <w:rPr>
                <w:rFonts w:hint="eastAsia" w:ascii="方正仿宋_GBK" w:hAnsi="仿宋" w:eastAsia="方正仿宋_GBK" w:cs="仿宋"/>
                <w:bCs/>
                <w:sz w:val="24"/>
              </w:rPr>
              <w:t xml:space="preserve">2.编制项目施工组织方案，包括：①项目管理制度的完整性；②项目实施进度安排的合理性；③项目团队组织结构设计的科学性；④施工难点分析及相应解决方案的合理性、可行性。根据方案综合评审，方案</w:t>
            </w:r>
            <w:r>
              <w:rPr>
                <w:rFonts w:hint="eastAsia" w:ascii="方正仿宋_GBK" w:hAnsi="仿宋" w:eastAsia="方正仿宋_GBK" w:cs="仿宋"/>
                <w:sz w:val="24"/>
              </w:rPr>
              <w:t xml:space="preserve">内容阐述详细、完整、合理可行，得5分；内容阐述合理，但方案内容描述简单或未结合本项目实际情况描述的，得2分；方案内容存在缺失或不合理，得1分；方案整体思路不清晰，或未提供相关内容不得分。</w:t>
            </w:r>
            <w:r/>
          </w:p>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3.项目应急预案：提供详细的现场应急保障预案及措施，方案</w:t>
            </w:r>
            <w:r>
              <w:rPr>
                <w:rFonts w:hint="eastAsia" w:ascii="方正仿宋_GBK" w:hAnsi="仿宋" w:eastAsia="方正仿宋_GBK" w:cs="仿宋"/>
                <w:sz w:val="24"/>
              </w:rPr>
              <w:t xml:space="preserve">内容阐述详细、完整、合理可行，得5分；内容阐述合理，但方案内容描述简单或未结合本项目实际情况描述的，得2分；方案内容存在缺失或不合理，得1分；方案整体思路不清晰，或未提供相关内容不得分。</w:t>
            </w:r>
            <w:r/>
          </w:p>
        </w:tc>
        <w:tc>
          <w:tcPr>
            <w:tcW w:w="992" w:type="dxa"/>
            <w:vAlign w:val="center"/>
            <w:textDirection w:val="lrTb"/>
            <w:noWrap w:val="false"/>
          </w:tcPr>
          <w:p>
            <w:pPr>
              <w:jc w:val="center"/>
              <w:spacing w:line="300" w:lineRule="exact"/>
              <w:rPr>
                <w:rFonts w:ascii="方正仿宋_GBK" w:hAnsi="仿宋" w:eastAsia="方正仿宋_GBK" w:cs="仿宋"/>
                <w:sz w:val="24"/>
              </w:rPr>
            </w:pPr>
            <w:r>
              <w:rPr>
                <w:rFonts w:hint="eastAsia" w:ascii="方正仿宋_GBK" w:hAnsi="仿宋" w:eastAsia="方正仿宋_GBK" w:cs="仿宋"/>
                <w:bCs/>
                <w:sz w:val="24"/>
              </w:rPr>
              <w:t xml:space="preserve">15</w:t>
            </w:r>
            <w:r/>
          </w:p>
        </w:tc>
      </w:tr>
      <w:tr>
        <w:trPr>
          <w:trHeight w:val="3940"/>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2</w:t>
            </w:r>
            <w:r/>
          </w:p>
        </w:tc>
        <w:tc>
          <w:tcPr>
            <w:tcW w:w="1276" w:type="dxa"/>
            <w:vAlign w:val="center"/>
            <w:textDirection w:val="lrTb"/>
            <w:noWrap w:val="false"/>
          </w:tcPr>
          <w:p>
            <w:pPr>
              <w:jc w:val="center"/>
              <w:spacing w:line="300" w:lineRule="exact"/>
              <w:rPr>
                <w:rFonts w:ascii="方正仿宋_GBK" w:hAnsi="仿宋" w:eastAsia="方正仿宋_GBK" w:cs="仿宋"/>
                <w:sz w:val="24"/>
              </w:rPr>
            </w:pPr>
            <w:r>
              <w:rPr>
                <w:rFonts w:hint="eastAsia" w:ascii="方正仿宋_GBK" w:hAnsi="仿宋" w:eastAsia="方正仿宋_GBK" w:cs="仿宋"/>
                <w:sz w:val="24"/>
              </w:rPr>
              <w:t xml:space="preserve">售后服务</w:t>
            </w:r>
            <w:r/>
          </w:p>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（6分）</w:t>
            </w:r>
            <w:r/>
          </w:p>
        </w:tc>
        <w:tc>
          <w:tcPr>
            <w:tcW w:w="6095" w:type="dxa"/>
            <w:vAlign w:val="center"/>
            <w:textDirection w:val="lrTb"/>
            <w:noWrap w:val="false"/>
          </w:tcPr>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投标供应商提供详细的售后服务方案，包含质保期内服务流程及保障方案、技术运维人员配置、售后服务响应机制及时间、备件供应方案等分析，内容详细、合理、可行性高且专业水平较高的，项目实施过程中可能</w:t>
            </w:r>
            <w:r>
              <w:rPr>
                <w:rFonts w:hint="eastAsia" w:ascii="方正仿宋_GBK" w:hAnsi="仿宋" w:eastAsia="方正仿宋_GBK" w:cs="仿宋"/>
                <w:bCs/>
                <w:sz w:val="24"/>
              </w:rPr>
              <w:t xml:space="preserve">遇到的问题及解决方案明确，且落实到责任人，并提供质保承诺书（格式见附件），得6分；从其质保期内服务流程及保障方案、技术运维人员配置、售后服务响应机制及时间、备件供应方案等分析，内容合理、可行，项目实施过程中可能遇到的问题及解决方案明确，但未落实到责任人，提供质保承诺书（格式见附件），得 3分； 从其质保期内服务流程及保障方案、技术运维人员配置、售后服务响应机制及时间、备件供应方案等分析，服务方案内容存在缺失或存在不合理性，可行性低，未落实到责任人、未提供质保承诺书的，得 1 分；不提供售后服务方案，不得分。</w:t>
            </w:r>
            <w:r/>
          </w:p>
        </w:tc>
        <w:tc>
          <w:tcPr>
            <w:tcW w:w="992"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6</w:t>
            </w:r>
            <w:r/>
          </w:p>
        </w:tc>
      </w:tr>
      <w:tr>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3</w:t>
            </w:r>
            <w:r/>
          </w:p>
        </w:tc>
        <w:tc>
          <w:tcPr>
            <w:tcW w:w="127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企业综合实力</w:t>
            </w:r>
            <w:r/>
          </w:p>
          <w:p>
            <w:pPr>
              <w:jc w:val="center"/>
              <w:spacing w:line="300" w:lineRule="exact"/>
              <w:rPr>
                <w:rFonts w:ascii="方正仿宋_GBK" w:hAnsi="仿宋" w:eastAsia="方正仿宋_GBK" w:cs="仿宋"/>
                <w:bCs/>
                <w:sz w:val="24"/>
                <w:lang w:val="zh-CN"/>
              </w:rPr>
            </w:pPr>
            <w:r>
              <w:rPr>
                <w:rFonts w:hint="eastAsia" w:ascii="方正仿宋_GBK" w:hAnsi="仿宋" w:eastAsia="方正仿宋_GBK" w:cs="仿宋"/>
                <w:bCs/>
                <w:sz w:val="24"/>
                <w:lang w:val="zh-CN"/>
              </w:rPr>
              <w:t xml:space="preserve">（</w:t>
            </w:r>
            <w:r>
              <w:rPr>
                <w:rFonts w:hint="eastAsia" w:ascii="方正仿宋_GBK" w:hAnsi="仿宋" w:eastAsia="方正仿宋_GBK" w:cs="仿宋"/>
                <w:bCs/>
                <w:sz w:val="24"/>
              </w:rPr>
              <w:t xml:space="preserve">8</w:t>
            </w:r>
            <w:r>
              <w:rPr>
                <w:rFonts w:hint="eastAsia" w:ascii="方正仿宋_GBK" w:hAnsi="仿宋" w:eastAsia="方正仿宋_GBK" w:cs="仿宋"/>
                <w:bCs/>
                <w:sz w:val="24"/>
                <w:lang w:val="zh-CN"/>
              </w:rPr>
              <w:t xml:space="preserve">分）</w:t>
            </w:r>
            <w:r/>
          </w:p>
        </w:tc>
        <w:tc>
          <w:tcPr>
            <w:tcW w:w="6095" w:type="dxa"/>
            <w:vAlign w:val="center"/>
            <w:textDirection w:val="lrTb"/>
            <w:noWrap w:val="false"/>
          </w:tcPr>
          <w:p>
            <w:pPr>
              <w:ind w:firstLine="480"/>
              <w:jc w:val="left"/>
              <w:spacing w:line="300" w:lineRule="exact"/>
              <w:rPr>
                <w:rFonts w:ascii="方正仿宋_GBK" w:hAnsi="仿宋" w:eastAsia="方正仿宋_GBK" w:cs="仿宋"/>
                <w:sz w:val="24"/>
              </w:rPr>
            </w:pPr>
            <w:r>
              <w:rPr>
                <w:rFonts w:hint="eastAsia" w:ascii="方正仿宋_GBK" w:hAnsi="仿宋" w:eastAsia="方正仿宋_GBK" w:cs="仿宋"/>
                <w:bCs/>
                <w:sz w:val="24"/>
              </w:rPr>
              <w:t xml:space="preserve">1.</w:t>
            </w:r>
            <w:r>
              <w:rPr>
                <w:rFonts w:hint="eastAsia" w:ascii="方正仿宋_GBK" w:hAnsi="仿宋" w:eastAsia="方正仿宋_GBK" w:cs="仿宋"/>
                <w:sz w:val="24"/>
              </w:rPr>
              <w:t xml:space="preserve">项目组团队成员（含项目经理）具有网络工程师、信息系统项目管理师（高级）的，每提供一类证书得1分，满分2分。注：提供有效的证书及供应商为上述人员缴纳的近三个月内任意一个月养老保险缴费证明。同一人只能计一次分值，不重复计分。</w:t>
            </w:r>
            <w:r/>
          </w:p>
          <w:p>
            <w:pPr>
              <w:ind w:firstLine="480"/>
              <w:jc w:val="left"/>
              <w:spacing w:line="300" w:lineRule="exact"/>
              <w:rPr>
                <w:rFonts w:ascii="方正仿宋_GBK" w:hAnsi="仿宋" w:eastAsia="方正仿宋_GBK" w:cs="仿宋"/>
                <w:sz w:val="24"/>
              </w:rPr>
            </w:pPr>
            <w:r>
              <w:rPr>
                <w:rFonts w:hint="eastAsia" w:ascii="方正仿宋_GBK" w:hAnsi="仿宋" w:eastAsia="方正仿宋_GBK" w:cs="仿宋"/>
                <w:sz w:val="24"/>
              </w:rPr>
              <w:t xml:space="preserve">2.投标人具有质量管理体系认证证书、环境管理体系认证证书、职业健康安全管理体系认证证书，有1个证书得1分，满分3分。提供相关证书及中国国家认证认可监督管理委员会网站查询截图。</w:t>
            </w:r>
            <w:r/>
          </w:p>
          <w:p>
            <w:pPr>
              <w:ind w:firstLine="480"/>
              <w:jc w:val="left"/>
              <w:spacing w:line="300" w:lineRule="exact"/>
              <w:rPr>
                <w:rFonts w:ascii="方正仿宋_GBK" w:eastAsia="方正仿宋_GBK"/>
                <w:sz w:val="24"/>
              </w:rPr>
            </w:pPr>
            <w:r>
              <w:rPr>
                <w:rFonts w:hint="eastAsia" w:ascii="方正仿宋_GBK" w:hAnsi="仿宋" w:eastAsia="方正仿宋_GBK" w:cs="仿宋"/>
                <w:sz w:val="24"/>
              </w:rPr>
              <w:t xml:space="preserve">3.供应商自2023年1月1日（以合同签订时间为准）以来，承担过安防建设项目的得1分，满分3分。提供建设合同。</w:t>
            </w:r>
            <w:r/>
          </w:p>
        </w:tc>
        <w:tc>
          <w:tcPr>
            <w:tcW w:w="992" w:type="dxa"/>
            <w:vAlign w:val="center"/>
            <w:textDirection w:val="lrTb"/>
            <w:noWrap w:val="false"/>
          </w:tcPr>
          <w:p>
            <w:pPr>
              <w:jc w:val="center"/>
              <w:rPr>
                <w:rFonts w:ascii="方正仿宋_GBK" w:hAnsi="仿宋" w:eastAsia="方正仿宋_GBK" w:cs="仿宋"/>
                <w:sz w:val="24"/>
              </w:rPr>
            </w:pPr>
            <w:r>
              <w:rPr>
                <w:rFonts w:hint="eastAsia" w:ascii="方正仿宋_GBK" w:hAnsi="仿宋" w:eastAsia="方正仿宋_GBK" w:cs="仿宋"/>
                <w:sz w:val="24"/>
              </w:rPr>
              <w:t xml:space="preserve">8</w:t>
            </w:r>
            <w:r/>
          </w:p>
        </w:tc>
      </w:tr>
      <w:tr>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4</w:t>
            </w:r>
            <w:r/>
          </w:p>
        </w:tc>
        <w:tc>
          <w:tcPr>
            <w:tcW w:w="127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其他要求（10分）</w:t>
            </w:r>
            <w:r/>
          </w:p>
        </w:tc>
        <w:tc>
          <w:tcPr>
            <w:tcW w:w="6095" w:type="dxa"/>
            <w:vAlign w:val="center"/>
            <w:textDirection w:val="lrTb"/>
            <w:noWrap w:val="false"/>
          </w:tcPr>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1.一标包、二标包每增加10个结构化相机得5分，最高10分。要求设备为中标供应商同一型号品牌800万像素全结构化相机，并包含配件及安装服务。</w:t>
            </w:r>
            <w:r/>
          </w:p>
          <w:p>
            <w:pPr>
              <w:ind w:firstLine="480"/>
              <w:jc w:val="left"/>
              <w:spacing w:line="300" w:lineRule="exact"/>
              <w:rPr>
                <w:rFonts w:ascii="方正仿宋_GBK" w:eastAsia="方正仿宋_GBK"/>
                <w:sz w:val="24"/>
              </w:rPr>
            </w:pPr>
            <w:r>
              <w:rPr>
                <w:rFonts w:hint="eastAsia" w:ascii="方正仿宋_GBK" w:hAnsi="仿宋" w:eastAsia="方正仿宋_GBK" w:cs="仿宋"/>
                <w:bCs/>
                <w:sz w:val="24"/>
              </w:rPr>
              <w:t xml:space="preserve">2.三标包与采购方组建联合实验室，为采购方提供不少于5万元设备的，得5分，为采购方提供不少于10万元设备的，得10分。设备使用权归采购方，所有权归中标供应商。</w:t>
            </w:r>
            <w:r/>
          </w:p>
        </w:tc>
        <w:tc>
          <w:tcPr>
            <w:tcW w:w="992" w:type="dxa"/>
            <w:vAlign w:val="center"/>
            <w:textDirection w:val="lrTb"/>
            <w:noWrap w:val="false"/>
          </w:tcPr>
          <w:p>
            <w:pPr>
              <w:jc w:val="center"/>
              <w:rPr>
                <w:rFonts w:ascii="方正仿宋_GBK" w:hAnsi="仿宋" w:eastAsia="方正仿宋_GBK" w:cs="仿宋"/>
                <w:sz w:val="24"/>
              </w:rPr>
            </w:pPr>
            <w:r>
              <w:rPr>
                <w:rFonts w:hint="eastAsia" w:ascii="方正仿宋_GBK" w:hAnsi="仿宋" w:eastAsia="方正仿宋_GBK" w:cs="仿宋"/>
                <w:sz w:val="24"/>
              </w:rPr>
              <w:t xml:space="preserve">10</w:t>
            </w:r>
            <w:r/>
          </w:p>
        </w:tc>
      </w:tr>
      <w:tr>
        <w:trPr/>
        <w:tc>
          <w:tcPr>
            <w:tcW w:w="84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5</w:t>
            </w:r>
            <w:r/>
          </w:p>
        </w:tc>
        <w:tc>
          <w:tcPr>
            <w:tcW w:w="1276" w:type="dxa"/>
            <w:vAlign w:val="center"/>
            <w:textDirection w:val="lrTb"/>
            <w:noWrap w:val="false"/>
          </w:tcPr>
          <w:p>
            <w:pPr>
              <w:jc w:val="center"/>
              <w:spacing w:line="300" w:lineRule="exact"/>
              <w:rPr>
                <w:rFonts w:ascii="方正仿宋_GBK" w:hAnsi="仿宋" w:eastAsia="方正仿宋_GBK" w:cs="仿宋"/>
                <w:bCs/>
                <w:sz w:val="24"/>
              </w:rPr>
            </w:pPr>
            <w:r>
              <w:rPr>
                <w:rFonts w:hint="eastAsia" w:ascii="方正仿宋_GBK" w:eastAsia="方正仿宋_GBK"/>
                <w:sz w:val="24"/>
              </w:rPr>
              <w:t xml:space="preserve">节能环保</w:t>
            </w:r>
            <w:r>
              <w:rPr>
                <w:rFonts w:hint="eastAsia" w:ascii="方正仿宋_GBK" w:eastAsia="方正仿宋_GBK"/>
                <w:sz w:val="24"/>
                <w:lang w:val="zh-CN"/>
              </w:rPr>
              <w:t xml:space="preserve">（1分）</w:t>
            </w:r>
            <w:r/>
          </w:p>
        </w:tc>
        <w:tc>
          <w:tcPr>
            <w:tcW w:w="6095" w:type="dxa"/>
            <w:vAlign w:val="center"/>
            <w:textDirection w:val="lrTb"/>
            <w:noWrap w:val="false"/>
          </w:tcPr>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ind w:firstLine="480"/>
              <w:jc w:val="left"/>
              <w:spacing w:line="300" w:lineRule="exact"/>
              <w:rPr>
                <w:rFonts w:ascii="方正仿宋_GBK" w:hAnsi="仿宋" w:eastAsia="方正仿宋_GBK" w:cs="仿宋"/>
                <w:bCs/>
                <w:sz w:val="24"/>
              </w:rPr>
            </w:pPr>
            <w:r>
              <w:rPr>
                <w:rFonts w:hint="eastAsia" w:ascii="方正仿宋_GBK" w:hAnsi="仿宋" w:eastAsia="方正仿宋_GBK" w:cs="仿宋"/>
                <w:bCs/>
                <w:sz w:val="24"/>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p>
            <w:pPr>
              <w:jc w:val="left"/>
              <w:spacing w:line="300" w:lineRule="exact"/>
              <w:rPr>
                <w:rFonts w:ascii="方正仿宋_GBK" w:hAnsi="仿宋" w:eastAsia="方正仿宋_GBK" w:cs="仿宋"/>
                <w:bCs/>
                <w:sz w:val="24"/>
              </w:rPr>
            </w:pPr>
            <w:r>
              <w:rPr>
                <w:rFonts w:ascii="方正仿宋_GBK" w:hAnsi="仿宋" w:eastAsia="方正仿宋_GBK" w:cs="仿宋"/>
                <w:bCs/>
                <w:sz w:val="24"/>
              </w:rPr>
            </w:r>
            <w:r/>
          </w:p>
        </w:tc>
        <w:tc>
          <w:tcPr>
            <w:tcW w:w="992" w:type="dxa"/>
            <w:vAlign w:val="center"/>
            <w:textDirection w:val="lrTb"/>
            <w:noWrap w:val="false"/>
          </w:tcPr>
          <w:p>
            <w:pPr>
              <w:jc w:val="center"/>
              <w:rPr>
                <w:rFonts w:ascii="方正仿宋_GBK" w:hAnsi="仿宋" w:eastAsia="方正仿宋_GBK" w:cs="仿宋"/>
                <w:sz w:val="24"/>
              </w:rPr>
            </w:pPr>
            <w:r>
              <w:rPr>
                <w:rFonts w:hint="eastAsia" w:ascii="方正仿宋_GBK" w:hAnsi="仿宋" w:eastAsia="方正仿宋_GBK" w:cs="仿宋"/>
                <w:sz w:val="24"/>
              </w:rPr>
              <w:t xml:space="preserve">1</w:t>
            </w:r>
            <w:r/>
          </w:p>
        </w:tc>
      </w:tr>
      <w:tr>
        <w:trPr/>
        <w:tc>
          <w:tcPr>
            <w:gridSpan w:val="4"/>
            <w:tcW w:w="9209" w:type="dxa"/>
            <w:vAlign w:val="center"/>
            <w:textDirection w:val="lrTb"/>
            <w:noWrap w:val="false"/>
          </w:tcPr>
          <w:p>
            <w:pPr>
              <w:spacing w:line="300" w:lineRule="exact"/>
              <w:widowControl/>
              <w:rPr>
                <w:rFonts w:ascii="方正仿宋_GBK" w:hAnsi="仿宋" w:eastAsia="方正仿宋_GBK" w:cs="仿宋"/>
                <w:sz w:val="24"/>
              </w:rPr>
            </w:pPr>
            <w:r>
              <w:rPr>
                <w:rFonts w:hint="eastAsia" w:ascii="方正仿宋_GBK" w:hAnsi="仿宋" w:eastAsia="方正仿宋_GBK" w:cs="仿宋"/>
                <w:sz w:val="24"/>
              </w:rPr>
              <w:t xml:space="preserve">备注：</w:t>
            </w:r>
            <w:r/>
          </w:p>
          <w:p>
            <w:pPr>
              <w:jc w:val="left"/>
              <w:spacing w:line="300" w:lineRule="exact"/>
              <w:widowControl/>
              <w:rPr>
                <w:rFonts w:ascii="方正仿宋_GBK" w:hAnsi="仿宋" w:eastAsia="方正仿宋_GBK" w:cs="仿宋"/>
                <w:sz w:val="24"/>
              </w:rPr>
            </w:pPr>
            <w:r>
              <w:rPr>
                <w:rFonts w:hint="eastAsia" w:ascii="方正仿宋_GBK" w:hAnsi="仿宋" w:eastAsia="方正仿宋_GBK" w:cs="仿宋"/>
                <w:sz w:val="24"/>
              </w:rPr>
              <w:t xml:space="preserve">评分项所述证明材料均须提供复印件并加盖单位公章，且真实有效，若投标人弄虚作假，经查实，采购人有权作无效标处理或取消中标资格。</w:t>
            </w:r>
            <w:r/>
          </w:p>
        </w:tc>
      </w:tr>
    </w:tbl>
    <w:p>
      <w:pPr>
        <w:pStyle w:val="915"/>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915"/>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3.采购本国产品的支持政策</w:t>
      </w:r>
      <w:r/>
    </w:p>
    <w:p>
      <w:pPr>
        <w:ind w:firstLine="570"/>
        <w:spacing w:line="500" w:lineRule="exact"/>
        <w:rPr>
          <w:sz w:val="24"/>
        </w:rPr>
      </w:pPr>
      <w:r>
        <w:rPr>
          <w:rFonts w:eastAsia="方正仿宋_GBK"/>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sz w:val="28"/>
          <w:szCs w:val="28"/>
        </w:rPr>
        <w:t xml:space="preserve">供应商需在“第五部分 投标文件格式”的“附件8 分项报价明细表”中填写比例数值</w:t>
      </w:r>
      <w:r>
        <w:rPr>
          <w:rFonts w:eastAsia="方正仿宋_GBK"/>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sz w:val="24"/>
        </w:rPr>
      </w:pPr>
      <w:r>
        <w:rPr>
          <w:rFonts w:eastAsia="方正仿宋_GBK"/>
          <w:bCs/>
          <w:sz w:val="28"/>
          <w:szCs w:val="28"/>
        </w:rPr>
        <w:t xml:space="preserve">3.3 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62" w:name="_Hlk220575971"/>
      <w:r/>
      <w:r/>
    </w:p>
    <w:p>
      <w:pPr>
        <w:ind w:firstLine="570"/>
        <w:spacing w:line="500" w:lineRule="exact"/>
        <w:rPr>
          <w:rFonts w:eastAsia="方正仿宋_GBK"/>
          <w:bCs/>
          <w:sz w:val="28"/>
          <w:szCs w:val="28"/>
        </w:rPr>
      </w:pPr>
      <w:r>
        <w:rPr>
          <w:rFonts w:eastAsia="方正仿宋_GBK"/>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62"/>
      <w:r/>
      <w:r/>
    </w:p>
    <w:p>
      <w:pPr>
        <w:pStyle w:val="915"/>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评委会汇总各评委评分后，综合评审得分最高的投标人为中标候选人，若总得分者有相同时，则投标报价低者排名优先，均相同时则通过抽签方式随机确定排名顺序。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915"/>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915"/>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1</w:t>
      </w:r>
      <w:r>
        <w:rPr>
          <w:rFonts w:eastAsia="方正仿宋_GBK"/>
          <w:b/>
          <w:sz w:val="28"/>
          <w:szCs w:val="28"/>
        </w:rPr>
        <w:t xml:space="preserve">正</w:t>
      </w:r>
      <w:r>
        <w:rPr>
          <w:rFonts w:hint="eastAsia" w:eastAsia="方正仿宋_GBK"/>
          <w:b/>
          <w:sz w:val="28"/>
          <w:szCs w:val="28"/>
        </w:rPr>
        <w:t xml:space="preserve">2</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8"/>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12.关于符合本国产品标准的声明函（格式见附件12，</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b/>
          <w:sz w:val="28"/>
          <w:szCs w:val="28"/>
        </w:rPr>
      </w:pPr>
      <w:r>
        <w:rPr>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59"/>
        <w:tblW w:w="906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834" w:type="dxa"/>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2272" w:type="dxa"/>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984" w:type="dxa"/>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2561" w:type="dxa"/>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410" w:type="dxa"/>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59"/>
        <w:tblW w:w="906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4"/>
        <w:gridCol w:w="2272"/>
        <w:gridCol w:w="1984"/>
        <w:gridCol w:w="2561"/>
        <w:gridCol w:w="1410"/>
      </w:tblGrid>
      <w:tr>
        <w:trPr>
          <w:trHeight w:val="994"/>
        </w:trPr>
        <w:tc>
          <w:tcPr>
            <w:tcBorders>
              <w:top w:val="single" w:color="auto" w:sz="12" w:space="0"/>
              <w:left w:val="single" w:color="auto" w:sz="12" w:space="0"/>
              <w:bottom w:val="single" w:color="auto" w:sz="6" w:space="0"/>
              <w:right w:val="single" w:color="auto" w:sz="6" w:space="0"/>
            </w:tcBorders>
            <w:tcW w:w="834" w:type="dxa"/>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2272" w:type="dxa"/>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984" w:type="dxa"/>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561" w:type="dxa"/>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410" w:type="dxa"/>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834" w:type="dxa"/>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2272"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4"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61" w:type="dxa"/>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410" w:type="dxa"/>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rPr>
          <w:rFonts w:ascii="方正小标宋简体" w:hAnsi="方正小标宋简体" w:eastAsia="方正小标宋简体" w:cs="方正小标宋简体"/>
          <w:sz w:val="32"/>
          <w:szCs w:val="32"/>
          <w:u w:val="single"/>
        </w:rPr>
        <w:t xml:space="preserve">    </w:t>
      </w:r>
      <w:r>
        <w:rPr>
          <w:rFonts w:hint="eastAsia" w:ascii="方正小标宋简体" w:hAnsi="方正小标宋简体" w:eastAsia="方正小标宋简体" w:cs="方正小标宋简体"/>
          <w:sz w:val="32"/>
          <w:szCs w:val="32"/>
        </w:rPr>
        <w:t xml:space="preserve">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859"/>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4</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5</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6</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7</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8</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9</w:t>
            </w:r>
            <w:r/>
          </w:p>
        </w:tc>
        <w:tc>
          <w:tcPr>
            <w:tcW w:w="1205"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9"/>
            <w:tcW w:w="9766"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rPr>
                <w:rFonts w:ascii="仿宋" w:hAnsi="仿宋" w:eastAsia="仿宋" w:cs="仿宋"/>
                <w:szCs w:val="21"/>
              </w:rPr>
              <w:t xml:space="preserve">                                         </w:t>
            </w:r>
            <w:r>
              <w:rPr>
                <w:rFonts w:hint="eastAsia" w:ascii="仿宋" w:hAnsi="仿宋" w:eastAsia="仿宋" w:cs="仿宋"/>
                <w:szCs w:val="21"/>
              </w:rPr>
              <w:t xml:space="preserve">（小写）：</w:t>
            </w:r>
            <w:r>
              <w:rPr>
                <w:rFonts w:ascii="Calibri" w:hAnsi="Calibri" w:eastAsia="仿宋" w:cs="Calibri"/>
                <w:szCs w:val="21"/>
              </w:rPr>
              <w:t xml:space="preserve">¥</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ind w:firstLine="482"/>
        <w:spacing w:line="300" w:lineRule="auto"/>
        <w:rPr>
          <w:rFonts w:ascii="仿宋" w:hAnsi="仿宋" w:eastAsia="仿宋" w:cs="仿宋"/>
          <w:bCs/>
          <w:sz w:val="24"/>
        </w:rPr>
        <w:outlineLvl w:val="0"/>
      </w:pPr>
      <w:r>
        <w:rPr>
          <w:rFonts w:hint="eastAsia" w:ascii="仿宋" w:hAnsi="仿宋" w:eastAsia="仿宋" w:cs="仿宋"/>
          <w:b/>
          <w:sz w:val="24"/>
        </w:rPr>
        <w:t xml:space="preserve">注：</w:t>
      </w:r>
      <w:r>
        <w:rPr>
          <w:rFonts w:ascii="仿宋" w:hAnsi="仿宋" w:eastAsia="仿宋" w:cs="仿宋"/>
          <w:bCs/>
          <w:sz w:val="24"/>
        </w:rPr>
        <w:t xml:space="preserve">1.</w:t>
      </w:r>
      <w:r>
        <w:rPr>
          <w:rFonts w:hint="eastAsia" w:ascii="仿宋" w:hAnsi="仿宋" w:eastAsia="仿宋" w:cs="仿宋"/>
          <w:bCs/>
          <w:sz w:val="24"/>
        </w:rPr>
        <w:t xml:space="preserve">投标人必须按实填写分项报价明细表中的各项内容，且本表各分项报价合计应当与开标一览表报价合计相等，请各投标人务必按照以上要求填报。</w:t>
      </w:r>
      <w:r/>
    </w:p>
    <w:p>
      <w:pPr>
        <w:ind w:firstLine="480"/>
        <w:spacing w:line="300" w:lineRule="auto"/>
        <w:rPr>
          <w:rFonts w:ascii="仿宋" w:hAnsi="仿宋" w:eastAsia="仿宋" w:cs="仿宋"/>
          <w:bCs/>
          <w:sz w:val="24"/>
        </w:rPr>
        <w:outlineLvl w:val="0"/>
      </w:pPr>
      <w:r>
        <w:rPr>
          <w:rFonts w:ascii="仿宋" w:hAnsi="仿宋" w:eastAsia="仿宋" w:cs="仿宋"/>
          <w:bCs/>
          <w:sz w:val="24"/>
        </w:rPr>
        <w:t xml:space="preserve">2.</w:t>
      </w:r>
      <w:r>
        <w:rPr>
          <w:rFonts w:hint="eastAsia" w:ascii="仿宋" w:hAnsi="仿宋" w:eastAsia="仿宋" w:cs="仿宋"/>
          <w:bCs/>
          <w:sz w:val="24"/>
        </w:rPr>
        <w:t xml:space="preserve">主要标的信息将随中标（成交）结果公告进行公示。内容不实的，属于提供虚假材料谋取中标、成交，依照《中华人民共和国政府采购法》等国家有关规定追究相应责任。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78"/>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78"/>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8"/>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8"/>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878"/>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878"/>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878"/>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78"/>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80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78"/>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ambria">
    <w:panose1 w:val="0204050305040603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3"/>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6"/>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58"/>
    <w:link w:val="849"/>
    <w:uiPriority w:val="9"/>
    <w:rPr>
      <w:rFonts w:ascii="Arial" w:hAnsi="Arial" w:eastAsia="Arial" w:cs="Arial"/>
      <w:sz w:val="40"/>
      <w:szCs w:val="40"/>
    </w:rPr>
  </w:style>
  <w:style w:type="character" w:styleId="686">
    <w:name w:val="Heading 2 Char"/>
    <w:basedOn w:val="858"/>
    <w:link w:val="850"/>
    <w:uiPriority w:val="9"/>
    <w:rPr>
      <w:rFonts w:ascii="Arial" w:hAnsi="Arial" w:eastAsia="Arial" w:cs="Arial"/>
      <w:sz w:val="34"/>
    </w:rPr>
  </w:style>
  <w:style w:type="character" w:styleId="687">
    <w:name w:val="Heading 3 Char"/>
    <w:basedOn w:val="858"/>
    <w:link w:val="851"/>
    <w:uiPriority w:val="9"/>
    <w:rPr>
      <w:rFonts w:ascii="Arial" w:hAnsi="Arial" w:eastAsia="Arial" w:cs="Arial"/>
      <w:sz w:val="30"/>
      <w:szCs w:val="30"/>
    </w:rPr>
  </w:style>
  <w:style w:type="character" w:styleId="688">
    <w:name w:val="Heading 4 Char"/>
    <w:basedOn w:val="858"/>
    <w:link w:val="852"/>
    <w:uiPriority w:val="9"/>
    <w:rPr>
      <w:rFonts w:ascii="Arial" w:hAnsi="Arial" w:eastAsia="Arial" w:cs="Arial"/>
      <w:b/>
      <w:bCs/>
      <w:sz w:val="26"/>
      <w:szCs w:val="26"/>
    </w:rPr>
  </w:style>
  <w:style w:type="character" w:styleId="689">
    <w:name w:val="Heading 5 Char"/>
    <w:basedOn w:val="858"/>
    <w:link w:val="853"/>
    <w:uiPriority w:val="9"/>
    <w:rPr>
      <w:rFonts w:ascii="Arial" w:hAnsi="Arial" w:eastAsia="Arial" w:cs="Arial"/>
      <w:b/>
      <w:bCs/>
      <w:sz w:val="24"/>
      <w:szCs w:val="24"/>
    </w:rPr>
  </w:style>
  <w:style w:type="character" w:styleId="690">
    <w:name w:val="Heading 6 Char"/>
    <w:basedOn w:val="858"/>
    <w:link w:val="854"/>
    <w:uiPriority w:val="9"/>
    <w:rPr>
      <w:rFonts w:ascii="Arial" w:hAnsi="Arial" w:eastAsia="Arial" w:cs="Arial"/>
      <w:b/>
      <w:bCs/>
      <w:sz w:val="22"/>
      <w:szCs w:val="22"/>
    </w:rPr>
  </w:style>
  <w:style w:type="character" w:styleId="691">
    <w:name w:val="Heading 7 Char"/>
    <w:basedOn w:val="858"/>
    <w:link w:val="855"/>
    <w:uiPriority w:val="9"/>
    <w:rPr>
      <w:rFonts w:ascii="Arial" w:hAnsi="Arial" w:eastAsia="Arial" w:cs="Arial"/>
      <w:b/>
      <w:bCs/>
      <w:i/>
      <w:iCs/>
      <w:sz w:val="22"/>
      <w:szCs w:val="22"/>
    </w:rPr>
  </w:style>
  <w:style w:type="character" w:styleId="692">
    <w:name w:val="Heading 8 Char"/>
    <w:basedOn w:val="858"/>
    <w:link w:val="856"/>
    <w:uiPriority w:val="9"/>
    <w:rPr>
      <w:rFonts w:ascii="Arial" w:hAnsi="Arial" w:eastAsia="Arial" w:cs="Arial"/>
      <w:i/>
      <w:iCs/>
      <w:sz w:val="22"/>
      <w:szCs w:val="22"/>
    </w:rPr>
  </w:style>
  <w:style w:type="character" w:styleId="693">
    <w:name w:val="Heading 9 Char"/>
    <w:basedOn w:val="858"/>
    <w:link w:val="857"/>
    <w:uiPriority w:val="9"/>
    <w:rPr>
      <w:rFonts w:ascii="Arial" w:hAnsi="Arial" w:eastAsia="Arial" w:cs="Arial"/>
      <w:i/>
      <w:iCs/>
      <w:sz w:val="21"/>
      <w:szCs w:val="21"/>
    </w:rPr>
  </w:style>
  <w:style w:type="paragraph" w:styleId="694">
    <w:name w:val="No Spacing"/>
    <w:uiPriority w:val="1"/>
    <w:qFormat/>
    <w:pPr>
      <w:spacing w:before="0" w:after="0" w:line="240" w:lineRule="auto"/>
    </w:pPr>
  </w:style>
  <w:style w:type="character" w:styleId="695">
    <w:name w:val="Title Char"/>
    <w:basedOn w:val="858"/>
    <w:link w:val="879"/>
    <w:uiPriority w:val="10"/>
    <w:rPr>
      <w:sz w:val="48"/>
      <w:szCs w:val="48"/>
    </w:rPr>
  </w:style>
  <w:style w:type="paragraph" w:styleId="696">
    <w:name w:val="Subtitle"/>
    <w:basedOn w:val="848"/>
    <w:next w:val="848"/>
    <w:link w:val="697"/>
    <w:uiPriority w:val="11"/>
    <w:qFormat/>
    <w:pPr>
      <w:spacing w:before="200" w:after="200"/>
    </w:pPr>
    <w:rPr>
      <w:sz w:val="24"/>
      <w:szCs w:val="24"/>
    </w:rPr>
  </w:style>
  <w:style w:type="character" w:styleId="697">
    <w:name w:val="Subtitle Char"/>
    <w:basedOn w:val="858"/>
    <w:link w:val="696"/>
    <w:uiPriority w:val="11"/>
    <w:rPr>
      <w:sz w:val="24"/>
      <w:szCs w:val="24"/>
    </w:rPr>
  </w:style>
  <w:style w:type="paragraph" w:styleId="698">
    <w:name w:val="Quote"/>
    <w:basedOn w:val="848"/>
    <w:next w:val="848"/>
    <w:link w:val="699"/>
    <w:uiPriority w:val="29"/>
    <w:qFormat/>
    <w:pPr>
      <w:ind w:left="720" w:right="720"/>
    </w:pPr>
    <w:rPr>
      <w:i/>
    </w:rPr>
  </w:style>
  <w:style w:type="character" w:styleId="699">
    <w:name w:val="Quote Char"/>
    <w:link w:val="698"/>
    <w:uiPriority w:val="29"/>
    <w:rPr>
      <w:i/>
    </w:rPr>
  </w:style>
  <w:style w:type="paragraph" w:styleId="700">
    <w:name w:val="Intense Quote"/>
    <w:basedOn w:val="848"/>
    <w:next w:val="84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8"/>
    <w:link w:val="874"/>
    <w:uiPriority w:val="99"/>
  </w:style>
  <w:style w:type="character" w:styleId="703">
    <w:name w:val="Footer Char"/>
    <w:basedOn w:val="858"/>
    <w:link w:val="873"/>
    <w:uiPriority w:val="99"/>
  </w:style>
  <w:style w:type="paragraph" w:styleId="704">
    <w:name w:val="Caption"/>
    <w:basedOn w:val="848"/>
    <w:next w:val="848"/>
    <w:uiPriority w:val="35"/>
    <w:semiHidden/>
    <w:unhideWhenUsed/>
    <w:qFormat/>
    <w:pPr>
      <w:spacing w:line="276" w:lineRule="auto"/>
    </w:pPr>
    <w:rPr>
      <w:b/>
      <w:bCs/>
      <w:color w:val="4f81bd" w:themeColor="accent1"/>
      <w:sz w:val="18"/>
      <w:szCs w:val="18"/>
    </w:rPr>
  </w:style>
  <w:style w:type="character" w:styleId="705">
    <w:name w:val="Caption Char"/>
    <w:basedOn w:val="704"/>
    <w:link w:val="873"/>
    <w:uiPriority w:val="99"/>
  </w:style>
  <w:style w:type="table" w:styleId="706">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2">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6">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7">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1">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4">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8">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8">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2">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5">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9">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2">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6">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9">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3">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8"/>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8"/>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next w:val="860"/>
    <w:uiPriority w:val="0"/>
    <w:qFormat/>
    <w:pPr>
      <w:jc w:val="both"/>
      <w:widowControl w:val="off"/>
    </w:pPr>
    <w:rPr>
      <w:rFonts w:ascii="Times New Roman" w:hAnsi="Times New Roman" w:eastAsia="宋体" w:cs="Times New Roman"/>
      <w:sz w:val="21"/>
      <w:szCs w:val="24"/>
      <w:lang w:val="en-US" w:eastAsia="zh-CN" w:bidi="ar-SA"/>
    </w:rPr>
  </w:style>
  <w:style w:type="paragraph" w:styleId="849">
    <w:name w:val="Heading 1"/>
    <w:basedOn w:val="848"/>
    <w:next w:val="848"/>
    <w:link w:val="886"/>
    <w:uiPriority w:val="0"/>
    <w:qFormat/>
    <w:pPr>
      <w:keepLines/>
      <w:keepNext/>
      <w:spacing w:before="340" w:after="330" w:line="578" w:lineRule="auto"/>
      <w:outlineLvl w:val="0"/>
    </w:pPr>
    <w:rPr>
      <w:b/>
      <w:bCs/>
      <w:sz w:val="44"/>
      <w:szCs w:val="44"/>
    </w:rPr>
  </w:style>
  <w:style w:type="paragraph" w:styleId="850">
    <w:name w:val="Heading 2"/>
    <w:basedOn w:val="848"/>
    <w:next w:val="848"/>
    <w:link w:val="887"/>
    <w:uiPriority w:val="0"/>
    <w:qFormat/>
    <w:pPr>
      <w:keepLines/>
      <w:keepNext/>
      <w:spacing w:before="260" w:after="260" w:line="416" w:lineRule="auto"/>
      <w:outlineLvl w:val="1"/>
    </w:pPr>
    <w:rPr>
      <w:rFonts w:ascii="Arial" w:hAnsi="Arial" w:eastAsia="黑体"/>
      <w:b/>
      <w:bCs/>
      <w:sz w:val="32"/>
      <w:szCs w:val="32"/>
    </w:rPr>
  </w:style>
  <w:style w:type="paragraph" w:styleId="851">
    <w:name w:val="Heading 3"/>
    <w:basedOn w:val="848"/>
    <w:next w:val="848"/>
    <w:link w:val="888"/>
    <w:uiPriority w:val="0"/>
    <w:qFormat/>
    <w:pPr>
      <w:keepLines/>
      <w:keepNext/>
      <w:spacing w:before="260" w:after="260" w:line="416" w:lineRule="auto"/>
      <w:outlineLvl w:val="2"/>
    </w:pPr>
    <w:rPr>
      <w:b/>
      <w:bCs/>
      <w:sz w:val="32"/>
      <w:szCs w:val="32"/>
    </w:rPr>
  </w:style>
  <w:style w:type="paragraph" w:styleId="852">
    <w:name w:val="Heading 4"/>
    <w:basedOn w:val="848"/>
    <w:next w:val="848"/>
    <w:link w:val="889"/>
    <w:uiPriority w:val="0"/>
    <w:qFormat/>
    <w:pPr>
      <w:jc w:val="center"/>
      <w:keepNext/>
      <w:outlineLvl w:val="3"/>
    </w:pPr>
    <w:rPr>
      <w:rFonts w:eastAsia="新宋体"/>
      <w:sz w:val="30"/>
      <w:szCs w:val="21"/>
    </w:rPr>
  </w:style>
  <w:style w:type="paragraph" w:styleId="853">
    <w:name w:val="Heading 5"/>
    <w:basedOn w:val="848"/>
    <w:next w:val="848"/>
    <w:link w:val="890"/>
    <w:uiPriority w:val="0"/>
    <w:qFormat/>
    <w:pPr>
      <w:keepLines/>
      <w:keepNext/>
      <w:spacing w:before="280" w:after="290" w:line="376" w:lineRule="auto"/>
      <w:outlineLvl w:val="4"/>
    </w:pPr>
    <w:rPr>
      <w:b/>
      <w:bCs/>
      <w:sz w:val="28"/>
      <w:szCs w:val="28"/>
    </w:rPr>
  </w:style>
  <w:style w:type="paragraph" w:styleId="854">
    <w:name w:val="Heading 6"/>
    <w:basedOn w:val="848"/>
    <w:next w:val="866"/>
    <w:link w:val="891"/>
    <w:uiPriority w:val="0"/>
    <w:qFormat/>
    <w:pPr>
      <w:jc w:val="center"/>
      <w:keepNext/>
      <w:outlineLvl w:val="5"/>
    </w:pPr>
    <w:rPr>
      <w:b/>
      <w:sz w:val="44"/>
      <w:szCs w:val="20"/>
    </w:rPr>
  </w:style>
  <w:style w:type="paragraph" w:styleId="855">
    <w:name w:val="Heading 7"/>
    <w:basedOn w:val="848"/>
    <w:next w:val="848"/>
    <w:link w:val="893"/>
    <w:uiPriority w:val="0"/>
    <w:qFormat/>
    <w:pPr>
      <w:keepLines/>
      <w:keepNext/>
      <w:spacing w:before="240" w:after="64" w:line="320" w:lineRule="auto"/>
      <w:outlineLvl w:val="6"/>
    </w:pPr>
    <w:rPr>
      <w:b/>
      <w:bCs/>
      <w:sz w:val="24"/>
    </w:rPr>
  </w:style>
  <w:style w:type="paragraph" w:styleId="856">
    <w:name w:val="Heading 8"/>
    <w:basedOn w:val="848"/>
    <w:next w:val="848"/>
    <w:link w:val="894"/>
    <w:uiPriority w:val="0"/>
    <w:qFormat/>
    <w:pPr>
      <w:keepLines/>
      <w:keepNext/>
      <w:spacing w:before="240" w:after="64" w:line="320" w:lineRule="auto"/>
      <w:outlineLvl w:val="7"/>
    </w:pPr>
    <w:rPr>
      <w:rFonts w:ascii="Arial" w:hAnsi="Arial" w:eastAsia="黑体"/>
      <w:sz w:val="24"/>
    </w:rPr>
  </w:style>
  <w:style w:type="paragraph" w:styleId="857">
    <w:name w:val="Heading 9"/>
    <w:basedOn w:val="848"/>
    <w:next w:val="848"/>
    <w:link w:val="895"/>
    <w:uiPriority w:val="0"/>
    <w:qFormat/>
    <w:pPr>
      <w:keepLines/>
      <w:keepNext/>
      <w:spacing w:before="240" w:after="64" w:line="320" w:lineRule="auto"/>
      <w:outlineLvl w:val="8"/>
    </w:pPr>
    <w:rPr>
      <w:rFonts w:ascii="Arial" w:hAnsi="Arial" w:eastAsia="黑体"/>
      <w:sz w:val="24"/>
      <w:szCs w:val="21"/>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Body Text First Indent"/>
    <w:basedOn w:val="861"/>
    <w:next w:val="863"/>
    <w:uiPriority w:val="0"/>
    <w:qFormat/>
    <w:pPr>
      <w:ind w:firstLine="420"/>
      <w:spacing w:after="120"/>
    </w:pPr>
    <w:rPr>
      <w:rFonts w:ascii="Times New Roman"/>
      <w:szCs w:val="24"/>
    </w:rPr>
  </w:style>
  <w:style w:type="paragraph" w:styleId="861">
    <w:name w:val="Body Text"/>
    <w:basedOn w:val="848"/>
    <w:next w:val="862"/>
    <w:link w:val="898"/>
    <w:uiPriority w:val="0"/>
    <w:qFormat/>
    <w:rPr>
      <w:rFonts w:ascii="仿宋_GB2312" w:eastAsia="仿宋_GB2312"/>
      <w:sz w:val="24"/>
      <w:szCs w:val="20"/>
    </w:rPr>
  </w:style>
  <w:style w:type="paragraph" w:styleId="862" w:customStyle="1">
    <w:name w:val="Default"/>
    <w:uiPriority w:val="99"/>
    <w:qFormat/>
    <w:pPr>
      <w:widowControl w:val="off"/>
    </w:pPr>
    <w:rPr>
      <w:rFonts w:ascii="宋体" w:hAnsi="宋体" w:eastAsia="宋体" w:cs="宋体"/>
      <w:color w:val="000000"/>
      <w:sz w:val="24"/>
      <w:szCs w:val="24"/>
      <w:lang w:val="en-US" w:eastAsia="zh-CN" w:bidi="ar-SA"/>
    </w:rPr>
  </w:style>
  <w:style w:type="paragraph" w:styleId="863">
    <w:name w:val="Body Text First Indent 2"/>
    <w:basedOn w:val="864"/>
    <w:next w:val="848"/>
    <w:uiPriority w:val="0"/>
    <w:qFormat/>
    <w:pPr>
      <w:ind w:left="420" w:firstLine="420"/>
      <w:spacing w:after="120"/>
    </w:pPr>
  </w:style>
  <w:style w:type="paragraph" w:styleId="864">
    <w:name w:val="Body Text Indent"/>
    <w:basedOn w:val="848"/>
    <w:next w:val="865"/>
    <w:link w:val="899"/>
    <w:uiPriority w:val="0"/>
    <w:qFormat/>
    <w:pPr>
      <w:ind w:left="765"/>
    </w:pPr>
    <w:rPr>
      <w:rFonts w:ascii="仿宋_GB2312" w:eastAsia="仿宋_GB2312"/>
      <w:sz w:val="28"/>
      <w:szCs w:val="20"/>
    </w:rPr>
  </w:style>
  <w:style w:type="paragraph" w:styleId="865">
    <w:name w:val="envelope return"/>
    <w:basedOn w:val="848"/>
    <w:uiPriority w:val="0"/>
    <w:qFormat/>
    <w:rPr>
      <w:rFonts w:ascii="Arial" w:hAnsi="Arial"/>
    </w:rPr>
  </w:style>
  <w:style w:type="paragraph" w:styleId="866">
    <w:name w:val="Normal Indent"/>
    <w:basedOn w:val="848"/>
    <w:link w:val="892"/>
    <w:uiPriority w:val="0"/>
    <w:qFormat/>
    <w:pPr>
      <w:ind w:firstLine="420"/>
    </w:pPr>
    <w:rPr>
      <w:sz w:val="20"/>
      <w:szCs w:val="20"/>
    </w:rPr>
  </w:style>
  <w:style w:type="paragraph" w:styleId="867">
    <w:name w:val="Document Map"/>
    <w:basedOn w:val="848"/>
    <w:link w:val="896"/>
    <w:uiPriority w:val="0"/>
    <w:semiHidden/>
    <w:qFormat/>
    <w:pPr>
      <w:shd w:val="clear" w:color="auto" w:fill="000080"/>
    </w:pPr>
    <w:rPr>
      <w:sz w:val="20"/>
    </w:rPr>
  </w:style>
  <w:style w:type="paragraph" w:styleId="868">
    <w:name w:val="Body Text 3"/>
    <w:basedOn w:val="848"/>
    <w:link w:val="897"/>
    <w:uiPriority w:val="0"/>
    <w:qFormat/>
    <w:pPr>
      <w:spacing w:after="120"/>
    </w:pPr>
    <w:rPr>
      <w:sz w:val="16"/>
      <w:szCs w:val="16"/>
    </w:rPr>
  </w:style>
  <w:style w:type="paragraph" w:styleId="869">
    <w:name w:val="Plain Text"/>
    <w:basedOn w:val="848"/>
    <w:link w:val="900"/>
    <w:uiPriority w:val="0"/>
    <w:qFormat/>
    <w:rPr>
      <w:rFonts w:ascii="宋体" w:hAnsi="Courier New"/>
      <w:sz w:val="20"/>
      <w:szCs w:val="21"/>
    </w:rPr>
  </w:style>
  <w:style w:type="paragraph" w:styleId="870">
    <w:name w:val="Date"/>
    <w:basedOn w:val="848"/>
    <w:next w:val="848"/>
    <w:link w:val="901"/>
    <w:uiPriority w:val="0"/>
    <w:qFormat/>
    <w:rPr>
      <w:sz w:val="24"/>
      <w:szCs w:val="20"/>
    </w:rPr>
  </w:style>
  <w:style w:type="paragraph" w:styleId="871">
    <w:name w:val="Body Text Indent 2"/>
    <w:basedOn w:val="848"/>
    <w:link w:val="902"/>
    <w:uiPriority w:val="0"/>
    <w:qFormat/>
    <w:pPr>
      <w:ind w:firstLine="560"/>
      <w:spacing w:line="500" w:lineRule="exact"/>
    </w:pPr>
    <w:rPr>
      <w:rFonts w:eastAsia="仿宋_GB2312"/>
      <w:sz w:val="28"/>
      <w:szCs w:val="20"/>
    </w:rPr>
  </w:style>
  <w:style w:type="paragraph" w:styleId="872">
    <w:name w:val="Balloon Text"/>
    <w:basedOn w:val="848"/>
    <w:link w:val="903"/>
    <w:uiPriority w:val="0"/>
    <w:semiHidden/>
    <w:qFormat/>
    <w:rPr>
      <w:sz w:val="18"/>
      <w:szCs w:val="18"/>
    </w:rPr>
  </w:style>
  <w:style w:type="paragraph" w:styleId="873">
    <w:name w:val="Footer"/>
    <w:basedOn w:val="848"/>
    <w:link w:val="904"/>
    <w:uiPriority w:val="99"/>
    <w:qFormat/>
    <w:pPr>
      <w:jc w:val="left"/>
      <w:tabs>
        <w:tab w:val="center" w:pos="4153" w:leader="none"/>
        <w:tab w:val="right" w:pos="8306" w:leader="none"/>
      </w:tabs>
    </w:pPr>
    <w:rPr>
      <w:sz w:val="18"/>
      <w:szCs w:val="20"/>
    </w:rPr>
  </w:style>
  <w:style w:type="paragraph" w:styleId="874">
    <w:name w:val="Header"/>
    <w:basedOn w:val="848"/>
    <w:link w:val="905"/>
    <w:uiPriority w:val="0"/>
    <w:qFormat/>
    <w:pPr>
      <w:jc w:val="center"/>
      <w:tabs>
        <w:tab w:val="center" w:pos="4153" w:leader="none"/>
        <w:tab w:val="right" w:pos="8306" w:leader="none"/>
      </w:tabs>
      <w:pBdr>
        <w:bottom w:val="single" w:color="auto" w:sz="6" w:space="1"/>
      </w:pBdr>
    </w:pPr>
    <w:rPr>
      <w:sz w:val="18"/>
      <w:szCs w:val="18"/>
    </w:rPr>
  </w:style>
  <w:style w:type="paragraph" w:styleId="875">
    <w:name w:val="List"/>
    <w:basedOn w:val="848"/>
    <w:uiPriority w:val="0"/>
    <w:qFormat/>
    <w:pPr>
      <w:ind w:left="200" w:hanging="200"/>
    </w:pPr>
  </w:style>
  <w:style w:type="paragraph" w:styleId="876">
    <w:name w:val="Body Text Indent 3"/>
    <w:basedOn w:val="848"/>
    <w:link w:val="907"/>
    <w:uiPriority w:val="0"/>
    <w:qFormat/>
    <w:pPr>
      <w:ind w:left="420"/>
      <w:spacing w:after="120"/>
    </w:pPr>
    <w:rPr>
      <w:sz w:val="16"/>
      <w:szCs w:val="16"/>
    </w:rPr>
  </w:style>
  <w:style w:type="paragraph" w:styleId="877">
    <w:name w:val="Body Text 2"/>
    <w:basedOn w:val="848"/>
    <w:link w:val="908"/>
    <w:uiPriority w:val="0"/>
    <w:qFormat/>
    <w:rPr>
      <w:b/>
      <w:bCs/>
      <w:sz w:val="18"/>
    </w:rPr>
  </w:style>
  <w:style w:type="paragraph" w:styleId="878">
    <w:name w:val="Normal (Web)"/>
    <w:basedOn w:val="848"/>
    <w:uiPriority w:val="0"/>
    <w:qFormat/>
    <w:pPr>
      <w:jc w:val="left"/>
      <w:spacing w:before="100" w:beforeAutospacing="1" w:after="100" w:afterAutospacing="1"/>
      <w:widowControl/>
    </w:pPr>
    <w:rPr>
      <w:rFonts w:ascii="宋体" w:hAnsi="宋体"/>
      <w:color w:val="000000"/>
      <w:sz w:val="24"/>
    </w:rPr>
  </w:style>
  <w:style w:type="paragraph" w:styleId="879">
    <w:name w:val="Title"/>
    <w:basedOn w:val="848"/>
    <w:uiPriority w:val="0"/>
    <w:qFormat/>
    <w:pPr>
      <w:jc w:val="center"/>
      <w:spacing w:line="420" w:lineRule="exact"/>
      <w:widowControl/>
    </w:pPr>
    <w:rPr>
      <w:rFonts w:ascii="Cambria" w:hAnsi="Cambria"/>
      <w:b/>
      <w:bCs/>
      <w:sz w:val="32"/>
      <w:szCs w:val="32"/>
    </w:rPr>
  </w:style>
  <w:style w:type="table" w:styleId="880">
    <w:name w:val="Table Grid"/>
    <w:basedOn w:val="8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Strong"/>
    <w:uiPriority w:val="0"/>
    <w:qFormat/>
    <w:rPr>
      <w:b/>
      <w:bCs/>
    </w:rPr>
  </w:style>
  <w:style w:type="character" w:styleId="882">
    <w:name w:val="page number"/>
    <w:uiPriority w:val="0"/>
    <w:qFormat/>
  </w:style>
  <w:style w:type="character" w:styleId="883">
    <w:name w:val="FollowedHyperlink"/>
    <w:uiPriority w:val="0"/>
    <w:qFormat/>
    <w:rPr>
      <w:color w:val="800080"/>
      <w:u w:val="single"/>
    </w:rPr>
  </w:style>
  <w:style w:type="character" w:styleId="884">
    <w:name w:val="Emphasis"/>
    <w:uiPriority w:val="0"/>
    <w:qFormat/>
    <w:rPr>
      <w:i/>
    </w:rPr>
  </w:style>
  <w:style w:type="character" w:styleId="885">
    <w:name w:val="Hyperlink"/>
    <w:uiPriority w:val="0"/>
    <w:qFormat/>
    <w:rPr>
      <w:color w:val="0000ff"/>
      <w:u w:val="single"/>
    </w:rPr>
  </w:style>
  <w:style w:type="character" w:styleId="886" w:customStyle="1">
    <w:name w:val="标题 1 字符"/>
    <w:link w:val="849"/>
    <w:uiPriority w:val="0"/>
    <w:qFormat/>
    <w:rPr>
      <w:rFonts w:ascii="Times New Roman" w:hAnsi="Times New Roman" w:eastAsia="宋体" w:cs="Times New Roman"/>
      <w:b/>
      <w:bCs/>
      <w:sz w:val="44"/>
      <w:szCs w:val="44"/>
    </w:rPr>
  </w:style>
  <w:style w:type="character" w:styleId="887" w:customStyle="1">
    <w:name w:val="标题 2 字符"/>
    <w:link w:val="850"/>
    <w:uiPriority w:val="0"/>
    <w:qFormat/>
    <w:rPr>
      <w:rFonts w:ascii="Arial" w:hAnsi="Arial" w:eastAsia="黑体" w:cs="Times New Roman"/>
      <w:b/>
      <w:bCs/>
      <w:sz w:val="32"/>
      <w:szCs w:val="32"/>
    </w:rPr>
  </w:style>
  <w:style w:type="character" w:styleId="888" w:customStyle="1">
    <w:name w:val="标题 3 字符"/>
    <w:link w:val="851"/>
    <w:uiPriority w:val="0"/>
    <w:qFormat/>
    <w:rPr>
      <w:rFonts w:ascii="Times New Roman" w:hAnsi="Times New Roman" w:eastAsia="宋体" w:cs="Times New Roman"/>
      <w:b/>
      <w:bCs/>
      <w:sz w:val="32"/>
      <w:szCs w:val="32"/>
    </w:rPr>
  </w:style>
  <w:style w:type="character" w:styleId="889" w:customStyle="1">
    <w:name w:val="标题 4 字符"/>
    <w:link w:val="852"/>
    <w:uiPriority w:val="0"/>
    <w:qFormat/>
    <w:rPr>
      <w:rFonts w:ascii="Times New Roman" w:hAnsi="Times New Roman" w:eastAsia="新宋体" w:cs="Times New Roman"/>
      <w:sz w:val="30"/>
      <w:szCs w:val="21"/>
    </w:rPr>
  </w:style>
  <w:style w:type="character" w:styleId="890" w:customStyle="1">
    <w:name w:val="标题 5 字符"/>
    <w:link w:val="853"/>
    <w:uiPriority w:val="0"/>
    <w:qFormat/>
    <w:rPr>
      <w:rFonts w:ascii="Times New Roman" w:hAnsi="Times New Roman" w:eastAsia="宋体" w:cs="Times New Roman"/>
      <w:b/>
      <w:bCs/>
      <w:sz w:val="28"/>
      <w:szCs w:val="28"/>
    </w:rPr>
  </w:style>
  <w:style w:type="character" w:styleId="891" w:customStyle="1">
    <w:name w:val="标题 6 字符"/>
    <w:link w:val="854"/>
    <w:uiPriority w:val="0"/>
    <w:qFormat/>
    <w:rPr>
      <w:rFonts w:ascii="Times New Roman" w:hAnsi="Times New Roman" w:eastAsia="宋体" w:cs="Times New Roman"/>
      <w:b/>
      <w:sz w:val="44"/>
      <w:szCs w:val="20"/>
    </w:rPr>
  </w:style>
  <w:style w:type="character" w:styleId="892" w:customStyle="1">
    <w:name w:val="正文缩进 字符"/>
    <w:link w:val="866"/>
    <w:uiPriority w:val="0"/>
    <w:qFormat/>
    <w:rPr>
      <w:rFonts w:ascii="Times New Roman" w:hAnsi="Times New Roman" w:eastAsia="宋体" w:cs="Times New Roman"/>
      <w:sz w:val="20"/>
      <w:szCs w:val="20"/>
    </w:rPr>
  </w:style>
  <w:style w:type="character" w:styleId="893" w:customStyle="1">
    <w:name w:val="标题 7 字符"/>
    <w:link w:val="855"/>
    <w:uiPriority w:val="0"/>
    <w:qFormat/>
    <w:rPr>
      <w:rFonts w:ascii="Times New Roman" w:hAnsi="Times New Roman" w:eastAsia="宋体" w:cs="Times New Roman"/>
      <w:b/>
      <w:bCs/>
      <w:sz w:val="24"/>
      <w:szCs w:val="24"/>
    </w:rPr>
  </w:style>
  <w:style w:type="character" w:styleId="894" w:customStyle="1">
    <w:name w:val="标题 8 字符"/>
    <w:link w:val="856"/>
    <w:uiPriority w:val="0"/>
    <w:qFormat/>
    <w:rPr>
      <w:rFonts w:ascii="Arial" w:hAnsi="Arial" w:eastAsia="黑体" w:cs="Times New Roman"/>
      <w:sz w:val="24"/>
      <w:szCs w:val="24"/>
    </w:rPr>
  </w:style>
  <w:style w:type="character" w:styleId="895" w:customStyle="1">
    <w:name w:val="标题 9 字符"/>
    <w:link w:val="857"/>
    <w:uiPriority w:val="0"/>
    <w:qFormat/>
    <w:rPr>
      <w:rFonts w:ascii="Arial" w:hAnsi="Arial" w:eastAsia="黑体" w:cs="Times New Roman"/>
      <w:sz w:val="24"/>
      <w:szCs w:val="21"/>
    </w:rPr>
  </w:style>
  <w:style w:type="character" w:styleId="896" w:customStyle="1">
    <w:name w:val="文档结构图 字符"/>
    <w:link w:val="867"/>
    <w:uiPriority w:val="0"/>
    <w:semiHidden/>
    <w:qFormat/>
    <w:rPr>
      <w:szCs w:val="24"/>
      <w:shd w:val="clear" w:color="auto" w:fill="000080"/>
    </w:rPr>
  </w:style>
  <w:style w:type="character" w:styleId="897" w:customStyle="1">
    <w:name w:val="正文文本 3 字符"/>
    <w:link w:val="868"/>
    <w:uiPriority w:val="0"/>
    <w:qFormat/>
    <w:rPr>
      <w:rFonts w:ascii="Times New Roman" w:hAnsi="Times New Roman" w:eastAsia="宋体" w:cs="Times New Roman"/>
      <w:sz w:val="16"/>
      <w:szCs w:val="16"/>
    </w:rPr>
  </w:style>
  <w:style w:type="character" w:styleId="898" w:customStyle="1">
    <w:name w:val="正文文本 字符"/>
    <w:link w:val="861"/>
    <w:uiPriority w:val="0"/>
    <w:qFormat/>
    <w:rPr>
      <w:rFonts w:ascii="仿宋_GB2312" w:hAnsi="Times New Roman" w:eastAsia="仿宋_GB2312" w:cs="Times New Roman"/>
      <w:sz w:val="24"/>
      <w:szCs w:val="20"/>
    </w:rPr>
  </w:style>
  <w:style w:type="character" w:styleId="899" w:customStyle="1">
    <w:name w:val="正文文本缩进 字符"/>
    <w:link w:val="864"/>
    <w:uiPriority w:val="0"/>
    <w:qFormat/>
    <w:rPr>
      <w:rFonts w:ascii="仿宋_GB2312" w:hAnsi="Times New Roman" w:eastAsia="仿宋_GB2312" w:cs="Times New Roman"/>
      <w:sz w:val="28"/>
      <w:szCs w:val="20"/>
    </w:rPr>
  </w:style>
  <w:style w:type="character" w:styleId="900" w:customStyle="1">
    <w:name w:val="纯文本 字符"/>
    <w:link w:val="869"/>
    <w:uiPriority w:val="0"/>
    <w:qFormat/>
    <w:rPr>
      <w:rFonts w:ascii="宋体" w:hAnsi="Courier New" w:eastAsia="宋体" w:cs="Courier New"/>
      <w:szCs w:val="21"/>
    </w:rPr>
  </w:style>
  <w:style w:type="character" w:styleId="901" w:customStyle="1">
    <w:name w:val="日期 字符"/>
    <w:link w:val="870"/>
    <w:uiPriority w:val="0"/>
    <w:qFormat/>
    <w:rPr>
      <w:rFonts w:ascii="Times New Roman" w:hAnsi="Times New Roman" w:eastAsia="宋体" w:cs="Times New Roman"/>
      <w:sz w:val="24"/>
      <w:szCs w:val="20"/>
    </w:rPr>
  </w:style>
  <w:style w:type="character" w:styleId="902" w:customStyle="1">
    <w:name w:val="正文文本缩进 2 字符"/>
    <w:link w:val="871"/>
    <w:uiPriority w:val="0"/>
    <w:qFormat/>
    <w:rPr>
      <w:rFonts w:ascii="Times New Roman" w:hAnsi="Times New Roman" w:eastAsia="仿宋_GB2312" w:cs="Times New Roman"/>
      <w:sz w:val="28"/>
      <w:szCs w:val="20"/>
    </w:rPr>
  </w:style>
  <w:style w:type="character" w:styleId="903" w:customStyle="1">
    <w:name w:val="批注框文本 字符"/>
    <w:link w:val="872"/>
    <w:uiPriority w:val="0"/>
    <w:semiHidden/>
    <w:qFormat/>
    <w:rPr>
      <w:sz w:val="18"/>
      <w:szCs w:val="18"/>
    </w:rPr>
  </w:style>
  <w:style w:type="character" w:styleId="904" w:customStyle="1">
    <w:name w:val="页脚 字符"/>
    <w:link w:val="873"/>
    <w:uiPriority w:val="99"/>
    <w:qFormat/>
    <w:rPr>
      <w:rFonts w:ascii="Times New Roman" w:hAnsi="Times New Roman" w:eastAsia="宋体" w:cs="Times New Roman"/>
      <w:sz w:val="18"/>
      <w:szCs w:val="20"/>
    </w:rPr>
  </w:style>
  <w:style w:type="character" w:styleId="905" w:customStyle="1">
    <w:name w:val="页眉 字符"/>
    <w:link w:val="874"/>
    <w:uiPriority w:val="0"/>
    <w:qFormat/>
    <w:rPr>
      <w:rFonts w:ascii="Times New Roman" w:hAnsi="Times New Roman" w:eastAsia="宋体" w:cs="Times New Roman"/>
      <w:sz w:val="18"/>
      <w:szCs w:val="18"/>
    </w:rPr>
  </w:style>
  <w:style w:type="paragraph" w:styleId="906" w:customStyle="1">
    <w:name w:val="目录 11"/>
    <w:basedOn w:val="848"/>
    <w:next w:val="848"/>
    <w:uiPriority w:val="0"/>
    <w:semiHidden/>
    <w:qFormat/>
    <w:rPr>
      <w:sz w:val="24"/>
    </w:rPr>
  </w:style>
  <w:style w:type="character" w:styleId="907" w:customStyle="1">
    <w:name w:val="正文文本缩进 3 字符"/>
    <w:link w:val="876"/>
    <w:uiPriority w:val="0"/>
    <w:qFormat/>
    <w:rPr>
      <w:rFonts w:ascii="Times New Roman" w:hAnsi="Times New Roman" w:eastAsia="宋体" w:cs="Times New Roman"/>
      <w:sz w:val="16"/>
      <w:szCs w:val="16"/>
    </w:rPr>
  </w:style>
  <w:style w:type="character" w:styleId="908" w:customStyle="1">
    <w:name w:val="正文文本 2 字符"/>
    <w:link w:val="877"/>
    <w:uiPriority w:val="0"/>
    <w:qFormat/>
    <w:rPr>
      <w:rFonts w:ascii="Times New Roman" w:hAnsi="Times New Roman" w:eastAsia="宋体" w:cs="Times New Roman"/>
      <w:b/>
      <w:bCs/>
      <w:sz w:val="18"/>
      <w:szCs w:val="24"/>
    </w:rPr>
  </w:style>
  <w:style w:type="paragraph" w:styleId="909" w:customStyle="1">
    <w:name w:val="正文首行缩进1"/>
    <w:basedOn w:val="861"/>
    <w:link w:val="910"/>
    <w:uiPriority w:val="0"/>
    <w:qFormat/>
    <w:pPr>
      <w:ind w:firstLine="420"/>
      <w:spacing w:after="120"/>
    </w:pPr>
    <w:rPr>
      <w:rFonts w:ascii="Times New Roman" w:eastAsia="宋体"/>
      <w:szCs w:val="24"/>
    </w:rPr>
  </w:style>
  <w:style w:type="character" w:styleId="910" w:customStyle="1">
    <w:name w:val="正文首行缩进 Char"/>
    <w:link w:val="909"/>
    <w:uiPriority w:val="0"/>
    <w:qFormat/>
    <w:rPr>
      <w:rFonts w:ascii="Times New Roman" w:hAnsi="Times New Roman" w:eastAsia="宋体" w:cs="Times New Roman"/>
      <w:sz w:val="24"/>
      <w:szCs w:val="24"/>
    </w:rPr>
  </w:style>
  <w:style w:type="character" w:styleId="911" w:customStyle="1">
    <w:name w:val="列出段落 Char"/>
    <w:link w:val="912"/>
    <w:uiPriority w:val="99"/>
    <w:qFormat/>
  </w:style>
  <w:style w:type="paragraph" w:styleId="912" w:customStyle="1">
    <w:name w:val="列出段落"/>
    <w:basedOn w:val="848"/>
    <w:link w:val="911"/>
    <w:uiPriority w:val="99"/>
    <w:qFormat/>
    <w:pPr>
      <w:ind w:firstLine="420"/>
    </w:pPr>
    <w:rPr>
      <w:sz w:val="20"/>
      <w:szCs w:val="20"/>
    </w:rPr>
  </w:style>
  <w:style w:type="character" w:styleId="913" w:customStyle="1">
    <w:name w:val="文档结构图 Char1"/>
    <w:uiPriority w:val="99"/>
    <w:semiHidden/>
    <w:qFormat/>
    <w:rPr>
      <w:rFonts w:ascii="宋体" w:hAnsi="Times New Roman" w:eastAsia="宋体" w:cs="Times New Roman"/>
      <w:sz w:val="18"/>
      <w:szCs w:val="18"/>
    </w:rPr>
  </w:style>
  <w:style w:type="character" w:styleId="914" w:customStyle="1">
    <w:name w:val="普通正文 Char"/>
    <w:link w:val="915"/>
    <w:uiPriority w:val="0"/>
    <w:qFormat/>
    <w:rPr>
      <w:rFonts w:ascii="Arial" w:hAnsi="Arial"/>
      <w:sz w:val="24"/>
      <w:szCs w:val="24"/>
    </w:rPr>
  </w:style>
  <w:style w:type="paragraph" w:styleId="915" w:customStyle="1">
    <w:name w:val="普通正文"/>
    <w:basedOn w:val="848"/>
    <w:link w:val="914"/>
    <w:uiPriority w:val="0"/>
    <w:qFormat/>
    <w:pPr>
      <w:ind w:left="-2" w:right="120" w:firstLine="480"/>
      <w:jc w:val="center"/>
      <w:spacing w:before="120" w:after="120" w:line="360" w:lineRule="auto"/>
    </w:pPr>
    <w:rPr>
      <w:rFonts w:ascii="Arial" w:hAnsi="Arial"/>
      <w:sz w:val="24"/>
    </w:rPr>
  </w:style>
  <w:style w:type="character" w:styleId="916" w:customStyle="1">
    <w:name w:val="FA正文 Char"/>
    <w:link w:val="917"/>
    <w:uiPriority w:val="0"/>
    <w:qFormat/>
    <w:rPr>
      <w:rFonts w:ascii="宋体" w:hAnsi="宋体" w:eastAsia="宋体" w:cs="Times New Roman"/>
      <w:sz w:val="28"/>
      <w:szCs w:val="28"/>
    </w:rPr>
  </w:style>
  <w:style w:type="paragraph" w:styleId="917" w:customStyle="1">
    <w:name w:val="FA正文"/>
    <w:basedOn w:val="848"/>
    <w:link w:val="916"/>
    <w:uiPriority w:val="0"/>
    <w:qFormat/>
    <w:pPr>
      <w:ind w:firstLine="538"/>
      <w:spacing w:line="440" w:lineRule="atLeast"/>
      <w:tabs>
        <w:tab w:val="left" w:pos="3375" w:leader="none"/>
      </w:tabs>
    </w:pPr>
    <w:rPr>
      <w:rFonts w:ascii="宋体" w:hAnsi="宋体"/>
      <w:sz w:val="28"/>
      <w:szCs w:val="28"/>
    </w:rPr>
  </w:style>
  <w:style w:type="character" w:styleId="918" w:customStyle="1">
    <w:name w:val="正文缩进2格 Char"/>
    <w:link w:val="919"/>
    <w:uiPriority w:val="0"/>
    <w:qFormat/>
    <w:rPr>
      <w:rFonts w:ascii="仿宋_GB2312" w:hAnsi="宋体" w:eastAsia="仿宋_GB2312" w:cs="Times New Roman"/>
      <w:sz w:val="31"/>
      <w:szCs w:val="28"/>
    </w:rPr>
  </w:style>
  <w:style w:type="paragraph" w:styleId="919" w:customStyle="1">
    <w:name w:val="正文缩进2格"/>
    <w:basedOn w:val="848"/>
    <w:link w:val="918"/>
    <w:uiPriority w:val="0"/>
    <w:qFormat/>
    <w:pPr>
      <w:ind w:firstLine="639"/>
      <w:spacing w:line="600" w:lineRule="exact"/>
    </w:pPr>
    <w:rPr>
      <w:rFonts w:ascii="仿宋_GB2312" w:hAnsi="宋体" w:eastAsia="仿宋_GB2312"/>
      <w:sz w:val="31"/>
      <w:szCs w:val="28"/>
    </w:rPr>
  </w:style>
  <w:style w:type="character" w:styleId="920" w:customStyle="1">
    <w:name w:val="cn_text1"/>
    <w:uiPriority w:val="0"/>
    <w:qFormat/>
    <w:rPr>
      <w:rFonts w:hint="default" w:ascii="ˎ̥" w:hAnsi="ˎ̥"/>
      <w:color w:val="003399"/>
      <w:spacing w:val="15"/>
      <w:sz w:val="18"/>
      <w:szCs w:val="18"/>
    </w:rPr>
  </w:style>
  <w:style w:type="character" w:styleId="921" w:customStyle="1">
    <w:name w:val="ssss Char"/>
    <w:uiPriority w:val="0"/>
    <w:qFormat/>
    <w:rPr>
      <w:rFonts w:eastAsia="宋体"/>
      <w:sz w:val="24"/>
      <w:szCs w:val="24"/>
      <w:lang w:val="en-US" w:eastAsia="zh-CN" w:bidi="ar-SA"/>
    </w:rPr>
  </w:style>
  <w:style w:type="character" w:styleId="922" w:customStyle="1">
    <w:name w:val="ssss Char1"/>
    <w:link w:val="923"/>
    <w:uiPriority w:val="0"/>
    <w:qFormat/>
    <w:rPr>
      <w:rFonts w:ascii="Times New Roman" w:hAnsi="Times New Roman" w:eastAsia="宋体" w:cs="Times New Roman"/>
      <w:sz w:val="24"/>
      <w:szCs w:val="24"/>
    </w:rPr>
  </w:style>
  <w:style w:type="paragraph" w:styleId="923" w:customStyle="1">
    <w:name w:val="ssss"/>
    <w:basedOn w:val="848"/>
    <w:link w:val="922"/>
    <w:uiPriority w:val="0"/>
    <w:qFormat/>
    <w:pPr>
      <w:ind w:firstLine="480"/>
      <w:spacing w:line="360" w:lineRule="auto"/>
    </w:pPr>
    <w:rPr>
      <w:sz w:val="24"/>
    </w:rPr>
  </w:style>
  <w:style w:type="character" w:styleId="924" w:customStyle="1">
    <w:name w:val="标题 4 Char1"/>
    <w:uiPriority w:val="0"/>
    <w:qFormat/>
    <w:rPr>
      <w:rFonts w:ascii="Arial" w:hAnsi="Arial" w:eastAsia="黑体"/>
      <w:b/>
      <w:bCs/>
      <w:sz w:val="28"/>
      <w:szCs w:val="28"/>
      <w:lang w:val="en-US" w:eastAsia="zh-CN" w:bidi="ar-SA"/>
    </w:rPr>
  </w:style>
  <w:style w:type="character" w:styleId="925" w:customStyle="1">
    <w:name w:val="列表段落 字符"/>
    <w:uiPriority w:val="34"/>
    <w:qFormat/>
    <w:rPr>
      <w:rFonts w:ascii="Calibri" w:hAnsi="Calibri"/>
      <w:sz w:val="21"/>
      <w:szCs w:val="22"/>
    </w:rPr>
  </w:style>
  <w:style w:type="character" w:styleId="926" w:customStyle="1">
    <w:name w:val="批注框文本 Char1"/>
    <w:uiPriority w:val="99"/>
    <w:semiHidden/>
    <w:qFormat/>
    <w:rPr>
      <w:rFonts w:ascii="Times New Roman" w:hAnsi="Times New Roman" w:eastAsia="宋体" w:cs="Times New Roman"/>
      <w:sz w:val="18"/>
      <w:szCs w:val="18"/>
    </w:rPr>
  </w:style>
  <w:style w:type="character" w:styleId="927" w:customStyle="1">
    <w:name w:val="样式 ssss + 宋体 五号1 Char"/>
    <w:link w:val="928"/>
    <w:uiPriority w:val="0"/>
    <w:qFormat/>
    <w:rPr>
      <w:rFonts w:ascii="宋体" w:hAnsi="宋体" w:eastAsia="宋体" w:cs="Times New Roman"/>
      <w:sz w:val="24"/>
      <w:szCs w:val="24"/>
    </w:rPr>
  </w:style>
  <w:style w:type="paragraph" w:styleId="928" w:customStyle="1">
    <w:name w:val="样式 ssss + 宋体 五号1"/>
    <w:basedOn w:val="923"/>
    <w:link w:val="927"/>
    <w:uiPriority w:val="0"/>
    <w:qFormat/>
    <w:rPr>
      <w:rFonts w:ascii="宋体" w:hAnsi="宋体"/>
    </w:rPr>
  </w:style>
  <w:style w:type="character" w:styleId="929" w:customStyle="1">
    <w:name w:val="point_normal1"/>
    <w:uiPriority w:val="0"/>
    <w:qFormat/>
    <w:rPr>
      <w:rFonts w:hint="default" w:ascii="Arial" w:hAnsi="Arial" w:cs="Arial"/>
      <w:sz w:val="16"/>
      <w:szCs w:val="16"/>
    </w:rPr>
  </w:style>
  <w:style w:type="paragraph" w:styleId="930" w:customStyle="1">
    <w:name w:val="样式 正文文本缩进 3 + 四号"/>
    <w:basedOn w:val="876"/>
    <w:uiPriority w:val="0"/>
    <w:qFormat/>
    <w:pPr>
      <w:ind w:left="0" w:firstLine="437"/>
      <w:spacing w:after="0" w:line="360" w:lineRule="auto"/>
    </w:pPr>
    <w:rPr>
      <w:sz w:val="24"/>
      <w:szCs w:val="21"/>
    </w:rPr>
  </w:style>
  <w:style w:type="paragraph" w:styleId="931" w:customStyle="1">
    <w:name w:val="2cxsplast"/>
    <w:basedOn w:val="848"/>
    <w:uiPriority w:val="0"/>
    <w:qFormat/>
    <w:pPr>
      <w:jc w:val="left"/>
      <w:spacing w:before="100" w:beforeAutospacing="1" w:after="100" w:afterAutospacing="1"/>
      <w:widowControl/>
    </w:pPr>
    <w:rPr>
      <w:rFonts w:ascii="宋体" w:hAnsi="宋体" w:cs="宋体"/>
      <w:sz w:val="24"/>
    </w:rPr>
  </w:style>
  <w:style w:type="paragraph" w:styleId="932" w:customStyle="1">
    <w:name w:val="ec_msonormal"/>
    <w:basedOn w:val="848"/>
    <w:uiPriority w:val="0"/>
    <w:qFormat/>
    <w:pPr>
      <w:jc w:val="left"/>
      <w:spacing w:before="100" w:beforeAutospacing="1" w:after="100" w:afterAutospacing="1"/>
      <w:widowControl/>
    </w:pPr>
    <w:rPr>
      <w:rFonts w:ascii="宋体" w:hAnsi="宋体"/>
      <w:sz w:val="24"/>
    </w:rPr>
  </w:style>
  <w:style w:type="paragraph" w:styleId="933" w:customStyle="1">
    <w:name w:val="Char Char Char Char"/>
    <w:basedOn w:val="848"/>
    <w:uiPriority w:val="0"/>
    <w:qFormat/>
    <w:rPr>
      <w:rFonts w:ascii="Tahoma" w:hAnsi="Tahoma"/>
      <w:sz w:val="24"/>
      <w:szCs w:val="20"/>
    </w:rPr>
  </w:style>
  <w:style w:type="paragraph" w:styleId="934" w:customStyle="1">
    <w:name w:val="Char Char Char Char Char Char Char Char Char Char Char Char Char"/>
    <w:basedOn w:val="848"/>
    <w:uiPriority w:val="0"/>
    <w:qFormat/>
  </w:style>
  <w:style w:type="paragraph" w:styleId="935" w:customStyle="1">
    <w:name w:val="表格正文"/>
    <w:basedOn w:val="848"/>
    <w:uiPriority w:val="0"/>
    <w:qFormat/>
    <w:pPr>
      <w:jc w:val="left"/>
      <w:spacing w:line="360" w:lineRule="auto"/>
    </w:pPr>
    <w:rPr>
      <w:rFonts w:ascii="Calibri" w:hAnsi="Calibri"/>
      <w:color w:val="000000"/>
      <w:szCs w:val="28"/>
    </w:rPr>
  </w:style>
  <w:style w:type="paragraph" w:styleId="936"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37" w:customStyle="1">
    <w:name w:val="Char Char Char Char1"/>
    <w:basedOn w:val="848"/>
    <w:uiPriority w:val="0"/>
    <w:qFormat/>
    <w:rPr>
      <w:rFonts w:ascii="Tahoma" w:hAnsi="Tahoma"/>
      <w:sz w:val="24"/>
      <w:szCs w:val="20"/>
    </w:rPr>
  </w:style>
  <w:style w:type="paragraph" w:styleId="938" w:customStyle="1">
    <w:name w:val="Char Char Char"/>
    <w:basedOn w:val="848"/>
    <w:uiPriority w:val="0"/>
    <w:qFormat/>
    <w:rPr>
      <w:rFonts w:ascii="Tahoma" w:hAnsi="Tahoma"/>
      <w:sz w:val="24"/>
      <w:szCs w:val="20"/>
    </w:rPr>
  </w:style>
  <w:style w:type="paragraph" w:styleId="939" w:customStyle="1">
    <w:name w:val="标题-----3"/>
    <w:basedOn w:val="851"/>
    <w:uiPriority w:val="0"/>
    <w:qFormat/>
    <w:pPr>
      <w:spacing w:before="0" w:after="0" w:line="240" w:lineRule="auto"/>
      <w:outlineLvl w:val="0"/>
    </w:pPr>
    <w:rPr>
      <w:rFonts w:ascii="宋体" w:hAnsi="宋体"/>
      <w:b w:val="0"/>
      <w:bCs w:val="0"/>
      <w:sz w:val="28"/>
      <w:szCs w:val="28"/>
    </w:rPr>
  </w:style>
  <w:style w:type="paragraph" w:styleId="940" w:customStyle="1">
    <w:name w:val="样式 ssss + 居中"/>
    <w:basedOn w:val="923"/>
    <w:uiPriority w:val="0"/>
    <w:qFormat/>
    <w:pPr>
      <w:jc w:val="center"/>
    </w:pPr>
    <w:rPr>
      <w:rFonts w:cs="宋体"/>
      <w:szCs w:val="20"/>
    </w:rPr>
  </w:style>
  <w:style w:type="paragraph" w:styleId="941" w:customStyle="1">
    <w:name w:val="样式 宋体 四号 黑色 左侧:  0.74 厘米 首行缩进:  0.74 厘米 行距: 1.5 倍行距"/>
    <w:basedOn w:val="848"/>
    <w:uiPriority w:val="0"/>
    <w:qFormat/>
    <w:pPr>
      <w:ind w:firstLine="420"/>
      <w:spacing w:line="360" w:lineRule="auto"/>
    </w:pPr>
    <w:rPr>
      <w:rFonts w:ascii="宋体"/>
      <w:color w:val="000000"/>
      <w:sz w:val="24"/>
      <w:szCs w:val="21"/>
    </w:rPr>
  </w:style>
  <w:style w:type="paragraph" w:styleId="942" w:customStyle="1">
    <w:name w:val="样式 样式 ssss + 宋体 五号 + 首行缩进:  2 字符"/>
    <w:basedOn w:val="943"/>
    <w:uiPriority w:val="0"/>
    <w:qFormat/>
    <w:pPr>
      <w:ind w:firstLine="480"/>
    </w:pPr>
  </w:style>
  <w:style w:type="paragraph" w:styleId="943" w:customStyle="1">
    <w:name w:val="样式 ssss + 宋体 五号"/>
    <w:basedOn w:val="923"/>
    <w:uiPriority w:val="0"/>
    <w:qFormat/>
    <w:pPr>
      <w:ind w:firstLine="420"/>
    </w:pPr>
    <w:rPr>
      <w:rFonts w:ascii="宋体" w:hAnsi="宋体" w:cs="宋体"/>
      <w:szCs w:val="20"/>
    </w:rPr>
  </w:style>
  <w:style w:type="paragraph" w:styleId="944" w:customStyle="1">
    <w:name w:val="msonormalcxsplast"/>
    <w:basedOn w:val="848"/>
    <w:uiPriority w:val="0"/>
    <w:qFormat/>
    <w:pPr>
      <w:jc w:val="left"/>
      <w:spacing w:before="100" w:beforeAutospacing="1" w:after="100" w:afterAutospacing="1"/>
      <w:widowControl/>
    </w:pPr>
    <w:rPr>
      <w:rFonts w:ascii="宋体" w:hAnsi="宋体" w:cs="宋体"/>
      <w:sz w:val="24"/>
    </w:rPr>
  </w:style>
  <w:style w:type="paragraph" w:styleId="945" w:customStyle="1">
    <w:name w:val="Char"/>
    <w:basedOn w:val="848"/>
    <w:uiPriority w:val="0"/>
    <w:qFormat/>
    <w:rPr>
      <w:rFonts w:ascii="Tahoma" w:hAnsi="Tahoma"/>
      <w:sz w:val="24"/>
      <w:szCs w:val="20"/>
    </w:rPr>
  </w:style>
  <w:style w:type="paragraph" w:styleId="946" w:customStyle="1">
    <w:name w:val="xl25"/>
    <w:basedOn w:val="848"/>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7" w:customStyle="1">
    <w:name w:val="标题------4"/>
    <w:basedOn w:val="852"/>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48" w:customStyle="1">
    <w:name w:val="msonormalcxspmiddle"/>
    <w:basedOn w:val="848"/>
    <w:uiPriority w:val="0"/>
    <w:qFormat/>
    <w:pPr>
      <w:jc w:val="left"/>
      <w:spacing w:before="100" w:beforeAutospacing="1" w:after="100" w:afterAutospacing="1"/>
      <w:widowControl/>
    </w:pPr>
    <w:rPr>
      <w:rFonts w:ascii="宋体" w:hAnsi="宋体" w:cs="宋体"/>
      <w:sz w:val="24"/>
    </w:rPr>
  </w:style>
  <w:style w:type="paragraph" w:styleId="949" w:customStyle="1">
    <w:name w:val="Char Char Char Char Char Char Char Char Char Char Char Char Char1"/>
    <w:basedOn w:val="848"/>
    <w:uiPriority w:val="0"/>
    <w:qFormat/>
    <w:rPr>
      <w:sz w:val="24"/>
    </w:rPr>
  </w:style>
  <w:style w:type="paragraph" w:styleId="950" w:customStyle="1">
    <w:name w:val="表格"/>
    <w:basedOn w:val="848"/>
    <w:uiPriority w:val="0"/>
    <w:qFormat/>
    <w:rPr>
      <w:rFonts w:ascii="Arial" w:hAnsi="Arial"/>
      <w:sz w:val="24"/>
    </w:rPr>
  </w:style>
  <w:style w:type="paragraph" w:styleId="951" w:customStyle="1">
    <w:name w:val="正文样式1"/>
    <w:basedOn w:val="848"/>
    <w:uiPriority w:val="0"/>
    <w:qFormat/>
    <w:pPr>
      <w:ind w:firstLine="480"/>
      <w:spacing w:before="120" w:after="120" w:line="360" w:lineRule="auto"/>
    </w:pPr>
    <w:rPr>
      <w:sz w:val="24"/>
      <w:szCs w:val="20"/>
    </w:rPr>
  </w:style>
  <w:style w:type="paragraph" w:styleId="952" w:customStyle="1">
    <w:name w:val="Char Char1 Char Char Char Char Char Char"/>
    <w:basedOn w:val="848"/>
    <w:uiPriority w:val="0"/>
    <w:qFormat/>
    <w:pPr>
      <w:jc w:val="left"/>
      <w:spacing w:after="160" w:line="240" w:lineRule="exact"/>
      <w:widowControl/>
    </w:pPr>
    <w:rPr>
      <w:rFonts w:ascii="Verdana" w:hAnsi="Verdana" w:eastAsia="仿宋_GB2312"/>
      <w:sz w:val="24"/>
      <w:szCs w:val="20"/>
      <w:lang w:eastAsia="en-US"/>
    </w:rPr>
  </w:style>
  <w:style w:type="paragraph" w:styleId="953" w:customStyle="1">
    <w:name w:val="Char Char Char Char Char Char Char Char Char Char"/>
    <w:basedOn w:val="848"/>
    <w:uiPriority w:val="0"/>
    <w:qFormat/>
    <w:rPr>
      <w:rFonts w:ascii="Tahoma" w:hAnsi="Tahoma"/>
      <w:sz w:val="24"/>
      <w:szCs w:val="20"/>
    </w:rPr>
  </w:style>
  <w:style w:type="paragraph" w:styleId="954" w:customStyle="1">
    <w:name w:val="Char1"/>
    <w:basedOn w:val="848"/>
    <w:uiPriority w:val="0"/>
    <w:qFormat/>
    <w:pPr>
      <w:tabs>
        <w:tab w:val="left" w:pos="360" w:leader="none"/>
      </w:tabs>
    </w:pPr>
    <w:rPr>
      <w:sz w:val="24"/>
    </w:rPr>
  </w:style>
  <w:style w:type="paragraph" w:styleId="955" w:customStyle="1">
    <w:name w:val="标题1"/>
    <w:basedOn w:val="848"/>
    <w:next w:val="8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6" w:customStyle="1">
    <w:name w:val="Header2"/>
    <w:basedOn w:val="848"/>
    <w:uiPriority w:val="0"/>
    <w:qFormat/>
    <w:pPr>
      <w:numPr>
        <w:ilvl w:val="0"/>
        <w:numId w:val="1"/>
      </w:numPr>
    </w:pPr>
  </w:style>
  <w:style w:type="paragraph" w:styleId="957" w:customStyle="1">
    <w:name w:val="Char Char 字元 字元 字元 Char Char Char Char"/>
    <w:basedOn w:val="848"/>
    <w:uiPriority w:val="0"/>
    <w:qFormat/>
    <w:pPr>
      <w:spacing w:line="360" w:lineRule="auto"/>
    </w:pPr>
    <w:rPr>
      <w:sz w:val="24"/>
      <w:szCs w:val="20"/>
    </w:rPr>
  </w:style>
  <w:style w:type="paragraph" w:styleId="958" w:customStyle="1">
    <w:name w:val="2cxspmiddle"/>
    <w:basedOn w:val="848"/>
    <w:uiPriority w:val="0"/>
    <w:qFormat/>
    <w:pPr>
      <w:jc w:val="left"/>
      <w:spacing w:before="100" w:beforeAutospacing="1" w:after="100" w:afterAutospacing="1"/>
      <w:widowControl/>
    </w:pPr>
    <w:rPr>
      <w:rFonts w:ascii="宋体" w:hAnsi="宋体" w:cs="宋体"/>
      <w:sz w:val="24"/>
    </w:rPr>
  </w:style>
  <w:style w:type="paragraph" w:styleId="959"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61" w:customStyle="1">
    <w:name w:val="网格型1"/>
    <w:basedOn w:val="85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2" w:customStyle="1">
    <w:name w:val="列出段落1"/>
    <w:basedOn w:val="848"/>
    <w:uiPriority w:val="0"/>
    <w:qFormat/>
    <w:pPr>
      <w:ind w:firstLine="420"/>
    </w:pPr>
    <w:rPr>
      <w:rFonts w:cs="黑体"/>
      <w:szCs w:val="22"/>
    </w:rPr>
  </w:style>
  <w:style w:type="paragraph" w:styleId="963" w:customStyle="1">
    <w:name w:val="索引 41"/>
    <w:basedOn w:val="848"/>
    <w:next w:val="848"/>
    <w:uiPriority w:val="99"/>
    <w:qFormat/>
    <w:pPr>
      <w:ind w:left="1260"/>
    </w:pPr>
    <w:rPr>
      <w:szCs w:val="20"/>
    </w:rPr>
  </w:style>
  <w:style w:type="paragraph" w:styleId="964" w:customStyle="1">
    <w:name w:val="纯文本1"/>
    <w:basedOn w:val="848"/>
    <w:next w:val="848"/>
    <w:uiPriority w:val="0"/>
    <w:qFormat/>
    <w:rPr>
      <w:rFonts w:ascii="宋体" w:hAnsi="Courier New"/>
      <w:sz w:val="20"/>
      <w:szCs w:val="21"/>
    </w:rPr>
  </w:style>
  <w:style w:type="paragraph" w:styleId="965">
    <w:name w:val="List Paragraph"/>
    <w:basedOn w:val="848"/>
    <w:uiPriority w:val="99"/>
    <w:qFormat/>
    <w:pPr>
      <w:ind w:firstLine="420"/>
    </w:p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1340A-6ACE-40A9-899E-9B55DA77D7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94A5487-AC97-4F79-99F4-D64DB2AF107B}"/>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21</cp:revision>
  <dcterms:created xsi:type="dcterms:W3CDTF">2026-06-03T00:45:00Z</dcterms:created>
  <dcterms:modified xsi:type="dcterms:W3CDTF">2026-06-18T08:39:18Z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1DCC85C39B994E9FA48D6DE743E89BEA</vt:lpwstr>
  </property>
  <property fmtid="{D5CDD505-2E9C-101B-9397-08002B2CF9AE}" pid="4" name="KSOTemplateDocerSaveRecord">
    <vt:lpwstr>eyJoZGlkIjoiMTMxZTFlMDNkMDMxNzgzYmNlMmE3MzRjYjllMjRhYjMiLCJ1c2VySWQiOiI1MjQwNDAwODcifQ==</vt:lpwstr>
  </property>
</Properties>
</file>