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0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0"/>
          <w:u w:val="single"/>
        </w:rPr>
        <w:t xml:space="preserve">泗阳县新质力智创孵化大厦运营管理机构招标</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JSZC-321323-JYGS-G2026-0005</w:t>
      </w:r>
      <w:r>
        <w:rPr>
          <w:rFonts w:ascii="SimSun" w:hAnsi="SimSun" w:eastAsia="SimSun" w:cs="SimSun"/>
          <w:color w:val="000000"/>
          <w:sz w:val="21"/>
        </w:rPr>
        <w:t xml:space="preserve">         </w:t>
      </w:r>
      <w:r>
        <w:rPr>
          <w:rFonts w:ascii="SimSun" w:hAnsi="SimSun" w:eastAsia="SimSun" w:cs="SimSun"/>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（服务类项目，</w:t>
      </w:r>
      <w:r>
        <w:rPr>
          <w:rFonts w:ascii="SimSun" w:hAnsi="SimSun" w:eastAsia="SimSun" w:cs="SimSun"/>
          <w:b/>
          <w:color w:val="000000"/>
          <w:sz w:val="30"/>
          <w:u w:val="single"/>
        </w:rPr>
        <w:t xml:space="preserve">专门</w:t>
      </w:r>
      <w:r>
        <w:rPr>
          <w:rFonts w:ascii="SimSun" w:hAnsi="SimSun" w:eastAsia="SimSun" w:cs="SimSun"/>
          <w:b/>
          <w:color w:val="000000"/>
          <w:sz w:val="30"/>
        </w:rPr>
        <w:t xml:space="preserve">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江苏泗阳经济开发区管理委员会</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17</w:t>
      </w:r>
      <w:r>
        <w:rPr>
          <w:rFonts w:ascii="SimSun" w:hAnsi="SimSun" w:eastAsia="SimSun" w:cs="SimSun"/>
          <w:b/>
          <w:color w:val="000000"/>
          <w:sz w:val="3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rPr>
          <w:rFonts w:ascii="Times New Roman" w:hAnsi="Times New Roman" w:eastAsia="Times New Roman" w:cs="Times New Roman"/>
          <w:color w:val="000000"/>
          <w:sz w:val="36"/>
        </w:rPr>
        <w:t xml:space="preserve">2</w:t>
      </w:r>
      <w:r/>
    </w:p>
    <w:p>
      <w:pPr>
        <w:numPr>
          <w:ilvl w:val="0"/>
          <w:numId w:val="1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rPr>
          <w:rFonts w:ascii="Times New Roman" w:hAnsi="Times New Roman" w:eastAsia="Times New Roman" w:cs="Times New Roman"/>
          <w:color w:val="000000"/>
          <w:sz w:val="36"/>
        </w:rPr>
        <w:t xml:space="preserve">5</w:t>
      </w:r>
      <w:r/>
    </w:p>
    <w:p>
      <w:pPr>
        <w:numPr>
          <w:ilvl w:val="0"/>
          <w:numId w:val="1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 </w:t>
      </w:r>
      <w:r>
        <w:rPr>
          <w:rFonts w:ascii="Times New Roman" w:hAnsi="Times New Roman" w:eastAsia="Times New Roman" w:cs="Times New Roman"/>
          <w:color w:val="000000"/>
          <w:sz w:val="36"/>
        </w:rPr>
        <w:t xml:space="preserve">23</w:t>
      </w:r>
      <w:r/>
    </w:p>
    <w:p>
      <w:pPr>
        <w:numPr>
          <w:ilvl w:val="0"/>
          <w:numId w:val="1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 </w:t>
      </w:r>
      <w:r>
        <w:rPr>
          <w:rFonts w:ascii="Times New Roman" w:hAnsi="Times New Roman" w:eastAsia="Times New Roman" w:cs="Times New Roman"/>
          <w:color w:val="000000"/>
          <w:sz w:val="36"/>
        </w:rPr>
        <w:t xml:space="preserve">30</w:t>
      </w:r>
      <w:r/>
    </w:p>
    <w:p>
      <w:pPr>
        <w:numPr>
          <w:ilvl w:val="0"/>
          <w:numId w:val="1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 </w:t>
      </w:r>
      <w:r>
        <w:rPr>
          <w:rFonts w:ascii="Times New Roman" w:hAnsi="Times New Roman" w:eastAsia="Times New Roman" w:cs="Times New Roman"/>
          <w:color w:val="000000"/>
          <w:sz w:val="36"/>
        </w:rPr>
        <w:t xml:space="preserve">37</w:t>
      </w:r>
      <w:r/>
    </w:p>
    <w:p>
      <w:pPr>
        <w:numPr>
          <w:ilvl w:val="0"/>
          <w:numId w:val="1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 </w:t>
      </w:r>
      <w:r>
        <w:rPr>
          <w:rFonts w:ascii="Times New Roman" w:hAnsi="Times New Roman" w:eastAsia="Times New Roman" w:cs="Times New Roman"/>
          <w:color w:val="000000"/>
          <w:sz w:val="36"/>
        </w:rPr>
        <w:t xml:space="preserve">44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江苏泗阳经济开发区管理委员会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的委托，</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建银工程咨询有限责任公司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泗阳县新质力智创孵化大厦运营管理机构招标</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4"/>
          <w:u w:val="single"/>
        </w:rPr>
        <w:t xml:space="preserve">JSZC-321323-JYGS-G2026-0005])</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泗阳县新质力智创孵化大厦运营管理机构招标</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 招标项目的潜在投标人应在</w:t>
      </w:r>
      <w:r>
        <w:rPr>
          <w:rFonts w:ascii="SimSun" w:hAnsi="SimSun" w:eastAsia="SimSun" w:cs="SimSun"/>
          <w:color w:val="000000"/>
          <w:sz w:val="24"/>
          <w:u w:val="single"/>
        </w:rPr>
        <w:t xml:space="preserve">“苏采云”系统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网址</w:t>
      </w:r>
      <w:r>
        <w:rPr>
          <w:rFonts w:ascii="Times New Roman" w:hAnsi="Times New Roman" w:eastAsia="Times New Roman" w:cs="Times New Roman"/>
          <w:color w:val="000000"/>
          <w:sz w:val="24"/>
          <w:u w:val="single"/>
        </w:rPr>
        <w:t xml:space="preserve">: http://jszfcg.jsczt.cn/) </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JSZC-321323-JYGS-G2026-0005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项目名称：泗阳县新质力智创孵化大厦运营管理机构招标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600</w:t>
      </w:r>
      <w:r>
        <w:rPr>
          <w:rFonts w:ascii="SimSun" w:hAnsi="SimSun" w:eastAsia="SimSun" w:cs="SimSun"/>
          <w:color w:val="000000"/>
          <w:sz w:val="24"/>
        </w:rPr>
        <w:t xml:space="preserve">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本项目设定最高限价，最高限价为</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采购需求（简介）：泗阳县新质力智创孵化大厦运营管理机构招标，拟通过服务单位招引低空经济、生物医药、电子信息、人工智能、高端制造等科技人才项目；对大厦入驻项目管理和培育；配合进行</w:t>
      </w:r>
      <w:r>
        <w:rPr>
          <w:rFonts w:ascii="Times New Roman" w:hAnsi="Times New Roman" w:eastAsia="Times New Roman" w:cs="Times New Roman"/>
          <w:color w:val="000000"/>
          <w:sz w:val="24"/>
        </w:rPr>
        <w:t xml:space="preserve">OPC</w:t>
      </w:r>
      <w:r>
        <w:rPr>
          <w:rFonts w:ascii="SimSun" w:hAnsi="SimSun" w:eastAsia="SimSun" w:cs="SimSun"/>
          <w:color w:val="000000"/>
          <w:sz w:val="24"/>
        </w:rPr>
        <w:t xml:space="preserve">社区创建；着力将大厦创建成集企业孵化、技术创新、成果转化等于一体的标准级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卓越级孵化器（详细内容见本招标文件第四章）。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落实政府采购政策需满足的资格要求：本项目专门面向中小企业采购（提供中小企业声明函或残疾人福利性单位声明函或监狱企业证明文件）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个工作日。招标公告发布媒体：宿迁市政府采购网、江苏省财政部门指定的媒体。</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0527-85229058</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18351098172</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 </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称：江苏泗阳经济开发区管理委员会</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址：泗阳县北京东路</w:t>
      </w:r>
      <w:r>
        <w:rPr>
          <w:rFonts w:ascii="Times New Roman" w:hAnsi="Times New Roman" w:eastAsia="Times New Roman" w:cs="Times New Roman"/>
          <w:color w:val="000000"/>
          <w:sz w:val="24"/>
        </w:rPr>
        <w:t xml:space="preserve">66</w:t>
      </w:r>
      <w:r>
        <w:rPr>
          <w:rFonts w:ascii="SimSun" w:hAnsi="SimSun" w:eastAsia="SimSun" w:cs="SimSun"/>
          <w:color w:val="000000"/>
          <w:sz w:val="24"/>
        </w:rPr>
        <w:t xml:space="preserve">号</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姜理想</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0527--81988878</w:t>
      </w: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称：建银工程咨询有限责任公司</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址：宿迁市宿城区黄河路</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号（建设银行院内东附属楼</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楼）</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联系人：沈鹏程</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19895801091</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、有关本次招标的事项若存在变动或修改，敬请及时关注“宿迁市政府采购网”等平台更正公告。</w:t>
      </w:r>
      <w:r/>
    </w:p>
    <w:p>
      <w:pPr>
        <w:ind w:left="0" w:right="0" w:firstLine="482"/>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本次招标不收取投标保证金。</w:t>
      </w:r>
      <w:r/>
    </w:p>
    <w:p>
      <w:pPr>
        <w:pStyle w:val="664"/>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664"/>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供应商须知前附表：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2315"/>
        <w:gridCol w:w="5786"/>
      </w:tblGrid>
      <w:tr>
        <w:trPr>
          <w:trHeight w:val="7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本招标文件中“当地公共资源交易中心”是指：泗阳县公共资源交易中心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本项目类别按以下第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种确定：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1.货物采购；2.服务采购；</w:t>
            </w:r>
            <w:r>
              <w:rPr>
                <w:rFonts w:ascii="SimSun" w:hAnsi="SimSun" w:eastAsia="SimSun" w:cs="SimSu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本项目不收取投标保证金。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提交加密电子投标文件1份。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综合评分法；具体详见招标文件第五章评标方法与评标标准。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评标委员会按照招标文件规定评标办法和标准推荐3名中标候选人。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 </w:t>
            </w:r>
            <w:r>
              <w:rPr>
                <w:rFonts w:ascii="SimSun" w:hAnsi="SimSun" w:eastAsia="SimSun" w:cs="SimSun"/>
                <w:color w:val="000000"/>
                <w:sz w:val="24"/>
              </w:rPr>
              <w:t xml:space="preserve">允许分包，</w:t>
            </w:r>
            <w:r>
              <w:rPr>
                <w:rFonts w:ascii="SimSun" w:hAnsi="SimSun" w:eastAsia="SimSun" w:cs="SimSun"/>
                <w:color w:val="000000"/>
                <w:sz w:val="24"/>
                <w:u w:val="none"/>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 </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参照计价格【2002】1980号文标准*50%计取；支付方式可以通过转账或数字人民币等方式。</w:t>
            </w:r>
            <w:r/>
          </w:p>
        </w:tc>
      </w:tr>
    </w:tbl>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Times New Roman" w:hAnsi="Times New Roman" w:eastAsia="Times New Roman" w:cs="Times New Roman"/>
          <w:color w:val="000000"/>
          <w:sz w:val="24"/>
          <w:u w:val="single"/>
        </w:rPr>
        <w:t xml:space="preserve">4.2.2</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计取；支付方式可以通过转账或数字人民币等方式。</w:t>
      </w:r>
      <w:r/>
    </w:p>
    <w:p>
      <w:pPr>
        <w:pStyle w:val="668"/>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pStyle w:val="666"/>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 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6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666"/>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6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除技术性能另有规定外，投标文件所使用的度量衡单位，均须采用国家法定计量单位。</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运营宣传费、管理费、招商活动费、人工费、服务费、税金以及交付使用过程中涉及到的其他一切费用等完成本项目所涉及到的一切相关费用。</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 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 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中标人的投标文件作为项目服务合同的附件，其有效期至中标人全部合同义务履行完毕为止。 </w:t>
      </w:r>
      <w:r/>
    </w:p>
    <w:p>
      <w:pPr>
        <w:pStyle w:val="666"/>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6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 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采购代理机构拒绝接收在其规定的投标截止时间后上传的任何投标文件。</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20.1.1 </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20.1.2</w:t>
      </w:r>
      <w:r>
        <w:rPr>
          <w:rFonts w:ascii="SimSun" w:hAnsi="SimSun" w:eastAsia="SimSun" w:cs="SimSun"/>
          <w:color w:val="000000"/>
          <w:sz w:val="24"/>
        </w:rPr>
        <w:t xml:space="preserve"> 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w:t>
      </w:r>
      <w:r>
        <w:rPr>
          <w:rFonts w:ascii="SimSun" w:hAnsi="SimSun" w:eastAsia="SimSun" w:cs="SimSun"/>
          <w:color w:val="000000"/>
          <w:sz w:val="24"/>
        </w:rPr>
        <w:t xml:space="preserve"> 在投标截止时间至招标文件中规定的投标有效期满之间的这段时间内，投标人不得撤回其投标。</w:t>
      </w:r>
      <w:r/>
    </w:p>
    <w:p>
      <w:pPr>
        <w:pStyle w:val="666"/>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、开标</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投标人如果对开标过程和开标记录有疑义，应当根据《操作手册》规定提出，如 “苏采云”系统中《开标记录表》宣布后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、评委会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22.2 </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评委会独立工作，负责评审所有投标文件并确定中标侯选人。</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 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24.3 </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25.1.1 </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25.1.2 </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rPr>
          <w:rFonts w:ascii="SimSun" w:hAnsi="SimSun" w:eastAsia="SimSun" w:cs="SimSun"/>
          <w:color w:val="000000"/>
          <w:sz w:val="24"/>
        </w:rPr>
        <w:t xml:space="preserve">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25.6</w:t>
      </w:r>
      <w:r>
        <w:rPr>
          <w:rFonts w:ascii="SimSun" w:hAnsi="SimSun" w:eastAsia="SimSun" w:cs="SimSun"/>
          <w:color w:val="000000"/>
          <w:sz w:val="24"/>
        </w:rPr>
        <w:t xml:space="preserve">投标人在开、评标全过程中应应随时保持系统在线，及时在“苏采云”系统查阅、答复相关信息。</w:t>
      </w:r>
      <w:r/>
    </w:p>
    <w:p>
      <w:pPr>
        <w:pStyle w:val="66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、无效投标条款和废标条款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26.1.6</w:t>
      </w:r>
      <w:r>
        <w:rPr>
          <w:rFonts w:ascii="SimSun" w:hAnsi="SimSun" w:eastAsia="SimSun" w:cs="SimSun"/>
          <w:color w:val="000000"/>
          <w:sz w:val="24"/>
        </w:rPr>
        <w:t xml:space="preserve">未通过符合性审查的。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26.1.8 </w:t>
      </w:r>
      <w:r>
        <w:rPr>
          <w:rFonts w:ascii="SimSun" w:hAnsi="SimSun" w:eastAsia="SimSun" w:cs="SimSun"/>
          <w:color w:val="000000"/>
          <w:sz w:val="24"/>
        </w:rPr>
        <w:t xml:space="preserve">投标人被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26.1.9 </w:t>
      </w:r>
      <w:r>
        <w:rPr>
          <w:rFonts w:ascii="SimSun" w:hAnsi="SimSun" w:eastAsia="SimSun" w:cs="SimSun"/>
          <w:color w:val="000000"/>
          <w:sz w:val="24"/>
        </w:rPr>
        <w:t xml:space="preserve">投标文件含有采购人不能接受的附加条件的。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26.1.10</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评审委员会认定的投标人报价过低、有可能影响产品质量或者不能诚信履约的其他情形。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26.1.12 </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26.1.13</w:t>
      </w:r>
      <w:r>
        <w:rPr>
          <w:rFonts w:ascii="SimSun" w:hAnsi="SimSun" w:eastAsia="SimSun" w:cs="SimSun"/>
          <w:color w:val="000000"/>
          <w:sz w:val="24"/>
        </w:rPr>
        <w:t xml:space="preserve">其他法律、法规及本招标文件规定的属无效投标的情形。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废标条款</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26.2.1</w:t>
      </w:r>
      <w:r>
        <w:rPr>
          <w:rFonts w:ascii="SimSun" w:hAnsi="SimSun" w:eastAsia="SimSun" w:cs="SimSun"/>
          <w:color w:val="000000"/>
          <w:sz w:val="24"/>
        </w:rPr>
        <w:t xml:space="preserve">符合专业条件的投标人或者对招标文件作实质响应的投标人不足三家的。</w:t>
      </w:r>
      <w:r>
        <w:rPr>
          <w:rFonts w:ascii="Times New Roman" w:hAnsi="Times New Roman" w:eastAsia="Times New Roman" w:cs="Times New Roman"/>
          <w:color w:val="000000"/>
          <w:sz w:val="24"/>
        </w:rPr>
        <w:t xml:space="preserve">26.2.2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26.2.5 </w:t>
      </w:r>
      <w:r>
        <w:rPr>
          <w:rFonts w:ascii="SimSun" w:hAnsi="SimSun" w:eastAsia="SimSun" w:cs="SimSun"/>
          <w:color w:val="000000"/>
          <w:sz w:val="24"/>
        </w:rPr>
        <w:t xml:space="preserve">因“苏采云”系统系统故障原因造成开标不成功的。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 </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666"/>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6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27</w:t>
      </w:r>
      <w:r>
        <w:rPr>
          <w:rFonts w:ascii="SimHei" w:hAnsi="SimHei" w:eastAsia="SimHei" w:cs="SimHei"/>
          <w:b/>
          <w:color w:val="000000"/>
          <w:sz w:val="30"/>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27.5.3 </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27.5.4</w:t>
      </w:r>
      <w:r>
        <w:rPr>
          <w:rFonts w:ascii="SimSun" w:hAnsi="SimSun" w:eastAsia="SimSun" w:cs="SimSun"/>
          <w:color w:val="000000"/>
          <w:sz w:val="24"/>
        </w:rPr>
        <w:t xml:space="preserve">不同投标人的投标文件异常一致或者投标报价呈规律性差异。</w:t>
      </w:r>
      <w:r/>
    </w:p>
    <w:p>
      <w:pPr>
        <w:pStyle w:val="66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28</w:t>
      </w:r>
      <w:r>
        <w:rPr>
          <w:rFonts w:ascii="SimHei" w:hAnsi="SimHei" w:eastAsia="SimHei" w:cs="SimHei"/>
          <w:b/>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 </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 </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 </w:t>
      </w:r>
      <w:r>
        <w:rPr>
          <w:rFonts w:ascii="SimSun" w:hAnsi="SimSun" w:eastAsia="SimSun" w:cs="SimSun"/>
          <w:color w:val="000000"/>
          <w:sz w:val="24"/>
          <w:u w:val="single"/>
        </w:rPr>
        <w:t xml:space="preserve"> 采购人或代理机构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泗阳县北京东路</w:t>
      </w:r>
      <w:r>
        <w:rPr>
          <w:rFonts w:ascii="Times New Roman" w:hAnsi="Times New Roman" w:eastAsia="Times New Roman" w:cs="Times New Roman"/>
          <w:color w:val="000000"/>
          <w:sz w:val="24"/>
        </w:rPr>
        <w:t xml:space="preserve">66</w:t>
      </w:r>
      <w:r>
        <w:rPr>
          <w:rFonts w:ascii="SimSun" w:hAnsi="SimSun" w:eastAsia="SimSun" w:cs="SimSun"/>
          <w:color w:val="000000"/>
          <w:sz w:val="24"/>
        </w:rPr>
        <w:t xml:space="preserve">号</w:t>
      </w:r>
      <w:r>
        <w:rPr>
          <w:rFonts w:ascii="SimSun" w:hAnsi="SimSun" w:eastAsia="SimSun" w:cs="SimSun"/>
          <w:color w:val="000000"/>
          <w:sz w:val="24"/>
          <w:u w:val="single"/>
        </w:rPr>
        <w:t xml:space="preserve">或 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w:t>
      </w:r>
      <w:r>
        <w:rPr>
          <w:rFonts w:ascii="Times New Roman" w:hAnsi="Times New Roman" w:eastAsia="Times New Roman" w:cs="Times New Roman"/>
          <w:color w:val="000000"/>
          <w:sz w:val="24"/>
          <w:u w:val="single"/>
        </w:rPr>
        <w:t xml:space="preserve">0527--81988878</w:t>
      </w:r>
      <w:r>
        <w:rPr>
          <w:rFonts w:ascii="SimSun" w:hAnsi="SimSun" w:eastAsia="SimSun" w:cs="SimSun"/>
          <w:color w:val="000000"/>
          <w:sz w:val="24"/>
          <w:u w:val="single"/>
        </w:rPr>
        <w:t xml:space="preserve">或 </w:t>
      </w:r>
      <w:r>
        <w:rPr>
          <w:rFonts w:ascii="Times New Roman" w:hAnsi="Times New Roman" w:eastAsia="Times New Roman" w:cs="Times New Roman"/>
          <w:color w:val="000000"/>
          <w:sz w:val="24"/>
          <w:u w:val="single"/>
        </w:rPr>
        <w:t xml:space="preserve">19895801091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28.6  </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66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29</w:t>
      </w:r>
      <w:r>
        <w:rPr>
          <w:rFonts w:ascii="SimHei" w:hAnsi="SimHei" w:eastAsia="SimHei" w:cs="SimHei"/>
          <w:b/>
          <w:color w:val="000000"/>
          <w:sz w:val="30"/>
        </w:rPr>
        <w:t xml:space="preserve">、中标通知书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666"/>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6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30. </w:t>
      </w:r>
      <w:r>
        <w:rPr>
          <w:rFonts w:ascii="SimHei" w:hAnsi="SimHei" w:eastAsia="SimHei" w:cs="SimHei"/>
          <w:b/>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 </w:t>
      </w:r>
      <w:r>
        <w:rPr>
          <w:rFonts w:ascii="SimSun" w:hAnsi="SimSun" w:eastAsia="SimSun" w:cs="SimSun"/>
          <w:color w:val="000000"/>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w:t>
      </w:r>
      <w:r>
        <w:rPr>
          <w:rFonts w:ascii="SimSun" w:hAnsi="SimSun" w:eastAsia="SimSun" w:cs="SimSun"/>
          <w:color w:val="000000"/>
          <w:sz w:val="24"/>
          <w:u w:val="single"/>
        </w:rPr>
        <w:t xml:space="preserve">按采购合同总价的 </w:t>
      </w: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计取）</w:t>
      </w:r>
      <w:r>
        <w:rPr>
          <w:rFonts w:ascii="SimSun" w:hAnsi="SimSun" w:eastAsia="SimSun" w:cs="SimSun"/>
          <w:color w:val="000000"/>
          <w:sz w:val="24"/>
        </w:rPr>
        <w:t xml:space="preserve">。除银行电汇、网上银行、数字人民币外，投标人还可选用银行保函、担保公司的保证担保或保险公司的保证保险、等多种形式向采购人缴纳；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服务类项目，项目履约期满评价合格，出具验收报告（履约评价报告）及履约保证金收据申请退付；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pStyle w:val="66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31</w:t>
      </w:r>
      <w:r>
        <w:rPr>
          <w:rFonts w:ascii="SimHei" w:hAnsi="SimHei" w:eastAsia="SimHei" w:cs="SimHei"/>
          <w:b/>
          <w:color w:val="000000"/>
          <w:sz w:val="30"/>
        </w:rPr>
        <w:t xml:space="preserve">、服务（包含与服务相关的货物）的追加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pStyle w:val="66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32</w:t>
      </w:r>
      <w:r>
        <w:rPr>
          <w:rFonts w:ascii="SimHei" w:hAnsi="SimHei" w:eastAsia="SimHei" w:cs="SimHei"/>
          <w:b/>
          <w:color w:val="000000"/>
          <w:sz w:val="30"/>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根据江苏省财政厅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68"/>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33</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34、付款</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按照以下确定的付款方式，采购人及时办理付款手续。对于满足合同约定支付条件的，自收到发票后10个工作日内将资金支付到合同约定的供应商账户或供应商数字人民币账户。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甲方每年提供不少于（）万元用于乙方在泗阳成立的运营公司招商、运营、办公(其中40%基础运营费用作为预付款，60%考核费用)。即：项目基础运营费</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万元在本合同签订且收到发票后10个工作日内支付。考核运营费___万元在年度考核结束且收到发票后10个工作日按考核办法考核得分的百分比支付：考核最终得分≥95分，按考核周期应付考核款金额100%支付，无扣减；90分≤考核最终得分＜95分，按考核周期应付考核款金额90%支付；85分≤考核最终得分＜90分，按考核周期应付考核款金额80%支付；80分≤考核最终得分＜85分，按考核周期应付考核款金额70%支付；考核最终得分＜80分，按考核周期考核款金额50%支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第二年、第三年基础运营费在年度运营周期结束且收到发票后10个工作日内支付，第二年度第三年度考核运营费在年度考核结束且收到发票后10个工作日按考核办法考核得分的百分比支付。</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注：在签订合同时，中标人明确表示无需预付款或者主动要求降低预付款比例的金额，采购人可不适用预付款规定。</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 </w:t>
      </w:r>
      <w:r/>
    </w:p>
    <w:p>
      <w:pPr>
        <w:pStyle w:val="66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6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泗阳县新质力智创孵化大厦运营管理机构招标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服务协议书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155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55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55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55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55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56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甲方：</w:t>
      </w:r>
      <w:r>
        <w:rPr>
          <w:rFonts w:ascii="SimSun" w:hAnsi="SimSun" w:eastAsia="SimSun" w:cs="SimSun"/>
          <w:b/>
          <w:color w:val="000000"/>
          <w:sz w:val="32"/>
          <w:u w:val="single"/>
        </w:rPr>
        <w:t xml:space="preserve">                      </w:t>
      </w:r>
      <w:r/>
    </w:p>
    <w:p>
      <w:pPr>
        <w:ind w:left="0" w:right="0" w:firstLine="156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乙方：</w:t>
      </w:r>
      <w:r>
        <w:rPr>
          <w:rFonts w:ascii="SimSun" w:hAnsi="SimSun" w:eastAsia="SimSun" w:cs="SimSun"/>
          <w:b/>
          <w:color w:val="000000"/>
          <w:sz w:val="32"/>
          <w:u w:val="single"/>
        </w:rPr>
        <w:t xml:space="preserve">                      </w:t>
      </w:r>
      <w:r/>
    </w:p>
    <w:p>
      <w:pPr>
        <w:ind w:left="0" w:right="0" w:firstLine="156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签订时间：年月日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运营服务合作协议</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甲方：</w:t>
      </w:r>
      <w:r>
        <w:rPr>
          <w:rFonts w:ascii="STFangsong" w:hAnsi="STFangsong" w:eastAsia="STFangsong" w:cs="STFangsong"/>
          <w:b/>
          <w:color w:val="000000"/>
          <w:sz w:val="32"/>
          <w:u w:val="single"/>
        </w:rPr>
        <w:t xml:space="preserve">                          </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乙方：</w:t>
      </w:r>
      <w:r>
        <w:rPr>
          <w:rFonts w:ascii="STFangsong" w:hAnsi="STFangsong" w:eastAsia="STFangsong" w:cs="STFangsong"/>
          <w:b/>
          <w:color w:val="000000"/>
          <w:sz w:val="32"/>
          <w:u w:val="single"/>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甲、乙双方根据《中华人民共和国民法典》、《中华人民共和国政府采购法》等法律、法规之规定，在平等自愿协商的基础上，就甲方的</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项目委托乙方运营服务通过服务单位招引低空经济、生物医药、电子信息、人工智能、高端制造等科技人才项目；对大厦入驻项目管理和培育；配合进行OPC社区创建；着力将大厦创建成集企业孵化、技术创新、成果转化等于一体的标准级/卓越级孵化器等有关事项达成如下协议，以资双方共同遵守。 </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第一条合作期限</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双方约定的首期合作期限为</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年，自</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年</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月</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日至</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年</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月</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日止。</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第二条合同价款及支付方式</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1、合同价款：合同额为人民币</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元(大写:</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2、进度款：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甲方每年提供不少于（）万元用于乙方在泗阳成立的运营公司招商、运营、办公(其中40%基础运营费用作为预付款，60%考核费用)。即：项目基础运营费</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万元在本合同签订且收到发票后10个工作日内支付。考核运营费___万元在年度考核结束且收到发票后10个工作日按考核办法考核得分的百分比支付：考核最终得分≥95分，按考核周期应付考核款金额100%支付，无扣减；90分≤考核最终得分＜95分，按考核周期应付考核款金额90%支付；85分≤考核最终得分＜90分，按考核周期应付考核款金额80%支付；80分≤考核最终得分＜85分，按考核周期应付考核款金额70%支付；考核最终得分＜80分，按考核周期考核款金额50%支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第二年、第三年基础运营费在上年度运营周期结束且收到发票后10个工作日内支付，第二年度第三年度考核运营费在年度考核结束且收到发票后10个工作日按考核办法考核得分的百分比支付。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注：在签订合同时，中标人明确表示无需预付款或者主动要求降低预付款比例的金额，采购人可不适用预付款规定。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 </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第三条甲方的权利及义务</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1、甲方将新质力智创孵化大厦运营权交给乙方在泗阳成立的运营公司做运营项目招商、营运及办公等使用。运营合同终止时，甲方有权收回运营管理权。</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2、甲方为乙方在泗阳成立的运营公司提供帮助和支持。对乙方招商引入基地的项目，在不违反法律、法规的情况下视情况尽可能提供招商优惠政策。优惠内容及期限由双方友好协商确定。</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3、甲方有权了解乙方运营管理情况及对各类活动进行监督。</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4、在运营管理期间，因乙方的经营管理所产生的任何债务均由乙方承担，甲方不向因乙方的经营管理行为所产生的任何第三方债务，承担法律责任。</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5、审定乙方拟定的管理制度和运营管理年度计划，并提出合理化建议，督促乙方健全相关管理制度、工作规范。</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6甲方的标的物内包括但不限于相关基建、电梯空调消防、绿化带设备的大型保修的相关费用由甲方承担。</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7、甲方尽量协助乙方和乙方在泗阳成立的运营公司招募人才、科技项目及创业团体，并在合法范围内争取为乙方申报政策提供帮助。</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8、甲方免费为乙方和乙方在泗阳成立的运营公司提供众创科技园用于项目孵化产业运营或工业项目落地保障（具体办法另行协商）。</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第四条  乙方的权利和义务</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乙方负责筹建落地运营公司，由乙方运营公司负责本项目的运营管理，运营公司名为：</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有限公司，各方同意自本协议签订之日起关于本协议中有关乙方的权利义务及随附权利义务全部转让给乙方在当地筹建的运营公司；</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乙方在运营中，通过服务单位招引低空经济、生物医药、电子信息、人工智能、高端制造等科技人才项目；对大厦入驻项目管理和培育；配合进行OPC社区创建；着力将大厦创建成集企业孵化、技术创新、成果转化等于一体的标准级/卓越级孵化器。工作进度应满足时间过半、任务过半。序时进度考核纳入年度考核，未达到时间过半，任务过半的在年度考核中酌情予以扣分。</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通过乙方招引，每年孵化企业分别不少于60家，63家，66家，其中全年新增注册企业占比不少于30%，其中科技型中小企业、创新型中小企业占比不低于30%；</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投入的专职孵化人员占机构总人数的2/3以上，每10家在孵企业至少配备1名创业导师；</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孵化器运营组织机构保持健全，管理团队由具有行业影响力的产学研复合型人才或在龙头企业具有资深从业经验的领军人才牵头组建，人员配备合理。</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除房租及物业费外的综合服务收入与投资收入占孵化器总收入的比例不低于30%，该项收入须单独核算。</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设立的孵化基金总额不低于350万元，且在正式运营后一月内设立。</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通过单独或合作设立的孵化基金进行股权投资且确权实缴的在孵企业数量占比不低于10%，或在孵新增企业获得投融资的在孵企业数量占比不低于20%。</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在孵企业当年度获得投融资总额：运营第一年度不低于100万元、运营第二年度不低于120万元、运营第三年度不低于150万元。</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签约投融资等金融服务机构数量：运营第一年度不少于2家，2027-运营第三年度不少于3家；并按需提供投融资对接会，投融资一对一服务或创业大赛辅导等。</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建立的跨区域创新创业合作平台数量：运营第一年度不少于1个，运营第三年度不少于2个；须与高校院所签订合作协议，并定期来泗开展对接活动。</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在孵企业年度总收入：运营第一年度不低于1亿元，运营第二年度不低于1.2亿元，运营第三年度不低于1.5亿元。</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每年不低于30%的新增在孵企业实现营业收入同比增长或研发经费投入同比增长超过20%。</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 新增在孵企业拥有有效知识产权累积总量：运营第一年度不少于100件或新增不少于30件；运营第二年度不少于120件，或新增不少于40件；运营第三年度不少于150件，或新增不少于50件。</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每年新招引科技项目数量不少于12家，招引企业须符合高新技术产业目录，每月须提供有价值招商线索并开展外出招商。</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在孵企业中科技型中小企业数量年稳定保持不少于20家。</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在孵企业中年度新认定的高新技术企业数量：运营第一年度不少于2家，运营第二年度不少于4家，运营第三年度不少于4家。</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每年度毕业企业数量不低于上年度末在孵企业总数的10%。</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推进数智新城（OPC社区）建设，重点培育和引进OPC创业个体与场景运用，达到市县考核创建标准。</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当年度新引进全职硕士学历及以上人才不少于2名，且须在本地缴纳社保或个人所得税。</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每年组织开展创新创业沙龙、产学研对接、对外宣传等专项活动不少于6场（具体场次及主题以采购人要求为准），须围绕AI、人工智能场景、电商等主题，并适时制作宣传片、短视频等宣传材料。</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每年实现孵化项目入驻产业园并产业化生产经营的数量不少于4个，其中须包含AI相关项目。</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乙方负责所有入驻园区企业相关事宜，包含乙方人员人身财产安全、薪资矛盾等问题。</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22、乙方在合同期内负责开展标准级和卓越级孵化器的申报，以及各类荣誉申报，2年内完成标准级孵化器申报。申报合理时间内甲方所提供的硬件（义务）（场地面积、合同期限等）需要达到申报条件；</w:t>
      </w:r>
      <w:r/>
    </w:p>
    <w:p>
      <w:pPr>
        <w:ind w:left="0" w:right="0" w:firstLine="641"/>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第五条 解约条件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1、运营期内，甲方每年考核乙方，并参照考核指标进行考核。如甲方对乙方的考核结果低于70分为不合格，甲方有权视情况解除合同。</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2、若甲方在合同期内未主动提出解约且遵照本协议所有规定情况下，乙方不得无故终止新质力孵化大厦的工作，需继续运营，否则乙方将无条件退还甲方支付的当年度所有费用。</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第六条 违约责任</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1、甲方未按照本协议的约定向乙方支付运营费，乙方有权解除本协议。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2、指标考核由乙方提交具体报告台账，甲方进行审核、若乙方出现台账造假行为，甲方有权解除协议、提出索赔、并要求乙方退出运营。</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3、除本协议另有约定及双方协商一致外，任何一方擅自解除或终止本协议的，须向守约方支付违约金和赔偿损失，两项累计最高金额为年度合同金额的3%。</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4、本协议在履行过程中，如有任何一方违反本协议的约定，均需向守约方支付违约金和赔偿经济损失，两项累计最高金额为年度合同金额的3%。</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第七条争议解决</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因本协议的解释及执行而产生之争议，双方应通过友好协商解决。如协商不成则任何一方均同意将争议提交给项目所在地的人民法院管辖。</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各方确认以下联系方式为在履行本协议期间内的唯一联系方式及相关法律文书的送达地址：</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1、甲方联系地址：</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2、联系人：</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；联系电话：</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3、乙方联系地址：</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4、联系人：</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；联系电话：</w:t>
      </w:r>
      <w:r>
        <w:rPr>
          <w:rFonts w:ascii="STFangsong" w:hAnsi="STFangsong" w:eastAsia="STFangsong" w:cs="STFangsong"/>
          <w:color w:val="000000"/>
          <w:sz w:val="32"/>
          <w:u w:val="single"/>
        </w:rPr>
        <w:t xml:space="preserve">                   </w:t>
      </w:r>
      <w:r>
        <w:rPr>
          <w:rFonts w:ascii="STFangsong" w:hAnsi="STFangsong" w:eastAsia="STFangsong" w:cs="STFangsong"/>
          <w:color w:val="000000"/>
          <w:sz w:val="32"/>
        </w:rPr>
        <w:t xml:space="preserve">；</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上述地址双方确认为履行本协议相关法律文书的送达地址，有关本协议履行及相关事宜的通知，一方以上述载明的联系地址以特快专递或挂号信的形式邮寄的，自发出之日起第 7 日视为送达之日（拒收视为送达）；另一方在收到相关通知、函件等资料后在5天内未提异议的视为认可上述通知、函件等的内容。各方应确保上述联系方式真实、准确、完整，一方联系方式发生变更的，应当及时书面通知另一方；否则因此产生的一切不利后果由未通知一方自行承担。</w:t>
      </w:r>
      <w:r/>
    </w:p>
    <w:p>
      <w:pPr>
        <w:ind w:left="0" w:right="0" w:firstLine="641"/>
        <w:jc w:val="both"/>
        <w:spacing w:before="0" w:after="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第八条其他事项</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1、协议各方应积极主动配合工作，互通信息，相互支持，促进合作顺利进行；在协议执行过程中遇到本协议未涉及的事项，双方应另行签订书面补充协议，补充协议是本协议的附件与本协议具有同等的法律效力。</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2、本协议不因人事变动和法人代表变更而变更，本协议一式肆份，双方各执正本贰份。</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3、本协议自各方盖章后生效。</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甲方：（盖章）乙方：（盖章）</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地址：地址：</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法定（授权）代表人：法定（授权）代表人：</w:t>
      </w:r>
      <w:r/>
    </w:p>
    <w:p>
      <w:pPr>
        <w:ind w:left="0" w:right="0" w:firstLine="64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32"/>
        </w:rPr>
        <w:t xml:space="preserve">2026年  月日2026年  月日</w:t>
      </w:r>
      <w:r/>
    </w:p>
    <w:p>
      <w:pPr>
        <w:ind w:left="0" w:right="0" w:firstLine="0"/>
        <w:jc w:val="center"/>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其他未列明产业</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进口产品。</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江苏泗阳经济开发区科技综合体由宿迁东方投资有限公司投资建设，坐落于江苏泗阳经济开发区北京东路</w:t>
      </w: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号，总建筑面积约</w:t>
      </w:r>
      <w:r>
        <w:rPr>
          <w:rFonts w:ascii="Times New Roman" w:hAnsi="Times New Roman" w:eastAsia="Times New Roman" w:cs="Times New Roman"/>
          <w:color w:val="000000"/>
          <w:sz w:val="24"/>
        </w:rPr>
        <w:t xml:space="preserve">38000</w:t>
      </w:r>
      <w:r>
        <w:rPr>
          <w:rFonts w:ascii="SimSun" w:hAnsi="SimSun" w:eastAsia="SimSun" w:cs="SimSun"/>
          <w:color w:val="000000"/>
          <w:sz w:val="24"/>
        </w:rPr>
        <w:t xml:space="preserve">㎡，其中地上面积约</w:t>
      </w:r>
      <w:r>
        <w:rPr>
          <w:rFonts w:ascii="Times New Roman" w:hAnsi="Times New Roman" w:eastAsia="Times New Roman" w:cs="Times New Roman"/>
          <w:color w:val="000000"/>
          <w:sz w:val="24"/>
        </w:rPr>
        <w:t xml:space="preserve">32000</w:t>
      </w:r>
      <w:r>
        <w:rPr>
          <w:rFonts w:ascii="SimSun" w:hAnsi="SimSun" w:eastAsia="SimSun" w:cs="SimSun"/>
          <w:color w:val="000000"/>
          <w:sz w:val="24"/>
        </w:rPr>
        <w:t xml:space="preserve">㎡，共</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层，一期投入运营面积约</w:t>
      </w:r>
      <w:r>
        <w:rPr>
          <w:rFonts w:ascii="Times New Roman" w:hAnsi="Times New Roman" w:eastAsia="Times New Roman" w:cs="Times New Roman"/>
          <w:color w:val="000000"/>
          <w:sz w:val="24"/>
        </w:rPr>
        <w:t xml:space="preserve">15000</w:t>
      </w:r>
      <w:r>
        <w:rPr>
          <w:rFonts w:ascii="SimSun" w:hAnsi="SimSun" w:eastAsia="SimSun" w:cs="SimSun"/>
          <w:color w:val="000000"/>
          <w:sz w:val="24"/>
        </w:rPr>
        <w:t xml:space="preserve">㎡，总体规划布局分展示区、孵化区、运营区、综合配套区等功能区。项目围绕打造“科技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人才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产业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生活”的新模式，重点招引电子信息、工业设计、高端制造、智能家居、科技金融服务、信息咨询、检测检验等项目入驻，着力打造集技术创新、成果转化、企业孵化、创新创业、产业辐射等于一体的综合型国家级孵化中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本次采购内容为</w:t>
      </w:r>
      <w:r>
        <w:rPr>
          <w:rFonts w:ascii="SimSun" w:hAnsi="SimSun" w:eastAsia="SimSun" w:cs="SimSun"/>
          <w:color w:val="000000"/>
          <w:sz w:val="24"/>
          <w:u w:val="single"/>
        </w:rPr>
        <w:t xml:space="preserve">泗阳县新质力智创孵化大厦运营管理机构招标</w:t>
      </w:r>
      <w:r>
        <w:rPr>
          <w:rFonts w:ascii="SimSun" w:hAnsi="SimSun" w:eastAsia="SimSun" w:cs="SimSun"/>
          <w:color w:val="000000"/>
          <w:sz w:val="24"/>
        </w:rPr>
        <w:t xml:space="preserve">，项目预算</w:t>
      </w:r>
      <w:r>
        <w:rPr>
          <w:rFonts w:ascii="Times New Roman" w:hAnsi="Times New Roman" w:eastAsia="Times New Roman" w:cs="Times New Roman"/>
          <w:color w:val="000000"/>
          <w:sz w:val="24"/>
        </w:rPr>
        <w:t xml:space="preserve">600</w:t>
      </w:r>
      <w:r>
        <w:rPr>
          <w:rFonts w:ascii="SimSun" w:hAnsi="SimSun" w:eastAsia="SimSun" w:cs="SimSun"/>
          <w:color w:val="000000"/>
          <w:sz w:val="24"/>
        </w:rPr>
        <w:t xml:space="preserve">万元，最高限价</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二、合同履行期限、地点及要求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地点：采购人指定地点；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服务内容包含但不限于运营宣传、大厦管理、项目招引、入驻企业服务等运营大厦过程中涉及到的一切事项，重点考核要求详见下表：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0"/>
        <w:gridCol w:w="678"/>
        <w:gridCol w:w="1575"/>
        <w:gridCol w:w="95"/>
        <w:gridCol w:w="752"/>
        <w:gridCol w:w="752"/>
        <w:gridCol w:w="752"/>
        <w:gridCol w:w="4562"/>
      </w:tblGrid>
      <w:tr>
        <w:trPr>
          <w:trHeight w:val="900"/>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大厦拟设定主要运营指标</w:t>
            </w:r>
            <w:r/>
          </w:p>
        </w:tc>
      </w:tr>
      <w:tr>
        <w:trPr>
          <w:trHeight w:val="8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6"/>
              </w:rPr>
              <w:t xml:space="preserve">一级指标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6"/>
              </w:rPr>
              <w:t xml:space="preserve">二级指标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6"/>
              </w:rPr>
              <w:t xml:space="preserve">三级指标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6"/>
              </w:rPr>
              <w:t xml:space="preserve">权重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6"/>
              </w:rPr>
              <w:t xml:space="preserve">运营第一年度目标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6"/>
              </w:rPr>
              <w:t xml:space="preserve">运营第二年度目标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6"/>
              </w:rPr>
              <w:t xml:space="preserve">运营第三年度目标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6"/>
              </w:rPr>
              <w:t xml:space="preserve">备注</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br/>
              <w:t xml:space="preserve">经营发展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1.1在孵企业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孵化器在孵企业数量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&gt;</w:t>
            </w: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&gt;</w:t>
            </w: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&gt;</w:t>
            </w:r>
            <w:r>
              <w:rPr>
                <w:rFonts w:ascii="SimSun" w:hAnsi="SimSun" w:eastAsia="SimSun" w:cs="SimSun"/>
                <w:color w:val="000000"/>
                <w:sz w:val="24"/>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其中当年度新增注册企业数占比不低于30%，科技型中小企业、创新型中小企业占比不低于30%。（入园协议、企业营业执照、用工合同、科创企业备案证明、实地核查记录）</w:t>
            </w:r>
            <w:r/>
          </w:p>
        </w:tc>
      </w:tr>
      <w:tr>
        <w:trPr>
          <w:trHeight w:val="14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1.2服务团队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专业孵化服务人员数和与在孵企业比例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专职孵化服务人员占机构总人数2/3以上，每10家在孵企业至少配备1名创业导师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专业孵化服务人员需在当地缴纳保险（专业孵化人员人员花名册、社保证明、劳动合同；导师孵化资质证明、合作协议，导师服务台账资料）</w:t>
            </w:r>
            <w:r/>
          </w:p>
        </w:tc>
      </w:tr>
      <w:tr>
        <w:trPr>
          <w:trHeight w:val="1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孵化器运营组织架构是否健全，人员配备是否合理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管理团队由具有行业影响力的科技部/工信部火炬中心颁发的导师资质或在龙头企业具有资深从业经验的领军人才牵头组建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负责人学历证明、聘用协议、导师资质证明，科技部/工信部火炬高技术产业开发中心公示的创业导师名单；</w:t>
            </w:r>
            <w:r/>
          </w:p>
        </w:tc>
      </w:tr>
      <w:tr>
        <w:trPr>
          <w:trHeight w:val="12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1.3经营收入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孵化器综合服务收入和投资收入占孵化器总收入的比例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除房租及物业之外的收入占总收入的比例不低于30%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单独核算孵化服务收入，上年度除房租及物业之外的收入占总收入的比例不低于30%</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br/>
              <w:t xml:space="preserve">服务能力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2.1孵化基金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孵化器孵化基金总额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银行流水证明；</w:t>
            </w:r>
            <w:r/>
          </w:p>
        </w:tc>
      </w:tr>
      <w:tr>
        <w:trPr>
          <w:trHeight w:val="19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获得投融资的在孵企业数量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通过单独或出资合作设立的孵化资金、股权投资基金等完成股权投资且确权实缴的在孵企业占比不低于10%；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银行流水证明，投融资合作协议；</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在孵企业当年获得投融资总额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银行流水证明，投融资合作协议；</w:t>
            </w:r>
            <w:r/>
          </w:p>
        </w:tc>
      </w:tr>
      <w:tr>
        <w:trPr>
          <w:trHeight w:val="13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2.2公共服务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孵化器签约投融资等金融服务机构数量；基本保障服务投入等。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基本保障服务投入包括但不限于为入驻企业投融资对接会，投融资一对一服务或创业大赛辅导等。基本保障服务投入包括但不限于为入驻企业提供微波炉、冰箱、部分监控等服务</w:t>
            </w:r>
            <w:r/>
          </w:p>
        </w:tc>
      </w:tr>
      <w:tr>
        <w:trPr>
          <w:trHeight w:val="9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2.3创新资源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孵化器开展跨区域创新创业合作与交流，并建立合作平台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与高校园所签订合同，共建创新平台，并定期来泗开展对接交流活动</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br/>
              <w:t xml:space="preserve">孵化绩效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3.1企业发展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在孵企业总收入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开票统计范围为孵化器内企业；</w:t>
            </w:r>
            <w:r/>
          </w:p>
        </w:tc>
      </w:tr>
      <w:tr>
        <w:trPr>
          <w:trHeight w:val="11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3.2企业创新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在孵企业研发投入占在孵企业总收入的比例及增长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年度不少于30%的在孵企业营业收入或研发经费投入同比增长超过20%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年度开票流水证明或者研发经费票据归集；</w:t>
            </w:r>
            <w:r/>
          </w:p>
        </w:tc>
      </w:tr>
      <w:tr>
        <w:trPr>
          <w:trHeight w:val="15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在孵企业拥有有效知识产权数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100/30件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120/40件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150/50件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知识产权包含专利、商标、著作等：运营第一年度不少于100件或新增不少于30件；运营第二年度不少于120件，或新增不少于40件；运营第三年度不少于150件，或新增不少于50件。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3.3企业孵化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新招引科技项目数量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招引企业需符合高新技术产业目录（高新技术或科技型中小企业等）；每月提供有价值线索外出≧10天招商。</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在孵企业中科技型中小企业数量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通过工信部优质中小企业平台认定；</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在孵企业中年度新获批高新技术企业数量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通过高新技术企业评定；</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上年度至少10%的在孵企业成为毕业企业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通过《在孵企业毕业申请表》评审认定；</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br/>
              <w:t xml:space="preserve">特色工作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4.1数智新城建设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opc社区建设等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重点围绕培育和引进OPC创业个体、场景运用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参照市县考核创建标准</w:t>
            </w:r>
            <w:r/>
          </w:p>
        </w:tc>
      </w:tr>
      <w:tr>
        <w:trPr>
          <w:trHeight w:val="8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4.2高层次人才引进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当年度新引进全职硕士学历及以上人才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人才须在泗缴纳社保或个税；</w:t>
            </w:r>
            <w:r/>
          </w:p>
        </w:tc>
      </w:tr>
      <w:tr>
        <w:trPr>
          <w:trHeight w:val="1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4.3创新创业沙龙、对外宣传等活动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开展创新创业沙龙、创业辅导、产学研合作、成果转化对接、对外宣传等专项活动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6+N场次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6+N场次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6+N场次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围绕AI主题、人工智能场景、电商主题等；外宣工作应根据运营情况适时制作宣传片、短视频等，现场活动照片、活动签到表、活动方案；</w:t>
            </w:r>
            <w:r/>
          </w:p>
        </w:tc>
      </w:tr>
      <w:tr>
        <w:trPr>
          <w:trHeight w:val="12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4.4孵化项目产业化运作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在孵企业（包括但不限于）入驻产业园，实现产业化生产经营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1、企业经营面积不低于1000平方； 2、团队核心人员均缴纳社保；3、入驻后连续3-6个月有经营性的税务发票记录，全年开票金额不低于100万元；4、行业限定：人工智能、低空经济、生物医药、电子信息、高端制造等；</w:t>
            </w:r>
            <w:r/>
          </w:p>
        </w:tc>
      </w:tr>
    </w:tbl>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7"/>
        </w:numPr>
        <w:jc w:val="both"/>
        <w:spacing w:before="120" w:after="12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每年考核按完成比例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权重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得分。</w:t>
      </w:r>
      <w:r/>
    </w:p>
    <w:p>
      <w:pPr>
        <w:numPr>
          <w:ilvl w:val="0"/>
          <w:numId w:val="17"/>
        </w:numPr>
        <w:jc w:val="both"/>
        <w:spacing w:before="120" w:after="12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中标人在考核期内任意一年低于</w:t>
      </w: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分（不含）的，采购人有权解除合同。</w:t>
      </w:r>
      <w:r/>
    </w:p>
    <w:p>
      <w:pPr>
        <w:numPr>
          <w:ilvl w:val="0"/>
          <w:numId w:val="1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考核时间为中标人签订合同起至次年合同签订日前一日。</w:t>
      </w:r>
      <w:r/>
    </w:p>
    <w:p>
      <w:pPr>
        <w:numPr>
          <w:ilvl w:val="0"/>
          <w:numId w:val="1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工作进度应满足时间过半、任务过半。序时进度考核纳入年度考核，未达到时间过半，任务过半的在年度考核中酌情予以扣分。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SimSun" w:hAnsi="SimSun" w:eastAsia="SimSun" w:cs="SimSun"/>
          <w:color w:val="000000"/>
          <w:sz w:val="22"/>
        </w:rPr>
        <w:t xml:space="preserve">投标人承诺中标后成立创投基金（或专项资金）或有合作基金且总额≥350万元的（提供承诺函，格式自拟）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SimSun" w:hAnsi="SimSun" w:eastAsia="SimSun" w:cs="SimSun"/>
          <w:color w:val="000000"/>
          <w:sz w:val="22"/>
        </w:rPr>
        <w:t xml:space="preserve">投标人应承诺中标后经过运营，三年内能达到省级以上科技企业孵化器荣誉标准或国家级科技企业孵化器荣誉标准（提供承诺函，格式自拟）</w:t>
      </w:r>
      <w:r/>
    </w:p>
    <w:p>
      <w:pPr>
        <w:pStyle w:val="66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6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本项目专门面向中小企业采购</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241"/>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4"/>
        <w:gridCol w:w="1967"/>
        <w:gridCol w:w="893"/>
        <w:gridCol w:w="4444"/>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1、价格分应当采用低价优先法计算，即满足招标文件要求且投标价格最低的投标报价为评标基准价，其价格分为满分。其他投标人的价格部分统一按照下列公式计算：投标报价得分=(评标基准价／投标报价)×20。</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2、项目评审过程中，不得去掉最后报价中的最高报价和最低报价。</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企业经营业绩、、荣誉、认证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1、投标人自2022年1月1日（以合同签订时间为准）以来，具有人工智能或大数据或跨境电商或智能制造或机械装备等科技类产业园区孵化器（或产业载体）运营服务项目类似业绩的，有一个得2分，最高得10分。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注：提供项目合同（需体现服务内容、服务周期、甲乙双方名称等内容）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企业荣誉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投标人或其控股关联公司具有省级以上科技企业孵化器荣誉的，每提供一个得2分，最高得6分。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具有国家级科技企业孵化器荣誉业绩的，每提供一个得2.5分，最高得5分。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注：提供中华人民共和国科学技术部/工信部火炬高技术产业开发中心或省厅网站公示链接及截图，否则不予计分。</w:t>
            </w:r>
            <w:r>
              <w:rPr>
                <w:rFonts w:ascii="SimSun" w:hAnsi="SimSun" w:eastAsia="SimSun" w:cs="SimSun"/>
                <w:color w:val="000000"/>
                <w:sz w:val="21"/>
              </w:rPr>
              <w:t xml:space="preserve">同一奖项以最高分计取。</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相关认证证书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投标人提供有效期内的下列认证证书（类型为服务导向型适配）。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1、具有ISO9001质量管理体系认证的得2分；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2、具有ISO14001环境管理体系认证证书的得2分；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3、具有ISO45001职业健康安全管理体系证书的得2分；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注：提供相关证明材料扫描件，如未提供或提供不清晰均不得分。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项目负责人具有本科以上学历的得2分。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2、项目负责人具有人工智能或大数据或跨境电商或智能制造或机械装备等科技类产业园区孵化器（或产业载体）运营服务项目类似业绩的，每有一个得2分，最高得8分。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提供相关证书、简历、合同业绩扫描件。业绩合同中不能反映项目负责人身份职务的，还需提供投标人盖章的证明文件。（2）项目负责人需为投标人或其控股关联公司的正式员工，提供投标文件递交截止时间前六个月中任意一个月的社保证明材料（任意五险之一的社保缴纳证明材料均认可）。</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项目组成员（不含项目负责人）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1.项目组成员中每有1人具备3年以上人工智能或大数据或跨境电商或智能制造或机械装备等科技类产业园区孵化器（或产业载体）运营服务项目经验的得1分，最高得5分；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2.项目组成员中有人具备产业载体项目申报</w:t>
            </w:r>
            <w:r>
              <w:rPr>
                <w:rFonts w:ascii="SimSun" w:hAnsi="SimSun" w:eastAsia="SimSun" w:cs="SimSun"/>
                <w:color w:val="000000"/>
                <w:sz w:val="21"/>
              </w:rPr>
              <w:t xml:space="preserve">或省级以上孵化器</w:t>
            </w:r>
            <w:r>
              <w:rPr>
                <w:rFonts w:ascii="SimSun" w:hAnsi="SimSun" w:eastAsia="SimSun" w:cs="SimSun"/>
                <w:color w:val="000000"/>
                <w:sz w:val="22"/>
              </w:rPr>
              <w:t xml:space="preserve">实操经验的得2分，最高得2分；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3.项目组成员中有人具备大型活动策划执行经验，得2分，最高得2分。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4、投标人或其控股关联公司正式员工具有科技部/工信部火炬高技术产业开发中心认证创业导师资质，每提供一个得2分，最高得4分。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注：（1）团队成员需为投标人或其控股关联公司的正式员工，提供投标文件递交截止时间前六个月中任意一个月的社保证明材料（任意五险之一的社保缴纳证明材料均认可）。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作经验的证明材料（由原任职单位或现任职单位出具，注明任职时段、岗位名称、核心工作内容方案等，需体现“人工智能、大数据、跨境电商、智能制造、机械装备等科技类产业园区孵化器”的相关表述，加盖出具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（3）省级项目申报实操类证明材料：主导或参与的项目申报方案（含申报单位、申报政策名称、该成员签字/署名、申报单位盖章证明）和补贴到账凭证（需与申报方案对应）。</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投标人通过对本项目概况、服务要求分析，而有针对性的编制该项目的理解情况，从事项分析情况、完整性、理解程度等方面进行评审。</w:t>
            </w:r>
            <w:r/>
          </w:p>
          <w:p>
            <w:pPr>
              <w:numPr>
                <w:ilvl w:val="0"/>
                <w:numId w:val="1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分析事项全面、完整、对项目服务要求有独特的理解且符合项目本身实际情况的得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numPr>
                <w:ilvl w:val="0"/>
                <w:numId w:val="1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分析事项较全面、较完整、对项目服务要求有较独特的理解且较符合项目本身实际情况的得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numPr>
                <w:ilvl w:val="0"/>
                <w:numId w:val="1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分析事项笼统或仅做简单描述，承诺通过后期优化能够达到项目要求的得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numPr>
                <w:ilvl w:val="0"/>
                <w:numId w:val="1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没有内容不得分。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经营发展方案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投标人在对本项目理解分析后针对服务要求、经营发展内容进行针对性的编制经营发展方案，从方案的完整性、实施计划分解、拟采用的具体措施和方法、服务承诺等方面进行评审。</w:t>
            </w:r>
            <w:r/>
          </w:p>
          <w:p>
            <w:pPr>
              <w:numPr>
                <w:ilvl w:val="0"/>
                <w:numId w:val="20"/>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方案完整、有详细的计划、方法和措施有明确的实施内容且能得到保障，符合项目本身实际情况的得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numPr>
                <w:ilvl w:val="0"/>
                <w:numId w:val="20"/>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方案较完整、有较详细的计划、方法和措施有较明确的实施内容且较能得到保障，较符合项目本身实际情况的得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numPr>
                <w:ilvl w:val="0"/>
                <w:numId w:val="20"/>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分析事项笼统或仅做简单描述，承诺通过后期优化能够达到项目要求的得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numPr>
                <w:ilvl w:val="0"/>
                <w:numId w:val="20"/>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没有内容不得分。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投标人在对本项目理解分析后针对服务要求、服务能力的内容进行针对性的编制服务能力方案，从方案的完整性、实施计划分解、拟采用的具体措施和方法、服务承诺等方面进行评审。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方案完整、有详细的计划、方法和措施有明确的实施内容且能得到保障，符合项目本身实际情况的得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方案较完整、有较详细的计划、方法和措施有较明确的实施内容且较能得到保障，较符合项目本身实际情况的得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分析事项笼统或仅做简单描述，承诺通过后期优化能够达到项目要求的得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没有内容不得分。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孵化绩效方案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投标人在对本项目理解分析后针对服务要求、孵化绩效的内容进行针对性的编制孵化绩效方案，从方案的完整性、实施计划分解、拟采用的具体措施和方法、服务承诺等方面进行评审。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方案完整、有详细的计划、方法和措施有明确的实施内容且能得到保障，符合项目本身实际情况的得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方案较完整、有较详细的计划、方法和措施有较明确的实施内容且较能得到保障，较符合项目本身实际情况的得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分析事项笼统或仅做简单描述，承诺通过后期优化能够达到项目要求的得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没有内容不得分。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特色工作方案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投标人在对本项目理解分析后针对服务要求、特色工作的内容进行针对性的编制特色工作方案，从方案的完整性、实施计划分解、拟采用的具体措施和方法、服务承诺等方面进行评审。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方案完整、有详细的计划、方法和措施有明确的实施内容且能得到保障，符合项目本身实际情况的得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方案较完整、有较详细的计划、方法和措施有较明确的实施内容且较能得到保障，较符合项目本身实际情况的得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分析事项笼统或仅做简单描述，承诺通过后期优化能够达到项目要求的得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没有内容不得分。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招商服务方案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根据投标人提供的招商方案进行打分，方案内容包括：招商助攻方向、招商目标分解、招商渠道建设、项目储备情况。</w:t>
            </w:r>
            <w:r>
              <w:rPr>
                <w:rFonts w:ascii="SimSun" w:hAnsi="SimSun" w:eastAsia="SimSun" w:cs="SimSun"/>
                <w:color w:val="000000"/>
                <w:sz w:val="21"/>
              </w:rPr>
              <w:t xml:space="preserve">从方案的完整性、实施计划分解、合理性、可落地执行性等方面进行评审。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方案完整、有详细的计划、方法和措施有明确的实施内容且能得到保障，符合项目本身实际情况的得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方案较完整、有较详细的计划、方法和措施有较明确的实施内容且较能得到保障，较符合项目本身实际情况的得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分析事项笼统或仅做简单描述，承诺通过后期优化能够达到项目要求的得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没有内容不得分。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投标人通过对本项目概况、服务要求分析后对入园企业管理办法、产业园管理制度、财务管理制度等进行评审。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入园企业管理办法、产业园管理制度、财务管理制度等描述详细、规范、切实可行的得</w:t>
            </w:r>
            <w:r>
              <w:rPr>
                <w:rFonts w:ascii="Calibri" w:hAnsi="Calibri" w:eastAsia="Calibri" w:cs="Calibri"/>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入园企业管理办法、产业园管理制度、财务管理制度等描述较详细、较规范、较切实可行的得</w:t>
            </w:r>
            <w:r>
              <w:rPr>
                <w:rFonts w:ascii="Calibri" w:hAnsi="Calibri" w:eastAsia="Calibri" w:cs="Calibri"/>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各类制度、办法笼统或仅做简单描述，承诺通过后期优化能够达到项目要求的得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没有内容不得分。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后期服务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项目完成后，根据投标人后期对项目继续跟踪及配套服务进行评审。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项目完成后，能持续长时间为采购人提供相关咨询服务及新政策、新规划等对原有方案内容的调整建议等，描述清晰、完全针对项目设置且可行的得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项目完成后，能持续较长时间为采购人提供相关咨询服务及新政策、新规划等对原有方案内容的调整建议等，描述较清晰、较针对项目设置且较可行的得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内容笼统，没有针对本项目细化制定不过承诺通过后期优化能够实现的得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没有内容不得分。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p>
    <w:p>
      <w:pPr>
        <w:numPr>
          <w:ilvl w:val="0"/>
          <w:numId w:val="21"/>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 </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1  </w:t>
      </w:r>
      <w:r>
        <w:rPr>
          <w:rFonts w:ascii="SimSun" w:hAnsi="SimSun" w:eastAsia="SimSun" w:cs="SimSun"/>
          <w:color w:val="000000"/>
          <w:sz w:val="24"/>
        </w:rPr>
        <w:t xml:space="preserve">种政策确定本项目落实的中小企业政策：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）投标人提供的服务符合下列情形的，对小微企业报价给予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的扣除，用扣除后的价格参加评审。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在服务采购项目中，服务由中小企业承接，即提供服务的人员为中小企业依照《中华人民共和国民法典》订立劳动合同的从业人员。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、绿色数据中心政府采购需求标准（试行）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 （人民币：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注：因系统内部单价单位无法调整，投标人所报单价的单位视同为“元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168"/>
        <w:gridCol w:w="1181"/>
        <w:gridCol w:w="847"/>
        <w:gridCol w:w="1103"/>
        <w:gridCol w:w="1483"/>
        <w:gridCol w:w="164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“投标分项报价表”中“投标总报价”数额应当与“开标一览表”中“投标总报价”数额一致。</w:t>
      </w:r>
      <w:r/>
    </w:p>
    <w:p>
      <w:pPr>
        <w:pStyle w:val="664"/>
        <w:ind w:left="0" w:right="0" w:firstLine="0"/>
        <w:spacing w:before="120" w:after="120" w:line="761" w:lineRule="atLeast"/>
        <w:pBdr>
          <w:top w:val="none" w:color="000000" w:sz="4" w:space="0"/>
          <w:left w:val="none" w:color="000000" w:sz="4" w:space="0"/>
          <w:bottom w:val="none" w:color="000000" w:sz="4" w:space="0"/>
          <w:right w:val="none" w:color="000000" w:sz="4" w:space="0"/>
        </w:pBdr>
      </w:pPr>
      <w:r>
        <w:br w:type="page" w:clear="all"/>
      </w:r>
      <w:r/>
    </w:p>
    <w:p>
      <w:pPr>
        <w:pStyle w:val="664"/>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七、中小企业声明函（服务）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、投标人如不提供此声明函，不得参加专门面向中小企业采购项目或者不得享受小微企业价格扣除政策。此声明函将随成交结果同时公告，接受社会监督。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、服务采购项目中，服务的承接商应当为中小企业，不对其中涉及的货物的制造商、工程的承建商作出要求。）</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八、技术要求响应及偏离表（分包号：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加斜体下划线内容或</w:t>
            </w:r>
            <w:r>
              <w:rPr>
                <w:rFonts w:ascii="SimSun" w:hAnsi="SimSun" w:eastAsia="SimSun" w:cs="SimSun"/>
                <w:color w:val="000000"/>
                <w:sz w:val="24"/>
              </w:rPr>
              <w:t xml:space="preserve">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投标人必须对技术要求和商务要求中的实质性要求（加斜体下划线内容或打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TFangsong">
    <w:panose1 w:val="0201060004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uiPriority w:val="34"/>
    <w:qFormat/>
    <w:pPr>
      <w:contextualSpacing/>
      <w:ind w:left="720"/>
    </w:pPr>
  </w:style>
  <w:style w:type="paragraph" w:styleId="681">
    <w:name w:val="No Spacing"/>
    <w:uiPriority w:val="1"/>
    <w:qFormat/>
    <w:pPr>
      <w:spacing w:before="0" w:after="0" w:line="240" w:lineRule="auto"/>
    </w:pPr>
  </w:style>
  <w:style w:type="paragraph" w:styleId="682">
    <w:name w:val="Title"/>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link w:val="687"/>
    <w:uiPriority w:val="29"/>
    <w:qFormat/>
    <w:pPr>
      <w:ind w:left="720" w:right="720"/>
    </w:pPr>
    <w:rPr>
      <w:i/>
    </w:rPr>
  </w:style>
  <w:style w:type="character" w:styleId="687">
    <w:name w:val="Quote Char"/>
    <w:link w:val="686"/>
    <w:uiPriority w:val="29"/>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uiPriority w:val="39"/>
    <w:unhideWhenUsed/>
    <w:pPr>
      <w:ind w:left="0" w:right="0" w:firstLine="0"/>
      <w:spacing w:after="57"/>
    </w:pPr>
  </w:style>
  <w:style w:type="paragraph" w:styleId="830">
    <w:name w:val="toc 2"/>
    <w:uiPriority w:val="39"/>
    <w:unhideWhenUsed/>
    <w:pPr>
      <w:ind w:left="283" w:right="0" w:firstLine="0"/>
      <w:spacing w:after="57"/>
    </w:pPr>
  </w:style>
  <w:style w:type="paragraph" w:styleId="831">
    <w:name w:val="toc 3"/>
    <w:uiPriority w:val="39"/>
    <w:unhideWhenUsed/>
    <w:pPr>
      <w:ind w:left="567" w:right="0" w:firstLine="0"/>
      <w:spacing w:after="57"/>
    </w:pPr>
  </w:style>
  <w:style w:type="paragraph" w:styleId="832">
    <w:name w:val="toc 4"/>
    <w:uiPriority w:val="39"/>
    <w:unhideWhenUsed/>
    <w:pPr>
      <w:ind w:left="850" w:right="0" w:firstLine="0"/>
      <w:spacing w:after="57"/>
    </w:pPr>
  </w:style>
  <w:style w:type="paragraph" w:styleId="833">
    <w:name w:val="toc 5"/>
    <w:uiPriority w:val="39"/>
    <w:unhideWhenUsed/>
    <w:pPr>
      <w:ind w:left="1134" w:right="0" w:firstLine="0"/>
      <w:spacing w:after="57"/>
    </w:pPr>
  </w:style>
  <w:style w:type="paragraph" w:styleId="834">
    <w:name w:val="toc 6"/>
    <w:uiPriority w:val="39"/>
    <w:unhideWhenUsed/>
    <w:pPr>
      <w:ind w:left="1417" w:right="0" w:firstLine="0"/>
      <w:spacing w:after="57"/>
    </w:pPr>
  </w:style>
  <w:style w:type="paragraph" w:styleId="835">
    <w:name w:val="toc 7"/>
    <w:uiPriority w:val="39"/>
    <w:unhideWhenUsed/>
    <w:pPr>
      <w:ind w:left="1701" w:right="0" w:firstLine="0"/>
      <w:spacing w:after="57"/>
    </w:pPr>
  </w:style>
  <w:style w:type="paragraph" w:styleId="836">
    <w:name w:val="toc 8"/>
    <w:uiPriority w:val="39"/>
    <w:unhideWhenUsed/>
    <w:pPr>
      <w:ind w:left="1984" w:right="0" w:firstLine="0"/>
      <w:spacing w:after="57"/>
    </w:pPr>
  </w:style>
  <w:style w:type="paragraph" w:styleId="837">
    <w:name w:val="toc 9"/>
    <w:uiPriority w:val="39"/>
    <w:unhideWhenUsed/>
    <w:pPr>
      <w:ind w:left="2268" w:right="0" w:firstLine="0"/>
      <w:spacing w:after="57"/>
    </w:pPr>
  </w:style>
  <w:style w:type="paragraph" w:styleId="838">
    <w:name w:val="TOC Heading"/>
    <w:uiPriority w:val="39"/>
    <w:unhideWhenUsed/>
  </w:style>
  <w:style w:type="paragraph" w:styleId="839">
    <w:name w:val="table of figures"/>
    <w:uiPriority w:val="99"/>
    <w:unhideWhenUsed/>
    <w:pPr>
      <w:spacing w:after="0" w:afterAutospacing="0"/>
    </w:pPr>
  </w:style>
  <w:style w:type="character" w:styleId="840" w:default="1">
    <w:name w:val="Default Paragraph Font"/>
    <w:uiPriority w:val="1"/>
    <w:semiHidden/>
    <w:unhideWhenUsed/>
  </w:style>
  <w:style w:type="numbering" w:styleId="841" w:default="1">
    <w:name w:val="No List"/>
    <w:uiPriority w:val="99"/>
    <w:semiHidden/>
    <w:unhideWhenUsed/>
  </w:style>
  <w:style w:type="paragraph" w:styleId="842" w:default="1">
    <w:name w:val="Normal"/>
    <w:qFormat/>
  </w:style>
  <w:style w:type="table" w:styleId="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5</cp:revision>
  <dcterms:created xsi:type="dcterms:W3CDTF">2026-06-16T06:46:46Z</dcterms:created>
  <dcterms:modified xsi:type="dcterms:W3CDTF">2026-06-17T03:34:54Z</dcterms:modified>
</cp:coreProperties>
</file>