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7E99">
      <w:pPr>
        <w:spacing w:line="360" w:lineRule="auto"/>
        <w:ind w:left="660"/>
        <w:rPr>
          <w:rFonts w:ascii="Arial" w:hAnsi="Arial"/>
          <w:bCs/>
          <w:color w:val="auto"/>
          <w:sz w:val="30"/>
          <w:highlight w:val="none"/>
        </w:rPr>
      </w:pPr>
    </w:p>
    <w:p w14:paraId="24237E54">
      <w:pPr>
        <w:spacing w:line="360" w:lineRule="auto"/>
        <w:ind w:left="660"/>
        <w:rPr>
          <w:rFonts w:ascii="Arial" w:hAnsi="Arial"/>
          <w:bCs/>
          <w:color w:val="auto"/>
          <w:sz w:val="30"/>
          <w:highlight w:val="none"/>
        </w:rPr>
      </w:pPr>
    </w:p>
    <w:p w14:paraId="18684C39">
      <w:pPr>
        <w:spacing w:line="360" w:lineRule="auto"/>
        <w:jc w:val="cente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574CDB31">
      <w:pPr>
        <w:spacing w:line="360" w:lineRule="auto"/>
        <w:jc w:val="center"/>
        <w:rPr>
          <w:rFonts w:ascii="Arial" w:hAnsi="Arial"/>
          <w:b/>
          <w:bCs/>
          <w:color w:val="auto"/>
          <w:sz w:val="30"/>
          <w:highlight w:val="none"/>
        </w:rPr>
      </w:pPr>
      <w:r>
        <w:rPr>
          <w:rFonts w:hint="eastAsia" w:ascii="Arial" w:hAnsi="Arial"/>
          <w:b/>
          <w:bCs/>
          <w:color w:val="auto"/>
          <w:sz w:val="30"/>
          <w:highlight w:val="none"/>
        </w:rPr>
        <w:t>（全流程电子化）</w:t>
      </w:r>
    </w:p>
    <w:p w14:paraId="4E5CB63B">
      <w:pPr>
        <w:spacing w:line="360" w:lineRule="auto"/>
        <w:rPr>
          <w:rFonts w:ascii="Arial" w:hAnsi="Arial"/>
          <w:b/>
          <w:bCs/>
          <w:color w:val="auto"/>
          <w:sz w:val="30"/>
          <w:highlight w:val="none"/>
        </w:rPr>
      </w:pPr>
    </w:p>
    <w:p w14:paraId="3ECCE846">
      <w:pPr>
        <w:spacing w:line="360" w:lineRule="auto"/>
        <w:jc w:val="center"/>
        <w:rPr>
          <w:rFonts w:ascii="Arial" w:hAnsi="Arial"/>
          <w:b/>
          <w:bCs/>
          <w:color w:val="auto"/>
          <w:spacing w:val="20"/>
          <w:sz w:val="52"/>
          <w:szCs w:val="52"/>
          <w:highlight w:val="none"/>
        </w:rPr>
      </w:pPr>
      <w:r>
        <w:rPr>
          <w:rFonts w:hint="eastAsia" w:ascii="Arial" w:hAnsi="Arial"/>
          <w:b/>
          <w:bCs/>
          <w:color w:val="auto"/>
          <w:spacing w:val="20"/>
          <w:sz w:val="52"/>
          <w:szCs w:val="52"/>
          <w:highlight w:val="none"/>
        </w:rPr>
        <w:t>公开</w:t>
      </w:r>
      <w:r>
        <w:rPr>
          <w:rFonts w:ascii="Arial" w:hAnsi="Arial"/>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auto"/>
          <w:spacing w:val="20"/>
          <w:sz w:val="52"/>
          <w:szCs w:val="52"/>
          <w:highlight w:val="none"/>
        </w:rPr>
        <w:t>招标文件</w:t>
      </w:r>
    </w:p>
    <w:p w14:paraId="6C479835">
      <w:pPr>
        <w:spacing w:line="360" w:lineRule="auto"/>
        <w:rPr>
          <w:rFonts w:ascii="Arial" w:hAnsi="Arial"/>
          <w:b/>
          <w:bCs/>
          <w:color w:val="auto"/>
          <w:sz w:val="30"/>
          <w:highlight w:val="none"/>
        </w:rPr>
      </w:pPr>
    </w:p>
    <w:p w14:paraId="4DD44238">
      <w:pPr>
        <w:spacing w:line="360" w:lineRule="auto"/>
        <w:rPr>
          <w:rFonts w:ascii="Arial" w:hAnsi="Arial"/>
          <w:b/>
          <w:bCs/>
          <w:color w:val="auto"/>
          <w:sz w:val="30"/>
          <w:highlight w:val="none"/>
        </w:rPr>
      </w:pPr>
    </w:p>
    <w:p w14:paraId="4A18D2AE">
      <w:pPr>
        <w:spacing w:line="360" w:lineRule="auto"/>
        <w:rPr>
          <w:rFonts w:ascii="Arial" w:hAnsi="Arial"/>
          <w:b/>
          <w:bCs/>
          <w:color w:val="auto"/>
          <w:sz w:val="30"/>
          <w:highlight w:val="none"/>
        </w:rPr>
      </w:pPr>
    </w:p>
    <w:p w14:paraId="2AFCEB5B">
      <w:pPr>
        <w:spacing w:line="360" w:lineRule="auto"/>
        <w:rPr>
          <w:rFonts w:ascii="Arial" w:hAnsi="Arial"/>
          <w:b/>
          <w:bCs/>
          <w:color w:val="auto"/>
          <w:sz w:val="30"/>
          <w:highlight w:val="none"/>
        </w:rPr>
      </w:pPr>
    </w:p>
    <w:p w14:paraId="663FFC9A">
      <w:pPr>
        <w:spacing w:line="360" w:lineRule="auto"/>
        <w:ind w:firstLine="1500"/>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采</w:t>
      </w:r>
      <w:r>
        <w:rPr>
          <w:rFonts w:hint="eastAsia" w:ascii="宋体" w:hAnsi="宋体" w:eastAsia="宋体" w:cs="宋体"/>
          <w:bCs/>
          <w:color w:val="auto"/>
          <w:sz w:val="30"/>
          <w:szCs w:val="30"/>
          <w:highlight w:val="none"/>
        </w:rPr>
        <w:t>购项目编号：</w:t>
      </w:r>
      <w:r>
        <w:rPr>
          <w:rFonts w:hint="eastAsia" w:ascii="宋体" w:hAnsi="宋体" w:eastAsia="宋体" w:cs="宋体"/>
          <w:bCs/>
          <w:color w:val="auto"/>
          <w:sz w:val="30"/>
          <w:szCs w:val="30"/>
          <w:highlight w:val="none"/>
          <w:lang w:eastAsia="zh-CN"/>
        </w:rPr>
        <w:t>JSZC-320200-PXGJ-G2026-0049</w:t>
      </w:r>
    </w:p>
    <w:p w14:paraId="536569AC">
      <w:pPr>
        <w:spacing w:line="360" w:lineRule="auto"/>
        <w:ind w:firstLine="1500"/>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采购项目名称：</w:t>
      </w:r>
      <w:r>
        <w:rPr>
          <w:rFonts w:hint="eastAsia" w:ascii="Arial" w:hAnsi="Arial" w:eastAsia="宋体"/>
          <w:bCs/>
          <w:color w:val="auto"/>
          <w:sz w:val="30"/>
          <w:szCs w:val="30"/>
          <w:highlight w:val="none"/>
          <w:lang w:eastAsia="zh-CN"/>
        </w:rPr>
        <w:t>无锡市中医医院检验检查项目外送服务（普检）</w:t>
      </w:r>
    </w:p>
    <w:p w14:paraId="773485A3">
      <w:pPr>
        <w:spacing w:line="360" w:lineRule="auto"/>
        <w:ind w:firstLine="15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eastAsia="宋体" w:cs="宋体"/>
          <w:bCs/>
          <w:color w:val="auto"/>
          <w:sz w:val="30"/>
          <w:szCs w:val="30"/>
          <w:highlight w:val="none"/>
          <w:lang w:eastAsia="zh-CN"/>
        </w:rPr>
        <w:t>无锡市中医医院</w:t>
      </w:r>
    </w:p>
    <w:p w14:paraId="3AD07EA0">
      <w:pPr>
        <w:spacing w:line="360" w:lineRule="auto"/>
        <w:ind w:firstLine="1500"/>
        <w:rPr>
          <w:rFonts w:ascii="Arial" w:hAnsi="Arial" w:eastAsia="宋体"/>
          <w:bCs/>
          <w:color w:val="auto"/>
          <w:sz w:val="30"/>
          <w:szCs w:val="30"/>
          <w:highlight w:val="none"/>
        </w:rPr>
      </w:pPr>
      <w:r>
        <w:rPr>
          <w:rFonts w:hint="eastAsia" w:ascii="Arial" w:hAnsi="Arial" w:eastAsia="宋体"/>
          <w:bCs/>
          <w:color w:val="auto"/>
          <w:sz w:val="30"/>
          <w:szCs w:val="30"/>
          <w:highlight w:val="none"/>
        </w:rPr>
        <w:t>采购代理机构：普信国际工程咨询有限公司</w:t>
      </w:r>
    </w:p>
    <w:p w14:paraId="3D5E113A">
      <w:pPr>
        <w:spacing w:line="360" w:lineRule="auto"/>
        <w:rPr>
          <w:rFonts w:ascii="Arial" w:hAnsi="Arial"/>
          <w:bCs/>
          <w:color w:val="auto"/>
          <w:sz w:val="32"/>
          <w:highlight w:val="none"/>
        </w:rPr>
      </w:pPr>
    </w:p>
    <w:p w14:paraId="7401F536">
      <w:pPr>
        <w:spacing w:line="360" w:lineRule="auto"/>
        <w:rPr>
          <w:rFonts w:ascii="Arial" w:hAnsi="Arial"/>
          <w:bCs/>
          <w:color w:val="auto"/>
          <w:sz w:val="30"/>
          <w:highlight w:val="none"/>
        </w:rPr>
      </w:pPr>
    </w:p>
    <w:p w14:paraId="7028008D">
      <w:pPr>
        <w:spacing w:line="360" w:lineRule="auto"/>
        <w:rPr>
          <w:rFonts w:ascii="Arial" w:hAnsi="Arial"/>
          <w:bCs/>
          <w:color w:val="auto"/>
          <w:sz w:val="30"/>
          <w:highlight w:val="none"/>
        </w:rPr>
      </w:pPr>
    </w:p>
    <w:p w14:paraId="01EF127F">
      <w:pPr>
        <w:spacing w:line="360" w:lineRule="auto"/>
        <w:rPr>
          <w:rFonts w:ascii="Arial" w:hAnsi="Arial"/>
          <w:bCs/>
          <w:color w:val="auto"/>
          <w:sz w:val="30"/>
          <w:highlight w:val="none"/>
        </w:rPr>
      </w:pPr>
    </w:p>
    <w:p w14:paraId="428FADDD">
      <w:pPr>
        <w:spacing w:line="360" w:lineRule="auto"/>
        <w:rPr>
          <w:rFonts w:ascii="Arial" w:hAnsi="Arial"/>
          <w:bCs/>
          <w:color w:val="auto"/>
          <w:sz w:val="30"/>
          <w:highlight w:val="none"/>
        </w:rPr>
      </w:pPr>
    </w:p>
    <w:p w14:paraId="3408F528">
      <w:pPr>
        <w:spacing w:line="360" w:lineRule="auto"/>
        <w:jc w:val="center"/>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年</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月</w:t>
      </w:r>
    </w:p>
    <w:p w14:paraId="00991C05">
      <w:pPr>
        <w:spacing w:line="360" w:lineRule="auto"/>
        <w:rPr>
          <w:rStyle w:val="99"/>
          <w:rFonts w:ascii="Arial" w:hAnsi="Arial"/>
          <w:bCs/>
          <w:color w:val="auto"/>
          <w:sz w:val="48"/>
          <w:highlight w:val="none"/>
        </w:rPr>
      </w:pPr>
    </w:p>
    <w:p w14:paraId="0EC39E44">
      <w:pPr>
        <w:spacing w:line="360" w:lineRule="auto"/>
        <w:jc w:val="center"/>
        <w:rPr>
          <w:rStyle w:val="99"/>
          <w:rFonts w:ascii="Arial" w:hAnsi="Arial"/>
          <w:bCs/>
          <w:color w:val="auto"/>
          <w:sz w:val="48"/>
          <w:highlight w:val="none"/>
          <w:u w:val="none"/>
        </w:rPr>
      </w:pPr>
    </w:p>
    <w:p w14:paraId="10AC9753">
      <w:pPr>
        <w:spacing w:line="360" w:lineRule="auto"/>
        <w:jc w:val="center"/>
        <w:rPr>
          <w:rStyle w:val="99"/>
          <w:rFonts w:ascii="Arial" w:hAnsi="Arial"/>
          <w:bCs/>
          <w:color w:val="auto"/>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7D44C192">
      <w:pPr>
        <w:spacing w:line="360" w:lineRule="auto"/>
        <w:jc w:val="center"/>
        <w:rPr>
          <w:rStyle w:val="99"/>
          <w:rFonts w:ascii="Arial" w:hAnsi="Arial"/>
          <w:bCs/>
          <w:color w:val="auto"/>
          <w:sz w:val="48"/>
          <w:highlight w:val="none"/>
          <w:u w:val="none"/>
        </w:rPr>
      </w:pPr>
    </w:p>
    <w:p w14:paraId="6172C5D7">
      <w:pPr>
        <w:spacing w:line="360" w:lineRule="auto"/>
        <w:jc w:val="center"/>
        <w:rPr>
          <w:rStyle w:val="99"/>
          <w:rFonts w:ascii="Arial" w:hAnsi="Arial"/>
          <w:bCs/>
          <w:color w:val="auto"/>
          <w:sz w:val="48"/>
          <w:highlight w:val="none"/>
          <w:u w:val="none"/>
        </w:rPr>
      </w:pPr>
    </w:p>
    <w:p w14:paraId="26D168A0">
      <w:pPr>
        <w:pStyle w:val="405"/>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94B7E5C">
      <w:pPr>
        <w:spacing w:line="360" w:lineRule="auto"/>
        <w:jc w:val="center"/>
        <w:outlineLvl w:val="0"/>
        <w:rPr>
          <w:rFonts w:ascii="黑体" w:hAnsi="Arial" w:eastAsia="黑体"/>
          <w:color w:val="auto"/>
          <w:sz w:val="44"/>
          <w:highlight w:val="none"/>
        </w:rPr>
      </w:pPr>
    </w:p>
    <w:p w14:paraId="67C6532D">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2C6E397D">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6BCB6CC8">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3551978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7AD8042B">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097BB923">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5CB7754D">
      <w:pPr>
        <w:spacing w:line="360" w:lineRule="auto"/>
        <w:rPr>
          <w:rFonts w:ascii="Arial" w:hAnsi="Arial"/>
          <w:bCs/>
          <w:color w:val="auto"/>
          <w:sz w:val="28"/>
          <w:szCs w:val="28"/>
          <w:highlight w:val="none"/>
        </w:rPr>
      </w:pPr>
    </w:p>
    <w:p w14:paraId="72B28F48">
      <w:pPr>
        <w:spacing w:line="360" w:lineRule="auto"/>
        <w:rPr>
          <w:rFonts w:ascii="Arial" w:hAnsi="Arial"/>
          <w:bCs/>
          <w:color w:val="auto"/>
          <w:sz w:val="32"/>
          <w:highlight w:val="none"/>
        </w:rPr>
      </w:pPr>
    </w:p>
    <w:p w14:paraId="4D5CE365">
      <w:pPr>
        <w:spacing w:line="360" w:lineRule="auto"/>
        <w:rPr>
          <w:rFonts w:ascii="Arial" w:hAnsi="Arial"/>
          <w:bCs/>
          <w:color w:val="auto"/>
          <w:sz w:val="32"/>
          <w:highlight w:val="none"/>
        </w:rPr>
      </w:pPr>
    </w:p>
    <w:p w14:paraId="762F348F">
      <w:pPr>
        <w:spacing w:line="360" w:lineRule="auto"/>
        <w:rPr>
          <w:rFonts w:ascii="Arial" w:hAnsi="Arial"/>
          <w:bCs/>
          <w:color w:val="auto"/>
          <w:sz w:val="32"/>
          <w:highlight w:val="none"/>
        </w:rPr>
      </w:pPr>
    </w:p>
    <w:p w14:paraId="15DF30DE">
      <w:pPr>
        <w:spacing w:line="360" w:lineRule="auto"/>
        <w:rPr>
          <w:rFonts w:ascii="Arial" w:hAnsi="Arial" w:eastAsia="宋体"/>
          <w:bCs/>
          <w:color w:val="auto"/>
          <w:sz w:val="32"/>
          <w:highlight w:val="none"/>
        </w:rPr>
      </w:pPr>
    </w:p>
    <w:p w14:paraId="7E1AA390">
      <w:pPr>
        <w:spacing w:line="360" w:lineRule="auto"/>
        <w:rPr>
          <w:rFonts w:ascii="Arial" w:hAnsi="Arial"/>
          <w:color w:val="auto"/>
          <w:sz w:val="32"/>
          <w:szCs w:val="32"/>
          <w:highlight w:val="none"/>
        </w:rPr>
      </w:pPr>
    </w:p>
    <w:p w14:paraId="72DFCAB8">
      <w:pPr>
        <w:spacing w:line="360" w:lineRule="auto"/>
        <w:rPr>
          <w:rFonts w:ascii="Arial" w:hAnsi="Arial"/>
          <w:color w:val="auto"/>
          <w:sz w:val="32"/>
          <w:szCs w:val="32"/>
          <w:highlight w:val="none"/>
        </w:rPr>
      </w:pPr>
    </w:p>
    <w:p w14:paraId="2F1BEA11">
      <w:pPr>
        <w:spacing w:line="360" w:lineRule="auto"/>
        <w:rPr>
          <w:rFonts w:ascii="Arial" w:hAnsi="Arial"/>
          <w:bCs/>
          <w:color w:val="auto"/>
          <w:sz w:val="32"/>
          <w:highlight w:val="none"/>
        </w:rPr>
      </w:pPr>
    </w:p>
    <w:p w14:paraId="6C7AFC95">
      <w:pPr>
        <w:spacing w:line="360" w:lineRule="auto"/>
        <w:rPr>
          <w:rFonts w:ascii="Arial" w:hAnsi="Arial"/>
          <w:bCs/>
          <w:color w:val="auto"/>
          <w:sz w:val="32"/>
          <w:highlight w:val="none"/>
        </w:rPr>
      </w:pPr>
    </w:p>
    <w:p w14:paraId="77CF3986">
      <w:pPr>
        <w:pStyle w:val="34"/>
        <w:spacing w:line="360" w:lineRule="auto"/>
        <w:ind w:firstLine="0"/>
        <w:jc w:val="both"/>
        <w:rPr>
          <w:color w:val="auto"/>
          <w:highlight w:val="none"/>
        </w:rPr>
      </w:pPr>
      <w:bookmarkStart w:id="0" w:name="报价方须知前附表"/>
      <w:bookmarkEnd w:id="0"/>
    </w:p>
    <w:p w14:paraId="4A9FC039">
      <w:pPr>
        <w:spacing w:line="360" w:lineRule="auto"/>
        <w:jc w:val="center"/>
        <w:rPr>
          <w:rFonts w:ascii="Arial" w:hAnsi="Arial"/>
          <w:b/>
          <w:bCs/>
          <w:color w:val="auto"/>
          <w:sz w:val="28"/>
          <w:szCs w:val="28"/>
          <w:highlight w:val="none"/>
        </w:rPr>
      </w:pPr>
    </w:p>
    <w:p w14:paraId="6446DDBC">
      <w:pPr>
        <w:rPr>
          <w:rFonts w:ascii="Arial" w:hAnsi="Arial"/>
          <w:b/>
          <w:bCs/>
          <w:color w:val="auto"/>
          <w:sz w:val="28"/>
          <w:szCs w:val="28"/>
          <w:highlight w:val="none"/>
        </w:rPr>
        <w:sectPr>
          <w:footerReference r:id="rId8" w:type="first"/>
          <w:footerReference r:id="rId7" w:type="default"/>
          <w:pgSz w:w="11906" w:h="16838"/>
          <w:pgMar w:top="850" w:right="851" w:bottom="850" w:left="1134" w:header="624" w:footer="907" w:gutter="0"/>
          <w:pgNumType w:start="0"/>
          <w:cols w:space="1701" w:num="1"/>
          <w:titlePg/>
          <w:docGrid w:linePitch="360" w:charSpace="0"/>
        </w:sectPr>
      </w:pPr>
    </w:p>
    <w:p w14:paraId="1DCE2466">
      <w:pPr>
        <w:rPr>
          <w:rFonts w:ascii="Arial" w:hAnsi="Arial"/>
          <w:b/>
          <w:bCs/>
          <w:color w:val="auto"/>
          <w:sz w:val="28"/>
          <w:szCs w:val="28"/>
          <w:highlight w:val="none"/>
        </w:rPr>
      </w:pPr>
    </w:p>
    <w:p w14:paraId="2D563CAE">
      <w:pPr>
        <w:spacing w:line="360" w:lineRule="auto"/>
        <w:jc w:val="center"/>
        <w:rPr>
          <w:rFonts w:ascii="Arial" w:hAnsi="Arial"/>
          <w:b/>
          <w:bCs/>
          <w:color w:val="auto"/>
          <w:sz w:val="28"/>
          <w:szCs w:val="28"/>
          <w:highlight w:val="none"/>
        </w:rPr>
      </w:pPr>
      <w:r>
        <w:rPr>
          <w:rFonts w:hint="eastAsia" w:ascii="黑体" w:hAnsi="黑体" w:eastAsia="黑体" w:cs="黑体"/>
          <w:color w:val="auto"/>
          <w:sz w:val="36"/>
          <w:szCs w:val="36"/>
          <w:highlight w:val="none"/>
        </w:rPr>
        <w:t>第一章  投标邀请函</w:t>
      </w:r>
    </w:p>
    <w:p w14:paraId="16C5A959">
      <w:pPr>
        <w:spacing w:line="360" w:lineRule="auto"/>
        <w:ind w:firstLine="480"/>
        <w:rPr>
          <w:rFonts w:ascii="Arial" w:hAnsi="Arial"/>
          <w:bCs/>
          <w:color w:val="auto"/>
          <w:sz w:val="24"/>
          <w:szCs w:val="24"/>
          <w:highlight w:val="none"/>
        </w:rPr>
      </w:pPr>
      <w:r>
        <w:rPr>
          <w:rFonts w:hint="eastAsia" w:ascii="Arial" w:hAnsi="Arial" w:eastAsia="宋体"/>
          <w:bCs/>
          <w:color w:val="auto"/>
          <w:sz w:val="24"/>
          <w:szCs w:val="24"/>
          <w:highlight w:val="none"/>
          <w:u w:val="single"/>
        </w:rPr>
        <w:t>普信国际工程咨询有限公司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lang w:eastAsia="zh-CN"/>
        </w:rPr>
        <w:t>无锡市中医医院</w:t>
      </w:r>
      <w:r>
        <w:rPr>
          <w:rFonts w:hint="eastAsia" w:ascii="Arial" w:hAnsi="Arial"/>
          <w:bCs/>
          <w:color w:val="auto"/>
          <w:sz w:val="24"/>
          <w:szCs w:val="24"/>
          <w:highlight w:val="none"/>
        </w:rPr>
        <w:t>的委托，对</w:t>
      </w:r>
      <w:r>
        <w:rPr>
          <w:rFonts w:hint="eastAsia" w:ascii="Arial" w:hAnsi="Arial" w:eastAsia="宋体"/>
          <w:bCs/>
          <w:color w:val="auto"/>
          <w:sz w:val="24"/>
          <w:szCs w:val="24"/>
          <w:highlight w:val="none"/>
          <w:u w:val="single"/>
          <w:lang w:eastAsia="zh-CN"/>
        </w:rPr>
        <w:t>无锡市中医医院检验检查项目外送服务（普检）</w:t>
      </w:r>
      <w:r>
        <w:rPr>
          <w:rFonts w:hint="eastAsia" w:ascii="Arial" w:hAnsi="Arial"/>
          <w:bCs/>
          <w:color w:val="auto"/>
          <w:sz w:val="24"/>
          <w:szCs w:val="24"/>
          <w:highlight w:val="none"/>
        </w:rPr>
        <w:t>进行公开招标采购，欢迎符合相关条件的供应商参加投标。</w:t>
      </w:r>
    </w:p>
    <w:p w14:paraId="6714657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6303E4BF">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olor w:val="auto"/>
          <w:sz w:val="24"/>
          <w:szCs w:val="24"/>
          <w:highlight w:val="none"/>
          <w:shd w:val="clear" w:color="FFFFFF" w:fill="D9D9D9"/>
          <w:lang w:val="en-US" w:eastAsia="zh-CN"/>
        </w:rPr>
      </w:pPr>
      <w:r>
        <w:rPr>
          <w:rFonts w:hint="eastAsia" w:ascii="宋体" w:hAnsi="宋体" w:eastAsia="宋体"/>
          <w:color w:val="auto"/>
          <w:sz w:val="24"/>
          <w:szCs w:val="24"/>
          <w:highlight w:val="none"/>
          <w:u w:val="single"/>
          <w:lang w:eastAsia="zh-CN"/>
        </w:rPr>
        <w:t>无锡市中医医院检验检查项目外送服务（普检）</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7</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15</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09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rPr>
        <w:t>3</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r>
        <w:rPr>
          <w:rFonts w:hint="eastAsia" w:ascii="宋体" w:hAnsi="宋体" w:eastAsia="宋体"/>
          <w:color w:val="auto"/>
          <w:sz w:val="24"/>
          <w:szCs w:val="24"/>
          <w:highlight w:val="none"/>
          <w:lang w:val="en-US" w:eastAsia="zh-CN"/>
        </w:rPr>
        <w:tab/>
      </w:r>
    </w:p>
    <w:p w14:paraId="0051DFDD">
      <w:pPr>
        <w:spacing w:line="360" w:lineRule="auto"/>
        <w:ind w:firstLine="241"/>
        <w:rPr>
          <w:rFonts w:ascii="Arial" w:hAnsi="Arial"/>
          <w:b/>
          <w:bCs/>
          <w:color w:val="auto"/>
          <w:sz w:val="24"/>
          <w:szCs w:val="24"/>
          <w:highlight w:val="none"/>
        </w:rPr>
      </w:pPr>
      <w:r>
        <w:rPr>
          <w:rFonts w:hint="eastAsia" w:ascii="Arial" w:hAnsi="Arial"/>
          <w:b/>
          <w:bCs/>
          <w:color w:val="auto"/>
          <w:sz w:val="24"/>
          <w:szCs w:val="24"/>
          <w:highlight w:val="none"/>
        </w:rPr>
        <w:t>（一）</w:t>
      </w:r>
      <w:r>
        <w:rPr>
          <w:rFonts w:hint="eastAsia" w:ascii="Arial" w:hAnsi="Arial" w:cs="宋体"/>
          <w:b/>
          <w:color w:val="auto"/>
          <w:sz w:val="24"/>
          <w:szCs w:val="24"/>
          <w:highlight w:val="none"/>
        </w:rPr>
        <w:t>招标项目信息</w:t>
      </w:r>
    </w:p>
    <w:p w14:paraId="11CFD66F">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1.项目名称：</w:t>
      </w:r>
      <w:r>
        <w:rPr>
          <w:rFonts w:hint="eastAsia" w:ascii="Arial" w:hAnsi="Arial" w:eastAsia="宋体" w:cs="宋体"/>
          <w:color w:val="auto"/>
          <w:sz w:val="24"/>
          <w:szCs w:val="24"/>
          <w:highlight w:val="none"/>
          <w:lang w:eastAsia="zh-CN"/>
        </w:rPr>
        <w:t>无锡市中医医院检验检查项目外送服务（普检）</w:t>
      </w:r>
    </w:p>
    <w:p w14:paraId="4535B9CE">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2.项目编号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JSZC-320200-PXGJ-G2026-0049</w:t>
      </w:r>
    </w:p>
    <w:p w14:paraId="540F9205">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3.</w:t>
      </w:r>
      <w:r>
        <w:rPr>
          <w:rFonts w:ascii="Arial" w:hAnsi="Arial" w:cs="宋体"/>
          <w:color w:val="auto"/>
          <w:sz w:val="24"/>
          <w:szCs w:val="24"/>
          <w:highlight w:val="none"/>
        </w:rPr>
        <w:t>项目</w:t>
      </w:r>
      <w:r>
        <w:rPr>
          <w:rFonts w:hint="eastAsia" w:ascii="Arial" w:hAnsi="Arial" w:cs="宋体"/>
          <w:color w:val="auto"/>
          <w:sz w:val="24"/>
          <w:szCs w:val="24"/>
          <w:highlight w:val="none"/>
        </w:rPr>
        <w:t>预算金额：</w:t>
      </w:r>
      <w:r>
        <w:rPr>
          <w:rFonts w:hint="eastAsia" w:ascii="宋体" w:hAnsi="宋体" w:eastAsia="宋体" w:cs="宋体"/>
          <w:color w:val="auto"/>
          <w:sz w:val="24"/>
          <w:szCs w:val="24"/>
          <w:highlight w:val="none"/>
          <w:lang w:val="en-US" w:eastAsia="zh-CN"/>
        </w:rPr>
        <w:t>220</w:t>
      </w:r>
      <w:r>
        <w:rPr>
          <w:rFonts w:hint="eastAsia" w:ascii="宋体" w:hAnsi="宋体" w:eastAsia="宋体" w:cs="宋体"/>
          <w:color w:val="auto"/>
          <w:sz w:val="24"/>
          <w:szCs w:val="24"/>
          <w:highlight w:val="none"/>
        </w:rPr>
        <w:t>万元</w:t>
      </w:r>
    </w:p>
    <w:p w14:paraId="6F6914CF">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4.最高限价：折扣率</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rPr>
        <w:t>（本项目涉及的折扣率=1-优惠率）</w:t>
      </w:r>
    </w:p>
    <w:p w14:paraId="5B98B063">
      <w:pPr>
        <w:spacing w:line="360" w:lineRule="auto"/>
        <w:ind w:firstLine="480"/>
        <w:rPr>
          <w:rFonts w:ascii="宋体" w:hAnsi="宋体"/>
          <w:b/>
          <w:bCs/>
          <w:color w:val="auto"/>
          <w:kern w:val="2"/>
          <w:sz w:val="24"/>
          <w:szCs w:val="24"/>
          <w:highlight w:val="none"/>
        </w:rPr>
      </w:pPr>
      <w:r>
        <w:rPr>
          <w:rFonts w:hint="eastAsia" w:ascii="宋体" w:hAnsi="宋体" w:eastAsia="宋体" w:cs="宋体"/>
          <w:b/>
          <w:bCs/>
          <w:color w:val="auto"/>
          <w:sz w:val="24"/>
          <w:szCs w:val="24"/>
          <w:highlight w:val="none"/>
        </w:rPr>
        <w:t>报价超过最高限价的按无效投标文件处理，</w:t>
      </w:r>
      <w:r>
        <w:rPr>
          <w:rFonts w:hint="eastAsia" w:ascii="宋体" w:hAnsi="宋体"/>
          <w:b/>
          <w:bCs/>
          <w:color w:val="auto"/>
          <w:kern w:val="2"/>
          <w:sz w:val="24"/>
          <w:szCs w:val="24"/>
          <w:highlight w:val="none"/>
        </w:rPr>
        <w:t>所有产品采用同一优惠率</w:t>
      </w:r>
      <w:r>
        <w:rPr>
          <w:rFonts w:hint="eastAsia" w:ascii="宋体" w:hAnsi="宋体" w:eastAsia="宋体"/>
          <w:b/>
          <w:bCs/>
          <w:color w:val="auto"/>
          <w:kern w:val="2"/>
          <w:sz w:val="24"/>
          <w:szCs w:val="24"/>
          <w:highlight w:val="none"/>
        </w:rPr>
        <w:t>报价</w:t>
      </w:r>
      <w:r>
        <w:rPr>
          <w:rFonts w:hint="eastAsia" w:ascii="宋体" w:hAnsi="宋体"/>
          <w:b/>
          <w:bCs/>
          <w:color w:val="auto"/>
          <w:kern w:val="2"/>
          <w:sz w:val="24"/>
          <w:szCs w:val="24"/>
          <w:highlight w:val="none"/>
        </w:rPr>
        <w:t>，供应商自行考虑单价平衡。举例：假设商品单价为100元，供应商投标报价的优惠率为</w:t>
      </w:r>
      <w:r>
        <w:rPr>
          <w:rFonts w:hint="eastAsia" w:ascii="宋体" w:hAnsi="宋体" w:eastAsia="宋体"/>
          <w:b/>
          <w:bCs/>
          <w:color w:val="auto"/>
          <w:kern w:val="2"/>
          <w:sz w:val="24"/>
          <w:szCs w:val="24"/>
          <w:highlight w:val="none"/>
          <w:lang w:val="en-US" w:eastAsia="zh-CN"/>
        </w:rPr>
        <w:t>70</w:t>
      </w:r>
      <w:r>
        <w:rPr>
          <w:rFonts w:hint="eastAsia" w:ascii="宋体" w:hAnsi="宋体"/>
          <w:b/>
          <w:bCs/>
          <w:color w:val="auto"/>
          <w:kern w:val="2"/>
          <w:sz w:val="24"/>
          <w:szCs w:val="24"/>
          <w:highlight w:val="none"/>
        </w:rPr>
        <w:t>%</w:t>
      </w:r>
      <w:r>
        <w:rPr>
          <w:rFonts w:hint="eastAsia" w:ascii="宋体" w:hAnsi="宋体" w:eastAsia="宋体"/>
          <w:b/>
          <w:bCs/>
          <w:color w:val="auto"/>
          <w:kern w:val="2"/>
          <w:sz w:val="24"/>
          <w:szCs w:val="24"/>
          <w:highlight w:val="none"/>
          <w:lang w:eastAsia="zh-CN"/>
        </w:rPr>
        <w:t>（</w:t>
      </w:r>
      <w:r>
        <w:rPr>
          <w:rFonts w:hint="eastAsia" w:ascii="宋体" w:hAnsi="宋体" w:eastAsia="宋体" w:cs="宋体"/>
          <w:color w:val="auto"/>
          <w:sz w:val="24"/>
          <w:szCs w:val="24"/>
          <w:highlight w:val="none"/>
          <w:lang w:val="en-US" w:eastAsia="zh-CN"/>
        </w:rPr>
        <w:t>即折扣率30%</w:t>
      </w:r>
      <w:r>
        <w:rPr>
          <w:rFonts w:hint="eastAsia" w:ascii="宋体" w:hAnsi="宋体" w:eastAsia="宋体" w:cs="宋体"/>
          <w:bCs/>
          <w:color w:val="auto"/>
          <w:sz w:val="24"/>
          <w:szCs w:val="24"/>
          <w:highlight w:val="none"/>
          <w:lang w:val="en-US" w:eastAsia="zh-CN"/>
        </w:rPr>
        <w:t>）</w:t>
      </w:r>
      <w:r>
        <w:rPr>
          <w:rFonts w:hint="eastAsia" w:ascii="宋体" w:hAnsi="宋体"/>
          <w:b/>
          <w:bCs/>
          <w:color w:val="auto"/>
          <w:kern w:val="2"/>
          <w:sz w:val="24"/>
          <w:szCs w:val="24"/>
          <w:highlight w:val="none"/>
        </w:rPr>
        <w:t>，则结算时该商品单价为</w:t>
      </w:r>
      <w:r>
        <w:rPr>
          <w:rFonts w:hint="eastAsia" w:ascii="宋体" w:hAnsi="宋体" w:eastAsia="宋体"/>
          <w:b/>
          <w:bCs/>
          <w:color w:val="auto"/>
          <w:kern w:val="2"/>
          <w:sz w:val="24"/>
          <w:szCs w:val="24"/>
          <w:highlight w:val="none"/>
          <w:lang w:val="en-US" w:eastAsia="zh-CN"/>
        </w:rPr>
        <w:t>30</w:t>
      </w:r>
      <w:r>
        <w:rPr>
          <w:rFonts w:hint="eastAsia" w:ascii="宋体" w:hAnsi="宋体"/>
          <w:b/>
          <w:bCs/>
          <w:color w:val="auto"/>
          <w:kern w:val="2"/>
          <w:sz w:val="24"/>
          <w:szCs w:val="24"/>
          <w:highlight w:val="none"/>
        </w:rPr>
        <w:t>元。</w:t>
      </w:r>
    </w:p>
    <w:p w14:paraId="151B56F4">
      <w:pPr>
        <w:widowControl/>
        <w:shd w:val="clear" w:color="auto" w:fill="FFFFFF"/>
        <w:spacing w:line="360" w:lineRule="auto"/>
        <w:ind w:firstLine="480"/>
        <w:jc w:val="left"/>
        <w:rPr>
          <w:rFonts w:hint="eastAsia" w:ascii="Arial" w:hAnsi="Arial" w:cs="宋体"/>
          <w:color w:val="auto"/>
          <w:sz w:val="24"/>
          <w:szCs w:val="24"/>
          <w:highlight w:val="none"/>
        </w:rPr>
      </w:pPr>
      <w:r>
        <w:rPr>
          <w:rFonts w:hint="eastAsia" w:ascii="Arial" w:hAnsi="Arial" w:eastAsia="宋体" w:cs="宋体"/>
          <w:color w:val="auto"/>
          <w:sz w:val="24"/>
          <w:szCs w:val="24"/>
          <w:highlight w:val="none"/>
          <w:lang w:val="en-US" w:eastAsia="zh-CN"/>
        </w:rPr>
        <w:t>5</w:t>
      </w:r>
      <w:r>
        <w:rPr>
          <w:rFonts w:hint="eastAsia" w:ascii="Arial" w:hAnsi="Arial" w:cs="宋体"/>
          <w:color w:val="auto"/>
          <w:sz w:val="24"/>
          <w:szCs w:val="24"/>
          <w:highlight w:val="none"/>
        </w:rPr>
        <w:t>.采购需求：</w:t>
      </w:r>
      <w:r>
        <w:rPr>
          <w:rFonts w:hint="eastAsia" w:ascii="Arial" w:hAnsi="Arial" w:cs="宋体"/>
          <w:color w:val="auto"/>
          <w:sz w:val="24"/>
          <w:szCs w:val="24"/>
          <w:highlight w:val="none"/>
          <w:lang w:eastAsia="zh-CN"/>
        </w:rPr>
        <w:t>本项目为无锡市中医医院检验检查外送服务（普检），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具备检验检查结果互认资质</w:t>
      </w:r>
      <w:r>
        <w:rPr>
          <w:rFonts w:hint="eastAsia" w:ascii="Arial" w:hAnsi="Arial" w:cs="宋体"/>
          <w:color w:val="auto"/>
          <w:sz w:val="24"/>
          <w:szCs w:val="24"/>
          <w:highlight w:val="none"/>
          <w:lang w:eastAsia="zh-CN"/>
        </w:rPr>
        <w:t>。</w:t>
      </w:r>
      <w:r>
        <w:rPr>
          <w:rFonts w:hint="eastAsia" w:ascii="Arial" w:hAnsi="Arial" w:cs="宋体"/>
          <w:color w:val="auto"/>
          <w:sz w:val="24"/>
          <w:szCs w:val="24"/>
          <w:highlight w:val="none"/>
          <w:lang w:val="en-US" w:eastAsia="zh-CN"/>
        </w:rPr>
        <w:t>具体内容</w:t>
      </w:r>
      <w:r>
        <w:rPr>
          <w:rFonts w:hint="eastAsia" w:ascii="Arial" w:hAnsi="Arial" w:cs="宋体"/>
          <w:color w:val="auto"/>
          <w:sz w:val="24"/>
          <w:szCs w:val="24"/>
          <w:highlight w:val="none"/>
        </w:rPr>
        <w:t>详见招标文件第四章《采购需求》；</w:t>
      </w:r>
    </w:p>
    <w:p w14:paraId="621333D4">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.服务期限：</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（自合同签订之日起算）</w:t>
      </w:r>
      <w:r>
        <w:rPr>
          <w:rFonts w:hint="eastAsia" w:ascii="宋体" w:hAnsi="宋体" w:eastAsia="宋体" w:cs="宋体"/>
          <w:color w:val="auto"/>
          <w:sz w:val="24"/>
          <w:szCs w:val="24"/>
          <w:highlight w:val="none"/>
        </w:rPr>
        <w:t>；服务期期满或累计服务费达到预算限额，其中任意一项最先达到即为本项目完成。</w:t>
      </w:r>
    </w:p>
    <w:p w14:paraId="448753E5">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Arial" w:hAnsi="Arial" w:eastAsia="宋体" w:cs="宋体"/>
          <w:color w:val="auto"/>
          <w:sz w:val="24"/>
          <w:szCs w:val="24"/>
          <w:highlight w:val="none"/>
          <w:lang w:val="en-US" w:eastAsia="zh-CN"/>
        </w:rPr>
        <w:t>7</w:t>
      </w:r>
      <w:r>
        <w:rPr>
          <w:rFonts w:hint="eastAsia" w:ascii="Arial" w:hAnsi="Arial" w:cs="宋体"/>
          <w:color w:val="auto"/>
          <w:sz w:val="24"/>
          <w:szCs w:val="24"/>
          <w:highlight w:val="none"/>
        </w:rPr>
        <w:t>.本项目标的所属行业</w:t>
      </w:r>
      <w:r>
        <w:rPr>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规定，其他未列明行业：从业人员300人以下的为中小微型企业。其中，从业人员100人及以上的为中型企业；从业人员10人及以上的为小型企业；从业人员10人以下的为微型企业。</w:t>
      </w:r>
    </w:p>
    <w:p w14:paraId="7ACA39F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联合投标。</w:t>
      </w:r>
    </w:p>
    <w:p w14:paraId="328A8E66">
      <w:pPr>
        <w:widowControl/>
        <w:shd w:val="clear" w:color="auto" w:fill="FFFFFF"/>
        <w:spacing w:line="360" w:lineRule="auto"/>
        <w:ind w:firstLine="480"/>
        <w:jc w:val="left"/>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9</w:t>
      </w:r>
      <w:r>
        <w:rPr>
          <w:rFonts w:hint="eastAsia" w:ascii="Arial" w:hAnsi="Arial" w:eastAsia="宋体" w:cs="宋体"/>
          <w:color w:val="auto"/>
          <w:sz w:val="24"/>
          <w:szCs w:val="24"/>
          <w:highlight w:val="none"/>
        </w:rPr>
        <w:t>.本项目无需提交履约保证金。</w:t>
      </w:r>
    </w:p>
    <w:p w14:paraId="1F50C45F">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（二）投标人资格要求</w:t>
      </w:r>
    </w:p>
    <w:p w14:paraId="10602AD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1F1845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627E16F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w:t>
      </w:r>
      <w:r>
        <w:rPr>
          <w:rFonts w:hint="eastAsia" w:ascii="宋体" w:hAnsi="宋体"/>
          <w:color w:val="auto"/>
          <w:sz w:val="24"/>
          <w:highlight w:val="none"/>
        </w:rPr>
        <w:t>本项目专门面向中小企业</w:t>
      </w:r>
      <w:r>
        <w:rPr>
          <w:rFonts w:hint="eastAsia" w:ascii="宋体" w:hAnsi="宋体" w:cs="宋体"/>
          <w:color w:val="auto"/>
          <w:sz w:val="24"/>
          <w:highlight w:val="none"/>
        </w:rPr>
        <w:t>（或监狱企业或残疾人福利性单位）采购</w:t>
      </w:r>
      <w:r>
        <w:rPr>
          <w:rFonts w:hint="eastAsia" w:ascii="宋体" w:hAnsi="宋体"/>
          <w:color w:val="auto"/>
          <w:sz w:val="24"/>
          <w:szCs w:val="24"/>
          <w:highlight w:val="none"/>
        </w:rPr>
        <w:t>；</w:t>
      </w:r>
    </w:p>
    <w:p w14:paraId="052D5DB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查询，无被列入失信被执行人、</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、政府采购严重失信行为记录名单及其他不符合《中华人民共和国政府采购法》第二十二条规定条件的信用记录；</w:t>
      </w:r>
    </w:p>
    <w:p w14:paraId="7CF98097">
      <w:pPr>
        <w:numPr>
          <w:ilvl w:val="0"/>
          <w:numId w:val="7"/>
        </w:numPr>
        <w:spacing w:line="360" w:lineRule="auto"/>
        <w:ind w:firstLine="480"/>
        <w:rPr>
          <w:rFonts w:ascii="宋体" w:hAnsi="宋体" w:eastAsia="宋体" w:cs="宋体"/>
          <w:color w:val="auto"/>
          <w:sz w:val="24"/>
          <w:szCs w:val="24"/>
          <w:highlight w:val="none"/>
        </w:rPr>
      </w:pPr>
      <w:r>
        <w:rPr>
          <w:rFonts w:hint="eastAsia" w:ascii="宋体" w:hAnsi="宋体" w:cs="Times New Roman"/>
          <w:color w:val="auto"/>
          <w:sz w:val="24"/>
          <w:szCs w:val="24"/>
          <w:highlight w:val="none"/>
        </w:rPr>
        <w:t>采购人根据采购项目的特殊要求规定的特定条件，并提供符合特殊要求的证明材料</w:t>
      </w:r>
    </w:p>
    <w:p w14:paraId="2D2D56A8">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Lines="0" w:beforeAutospacing="0" w:after="0" w:afterLines="0" w:afterAutospacing="0" w:line="360" w:lineRule="auto"/>
        <w:ind w:left="0" w:right="0"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1）供应商必须具备有效期内的医疗机构执业许可证复印件加盖公章，所列“诊疗科目”能承担本项目的服务内容；</w:t>
      </w:r>
    </w:p>
    <w:p w14:paraId="54541086">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Lines="0" w:beforeAutospacing="0" w:after="0" w:afterLines="0" w:afterAutospacing="0" w:line="360" w:lineRule="auto"/>
        <w:ind w:left="0" w:right="0"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2）具备国家卫健委（原卫生部、卫计委）或省级或省级委托市级临床检验中心核发的《临床基因扩增检验实验室—技术验收合格证书》或批准文件；</w:t>
      </w:r>
    </w:p>
    <w:p w14:paraId="68FE3942">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（三）获取采购文件的时间期限</w:t>
      </w:r>
    </w:p>
    <w:p w14:paraId="62DB4B8A">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1.时间：本招标文件有效获取期限以本项目招标公告中规定的获取招标文件时间为准。</w:t>
      </w:r>
    </w:p>
    <w:p w14:paraId="6AC679B8">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240C69B9">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w:t>
      </w:r>
      <w:r>
        <w:rPr>
          <w:rFonts w:hint="eastAsia" w:ascii="宋体" w:hAnsi="宋体" w:eastAsia="宋体" w:cs="宋体"/>
          <w:bCs/>
          <w:color w:val="auto"/>
          <w:sz w:val="24"/>
          <w:szCs w:val="24"/>
          <w:highlight w:val="none"/>
        </w:rPr>
        <w:t>http://jszfcg</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jsczt.cn/</w:t>
      </w:r>
      <w:r>
        <w:rPr>
          <w:rFonts w:hint="eastAsia" w:ascii="宋体" w:hAnsi="宋体"/>
          <w:bCs/>
          <w:color w:val="auto"/>
          <w:sz w:val="24"/>
          <w:szCs w:val="24"/>
          <w:highlight w:val="none"/>
        </w:rPr>
        <w:t>）获取。在招标文件有效获取期限内，从“江苏省政府采购（苏采云）平台”获取的招标文件，视为依法获取的招标文件。</w:t>
      </w:r>
    </w:p>
    <w:p w14:paraId="040D7C11">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2194D30B">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（四）提交投标文件截止时间、开标时间和地点</w:t>
      </w:r>
    </w:p>
    <w:p w14:paraId="1DE6FD14">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1.时间：</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7</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15</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09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rPr>
        <w:t>3</w:t>
      </w:r>
      <w:r>
        <w:rPr>
          <w:rFonts w:hint="eastAsia" w:ascii="宋体" w:hAnsi="宋体"/>
          <w:b/>
          <w:bCs/>
          <w:color w:val="auto"/>
          <w:sz w:val="24"/>
          <w:szCs w:val="24"/>
          <w:highlight w:val="none"/>
        </w:rPr>
        <w:t>0分</w:t>
      </w:r>
      <w:r>
        <w:rPr>
          <w:rFonts w:hint="eastAsia" w:ascii="Arial" w:hAnsi="Arial"/>
          <w:bCs/>
          <w:color w:val="auto"/>
          <w:sz w:val="24"/>
          <w:szCs w:val="24"/>
          <w:highlight w:val="none"/>
        </w:rPr>
        <w:t>（北京时间），截止时间后上传的任何投标文件恕不接受。</w:t>
      </w:r>
    </w:p>
    <w:p w14:paraId="7950FF4C">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1D906568">
      <w:pPr>
        <w:pStyle w:val="166"/>
        <w:keepNext w:val="0"/>
        <w:keepLines w:val="0"/>
        <w:spacing w:before="0" w:after="0" w:line="360" w:lineRule="auto"/>
        <w:ind w:firstLine="452"/>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（五）公告期限</w:t>
      </w:r>
    </w:p>
    <w:p w14:paraId="345D29C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7B0779EC">
      <w:pPr>
        <w:spacing w:line="360"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14:paraId="1811172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0C5D749">
      <w:pPr>
        <w:spacing w:line="360" w:lineRule="auto"/>
        <w:ind w:firstLine="482"/>
        <w:rPr>
          <w:rFonts w:ascii="Arial" w:hAnsi="Arial"/>
          <w:b/>
          <w:bCs/>
          <w:color w:val="auto"/>
          <w:sz w:val="24"/>
          <w:szCs w:val="24"/>
          <w:highlight w:val="none"/>
        </w:rPr>
      </w:pPr>
      <w:r>
        <w:rPr>
          <w:rFonts w:hint="eastAsia" w:ascii="Arial" w:hAnsi="Arial" w:cs="宋体"/>
          <w:b/>
          <w:color w:val="auto"/>
          <w:sz w:val="24"/>
          <w:szCs w:val="24"/>
          <w:highlight w:val="none"/>
        </w:rPr>
        <w:t>（七）</w:t>
      </w:r>
      <w:r>
        <w:rPr>
          <w:rFonts w:hint="eastAsia" w:ascii="Arial" w:hAnsi="Arial"/>
          <w:b/>
          <w:bCs/>
          <w:color w:val="auto"/>
          <w:sz w:val="24"/>
          <w:szCs w:val="24"/>
          <w:highlight w:val="none"/>
        </w:rPr>
        <w:t>本次招标联系方式</w:t>
      </w:r>
    </w:p>
    <w:p w14:paraId="4E346A67">
      <w:pPr>
        <w:spacing w:line="360" w:lineRule="auto"/>
        <w:ind w:firstLine="480"/>
        <w:rPr>
          <w:rFonts w:ascii="Arial" w:hAnsi="Arial" w:cs="宋体"/>
          <w:color w:val="auto"/>
          <w:sz w:val="24"/>
          <w:szCs w:val="24"/>
          <w:highlight w:val="none"/>
        </w:rPr>
      </w:pPr>
      <w:r>
        <w:rPr>
          <w:rFonts w:hint="eastAsia" w:ascii="Arial" w:hAnsi="Arial" w:cs="宋体"/>
          <w:color w:val="auto"/>
          <w:sz w:val="24"/>
          <w:szCs w:val="24"/>
          <w:highlight w:val="none"/>
        </w:rPr>
        <w:t>1.</w:t>
      </w:r>
      <w:r>
        <w:rPr>
          <w:rFonts w:hint="eastAsia" w:ascii="Arial" w:hAnsi="Arial" w:eastAsia="宋体" w:cs="宋体"/>
          <w:color w:val="auto"/>
          <w:sz w:val="24"/>
          <w:szCs w:val="24"/>
          <w:highlight w:val="none"/>
        </w:rPr>
        <w:t>采购代理机构</w:t>
      </w:r>
      <w:r>
        <w:rPr>
          <w:rFonts w:hint="eastAsia" w:ascii="Arial" w:hAnsi="Arial" w:cs="宋体"/>
          <w:color w:val="auto"/>
          <w:sz w:val="24"/>
          <w:szCs w:val="24"/>
          <w:highlight w:val="none"/>
        </w:rPr>
        <w:t>：</w:t>
      </w:r>
    </w:p>
    <w:p w14:paraId="1BE06DB3">
      <w:pPr>
        <w:spacing w:line="360" w:lineRule="auto"/>
        <w:ind w:firstLine="480"/>
        <w:rPr>
          <w:rFonts w:ascii="Arial" w:hAnsi="Arial" w:eastAsia="宋体" w:cs="宋体"/>
          <w:color w:val="auto"/>
          <w:sz w:val="24"/>
          <w:szCs w:val="24"/>
          <w:highlight w:val="none"/>
        </w:rPr>
      </w:pPr>
      <w:r>
        <w:rPr>
          <w:rFonts w:hint="eastAsia" w:ascii="Arial" w:hAnsi="Arial" w:cs="宋体"/>
          <w:color w:val="auto"/>
          <w:sz w:val="24"/>
          <w:szCs w:val="24"/>
          <w:highlight w:val="none"/>
        </w:rPr>
        <w:t>名称：</w:t>
      </w:r>
      <w:r>
        <w:rPr>
          <w:rFonts w:hint="eastAsia" w:ascii="Arial" w:hAnsi="Arial" w:eastAsia="宋体" w:cs="宋体"/>
          <w:color w:val="auto"/>
          <w:sz w:val="24"/>
          <w:szCs w:val="24"/>
          <w:highlight w:val="none"/>
        </w:rPr>
        <w:t>普信国际工程咨询有限公司</w:t>
      </w:r>
    </w:p>
    <w:p w14:paraId="6B875EA3">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项目联系人</w:t>
      </w:r>
      <w:r>
        <w:rPr>
          <w:rFonts w:hint="eastAsia" w:ascii="Arial" w:hAnsi="Arial" w:eastAsia="宋体" w:cs="宋体"/>
          <w:color w:val="auto"/>
          <w:sz w:val="24"/>
          <w:szCs w:val="24"/>
          <w:highlight w:val="none"/>
        </w:rPr>
        <w:t>：</w:t>
      </w:r>
      <w:r>
        <w:rPr>
          <w:rFonts w:hint="eastAsia" w:ascii="宋体" w:hAnsi="宋体" w:eastAsia="宋体" w:cs="宋体"/>
          <w:color w:val="auto"/>
          <w:sz w:val="24"/>
          <w:highlight w:val="none"/>
        </w:rPr>
        <w:t>施晓旻（项目负责人）、</w:t>
      </w:r>
      <w:r>
        <w:rPr>
          <w:rFonts w:hint="eastAsia" w:ascii="宋体" w:hAnsi="宋体" w:eastAsia="宋体" w:cs="宋体"/>
          <w:color w:val="auto"/>
          <w:sz w:val="24"/>
          <w:highlight w:val="none"/>
          <w:lang w:val="en-US" w:eastAsia="zh-CN"/>
        </w:rPr>
        <w:t>曾舒</w:t>
      </w:r>
    </w:p>
    <w:p w14:paraId="605D8E8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电话：</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3057331267</w:t>
      </w:r>
      <w:r>
        <w:rPr>
          <w:rFonts w:hint="eastAsia" w:ascii="宋体" w:hAnsi="宋体" w:eastAsia="宋体" w:cs="宋体"/>
          <w:color w:val="auto"/>
          <w:sz w:val="24"/>
          <w:highlight w:val="none"/>
        </w:rPr>
        <w:t>、15651504035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p>
    <w:p w14:paraId="0CA367A5">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地址：无锡市蠡湖大道2018号普信COPO 2号楼2楼213</w:t>
      </w:r>
    </w:p>
    <w:p w14:paraId="7C1124D9">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邮箱：wxpx2b@163.com</w:t>
      </w:r>
    </w:p>
    <w:p w14:paraId="7EB385B9">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cs="宋体"/>
          <w:color w:val="auto"/>
          <w:sz w:val="24"/>
          <w:szCs w:val="24"/>
          <w:highlight w:val="none"/>
        </w:rPr>
        <w:t>2.采购人：</w:t>
      </w:r>
    </w:p>
    <w:p w14:paraId="44F2A0F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    称：无锡市中医医院</w:t>
      </w:r>
      <w:r>
        <w:rPr>
          <w:rFonts w:hint="eastAsia" w:ascii="宋体" w:hAnsi="宋体" w:eastAsia="宋体" w:cs="宋体"/>
          <w:color w:val="auto"/>
          <w:sz w:val="24"/>
          <w:szCs w:val="24"/>
          <w:highlight w:val="none"/>
        </w:rPr>
        <w:tab/>
      </w:r>
    </w:p>
    <w:p w14:paraId="7D92379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址：无锡市中南西路8号</w:t>
      </w:r>
    </w:p>
    <w:p w14:paraId="34CCD25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联系方式：见“招标公告项目联系方式”</w:t>
      </w:r>
    </w:p>
    <w:p w14:paraId="0C43E538">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（八）其他</w:t>
      </w:r>
    </w:p>
    <w:p w14:paraId="779C74C6">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385C00A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03C25CDA">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（1）</w:t>
      </w:r>
      <w:r>
        <w:rPr>
          <w:rFonts w:ascii="宋体" w:hAnsi="宋体"/>
          <w:color w:val="auto"/>
          <w:sz w:val="24"/>
          <w:szCs w:val="24"/>
          <w:highlight w:val="none"/>
        </w:rPr>
        <w:t>访问“江苏省政府采购（苏采云）平台”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3CBF98B2">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7012706F">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ascii="宋体" w:hAnsi="宋体"/>
          <w:color w:val="auto"/>
          <w:sz w:val="24"/>
          <w:szCs w:val="24"/>
          <w:highlight w:val="none"/>
        </w:rPr>
        <w:t>CA驱动下载：</w:t>
      </w:r>
    </w:p>
    <w:p w14:paraId="5972377E">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72C41CB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61CED66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417C28D7">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5C7E4B43">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w:t>
      </w:r>
      <w:r>
        <w:rPr>
          <w:rFonts w:hint="eastAsia" w:ascii="宋体" w:hAnsi="宋体"/>
          <w:color w:val="auto"/>
          <w:sz w:val="24"/>
          <w:szCs w:val="24"/>
          <w:highlight w:val="none"/>
        </w:rPr>
        <w:t>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56EF3AA2">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2700E78">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2D13BB6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w:t>
      </w:r>
      <w:r>
        <w:rPr>
          <w:rFonts w:hint="eastAsia" w:ascii="宋体" w:hAnsi="宋体" w:eastAsia="宋体"/>
          <w:color w:val="auto"/>
          <w:sz w:val="24"/>
          <w:szCs w:val="24"/>
          <w:highlight w:val="none"/>
        </w:rPr>
        <w:t>“</w:t>
      </w:r>
      <w:r>
        <w:rPr>
          <w:rFonts w:hint="eastAsia" w:ascii="宋体" w:hAnsi="宋体"/>
          <w:color w:val="auto"/>
          <w:sz w:val="24"/>
          <w:szCs w:val="24"/>
          <w:highlight w:val="none"/>
        </w:rPr>
        <w:t>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226AB75B">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在“江苏政府采购网”发布的更正公告。</w:t>
      </w:r>
    </w:p>
    <w:p w14:paraId="26CE26B9">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7DC46B51">
      <w:pPr>
        <w:widowControl/>
        <w:shd w:val="clear" w:color="auto" w:fill="FFFFFF"/>
        <w:spacing w:line="360" w:lineRule="auto"/>
        <w:ind w:firstLine="480"/>
        <w:jc w:val="left"/>
        <w:rPr>
          <w:rFonts w:ascii="Arial" w:hAnsi="Arial" w:cs="宋体"/>
          <w:bCs/>
          <w:color w:val="auto"/>
          <w:sz w:val="24"/>
          <w:szCs w:val="24"/>
          <w:highlight w:val="none"/>
        </w:rPr>
      </w:pPr>
      <w:r>
        <w:rPr>
          <w:rFonts w:hint="eastAsia" w:ascii="Arial" w:hAnsi="Arial" w:cs="宋体"/>
          <w:bCs/>
          <w:color w:val="auto"/>
          <w:sz w:val="24"/>
          <w:szCs w:val="24"/>
          <w:highlight w:val="none"/>
        </w:rPr>
        <w:t>（五）其他事项</w:t>
      </w:r>
    </w:p>
    <w:p w14:paraId="420F8F8F">
      <w:pPr>
        <w:spacing w:line="360" w:lineRule="auto"/>
        <w:ind w:firstLine="720"/>
        <w:rPr>
          <w:rFonts w:ascii="Arial" w:hAnsi="Arial" w:eastAsia="宋体"/>
          <w:color w:val="auto"/>
          <w:sz w:val="24"/>
          <w:szCs w:val="24"/>
          <w:highlight w:val="none"/>
        </w:rPr>
      </w:pPr>
      <w:r>
        <w:rPr>
          <w:rFonts w:hint="eastAsia" w:ascii="Arial" w:hAnsi="Arial"/>
          <w:color w:val="auto"/>
          <w:sz w:val="24"/>
          <w:szCs w:val="24"/>
          <w:highlight w:val="none"/>
        </w:rPr>
        <w:t>1）</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w:t>
      </w:r>
    </w:p>
    <w:p w14:paraId="65A2556B">
      <w:pPr>
        <w:spacing w:line="360" w:lineRule="auto"/>
        <w:ind w:firstLine="720"/>
        <w:rPr>
          <w:rFonts w:ascii="Arial" w:hAnsi="Arial"/>
          <w:color w:val="auto"/>
          <w:sz w:val="24"/>
          <w:szCs w:val="24"/>
          <w:highlight w:val="none"/>
        </w:rPr>
      </w:pPr>
      <w:r>
        <w:rPr>
          <w:rFonts w:hint="eastAsia" w:ascii="Arial" w:hAnsi="Arial" w:eastAsia="宋体"/>
          <w:color w:val="auto"/>
          <w:sz w:val="24"/>
          <w:szCs w:val="24"/>
          <w:highlight w:val="none"/>
        </w:rPr>
        <w:t>2）</w:t>
      </w:r>
      <w:r>
        <w:rPr>
          <w:rFonts w:hint="eastAsia" w:ascii="Arial" w:hAnsi="Arial"/>
          <w:color w:val="auto"/>
          <w:sz w:val="24"/>
          <w:szCs w:val="24"/>
          <w:highlight w:val="none"/>
        </w:rPr>
        <w:t>纸质投标文件：本项目为不见面开标，</w:t>
      </w:r>
      <w:r>
        <w:rPr>
          <w:rFonts w:hint="eastAsia" w:ascii="Arial" w:hAnsi="Arial" w:eastAsia="宋体"/>
          <w:color w:val="auto"/>
          <w:sz w:val="24"/>
          <w:szCs w:val="24"/>
          <w:highlight w:val="none"/>
        </w:rPr>
        <w:t>投标</w:t>
      </w:r>
      <w:r>
        <w:rPr>
          <w:rFonts w:hint="eastAsia" w:ascii="Arial" w:hAnsi="Arial"/>
          <w:color w:val="auto"/>
          <w:sz w:val="24"/>
          <w:szCs w:val="24"/>
          <w:highlight w:val="none"/>
        </w:rPr>
        <w:t>人无需递交纸质投标文件至现场，</w:t>
      </w:r>
      <w:r>
        <w:rPr>
          <w:rFonts w:hint="eastAsia" w:ascii="Arial" w:hAnsi="Arial"/>
          <w:b/>
          <w:color w:val="auto"/>
          <w:sz w:val="24"/>
          <w:szCs w:val="24"/>
          <w:highlight w:val="none"/>
        </w:rPr>
        <w:t>中标后中标供应商向</w:t>
      </w:r>
      <w:r>
        <w:rPr>
          <w:rFonts w:hint="eastAsia" w:ascii="Arial" w:hAnsi="Arial" w:eastAsia="宋体"/>
          <w:b/>
          <w:color w:val="auto"/>
          <w:sz w:val="24"/>
          <w:szCs w:val="24"/>
          <w:highlight w:val="none"/>
        </w:rPr>
        <w:t>采购代理机构</w:t>
      </w:r>
      <w:r>
        <w:rPr>
          <w:rFonts w:hint="eastAsia" w:ascii="Arial" w:hAnsi="Arial"/>
          <w:b/>
          <w:color w:val="auto"/>
          <w:sz w:val="24"/>
          <w:szCs w:val="24"/>
          <w:highlight w:val="none"/>
        </w:rPr>
        <w:t>提供与电子投标文件完全一致的纸质投标文件（2份：一正、一副）。</w:t>
      </w:r>
    </w:p>
    <w:p w14:paraId="6C9C37C7">
      <w:pPr>
        <w:spacing w:line="360" w:lineRule="auto"/>
        <w:ind w:firstLine="720"/>
        <w:rPr>
          <w:rFonts w:ascii="Arial" w:hAnsi="Arial"/>
          <w:color w:val="auto"/>
          <w:sz w:val="24"/>
          <w:szCs w:val="24"/>
          <w:highlight w:val="none"/>
        </w:rPr>
      </w:pPr>
      <w:r>
        <w:rPr>
          <w:rFonts w:hint="eastAsia" w:ascii="Arial" w:hAnsi="Arial" w:eastAsia="宋体"/>
          <w:color w:val="auto"/>
          <w:sz w:val="24"/>
          <w:szCs w:val="24"/>
          <w:highlight w:val="none"/>
        </w:rPr>
        <w:t>3</w:t>
      </w:r>
      <w:r>
        <w:rPr>
          <w:rFonts w:hint="eastAsia" w:ascii="Arial" w:hAnsi="Arial"/>
          <w:color w:val="auto"/>
          <w:sz w:val="24"/>
          <w:szCs w:val="24"/>
          <w:highlight w:val="none"/>
        </w:rPr>
        <w:t>）供应商请仔细阅读供应商注册流程和招标文件中关于电子开评标等相关事项，如有问题可发送邮件或电话咨询。</w:t>
      </w:r>
      <w:bookmarkStart w:id="1" w:name="_Toc120614211"/>
    </w:p>
    <w:p w14:paraId="024A8E30">
      <w:pPr>
        <w:spacing w:line="360" w:lineRule="auto"/>
        <w:ind w:firstLine="720"/>
        <w:rPr>
          <w:rFonts w:ascii="宋体" w:hAnsi="宋体" w:eastAsia="宋体" w:cs="宋体"/>
          <w:color w:val="auto"/>
          <w:sz w:val="24"/>
          <w:szCs w:val="24"/>
          <w:highlight w:val="none"/>
        </w:rPr>
      </w:pPr>
      <w:r>
        <w:rPr>
          <w:rFonts w:hint="eastAsia" w:ascii="Arial" w:hAnsi="Arial" w:eastAsia="宋体"/>
          <w:color w:val="auto"/>
          <w:sz w:val="24"/>
          <w:szCs w:val="24"/>
          <w:highlight w:val="none"/>
        </w:rPr>
        <w:t>4）</w:t>
      </w:r>
      <w:r>
        <w:rPr>
          <w:rFonts w:hint="eastAsia" w:ascii="宋体" w:hAnsi="宋体" w:eastAsia="宋体" w:cs="宋体"/>
          <w:color w:val="auto"/>
          <w:sz w:val="24"/>
          <w:szCs w:val="24"/>
          <w:highlight w:val="none"/>
        </w:rPr>
        <w:t>本招标文件中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的盖章部分均可使用CA签章。</w:t>
      </w:r>
    </w:p>
    <w:p w14:paraId="3A5FF28F">
      <w:pPr>
        <w:spacing w:line="360" w:lineRule="auto"/>
        <w:ind w:firstLine="720"/>
        <w:rPr>
          <w:rFonts w:ascii="Arial" w:hAnsi="Arial" w:eastAsia="宋体"/>
          <w:color w:val="auto"/>
          <w:sz w:val="24"/>
          <w:szCs w:val="24"/>
          <w:highlight w:val="none"/>
        </w:rPr>
      </w:pPr>
    </w:p>
    <w:p w14:paraId="50534D48">
      <w:pPr>
        <w:spacing w:line="360" w:lineRule="auto"/>
        <w:ind w:firstLine="720"/>
        <w:rPr>
          <w:rFonts w:ascii="Arial" w:hAnsi="Arial"/>
          <w:color w:val="auto"/>
          <w:sz w:val="24"/>
          <w:szCs w:val="24"/>
          <w:highlight w:val="none"/>
        </w:rPr>
      </w:pPr>
    </w:p>
    <w:p w14:paraId="64BA0114">
      <w:pPr>
        <w:spacing w:line="360" w:lineRule="auto"/>
        <w:ind w:firstLine="720"/>
        <w:rPr>
          <w:rFonts w:ascii="Arial" w:hAnsi="Arial"/>
          <w:color w:val="auto"/>
          <w:sz w:val="24"/>
          <w:szCs w:val="24"/>
          <w:highlight w:val="none"/>
        </w:rPr>
      </w:pPr>
    </w:p>
    <w:p w14:paraId="79A1E1C2">
      <w:pPr>
        <w:spacing w:line="360" w:lineRule="auto"/>
        <w:ind w:firstLine="720"/>
        <w:rPr>
          <w:rFonts w:ascii="Arial" w:hAnsi="Arial"/>
          <w:color w:val="auto"/>
          <w:sz w:val="24"/>
          <w:szCs w:val="24"/>
          <w:highlight w:val="none"/>
        </w:rPr>
      </w:pPr>
    </w:p>
    <w:p w14:paraId="554146DC">
      <w:pPr>
        <w:spacing w:line="360" w:lineRule="auto"/>
        <w:ind w:firstLine="720"/>
        <w:rPr>
          <w:rFonts w:ascii="Arial" w:hAnsi="Arial"/>
          <w:color w:val="auto"/>
          <w:sz w:val="24"/>
          <w:szCs w:val="24"/>
          <w:highlight w:val="none"/>
        </w:rPr>
      </w:pPr>
    </w:p>
    <w:p w14:paraId="5DB3E078">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r>
    </w:p>
    <w:p w14:paraId="7D1652AA">
      <w:pPr>
        <w:widowControl/>
        <w:spacing w:line="360" w:lineRule="auto"/>
        <w:jc w:val="center"/>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bookmarkStart w:id="2" w:name="_Toc120614213"/>
      <w:bookmarkStart w:id="3" w:name="_Toc513029202"/>
      <w:bookmarkStart w:id="4" w:name="_Toc16938518"/>
      <w:bookmarkStart w:id="5" w:name="_Toc20823274"/>
      <w:r>
        <w:rPr>
          <w:rFonts w:hint="eastAsia" w:ascii="黑体" w:hAnsi="黑体" w:eastAsia="黑体"/>
          <w:color w:val="auto"/>
          <w:sz w:val="36"/>
          <w:szCs w:val="36"/>
          <w:highlight w:val="none"/>
        </w:rPr>
        <w:t>投标人须知</w:t>
      </w:r>
      <w:bookmarkEnd w:id="2"/>
      <w:bookmarkEnd w:id="3"/>
      <w:bookmarkEnd w:id="4"/>
      <w:bookmarkEnd w:id="5"/>
    </w:p>
    <w:p w14:paraId="71A5239D">
      <w:pPr>
        <w:pStyle w:val="166"/>
        <w:keepNext w:val="0"/>
        <w:keepLines w:val="0"/>
        <w:spacing w:before="0" w:after="0" w:line="360" w:lineRule="auto"/>
        <w:ind w:firstLine="452"/>
        <w:rPr>
          <w:color w:val="auto"/>
          <w:sz w:val="30"/>
          <w:szCs w:val="30"/>
          <w:highlight w:val="none"/>
          <w:lang w:eastAsia="zh-CN"/>
        </w:rPr>
      </w:pPr>
      <w:bookmarkStart w:id="6" w:name="_Toc20823275"/>
      <w:bookmarkStart w:id="7" w:name="_Toc513029203"/>
      <w:bookmarkStart w:id="8" w:name="_Toc16938519"/>
      <w:bookmarkStart w:id="9" w:name="_Toc120614214"/>
      <w:r>
        <w:rPr>
          <w:rFonts w:hint="eastAsia"/>
          <w:color w:val="auto"/>
          <w:sz w:val="30"/>
          <w:szCs w:val="30"/>
          <w:highlight w:val="none"/>
          <w:lang w:eastAsia="zh-CN"/>
        </w:rPr>
        <w:t>一、总则</w:t>
      </w:r>
      <w:bookmarkEnd w:id="6"/>
      <w:bookmarkEnd w:id="7"/>
      <w:bookmarkEnd w:id="8"/>
      <w:bookmarkEnd w:id="9"/>
    </w:p>
    <w:p w14:paraId="358F8814">
      <w:pPr>
        <w:pStyle w:val="335"/>
        <w:keepNext w:val="0"/>
        <w:keepLines w:val="0"/>
        <w:spacing w:before="0" w:after="0" w:line="360" w:lineRule="auto"/>
        <w:ind w:firstLine="422"/>
        <w:rPr>
          <w:rFonts w:ascii="宋体" w:hAnsi="宋体" w:eastAsia="宋体"/>
          <w:bCs w:val="0"/>
          <w:color w:val="auto"/>
          <w:highlight w:val="none"/>
          <w:lang w:eastAsia="zh-CN"/>
        </w:rPr>
      </w:pPr>
      <w:bookmarkStart w:id="10" w:name="_Hlt16619475"/>
      <w:bookmarkEnd w:id="10"/>
      <w:bookmarkStart w:id="11" w:name="_Toc20823276"/>
      <w:bookmarkStart w:id="12" w:name="_Toc16938520"/>
      <w:bookmarkStart w:id="13" w:name="_Toc513029204"/>
      <w:r>
        <w:rPr>
          <w:rFonts w:hint="eastAsia" w:ascii="宋体" w:hAnsi="宋体" w:eastAsia="宋体"/>
          <w:bCs w:val="0"/>
          <w:color w:val="auto"/>
          <w:highlight w:val="none"/>
          <w:lang w:eastAsia="zh-CN"/>
        </w:rPr>
        <w:t>1.招标方式</w:t>
      </w:r>
      <w:bookmarkEnd w:id="11"/>
      <w:bookmarkEnd w:id="12"/>
      <w:bookmarkEnd w:id="13"/>
    </w:p>
    <w:p w14:paraId="57A3DD8B">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50901134">
      <w:pPr>
        <w:pStyle w:val="335"/>
        <w:keepNext w:val="0"/>
        <w:keepLines w:val="0"/>
        <w:spacing w:before="0" w:after="0" w:line="360" w:lineRule="auto"/>
        <w:ind w:firstLine="422"/>
        <w:rPr>
          <w:rFonts w:ascii="宋体" w:hAnsi="宋体" w:eastAsia="宋体"/>
          <w:bCs w:val="0"/>
          <w:color w:val="auto"/>
          <w:highlight w:val="none"/>
          <w:lang w:eastAsia="zh-CN"/>
        </w:rPr>
      </w:pPr>
      <w:bookmarkStart w:id="14" w:name="_Toc513029205"/>
      <w:bookmarkStart w:id="15" w:name="_Toc16938521"/>
      <w:bookmarkStart w:id="16" w:name="_Toc20823277"/>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采购人、采购代理机构、投标人、联合体</w:t>
      </w:r>
    </w:p>
    <w:p w14:paraId="1E3A07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032B89A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510C6F4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CCB763F">
      <w:pPr>
        <w:pStyle w:val="335"/>
        <w:keepNext w:val="0"/>
        <w:keepLines w:val="0"/>
        <w:spacing w:before="0" w:after="0" w:line="360" w:lineRule="auto"/>
        <w:ind w:firstLine="422"/>
        <w:rPr>
          <w:rFonts w:ascii="宋体" w:hAnsi="宋体" w:eastAsia="宋体"/>
          <w:bCs w:val="0"/>
          <w:color w:val="auto"/>
          <w:highlight w:val="none"/>
          <w:lang w:eastAsia="zh-CN"/>
        </w:rPr>
      </w:pPr>
      <w:bookmarkStart w:id="17" w:name="_Toc20823278"/>
      <w:bookmarkStart w:id="18" w:name="_Toc16938522"/>
      <w:bookmarkStart w:id="19" w:name="_Toc513029206"/>
      <w:r>
        <w:rPr>
          <w:rFonts w:hint="eastAsia" w:ascii="宋体" w:hAnsi="宋体" w:eastAsia="宋体"/>
          <w:bCs w:val="0"/>
          <w:color w:val="auto"/>
          <w:highlight w:val="none"/>
          <w:lang w:eastAsia="zh-CN"/>
        </w:rPr>
        <w:t>3.适用法律</w:t>
      </w:r>
      <w:bookmarkEnd w:id="17"/>
      <w:bookmarkEnd w:id="18"/>
      <w:bookmarkEnd w:id="19"/>
    </w:p>
    <w:p w14:paraId="3FEEEC3B">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7A849CAF">
      <w:pPr>
        <w:pStyle w:val="335"/>
        <w:keepNext w:val="0"/>
        <w:keepLines w:val="0"/>
        <w:spacing w:before="0" w:after="0" w:line="360" w:lineRule="auto"/>
        <w:ind w:firstLine="422"/>
        <w:rPr>
          <w:rFonts w:ascii="宋体" w:hAnsi="宋体" w:eastAsia="宋体"/>
          <w:bCs w:val="0"/>
          <w:color w:val="auto"/>
          <w:highlight w:val="none"/>
          <w:lang w:eastAsia="zh-CN"/>
        </w:rPr>
      </w:pPr>
      <w:bookmarkStart w:id="20" w:name="_Toc16938523"/>
      <w:bookmarkStart w:id="21" w:name="_Toc20823279"/>
      <w:bookmarkStart w:id="22" w:name="_Toc513029207"/>
      <w:bookmarkStart w:id="23" w:name="_Toc462564067"/>
      <w:r>
        <w:rPr>
          <w:rFonts w:hint="eastAsia" w:ascii="宋体" w:hAnsi="宋体" w:eastAsia="宋体"/>
          <w:bCs w:val="0"/>
          <w:color w:val="auto"/>
          <w:highlight w:val="none"/>
          <w:lang w:eastAsia="zh-CN"/>
        </w:rPr>
        <w:t>4.投标费用</w:t>
      </w:r>
      <w:bookmarkEnd w:id="20"/>
      <w:bookmarkEnd w:id="21"/>
      <w:bookmarkEnd w:id="22"/>
      <w:bookmarkEnd w:id="23"/>
    </w:p>
    <w:p w14:paraId="22E5608D">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rPr>
        <w:t>普信国际工程咨询有限公司</w:t>
      </w:r>
      <w:r>
        <w:rPr>
          <w:rFonts w:hint="eastAsia" w:ascii="宋体" w:hAnsi="宋体"/>
          <w:color w:val="auto"/>
          <w:sz w:val="24"/>
          <w:highlight w:val="none"/>
        </w:rPr>
        <w:t>在任何情况下均无义务和责任承担这些费用。</w:t>
      </w:r>
    </w:p>
    <w:p w14:paraId="242C0E77">
      <w:pPr>
        <w:spacing w:line="360" w:lineRule="auto"/>
        <w:ind w:firstLine="480"/>
        <w:rPr>
          <w:rFonts w:ascii="宋体" w:hAnsi="宋体"/>
          <w:color w:val="auto"/>
          <w:sz w:val="24"/>
          <w:highlight w:val="none"/>
        </w:rPr>
      </w:pPr>
      <w:r>
        <w:rPr>
          <w:rFonts w:hint="eastAsia" w:ascii="宋体" w:hAnsi="宋体"/>
          <w:color w:val="auto"/>
          <w:sz w:val="24"/>
          <w:highlight w:val="none"/>
        </w:rPr>
        <w:t>4.2本项目采购代理服务费由</w:t>
      </w:r>
      <w:r>
        <w:rPr>
          <w:rFonts w:hint="eastAsia" w:ascii="宋体" w:hAnsi="宋体" w:eastAsia="宋体"/>
          <w:color w:val="auto"/>
          <w:sz w:val="24"/>
          <w:highlight w:val="none"/>
        </w:rPr>
        <w:t>中标人</w:t>
      </w:r>
      <w:r>
        <w:rPr>
          <w:rFonts w:hint="eastAsia" w:ascii="宋体" w:hAnsi="宋体"/>
          <w:color w:val="auto"/>
          <w:sz w:val="24"/>
          <w:highlight w:val="none"/>
        </w:rPr>
        <w:t>支付</w:t>
      </w:r>
      <w:r>
        <w:rPr>
          <w:rFonts w:ascii="宋体" w:hAnsi="宋体" w:eastAsia="宋体" w:cs="宋体"/>
          <w:bCs/>
          <w:color w:val="auto"/>
          <w:sz w:val="24"/>
          <w:highlight w:val="none"/>
        </w:rPr>
        <w:t>。</w:t>
      </w:r>
      <w:r>
        <w:rPr>
          <w:rFonts w:hint="eastAsia" w:ascii="宋体" w:hAnsi="宋体" w:eastAsia="宋体" w:cs="宋体"/>
          <w:bCs/>
          <w:color w:val="auto"/>
          <w:sz w:val="24"/>
          <w:highlight w:val="none"/>
        </w:rPr>
        <w:t>本项目代理费以</w:t>
      </w:r>
      <w:r>
        <w:rPr>
          <w:rFonts w:hint="eastAsia" w:ascii="宋体" w:hAnsi="宋体" w:eastAsia="宋体" w:cs="宋体"/>
          <w:bCs/>
          <w:color w:val="auto"/>
          <w:sz w:val="24"/>
          <w:highlight w:val="none"/>
          <w:lang w:val="en-US" w:eastAsia="zh-CN"/>
        </w:rPr>
        <w:t>预算</w:t>
      </w:r>
      <w:r>
        <w:rPr>
          <w:rFonts w:hint="eastAsia" w:ascii="宋体" w:hAnsi="宋体" w:eastAsia="宋体" w:cs="宋体"/>
          <w:bCs/>
          <w:color w:val="auto"/>
          <w:sz w:val="24"/>
          <w:highlight w:val="none"/>
        </w:rPr>
        <w:t>金额为计算基数，按照100万元内*1.5%、100万元-500万元*</w:t>
      </w:r>
      <w:r>
        <w:rPr>
          <w:rFonts w:hint="eastAsia" w:ascii="宋体" w:hAnsi="宋体" w:eastAsia="宋体" w:cs="宋体"/>
          <w:bCs/>
          <w:color w:val="auto"/>
          <w:sz w:val="24"/>
          <w:highlight w:val="none"/>
          <w:lang w:val="en-US" w:eastAsia="zh-CN"/>
        </w:rPr>
        <w:t>0.8</w:t>
      </w:r>
      <w:r>
        <w:rPr>
          <w:rFonts w:hint="eastAsia" w:ascii="宋体" w:hAnsi="宋体" w:eastAsia="宋体" w:cs="宋体"/>
          <w:bCs/>
          <w:color w:val="auto"/>
          <w:sz w:val="24"/>
          <w:highlight w:val="none"/>
        </w:rPr>
        <w:t>%累进制计算后打</w:t>
      </w:r>
      <w:r>
        <w:rPr>
          <w:rFonts w:hint="eastAsia" w:ascii="宋体" w:hAnsi="宋体" w:eastAsia="宋体" w:cs="宋体"/>
          <w:bCs/>
          <w:color w:val="auto"/>
          <w:sz w:val="24"/>
          <w:highlight w:val="none"/>
          <w:lang w:val="en-US" w:eastAsia="zh-CN"/>
        </w:rPr>
        <w:t>五八</w:t>
      </w:r>
      <w:r>
        <w:rPr>
          <w:rFonts w:hint="eastAsia" w:ascii="宋体" w:hAnsi="宋体" w:eastAsia="宋体" w:cs="宋体"/>
          <w:bCs/>
          <w:color w:val="auto"/>
          <w:sz w:val="24"/>
          <w:highlight w:val="none"/>
        </w:rPr>
        <w:t>折计取，由中标人支付。</w:t>
      </w:r>
    </w:p>
    <w:p w14:paraId="34EF03E0">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5.招标文件的约束力</w:t>
      </w:r>
    </w:p>
    <w:p w14:paraId="2F7A7538">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72A24CE8">
      <w:pPr>
        <w:pStyle w:val="166"/>
        <w:keepNext w:val="0"/>
        <w:keepLines w:val="0"/>
        <w:spacing w:before="0" w:after="0" w:line="360" w:lineRule="auto"/>
        <w:ind w:firstLine="452"/>
        <w:rPr>
          <w:color w:val="auto"/>
          <w:sz w:val="30"/>
          <w:szCs w:val="30"/>
          <w:highlight w:val="none"/>
          <w:lang w:eastAsia="zh-CN"/>
        </w:rPr>
      </w:pPr>
      <w:bookmarkStart w:id="24" w:name="_Toc20823281"/>
      <w:bookmarkStart w:id="25" w:name="_Toc16938525"/>
      <w:bookmarkStart w:id="26" w:name="_Toc513029209"/>
      <w:bookmarkStart w:id="27" w:name="_Toc120614215"/>
      <w:r>
        <w:rPr>
          <w:rFonts w:hint="eastAsia"/>
          <w:color w:val="auto"/>
          <w:sz w:val="30"/>
          <w:szCs w:val="30"/>
          <w:highlight w:val="none"/>
          <w:lang w:eastAsia="zh-CN"/>
        </w:rPr>
        <w:t>二、招标文件</w:t>
      </w:r>
      <w:bookmarkEnd w:id="24"/>
      <w:bookmarkEnd w:id="25"/>
      <w:bookmarkEnd w:id="26"/>
      <w:bookmarkEnd w:id="27"/>
    </w:p>
    <w:p w14:paraId="1D41E792">
      <w:pPr>
        <w:pStyle w:val="335"/>
        <w:keepNext w:val="0"/>
        <w:keepLines w:val="0"/>
        <w:spacing w:before="0" w:after="0" w:line="360" w:lineRule="auto"/>
        <w:ind w:firstLine="422"/>
        <w:rPr>
          <w:rFonts w:ascii="宋体" w:hAnsi="宋体" w:eastAsia="宋体"/>
          <w:bCs w:val="0"/>
          <w:color w:val="auto"/>
          <w:highlight w:val="none"/>
          <w:lang w:eastAsia="zh-CN"/>
        </w:rPr>
      </w:pPr>
      <w:bookmarkStart w:id="28" w:name="_Toc20823282"/>
      <w:bookmarkStart w:id="29" w:name="_Toc16938526"/>
      <w:bookmarkStart w:id="30" w:name="_Toc513029210"/>
      <w:r>
        <w:rPr>
          <w:rFonts w:hint="eastAsia" w:ascii="宋体" w:hAnsi="宋体" w:eastAsia="宋体"/>
          <w:bCs w:val="0"/>
          <w:color w:val="auto"/>
          <w:highlight w:val="none"/>
          <w:lang w:eastAsia="zh-CN"/>
        </w:rPr>
        <w:t>6.招标文件构成</w:t>
      </w:r>
      <w:bookmarkEnd w:id="28"/>
      <w:bookmarkEnd w:id="29"/>
      <w:bookmarkEnd w:id="30"/>
    </w:p>
    <w:p w14:paraId="57AFC148">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5D34F051">
      <w:pPr>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rPr>
        <w:t>投标</w:t>
      </w:r>
      <w:r>
        <w:rPr>
          <w:rFonts w:ascii="宋体" w:hAnsi="宋体"/>
          <w:color w:val="auto"/>
          <w:sz w:val="24"/>
          <w:szCs w:val="24"/>
          <w:highlight w:val="none"/>
        </w:rPr>
        <w:t>邀请</w:t>
      </w:r>
      <w:r>
        <w:rPr>
          <w:rFonts w:hint="eastAsia" w:ascii="宋体" w:hAnsi="宋体" w:eastAsia="宋体"/>
          <w:color w:val="auto"/>
          <w:sz w:val="24"/>
          <w:szCs w:val="24"/>
          <w:highlight w:val="none"/>
        </w:rPr>
        <w:t>函</w:t>
      </w:r>
    </w:p>
    <w:p w14:paraId="7C849AA3">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投标人须知</w:t>
      </w:r>
    </w:p>
    <w:p w14:paraId="5DC09C0C">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hint="eastAsia" w:ascii="宋体" w:hAnsi="宋体"/>
          <w:color w:val="auto"/>
          <w:sz w:val="24"/>
          <w:szCs w:val="24"/>
          <w:highlight w:val="none"/>
        </w:rPr>
        <w:t>合同文本</w:t>
      </w:r>
    </w:p>
    <w:p w14:paraId="199C7676">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（4）</w:t>
      </w:r>
      <w:r>
        <w:rPr>
          <w:rFonts w:hint="eastAsia" w:ascii="宋体" w:hAnsi="宋体"/>
          <w:color w:val="auto"/>
          <w:sz w:val="24"/>
          <w:szCs w:val="24"/>
          <w:highlight w:val="none"/>
        </w:rPr>
        <w:t>采购需求</w:t>
      </w:r>
    </w:p>
    <w:p w14:paraId="7EB4CDFC">
      <w:pPr>
        <w:spacing w:line="360" w:lineRule="auto"/>
        <w:ind w:firstLine="480"/>
        <w:rPr>
          <w:color w:val="auto"/>
          <w:sz w:val="24"/>
          <w:szCs w:val="24"/>
          <w:highlight w:val="none"/>
        </w:rPr>
      </w:pPr>
      <w:r>
        <w:rPr>
          <w:rFonts w:hint="eastAsia" w:ascii="宋体" w:hAnsi="宋体" w:eastAsia="宋体"/>
          <w:color w:val="auto"/>
          <w:sz w:val="24"/>
          <w:szCs w:val="24"/>
          <w:highlight w:val="none"/>
        </w:rPr>
        <w:t>（5）</w:t>
      </w:r>
      <w:r>
        <w:rPr>
          <w:rFonts w:hint="eastAsia" w:hAnsi="宋体"/>
          <w:color w:val="auto"/>
          <w:sz w:val="24"/>
          <w:szCs w:val="24"/>
          <w:highlight w:val="none"/>
        </w:rPr>
        <w:t>评标方法与评标标准</w:t>
      </w:r>
    </w:p>
    <w:p w14:paraId="19811326">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（6）</w:t>
      </w:r>
      <w:r>
        <w:rPr>
          <w:rFonts w:hint="eastAsia" w:ascii="宋体" w:hAnsi="宋体"/>
          <w:color w:val="auto"/>
          <w:sz w:val="24"/>
          <w:szCs w:val="24"/>
          <w:highlight w:val="none"/>
        </w:rPr>
        <w:t>投标文件内容与格式</w:t>
      </w:r>
    </w:p>
    <w:p w14:paraId="182E02BA">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rPr>
        <w:t>采购代理机构</w:t>
      </w:r>
      <w:r>
        <w:rPr>
          <w:rFonts w:hint="eastAsia" w:ascii="宋体" w:hAnsi="宋体"/>
          <w:color w:val="auto"/>
          <w:sz w:val="24"/>
          <w:highlight w:val="none"/>
        </w:rPr>
        <w:t>联系解决。</w:t>
      </w:r>
    </w:p>
    <w:p w14:paraId="3BBE6910">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5BC1C1">
      <w:pPr>
        <w:pStyle w:val="335"/>
        <w:keepNext w:val="0"/>
        <w:keepLines w:val="0"/>
        <w:spacing w:before="0" w:after="0" w:line="360" w:lineRule="auto"/>
        <w:ind w:firstLine="422"/>
        <w:rPr>
          <w:rFonts w:ascii="宋体" w:hAnsi="宋体" w:eastAsia="宋体"/>
          <w:bCs w:val="0"/>
          <w:color w:val="auto"/>
          <w:highlight w:val="none"/>
          <w:lang w:eastAsia="zh-CN"/>
        </w:rPr>
      </w:pPr>
      <w:bookmarkStart w:id="31" w:name="_Toc20823283"/>
      <w:bookmarkStart w:id="32" w:name="_Toc16938527"/>
      <w:bookmarkStart w:id="33" w:name="_Toc513029211"/>
      <w:bookmarkStart w:id="34" w:name="_Toc462564070"/>
      <w:r>
        <w:rPr>
          <w:rFonts w:hint="eastAsia" w:ascii="宋体" w:hAnsi="宋体" w:eastAsia="宋体"/>
          <w:bCs w:val="0"/>
          <w:color w:val="auto"/>
          <w:highlight w:val="none"/>
          <w:lang w:eastAsia="zh-CN"/>
        </w:rPr>
        <w:t>7.招标文件的澄清</w:t>
      </w:r>
      <w:bookmarkEnd w:id="31"/>
      <w:bookmarkEnd w:id="32"/>
      <w:bookmarkEnd w:id="33"/>
      <w:bookmarkEnd w:id="34"/>
    </w:p>
    <w:p w14:paraId="7C7652B0">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采购代理机构</w:t>
      </w:r>
      <w:r>
        <w:rPr>
          <w:rFonts w:hint="eastAsia" w:ascii="宋体" w:hAnsi="宋体"/>
          <w:bCs/>
          <w:color w:val="auto"/>
          <w:sz w:val="24"/>
          <w:highlight w:val="none"/>
        </w:rPr>
        <w:t>以书面形式提出。</w:t>
      </w:r>
    </w:p>
    <w:p w14:paraId="056EEC05">
      <w:pPr>
        <w:pStyle w:val="335"/>
        <w:keepNext w:val="0"/>
        <w:keepLines w:val="0"/>
        <w:spacing w:before="0" w:after="0" w:line="360" w:lineRule="auto"/>
        <w:ind w:firstLine="422"/>
        <w:rPr>
          <w:rFonts w:ascii="宋体" w:hAnsi="宋体" w:eastAsia="宋体"/>
          <w:bCs w:val="0"/>
          <w:color w:val="auto"/>
          <w:highlight w:val="none"/>
          <w:lang w:eastAsia="zh-CN"/>
        </w:rPr>
      </w:pPr>
      <w:bookmarkStart w:id="35" w:name="_Toc16938528"/>
      <w:bookmarkStart w:id="36" w:name="_Toc513029212"/>
      <w:bookmarkStart w:id="37" w:name="_Toc462564071"/>
      <w:bookmarkStart w:id="38" w:name="_Toc20823284"/>
      <w:r>
        <w:rPr>
          <w:rFonts w:hint="eastAsia" w:ascii="宋体" w:hAnsi="宋体" w:eastAsia="宋体"/>
          <w:bCs w:val="0"/>
          <w:color w:val="auto"/>
          <w:highlight w:val="none"/>
          <w:lang w:eastAsia="zh-CN"/>
        </w:rPr>
        <w:t>8.招标文件的修改</w:t>
      </w:r>
      <w:bookmarkEnd w:id="35"/>
      <w:bookmarkEnd w:id="36"/>
      <w:bookmarkEnd w:id="37"/>
      <w:bookmarkEnd w:id="38"/>
    </w:p>
    <w:p w14:paraId="62E6699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517C065D">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15D75C00">
      <w:pPr>
        <w:pStyle w:val="166"/>
        <w:keepNext w:val="0"/>
        <w:keepLines w:val="0"/>
        <w:spacing w:before="0" w:after="0" w:line="360" w:lineRule="auto"/>
        <w:ind w:firstLine="452"/>
        <w:rPr>
          <w:color w:val="auto"/>
          <w:sz w:val="30"/>
          <w:szCs w:val="30"/>
          <w:highlight w:val="none"/>
          <w:lang w:eastAsia="zh-CN"/>
        </w:rPr>
      </w:pPr>
      <w:bookmarkStart w:id="39" w:name="_Toc120614216"/>
      <w:bookmarkStart w:id="40" w:name="_Toc462564072"/>
      <w:bookmarkStart w:id="41" w:name="_Toc513029213"/>
      <w:bookmarkStart w:id="42" w:name="_Toc16938529"/>
      <w:bookmarkStart w:id="43" w:name="_Toc20823285"/>
      <w:r>
        <w:rPr>
          <w:rFonts w:hint="eastAsia"/>
          <w:color w:val="auto"/>
          <w:sz w:val="30"/>
          <w:szCs w:val="30"/>
          <w:highlight w:val="none"/>
          <w:lang w:eastAsia="zh-CN"/>
        </w:rPr>
        <w:t>三、投标文件的编制</w:t>
      </w:r>
      <w:bookmarkEnd w:id="39"/>
      <w:bookmarkEnd w:id="40"/>
      <w:bookmarkEnd w:id="41"/>
      <w:bookmarkEnd w:id="42"/>
      <w:bookmarkEnd w:id="43"/>
    </w:p>
    <w:p w14:paraId="219BF877">
      <w:pPr>
        <w:pStyle w:val="335"/>
        <w:keepNext w:val="0"/>
        <w:keepLines w:val="0"/>
        <w:spacing w:before="0" w:after="0" w:line="360" w:lineRule="auto"/>
        <w:ind w:firstLine="422"/>
        <w:rPr>
          <w:rFonts w:ascii="宋体" w:hAnsi="宋体" w:eastAsia="宋体"/>
          <w:bCs w:val="0"/>
          <w:color w:val="auto"/>
          <w:highlight w:val="none"/>
          <w:lang w:eastAsia="zh-CN"/>
        </w:rPr>
      </w:pPr>
      <w:bookmarkStart w:id="44" w:name="_Toc462564073"/>
      <w:bookmarkStart w:id="45" w:name="_Toc513029214"/>
      <w:bookmarkStart w:id="46" w:name="_Toc20823286"/>
      <w:bookmarkStart w:id="47" w:name="_Toc16938530"/>
      <w:r>
        <w:rPr>
          <w:rFonts w:hint="eastAsia" w:ascii="宋体" w:hAnsi="宋体" w:eastAsia="宋体"/>
          <w:bCs w:val="0"/>
          <w:color w:val="auto"/>
          <w:highlight w:val="none"/>
          <w:lang w:eastAsia="zh-CN"/>
        </w:rPr>
        <w:t>9.投标文件的语言及度量衡单位</w:t>
      </w:r>
      <w:bookmarkEnd w:id="44"/>
      <w:bookmarkEnd w:id="45"/>
      <w:bookmarkEnd w:id="46"/>
      <w:bookmarkEnd w:id="47"/>
    </w:p>
    <w:p w14:paraId="3F3BB1CE">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3A0E7FE4">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295DE2A9">
      <w:pPr>
        <w:pStyle w:val="335"/>
        <w:keepNext w:val="0"/>
        <w:keepLines w:val="0"/>
        <w:spacing w:before="0" w:after="0" w:line="360" w:lineRule="auto"/>
        <w:ind w:firstLine="422"/>
        <w:rPr>
          <w:rFonts w:ascii="宋体" w:hAnsi="宋体" w:eastAsia="宋体"/>
          <w:bCs w:val="0"/>
          <w:color w:val="auto"/>
          <w:highlight w:val="none"/>
          <w:lang w:eastAsia="zh-CN"/>
        </w:rPr>
      </w:pPr>
      <w:bookmarkStart w:id="48" w:name="_Toc20823287"/>
      <w:bookmarkStart w:id="49" w:name="_Toc513029215"/>
      <w:bookmarkStart w:id="50" w:name="_Toc462564074"/>
      <w:bookmarkStart w:id="51" w:name="_Toc16938531"/>
      <w:r>
        <w:rPr>
          <w:rFonts w:hint="eastAsia" w:ascii="宋体" w:hAnsi="宋体" w:eastAsia="宋体"/>
          <w:bCs w:val="0"/>
          <w:color w:val="auto"/>
          <w:highlight w:val="none"/>
          <w:lang w:eastAsia="zh-CN"/>
        </w:rPr>
        <w:t>10.投标文件构成</w:t>
      </w:r>
      <w:bookmarkEnd w:id="48"/>
      <w:bookmarkEnd w:id="49"/>
      <w:bookmarkEnd w:id="50"/>
      <w:bookmarkEnd w:id="51"/>
    </w:p>
    <w:p w14:paraId="7170E3B4">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66C02963">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5087DFE">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474E8CFF">
      <w:pPr>
        <w:pStyle w:val="335"/>
        <w:keepNext w:val="0"/>
        <w:keepLines w:val="0"/>
        <w:spacing w:before="0" w:after="0" w:line="360" w:lineRule="auto"/>
        <w:ind w:firstLine="422"/>
        <w:rPr>
          <w:rFonts w:ascii="宋体" w:hAnsi="宋体" w:eastAsia="宋体"/>
          <w:bCs w:val="0"/>
          <w:color w:val="auto"/>
          <w:highlight w:val="none"/>
          <w:lang w:eastAsia="zh-CN"/>
        </w:rPr>
      </w:pPr>
      <w:bookmarkStart w:id="52" w:name="_Hlt26954838"/>
      <w:bookmarkEnd w:id="52"/>
      <w:bookmarkStart w:id="53" w:name="_Hlt26668975"/>
      <w:bookmarkEnd w:id="53"/>
      <w:bookmarkStart w:id="54" w:name="_Hlt26670360"/>
      <w:bookmarkEnd w:id="54"/>
      <w:bookmarkStart w:id="55" w:name="_Toc14577354"/>
      <w:bookmarkStart w:id="56" w:name="_Toc513029216"/>
      <w:bookmarkStart w:id="57" w:name="_Toc14577357"/>
      <w:bookmarkStart w:id="58" w:name="_Toc49090509"/>
      <w:bookmarkStart w:id="59" w:name="_Toc49090507"/>
      <w:bookmarkStart w:id="60" w:name="_Toc513029219"/>
      <w:r>
        <w:rPr>
          <w:rFonts w:hint="eastAsia" w:ascii="宋体" w:hAnsi="宋体" w:eastAsia="宋体"/>
          <w:bCs w:val="0"/>
          <w:color w:val="auto"/>
          <w:highlight w:val="none"/>
          <w:lang w:eastAsia="zh-CN"/>
        </w:rPr>
        <w:t>11.证明投标人及投标标的符合招标文件规定的文件</w:t>
      </w:r>
      <w:bookmarkEnd w:id="55"/>
      <w:bookmarkEnd w:id="56"/>
      <w:bookmarkEnd w:id="57"/>
      <w:bookmarkEnd w:id="58"/>
      <w:bookmarkEnd w:id="59"/>
      <w:bookmarkEnd w:id="60"/>
    </w:p>
    <w:p w14:paraId="7C2558E5">
      <w:pPr>
        <w:spacing w:line="360" w:lineRule="auto"/>
        <w:ind w:firstLine="480"/>
        <w:rPr>
          <w:rFonts w:ascii="宋体" w:hAnsi="宋体"/>
          <w:bCs/>
          <w:color w:val="auto"/>
          <w:sz w:val="24"/>
          <w:highlight w:val="none"/>
        </w:rPr>
      </w:pPr>
      <w:bookmarkStart w:id="61" w:name="_Toc14577355"/>
      <w:bookmarkStart w:id="62" w:name="_Toc49090508"/>
      <w:r>
        <w:rPr>
          <w:rFonts w:hint="eastAsia" w:ascii="宋体" w:hAnsi="宋体"/>
          <w:bCs/>
          <w:color w:val="auto"/>
          <w:sz w:val="24"/>
          <w:highlight w:val="none"/>
        </w:rPr>
        <w:t>11.1投标人应按照</w:t>
      </w:r>
      <w:r>
        <w:rPr>
          <w:rFonts w:hint="eastAsia" w:ascii="宋体" w:hAnsi="宋体" w:eastAsia="宋体"/>
          <w:bCs/>
          <w:color w:val="auto"/>
          <w:sz w:val="24"/>
          <w:highlight w:val="none"/>
        </w:rPr>
        <w:t>法律法规</w:t>
      </w:r>
      <w:r>
        <w:rPr>
          <w:rFonts w:hint="eastAsia" w:ascii="宋体" w:hAnsi="宋体"/>
          <w:bCs/>
          <w:color w:val="auto"/>
          <w:sz w:val="24"/>
          <w:highlight w:val="none"/>
        </w:rPr>
        <w:t>、规章和规范性文件以及招标文件要求提交证明文件，证明其及投标标的符合招标文件规定。</w:t>
      </w:r>
    </w:p>
    <w:p w14:paraId="13577AC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73E3DFD2">
      <w:pPr>
        <w:pStyle w:val="335"/>
        <w:keepNext w:val="0"/>
        <w:keepLines w:val="0"/>
        <w:spacing w:before="0" w:after="0" w:line="360" w:lineRule="auto"/>
        <w:ind w:firstLine="422"/>
        <w:rPr>
          <w:rFonts w:ascii="宋体" w:hAnsi="宋体" w:eastAsia="宋体"/>
          <w:bCs w:val="0"/>
          <w:color w:val="auto"/>
          <w:highlight w:val="none"/>
          <w:lang w:eastAsia="zh-CN"/>
        </w:rPr>
      </w:pPr>
      <w:bookmarkStart w:id="63" w:name="_Toc49090510"/>
      <w:bookmarkStart w:id="64" w:name="_Toc14577359"/>
      <w:r>
        <w:rPr>
          <w:rFonts w:hint="eastAsia" w:ascii="宋体" w:hAnsi="宋体" w:eastAsia="宋体"/>
          <w:bCs w:val="0"/>
          <w:color w:val="auto"/>
          <w:highlight w:val="none"/>
          <w:lang w:eastAsia="zh-CN"/>
        </w:rPr>
        <w:t>12.投标函、承诺书和开标一览表</w:t>
      </w:r>
    </w:p>
    <w:p w14:paraId="1341C564">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0D558700">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68B836BC">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1"/>
      <w:bookmarkEnd w:id="62"/>
      <w:r>
        <w:rPr>
          <w:rFonts w:hint="eastAsia" w:ascii="宋体" w:hAnsi="宋体" w:eastAsia="宋体"/>
          <w:bCs w:val="0"/>
          <w:color w:val="auto"/>
          <w:highlight w:val="none"/>
          <w:lang w:eastAsia="zh-CN"/>
        </w:rPr>
        <w:t>分项报价表</w:t>
      </w:r>
    </w:p>
    <w:p w14:paraId="3C07D458">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14:paraId="0DE787A8">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4BA0543C">
      <w:pPr>
        <w:pStyle w:val="335"/>
        <w:keepNext w:val="0"/>
        <w:keepLines w:val="0"/>
        <w:spacing w:before="0" w:after="0" w:line="360" w:lineRule="auto"/>
        <w:ind w:firstLine="422"/>
        <w:rPr>
          <w:rFonts w:ascii="宋体" w:hAnsi="宋体" w:eastAsia="宋体"/>
          <w:bCs w:val="0"/>
          <w:color w:val="auto"/>
          <w:highlight w:val="none"/>
          <w:lang w:eastAsia="zh-CN"/>
        </w:rPr>
      </w:pPr>
      <w:bookmarkStart w:id="67" w:name="_Hlt26954848"/>
      <w:bookmarkEnd w:id="67"/>
      <w:bookmarkStart w:id="68" w:name="_Hlt26954844"/>
      <w:bookmarkEnd w:id="68"/>
      <w:bookmarkStart w:id="69" w:name="_Hlt26954846"/>
      <w:bookmarkEnd w:id="69"/>
      <w:bookmarkStart w:id="70" w:name="_Hlt26668983"/>
      <w:bookmarkEnd w:id="70"/>
      <w:bookmarkStart w:id="71" w:name="_Hlt26954731"/>
      <w:bookmarkEnd w:id="71"/>
      <w:bookmarkStart w:id="72" w:name="_Hlt26670403"/>
      <w:bookmarkEnd w:id="72"/>
      <w:bookmarkStart w:id="73" w:name="_Hlt26954842"/>
      <w:bookmarkEnd w:id="73"/>
      <w:bookmarkStart w:id="74" w:name="_Hlt26670425"/>
      <w:bookmarkEnd w:id="74"/>
      <w:bookmarkStart w:id="75" w:name="_Hlt26670482"/>
      <w:bookmarkEnd w:id="75"/>
      <w:bookmarkStart w:id="76" w:name="_Hlt26670486"/>
      <w:bookmarkEnd w:id="76"/>
      <w:r>
        <w:rPr>
          <w:rFonts w:hint="eastAsia" w:ascii="宋体" w:hAnsi="宋体" w:eastAsia="宋体"/>
          <w:bCs w:val="0"/>
          <w:color w:val="auto"/>
          <w:highlight w:val="none"/>
          <w:lang w:eastAsia="zh-CN"/>
        </w:rPr>
        <w:t>14.投标偏离表</w:t>
      </w:r>
    </w:p>
    <w:p w14:paraId="009067F0">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2D7DC91D">
      <w:pPr>
        <w:pStyle w:val="335"/>
        <w:keepNext w:val="0"/>
        <w:keepLines w:val="0"/>
        <w:spacing w:before="0" w:after="0" w:line="360" w:lineRule="auto"/>
        <w:ind w:firstLine="422"/>
        <w:rPr>
          <w:rFonts w:ascii="宋体" w:hAnsi="宋体" w:eastAsia="宋体"/>
          <w:bCs w:val="0"/>
          <w:color w:val="auto"/>
          <w:highlight w:val="none"/>
          <w:lang w:eastAsia="zh-CN"/>
        </w:rPr>
      </w:pPr>
      <w:bookmarkStart w:id="77" w:name="_Hlt26954734"/>
      <w:bookmarkEnd w:id="77"/>
      <w:bookmarkStart w:id="78" w:name="_Hlt26954850"/>
      <w:bookmarkEnd w:id="78"/>
      <w:bookmarkStart w:id="79" w:name="_Hlt26670489"/>
      <w:bookmarkEnd w:id="79"/>
      <w:bookmarkStart w:id="80" w:name="_Toc14577360"/>
      <w:bookmarkStart w:id="81" w:name="_Toc49090511"/>
      <w:r>
        <w:rPr>
          <w:rFonts w:hint="eastAsia" w:ascii="宋体" w:hAnsi="宋体" w:eastAsia="宋体"/>
          <w:bCs w:val="0"/>
          <w:color w:val="auto"/>
          <w:highlight w:val="none"/>
          <w:lang w:eastAsia="zh-CN"/>
        </w:rPr>
        <w:t>15.投标有效期</w:t>
      </w:r>
      <w:bookmarkEnd w:id="80"/>
      <w:bookmarkEnd w:id="81"/>
    </w:p>
    <w:p w14:paraId="30380713">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182630E7">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7C74C83C">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430865C0">
      <w:pPr>
        <w:pStyle w:val="166"/>
        <w:keepNext w:val="0"/>
        <w:keepLines w:val="0"/>
        <w:spacing w:before="0" w:after="0" w:line="360" w:lineRule="auto"/>
        <w:ind w:firstLine="452"/>
        <w:rPr>
          <w:color w:val="auto"/>
          <w:sz w:val="30"/>
          <w:szCs w:val="30"/>
          <w:highlight w:val="none"/>
          <w:lang w:eastAsia="zh-CN"/>
        </w:rPr>
      </w:pPr>
      <w:bookmarkStart w:id="82" w:name="_Hlt26954739"/>
      <w:bookmarkEnd w:id="82"/>
      <w:bookmarkStart w:id="83" w:name="_Hlt26954852"/>
      <w:bookmarkEnd w:id="83"/>
      <w:bookmarkStart w:id="84" w:name="_Toc16938540"/>
      <w:bookmarkStart w:id="85" w:name="_Toc120614217"/>
      <w:bookmarkStart w:id="86" w:name="_Toc513029224"/>
      <w:bookmarkStart w:id="87" w:name="_Toc20823296"/>
      <w:r>
        <w:rPr>
          <w:rFonts w:hint="eastAsia"/>
          <w:color w:val="auto"/>
          <w:sz w:val="30"/>
          <w:szCs w:val="30"/>
          <w:highlight w:val="none"/>
          <w:lang w:eastAsia="zh-CN"/>
        </w:rPr>
        <w:t>四、投标文件的递交</w:t>
      </w:r>
      <w:bookmarkEnd w:id="84"/>
      <w:bookmarkEnd w:id="85"/>
      <w:bookmarkEnd w:id="86"/>
      <w:bookmarkEnd w:id="87"/>
    </w:p>
    <w:p w14:paraId="0540B721">
      <w:pPr>
        <w:pStyle w:val="335"/>
        <w:keepNext w:val="0"/>
        <w:keepLines w:val="0"/>
        <w:spacing w:before="0" w:after="0" w:line="360" w:lineRule="auto"/>
        <w:ind w:firstLine="422"/>
        <w:rPr>
          <w:rFonts w:ascii="宋体" w:hAnsi="宋体" w:eastAsia="宋体"/>
          <w:bCs w:val="0"/>
          <w:color w:val="auto"/>
          <w:highlight w:val="none"/>
          <w:lang w:eastAsia="zh-CN"/>
        </w:rPr>
      </w:pPr>
      <w:bookmarkStart w:id="88" w:name="_Toc462564084"/>
      <w:bookmarkStart w:id="89" w:name="_Toc16938541"/>
      <w:bookmarkStart w:id="90" w:name="_Toc513029225"/>
      <w:bookmarkStart w:id="91" w:name="_Toc20823297"/>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14:paraId="6664DF5E">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168AD79F">
      <w:pPr>
        <w:pStyle w:val="419"/>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16938542"/>
      <w:bookmarkStart w:id="93" w:name="_Toc20823298"/>
      <w:bookmarkStart w:id="94" w:name="_Toc513029226"/>
    </w:p>
    <w:p w14:paraId="19BDF72E">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14:paraId="54159382">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60057AB5">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网络环境、网络带宽等风险因素，如因投标人自身原因造成的电子投标文件上传不成功的视作投标人未按照招标文件要求上传电子投标文件，做无效投标处理。</w:t>
      </w:r>
    </w:p>
    <w:p w14:paraId="3711F8F7">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5CD70F19">
      <w:pPr>
        <w:pStyle w:val="335"/>
        <w:keepNext w:val="0"/>
        <w:keepLines w:val="0"/>
        <w:spacing w:before="0" w:after="0" w:line="360" w:lineRule="auto"/>
        <w:ind w:firstLine="422"/>
        <w:rPr>
          <w:rFonts w:ascii="宋体" w:hAnsi="宋体" w:eastAsia="宋体"/>
          <w:bCs w:val="0"/>
          <w:color w:val="auto"/>
          <w:highlight w:val="none"/>
          <w:lang w:eastAsia="zh-CN"/>
        </w:rPr>
      </w:pPr>
      <w:bookmarkStart w:id="95" w:name="_Toc20823299"/>
      <w:bookmarkStart w:id="96" w:name="_Toc513029227"/>
      <w:bookmarkStart w:id="97" w:name="_Toc16938543"/>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14:paraId="15FD4450">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rPr>
        <w:t>采购代理机构</w:t>
      </w:r>
      <w:r>
        <w:rPr>
          <w:rFonts w:hint="eastAsia" w:ascii="宋体" w:hAnsi="宋体"/>
          <w:bCs/>
          <w:color w:val="auto"/>
          <w:sz w:val="24"/>
          <w:highlight w:val="none"/>
        </w:rPr>
        <w:t>拒绝接收在其规定的投标截止时间后上传的任何投标文件。</w:t>
      </w:r>
    </w:p>
    <w:p w14:paraId="034CF2B3">
      <w:pPr>
        <w:pStyle w:val="335"/>
        <w:keepNext w:val="0"/>
        <w:keepLines w:val="0"/>
        <w:spacing w:before="0" w:after="0" w:line="360" w:lineRule="auto"/>
        <w:ind w:firstLine="422"/>
        <w:rPr>
          <w:rFonts w:ascii="宋体" w:hAnsi="宋体" w:eastAsia="宋体"/>
          <w:bCs w:val="0"/>
          <w:color w:val="auto"/>
          <w:highlight w:val="none"/>
          <w:lang w:eastAsia="zh-CN"/>
        </w:rPr>
      </w:pPr>
      <w:bookmarkStart w:id="98" w:name="_Toc513029228"/>
      <w:bookmarkStart w:id="99" w:name="_Toc20823300"/>
      <w:bookmarkStart w:id="100" w:name="_Toc16938544"/>
      <w:r>
        <w:rPr>
          <w:rFonts w:hint="eastAsia" w:ascii="宋体" w:hAnsi="宋体" w:eastAsia="宋体"/>
          <w:bCs w:val="0"/>
          <w:color w:val="auto"/>
          <w:highlight w:val="none"/>
          <w:lang w:eastAsia="zh-CN"/>
        </w:rPr>
        <w:t>20.投标文件的撤回和修改</w:t>
      </w:r>
      <w:bookmarkEnd w:id="98"/>
      <w:bookmarkEnd w:id="99"/>
      <w:bookmarkEnd w:id="100"/>
    </w:p>
    <w:p w14:paraId="11D851F4">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23E5884A">
      <w:pPr>
        <w:spacing w:line="360" w:lineRule="auto"/>
        <w:ind w:firstLine="480"/>
        <w:rPr>
          <w:rFonts w:ascii="宋体" w:hAnsi="宋体"/>
          <w:color w:val="auto"/>
          <w:sz w:val="24"/>
          <w:highlight w:val="none"/>
        </w:rPr>
      </w:pPr>
      <w:r>
        <w:rPr>
          <w:rFonts w:hint="eastAsia" w:ascii="宋体" w:hAnsi="宋体"/>
          <w:color w:val="auto"/>
          <w:sz w:val="24"/>
          <w:highlight w:val="none"/>
        </w:rPr>
        <w:t>21.1.1电子投标文件的撤回</w:t>
      </w:r>
    </w:p>
    <w:p w14:paraId="10C6467E">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5DD9C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2293A34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3094BA8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26A0624D">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2772151B">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586C903D">
      <w:pPr>
        <w:pStyle w:val="166"/>
        <w:keepNext w:val="0"/>
        <w:keepLines w:val="0"/>
        <w:spacing w:before="0" w:after="0" w:line="360" w:lineRule="auto"/>
        <w:ind w:firstLine="452"/>
        <w:rPr>
          <w:color w:val="auto"/>
          <w:sz w:val="30"/>
          <w:szCs w:val="30"/>
          <w:highlight w:val="none"/>
          <w:lang w:eastAsia="zh-CN"/>
        </w:rPr>
      </w:pPr>
      <w:bookmarkStart w:id="101" w:name="_Toc513029229"/>
      <w:bookmarkStart w:id="102" w:name="_Toc16938545"/>
      <w:bookmarkStart w:id="103" w:name="_Toc120614218"/>
      <w:bookmarkStart w:id="104" w:name="_Toc20823301"/>
      <w:r>
        <w:rPr>
          <w:rFonts w:hint="eastAsia"/>
          <w:color w:val="auto"/>
          <w:sz w:val="30"/>
          <w:szCs w:val="30"/>
          <w:highlight w:val="none"/>
          <w:lang w:eastAsia="zh-CN"/>
        </w:rPr>
        <w:t>五、开标与评标</w:t>
      </w:r>
      <w:bookmarkEnd w:id="101"/>
      <w:bookmarkEnd w:id="102"/>
      <w:bookmarkEnd w:id="103"/>
      <w:bookmarkEnd w:id="104"/>
    </w:p>
    <w:p w14:paraId="7A912640">
      <w:pPr>
        <w:pStyle w:val="335"/>
        <w:keepNext w:val="0"/>
        <w:keepLines w:val="0"/>
        <w:spacing w:before="0" w:after="0" w:line="360" w:lineRule="auto"/>
        <w:ind w:firstLine="422"/>
        <w:rPr>
          <w:rFonts w:ascii="宋体" w:hAnsi="宋体" w:eastAsia="宋体"/>
          <w:bCs w:val="0"/>
          <w:color w:val="auto"/>
          <w:highlight w:val="none"/>
          <w:lang w:eastAsia="zh-CN"/>
        </w:rPr>
      </w:pPr>
      <w:bookmarkStart w:id="105" w:name="_Toc513029230"/>
      <w:bookmarkStart w:id="106" w:name="_Toc16938546"/>
      <w:bookmarkStart w:id="107" w:name="_Toc20823302"/>
      <w:r>
        <w:rPr>
          <w:rFonts w:hint="eastAsia" w:ascii="宋体" w:hAnsi="宋体" w:eastAsia="宋体"/>
          <w:bCs w:val="0"/>
          <w:color w:val="auto"/>
          <w:highlight w:val="none"/>
          <w:lang w:eastAsia="zh-CN"/>
        </w:rPr>
        <w:t>21.开标</w:t>
      </w:r>
      <w:bookmarkEnd w:id="105"/>
      <w:bookmarkEnd w:id="106"/>
      <w:bookmarkEnd w:id="107"/>
    </w:p>
    <w:p w14:paraId="22790497">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1DEE4FA7">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46A0411E">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rPr>
        <w:t>涉及的</w:t>
      </w:r>
      <w:r>
        <w:rPr>
          <w:rFonts w:hint="eastAsia" w:ascii="宋体" w:hAnsi="宋体"/>
          <w:color w:val="auto"/>
          <w:sz w:val="24"/>
          <w:highlight w:val="none"/>
        </w:rPr>
        <w:t>投标文件解密、开标结果确认等工作，应按照《操作手册》规定执行。</w:t>
      </w:r>
    </w:p>
    <w:p w14:paraId="36A3E30A">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13C9984B">
      <w:pPr>
        <w:pStyle w:val="335"/>
        <w:keepNext w:val="0"/>
        <w:keepLines w:val="0"/>
        <w:spacing w:before="0" w:after="0" w:line="360" w:lineRule="auto"/>
        <w:ind w:firstLine="422"/>
        <w:rPr>
          <w:rFonts w:ascii="宋体" w:hAnsi="宋体" w:eastAsia="宋体"/>
          <w:bCs w:val="0"/>
          <w:color w:val="auto"/>
          <w:highlight w:val="none"/>
          <w:lang w:eastAsia="zh-CN"/>
        </w:rPr>
      </w:pPr>
      <w:bookmarkStart w:id="108" w:name="_Toc16938547"/>
      <w:bookmarkStart w:id="109" w:name="_Toc20823303"/>
      <w:bookmarkStart w:id="110" w:name="_Toc513029231"/>
      <w:r>
        <w:rPr>
          <w:rFonts w:hint="eastAsia" w:ascii="宋体" w:hAnsi="宋体" w:eastAsia="宋体"/>
          <w:bCs w:val="0"/>
          <w:color w:val="auto"/>
          <w:highlight w:val="none"/>
          <w:lang w:eastAsia="zh-CN"/>
        </w:rPr>
        <w:t>22.评标委员会</w:t>
      </w:r>
    </w:p>
    <w:p w14:paraId="13C1D70F">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将立即组织评标委员会（以下简称评委会）进行评标。</w:t>
      </w:r>
    </w:p>
    <w:p w14:paraId="3D6887F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605DB58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71871072">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14:paraId="09BA3E4E">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rPr>
        <w:t>采购代理机构</w:t>
      </w:r>
      <w:r>
        <w:rPr>
          <w:rFonts w:hint="eastAsia" w:ascii="宋体" w:hAnsi="宋体"/>
          <w:bCs/>
          <w:color w:val="auto"/>
          <w:sz w:val="24"/>
          <w:highlight w:val="none"/>
        </w:rPr>
        <w:t>均不得向投标人或与评标无关的其他人员透露。</w:t>
      </w:r>
    </w:p>
    <w:p w14:paraId="3083FC08">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0286023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693FC1B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1E6A08B7">
      <w:pPr>
        <w:pStyle w:val="335"/>
        <w:keepNext w:val="0"/>
        <w:keepLines w:val="0"/>
        <w:spacing w:before="0" w:after="0" w:line="360" w:lineRule="auto"/>
        <w:ind w:firstLine="422"/>
        <w:rPr>
          <w:rFonts w:ascii="宋体" w:hAnsi="宋体" w:eastAsia="宋体"/>
          <w:bCs w:val="0"/>
          <w:color w:val="auto"/>
          <w:highlight w:val="none"/>
          <w:lang w:eastAsia="zh-CN"/>
        </w:rPr>
      </w:pPr>
      <w:bookmarkStart w:id="111" w:name="_Toc20823304"/>
      <w:bookmarkStart w:id="112" w:name="_Toc513029232"/>
      <w:bookmarkStart w:id="113" w:name="_Toc16938548"/>
      <w:r>
        <w:rPr>
          <w:rFonts w:hint="eastAsia" w:ascii="宋体" w:hAnsi="宋体" w:eastAsia="宋体"/>
          <w:bCs w:val="0"/>
          <w:color w:val="auto"/>
          <w:highlight w:val="none"/>
          <w:lang w:eastAsia="zh-CN"/>
        </w:rPr>
        <w:t>24.投标文件的澄清</w:t>
      </w:r>
      <w:bookmarkEnd w:id="111"/>
      <w:bookmarkEnd w:id="112"/>
      <w:bookmarkEnd w:id="113"/>
    </w:p>
    <w:p w14:paraId="34810C9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1335E50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58540DC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048A728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rPr>
        <w:t>作出</w:t>
      </w:r>
      <w:r>
        <w:rPr>
          <w:rFonts w:hint="eastAsia" w:ascii="宋体" w:hAnsi="宋体"/>
          <w:color w:val="auto"/>
          <w:sz w:val="24"/>
          <w:szCs w:val="24"/>
          <w:highlight w:val="none"/>
        </w:rPr>
        <w:t>澄清、说明和补正，其风险由投标人自行承担。</w:t>
      </w:r>
    </w:p>
    <w:p w14:paraId="746A33FE">
      <w:pPr>
        <w:pStyle w:val="335"/>
        <w:keepNext w:val="0"/>
        <w:keepLines w:val="0"/>
        <w:spacing w:before="0" w:after="0" w:line="360" w:lineRule="auto"/>
        <w:ind w:firstLine="422"/>
        <w:rPr>
          <w:rFonts w:ascii="宋体" w:hAnsi="宋体" w:eastAsia="宋体"/>
          <w:bCs w:val="0"/>
          <w:color w:val="auto"/>
          <w:highlight w:val="none"/>
          <w:lang w:eastAsia="zh-CN"/>
        </w:rPr>
      </w:pPr>
      <w:bookmarkStart w:id="114" w:name="_Toc20823305"/>
      <w:bookmarkStart w:id="115" w:name="_Toc513029233"/>
      <w:bookmarkStart w:id="116" w:name="_Toc16938549"/>
      <w:r>
        <w:rPr>
          <w:rFonts w:hint="eastAsia" w:ascii="宋体" w:hAnsi="宋体" w:eastAsia="宋体"/>
          <w:bCs w:val="0"/>
          <w:color w:val="auto"/>
          <w:highlight w:val="none"/>
          <w:lang w:eastAsia="zh-CN"/>
        </w:rPr>
        <w:t>25.对投标文件的初审</w:t>
      </w:r>
      <w:bookmarkEnd w:id="114"/>
      <w:bookmarkEnd w:id="115"/>
      <w:bookmarkEnd w:id="116"/>
    </w:p>
    <w:p w14:paraId="79B2D1A5">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53E1B3ED">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6F895AC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w:t>
      </w:r>
      <w:r>
        <w:rPr>
          <w:rFonts w:hint="eastAsia" w:ascii="宋体" w:hAnsi="宋体" w:eastAsia="宋体" w:cs="宋体"/>
          <w:color w:val="auto"/>
          <w:sz w:val="24"/>
          <w:szCs w:val="24"/>
          <w:highlight w:val="none"/>
        </w:rPr>
        <w:t>重大税收违法失信主体</w:t>
      </w:r>
      <w:r>
        <w:rPr>
          <w:rFonts w:hint="eastAsia" w:ascii="宋体" w:hAnsi="宋体" w:cs="宋体"/>
          <w:color w:val="auto"/>
          <w:sz w:val="24"/>
          <w:szCs w:val="24"/>
          <w:highlight w:val="none"/>
        </w:rPr>
        <w:t>、政府采购严重违法失信行为记录名单，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707F7FCB">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w:t>
      </w:r>
      <w:r>
        <w:rPr>
          <w:rFonts w:hint="eastAsia" w:ascii="宋体" w:hAnsi="宋体"/>
          <w:bCs/>
          <w:color w:val="auto"/>
          <w:sz w:val="24"/>
          <w:highlight w:val="none"/>
        </w:rPr>
        <w:t>联合体成员存在不良信用记录的，视同联合体存在不良应用记录。</w:t>
      </w:r>
    </w:p>
    <w:p w14:paraId="7876A463">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5452025E">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4164705A">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63F4D284">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FA912F2">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4E687B29">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3A85822C">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（1）</w:t>
      </w:r>
      <w:r>
        <w:rPr>
          <w:rFonts w:hint="eastAsia" w:ascii="宋体" w:hAnsi="宋体"/>
          <w:bCs/>
          <w:color w:val="auto"/>
          <w:sz w:val="24"/>
          <w:highlight w:val="none"/>
        </w:rPr>
        <w:t>投标文件中开标一览表内容与投标文件中相应内容不一致的，以开标一览表为准。</w:t>
      </w:r>
    </w:p>
    <w:p w14:paraId="7D2A4567">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（2）</w:t>
      </w:r>
      <w:r>
        <w:rPr>
          <w:rFonts w:hint="eastAsia" w:ascii="宋体" w:hAnsi="宋体"/>
          <w:bCs/>
          <w:color w:val="auto"/>
          <w:sz w:val="24"/>
          <w:highlight w:val="none"/>
        </w:rPr>
        <w:t>大写金额和小写金额不一致的，以大写金额为准。</w:t>
      </w:r>
    </w:p>
    <w:p w14:paraId="6E455AD6">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（3）</w:t>
      </w:r>
      <w:r>
        <w:rPr>
          <w:rFonts w:hint="eastAsia" w:ascii="宋体" w:hAnsi="宋体"/>
          <w:bCs/>
          <w:color w:val="auto"/>
          <w:sz w:val="24"/>
          <w:highlight w:val="none"/>
        </w:rPr>
        <w:t>单价金额小数点或者百分比有明显错位的，以开标一览表的总价为准，并修改单价。</w:t>
      </w:r>
    </w:p>
    <w:p w14:paraId="006D6FC0">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（4）</w:t>
      </w:r>
      <w:r>
        <w:rPr>
          <w:rFonts w:hint="eastAsia" w:ascii="宋体" w:hAnsi="宋体"/>
          <w:bCs/>
          <w:color w:val="auto"/>
          <w:sz w:val="24"/>
          <w:highlight w:val="none"/>
        </w:rPr>
        <w:t>总价金额与按单价汇总金额不一致的，以单价金额计算结果为准。</w:t>
      </w:r>
    </w:p>
    <w:p w14:paraId="627221C2">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0C214E50">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72E4554F">
      <w:pPr>
        <w:spacing w:line="360" w:lineRule="auto"/>
        <w:ind w:firstLine="420"/>
        <w:rPr>
          <w:rFonts w:hint="eastAsia" w:ascii="宋体" w:hAnsi="宋体"/>
          <w:color w:val="auto"/>
          <w:sz w:val="24"/>
          <w:highlight w:val="none"/>
        </w:rPr>
      </w:pPr>
      <w:bookmarkStart w:id="117" w:name="_Toc20823306"/>
      <w:bookmarkStart w:id="118" w:name="_Toc513029234"/>
      <w:bookmarkStart w:id="119" w:name="_Toc16938550"/>
      <w:r>
        <w:rPr>
          <w:rFonts w:hint="eastAsia" w:ascii="宋体" w:hAnsi="宋体"/>
          <w:color w:val="auto"/>
          <w:sz w:val="24"/>
          <w:highlight w:val="none"/>
        </w:rPr>
        <w:t>25.6投标人在开、评标全过程中应</w:t>
      </w:r>
      <w:r>
        <w:rPr>
          <w:rFonts w:hint="eastAsia" w:ascii="宋体" w:hAnsi="宋体" w:eastAsia="宋体"/>
          <w:color w:val="auto"/>
          <w:sz w:val="24"/>
          <w:highlight w:val="none"/>
          <w:lang w:eastAsia="zh-CN"/>
        </w:rPr>
        <w:t>保持通信畅通</w:t>
      </w:r>
      <w:r>
        <w:rPr>
          <w:rFonts w:hint="eastAsia" w:ascii="宋体" w:hAnsi="宋体"/>
          <w:color w:val="auto"/>
          <w:sz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5BD0CF1A">
      <w:pPr>
        <w:spacing w:line="360" w:lineRule="auto"/>
        <w:ind w:firstLine="420"/>
        <w:rPr>
          <w:rFonts w:ascii="宋体" w:hAnsi="宋体" w:eastAsia="宋体" w:cs="宋体"/>
          <w:color w:val="auto"/>
          <w:sz w:val="24"/>
          <w:highlight w:val="none"/>
        </w:rPr>
      </w:pPr>
      <w:r>
        <w:rPr>
          <w:rFonts w:hint="eastAsia" w:ascii="宋体" w:hAnsi="宋体" w:eastAsia="宋体" w:cs="宋体"/>
          <w:color w:val="auto"/>
          <w:sz w:val="24"/>
          <w:highlight w:val="none"/>
        </w:rPr>
        <w:t>25.7评审过程中出现下列情形之一的，评审委员会应当启动异常低价投标（响应）审查程序：</w:t>
      </w:r>
    </w:p>
    <w:p w14:paraId="444C8451">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投标（响应）报价低于全部通过符合性审查供应商投标（响应）报价平均值50%的，即投标（响应）报价&lt;全部通过符合性审查供应商投标（响应）报价平均值×50%； </w:t>
      </w:r>
    </w:p>
    <w:p w14:paraId="5E9CF3FD">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投标（响应）报价低于通过符合性审查的次低报价供应商投标（响应）报价50%的，即投标（响应）报价&lt;通过符合性审查的次低报价供应商投标（响应）报价×50%； </w:t>
      </w:r>
    </w:p>
    <w:p w14:paraId="31BDEF8F">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投标（响应）报价低于采购项目最高限价</w:t>
      </w:r>
      <w:r>
        <w:rPr>
          <w:rFonts w:hint="eastAsia" w:ascii="宋体" w:hAnsi="宋体" w:eastAsia="宋体" w:cs="宋体"/>
          <w:color w:val="auto"/>
          <w:sz w:val="24"/>
          <w:highlight w:val="none"/>
          <w:lang w:val="en-US" w:eastAsia="zh-CN"/>
        </w:rPr>
        <w:t>65</w:t>
      </w:r>
      <w:r>
        <w:rPr>
          <w:rFonts w:hint="eastAsia" w:ascii="宋体" w:hAnsi="宋体" w:eastAsia="宋体" w:cs="宋体"/>
          <w:color w:val="auto"/>
          <w:sz w:val="24"/>
          <w:highlight w:val="none"/>
        </w:rPr>
        <w:t>%的，即投标（响应）报价&lt;采购项目最高限价×</w:t>
      </w:r>
      <w:r>
        <w:rPr>
          <w:rFonts w:hint="eastAsia" w:ascii="宋体" w:hAnsi="宋体" w:eastAsia="宋体" w:cs="宋体"/>
          <w:color w:val="auto"/>
          <w:sz w:val="24"/>
          <w:highlight w:val="none"/>
          <w:lang w:val="en-US" w:eastAsia="zh-CN"/>
        </w:rPr>
        <w:t>65</w:t>
      </w:r>
      <w:r>
        <w:rPr>
          <w:rFonts w:hint="eastAsia" w:ascii="宋体" w:hAnsi="宋体" w:eastAsia="宋体" w:cs="宋体"/>
          <w:color w:val="auto"/>
          <w:sz w:val="24"/>
          <w:highlight w:val="none"/>
        </w:rPr>
        <w:t>%； </w:t>
      </w:r>
    </w:p>
    <w:p w14:paraId="03F1F05F">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评审委员会基于专业判断，认为供应商报价过低，有可能影响产品质量或者不能诚信履约的其他情形。 </w:t>
      </w:r>
    </w:p>
    <w:p w14:paraId="3084E010">
      <w:pPr>
        <w:pStyle w:val="335"/>
        <w:keepNext w:val="0"/>
        <w:keepLines w:val="0"/>
        <w:spacing w:before="0" w:after="0" w:line="360" w:lineRule="auto"/>
        <w:ind w:firstLine="422"/>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A883E11">
      <w:pPr>
        <w:pStyle w:val="335"/>
        <w:keepNext w:val="0"/>
        <w:keepLines w:val="0"/>
        <w:spacing w:before="0" w:after="0" w:line="360" w:lineRule="auto"/>
        <w:ind w:firstLine="422"/>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A7D1A44">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14:paraId="64A8E6D4">
      <w:pPr>
        <w:spacing w:line="360" w:lineRule="auto"/>
        <w:ind w:left="479"/>
        <w:rPr>
          <w:rFonts w:ascii="宋体" w:hAnsi="宋体"/>
          <w:bCs/>
          <w:color w:val="auto"/>
          <w:sz w:val="24"/>
          <w:highlight w:val="none"/>
        </w:rPr>
      </w:pPr>
      <w:bookmarkStart w:id="120" w:name="_Toc16938551"/>
      <w:bookmarkStart w:id="121" w:name="_Toc513029235"/>
      <w:bookmarkStart w:id="122" w:name="_Toc20823307"/>
      <w:r>
        <w:rPr>
          <w:rFonts w:hint="eastAsia" w:ascii="宋体" w:hAnsi="宋体"/>
          <w:bCs/>
          <w:color w:val="auto"/>
          <w:sz w:val="24"/>
          <w:highlight w:val="none"/>
        </w:rPr>
        <w:t>26.1无效投标条款</w:t>
      </w:r>
    </w:p>
    <w:p w14:paraId="2C95DA2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6E5A37B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09E0D09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12CB91D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3A3D600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4A2D55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607A91A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31895503">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列入失信被执行人或</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0578A84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59D6A9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5E6254B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36F32AC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5AA2777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3384E2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6A674FE">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5A514A3B">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5AECADA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26.1.17不同投标人的投标文件的目录序号、排版格式、文字风格等存在明显的相似性或一致性，特征显示由同一单位或者同一个人编制的。</w:t>
      </w:r>
    </w:p>
    <w:p w14:paraId="02389A3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4D832A0C">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370686A5">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118AC277">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1CE9272C">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24D0B22D">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rPr>
        <w:t>的其他</w:t>
      </w:r>
      <w:r>
        <w:rPr>
          <w:rFonts w:hint="eastAsia" w:ascii="宋体" w:hAnsi="宋体"/>
          <w:bCs/>
          <w:color w:val="auto"/>
          <w:sz w:val="24"/>
          <w:szCs w:val="24"/>
          <w:highlight w:val="none"/>
        </w:rPr>
        <w:t>实质性要求和条件的</w:t>
      </w:r>
    </w:p>
    <w:p w14:paraId="40F459E3">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rPr>
        <w:t>法律法规</w:t>
      </w:r>
      <w:r>
        <w:rPr>
          <w:rFonts w:hint="eastAsia" w:ascii="宋体" w:hAnsi="宋体"/>
          <w:bCs/>
          <w:color w:val="auto"/>
          <w:sz w:val="24"/>
          <w:highlight w:val="none"/>
        </w:rPr>
        <w:t>及本招标文件规定的</w:t>
      </w:r>
      <w:r>
        <w:rPr>
          <w:rFonts w:hint="eastAsia" w:ascii="宋体" w:hAnsi="宋体" w:eastAsia="宋体"/>
          <w:bCs/>
          <w:color w:val="auto"/>
          <w:sz w:val="24"/>
          <w:highlight w:val="none"/>
          <w:lang w:eastAsia="zh-CN"/>
        </w:rPr>
        <w:t>属于</w:t>
      </w:r>
      <w:r>
        <w:rPr>
          <w:rFonts w:hint="eastAsia" w:ascii="宋体" w:hAnsi="宋体"/>
          <w:bCs/>
          <w:color w:val="auto"/>
          <w:sz w:val="24"/>
          <w:highlight w:val="none"/>
        </w:rPr>
        <w:t>无效投标的情形。</w:t>
      </w:r>
    </w:p>
    <w:p w14:paraId="2B5A608A">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74182F42">
      <w:pPr>
        <w:spacing w:line="360" w:lineRule="auto"/>
        <w:ind w:left="479"/>
        <w:rPr>
          <w:rFonts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17D733C5">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0822C96C">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4FD9880D">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48A451BB">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64C61409">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358A6FC7">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5291B56D">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62EEF8E0">
      <w:pPr>
        <w:pStyle w:val="166"/>
        <w:keepNext w:val="0"/>
        <w:keepLines w:val="0"/>
        <w:spacing w:before="0" w:after="0" w:line="360" w:lineRule="auto"/>
        <w:ind w:firstLine="452"/>
        <w:rPr>
          <w:color w:val="auto"/>
          <w:sz w:val="30"/>
          <w:szCs w:val="30"/>
          <w:highlight w:val="none"/>
          <w:lang w:eastAsia="zh-CN"/>
        </w:rPr>
      </w:pPr>
      <w:bookmarkStart w:id="123" w:name="_Toc120614219"/>
      <w:r>
        <w:rPr>
          <w:rFonts w:hint="eastAsia"/>
          <w:color w:val="auto"/>
          <w:sz w:val="30"/>
          <w:szCs w:val="30"/>
          <w:highlight w:val="none"/>
          <w:lang w:eastAsia="zh-CN"/>
        </w:rPr>
        <w:t>六、</w:t>
      </w:r>
      <w:bookmarkEnd w:id="120"/>
      <w:bookmarkEnd w:id="121"/>
      <w:bookmarkEnd w:id="122"/>
      <w:r>
        <w:rPr>
          <w:rFonts w:hint="eastAsia"/>
          <w:color w:val="auto"/>
          <w:sz w:val="30"/>
          <w:szCs w:val="30"/>
          <w:highlight w:val="none"/>
          <w:lang w:eastAsia="zh-CN"/>
        </w:rPr>
        <w:t>定标</w:t>
      </w:r>
      <w:bookmarkEnd w:id="123"/>
    </w:p>
    <w:p w14:paraId="21209A21">
      <w:pPr>
        <w:pStyle w:val="335"/>
        <w:keepNext w:val="0"/>
        <w:keepLines w:val="0"/>
        <w:spacing w:before="0" w:after="0" w:line="360" w:lineRule="auto"/>
        <w:ind w:firstLine="422"/>
        <w:rPr>
          <w:rFonts w:ascii="宋体" w:hAnsi="宋体" w:eastAsia="宋体"/>
          <w:bCs w:val="0"/>
          <w:color w:val="auto"/>
          <w:highlight w:val="none"/>
          <w:lang w:eastAsia="zh-CN"/>
        </w:rPr>
      </w:pPr>
      <w:bookmarkStart w:id="124" w:name="_Toc513029238"/>
      <w:bookmarkStart w:id="125" w:name="_Toc20823310"/>
      <w:bookmarkStart w:id="126" w:name="_Toc16938554"/>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14:paraId="7D9B5237">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57FD7221">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1E6573B2">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将在“江苏政府采购网”发布中标公告，公告期限为1个工作日。</w:t>
      </w:r>
    </w:p>
    <w:p w14:paraId="35753DD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4CE76D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0E92BA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2441265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行贿或者提供其他不正当利益的。</w:t>
      </w:r>
    </w:p>
    <w:p w14:paraId="7341DCA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430776E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71CAE44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72D0F8D">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05008F2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3585D8E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27DC901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7990BA9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3AE6ADC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538CFC3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75B39396">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14:paraId="3CEBADD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质疑的供应商应当是参与所质疑项目采购活动的供应商。潜在供应商依法获取其可质疑的采购文件的，可以对采购文件质疑。</w:t>
      </w:r>
    </w:p>
    <w:p w14:paraId="639B117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716D725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7E59FA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4D8F028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7DD8608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16506AD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0D15CF87">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等</w:t>
      </w:r>
      <w:r>
        <w:rPr>
          <w:rFonts w:hint="eastAsia" w:ascii="宋体" w:hAnsi="宋体"/>
          <w:color w:val="auto"/>
          <w:sz w:val="24"/>
          <w:szCs w:val="24"/>
          <w:highlight w:val="none"/>
        </w:rPr>
        <w:t>请向采购</w:t>
      </w:r>
      <w:r>
        <w:rPr>
          <w:rFonts w:hint="eastAsia" w:ascii="宋体" w:hAnsi="宋体" w:eastAsia="宋体"/>
          <w:color w:val="auto"/>
          <w:sz w:val="24"/>
          <w:szCs w:val="24"/>
          <w:highlight w:val="none"/>
        </w:rPr>
        <w:t>代理机构或采购人</w:t>
      </w:r>
      <w:r>
        <w:rPr>
          <w:rFonts w:hint="eastAsia" w:ascii="宋体" w:hAnsi="宋体"/>
          <w:color w:val="auto"/>
          <w:sz w:val="24"/>
          <w:szCs w:val="24"/>
          <w:highlight w:val="none"/>
        </w:rPr>
        <w:t>提出，由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负责答复。</w:t>
      </w:r>
    </w:p>
    <w:p w14:paraId="44277A3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不接受未填写快递运单的快件）。</w:t>
      </w:r>
    </w:p>
    <w:p w14:paraId="586B2E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联系人、联系方式、通信地址见招标文件第一章。</w:t>
      </w:r>
    </w:p>
    <w:p w14:paraId="5D1EC97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7FF8835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4330741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1D61A1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6FBCF8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57E37F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21D610EC">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11AB2A84">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3EB7D9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rPr>
        <w:t>，</w:t>
      </w:r>
      <w:r>
        <w:rPr>
          <w:rFonts w:hint="eastAsia" w:ascii="宋体" w:hAnsi="宋体"/>
          <w:color w:val="auto"/>
          <w:sz w:val="24"/>
          <w:szCs w:val="24"/>
          <w:highlight w:val="none"/>
        </w:rPr>
        <w:t>因未及时下载而造成的不利后果由中标人自行承担。</w:t>
      </w:r>
    </w:p>
    <w:p w14:paraId="7FA3065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98C73AB">
      <w:pPr>
        <w:pStyle w:val="166"/>
        <w:keepNext w:val="0"/>
        <w:keepLines w:val="0"/>
        <w:spacing w:before="0" w:after="0" w:line="360" w:lineRule="auto"/>
        <w:ind w:firstLine="452"/>
        <w:rPr>
          <w:color w:val="auto"/>
          <w:sz w:val="30"/>
          <w:szCs w:val="30"/>
          <w:highlight w:val="none"/>
          <w:lang w:eastAsia="zh-CN"/>
        </w:rPr>
      </w:pPr>
      <w:bookmarkStart w:id="128" w:name="_Toc513029236"/>
      <w:bookmarkStart w:id="129" w:name="_Toc16938552"/>
      <w:bookmarkStart w:id="130" w:name="_Toc20823308"/>
      <w:bookmarkStart w:id="131" w:name="_Toc120614220"/>
      <w:r>
        <w:rPr>
          <w:rFonts w:hint="eastAsia"/>
          <w:color w:val="auto"/>
          <w:sz w:val="30"/>
          <w:szCs w:val="30"/>
          <w:highlight w:val="none"/>
          <w:lang w:eastAsia="zh-CN"/>
        </w:rPr>
        <w:t>七、授予合同</w:t>
      </w:r>
      <w:bookmarkEnd w:id="128"/>
      <w:bookmarkEnd w:id="129"/>
      <w:bookmarkEnd w:id="130"/>
      <w:bookmarkEnd w:id="131"/>
    </w:p>
    <w:p w14:paraId="459D76C7">
      <w:pPr>
        <w:pStyle w:val="335"/>
        <w:keepNext w:val="0"/>
        <w:keepLines w:val="0"/>
        <w:spacing w:before="0" w:after="0" w:line="360" w:lineRule="auto"/>
        <w:ind w:firstLine="422"/>
        <w:rPr>
          <w:rFonts w:ascii="宋体" w:hAnsi="宋体" w:eastAsia="宋体"/>
          <w:bCs w:val="0"/>
          <w:color w:val="auto"/>
          <w:highlight w:val="none"/>
          <w:lang w:eastAsia="zh-CN"/>
        </w:rPr>
      </w:pPr>
      <w:bookmarkStart w:id="132" w:name="_Toc513029237"/>
      <w:bookmarkStart w:id="133" w:name="_Toc16938553"/>
      <w:bookmarkStart w:id="134" w:name="_Toc20823309"/>
      <w:r>
        <w:rPr>
          <w:rFonts w:hint="eastAsia" w:ascii="宋体" w:hAnsi="宋体" w:eastAsia="宋体"/>
          <w:bCs w:val="0"/>
          <w:color w:val="auto"/>
          <w:highlight w:val="none"/>
          <w:lang w:eastAsia="zh-CN"/>
        </w:rPr>
        <w:t>30.签订合同</w:t>
      </w:r>
    </w:p>
    <w:p w14:paraId="36C0001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7100C6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将根据具体情况提请政府采购管理部门作出相应处理。</w:t>
      </w:r>
    </w:p>
    <w:p w14:paraId="0E982FFA">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213537E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BC9B7C9">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1FDF43B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额的</w:t>
      </w:r>
      <w:r>
        <w:rPr>
          <w:rFonts w:hint="eastAsia" w:ascii="宋体" w:hAnsi="宋体"/>
          <w:color w:val="auto"/>
          <w:sz w:val="24"/>
          <w:szCs w:val="24"/>
          <w:highlight w:val="none"/>
        </w:rPr>
        <w:t>10%。</w:t>
      </w:r>
    </w:p>
    <w:p w14:paraId="41674C10">
      <w:pPr>
        <w:pStyle w:val="332"/>
        <w:spacing w:line="360" w:lineRule="auto"/>
        <w:jc w:val="center"/>
        <w:rPr>
          <w:rFonts w:ascii="黑体" w:eastAsia="黑体"/>
          <w:color w:val="auto"/>
          <w:sz w:val="36"/>
          <w:szCs w:val="36"/>
          <w:highlight w:val="none"/>
          <w:lang w:eastAsia="zh-CN"/>
        </w:rPr>
      </w:pPr>
    </w:p>
    <w:p w14:paraId="01C18E47">
      <w:pPr>
        <w:pStyle w:val="332"/>
        <w:spacing w:line="360" w:lineRule="auto"/>
        <w:jc w:val="center"/>
        <w:rPr>
          <w:rFonts w:ascii="黑体" w:eastAsia="黑体"/>
          <w:color w:val="auto"/>
          <w:sz w:val="36"/>
          <w:szCs w:val="36"/>
          <w:highlight w:val="none"/>
          <w:lang w:eastAsia="zh-CN"/>
        </w:rPr>
      </w:pPr>
    </w:p>
    <w:bookmarkEnd w:id="132"/>
    <w:bookmarkEnd w:id="133"/>
    <w:bookmarkEnd w:id="134"/>
    <w:p w14:paraId="4FD77266">
      <w:pPr>
        <w:pStyle w:val="332"/>
        <w:spacing w:line="360" w:lineRule="auto"/>
        <w:jc w:val="center"/>
        <w:rPr>
          <w:rFonts w:ascii="黑体" w:eastAsia="黑体"/>
          <w:color w:val="auto"/>
          <w:sz w:val="36"/>
          <w:szCs w:val="36"/>
          <w:highlight w:val="none"/>
          <w:lang w:eastAsia="zh-CN"/>
        </w:rPr>
      </w:pPr>
    </w:p>
    <w:p w14:paraId="6E4503A4">
      <w:pPr>
        <w:pStyle w:val="332"/>
        <w:spacing w:line="360" w:lineRule="auto"/>
        <w:ind w:firstLine="0"/>
        <w:rPr>
          <w:rFonts w:ascii="黑体" w:eastAsia="黑体"/>
          <w:bCs/>
          <w:color w:val="auto"/>
          <w:sz w:val="36"/>
          <w:szCs w:val="36"/>
          <w:highlight w:val="none"/>
          <w:lang w:eastAsia="zh-CN"/>
        </w:rPr>
      </w:pPr>
      <w:bookmarkStart w:id="135" w:name="_Toc16938558"/>
      <w:bookmarkStart w:id="136" w:name="_Toc120614221"/>
      <w:bookmarkStart w:id="137" w:name="_Toc513029242"/>
      <w:bookmarkStart w:id="138" w:name="_Toc20823314"/>
      <w:bookmarkStart w:id="139" w:name="_Toc479757207"/>
    </w:p>
    <w:p w14:paraId="6916C767">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bookmarkEnd w:id="136"/>
      <w:bookmarkEnd w:id="137"/>
      <w:bookmarkEnd w:id="138"/>
      <w:bookmarkEnd w:id="139"/>
    </w:p>
    <w:p w14:paraId="34B99DBD">
      <w:pPr>
        <w:pStyle w:val="332"/>
        <w:numPr>
          <w:ilvl w:val="0"/>
          <w:numId w:val="8"/>
        </w:numPr>
        <w:spacing w:line="360" w:lineRule="auto"/>
        <w:ind w:firstLine="0"/>
        <w:jc w:val="center"/>
        <w:rPr>
          <w:rFonts w:ascii="黑体" w:eastAsia="黑体"/>
          <w:bCs/>
          <w:color w:val="auto"/>
          <w:sz w:val="36"/>
          <w:szCs w:val="36"/>
          <w:highlight w:val="none"/>
          <w:lang w:eastAsia="zh-CN"/>
        </w:rPr>
      </w:pPr>
      <w:bookmarkStart w:id="140" w:name="_Toc513029243"/>
      <w:bookmarkStart w:id="141" w:name="_Toc20823315"/>
      <w:bookmarkStart w:id="142" w:name="_Toc16938559"/>
      <w:r>
        <w:rPr>
          <w:rFonts w:hint="eastAsia" w:ascii="黑体" w:eastAsia="黑体"/>
          <w:bCs/>
          <w:color w:val="auto"/>
          <w:sz w:val="36"/>
          <w:szCs w:val="36"/>
          <w:highlight w:val="none"/>
          <w:lang w:eastAsia="zh-CN"/>
        </w:rPr>
        <w:t xml:space="preserve"> 合同文本</w:t>
      </w:r>
      <w:bookmarkEnd w:id="140"/>
      <w:bookmarkEnd w:id="141"/>
      <w:bookmarkEnd w:id="142"/>
    </w:p>
    <w:p w14:paraId="047BDF3F">
      <w:pPr>
        <w:spacing w:line="320" w:lineRule="atLeast"/>
        <w:jc w:val="center"/>
        <w:rPr>
          <w:rFonts w:hint="eastAsia" w:ascii="宋体" w:hAnsi="宋体" w:eastAsia="宋体" w:cs="宋体"/>
          <w:b/>
          <w:bCs/>
          <w:color w:val="auto"/>
          <w:spacing w:val="20"/>
          <w:sz w:val="84"/>
          <w:szCs w:val="84"/>
          <w:highlight w:val="none"/>
        </w:rPr>
      </w:pPr>
      <w:bookmarkStart w:id="143" w:name="_Hlt16619350"/>
      <w:bookmarkStart w:id="144" w:name="_Toc120614244"/>
      <w:bookmarkStart w:id="145" w:name="_Toc16938590"/>
      <w:bookmarkStart w:id="146" w:name="_Toc20823346"/>
      <w:r>
        <w:rPr>
          <w:rFonts w:hint="eastAsia" w:ascii="宋体" w:hAnsi="宋体" w:eastAsia="宋体" w:cs="宋体"/>
          <w:b/>
          <w:color w:val="auto"/>
          <w:kern w:val="44"/>
          <w:sz w:val="36"/>
          <w:szCs w:val="36"/>
          <w:highlight w:val="none"/>
          <w:lang w:val="en-US" w:eastAsia="zh-CN"/>
        </w:rPr>
        <w:t>委托第三方检测协议</w:t>
      </w:r>
    </w:p>
    <w:p w14:paraId="3A5FCEF7">
      <w:pPr>
        <w:spacing w:line="360" w:lineRule="auto"/>
        <w:ind w:left="1060" w:leftChars="1" w:hanging="1058" w:hangingChars="441"/>
        <w:rPr>
          <w:rFonts w:hint="eastAsia" w:ascii="宋体" w:hAnsi="宋体" w:eastAsia="宋体" w:cs="宋体"/>
          <w:color w:val="auto"/>
          <w:sz w:val="24"/>
          <w:highlight w:val="none"/>
        </w:rPr>
      </w:pPr>
    </w:p>
    <w:p w14:paraId="6B03012B">
      <w:pPr>
        <w:spacing w:line="360" w:lineRule="auto"/>
        <w:ind w:left="1060" w:leftChars="1" w:hanging="1058" w:hangingChars="441"/>
        <w:rPr>
          <w:rFonts w:hint="eastAsia" w:ascii="宋体" w:hAnsi="宋体" w:eastAsia="宋体" w:cs="宋体"/>
          <w:color w:val="auto"/>
          <w:sz w:val="24"/>
          <w:highlight w:val="none"/>
        </w:rPr>
      </w:pPr>
    </w:p>
    <w:p w14:paraId="486040AA">
      <w:pPr>
        <w:spacing w:line="360" w:lineRule="auto"/>
        <w:ind w:left="1060" w:leftChars="1" w:hanging="1058" w:hangingChars="441"/>
        <w:rPr>
          <w:rFonts w:hint="eastAsia" w:ascii="宋体" w:hAnsi="宋体" w:eastAsia="宋体" w:cs="宋体"/>
          <w:color w:val="auto"/>
          <w:sz w:val="24"/>
          <w:highlight w:val="none"/>
        </w:rPr>
      </w:pPr>
    </w:p>
    <w:p w14:paraId="75B7FC95">
      <w:pPr>
        <w:spacing w:line="360" w:lineRule="auto"/>
        <w:ind w:left="1060" w:leftChars="1" w:hanging="1058" w:hangingChars="441"/>
        <w:rPr>
          <w:rFonts w:hint="eastAsia" w:ascii="宋体" w:hAnsi="宋体" w:eastAsia="宋体" w:cs="宋体"/>
          <w:color w:val="auto"/>
          <w:sz w:val="24"/>
          <w:highlight w:val="none"/>
        </w:rPr>
      </w:pPr>
    </w:p>
    <w:p w14:paraId="1C26956A">
      <w:pPr>
        <w:spacing w:line="360" w:lineRule="auto"/>
        <w:ind w:left="1060" w:leftChars="1" w:hanging="1058" w:hangingChars="441"/>
        <w:rPr>
          <w:rFonts w:hint="eastAsia" w:ascii="宋体" w:hAnsi="宋体" w:eastAsia="宋体" w:cs="宋体"/>
          <w:color w:val="auto"/>
          <w:sz w:val="24"/>
          <w:highlight w:val="none"/>
        </w:rPr>
      </w:pPr>
    </w:p>
    <w:p w14:paraId="52230025">
      <w:pPr>
        <w:spacing w:line="360" w:lineRule="auto"/>
        <w:ind w:left="1060" w:leftChars="1" w:hanging="1058" w:hangingChars="441"/>
        <w:rPr>
          <w:rFonts w:hint="eastAsia" w:ascii="宋体" w:hAnsi="宋体" w:eastAsia="宋体" w:cs="宋体"/>
          <w:color w:val="auto"/>
          <w:sz w:val="24"/>
          <w:highlight w:val="none"/>
        </w:rPr>
      </w:pPr>
    </w:p>
    <w:p w14:paraId="76589B14">
      <w:pPr>
        <w:spacing w:line="360" w:lineRule="auto"/>
        <w:ind w:left="1060" w:leftChars="1" w:hanging="1058" w:hangingChars="441"/>
        <w:rPr>
          <w:rFonts w:hint="eastAsia" w:ascii="宋体" w:hAnsi="宋体" w:eastAsia="宋体" w:cs="宋体"/>
          <w:color w:val="auto"/>
          <w:sz w:val="24"/>
          <w:highlight w:val="none"/>
        </w:rPr>
      </w:pPr>
    </w:p>
    <w:p w14:paraId="0F9A9AD4">
      <w:pPr>
        <w:spacing w:line="360" w:lineRule="auto"/>
        <w:ind w:left="1060" w:leftChars="1" w:hanging="1058" w:hangingChars="441"/>
        <w:rPr>
          <w:rFonts w:hint="eastAsia" w:ascii="宋体" w:hAnsi="宋体" w:eastAsia="宋体" w:cs="宋体"/>
          <w:color w:val="auto"/>
          <w:sz w:val="24"/>
          <w:highlight w:val="none"/>
        </w:rPr>
      </w:pPr>
    </w:p>
    <w:p w14:paraId="125C5715">
      <w:pPr>
        <w:spacing w:line="360" w:lineRule="auto"/>
        <w:rPr>
          <w:rFonts w:hint="eastAsia" w:ascii="宋体" w:hAnsi="宋体" w:eastAsia="宋体" w:cs="宋体"/>
          <w:color w:val="auto"/>
          <w:sz w:val="24"/>
          <w:highlight w:val="none"/>
        </w:rPr>
      </w:pPr>
    </w:p>
    <w:p w14:paraId="1714BF12">
      <w:pPr>
        <w:spacing w:line="360" w:lineRule="auto"/>
        <w:rPr>
          <w:rFonts w:hint="eastAsia" w:ascii="宋体" w:hAnsi="宋体" w:eastAsia="宋体" w:cs="宋体"/>
          <w:color w:val="auto"/>
          <w:sz w:val="24"/>
          <w:highlight w:val="none"/>
        </w:rPr>
      </w:pPr>
    </w:p>
    <w:p w14:paraId="743559C7">
      <w:pPr>
        <w:spacing w:line="360" w:lineRule="auto"/>
        <w:ind w:firstLine="1620" w:firstLineChars="450"/>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rPr>
        <w:t>甲方：</w:t>
      </w:r>
      <w:r>
        <w:rPr>
          <w:rFonts w:hint="eastAsia" w:ascii="宋体" w:hAnsi="宋体" w:eastAsia="宋体" w:cs="宋体"/>
          <w:color w:val="auto"/>
          <w:sz w:val="36"/>
          <w:szCs w:val="36"/>
          <w:highlight w:val="none"/>
          <w:u w:val="single"/>
        </w:rPr>
        <w:t xml:space="preserve">     无锡市中医医院           </w:t>
      </w:r>
    </w:p>
    <w:p w14:paraId="22B2F792">
      <w:pPr>
        <w:spacing w:line="360" w:lineRule="auto"/>
        <w:jc w:val="center"/>
        <w:rPr>
          <w:rFonts w:hint="eastAsia" w:ascii="宋体" w:hAnsi="宋体" w:eastAsia="宋体" w:cs="宋体"/>
          <w:color w:val="auto"/>
          <w:sz w:val="36"/>
          <w:szCs w:val="36"/>
          <w:highlight w:val="none"/>
        </w:rPr>
      </w:pPr>
    </w:p>
    <w:p w14:paraId="2FE83248">
      <w:pPr>
        <w:spacing w:line="720" w:lineRule="auto"/>
        <w:ind w:firstLine="1620" w:firstLineChars="450"/>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rPr>
        <w:t>乙方：</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1E275F4">
      <w:pPr>
        <w:spacing w:line="320" w:lineRule="atLeast"/>
        <w:jc w:val="center"/>
        <w:rPr>
          <w:rFonts w:ascii="楷体_GB2312" w:eastAsia="楷体_GB2312"/>
          <w:b/>
          <w:bCs/>
          <w:color w:val="auto"/>
          <w:spacing w:val="20"/>
          <w:sz w:val="44"/>
          <w:szCs w:val="44"/>
          <w:highlight w:val="none"/>
        </w:rPr>
      </w:pPr>
    </w:p>
    <w:p w14:paraId="2885E91A">
      <w:pPr>
        <w:spacing w:line="320" w:lineRule="atLeast"/>
        <w:jc w:val="center"/>
        <w:rPr>
          <w:rFonts w:ascii="楷体_GB2312" w:eastAsia="楷体_GB2312"/>
          <w:b/>
          <w:bCs/>
          <w:color w:val="auto"/>
          <w:spacing w:val="20"/>
          <w:sz w:val="44"/>
          <w:szCs w:val="44"/>
          <w:highlight w:val="none"/>
        </w:rPr>
      </w:pPr>
    </w:p>
    <w:p w14:paraId="5CF14BB0">
      <w:pPr>
        <w:spacing w:line="320" w:lineRule="atLeast"/>
        <w:jc w:val="center"/>
        <w:rPr>
          <w:rFonts w:ascii="楷体_GB2312" w:eastAsia="楷体_GB2312"/>
          <w:b/>
          <w:bCs/>
          <w:color w:val="auto"/>
          <w:spacing w:val="20"/>
          <w:sz w:val="44"/>
          <w:szCs w:val="44"/>
          <w:highlight w:val="none"/>
        </w:rPr>
      </w:pPr>
    </w:p>
    <w:p w14:paraId="0EBC9E1C">
      <w:pPr>
        <w:spacing w:before="249" w:beforeLines="80" w:after="156" w:afterLines="50" w:line="360" w:lineRule="exact"/>
        <w:ind w:left="-630" w:leftChars="-300" w:firstLine="883" w:firstLineChars="200"/>
        <w:jc w:val="center"/>
        <w:rPr>
          <w:rFonts w:ascii="黑体" w:eastAsia="黑体"/>
          <w:b/>
          <w:color w:val="auto"/>
          <w:sz w:val="44"/>
          <w:highlight w:val="none"/>
        </w:rPr>
      </w:pPr>
    </w:p>
    <w:p w14:paraId="4A0BB267">
      <w:pPr>
        <w:spacing w:before="249" w:beforeLines="80" w:after="156" w:afterLines="50" w:line="360" w:lineRule="exact"/>
        <w:ind w:left="-630" w:leftChars="-300" w:firstLine="883" w:firstLineChars="200"/>
        <w:jc w:val="center"/>
        <w:rPr>
          <w:rFonts w:ascii="黑体" w:eastAsia="黑体"/>
          <w:b/>
          <w:color w:val="auto"/>
          <w:sz w:val="44"/>
          <w:highlight w:val="none"/>
        </w:rPr>
      </w:pPr>
    </w:p>
    <w:p w14:paraId="6867ACCF">
      <w:pPr>
        <w:spacing w:line="320" w:lineRule="atLeast"/>
        <w:jc w:val="center"/>
        <w:rPr>
          <w:rFonts w:hint="eastAsia" w:ascii="宋体" w:hAnsi="宋体" w:eastAsia="宋体" w:cs="宋体"/>
          <w:b/>
          <w:bCs/>
          <w:color w:val="auto"/>
          <w:spacing w:val="20"/>
          <w:sz w:val="44"/>
          <w:szCs w:val="44"/>
          <w:highlight w:val="none"/>
        </w:rPr>
      </w:pPr>
      <w:r>
        <w:rPr>
          <w:rFonts w:hint="eastAsia" w:ascii="楷体" w:hAnsi="楷体" w:eastAsia="楷体"/>
          <w:b/>
          <w:bCs/>
          <w:color w:val="auto"/>
          <w:spacing w:val="20"/>
          <w:sz w:val="44"/>
          <w:szCs w:val="44"/>
          <w:highlight w:val="none"/>
        </w:rPr>
        <w:br w:type="page"/>
      </w:r>
      <w:r>
        <w:rPr>
          <w:rFonts w:hint="eastAsia" w:ascii="宋体" w:hAnsi="宋体" w:eastAsia="宋体" w:cs="宋体"/>
          <w:b/>
          <w:color w:val="auto"/>
          <w:kern w:val="44"/>
          <w:sz w:val="36"/>
          <w:szCs w:val="36"/>
          <w:highlight w:val="none"/>
          <w:lang w:val="en-US" w:eastAsia="zh-CN"/>
        </w:rPr>
        <w:t>委托第三方检测协议</w:t>
      </w:r>
    </w:p>
    <w:p w14:paraId="546C25C1">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甲方：无锡市中医医院               乙方：</w:t>
      </w:r>
    </w:p>
    <w:p w14:paraId="0FB76B98">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地址：无锡市滨湖区中南西路8号     地址：</w:t>
      </w:r>
    </w:p>
    <w:p w14:paraId="3580EBE1">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14:paraId="11EF0A30">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72330384">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45494091">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共同为全社会提供先进、全面、准确、快捷的高质量临床医疗服务，共享甲乙双方的医疗资源，使甲乙双方共同受益，本着平等互利的原则，经充分洽谈协商，现就乙方向甲方提供医学检验服务的具体事项达成以下协议：</w:t>
      </w:r>
    </w:p>
    <w:p w14:paraId="16AA0784">
      <w:pPr>
        <w:keepNext w:val="0"/>
        <w:keepLines w:val="0"/>
        <w:pageBreakBefore w:val="0"/>
        <w:kinsoku/>
        <w:wordWrap/>
        <w:overflowPunct/>
        <w:topLinePunct w:val="0"/>
        <w:bidi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第一部分：合作内容</w:t>
      </w:r>
    </w:p>
    <w:p w14:paraId="77FB4598">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1、乙方向甲方提供临床检验服务，尽力满足甲方临床医生及技术人员的检验需求，协助甲方不断增强医疗服务水平和能力、扩大医疗服务范围、提高专业水平。</w:t>
      </w:r>
    </w:p>
    <w:p w14:paraId="5F07B8E5">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2、双方可根据需要，不定期地进行专业信息交流。交流的方式可以是：专题学术讲座和研讨会、资料共享等等。</w:t>
      </w:r>
    </w:p>
    <w:p w14:paraId="2414B5A3">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3、如果甲方有科研方面的检验需求，双方可针对具体项目单独洽谈科研合作协议。</w:t>
      </w:r>
    </w:p>
    <w:p w14:paraId="628A1323">
      <w:pPr>
        <w:keepNext w:val="0"/>
        <w:keepLines w:val="0"/>
        <w:pageBreakBefore w:val="0"/>
        <w:kinsoku/>
        <w:wordWrap/>
        <w:overflowPunct/>
        <w:topLinePunct w:val="0"/>
        <w:bidi w:val="0"/>
        <w:spacing w:line="360" w:lineRule="auto"/>
        <w:ind w:left="0" w:leftChars="0" w:right="0" w:rightChars="0"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第二部分：检验项目</w:t>
      </w:r>
    </w:p>
    <w:p w14:paraId="68B1BF1E">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乙方按约定的项目内容（详见附件清单）向甲方提供检测服务。</w:t>
      </w:r>
    </w:p>
    <w:p w14:paraId="07B3E60A">
      <w:pPr>
        <w:keepNext w:val="0"/>
        <w:keepLines w:val="0"/>
        <w:pageBreakBefore w:val="0"/>
        <w:kinsoku/>
        <w:wordWrap/>
        <w:overflowPunct/>
        <w:topLinePunct w:val="0"/>
        <w:bidi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第三部分：服务流程</w:t>
      </w:r>
    </w:p>
    <w:p w14:paraId="2116099F">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乙方向甲方提供服务的流程具体包括：标本收取、</w:t>
      </w:r>
      <w:r>
        <w:rPr>
          <w:rFonts w:hint="eastAsia" w:ascii="宋体" w:hAnsi="宋体" w:eastAsia="宋体" w:cs="宋体"/>
          <w:color w:val="auto"/>
          <w:sz w:val="24"/>
          <w:szCs w:val="24"/>
          <w:highlight w:val="none"/>
          <w:lang w:val="en-US" w:eastAsia="zh-CN"/>
        </w:rPr>
        <w:t>检验</w:t>
      </w:r>
      <w:r>
        <w:rPr>
          <w:rFonts w:hint="eastAsia" w:ascii="宋体" w:hAnsi="宋体" w:eastAsia="宋体" w:cs="宋体"/>
          <w:color w:val="auto"/>
          <w:sz w:val="24"/>
          <w:szCs w:val="24"/>
          <w:highlight w:val="none"/>
        </w:rPr>
        <w:t>报告和</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凭证的交接。</w:t>
      </w:r>
    </w:p>
    <w:p w14:paraId="76566EA5">
      <w:pPr>
        <w:keepNext w:val="0"/>
        <w:keepLines w:val="0"/>
        <w:pageBreakBefore w:val="0"/>
        <w:kinsoku/>
        <w:wordWrap/>
        <w:overflowPunct/>
        <w:topLinePunct w:val="0"/>
        <w:bidi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第四部分：质量控制</w:t>
      </w:r>
    </w:p>
    <w:p w14:paraId="2F16D75E">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1、乙方向甲方提供检测项目的标本采集要求，甲方负责按乙方提出的要求采集检验标本。乙方在上门收取标本及进行检验前应确认</w:t>
      </w:r>
      <w:r>
        <w:rPr>
          <w:rFonts w:hint="eastAsia" w:ascii="宋体" w:hAnsi="宋体" w:eastAsia="宋体" w:cs="宋体"/>
          <w:color w:val="auto"/>
          <w:sz w:val="24"/>
          <w:szCs w:val="24"/>
          <w:highlight w:val="none"/>
          <w:lang w:eastAsia="zh-CN"/>
        </w:rPr>
        <w:t>标本</w:t>
      </w:r>
      <w:r>
        <w:rPr>
          <w:rFonts w:hint="eastAsia" w:ascii="宋体" w:hAnsi="宋体" w:eastAsia="宋体" w:cs="宋体"/>
          <w:color w:val="auto"/>
          <w:sz w:val="24"/>
          <w:szCs w:val="24"/>
          <w:highlight w:val="none"/>
        </w:rPr>
        <w:t>符合采集要求。如乙方发现采样质量问题应及时告知甲方，必要时重新采样。</w:t>
      </w:r>
    </w:p>
    <w:p w14:paraId="6A082267">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2、乙方负责提供标本运送所需的包装材料，并按照标本运输保存要求运输标本。由乙方运送保存不当造成的标本丢失、破损，乙方负全部责任。</w:t>
      </w:r>
    </w:p>
    <w:p w14:paraId="1BD43524">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3、甲方申请检测的医师须在申请单上提供正确详实的患者信息、标本信息，由于提供的信息有误导致报告有误的，由甲方负全部责任。</w:t>
      </w:r>
    </w:p>
    <w:p w14:paraId="459DC7BA">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4、乙方保证检验过程中的质量控制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由于乙方过错导致检验的</w:t>
      </w:r>
      <w:r>
        <w:rPr>
          <w:rFonts w:hint="eastAsia" w:ascii="宋体" w:hAnsi="宋体" w:eastAsia="宋体" w:cs="宋体"/>
          <w:color w:val="auto"/>
          <w:sz w:val="24"/>
          <w:szCs w:val="24"/>
          <w:highlight w:val="none"/>
          <w:lang w:val="en-US" w:eastAsia="zh-CN"/>
        </w:rPr>
        <w:t>失败或者差错</w:t>
      </w:r>
      <w:r>
        <w:rPr>
          <w:rFonts w:hint="eastAsia" w:ascii="宋体" w:hAnsi="宋体" w:eastAsia="宋体" w:cs="宋体"/>
          <w:color w:val="auto"/>
          <w:sz w:val="24"/>
          <w:szCs w:val="24"/>
          <w:highlight w:val="none"/>
        </w:rPr>
        <w:t>由乙方</w:t>
      </w:r>
      <w:r>
        <w:rPr>
          <w:rFonts w:hint="eastAsia" w:ascii="宋体" w:hAnsi="宋体" w:eastAsia="宋体" w:cs="宋体"/>
          <w:color w:val="auto"/>
          <w:sz w:val="24"/>
          <w:szCs w:val="24"/>
          <w:highlight w:val="none"/>
          <w:lang w:val="en-US" w:eastAsia="zh-CN"/>
        </w:rPr>
        <w:t>承担</w:t>
      </w:r>
      <w:r>
        <w:rPr>
          <w:rFonts w:hint="eastAsia" w:ascii="宋体" w:hAnsi="宋体" w:eastAsia="宋体" w:cs="宋体"/>
          <w:color w:val="auto"/>
          <w:sz w:val="24"/>
          <w:szCs w:val="24"/>
          <w:highlight w:val="none"/>
        </w:rPr>
        <w:t>责任</w:t>
      </w:r>
      <w:r>
        <w:rPr>
          <w:rFonts w:hint="eastAsia" w:ascii="宋体" w:hAnsi="宋体" w:eastAsia="宋体" w:cs="宋体"/>
          <w:color w:val="auto"/>
          <w:sz w:val="24"/>
          <w:szCs w:val="24"/>
          <w:highlight w:val="none"/>
          <w:lang w:eastAsia="zh-CN"/>
        </w:rPr>
        <w:t>。</w:t>
      </w:r>
    </w:p>
    <w:p w14:paraId="6FD6EB3B">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5、乙方签发的检验报告只对被检测的标本负责，乙方保证检验报告的及时性准确性和私密性。</w:t>
      </w:r>
    </w:p>
    <w:p w14:paraId="74641B30">
      <w:pPr>
        <w:keepNext w:val="0"/>
        <w:keepLines w:val="0"/>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6、如果由甲方向被检测者出具最终报告，则报告中应包括乙方所报告结果的所有必需要素，不应做任何可能影响临床解释的改动。由于甲方改动检测结果所导致的问题，由甲方负全部责任。</w:t>
      </w:r>
    </w:p>
    <w:p w14:paraId="19C403B6">
      <w:pPr>
        <w:keepNext w:val="0"/>
        <w:keepLines w:val="0"/>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7、甲方对乙方提交的检测结果如有异议，应当在</w:t>
      </w:r>
      <w:r>
        <w:rPr>
          <w:rFonts w:hint="eastAsia" w:ascii="宋体" w:hAnsi="宋体" w:eastAsia="宋体" w:cs="宋体"/>
          <w:color w:val="auto"/>
          <w:sz w:val="24"/>
          <w:szCs w:val="24"/>
          <w:highlight w:val="none"/>
          <w:lang w:val="en-US" w:eastAsia="zh-CN"/>
        </w:rPr>
        <w:t>发现问题</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个工作日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标本保持少于前述时间的则以标本保存期为准）</w:t>
      </w:r>
      <w:r>
        <w:rPr>
          <w:rFonts w:hint="eastAsia" w:ascii="宋体" w:hAnsi="宋体" w:eastAsia="宋体" w:cs="宋体"/>
          <w:color w:val="auto"/>
          <w:sz w:val="24"/>
          <w:szCs w:val="24"/>
          <w:highlight w:val="none"/>
        </w:rPr>
        <w:t>内提出。</w:t>
      </w:r>
    </w:p>
    <w:p w14:paraId="6875E5A7">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strike/>
          <w:dstrike w:val="0"/>
          <w:color w:val="auto"/>
          <w:sz w:val="24"/>
          <w:szCs w:val="24"/>
          <w:highlight w:val="none"/>
        </w:rPr>
      </w:pPr>
      <w:r>
        <w:rPr>
          <w:rFonts w:hint="eastAsia" w:ascii="宋体" w:hAnsi="宋体" w:eastAsia="宋体" w:cs="宋体"/>
          <w:color w:val="auto"/>
          <w:sz w:val="24"/>
          <w:szCs w:val="24"/>
          <w:highlight w:val="none"/>
        </w:rPr>
        <w:t>8、甲方如果认为检测结果存在异常情况，可以要求乙方对临床</w:t>
      </w:r>
      <w:r>
        <w:rPr>
          <w:rFonts w:hint="eastAsia" w:ascii="宋体" w:hAnsi="宋体" w:eastAsia="宋体" w:cs="宋体"/>
          <w:color w:val="auto"/>
          <w:sz w:val="24"/>
          <w:szCs w:val="24"/>
          <w:highlight w:val="none"/>
          <w:lang w:eastAsia="zh-CN"/>
        </w:rPr>
        <w:t>标本</w:t>
      </w:r>
      <w:r>
        <w:rPr>
          <w:rFonts w:hint="eastAsia" w:ascii="宋体" w:hAnsi="宋体" w:eastAsia="宋体" w:cs="宋体"/>
          <w:color w:val="auto"/>
          <w:sz w:val="24"/>
          <w:szCs w:val="24"/>
          <w:highlight w:val="none"/>
        </w:rPr>
        <w:t>进行分析，甚至重新采样进行复测，或将保留</w:t>
      </w:r>
      <w:r>
        <w:rPr>
          <w:rFonts w:hint="eastAsia" w:ascii="宋体" w:hAnsi="宋体" w:eastAsia="宋体" w:cs="宋体"/>
          <w:color w:val="auto"/>
          <w:sz w:val="24"/>
          <w:szCs w:val="24"/>
          <w:highlight w:val="none"/>
          <w:lang w:eastAsia="zh-CN"/>
        </w:rPr>
        <w:t>标本</w:t>
      </w:r>
      <w:r>
        <w:rPr>
          <w:rFonts w:hint="eastAsia" w:ascii="宋体" w:hAnsi="宋体" w:eastAsia="宋体" w:cs="宋体"/>
          <w:color w:val="auto"/>
          <w:sz w:val="24"/>
          <w:szCs w:val="24"/>
          <w:highlight w:val="none"/>
        </w:rPr>
        <w:t>送双方都认可的第三方检测机构检测</w:t>
      </w:r>
      <w:r>
        <w:rPr>
          <w:rFonts w:hint="eastAsia" w:ascii="宋体" w:hAnsi="宋体" w:eastAsia="宋体" w:cs="宋体"/>
          <w:color w:val="auto"/>
          <w:sz w:val="24"/>
          <w:szCs w:val="24"/>
          <w:highlight w:val="none"/>
          <w:lang w:eastAsia="zh-CN"/>
        </w:rPr>
        <w:t>。</w:t>
      </w:r>
    </w:p>
    <w:p w14:paraId="641DFD91">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highlight w:val="none"/>
        </w:rPr>
        <w:t>每个季度由</w:t>
      </w:r>
      <w:r>
        <w:rPr>
          <w:rFonts w:hint="eastAsia" w:ascii="宋体" w:hAnsi="宋体" w:cs="宋体"/>
          <w:color w:val="auto"/>
          <w:sz w:val="24"/>
          <w:highlight w:val="none"/>
          <w:lang w:val="en-US" w:eastAsia="zh-CN"/>
        </w:rPr>
        <w:t>甲方对乙</w:t>
      </w:r>
      <w:r>
        <w:rPr>
          <w:rFonts w:hint="eastAsia" w:ascii="宋体" w:hAnsi="宋体" w:cs="宋体"/>
          <w:color w:val="auto"/>
          <w:sz w:val="24"/>
          <w:highlight w:val="none"/>
        </w:rPr>
        <w:t>方</w:t>
      </w:r>
      <w:r>
        <w:rPr>
          <w:rFonts w:hint="eastAsia" w:ascii="宋体" w:hAnsi="宋体" w:cs="宋体"/>
          <w:color w:val="auto"/>
          <w:sz w:val="24"/>
          <w:highlight w:val="none"/>
          <w:lang w:val="en-US" w:eastAsia="zh-CN"/>
        </w:rPr>
        <w:t>进行考核</w:t>
      </w:r>
      <w:r>
        <w:rPr>
          <w:rFonts w:hint="eastAsia" w:ascii="宋体" w:hAnsi="宋体" w:cs="宋体"/>
          <w:color w:val="auto"/>
          <w:sz w:val="24"/>
          <w:highlight w:val="none"/>
        </w:rPr>
        <w:t>，以督促</w:t>
      </w:r>
      <w:r>
        <w:rPr>
          <w:rFonts w:hint="eastAsia" w:ascii="宋体" w:hAnsi="宋体" w:cs="宋体"/>
          <w:color w:val="auto"/>
          <w:sz w:val="24"/>
          <w:highlight w:val="none"/>
          <w:lang w:val="en-US" w:eastAsia="zh-CN"/>
        </w:rPr>
        <w:t>乙</w:t>
      </w:r>
      <w:r>
        <w:rPr>
          <w:rFonts w:hint="eastAsia" w:ascii="宋体" w:hAnsi="宋体" w:cs="宋体"/>
          <w:color w:val="auto"/>
          <w:sz w:val="24"/>
          <w:highlight w:val="none"/>
        </w:rPr>
        <w:t>方质量和服务做出提升，如若有重大事件</w:t>
      </w:r>
      <w:r>
        <w:rPr>
          <w:rFonts w:hint="eastAsia" w:ascii="宋体" w:hAnsi="宋体" w:cs="宋体"/>
          <w:color w:val="auto"/>
          <w:sz w:val="24"/>
          <w:highlight w:val="none"/>
          <w:lang w:val="en-US" w:eastAsia="zh-CN"/>
        </w:rPr>
        <w:t>发生</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有权不支付该部分服务费，待事件处理完毕再行支付。</w:t>
      </w:r>
    </w:p>
    <w:p w14:paraId="6E8AE311">
      <w:pPr>
        <w:keepNext w:val="0"/>
        <w:keepLines w:val="0"/>
        <w:pageBreakBefore w:val="0"/>
        <w:kinsoku/>
        <w:wordWrap/>
        <w:overflowPunct/>
        <w:topLinePunct w:val="0"/>
        <w:bidi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第五部分：服务收费</w:t>
      </w:r>
    </w:p>
    <w:p w14:paraId="022C1F7F">
      <w:pPr>
        <w:pageBreakBefore w:val="0"/>
        <w:widowControl w:val="0"/>
        <w:numPr>
          <w:ilvl w:val="0"/>
          <w:numId w:val="9"/>
        </w:numPr>
        <w:kinsoku/>
        <w:wordWrap/>
        <w:overflowPunct/>
        <w:topLinePunct w:val="0"/>
        <w:autoSpaceDN/>
        <w:bidi w:val="0"/>
        <w:spacing w:line="360" w:lineRule="auto"/>
        <w:ind w:firstLine="484" w:firstLineChars="20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以</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对应检验项目单价*（1-中标优惠率）*实际产生的检测项目数量</w:t>
      </w:r>
      <w:r>
        <w:rPr>
          <w:rFonts w:hint="default"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进行结算（检测项目数量以采购人检验科出具的报告数量为准），按季度结算。供应商每季度向采购人提供上个季度的检测项目数量，经采购人审核确认后，供应商出具正规发票，采购人收到发票无异议后按付款周期及时付款。注：服务期2年期满或累计服务费达到220万元，其中任意一项最先达到即为本项目完成。</w:t>
      </w:r>
    </w:p>
    <w:p w14:paraId="74698B05">
      <w:pPr>
        <w:pageBreakBefore w:val="0"/>
        <w:widowControl w:val="0"/>
        <w:numPr>
          <w:ilvl w:val="0"/>
          <w:numId w:val="9"/>
        </w:numPr>
        <w:kinsoku/>
        <w:wordWrap/>
        <w:overflowPunct/>
        <w:topLinePunct w:val="0"/>
        <w:autoSpaceDN/>
        <w:bidi w:val="0"/>
        <w:spacing w:line="360" w:lineRule="auto"/>
        <w:ind w:firstLine="484" w:firstLineChars="202"/>
        <w:textAlignment w:val="auto"/>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US" w:eastAsia="zh-CN"/>
        </w:rPr>
        <w:t>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highlight w:val="none"/>
          <w:lang w:val="en-GB"/>
        </w:rPr>
        <w:t>费用按照</w:t>
      </w:r>
      <w:r>
        <w:rPr>
          <w:rFonts w:hint="eastAsia" w:ascii="宋体" w:hAnsi="宋体" w:eastAsia="宋体" w:cs="宋体"/>
          <w:color w:val="auto"/>
          <w:sz w:val="24"/>
          <w:highlight w:val="none"/>
          <w:lang w:val="en-GB" w:eastAsia="zh-CN"/>
        </w:rPr>
        <w:t>“</w:t>
      </w:r>
      <w:r>
        <w:rPr>
          <w:rFonts w:hint="eastAsia" w:ascii="宋体" w:hAnsi="宋体" w:eastAsia="宋体" w:cs="宋体"/>
          <w:color w:val="auto"/>
          <w:sz w:val="24"/>
          <w:highlight w:val="none"/>
          <w:lang w:val="en-GB"/>
        </w:rPr>
        <w:t>江苏省医保局制定的医疗服务收费标准或当地物价部门规定的收费标准</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val="en-GB"/>
        </w:rPr>
        <w:t>甲乙双方协商价格</w:t>
      </w:r>
      <w:r>
        <w:rPr>
          <w:rFonts w:hint="eastAsia" w:ascii="宋体" w:hAnsi="宋体" w:eastAsia="宋体" w:cs="宋体"/>
          <w:color w:val="auto"/>
          <w:sz w:val="24"/>
          <w:highlight w:val="none"/>
          <w:lang w:val="en-US" w:eastAsia="zh-CN"/>
        </w:rPr>
        <w:t>*</w:t>
      </w:r>
      <w:r>
        <w:rPr>
          <w:rFonts w:hint="eastAsia" w:ascii="宋体" w:hAnsi="宋体" w:eastAsia="宋体" w:cs="宋体"/>
          <w:bCs/>
          <w:color w:val="auto"/>
          <w:sz w:val="24"/>
          <w:szCs w:val="24"/>
          <w:highlight w:val="none"/>
          <w:lang w:val="en-US" w:eastAsia="zh-CN"/>
        </w:rPr>
        <w:t>（1-中标优惠率）</w:t>
      </w:r>
      <w:r>
        <w:rPr>
          <w:rFonts w:hint="eastAsia" w:ascii="宋体" w:hAnsi="宋体" w:eastAsia="宋体" w:cs="宋体"/>
          <w:color w:val="auto"/>
          <w:sz w:val="24"/>
          <w:highlight w:val="none"/>
          <w:lang w:val="en-US" w:eastAsia="zh-CN"/>
        </w:rPr>
        <w:t>*实际产生的检测项目数量”进行结算。</w:t>
      </w:r>
    </w:p>
    <w:p w14:paraId="3AACBD58">
      <w:pPr>
        <w:pStyle w:val="3"/>
        <w:keepNext w:val="0"/>
        <w:keepLines w:val="0"/>
        <w:pageBreakBefore w:val="0"/>
        <w:kinsoku/>
        <w:wordWrap/>
        <w:overflowPunct/>
        <w:topLinePunct w:val="0"/>
        <w:bidi w:val="0"/>
        <w:spacing w:line="360" w:lineRule="auto"/>
        <w:ind w:left="0" w:leftChars="0" w:right="0" w:righ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乙方的银行账户信息如下：</w:t>
      </w:r>
    </w:p>
    <w:p w14:paraId="6BD0C49F">
      <w:pPr>
        <w:keepNext w:val="0"/>
        <w:keepLines w:val="0"/>
        <w:pageBreakBefore w:val="0"/>
        <w:kinsoku/>
        <w:wordWrap/>
        <w:overflowPunct/>
        <w:topLinePunct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收款信息：</w:t>
      </w:r>
    </w:p>
    <w:p w14:paraId="782FFABB">
      <w:pPr>
        <w:keepNext w:val="0"/>
        <w:keepLines w:val="0"/>
        <w:pageBreakBefore w:val="0"/>
        <w:kinsoku/>
        <w:wordWrap/>
        <w:overflowPunct/>
        <w:topLinePunct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p>
    <w:p w14:paraId="684CDFAC">
      <w:pPr>
        <w:keepNext w:val="0"/>
        <w:keepLines w:val="0"/>
        <w:pageBreakBefore w:val="0"/>
        <w:kinsoku/>
        <w:wordWrap/>
        <w:overflowPunct/>
        <w:topLinePunct w:val="0"/>
        <w:bidi w:val="0"/>
        <w:adjustRightInd w:val="0"/>
        <w:snapToGrid w:val="0"/>
        <w:spacing w:line="360" w:lineRule="auto"/>
        <w:ind w:left="479" w:leftChars="228" w:right="0" w:rightChars="0" w:firstLine="0" w:firstLineChars="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税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cr/>
      </w:r>
      <w:r>
        <w:rPr>
          <w:rFonts w:hint="eastAsia" w:ascii="宋体" w:hAnsi="宋体" w:eastAsia="宋体" w:cs="宋体"/>
          <w:color w:val="auto"/>
          <w:sz w:val="24"/>
          <w:szCs w:val="24"/>
          <w:highlight w:val="none"/>
        </w:rPr>
        <w:t>开 户 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cr/>
      </w:r>
      <w:r>
        <w:rPr>
          <w:rFonts w:hint="eastAsia" w:ascii="宋体" w:hAnsi="宋体" w:eastAsia="宋体" w:cs="宋体"/>
          <w:color w:val="auto"/>
          <w:sz w:val="24"/>
          <w:szCs w:val="24"/>
          <w:highlight w:val="none"/>
          <w:u w:val="single"/>
          <w:lang w:eastAsia="zh-CN"/>
        </w:rPr>
        <w:t>账</w:t>
      </w:r>
      <w:r>
        <w:rPr>
          <w:rFonts w:hint="eastAsia"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cr/>
      </w: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u w:val="single"/>
        </w:rPr>
        <w:t xml:space="preserve">                   </w:t>
      </w:r>
    </w:p>
    <w:p w14:paraId="1D629EAA">
      <w:pPr>
        <w:keepNext w:val="0"/>
        <w:keepLines w:val="0"/>
        <w:pageBreakBefore w:val="0"/>
        <w:kinsoku/>
        <w:wordWrap/>
        <w:overflowPunct/>
        <w:topLinePunct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5997502D">
      <w:pPr>
        <w:pStyle w:val="3"/>
        <w:keepNext w:val="0"/>
        <w:keepLines w:val="0"/>
        <w:pageBreakBefore w:val="0"/>
        <w:kinsoku/>
        <w:wordWrap/>
        <w:overflowPunct/>
        <w:topLinePunct w:val="0"/>
        <w:bidi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、其他服务费用（如果有）在补充协议中规定。</w:t>
      </w:r>
    </w:p>
    <w:p w14:paraId="5D2473E4">
      <w:pPr>
        <w:pStyle w:val="3"/>
        <w:keepNext w:val="0"/>
        <w:keepLines w:val="0"/>
        <w:pageBreakBefore w:val="0"/>
        <w:kinsoku/>
        <w:wordWrap/>
        <w:overflowPunct/>
        <w:topLinePunct w:val="0"/>
        <w:bidi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部分：违约责任</w:t>
      </w:r>
    </w:p>
    <w:p w14:paraId="6BA5640F">
      <w:pPr>
        <w:keepNext w:val="0"/>
        <w:keepLines w:val="0"/>
        <w:pageBreakBefore w:val="0"/>
        <w:numPr>
          <w:ilvl w:val="0"/>
          <w:numId w:val="10"/>
        </w:numPr>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如因乙方提供的项目服务收费标准违反江苏省医保管理部门制定的服务收费标准造成甲方经济损失的，全部损失由乙方承担。</w:t>
      </w:r>
    </w:p>
    <w:p w14:paraId="34661A1B">
      <w:pPr>
        <w:keepNext w:val="0"/>
        <w:keepLines w:val="0"/>
        <w:pageBreakBefore w:val="0"/>
        <w:numPr>
          <w:ilvl w:val="0"/>
          <w:numId w:val="10"/>
        </w:numPr>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color w:val="auto"/>
          <w:spacing w:val="4"/>
          <w:kern w:val="0"/>
          <w:sz w:val="24"/>
          <w:szCs w:val="24"/>
          <w:highlight w:val="none"/>
          <w:lang w:val="en-US" w:eastAsia="zh-CN"/>
        </w:rPr>
      </w:pPr>
      <w:r>
        <w:rPr>
          <w:rFonts w:hint="eastAsia" w:ascii="宋体" w:hAnsi="宋体" w:eastAsia="宋体" w:cs="宋体"/>
          <w:color w:val="auto"/>
          <w:kern w:val="2"/>
          <w:sz w:val="24"/>
          <w:szCs w:val="24"/>
          <w:highlight w:val="none"/>
        </w:rPr>
        <w:t>乙方保证检验过程中的质量控制。因检测质量有误导致</w:t>
      </w:r>
      <w:r>
        <w:rPr>
          <w:rFonts w:hint="eastAsia" w:ascii="宋体" w:hAnsi="宋体" w:eastAsia="宋体" w:cs="宋体"/>
          <w:color w:val="auto"/>
          <w:kern w:val="2"/>
          <w:sz w:val="24"/>
          <w:szCs w:val="24"/>
          <w:highlight w:val="none"/>
          <w:lang w:val="en-US" w:eastAsia="zh-CN"/>
        </w:rPr>
        <w:t>患者与甲方产生</w:t>
      </w:r>
      <w:r>
        <w:rPr>
          <w:rFonts w:hint="eastAsia" w:ascii="宋体" w:hAnsi="宋体" w:eastAsia="宋体" w:cs="宋体"/>
          <w:color w:val="auto"/>
          <w:kern w:val="2"/>
          <w:sz w:val="24"/>
          <w:szCs w:val="24"/>
          <w:highlight w:val="none"/>
        </w:rPr>
        <w:t>医疗纠纷、</w:t>
      </w:r>
      <w:r>
        <w:rPr>
          <w:rFonts w:hint="eastAsia" w:ascii="宋体" w:hAnsi="宋体" w:eastAsia="宋体" w:cs="宋体"/>
          <w:color w:val="auto"/>
          <w:kern w:val="2"/>
          <w:sz w:val="24"/>
          <w:szCs w:val="24"/>
          <w:highlight w:val="none"/>
          <w:lang w:val="en-US" w:eastAsia="zh-CN"/>
        </w:rPr>
        <w:t>甲方</w:t>
      </w:r>
      <w:r>
        <w:rPr>
          <w:rFonts w:hint="eastAsia" w:ascii="宋体" w:hAnsi="宋体" w:eastAsia="宋体" w:cs="宋体"/>
          <w:color w:val="auto"/>
          <w:kern w:val="2"/>
          <w:sz w:val="24"/>
          <w:szCs w:val="24"/>
          <w:highlight w:val="none"/>
        </w:rPr>
        <w:t>承担责任的，</w:t>
      </w:r>
      <w:r>
        <w:rPr>
          <w:rFonts w:hint="eastAsia" w:ascii="宋体" w:hAnsi="宋体" w:eastAsia="宋体" w:cs="宋体"/>
          <w:color w:val="auto"/>
          <w:kern w:val="2"/>
          <w:sz w:val="24"/>
          <w:szCs w:val="24"/>
          <w:highlight w:val="none"/>
          <w:lang w:val="en-US" w:eastAsia="zh-CN"/>
        </w:rPr>
        <w:t>甲方有权向乙方追偿</w:t>
      </w:r>
      <w:r>
        <w:rPr>
          <w:rFonts w:hint="eastAsia" w:ascii="宋体" w:hAnsi="宋体" w:eastAsia="宋体" w:cs="宋体"/>
          <w:snapToGrid w:val="0"/>
          <w:color w:val="auto"/>
          <w:spacing w:val="4"/>
          <w:kern w:val="0"/>
          <w:sz w:val="24"/>
          <w:szCs w:val="24"/>
          <w:highlight w:val="none"/>
          <w:lang w:val="en-US" w:eastAsia="zh-CN"/>
        </w:rPr>
        <w:t>。</w:t>
      </w:r>
    </w:p>
    <w:p w14:paraId="55F2E4A3">
      <w:pPr>
        <w:pStyle w:val="1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3、乙方应独立完成本合同</w:t>
      </w:r>
      <w:r>
        <w:rPr>
          <w:rFonts w:hint="eastAsia" w:ascii="宋体" w:hAnsi="宋体" w:cs="宋体"/>
          <w:color w:val="auto"/>
          <w:sz w:val="24"/>
          <w:highlight w:val="none"/>
          <w:lang w:val="en-US" w:eastAsia="zh-CN"/>
        </w:rPr>
        <w:t>项</w:t>
      </w:r>
      <w:r>
        <w:rPr>
          <w:rFonts w:hint="eastAsia" w:ascii="宋体" w:hAnsi="宋体" w:eastAsia="宋体" w:cs="宋体"/>
          <w:color w:val="auto"/>
          <w:sz w:val="24"/>
          <w:highlight w:val="none"/>
          <w:lang w:val="en-US" w:eastAsia="zh-CN"/>
        </w:rPr>
        <w:t>下义务不得以任何形式进行转包分包，否则甲方有权解除合同并要求乙方退回本合同执行期间已经收取的费用。</w:t>
      </w:r>
    </w:p>
    <w:p w14:paraId="61AF1E06">
      <w:pPr>
        <w:pStyle w:val="28"/>
        <w:rPr>
          <w:rFonts w:hint="eastAsia"/>
          <w:color w:val="auto"/>
          <w:highlight w:val="none"/>
          <w:lang w:val="en-US" w:eastAsia="zh-CN"/>
        </w:rPr>
      </w:pPr>
    </w:p>
    <w:p w14:paraId="07FE204B">
      <w:pPr>
        <w:keepNext w:val="0"/>
        <w:keepLines w:val="0"/>
        <w:pageBreakBefore w:val="0"/>
        <w:kinsoku/>
        <w:wordWrap/>
        <w:overflowPunct/>
        <w:topLinePunct w:val="0"/>
        <w:bidi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部分：</w:t>
      </w:r>
      <w:r>
        <w:rPr>
          <w:rFonts w:hint="eastAsia" w:ascii="宋体" w:hAnsi="宋体" w:eastAsia="宋体" w:cs="宋体"/>
          <w:b/>
          <w:color w:val="auto"/>
          <w:sz w:val="24"/>
          <w:szCs w:val="24"/>
          <w:highlight w:val="none"/>
          <w:lang w:eastAsia="zh-CN"/>
        </w:rPr>
        <w:t>其他</w:t>
      </w:r>
    </w:p>
    <w:p w14:paraId="508F0037">
      <w:pPr>
        <w:numPr>
          <w:ilvl w:val="-1"/>
          <w:numId w:val="0"/>
        </w:numPr>
        <w:tabs>
          <w:tab w:val="left" w:pos="0"/>
          <w:tab w:val="left" w:pos="420"/>
        </w:tabs>
        <w:snapToGrid w:val="0"/>
        <w:spacing w:line="360" w:lineRule="auto"/>
        <w:ind w:leftChars="200" w:firstLine="0" w:firstLineChars="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本协议自双方签字盖章之日起生效。</w:t>
      </w:r>
      <w:r>
        <w:rPr>
          <w:rFonts w:hint="eastAsia" w:ascii="宋体" w:hAnsi="宋体" w:eastAsia="宋体" w:cs="宋体"/>
          <w:color w:val="auto"/>
          <w:kern w:val="2"/>
          <w:sz w:val="24"/>
          <w:szCs w:val="24"/>
          <w:highlight w:val="none"/>
          <w:lang w:val="en-US" w:eastAsia="zh-CN"/>
        </w:rPr>
        <w:t>本协议未尽之处以招标文件和投标文件为准，招标文件效力高于投标文件。</w:t>
      </w:r>
    </w:p>
    <w:p w14:paraId="35E5E0D2">
      <w:pPr>
        <w:keepNext w:val="0"/>
        <w:keepLines w:val="0"/>
        <w:pageBreakBefore w:val="0"/>
        <w:numPr>
          <w:ilvl w:val="-1"/>
          <w:numId w:val="0"/>
        </w:numPr>
        <w:kinsoku/>
        <w:wordWrap/>
        <w:overflowPunct/>
        <w:topLinePunct w:val="0"/>
        <w:bidi w:val="0"/>
        <w:spacing w:line="360" w:lineRule="auto"/>
        <w:ind w:left="420" w:leftChars="20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本协议自双方盖章后生效，未经对方同意，不得单方擅自修改。</w:t>
      </w:r>
    </w:p>
    <w:p w14:paraId="6889334B">
      <w:pPr>
        <w:keepNext w:val="0"/>
        <w:keepLines w:val="0"/>
        <w:pageBreakBefore w:val="0"/>
        <w:numPr>
          <w:ilvl w:val="-1"/>
          <w:numId w:val="0"/>
        </w:numPr>
        <w:kinsoku/>
        <w:wordWrap/>
        <w:overflowPunct/>
        <w:topLinePunct w:val="0"/>
        <w:bidi w:val="0"/>
        <w:spacing w:line="360" w:lineRule="auto"/>
        <w:ind w:left="420" w:leftChars="200" w:right="0" w:righ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3、双方在合作过程中，应本着诚实信用的原则友好协商。如发生争议，向甲方</w:t>
      </w:r>
      <w:r>
        <w:rPr>
          <w:rFonts w:hint="eastAsia" w:ascii="宋体" w:hAnsi="宋体" w:eastAsia="宋体" w:cs="宋体"/>
          <w:color w:val="auto"/>
          <w:spacing w:val="-2"/>
          <w:sz w:val="24"/>
          <w:szCs w:val="24"/>
          <w:highlight w:val="none"/>
          <w:lang w:eastAsia="zh-CN"/>
        </w:rPr>
        <w:t>住所</w:t>
      </w:r>
      <w:r>
        <w:rPr>
          <w:rFonts w:hint="eastAsia" w:ascii="宋体" w:hAnsi="宋体" w:eastAsia="宋体" w:cs="宋体"/>
          <w:color w:val="auto"/>
          <w:spacing w:val="-2"/>
          <w:sz w:val="24"/>
          <w:szCs w:val="24"/>
          <w:highlight w:val="none"/>
          <w:lang w:val="en-US" w:eastAsia="zh-CN"/>
        </w:rPr>
        <w:t>地法院提起诉讼。</w:t>
      </w:r>
    </w:p>
    <w:p w14:paraId="051BBA9A">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4、本协议一式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份，双方各执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代理机构执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壹</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具有同等法律效力。有关未尽事宜，另行签订协议补充，补充协议与本协议</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同等法律效力。</w:t>
      </w:r>
    </w:p>
    <w:p w14:paraId="5A93ADD5">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3C687D55">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61C0FF0E">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w:t>
      </w:r>
      <w:r>
        <w:rPr>
          <w:rFonts w:hint="eastAsia" w:ascii="宋体" w:hAnsi="宋体" w:eastAsia="宋体" w:cs="宋体"/>
          <w:color w:val="auto"/>
          <w:sz w:val="24"/>
          <w:szCs w:val="24"/>
          <w:highlight w:val="none"/>
          <w:lang w:val="en-US" w:eastAsia="zh-CN"/>
        </w:rPr>
        <w:t>无锡市中医医院</w:t>
      </w:r>
      <w:r>
        <w:rPr>
          <w:rFonts w:hint="eastAsia" w:ascii="宋体" w:hAnsi="宋体" w:eastAsia="宋体" w:cs="宋体"/>
          <w:color w:val="auto"/>
          <w:sz w:val="24"/>
          <w:szCs w:val="24"/>
          <w:highlight w:val="none"/>
        </w:rPr>
        <w:t xml:space="preserve">        乙方（盖章）：</w:t>
      </w:r>
    </w:p>
    <w:p w14:paraId="18ADC795">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563A0DF6">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甲方代表人签字：　　　　　　　　　 乙方代表人签字：</w:t>
      </w:r>
    </w:p>
    <w:p w14:paraId="78E6AA17">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05E4022A">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签字日期：</w:t>
      </w:r>
    </w:p>
    <w:p w14:paraId="116495B3">
      <w:pPr>
        <w:rPr>
          <w:color w:val="auto"/>
          <w:highlight w:val="none"/>
        </w:rPr>
      </w:pPr>
    </w:p>
    <w:p w14:paraId="0FCD1566">
      <w:pPr>
        <w:spacing w:line="360" w:lineRule="auto"/>
        <w:jc w:val="center"/>
        <w:outlineLvl w:val="0"/>
        <w:rPr>
          <w:rFonts w:hint="eastAsia" w:ascii="黑体" w:hAnsi="黑体" w:eastAsia="黑体" w:cs="黑体"/>
          <w:b/>
          <w:color w:val="auto"/>
          <w:sz w:val="32"/>
          <w:szCs w:val="32"/>
          <w:highlight w:val="none"/>
        </w:rPr>
      </w:pPr>
    </w:p>
    <w:p w14:paraId="6A315C32">
      <w:pPr>
        <w:pStyle w:val="56"/>
        <w:numPr>
          <w:ilvl w:val="0"/>
          <w:numId w:val="0"/>
        </w:numPr>
        <w:ind w:leftChars="0"/>
        <w:jc w:val="left"/>
        <w:rPr>
          <w:rFonts w:hint="eastAsia" w:ascii="宋体" w:hAnsi="宋体" w:eastAsia="宋体" w:cs="宋体"/>
          <w:b/>
          <w:color w:val="auto"/>
          <w:sz w:val="24"/>
          <w:szCs w:val="24"/>
          <w:highlight w:val="none"/>
        </w:rPr>
      </w:pPr>
      <w:r>
        <w:rPr>
          <w:rFonts w:hint="eastAsia"/>
          <w:color w:val="auto"/>
          <w:sz w:val="28"/>
          <w:szCs w:val="32"/>
          <w:highlight w:val="none"/>
          <w:lang w:val="en-US" w:eastAsia="zh-CN"/>
        </w:rPr>
        <w:br w:type="page"/>
      </w:r>
      <w:r>
        <w:rPr>
          <w:rFonts w:hint="eastAsia" w:ascii="宋体" w:hAnsi="宋体" w:eastAsia="宋体" w:cs="宋体"/>
          <w:color w:val="auto"/>
          <w:sz w:val="24"/>
          <w:szCs w:val="24"/>
          <w:highlight w:val="none"/>
          <w:lang w:val="en-US" w:eastAsia="zh-CN"/>
        </w:rPr>
        <w:t>附件1：无锡市中医医院服务考核表</w:t>
      </w:r>
    </w:p>
    <w:p w14:paraId="161718CF">
      <w:pPr>
        <w:pStyle w:val="56"/>
        <w:numPr>
          <w:ilvl w:val="0"/>
          <w:numId w:val="0"/>
        </w:numPr>
        <w:ind w:leftChars="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无锡市中医医院服务考核表</w:t>
      </w:r>
    </w:p>
    <w:p w14:paraId="579D1E54">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医院有权要求服务公司更换违反医院相关管理制度的人员，并按照医院制定的考核标准对服务公司进行</w:t>
      </w:r>
      <w:r>
        <w:rPr>
          <w:rFonts w:hint="eastAsia" w:ascii="宋体" w:hAnsi="宋体" w:eastAsia="宋体" w:cs="宋体"/>
          <w:bCs/>
          <w:color w:val="auto"/>
          <w:sz w:val="24"/>
          <w:szCs w:val="24"/>
          <w:highlight w:val="none"/>
          <w:lang w:val="en-US" w:eastAsia="zh-CN"/>
        </w:rPr>
        <w:t>扣款</w:t>
      </w:r>
      <w:r>
        <w:rPr>
          <w:rFonts w:hint="eastAsia" w:ascii="宋体" w:hAnsi="宋体" w:eastAsia="宋体" w:cs="宋体"/>
          <w:bCs/>
          <w:color w:val="auto"/>
          <w:sz w:val="24"/>
          <w:szCs w:val="24"/>
          <w:highlight w:val="none"/>
        </w:rPr>
        <w:t>，单项考核标准参照下表执行。每月对服务工作进行考核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必要时医院有权随时进行抽检。</w:t>
      </w:r>
    </w:p>
    <w:tbl>
      <w:tblPr>
        <w:tblStyle w:val="46"/>
        <w:tblW w:w="9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421"/>
        <w:gridCol w:w="2410"/>
        <w:gridCol w:w="5270"/>
      </w:tblGrid>
      <w:tr w14:paraId="36502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564" w:type="dxa"/>
            <w:noWrap w:val="0"/>
            <w:vAlign w:val="center"/>
          </w:tcPr>
          <w:p w14:paraId="08645C4C">
            <w:pPr>
              <w:spacing w:line="360" w:lineRule="exact"/>
              <w:ind w:left="160" w:right="151"/>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10"/>
                <w:sz w:val="24"/>
                <w:szCs w:val="24"/>
                <w:highlight w:val="none"/>
                <w:lang w:eastAsia="en-US"/>
              </w:rPr>
              <w:t>序号</w:t>
            </w:r>
          </w:p>
        </w:tc>
        <w:tc>
          <w:tcPr>
            <w:tcW w:w="1421" w:type="dxa"/>
            <w:noWrap w:val="0"/>
            <w:vAlign w:val="center"/>
          </w:tcPr>
          <w:p w14:paraId="6664F45F">
            <w:pPr>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项</w:t>
            </w:r>
            <w:r>
              <w:rPr>
                <w:rFonts w:hint="eastAsia" w:ascii="宋体" w:hAnsi="宋体" w:eastAsia="宋体" w:cs="宋体"/>
                <w:b/>
                <w:color w:val="auto"/>
                <w:spacing w:val="-10"/>
                <w:sz w:val="24"/>
                <w:szCs w:val="24"/>
                <w:highlight w:val="none"/>
                <w:lang w:eastAsia="en-US"/>
              </w:rPr>
              <w:t>目</w:t>
            </w:r>
          </w:p>
        </w:tc>
        <w:tc>
          <w:tcPr>
            <w:tcW w:w="2410" w:type="dxa"/>
            <w:noWrap w:val="0"/>
            <w:vAlign w:val="center"/>
          </w:tcPr>
          <w:p w14:paraId="2CB8FCB7">
            <w:pPr>
              <w:ind w:left="789"/>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3"/>
                <w:sz w:val="24"/>
                <w:szCs w:val="24"/>
                <w:highlight w:val="none"/>
                <w:lang w:eastAsia="en-US"/>
              </w:rPr>
              <w:t>考核内容</w:t>
            </w:r>
          </w:p>
        </w:tc>
        <w:tc>
          <w:tcPr>
            <w:tcW w:w="5270" w:type="dxa"/>
            <w:noWrap w:val="0"/>
            <w:vAlign w:val="center"/>
          </w:tcPr>
          <w:p w14:paraId="55B37105">
            <w:pPr>
              <w:ind w:right="1790"/>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3"/>
                <w:sz w:val="24"/>
                <w:szCs w:val="24"/>
                <w:highlight w:val="none"/>
                <w:lang w:eastAsia="en-US"/>
              </w:rPr>
              <w:t>考核标准</w:t>
            </w:r>
          </w:p>
        </w:tc>
      </w:tr>
      <w:tr w14:paraId="2EFDC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564" w:type="dxa"/>
            <w:noWrap w:val="0"/>
            <w:vAlign w:val="center"/>
          </w:tcPr>
          <w:p w14:paraId="6C7BF267">
            <w:pPr>
              <w:spacing w:before="6"/>
              <w:jc w:val="center"/>
              <w:rPr>
                <w:rFonts w:hint="eastAsia" w:ascii="宋体" w:hAnsi="宋体" w:eastAsia="宋体" w:cs="宋体"/>
                <w:color w:val="auto"/>
                <w:sz w:val="24"/>
                <w:szCs w:val="24"/>
                <w:highlight w:val="none"/>
                <w:lang w:eastAsia="en-US"/>
              </w:rPr>
            </w:pPr>
          </w:p>
          <w:p w14:paraId="4950E2FC">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w:t>
            </w:r>
          </w:p>
        </w:tc>
        <w:tc>
          <w:tcPr>
            <w:tcW w:w="1421" w:type="dxa"/>
            <w:noWrap w:val="0"/>
            <w:vAlign w:val="center"/>
          </w:tcPr>
          <w:p w14:paraId="4F526425">
            <w:pPr>
              <w:spacing w:line="360" w:lineRule="exact"/>
              <w:ind w:left="184" w:right="175"/>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人员</w:t>
            </w:r>
            <w:r>
              <w:rPr>
                <w:rFonts w:hint="eastAsia" w:ascii="宋体" w:hAnsi="宋体" w:eastAsia="宋体" w:cs="宋体"/>
                <w:color w:val="auto"/>
                <w:spacing w:val="-5"/>
                <w:sz w:val="24"/>
                <w:szCs w:val="24"/>
                <w:highlight w:val="none"/>
                <w:lang w:eastAsia="en-US"/>
              </w:rPr>
              <w:t>管理</w:t>
            </w:r>
          </w:p>
        </w:tc>
        <w:tc>
          <w:tcPr>
            <w:tcW w:w="2410" w:type="dxa"/>
            <w:noWrap w:val="0"/>
            <w:vAlign w:val="center"/>
          </w:tcPr>
          <w:p w14:paraId="5659C2B7">
            <w:pPr>
              <w:spacing w:before="1"/>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人员考勤</w:t>
            </w:r>
          </w:p>
        </w:tc>
        <w:tc>
          <w:tcPr>
            <w:tcW w:w="5270" w:type="dxa"/>
            <w:noWrap w:val="0"/>
            <w:vAlign w:val="center"/>
          </w:tcPr>
          <w:p w14:paraId="3E5F72A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物流人员迟到、无故缺勤，每发现一次扣100元；</w:t>
            </w:r>
          </w:p>
        </w:tc>
      </w:tr>
      <w:tr w14:paraId="2578E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564" w:type="dxa"/>
            <w:noWrap w:val="0"/>
            <w:vAlign w:val="center"/>
          </w:tcPr>
          <w:p w14:paraId="305CD39A">
            <w:pPr>
              <w:spacing w:before="8"/>
              <w:jc w:val="center"/>
              <w:rPr>
                <w:rFonts w:hint="eastAsia" w:ascii="宋体" w:hAnsi="宋体" w:eastAsia="宋体" w:cs="宋体"/>
                <w:color w:val="auto"/>
                <w:sz w:val="24"/>
                <w:szCs w:val="24"/>
                <w:highlight w:val="none"/>
              </w:rPr>
            </w:pPr>
          </w:p>
          <w:p w14:paraId="6EA5EEA7">
            <w:pPr>
              <w:spacing w:before="1"/>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w:t>
            </w:r>
          </w:p>
        </w:tc>
        <w:tc>
          <w:tcPr>
            <w:tcW w:w="1421" w:type="dxa"/>
            <w:noWrap w:val="0"/>
            <w:vAlign w:val="center"/>
          </w:tcPr>
          <w:p w14:paraId="1A92D3FE">
            <w:pPr>
              <w:spacing w:line="360" w:lineRule="atLeast"/>
              <w:ind w:left="184" w:right="175"/>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人员</w:t>
            </w:r>
            <w:r>
              <w:rPr>
                <w:rFonts w:hint="eastAsia" w:ascii="宋体" w:hAnsi="宋体" w:eastAsia="宋体" w:cs="宋体"/>
                <w:color w:val="auto"/>
                <w:spacing w:val="-5"/>
                <w:sz w:val="24"/>
                <w:szCs w:val="24"/>
                <w:highlight w:val="none"/>
                <w:lang w:eastAsia="en-US"/>
              </w:rPr>
              <w:t>管理</w:t>
            </w:r>
          </w:p>
        </w:tc>
        <w:tc>
          <w:tcPr>
            <w:tcW w:w="2410" w:type="dxa"/>
            <w:noWrap w:val="0"/>
            <w:vAlign w:val="center"/>
          </w:tcPr>
          <w:p w14:paraId="47867833">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人员调整</w:t>
            </w:r>
          </w:p>
        </w:tc>
        <w:tc>
          <w:tcPr>
            <w:tcW w:w="5270" w:type="dxa"/>
            <w:noWrap w:val="0"/>
            <w:vAlign w:val="center"/>
          </w:tcPr>
          <w:p w14:paraId="1C7F69A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未按要求私自更换物流人员的，每发生一次扣1000 元；</w:t>
            </w:r>
          </w:p>
        </w:tc>
      </w:tr>
      <w:tr w14:paraId="47D1E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564" w:type="dxa"/>
            <w:noWrap w:val="0"/>
            <w:vAlign w:val="center"/>
          </w:tcPr>
          <w:p w14:paraId="03CD5C45">
            <w:pPr>
              <w:spacing w:before="6"/>
              <w:jc w:val="center"/>
              <w:rPr>
                <w:rFonts w:hint="eastAsia" w:ascii="宋体" w:hAnsi="宋体" w:eastAsia="宋体" w:cs="宋体"/>
                <w:color w:val="auto"/>
                <w:sz w:val="24"/>
                <w:szCs w:val="24"/>
                <w:highlight w:val="none"/>
              </w:rPr>
            </w:pPr>
          </w:p>
          <w:p w14:paraId="315E2BD4">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w:t>
            </w:r>
          </w:p>
        </w:tc>
        <w:tc>
          <w:tcPr>
            <w:tcW w:w="1421" w:type="dxa"/>
            <w:noWrap w:val="0"/>
            <w:vAlign w:val="center"/>
          </w:tcPr>
          <w:p w14:paraId="77CC65CB">
            <w:pPr>
              <w:spacing w:line="360" w:lineRule="exact"/>
              <w:ind w:left="184" w:right="175"/>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rPr>
              <w:t>耗材</w:t>
            </w:r>
            <w:r>
              <w:rPr>
                <w:rFonts w:hint="eastAsia" w:ascii="宋体" w:hAnsi="宋体" w:eastAsia="宋体" w:cs="宋体"/>
                <w:color w:val="auto"/>
                <w:spacing w:val="-5"/>
                <w:sz w:val="24"/>
                <w:szCs w:val="24"/>
                <w:highlight w:val="none"/>
                <w:lang w:eastAsia="en-US"/>
              </w:rPr>
              <w:t>管理</w:t>
            </w:r>
          </w:p>
        </w:tc>
        <w:tc>
          <w:tcPr>
            <w:tcW w:w="2410" w:type="dxa"/>
            <w:noWrap w:val="0"/>
            <w:vAlign w:val="center"/>
          </w:tcPr>
          <w:p w14:paraId="39AACF6B">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耗材供应</w:t>
            </w:r>
          </w:p>
        </w:tc>
        <w:tc>
          <w:tcPr>
            <w:tcW w:w="5270" w:type="dxa"/>
            <w:noWrap w:val="0"/>
            <w:vAlign w:val="center"/>
          </w:tcPr>
          <w:p w14:paraId="12A0325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耗材提供不及时，每发现一次扣100元；</w:t>
            </w:r>
          </w:p>
        </w:tc>
      </w:tr>
      <w:tr w14:paraId="0422C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564" w:type="dxa"/>
            <w:noWrap w:val="0"/>
            <w:vAlign w:val="center"/>
          </w:tcPr>
          <w:p w14:paraId="4B8D71FB">
            <w:pPr>
              <w:ind w:left="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21" w:type="dxa"/>
            <w:noWrap w:val="0"/>
            <w:vAlign w:val="center"/>
          </w:tcPr>
          <w:p w14:paraId="5B07B760">
            <w:pPr>
              <w:spacing w:line="360" w:lineRule="exact"/>
              <w:ind w:left="184" w:right="175"/>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eastAsia="en-US"/>
              </w:rPr>
              <w:t>耗材</w:t>
            </w:r>
            <w:r>
              <w:rPr>
                <w:rFonts w:hint="eastAsia" w:ascii="宋体" w:hAnsi="宋体" w:eastAsia="宋体" w:cs="宋体"/>
                <w:color w:val="auto"/>
                <w:spacing w:val="-6"/>
                <w:sz w:val="24"/>
                <w:szCs w:val="24"/>
                <w:highlight w:val="none"/>
              </w:rPr>
              <w:t>管理</w:t>
            </w:r>
          </w:p>
        </w:tc>
        <w:tc>
          <w:tcPr>
            <w:tcW w:w="2410" w:type="dxa"/>
            <w:noWrap w:val="0"/>
            <w:vAlign w:val="center"/>
          </w:tcPr>
          <w:p w14:paraId="745841F2">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耗材质量</w:t>
            </w:r>
          </w:p>
        </w:tc>
        <w:tc>
          <w:tcPr>
            <w:tcW w:w="5270" w:type="dxa"/>
            <w:noWrap w:val="0"/>
            <w:vAlign w:val="center"/>
          </w:tcPr>
          <w:p w14:paraId="3D1D5FE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每发现一次耗材质量未达到要求的，扣500元</w:t>
            </w:r>
          </w:p>
        </w:tc>
      </w:tr>
      <w:tr w14:paraId="1E649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564" w:type="dxa"/>
            <w:noWrap w:val="0"/>
            <w:vAlign w:val="center"/>
          </w:tcPr>
          <w:p w14:paraId="3F7E40EB">
            <w:pPr>
              <w:spacing w:before="6"/>
              <w:jc w:val="center"/>
              <w:rPr>
                <w:rFonts w:hint="eastAsia" w:ascii="宋体" w:hAnsi="宋体" w:eastAsia="宋体" w:cs="宋体"/>
                <w:color w:val="auto"/>
                <w:sz w:val="24"/>
                <w:szCs w:val="24"/>
                <w:highlight w:val="none"/>
              </w:rPr>
            </w:pPr>
          </w:p>
          <w:p w14:paraId="7C13C2EF">
            <w:pPr>
              <w:ind w:left="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421" w:type="dxa"/>
            <w:noWrap w:val="0"/>
            <w:vAlign w:val="center"/>
          </w:tcPr>
          <w:p w14:paraId="17C49281">
            <w:pPr>
              <w:spacing w:line="360" w:lineRule="exact"/>
              <w:ind w:left="184" w:right="175"/>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工作</w:t>
            </w:r>
            <w:r>
              <w:rPr>
                <w:rFonts w:hint="eastAsia" w:ascii="宋体" w:hAnsi="宋体" w:eastAsia="宋体" w:cs="宋体"/>
                <w:color w:val="auto"/>
                <w:spacing w:val="-5"/>
                <w:sz w:val="24"/>
                <w:szCs w:val="24"/>
                <w:highlight w:val="none"/>
                <w:lang w:eastAsia="en-US"/>
              </w:rPr>
              <w:t>质量</w:t>
            </w:r>
          </w:p>
        </w:tc>
        <w:tc>
          <w:tcPr>
            <w:tcW w:w="2410" w:type="dxa"/>
            <w:noWrap w:val="0"/>
            <w:vAlign w:val="center"/>
          </w:tcPr>
          <w:p w14:paraId="5854B5DF">
            <w:pPr>
              <w:spacing w:before="1"/>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落实各类督办事件</w:t>
            </w:r>
          </w:p>
        </w:tc>
        <w:tc>
          <w:tcPr>
            <w:tcW w:w="5270" w:type="dxa"/>
            <w:noWrap w:val="0"/>
            <w:vAlign w:val="center"/>
          </w:tcPr>
          <w:p w14:paraId="47E3059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未按要求落实，每一次扣200</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w:t>
            </w:r>
          </w:p>
        </w:tc>
      </w:tr>
      <w:tr w14:paraId="5E045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564" w:type="dxa"/>
            <w:noWrap w:val="0"/>
            <w:vAlign w:val="center"/>
          </w:tcPr>
          <w:p w14:paraId="6FB2C0CE">
            <w:pPr>
              <w:spacing w:before="5"/>
              <w:jc w:val="center"/>
              <w:rPr>
                <w:rFonts w:hint="eastAsia" w:ascii="宋体" w:hAnsi="宋体" w:eastAsia="宋体" w:cs="宋体"/>
                <w:color w:val="auto"/>
                <w:sz w:val="24"/>
                <w:szCs w:val="24"/>
                <w:highlight w:val="none"/>
              </w:rPr>
            </w:pPr>
          </w:p>
          <w:p w14:paraId="5A80EB4E">
            <w:pPr>
              <w:spacing w:before="1"/>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6</w:t>
            </w:r>
          </w:p>
        </w:tc>
        <w:tc>
          <w:tcPr>
            <w:tcW w:w="1421" w:type="dxa"/>
            <w:noWrap w:val="0"/>
            <w:vAlign w:val="center"/>
          </w:tcPr>
          <w:p w14:paraId="6B73722F">
            <w:pPr>
              <w:spacing w:line="360" w:lineRule="exact"/>
              <w:ind w:left="184" w:right="175"/>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工作</w:t>
            </w:r>
            <w:r>
              <w:rPr>
                <w:rFonts w:hint="eastAsia" w:ascii="宋体" w:hAnsi="宋体" w:eastAsia="宋体" w:cs="宋体"/>
                <w:color w:val="auto"/>
                <w:spacing w:val="-5"/>
                <w:sz w:val="24"/>
                <w:szCs w:val="24"/>
                <w:highlight w:val="none"/>
                <w:lang w:eastAsia="en-US"/>
              </w:rPr>
              <w:t>质量</w:t>
            </w:r>
          </w:p>
        </w:tc>
        <w:tc>
          <w:tcPr>
            <w:tcW w:w="2410" w:type="dxa"/>
            <w:noWrap w:val="0"/>
            <w:vAlign w:val="center"/>
          </w:tcPr>
          <w:p w14:paraId="26FD18AD">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信息故障时及时修复</w:t>
            </w:r>
          </w:p>
        </w:tc>
        <w:tc>
          <w:tcPr>
            <w:tcW w:w="5270" w:type="dxa"/>
            <w:noWrap w:val="0"/>
            <w:vAlign w:val="center"/>
          </w:tcPr>
          <w:p w14:paraId="18D2F19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每发生一次平台故障无故未及时修复事件的扣100元；</w:t>
            </w:r>
          </w:p>
        </w:tc>
      </w:tr>
      <w:tr w14:paraId="5A310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564" w:type="dxa"/>
            <w:noWrap w:val="0"/>
            <w:vAlign w:val="center"/>
          </w:tcPr>
          <w:p w14:paraId="6B1010E7">
            <w:pPr>
              <w:spacing w:before="5"/>
              <w:jc w:val="center"/>
              <w:rPr>
                <w:rFonts w:hint="eastAsia" w:ascii="宋体" w:hAnsi="宋体" w:eastAsia="宋体" w:cs="宋体"/>
                <w:color w:val="auto"/>
                <w:sz w:val="24"/>
                <w:szCs w:val="24"/>
                <w:highlight w:val="none"/>
              </w:rPr>
            </w:pPr>
          </w:p>
          <w:p w14:paraId="53A9DC45">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7</w:t>
            </w:r>
          </w:p>
        </w:tc>
        <w:tc>
          <w:tcPr>
            <w:tcW w:w="1421" w:type="dxa"/>
            <w:noWrap w:val="0"/>
            <w:vAlign w:val="center"/>
          </w:tcPr>
          <w:p w14:paraId="2CCAA1DB">
            <w:pPr>
              <w:spacing w:line="360" w:lineRule="exact"/>
              <w:ind w:left="184" w:right="175"/>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工作</w:t>
            </w:r>
            <w:r>
              <w:rPr>
                <w:rFonts w:hint="eastAsia" w:ascii="宋体" w:hAnsi="宋体" w:eastAsia="宋体" w:cs="宋体"/>
                <w:color w:val="auto"/>
                <w:spacing w:val="-5"/>
                <w:sz w:val="24"/>
                <w:szCs w:val="24"/>
                <w:highlight w:val="none"/>
                <w:lang w:eastAsia="en-US"/>
              </w:rPr>
              <w:t>质量</w:t>
            </w:r>
          </w:p>
        </w:tc>
        <w:tc>
          <w:tcPr>
            <w:tcW w:w="2410" w:type="dxa"/>
            <w:noWrap w:val="0"/>
            <w:vAlign w:val="center"/>
          </w:tcPr>
          <w:p w14:paraId="4E3C75A3">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rPr>
              <w:t>报告</w:t>
            </w:r>
            <w:r>
              <w:rPr>
                <w:rFonts w:hint="eastAsia" w:ascii="宋体" w:hAnsi="宋体" w:eastAsia="宋体" w:cs="宋体"/>
                <w:color w:val="auto"/>
                <w:spacing w:val="-2"/>
                <w:sz w:val="24"/>
                <w:szCs w:val="24"/>
                <w:highlight w:val="none"/>
                <w:lang w:eastAsia="en-US"/>
              </w:rPr>
              <w:t>延误时及时修复</w:t>
            </w:r>
          </w:p>
        </w:tc>
        <w:tc>
          <w:tcPr>
            <w:tcW w:w="5270" w:type="dxa"/>
            <w:noWrap w:val="0"/>
            <w:vAlign w:val="center"/>
          </w:tcPr>
          <w:p w14:paraId="1A41C43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每发生一次</w:t>
            </w:r>
            <w:r>
              <w:rPr>
                <w:rFonts w:hint="eastAsia" w:ascii="宋体" w:hAnsi="宋体" w:eastAsia="宋体" w:cs="宋体"/>
                <w:color w:val="auto"/>
                <w:spacing w:val="-2"/>
                <w:sz w:val="24"/>
                <w:szCs w:val="24"/>
                <w:highlight w:val="none"/>
              </w:rPr>
              <w:t>报告延误</w:t>
            </w:r>
            <w:r>
              <w:rPr>
                <w:rFonts w:hint="eastAsia" w:ascii="宋体" w:hAnsi="宋体" w:eastAsia="宋体" w:cs="宋体"/>
                <w:color w:val="auto"/>
                <w:sz w:val="24"/>
                <w:szCs w:val="24"/>
                <w:highlight w:val="none"/>
              </w:rPr>
              <w:t>无故未及时修复事件的扣100元；</w:t>
            </w:r>
          </w:p>
        </w:tc>
      </w:tr>
      <w:tr w14:paraId="29D21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564" w:type="dxa"/>
            <w:noWrap w:val="0"/>
            <w:vAlign w:val="center"/>
          </w:tcPr>
          <w:p w14:paraId="4EEFF038">
            <w:pPr>
              <w:spacing w:before="7"/>
              <w:jc w:val="center"/>
              <w:rPr>
                <w:rFonts w:hint="eastAsia" w:ascii="宋体" w:hAnsi="宋体" w:eastAsia="宋体" w:cs="宋体"/>
                <w:color w:val="auto"/>
                <w:sz w:val="24"/>
                <w:szCs w:val="24"/>
                <w:highlight w:val="none"/>
              </w:rPr>
            </w:pPr>
          </w:p>
          <w:p w14:paraId="5F6A33C5">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8</w:t>
            </w:r>
          </w:p>
        </w:tc>
        <w:tc>
          <w:tcPr>
            <w:tcW w:w="1421" w:type="dxa"/>
            <w:noWrap w:val="0"/>
            <w:vAlign w:val="center"/>
          </w:tcPr>
          <w:p w14:paraId="4DDD1A5C">
            <w:pPr>
              <w:spacing w:line="360" w:lineRule="exact"/>
              <w:ind w:left="184" w:right="175"/>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工作</w:t>
            </w:r>
            <w:r>
              <w:rPr>
                <w:rFonts w:hint="eastAsia" w:ascii="宋体" w:hAnsi="宋体" w:eastAsia="宋体" w:cs="宋体"/>
                <w:color w:val="auto"/>
                <w:spacing w:val="-5"/>
                <w:sz w:val="24"/>
                <w:szCs w:val="24"/>
                <w:highlight w:val="none"/>
                <w:lang w:eastAsia="en-US"/>
              </w:rPr>
              <w:t>质量</w:t>
            </w:r>
          </w:p>
        </w:tc>
        <w:tc>
          <w:tcPr>
            <w:tcW w:w="2410" w:type="dxa"/>
            <w:noWrap w:val="0"/>
            <w:vAlign w:val="center"/>
          </w:tcPr>
          <w:p w14:paraId="0A296681">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及时响应</w:t>
            </w:r>
          </w:p>
        </w:tc>
        <w:tc>
          <w:tcPr>
            <w:tcW w:w="5270" w:type="dxa"/>
            <w:noWrap w:val="0"/>
            <w:vAlign w:val="center"/>
          </w:tcPr>
          <w:p w14:paraId="095CF90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每发生一次无故未及时响应事件的扣100元；</w:t>
            </w:r>
          </w:p>
        </w:tc>
      </w:tr>
      <w:tr w14:paraId="2C78A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564" w:type="dxa"/>
            <w:noWrap w:val="0"/>
            <w:vAlign w:val="center"/>
          </w:tcPr>
          <w:p w14:paraId="38738B8E">
            <w:pPr>
              <w:spacing w:before="6"/>
              <w:jc w:val="center"/>
              <w:rPr>
                <w:rFonts w:hint="eastAsia" w:ascii="宋体" w:hAnsi="宋体" w:eastAsia="宋体" w:cs="宋体"/>
                <w:color w:val="auto"/>
                <w:sz w:val="24"/>
                <w:szCs w:val="24"/>
                <w:highlight w:val="none"/>
              </w:rPr>
            </w:pPr>
          </w:p>
          <w:p w14:paraId="258E2A30">
            <w:pPr>
              <w:ind w:left="145" w:right="138"/>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9</w:t>
            </w:r>
          </w:p>
        </w:tc>
        <w:tc>
          <w:tcPr>
            <w:tcW w:w="1421" w:type="dxa"/>
            <w:noWrap w:val="0"/>
            <w:vAlign w:val="center"/>
          </w:tcPr>
          <w:p w14:paraId="4AADAA00">
            <w:pPr>
              <w:spacing w:line="360" w:lineRule="exact"/>
              <w:ind w:left="184" w:right="175"/>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工作</w:t>
            </w:r>
            <w:r>
              <w:rPr>
                <w:rFonts w:hint="eastAsia" w:ascii="宋体" w:hAnsi="宋体" w:eastAsia="宋体" w:cs="宋体"/>
                <w:color w:val="auto"/>
                <w:spacing w:val="-5"/>
                <w:sz w:val="24"/>
                <w:szCs w:val="24"/>
                <w:highlight w:val="none"/>
                <w:lang w:eastAsia="en-US"/>
              </w:rPr>
              <w:t>规范</w:t>
            </w:r>
          </w:p>
        </w:tc>
        <w:tc>
          <w:tcPr>
            <w:tcW w:w="2410" w:type="dxa"/>
            <w:noWrap w:val="0"/>
            <w:vAlign w:val="center"/>
          </w:tcPr>
          <w:p w14:paraId="618047B5">
            <w:pPr>
              <w:spacing w:before="1"/>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遵守医院各项制度</w:t>
            </w:r>
          </w:p>
        </w:tc>
        <w:tc>
          <w:tcPr>
            <w:tcW w:w="5270" w:type="dxa"/>
            <w:noWrap w:val="0"/>
            <w:vAlign w:val="center"/>
          </w:tcPr>
          <w:p w14:paraId="13DF56C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每发生一次违反医院制度行为扣1000元；</w:t>
            </w:r>
          </w:p>
        </w:tc>
      </w:tr>
    </w:tbl>
    <w:p w14:paraId="2E0E0CAF">
      <w:pPr>
        <w:pStyle w:val="56"/>
        <w:rPr>
          <w:rFonts w:hint="eastAsia" w:ascii="黑体" w:hAnsi="黑体" w:eastAsia="黑体" w:cs="黑体"/>
          <w:b/>
          <w:color w:val="auto"/>
          <w:sz w:val="32"/>
          <w:szCs w:val="32"/>
          <w:highlight w:val="none"/>
        </w:rPr>
        <w:sectPr>
          <w:footerReference r:id="rId9" w:type="default"/>
          <w:pgSz w:w="11906" w:h="16838"/>
          <w:pgMar w:top="1134" w:right="1134" w:bottom="1134" w:left="1134" w:header="851" w:footer="992" w:gutter="0"/>
          <w:pgNumType w:fmt="decimal" w:start="1"/>
          <w:cols w:space="720" w:num="1"/>
          <w:docGrid w:linePitch="312" w:charSpace="0"/>
        </w:sectPr>
      </w:pPr>
    </w:p>
    <w:p w14:paraId="1446DC8E">
      <w:pPr>
        <w:spacing w:line="360" w:lineRule="auto"/>
        <w:jc w:val="left"/>
        <w:outlineLvl w:val="0"/>
        <w:rPr>
          <w:rFonts w:hint="eastAsia" w:ascii="宋体" w:hAnsi="宋体" w:eastAsia="宋体" w:cs="宋体"/>
          <w:color w:val="auto"/>
          <w:kern w:val="2"/>
          <w:sz w:val="28"/>
          <w:szCs w:val="32"/>
          <w:highlight w:val="none"/>
          <w:lang w:val="en-US" w:eastAsia="zh-CN" w:bidi="ar-SA"/>
        </w:rPr>
      </w:pPr>
      <w:r>
        <w:rPr>
          <w:rFonts w:hint="eastAsia" w:ascii="宋体" w:hAnsi="宋体" w:eastAsia="宋体" w:cs="宋体"/>
          <w:color w:val="auto"/>
          <w:kern w:val="2"/>
          <w:sz w:val="28"/>
          <w:szCs w:val="32"/>
          <w:highlight w:val="none"/>
          <w:lang w:val="en-US" w:eastAsia="zh-CN" w:bidi="ar-SA"/>
        </w:rPr>
        <w:t>附件2：无锡市中医医院保密承诺书</w:t>
      </w:r>
    </w:p>
    <w:p w14:paraId="6E35DEAB">
      <w:pPr>
        <w:spacing w:line="360" w:lineRule="auto"/>
        <w:jc w:val="center"/>
        <w:outlineLvl w:val="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保密</w:t>
      </w:r>
      <w:r>
        <w:rPr>
          <w:rFonts w:hint="eastAsia" w:ascii="黑体" w:hAnsi="黑体" w:eastAsia="黑体" w:cs="黑体"/>
          <w:b/>
          <w:color w:val="auto"/>
          <w:sz w:val="36"/>
          <w:szCs w:val="36"/>
          <w:highlight w:val="none"/>
        </w:rPr>
        <w:t>承诺书</w:t>
      </w:r>
    </w:p>
    <w:p w14:paraId="264050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甲方</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单位</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无锡市中医医院</w:t>
      </w:r>
    </w:p>
    <w:p w14:paraId="525CC43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乙方</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单位</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u w:val="single"/>
          <w:lang w:val="en-US" w:eastAsia="zh-CN"/>
        </w:rPr>
        <w:t xml:space="preserve">              </w:t>
      </w:r>
    </w:p>
    <w:p w14:paraId="334F42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为进一步加强医院</w:t>
      </w:r>
      <w:r>
        <w:rPr>
          <w:rFonts w:hint="eastAsia" w:ascii="宋体" w:hAnsi="宋体" w:eastAsia="宋体" w:cs="宋体"/>
          <w:b w:val="0"/>
          <w:bCs/>
          <w:color w:val="auto"/>
          <w:sz w:val="24"/>
          <w:szCs w:val="24"/>
          <w:highlight w:val="none"/>
          <w:lang w:val="en-US" w:eastAsia="zh-CN"/>
        </w:rPr>
        <w:t>保密</w:t>
      </w:r>
      <w:r>
        <w:rPr>
          <w:rFonts w:hint="eastAsia" w:ascii="宋体" w:hAnsi="宋体" w:eastAsia="宋体" w:cs="宋体"/>
          <w:b w:val="0"/>
          <w:bCs/>
          <w:color w:val="auto"/>
          <w:sz w:val="24"/>
          <w:szCs w:val="24"/>
          <w:highlight w:val="none"/>
        </w:rPr>
        <w:t>建设，规范从业行为，保护患者的隐私，确保双方合约正常履行，特制定本保密承诺书，甲乙双方签订</w:t>
      </w:r>
      <w:r>
        <w:rPr>
          <w:rFonts w:hint="eastAsia" w:ascii="宋体" w:hAnsi="宋体" w:eastAsia="宋体" w:cs="宋体"/>
          <w:b w:val="0"/>
          <w:bCs/>
          <w:color w:val="auto"/>
          <w:sz w:val="24"/>
          <w:szCs w:val="24"/>
          <w:highlight w:val="none"/>
          <w:lang w:val="en-US" w:eastAsia="zh-CN"/>
        </w:rPr>
        <w:t>保密</w:t>
      </w:r>
      <w:r>
        <w:rPr>
          <w:rFonts w:hint="eastAsia" w:ascii="宋体" w:hAnsi="宋体" w:eastAsia="宋体" w:cs="宋体"/>
          <w:b w:val="0"/>
          <w:bCs/>
          <w:color w:val="auto"/>
          <w:sz w:val="24"/>
          <w:szCs w:val="24"/>
          <w:highlight w:val="none"/>
        </w:rPr>
        <w:t>承诺如下</w:t>
      </w:r>
      <w:r>
        <w:rPr>
          <w:rFonts w:hint="eastAsia" w:ascii="宋体" w:hAnsi="宋体" w:eastAsia="宋体" w:cs="宋体"/>
          <w:b w:val="0"/>
          <w:bCs/>
          <w:color w:val="auto"/>
          <w:sz w:val="24"/>
          <w:szCs w:val="24"/>
          <w:highlight w:val="none"/>
          <w:lang w:eastAsia="zh-CN"/>
        </w:rPr>
        <w:t>：</w:t>
      </w:r>
    </w:p>
    <w:p w14:paraId="2370640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在合作期内及以后，协议内容及</w:t>
      </w: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双方相关资料（包括但不限于各类数据、检测报告、价格、商业信息）均为保密资料，除非保密资料已通过正当途径为公众所知，或除非由拥有资料一方事先书面授权透露，</w:t>
      </w: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双方均应各自对保密资料保密，不得向除对方以外的任何其他方透露，也不得将保密资料用于与本协议条款和条件不相符合的任何目的。</w:t>
      </w:r>
    </w:p>
    <w:p w14:paraId="2E22D0D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二、甲乙</w:t>
      </w:r>
      <w:r>
        <w:rPr>
          <w:rFonts w:hint="eastAsia" w:ascii="宋体" w:hAnsi="宋体" w:eastAsia="宋体" w:cs="宋体"/>
          <w:color w:val="auto"/>
          <w:sz w:val="24"/>
          <w:szCs w:val="24"/>
          <w:highlight w:val="none"/>
        </w:rPr>
        <w:t>双方只能向因职责所需而需要了解上述保密资料的工作人员透露保密资料，且该工作人员经</w:t>
      </w: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双方协商授权确定，并应采取所有合理的防范措施防止不经授权的披露。</w:t>
      </w:r>
    </w:p>
    <w:p w14:paraId="74E23FF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三、甲乙</w:t>
      </w:r>
      <w:r>
        <w:rPr>
          <w:rFonts w:hint="eastAsia" w:ascii="宋体" w:hAnsi="宋体" w:eastAsia="宋体" w:cs="宋体"/>
          <w:color w:val="auto"/>
          <w:sz w:val="24"/>
          <w:szCs w:val="24"/>
          <w:highlight w:val="none"/>
        </w:rPr>
        <w:t>双方保证对受检者所有信息保密，除非该信息已经由受检者主动公开。</w:t>
      </w:r>
    </w:p>
    <w:p w14:paraId="14BD3DC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四</w:t>
      </w:r>
      <w:r>
        <w:rPr>
          <w:rFonts w:hint="eastAsia" w:ascii="宋体" w:hAnsi="宋体" w:eastAsia="宋体" w:cs="宋体"/>
          <w:b w:val="0"/>
          <w:bCs/>
          <w:color w:val="auto"/>
          <w:sz w:val="24"/>
          <w:szCs w:val="24"/>
          <w:highlight w:val="none"/>
        </w:rPr>
        <w:t>、乙方保证不以任何方式违规记录、存储、复制、泄露甲方未公开的医院管理、业务等信息。</w:t>
      </w:r>
    </w:p>
    <w:p w14:paraId="315FDB3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五、乙方保证所有检测产品均按法律法规要求处理，不出虚假报告，并承担相应的社会责任。</w:t>
      </w:r>
    </w:p>
    <w:p w14:paraId="4D46AF9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本协议规定的保密义务在协议终止后，直至相关资料依法成为公开信息前一直持续有效。</w:t>
      </w:r>
    </w:p>
    <w:p w14:paraId="3A389AB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七</w:t>
      </w:r>
      <w:r>
        <w:rPr>
          <w:rFonts w:hint="eastAsia" w:ascii="宋体" w:hAnsi="宋体" w:eastAsia="宋体" w:cs="宋体"/>
          <w:b w:val="0"/>
          <w:bCs/>
          <w:color w:val="auto"/>
          <w:sz w:val="24"/>
          <w:szCs w:val="24"/>
          <w:highlight w:val="none"/>
        </w:rPr>
        <w:t>、如出现违反上述条款第一条至第</w:t>
      </w:r>
      <w:r>
        <w:rPr>
          <w:rFonts w:hint="eastAsia" w:ascii="宋体" w:hAnsi="宋体" w:eastAsia="宋体" w:cs="宋体"/>
          <w:b w:val="0"/>
          <w:bCs/>
          <w:color w:val="auto"/>
          <w:sz w:val="24"/>
          <w:szCs w:val="24"/>
          <w:highlight w:val="none"/>
          <w:lang w:val="en-US" w:eastAsia="zh-CN"/>
        </w:rPr>
        <w:t>五</w:t>
      </w:r>
      <w:r>
        <w:rPr>
          <w:rFonts w:hint="eastAsia" w:ascii="宋体" w:hAnsi="宋体" w:eastAsia="宋体" w:cs="宋体"/>
          <w:b w:val="0"/>
          <w:bCs/>
          <w:color w:val="auto"/>
          <w:sz w:val="24"/>
          <w:szCs w:val="24"/>
          <w:highlight w:val="none"/>
        </w:rPr>
        <w:t>条的情况，甲方有权通知乙方终止合同履行。</w:t>
      </w:r>
    </w:p>
    <w:p w14:paraId="3FF31D5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八</w:t>
      </w:r>
      <w:r>
        <w:rPr>
          <w:rFonts w:hint="eastAsia" w:ascii="宋体" w:hAnsi="宋体" w:eastAsia="宋体" w:cs="宋体"/>
          <w:b w:val="0"/>
          <w:bCs/>
          <w:color w:val="auto"/>
          <w:sz w:val="24"/>
          <w:szCs w:val="24"/>
          <w:highlight w:val="none"/>
        </w:rPr>
        <w:t>、本承诺书一式</w:t>
      </w:r>
      <w:r>
        <w:rPr>
          <w:rFonts w:hint="eastAsia" w:ascii="宋体" w:hAnsi="宋体" w:eastAsia="宋体" w:cs="宋体"/>
          <w:b w:val="0"/>
          <w:bCs/>
          <w:color w:val="auto"/>
          <w:sz w:val="24"/>
          <w:szCs w:val="24"/>
          <w:highlight w:val="none"/>
          <w:lang w:val="en-US" w:eastAsia="zh-CN"/>
        </w:rPr>
        <w:t>伍</w:t>
      </w:r>
      <w:r>
        <w:rPr>
          <w:rFonts w:hint="eastAsia" w:ascii="宋体" w:hAnsi="宋体" w:eastAsia="宋体" w:cs="宋体"/>
          <w:b w:val="0"/>
          <w:bCs/>
          <w:color w:val="auto"/>
          <w:sz w:val="24"/>
          <w:szCs w:val="24"/>
          <w:highlight w:val="none"/>
        </w:rPr>
        <w:t>份，双方各执</w:t>
      </w:r>
      <w:r>
        <w:rPr>
          <w:rFonts w:hint="eastAsia" w:ascii="宋体" w:hAnsi="宋体" w:eastAsia="宋体" w:cs="宋体"/>
          <w:b w:val="0"/>
          <w:bCs/>
          <w:color w:val="auto"/>
          <w:sz w:val="24"/>
          <w:szCs w:val="24"/>
          <w:highlight w:val="none"/>
          <w:lang w:val="en-US" w:eastAsia="zh-CN"/>
        </w:rPr>
        <w:t>贰</w:t>
      </w:r>
      <w:r>
        <w:rPr>
          <w:rFonts w:hint="eastAsia" w:ascii="宋体" w:hAnsi="宋体" w:eastAsia="宋体" w:cs="宋体"/>
          <w:b w:val="0"/>
          <w:bCs/>
          <w:color w:val="auto"/>
          <w:sz w:val="24"/>
          <w:szCs w:val="24"/>
          <w:highlight w:val="none"/>
        </w:rPr>
        <w:t>份</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代理机构执壹份</w:t>
      </w:r>
      <w:r>
        <w:rPr>
          <w:rFonts w:hint="eastAsia" w:ascii="宋体" w:hAnsi="宋体" w:eastAsia="宋体" w:cs="宋体"/>
          <w:b w:val="0"/>
          <w:bCs/>
          <w:color w:val="auto"/>
          <w:sz w:val="24"/>
          <w:szCs w:val="24"/>
          <w:highlight w:val="none"/>
        </w:rPr>
        <w:t>。盖章签字后，与双方签订的合同同时生效。</w:t>
      </w:r>
    </w:p>
    <w:p w14:paraId="1199D9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宋体"/>
          <w:b w:val="0"/>
          <w:bCs/>
          <w:color w:val="auto"/>
          <w:sz w:val="24"/>
          <w:szCs w:val="24"/>
          <w:highlight w:val="none"/>
        </w:rPr>
      </w:pPr>
    </w:p>
    <w:p w14:paraId="3B1DCA02">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w:t>
      </w:r>
      <w:r>
        <w:rPr>
          <w:rFonts w:hint="eastAsia" w:ascii="宋体" w:hAnsi="宋体" w:eastAsia="宋体" w:cs="宋体"/>
          <w:color w:val="auto"/>
          <w:sz w:val="24"/>
          <w:szCs w:val="24"/>
          <w:highlight w:val="none"/>
          <w:lang w:val="en-US" w:eastAsia="zh-CN"/>
        </w:rPr>
        <w:t>无锡市中医医院</w:t>
      </w:r>
      <w:r>
        <w:rPr>
          <w:rFonts w:hint="eastAsia" w:ascii="宋体" w:hAnsi="宋体" w:eastAsia="宋体" w:cs="宋体"/>
          <w:color w:val="auto"/>
          <w:sz w:val="24"/>
          <w:szCs w:val="24"/>
          <w:highlight w:val="none"/>
        </w:rPr>
        <w:t xml:space="preserve">        乙方（盖章）：</w:t>
      </w:r>
    </w:p>
    <w:p w14:paraId="33DB18BD">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0AD7C610">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甲方代表人签字：　　　　　　　　　 乙方代表人签字：</w:t>
      </w:r>
    </w:p>
    <w:p w14:paraId="5850AD5F">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06945FC4">
      <w:pPr>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签字日期：</w:t>
      </w:r>
    </w:p>
    <w:p w14:paraId="3CF7A36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bookmarkEnd w:id="143"/>
    <w:p w14:paraId="6DAA3FF6">
      <w:pPr>
        <w:numPr>
          <w:ilvl w:val="0"/>
          <w:numId w:val="11"/>
        </w:numPr>
        <w:spacing w:line="360" w:lineRule="auto"/>
        <w:ind w:firstLine="480"/>
        <w:jc w:val="center"/>
        <w:rPr>
          <w:rFonts w:hint="eastAsia" w:ascii="黑体" w:eastAsia="黑体"/>
          <w:bCs/>
          <w:color w:val="auto"/>
          <w:sz w:val="36"/>
          <w:szCs w:val="36"/>
          <w:highlight w:val="none"/>
        </w:rPr>
      </w:pPr>
      <w:r>
        <w:rPr>
          <w:rFonts w:hint="eastAsia" w:ascii="黑体" w:eastAsia="黑体"/>
          <w:bCs/>
          <w:color w:val="auto"/>
          <w:sz w:val="36"/>
          <w:szCs w:val="36"/>
          <w:highlight w:val="none"/>
        </w:rPr>
        <w:t>采购需求</w:t>
      </w:r>
      <w:bookmarkEnd w:id="144"/>
      <w:bookmarkEnd w:id="145"/>
      <w:bookmarkEnd w:id="146"/>
    </w:p>
    <w:p w14:paraId="0C8F93A3">
      <w:pPr>
        <w:tabs>
          <w:tab w:val="left" w:pos="525"/>
          <w:tab w:val="left" w:pos="630"/>
          <w:tab w:val="left" w:pos="735"/>
          <w:tab w:val="left" w:pos="945"/>
        </w:tabs>
        <w:spacing w:line="360" w:lineRule="auto"/>
        <w:ind w:firstLine="480"/>
        <w:rPr>
          <w:rFonts w:hint="eastAsia" w:ascii="宋体" w:hAnsi="宋体" w:eastAsia="宋体" w:cs="宋体"/>
          <w:b/>
          <w:bCs/>
          <w:color w:val="auto"/>
          <w:sz w:val="30"/>
          <w:szCs w:val="30"/>
          <w:highlight w:val="none"/>
          <w:lang w:eastAsia="zh-CN"/>
        </w:rPr>
      </w:pPr>
      <w:r>
        <w:rPr>
          <w:rFonts w:hint="eastAsia" w:ascii="宋体" w:hAnsi="宋体" w:eastAsia="宋体" w:cs="宋体"/>
          <w:b/>
          <w:color w:val="auto"/>
          <w:sz w:val="30"/>
          <w:szCs w:val="30"/>
          <w:highlight w:val="none"/>
        </w:rPr>
        <w:t>第</w:t>
      </w:r>
      <w:r>
        <w:rPr>
          <w:rFonts w:hint="eastAsia" w:ascii="宋体" w:hAnsi="宋体" w:eastAsia="宋体" w:cs="宋体"/>
          <w:b/>
          <w:color w:val="auto"/>
          <w:sz w:val="30"/>
          <w:szCs w:val="30"/>
          <w:highlight w:val="none"/>
          <w:lang w:val="en-US" w:eastAsia="zh-CN"/>
        </w:rPr>
        <w:t>一</w:t>
      </w:r>
      <w:r>
        <w:rPr>
          <w:rFonts w:hint="eastAsia" w:ascii="宋体" w:hAnsi="宋体" w:eastAsia="宋体" w:cs="宋体"/>
          <w:b/>
          <w:color w:val="auto"/>
          <w:sz w:val="30"/>
          <w:szCs w:val="30"/>
          <w:highlight w:val="none"/>
        </w:rPr>
        <w:t xml:space="preserve">部分  </w:t>
      </w:r>
      <w:r>
        <w:rPr>
          <w:rFonts w:hint="eastAsia" w:ascii="宋体" w:hAnsi="宋体" w:eastAsia="宋体" w:cs="宋体"/>
          <w:b/>
          <w:color w:val="auto"/>
          <w:sz w:val="30"/>
          <w:szCs w:val="30"/>
          <w:highlight w:val="none"/>
          <w:lang w:val="en-US" w:eastAsia="zh-CN"/>
        </w:rPr>
        <w:t>项目需求</w:t>
      </w:r>
    </w:p>
    <w:p w14:paraId="72799AA4">
      <w:pPr>
        <w:numPr>
          <w:ilvl w:val="0"/>
          <w:numId w:val="12"/>
        </w:numPr>
        <w:spacing w:line="360" w:lineRule="auto"/>
        <w:rPr>
          <w:rFonts w:ascii="宋体"/>
          <w:b/>
          <w:bCs/>
          <w:color w:val="auto"/>
          <w:sz w:val="24"/>
          <w:highlight w:val="none"/>
        </w:rPr>
      </w:pPr>
      <w:bookmarkStart w:id="147" w:name="_Toc49090575"/>
      <w:bookmarkStart w:id="148" w:name="_Toc120614281"/>
      <w:bookmarkStart w:id="149" w:name="_Toc26554093"/>
      <w:r>
        <w:rPr>
          <w:rFonts w:hint="eastAsia" w:ascii="宋体" w:hAnsi="宋体"/>
          <w:b/>
          <w:bCs/>
          <w:color w:val="auto"/>
          <w:sz w:val="24"/>
          <w:highlight w:val="none"/>
        </w:rPr>
        <w:t>采购项目信息</w:t>
      </w:r>
    </w:p>
    <w:p w14:paraId="3DBB6B29">
      <w:pPr>
        <w:spacing w:line="360" w:lineRule="auto"/>
        <w:ind w:left="482"/>
        <w:rPr>
          <w:rFonts w:hint="default" w:ascii="宋体" w:eastAsia="宋体"/>
          <w:bCs/>
          <w:color w:val="auto"/>
          <w:sz w:val="24"/>
          <w:highlight w:val="none"/>
          <w:lang w:val="en-US" w:eastAsia="zh-CN"/>
        </w:rPr>
      </w:pPr>
      <w:r>
        <w:rPr>
          <w:rFonts w:ascii="宋体" w:hAnsi="宋体"/>
          <w:bCs/>
          <w:color w:val="auto"/>
          <w:sz w:val="24"/>
          <w:highlight w:val="none"/>
        </w:rPr>
        <w:t>1.</w:t>
      </w:r>
      <w:r>
        <w:rPr>
          <w:rFonts w:hint="eastAsia" w:ascii="宋体" w:hAnsi="宋体"/>
          <w:bCs/>
          <w:color w:val="auto"/>
          <w:sz w:val="24"/>
          <w:highlight w:val="none"/>
        </w:rPr>
        <w:t>项目名称：</w:t>
      </w:r>
      <w:r>
        <w:rPr>
          <w:rFonts w:hint="eastAsia" w:ascii="宋体" w:hAnsi="宋体"/>
          <w:bCs/>
          <w:color w:val="auto"/>
          <w:sz w:val="24"/>
          <w:highlight w:val="none"/>
          <w:lang w:val="en-US" w:eastAsia="zh-CN"/>
        </w:rPr>
        <w:t>无锡市中医医院检验检查外送服务（普检）</w:t>
      </w:r>
    </w:p>
    <w:p w14:paraId="6E96C1F4">
      <w:pPr>
        <w:spacing w:line="360" w:lineRule="auto"/>
        <w:ind w:firstLine="480" w:firstLineChars="200"/>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2</w:t>
      </w:r>
      <w:r>
        <w:rPr>
          <w:rFonts w:ascii="宋体" w:hAnsi="宋体"/>
          <w:color w:val="auto"/>
          <w:sz w:val="24"/>
          <w:highlight w:val="none"/>
        </w:rPr>
        <w:t>.</w:t>
      </w:r>
      <w:r>
        <w:rPr>
          <w:rFonts w:hint="eastAsia" w:ascii="宋体" w:hAnsi="宋体"/>
          <w:color w:val="auto"/>
          <w:sz w:val="24"/>
          <w:highlight w:val="none"/>
        </w:rPr>
        <w:t>项目预算：</w:t>
      </w:r>
      <w:r>
        <w:rPr>
          <w:rFonts w:hint="eastAsia" w:ascii="宋体" w:hAnsi="宋体"/>
          <w:color w:val="auto"/>
          <w:sz w:val="24"/>
          <w:highlight w:val="none"/>
          <w:lang w:val="en-US" w:eastAsia="zh-CN"/>
        </w:rPr>
        <w:t>220万元</w:t>
      </w:r>
    </w:p>
    <w:p w14:paraId="4304F03C">
      <w:pPr>
        <w:spacing w:line="360" w:lineRule="auto"/>
        <w:ind w:firstLine="480" w:firstLineChars="200"/>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3</w:t>
      </w:r>
      <w:r>
        <w:rPr>
          <w:rFonts w:ascii="宋体" w:hAnsi="宋体"/>
          <w:color w:val="auto"/>
          <w:sz w:val="24"/>
          <w:highlight w:val="none"/>
        </w:rPr>
        <w:t>.</w:t>
      </w:r>
      <w:r>
        <w:rPr>
          <w:rFonts w:hint="eastAsia" w:ascii="宋体" w:hAnsi="宋体"/>
          <w:color w:val="auto"/>
          <w:sz w:val="24"/>
          <w:highlight w:val="none"/>
        </w:rPr>
        <w:t>服务期限或完工期限：</w:t>
      </w:r>
      <w:r>
        <w:rPr>
          <w:rFonts w:hint="eastAsia" w:ascii="宋体" w:hAnsi="宋体"/>
          <w:color w:val="auto"/>
          <w:sz w:val="24"/>
          <w:highlight w:val="none"/>
          <w:lang w:val="en-US" w:eastAsia="zh-CN"/>
        </w:rPr>
        <w:t>2年</w:t>
      </w:r>
    </w:p>
    <w:p w14:paraId="2885AAC5">
      <w:pPr>
        <w:tabs>
          <w:tab w:val="left" w:pos="2625"/>
        </w:tabs>
        <w:spacing w:line="360" w:lineRule="auto"/>
        <w:ind w:firstLine="480"/>
        <w:rPr>
          <w:rFonts w:hint="default" w:ascii="宋体" w:hAnsi="宋体" w:eastAsia="宋体"/>
          <w:b/>
          <w:color w:val="auto"/>
          <w:sz w:val="24"/>
          <w:highlight w:val="none"/>
          <w:lang w:val="en-US" w:eastAsia="zh-CN"/>
        </w:rPr>
      </w:pPr>
      <w:r>
        <w:rPr>
          <w:rFonts w:hint="eastAsia" w:ascii="宋体" w:hAnsi="宋体"/>
          <w:color w:val="auto"/>
          <w:sz w:val="24"/>
          <w:highlight w:val="none"/>
          <w:lang w:val="en-US" w:eastAsia="zh-CN"/>
        </w:rPr>
        <w:t>4</w:t>
      </w:r>
      <w:r>
        <w:rPr>
          <w:rFonts w:ascii="宋体" w:hAnsi="宋体"/>
          <w:color w:val="auto"/>
          <w:sz w:val="24"/>
          <w:highlight w:val="none"/>
        </w:rPr>
        <w:t>.</w:t>
      </w:r>
      <w:r>
        <w:rPr>
          <w:rFonts w:hint="eastAsia" w:ascii="宋体" w:hAnsi="宋体"/>
          <w:color w:val="auto"/>
          <w:sz w:val="24"/>
          <w:highlight w:val="none"/>
        </w:rPr>
        <w:t>项目概述：本项目为</w:t>
      </w:r>
      <w:r>
        <w:rPr>
          <w:rFonts w:hint="eastAsia" w:ascii="宋体" w:hAnsi="宋体"/>
          <w:color w:val="auto"/>
          <w:sz w:val="24"/>
          <w:highlight w:val="none"/>
          <w:lang w:eastAsia="zh-CN"/>
        </w:rPr>
        <w:t>无锡市中医医院外送检测服务</w:t>
      </w:r>
      <w:r>
        <w:rPr>
          <w:rFonts w:hint="eastAsia" w:ascii="宋体" w:hAnsi="宋体"/>
          <w:color w:val="auto"/>
          <w:sz w:val="24"/>
          <w:highlight w:val="none"/>
        </w:rPr>
        <w:t>，要求供应商对我院部分检验检测项目提供检测服务，以满足临床需求，第三方检测机构需要具备合格的检测资质、严格的质量管理、规范的标本转运物流、完善的信息系统对接、及时的报告结果反馈。</w:t>
      </w:r>
    </w:p>
    <w:p w14:paraId="224E5A65">
      <w:pPr>
        <w:spacing w:line="360" w:lineRule="auto"/>
        <w:ind w:firstLine="480" w:firstLineChars="200"/>
        <w:rPr>
          <w:rFonts w:hint="eastAsia" w:ascii="宋体" w:hAnsi="宋体"/>
          <w:b/>
          <w:color w:val="auto"/>
          <w:sz w:val="24"/>
          <w:highlight w:val="none"/>
        </w:rPr>
      </w:pPr>
      <w:r>
        <w:rPr>
          <w:rFonts w:hint="eastAsia" w:ascii="宋体" w:hAnsi="宋体"/>
          <w:b/>
          <w:color w:val="auto"/>
          <w:sz w:val="24"/>
          <w:highlight w:val="none"/>
          <w:lang w:val="en-US" w:eastAsia="zh-CN"/>
        </w:rPr>
        <w:t>二</w:t>
      </w:r>
      <w:r>
        <w:rPr>
          <w:rFonts w:hint="eastAsia" w:ascii="宋体" w:hAnsi="宋体"/>
          <w:b/>
          <w:color w:val="auto"/>
          <w:sz w:val="24"/>
          <w:highlight w:val="none"/>
        </w:rPr>
        <w:t>、技术需求：</w:t>
      </w:r>
    </w:p>
    <w:p w14:paraId="5F74AF0A">
      <w:pPr>
        <w:tabs>
          <w:tab w:val="left" w:pos="2625"/>
        </w:tabs>
        <w:spacing w:line="360" w:lineRule="auto"/>
        <w:ind w:firstLine="480"/>
        <w:rPr>
          <w:rFonts w:ascii="宋体" w:hAnsi="宋体" w:cs="宋体"/>
          <w:color w:val="auto"/>
          <w:sz w:val="24"/>
          <w:highlight w:val="none"/>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、项目</w:t>
      </w:r>
      <w:r>
        <w:rPr>
          <w:rFonts w:hint="eastAsia" w:ascii="宋体" w:hAnsi="宋体" w:eastAsia="宋体" w:cs="宋体"/>
          <w:b/>
          <w:bCs/>
          <w:color w:val="auto"/>
          <w:sz w:val="24"/>
          <w:szCs w:val="24"/>
          <w:highlight w:val="none"/>
          <w:lang w:val="en-US" w:eastAsia="zh-CN"/>
        </w:rPr>
        <w:t>概况</w:t>
      </w:r>
      <w:r>
        <w:rPr>
          <w:rFonts w:hint="eastAsia" w:ascii="宋体" w:hAnsi="宋体" w:cs="宋体"/>
          <w:b/>
          <w:bCs/>
          <w:color w:val="auto"/>
          <w:sz w:val="24"/>
          <w:szCs w:val="24"/>
          <w:highlight w:val="none"/>
          <w:lang w:val="en-US" w:eastAsia="zh-CN"/>
        </w:rPr>
        <w:t>及服务内容：</w:t>
      </w:r>
      <w:r>
        <w:rPr>
          <w:rFonts w:hint="eastAsia" w:ascii="宋体" w:hAnsi="宋体" w:cs="宋体"/>
          <w:bCs/>
          <w:color w:val="auto"/>
          <w:sz w:val="24"/>
          <w:highlight w:val="none"/>
        </w:rPr>
        <w:t>本项目为</w:t>
      </w:r>
      <w:r>
        <w:rPr>
          <w:rFonts w:hint="eastAsia" w:ascii="宋体" w:hAnsi="宋体"/>
          <w:bCs/>
          <w:color w:val="auto"/>
          <w:sz w:val="24"/>
          <w:highlight w:val="none"/>
          <w:lang w:val="en-US" w:eastAsia="zh-CN"/>
        </w:rPr>
        <w:t>无锡市中医医院检验检查外送服务（普检）</w:t>
      </w:r>
      <w:r>
        <w:rPr>
          <w:rFonts w:hint="eastAsia" w:ascii="宋体" w:hAnsi="宋体" w:cs="宋体"/>
          <w:bCs/>
          <w:color w:val="auto"/>
          <w:sz w:val="24"/>
          <w:highlight w:val="none"/>
        </w:rPr>
        <w:t>，要求供应商对我院部分检验检测项目提供检测服务，以满足临床需求，第三方检测机构需要具备合格的检测资质、严格的质量管理、规范的标本转运物流、完善的信息系统对接、及时的报告结果反馈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、具备检验检查结果互认资质</w:t>
      </w:r>
      <w:r>
        <w:rPr>
          <w:rFonts w:hint="eastAsia" w:ascii="宋体" w:hAnsi="宋体" w:cs="宋体"/>
          <w:bCs/>
          <w:color w:val="auto"/>
          <w:sz w:val="24"/>
          <w:highlight w:val="none"/>
        </w:rPr>
        <w:t>。</w:t>
      </w:r>
    </w:p>
    <w:p w14:paraId="5284DBD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外送检验项目</w:t>
      </w:r>
      <w:r>
        <w:rPr>
          <w:rFonts w:hint="eastAsia" w:ascii="宋体" w:hAnsi="宋体" w:eastAsia="宋体" w:cs="宋体"/>
          <w:b/>
          <w:bCs/>
          <w:color w:val="auto"/>
          <w:sz w:val="24"/>
          <w:szCs w:val="24"/>
          <w:highlight w:val="none"/>
          <w:lang w:val="en-US" w:eastAsia="zh-CN"/>
        </w:rPr>
        <w:t>清单</w:t>
      </w:r>
    </w:p>
    <w:tbl>
      <w:tblPr>
        <w:tblStyle w:val="46"/>
        <w:tblW w:w="111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3"/>
        <w:gridCol w:w="3390"/>
        <w:gridCol w:w="1365"/>
        <w:gridCol w:w="1575"/>
        <w:gridCol w:w="1605"/>
        <w:gridCol w:w="1650"/>
        <w:gridCol w:w="983"/>
      </w:tblGrid>
      <w:tr w14:paraId="21F89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C1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auto"/>
                <w:sz w:val="21"/>
                <w:szCs w:val="21"/>
                <w:highlight w:val="none"/>
                <w:u w:val="none"/>
              </w:rPr>
            </w:pPr>
            <w:r>
              <w:rPr>
                <w:rFonts w:hint="eastAsia" w:ascii="宋体" w:hAnsi="宋体" w:eastAsia="宋体" w:cs="宋体"/>
                <w:b w:val="0"/>
                <w:bCs/>
                <w:i w:val="0"/>
                <w:iCs w:val="0"/>
                <w:color w:val="auto"/>
                <w:kern w:val="0"/>
                <w:sz w:val="21"/>
                <w:szCs w:val="21"/>
                <w:highlight w:val="none"/>
                <w:u w:val="none"/>
                <w:lang w:val="en-US" w:eastAsia="zh-CN" w:bidi="ar"/>
              </w:rPr>
              <w:t>序号</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0C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auto"/>
                <w:sz w:val="21"/>
                <w:szCs w:val="21"/>
                <w:highlight w:val="none"/>
                <w:u w:val="none"/>
              </w:rPr>
            </w:pPr>
            <w:r>
              <w:rPr>
                <w:rFonts w:hint="eastAsia" w:ascii="宋体" w:hAnsi="宋体" w:eastAsia="宋体" w:cs="宋体"/>
                <w:b w:val="0"/>
                <w:bCs/>
                <w:i w:val="0"/>
                <w:iCs w:val="0"/>
                <w:color w:val="auto"/>
                <w:kern w:val="0"/>
                <w:sz w:val="21"/>
                <w:szCs w:val="21"/>
                <w:highlight w:val="none"/>
                <w:u w:val="none"/>
                <w:lang w:val="en-US" w:eastAsia="zh-CN" w:bidi="ar"/>
              </w:rPr>
              <w:t>项目名称</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FEC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auto"/>
                <w:sz w:val="21"/>
                <w:szCs w:val="21"/>
                <w:highlight w:val="none"/>
                <w:u w:val="none"/>
              </w:rPr>
            </w:pPr>
            <w:r>
              <w:rPr>
                <w:rFonts w:hint="eastAsia" w:ascii="宋体" w:hAnsi="宋体" w:eastAsia="宋体" w:cs="宋体"/>
                <w:b w:val="0"/>
                <w:bCs/>
                <w:i w:val="0"/>
                <w:iCs w:val="0"/>
                <w:color w:val="auto"/>
                <w:kern w:val="0"/>
                <w:sz w:val="21"/>
                <w:szCs w:val="21"/>
                <w:highlight w:val="none"/>
                <w:u w:val="none"/>
                <w:lang w:val="en-US" w:eastAsia="zh-CN" w:bidi="ar"/>
              </w:rPr>
              <w:t>标本类型</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79F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auto"/>
                <w:sz w:val="21"/>
                <w:szCs w:val="21"/>
                <w:highlight w:val="none"/>
                <w:u w:val="none"/>
              </w:rPr>
            </w:pPr>
            <w:r>
              <w:rPr>
                <w:rFonts w:hint="eastAsia" w:ascii="宋体" w:hAnsi="宋体" w:eastAsia="宋体" w:cs="宋体"/>
                <w:b w:val="0"/>
                <w:bCs/>
                <w:i w:val="0"/>
                <w:iCs w:val="0"/>
                <w:color w:val="auto"/>
                <w:kern w:val="0"/>
                <w:sz w:val="21"/>
                <w:szCs w:val="21"/>
                <w:highlight w:val="none"/>
                <w:u w:val="none"/>
                <w:lang w:val="en-US" w:eastAsia="zh-CN" w:bidi="ar"/>
              </w:rPr>
              <w:t>方法学要求</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D64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auto"/>
                <w:sz w:val="21"/>
                <w:szCs w:val="21"/>
                <w:highlight w:val="none"/>
                <w:u w:val="none"/>
              </w:rPr>
            </w:pPr>
            <w:r>
              <w:rPr>
                <w:rFonts w:hint="eastAsia" w:ascii="宋体" w:hAnsi="宋体" w:eastAsia="宋体" w:cs="宋体"/>
                <w:b w:val="0"/>
                <w:bCs/>
                <w:i w:val="0"/>
                <w:iCs w:val="0"/>
                <w:color w:val="auto"/>
                <w:kern w:val="0"/>
                <w:sz w:val="21"/>
                <w:szCs w:val="21"/>
                <w:highlight w:val="none"/>
                <w:u w:val="none"/>
                <w:lang w:val="en-US" w:eastAsia="zh-CN" w:bidi="ar"/>
              </w:rPr>
              <w:t>出报告时限要求</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483AE">
            <w:pPr>
              <w:widowControl/>
              <w:jc w:val="center"/>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color w:val="auto"/>
                <w:kern w:val="0"/>
                <w:sz w:val="21"/>
                <w:szCs w:val="21"/>
                <w:highlight w:val="none"/>
              </w:rPr>
              <w:t>收费编码</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AAB9">
            <w:pPr>
              <w:widowControl/>
              <w:jc w:val="center"/>
              <w:textAlignment w:val="center"/>
              <w:rPr>
                <w:rFonts w:hint="eastAsia" w:ascii="宋体" w:hAnsi="宋体" w:eastAsia="宋体" w:cs="宋体"/>
                <w:b w:val="0"/>
                <w:bCs/>
                <w:i w:val="0"/>
                <w:iCs w:val="0"/>
                <w:color w:val="auto"/>
                <w:kern w:val="0"/>
                <w:sz w:val="21"/>
                <w:szCs w:val="21"/>
                <w:highlight w:val="none"/>
                <w:u w:val="none"/>
                <w:lang w:val="en-US" w:eastAsia="zh-CN" w:bidi="ar"/>
              </w:rPr>
            </w:pPr>
            <w:r>
              <w:rPr>
                <w:rFonts w:hint="eastAsia" w:ascii="宋体" w:hAnsi="宋体" w:eastAsia="宋体" w:cs="宋体"/>
                <w:b w:val="0"/>
                <w:bCs/>
                <w:color w:val="auto"/>
                <w:kern w:val="0"/>
                <w:sz w:val="21"/>
                <w:szCs w:val="21"/>
                <w:highlight w:val="none"/>
              </w:rPr>
              <w:t>单价（元）</w:t>
            </w:r>
          </w:p>
        </w:tc>
      </w:tr>
      <w:tr w14:paraId="7E486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3DA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C0D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抗心磷脂抗体三项</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5F7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409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C2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top"/>
          </w:tcPr>
          <w:p w14:paraId="19B41D6F">
            <w:pPr>
              <w:keepNext w:val="0"/>
              <w:keepLines w:val="0"/>
              <w:widowControl/>
              <w:suppressLineNumbers w:val="0"/>
              <w:jc w:val="center"/>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250402016-c*3</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033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210</w:t>
            </w:r>
          </w:p>
        </w:tc>
      </w:tr>
      <w:tr w14:paraId="20AC7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FD7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3D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抗β2-糖蛋白1抗体三项</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2EF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EAE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B2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top"/>
          </w:tcPr>
          <w:p w14:paraId="45FE4C20">
            <w:pPr>
              <w:keepNext w:val="0"/>
              <w:keepLines w:val="0"/>
              <w:widowControl/>
              <w:suppressLineNumbers w:val="0"/>
              <w:jc w:val="center"/>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250402042-b*3</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BD51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210</w:t>
            </w:r>
          </w:p>
        </w:tc>
      </w:tr>
      <w:tr w14:paraId="0B3CE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57B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20A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转铁蛋白（TF）</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3B4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21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散射比浊法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DA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B92C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250301007</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DF5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w:t>
            </w:r>
          </w:p>
        </w:tc>
      </w:tr>
      <w:tr w14:paraId="3EED6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AD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FC4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粪便钙卫蛋白定量</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379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粪便</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80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ELISA</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924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2DF6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250301020</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2BF2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118</w:t>
            </w:r>
          </w:p>
        </w:tc>
      </w:tr>
      <w:tr w14:paraId="1F0C1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56A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0E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抗内因子抗体</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ECF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AAA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5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F73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250402034-a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35DB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65</w:t>
            </w:r>
          </w:p>
        </w:tc>
      </w:tr>
      <w:tr w14:paraId="5CE63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096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12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抗胃壁细胞抗体</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54C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EC6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D8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BF7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250402014</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362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w:t>
            </w:r>
          </w:p>
        </w:tc>
      </w:tr>
      <w:tr w14:paraId="12920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58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B2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肝纤维四项（透明质酸（HA）Ⅲ型前胶原（PC-Ⅲ）Ⅳ型胶原（IV-C）层粘连蛋白（LN）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BD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5C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F6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35B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250305022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250305019</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250305018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250305020</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A28C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120</w:t>
            </w:r>
          </w:p>
        </w:tc>
      </w:tr>
      <w:tr w14:paraId="53F77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041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2FD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抗磷脂酶A2受体抗体（ELISA法）</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1EF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C8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ELISA</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790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D06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250307032</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00C4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100</w:t>
            </w:r>
          </w:p>
        </w:tc>
      </w:tr>
      <w:tr w14:paraId="371D3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094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5D4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中性粒细胞明胶酶相关脂质运载蛋白（uNGAL）</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E3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7A9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B1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810F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250307031/250307031-a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441D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60</w:t>
            </w:r>
          </w:p>
        </w:tc>
      </w:tr>
      <w:tr w14:paraId="4DE83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24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58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糖尿病自身抗体</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7C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E7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57D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4AB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250310043-a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1841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60</w:t>
            </w:r>
          </w:p>
        </w:tc>
      </w:tr>
      <w:tr w14:paraId="0C468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C21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D9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类胰岛素生长因子-1测定（IGF-1）</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1BD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340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E5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B74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250310065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70E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120</w:t>
            </w:r>
          </w:p>
        </w:tc>
      </w:tr>
      <w:tr w14:paraId="36807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82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F9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类胰岛素生长因子结合蛋白3测定（IGFBP-3）</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13A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DEB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18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05B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250310066</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5AC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80</w:t>
            </w:r>
          </w:p>
        </w:tc>
      </w:tr>
      <w:tr w14:paraId="7925B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B6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5C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铜蓝蛋白测定</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3F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3AE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比浊法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06B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8701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250401028</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75E0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w:t>
            </w:r>
          </w:p>
        </w:tc>
      </w:tr>
      <w:tr w14:paraId="3C41B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607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00E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血管紧张素转换酶</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27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6EB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显色法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38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5751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250308007</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942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w:t>
            </w:r>
          </w:p>
        </w:tc>
      </w:tr>
      <w:tr w14:paraId="5C055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0A3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3C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EPO（促红细胞生成素）测定</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74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E9B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E9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4FAC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250310029-a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435F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70</w:t>
            </w:r>
          </w:p>
        </w:tc>
      </w:tr>
      <w:tr w14:paraId="22D54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342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D3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血小板膜表面相关抗体三项（包括IgA、IgM、IgG）</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79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5B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流式细胞术</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AD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5F1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250203001</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E6E2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w:t>
            </w:r>
          </w:p>
        </w:tc>
      </w:tr>
      <w:tr w14:paraId="40CDE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95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01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免疫球蛋白亚类定量测定（包括IgG1、IgG2、IgG3、IgG4、IgA1、IgA2）</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7F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92C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散射比浊法、发光法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491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8DE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250401033</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57C6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150</w:t>
            </w:r>
          </w:p>
        </w:tc>
      </w:tr>
      <w:tr w14:paraId="39E75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E36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9E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呼吸道感染病原体IgM抗体检测包括嗜肺军团菌血清1型、肺炎支原体、Q热立克次体、肺炎衣原体、腺病毒、呼吸道合胞病毒、甲型流感病毒、乙型流感病毒和副流感病毒1、2和3型等9项。）</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7CD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DA7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DA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159F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250403083</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391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45</w:t>
            </w:r>
          </w:p>
        </w:tc>
      </w:tr>
      <w:tr w14:paraId="4CB77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DC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4BB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EB病毒抗体</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08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B6C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FB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C841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250403025-b</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EBAD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45</w:t>
            </w:r>
          </w:p>
        </w:tc>
      </w:tr>
      <w:tr w14:paraId="471E4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16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6E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丁型肝炎病毒抗体（HDV-IgM）</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3B2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D9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ELISA</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043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100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250403015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69F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35</w:t>
            </w:r>
          </w:p>
        </w:tc>
      </w:tr>
      <w:tr w14:paraId="2D722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9CE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D85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丁型肝炎病毒抗体（HDV-IgG）</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0B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F16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ELISA</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B41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F7F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250403015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32E3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35</w:t>
            </w:r>
          </w:p>
        </w:tc>
      </w:tr>
      <w:tr w14:paraId="7B844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527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62D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结核杆菌抗体（TB-AB）检测</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3CD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851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ELISA</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2B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F6B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250403042</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9D92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w:t>
            </w:r>
          </w:p>
        </w:tc>
      </w:tr>
      <w:tr w14:paraId="5C89F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2DB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A4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隐球菌荚膜抗原检测</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8A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脑脊液、肺泡灌洗液、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EE7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胶体金免疫层析</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B1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5D6B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250403060-a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81FC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120</w:t>
            </w:r>
          </w:p>
        </w:tc>
      </w:tr>
      <w:tr w14:paraId="63B16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CE6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B2E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真菌（1-3）-β-D-葡聚糖测定</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DA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BD5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动态浊度法/显色基质法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DEF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24A3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250501040</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4FD2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155</w:t>
            </w:r>
          </w:p>
        </w:tc>
      </w:tr>
      <w:tr w14:paraId="03C3E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54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7F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曲霉菌免疫学测定（包括GM、抗体IgG、IgM、IgE测定）</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BD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877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ELISA、化学发光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4E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C1F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250403087</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B08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150</w:t>
            </w:r>
          </w:p>
        </w:tc>
      </w:tr>
      <w:tr w14:paraId="0FCAD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E95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F0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军团菌尿抗原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53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43F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免疫荧光法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E8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67B8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250403083-b</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D7F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95</w:t>
            </w:r>
          </w:p>
        </w:tc>
      </w:tr>
      <w:tr w14:paraId="05082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DFE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15A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军团菌培养</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642E">
            <w:pPr>
              <w:jc w:val="center"/>
              <w:rPr>
                <w:rFonts w:hint="eastAsia" w:ascii="宋体" w:hAnsi="宋体" w:eastAsia="宋体" w:cs="宋体"/>
                <w:i w:val="0"/>
                <w:iCs w:val="0"/>
                <w:color w:val="auto"/>
                <w:sz w:val="21"/>
                <w:szCs w:val="21"/>
                <w:highlight w:val="none"/>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57D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微生物培养</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37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0FD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250501023</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69B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w:t>
            </w:r>
          </w:p>
        </w:tc>
      </w:tr>
      <w:tr w14:paraId="58299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7D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54A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肺吸虫抗原和抗体测定</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008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血液、痰液、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EA6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ELISA</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721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37D0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250403064</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7C3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w:t>
            </w:r>
          </w:p>
        </w:tc>
      </w:tr>
      <w:tr w14:paraId="3024B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4E7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A55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艰难梭菌谷氨酸脱氢酶抗原及毒素检测</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A1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粪便</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CEB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金标法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D8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C9E0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250501047</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432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180</w:t>
            </w:r>
          </w:p>
        </w:tc>
      </w:tr>
      <w:tr w14:paraId="12A42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6E1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D1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柯萨奇B组病毒抗体IgM</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61A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AC5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7B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644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250403035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E42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w:t>
            </w:r>
          </w:p>
        </w:tc>
      </w:tr>
      <w:tr w14:paraId="4FEB9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5C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7B5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内毒素（血清）测定</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002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EE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终点显色基质法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FD5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D78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250503006-a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729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150</w:t>
            </w:r>
          </w:p>
        </w:tc>
      </w:tr>
      <w:tr w14:paraId="2BB31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1AD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503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分枝杆菌鉴定-核酸鉴定与耐药基因检测</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9B8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815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437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47AA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250501043</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250501042</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1760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w:t>
            </w:r>
          </w:p>
        </w:tc>
      </w:tr>
      <w:tr w14:paraId="09838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DE1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F76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各类病原体DNA测定（结核杆菌抗体（TB-DNA）定性检测）</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1AC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7AD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49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1C0C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BC5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r>
      <w:tr w14:paraId="3B26A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85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FD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结核分枝杆菌符合群核酸（定性）</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76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7A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B5D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A36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B413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r>
      <w:tr w14:paraId="0C72C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631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38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病毒五项联合筛查</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C7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22D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RT-PCR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B06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808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250403065-a*5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8AD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750</w:t>
            </w:r>
          </w:p>
        </w:tc>
      </w:tr>
      <w:tr w14:paraId="2C0A6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6C3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0CE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EB病毒DNA荧光定性（EBV-DNA）</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31A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8CB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1C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4CB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42B0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r>
      <w:tr w14:paraId="02701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E29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CEE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巨细胞病毒脱氧核酸（CMV-DNA）</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61D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56C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78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4054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250403065-a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EED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150</w:t>
            </w:r>
          </w:p>
        </w:tc>
      </w:tr>
      <w:tr w14:paraId="68C1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9A5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C7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单纯疱疹病毒Ⅱ型核酸（HSV-II-DNA）定性</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DD3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49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97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FD93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AC24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r>
      <w:tr w14:paraId="504FE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00D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09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34"/>
                <w:rFonts w:hint="eastAsia" w:ascii="宋体" w:hAnsi="宋体" w:eastAsia="宋体" w:cs="宋体"/>
                <w:color w:val="auto"/>
                <w:sz w:val="21"/>
                <w:szCs w:val="21"/>
                <w:highlight w:val="none"/>
                <w:lang w:val="en-US" w:eastAsia="zh-CN" w:bidi="ar"/>
              </w:rPr>
              <w:t>单纯疱疹病毒Ⅱ型核酸（HSV-II-DNA）定量</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4B7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409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E04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C08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250403065-a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39E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150</w:t>
            </w:r>
          </w:p>
        </w:tc>
      </w:tr>
      <w:tr w14:paraId="083FA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77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60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乙型肝炎病毒脱氧核糖核酸扩增定量检测（高灵敏HBV-DNA）</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97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95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RT-PCR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5F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1AAF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250403003-a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9F8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450</w:t>
            </w:r>
          </w:p>
        </w:tc>
      </w:tr>
      <w:tr w14:paraId="50F86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4E1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091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高灵敏度丙肝病毒核酸（HCV-RNA）</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417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632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RT-PCR</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8B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344E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250403013-a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1AA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465</w:t>
            </w:r>
          </w:p>
        </w:tc>
      </w:tr>
      <w:tr w14:paraId="139C8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C54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3E7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儿茶酚胺（肾上腺素、去甲肾上腺素、儿茶酚胺）</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CC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BD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液相色谱-串联质谱法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B89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86E0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250310024-a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A26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60</w:t>
            </w:r>
          </w:p>
        </w:tc>
      </w:tr>
      <w:tr w14:paraId="7A755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E3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6C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24尿尿香草苦杏仁酸</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CE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A1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均相酶免法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91F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528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250310025-b</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DC1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60</w:t>
            </w:r>
          </w:p>
        </w:tc>
      </w:tr>
      <w:tr w14:paraId="1D32E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206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0D5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24小时尿游离皮质醇</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FA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F1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液相色谱-串联质谱法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C76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3A7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250310018-a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1BA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60</w:t>
            </w:r>
          </w:p>
        </w:tc>
      </w:tr>
      <w:tr w14:paraId="5C044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3DB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F0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生长激素（GH）</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9A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6DA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C64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250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250310003-a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FFE7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60</w:t>
            </w:r>
          </w:p>
        </w:tc>
      </w:tr>
      <w:tr w14:paraId="3F850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D28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5C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17α羟孕酮测定</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104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59C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化学发光法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440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8BC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250310033-a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B75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35</w:t>
            </w:r>
          </w:p>
        </w:tc>
      </w:tr>
      <w:tr w14:paraId="3C412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F1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0D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药物浓度测定（万古霉素、丙戊酸、卡马西平、地高辛）环孢霉素、他克莫司</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58A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6C1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液相色谱-串联质谱法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94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21DF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250309005-a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C882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100</w:t>
            </w:r>
          </w:p>
        </w:tc>
      </w:tr>
      <w:tr w14:paraId="31CFE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71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55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脑脊液β淀粉样蛋白42、40</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478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脑脊液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1F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免疫法、化学法光法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C4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D0D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250301023</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FF72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400</w:t>
            </w:r>
          </w:p>
        </w:tc>
      </w:tr>
      <w:tr w14:paraId="293DF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04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88F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脑脊液磷酸化tau-181、tau-217</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4B6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脑脊液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10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免疫法、化学法光法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8C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554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250301022</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538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200</w:t>
            </w:r>
          </w:p>
        </w:tc>
      </w:tr>
      <w:tr w14:paraId="6D7E7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CC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96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血小板聚集功能测定（PAgT）</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9E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70C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流式细胞仪法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A8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top"/>
          </w:tcPr>
          <w:p w14:paraId="40D0B177">
            <w:pPr>
              <w:keepNext w:val="0"/>
              <w:keepLines w:val="0"/>
              <w:widowControl/>
              <w:suppressLineNumbers w:val="0"/>
              <w:jc w:val="center"/>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250203011</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C6D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r>
      <w:tr w14:paraId="440FE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F9E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DBC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血型IgG抗体效价测定（抗A）</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5E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6EF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微柱凝胶法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B7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BE38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260000010</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667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r>
      <w:tr w14:paraId="58D0B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A2D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EA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血型IgG抗体效价测定（抗B）</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56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248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微柱凝胶法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C5D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A6A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260000010</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92E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r>
      <w:tr w14:paraId="56438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03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254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尿N-酰-β-D-氨基葡萄糖苷酶测定（UNAG）</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0E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A6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生化法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F81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A2E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250301007</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5CCF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w:t>
            </w:r>
          </w:p>
        </w:tc>
      </w:tr>
      <w:tr w14:paraId="07599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56E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EF4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尿α2-巨球蛋白测定（Ua2-mG）</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1AC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D3C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免疫比浊法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EA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DD2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250203067</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1CD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w:t>
            </w:r>
          </w:p>
        </w:tc>
      </w:tr>
      <w:tr w14:paraId="58594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A11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EC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尿α1微量球蛋白测定（Ua1-mG）</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0E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F0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免疫比浊法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EC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A63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250307008-a</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06A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r>
      <w:tr w14:paraId="72031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08C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087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尿渗透压</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57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6C85">
            <w:pPr>
              <w:jc w:val="center"/>
              <w:rPr>
                <w:rFonts w:hint="eastAsia" w:ascii="宋体" w:hAnsi="宋体" w:eastAsia="宋体" w:cs="宋体"/>
                <w:i w:val="0"/>
                <w:iCs w:val="0"/>
                <w:color w:val="auto"/>
                <w:sz w:val="21"/>
                <w:szCs w:val="21"/>
                <w:highlight w:val="none"/>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2E0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845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250102004</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6BF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r>
      <w:tr w14:paraId="65641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7C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99F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微量元素测定</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C0F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血液</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BB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质谱法</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1D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2个工作日</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5AA4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250304009-a/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250304013</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DD4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w:t>
            </w:r>
          </w:p>
        </w:tc>
      </w:tr>
    </w:tbl>
    <w:p w14:paraId="4D2D8717">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质量要求：</w:t>
      </w:r>
    </w:p>
    <w:p w14:paraId="7866BDA7">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实验室取得</w:t>
      </w:r>
      <w:r>
        <w:rPr>
          <w:rFonts w:hint="eastAsia" w:ascii="宋体" w:hAnsi="宋体" w:cs="宋体"/>
          <w:color w:val="auto"/>
          <w:sz w:val="24"/>
          <w:highlight w:val="none"/>
        </w:rPr>
        <w:t>ISO 15189:20</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rPr>
        <w:t>2</w:t>
      </w:r>
      <w:r>
        <w:rPr>
          <w:rFonts w:hint="eastAsia" w:ascii="宋体" w:hAnsi="宋体" w:eastAsia="宋体" w:cs="宋体"/>
          <w:color w:val="auto"/>
          <w:sz w:val="24"/>
          <w:szCs w:val="24"/>
          <w:highlight w:val="none"/>
        </w:rPr>
        <w:t>认证（官网https://www.cnas.org.cn/查询为有效状态，</w:t>
      </w:r>
      <w:r>
        <w:rPr>
          <w:rFonts w:hint="eastAsia" w:ascii="宋体" w:hAnsi="宋体" w:eastAsia="宋体" w:cs="宋体"/>
          <w:bCs/>
          <w:color w:val="auto"/>
          <w:sz w:val="24"/>
          <w:szCs w:val="24"/>
          <w:highlight w:val="none"/>
        </w:rPr>
        <w:t>提供中国合格评定国家认可委员会认可的证书复印件、官网查询截图），实验室具有完善的质量管理体系，确保结果的准确性；</w:t>
      </w:r>
    </w:p>
    <w:p w14:paraId="6C2E3C7D">
      <w:pPr>
        <w:pStyle w:val="6"/>
        <w:shd w:val="clear" w:color="auto" w:fill="FFFFFF"/>
        <w:spacing w:before="0" w:beforeAutospacing="0" w:after="37" w:afterAutospacing="0" w:line="360" w:lineRule="auto"/>
        <w:ind w:firstLine="480" w:firstLineChars="200"/>
        <w:jc w:val="left"/>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3.</w:t>
      </w:r>
      <w:r>
        <w:rPr>
          <w:rFonts w:hint="eastAsia" w:ascii="宋体" w:hAnsi="宋体" w:eastAsia="宋体" w:cs="宋体"/>
          <w:b w:val="0"/>
          <w:bCs w:val="0"/>
          <w:color w:val="auto"/>
          <w:kern w:val="2"/>
          <w:sz w:val="24"/>
          <w:szCs w:val="24"/>
          <w:highlight w:val="none"/>
        </w:rPr>
        <w:t>2</w:t>
      </w:r>
      <w:r>
        <w:rPr>
          <w:rFonts w:hint="eastAsia" w:ascii="宋体" w:hAnsi="宋体" w:eastAsia="宋体" w:cs="宋体"/>
          <w:b w:val="0"/>
          <w:bCs w:val="0"/>
          <w:color w:val="auto"/>
          <w:kern w:val="2"/>
          <w:sz w:val="24"/>
          <w:szCs w:val="24"/>
          <w:highlight w:val="none"/>
          <w:lang w:eastAsia="zh-CN"/>
        </w:rPr>
        <w:t>、</w:t>
      </w:r>
      <w:r>
        <w:rPr>
          <w:rFonts w:hint="eastAsia" w:ascii="宋体" w:hAnsi="宋体" w:eastAsia="宋体" w:cs="宋体"/>
          <w:b w:val="0"/>
          <w:bCs w:val="0"/>
          <w:color w:val="auto"/>
          <w:kern w:val="2"/>
          <w:sz w:val="24"/>
          <w:szCs w:val="24"/>
          <w:highlight w:val="none"/>
        </w:rPr>
        <w:t>合作的检验项目参加国家临检中心及省临检中心组织的室间质评（提供参加的项目明细及2023年的合格证书）；没有参加室间质评价的项目，需要每年两次室间比对（提供室间比对方案及比对报告，含原始数据）</w:t>
      </w:r>
    </w:p>
    <w:p w14:paraId="14BB6B98">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3</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试剂盒资质：</w:t>
      </w:r>
      <w:r>
        <w:rPr>
          <w:rFonts w:hint="eastAsia" w:ascii="宋体" w:hAnsi="宋体" w:eastAsia="宋体" w:cs="宋体"/>
          <w:color w:val="auto"/>
          <w:sz w:val="24"/>
          <w:szCs w:val="24"/>
          <w:highlight w:val="none"/>
        </w:rPr>
        <w:t>检测所使用的试剂符合国家规范及行业标准，获得国家食品药品监督管理总局/国家药品监督管理局认证。</w:t>
      </w:r>
    </w:p>
    <w:p w14:paraId="3CD41132">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4</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检测实验室所配备的检测人员及报告审核人员都需具有医学检验专业卫生技术资质</w:t>
      </w:r>
      <w:r>
        <w:rPr>
          <w:rFonts w:hint="eastAsia" w:ascii="宋体" w:hAnsi="宋体" w:eastAsia="宋体" w:cs="宋体"/>
          <w:color w:val="auto"/>
          <w:sz w:val="24"/>
          <w:szCs w:val="24"/>
          <w:highlight w:val="none"/>
        </w:rPr>
        <w:t>。</w:t>
      </w:r>
    </w:p>
    <w:p w14:paraId="0220AA9A">
      <w:pPr>
        <w:pStyle w:val="18"/>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检测仪器设备需要符合国家标准，具有仪器设备“三证”</w:t>
      </w:r>
      <w:r>
        <w:rPr>
          <w:rFonts w:hint="eastAsia" w:ascii="宋体" w:hAnsi="宋体" w:eastAsia="宋体" w:cs="宋体"/>
          <w:bCs/>
          <w:color w:val="auto"/>
          <w:sz w:val="24"/>
          <w:szCs w:val="24"/>
          <w:highlight w:val="none"/>
          <w:lang w:val="en-US" w:eastAsia="zh-CN"/>
        </w:rPr>
        <w:t>及有效期内的仪器检验/校准合格证书</w:t>
      </w:r>
    </w:p>
    <w:p w14:paraId="6C32BE60">
      <w:pPr>
        <w:pStyle w:val="6"/>
        <w:shd w:val="clear" w:color="auto" w:fill="FFFFFF"/>
        <w:spacing w:before="0" w:beforeAutospacing="0" w:after="37" w:afterAutospacing="0" w:line="360" w:lineRule="auto"/>
        <w:ind w:firstLine="480" w:firstLineChars="200"/>
        <w:jc w:val="left"/>
        <w:rPr>
          <w:rFonts w:hint="eastAsia" w:ascii="宋体" w:hAnsi="宋体" w:eastAsia="宋体" w:cs="宋体"/>
          <w:b w:val="0"/>
          <w:color w:val="auto"/>
          <w:kern w:val="2"/>
          <w:sz w:val="24"/>
          <w:szCs w:val="24"/>
          <w:highlight w:val="none"/>
        </w:rPr>
      </w:pPr>
      <w:r>
        <w:rPr>
          <w:rFonts w:hint="eastAsia" w:ascii="宋体" w:hAnsi="宋体" w:eastAsia="宋体" w:cs="宋体"/>
          <w:b w:val="0"/>
          <w:color w:val="auto"/>
          <w:kern w:val="2"/>
          <w:sz w:val="24"/>
          <w:szCs w:val="24"/>
          <w:highlight w:val="none"/>
          <w:lang w:val="en-US" w:eastAsia="zh-CN"/>
        </w:rPr>
        <w:t>3.</w:t>
      </w:r>
      <w:r>
        <w:rPr>
          <w:rFonts w:hint="eastAsia" w:ascii="宋体" w:hAnsi="宋体" w:eastAsia="宋体" w:cs="宋体"/>
          <w:b w:val="0"/>
          <w:color w:val="auto"/>
          <w:kern w:val="2"/>
          <w:sz w:val="24"/>
          <w:szCs w:val="24"/>
          <w:highlight w:val="none"/>
        </w:rPr>
        <w:t>6</w:t>
      </w:r>
      <w:r>
        <w:rPr>
          <w:rFonts w:hint="eastAsia" w:ascii="宋体" w:hAnsi="宋体" w:eastAsia="宋体" w:cs="宋体"/>
          <w:b w:val="0"/>
          <w:color w:val="auto"/>
          <w:kern w:val="2"/>
          <w:sz w:val="24"/>
          <w:szCs w:val="24"/>
          <w:highlight w:val="none"/>
          <w:lang w:eastAsia="zh-CN"/>
        </w:rPr>
        <w:t>、</w:t>
      </w:r>
      <w:r>
        <w:rPr>
          <w:rFonts w:hint="eastAsia" w:ascii="宋体" w:hAnsi="宋体" w:eastAsia="宋体" w:cs="宋体"/>
          <w:b w:val="0"/>
          <w:color w:val="auto"/>
          <w:kern w:val="2"/>
          <w:sz w:val="24"/>
          <w:szCs w:val="24"/>
          <w:highlight w:val="none"/>
        </w:rPr>
        <w:t>所有合作的检测项目日常都需要室内质控或质量控制措施；每月定期提供合作项目的室内质控或室内质量控制措施；</w:t>
      </w:r>
    </w:p>
    <w:p w14:paraId="12F813D5">
      <w:pPr>
        <w:pStyle w:val="6"/>
        <w:shd w:val="clear" w:color="auto" w:fill="FFFFFF"/>
        <w:spacing w:before="0" w:beforeAutospacing="0" w:after="37" w:afterAutospacing="0" w:line="360" w:lineRule="auto"/>
        <w:ind w:firstLine="480" w:firstLineChars="200"/>
        <w:jc w:val="left"/>
        <w:rPr>
          <w:rFonts w:hint="eastAsia" w:ascii="宋体" w:hAnsi="宋体" w:eastAsia="宋体" w:cs="宋体"/>
          <w:b w:val="0"/>
          <w:color w:val="auto"/>
          <w:kern w:val="2"/>
          <w:sz w:val="24"/>
          <w:szCs w:val="24"/>
          <w:highlight w:val="none"/>
        </w:rPr>
      </w:pPr>
      <w:r>
        <w:rPr>
          <w:rFonts w:hint="eastAsia" w:ascii="宋体" w:hAnsi="宋体" w:eastAsia="宋体" w:cs="宋体"/>
          <w:b w:val="0"/>
          <w:color w:val="auto"/>
          <w:kern w:val="2"/>
          <w:sz w:val="24"/>
          <w:szCs w:val="24"/>
          <w:highlight w:val="none"/>
          <w:lang w:val="en-US" w:eastAsia="zh-CN"/>
        </w:rPr>
        <w:t>3.</w:t>
      </w:r>
      <w:r>
        <w:rPr>
          <w:rFonts w:hint="eastAsia" w:ascii="宋体" w:hAnsi="宋体" w:eastAsia="宋体" w:cs="宋体"/>
          <w:b w:val="0"/>
          <w:color w:val="auto"/>
          <w:kern w:val="2"/>
          <w:sz w:val="24"/>
          <w:szCs w:val="24"/>
          <w:highlight w:val="none"/>
        </w:rPr>
        <w:t>7</w:t>
      </w:r>
      <w:r>
        <w:rPr>
          <w:rFonts w:hint="eastAsia" w:ascii="宋体" w:hAnsi="宋体" w:eastAsia="宋体" w:cs="宋体"/>
          <w:b w:val="0"/>
          <w:color w:val="auto"/>
          <w:kern w:val="2"/>
          <w:sz w:val="24"/>
          <w:szCs w:val="24"/>
          <w:highlight w:val="none"/>
          <w:lang w:eastAsia="zh-CN"/>
        </w:rPr>
        <w:t>、</w:t>
      </w:r>
      <w:r>
        <w:rPr>
          <w:rFonts w:hint="eastAsia" w:ascii="宋体" w:hAnsi="宋体" w:eastAsia="宋体" w:cs="宋体"/>
          <w:b w:val="0"/>
          <w:color w:val="auto"/>
          <w:kern w:val="2"/>
          <w:sz w:val="24"/>
          <w:szCs w:val="24"/>
          <w:highlight w:val="none"/>
        </w:rPr>
        <w:t>对标本检测要认真负责，对有异议的结果需要进一步复查或跟医院沟通；</w:t>
      </w:r>
    </w:p>
    <w:p w14:paraId="4F299683">
      <w:pPr>
        <w:keepNext w:val="0"/>
        <w:keepLines w:val="0"/>
        <w:pageBreakBefore w:val="0"/>
        <w:widowControl w:val="0"/>
        <w:kinsoku/>
        <w:wordWrap/>
        <w:overflowPunct/>
        <w:bidi w:val="0"/>
        <w:adjustRightInd/>
        <w:snapToGrid/>
        <w:spacing w:line="360" w:lineRule="auto"/>
        <w:ind w:left="420" w:leftChars="200" w:right="0" w:firstLine="0" w:firstLineChars="0"/>
        <w:jc w:val="both"/>
        <w:textAlignment w:val="auto"/>
        <w:outlineLvl w:val="9"/>
        <w:rPr>
          <w:rFonts w:hint="eastAsia" w:ascii="宋体" w:hAnsi="宋体" w:eastAsia="宋体" w:cs="宋体"/>
          <w:b w:val="0"/>
          <w:color w:val="auto"/>
          <w:kern w:val="2"/>
          <w:sz w:val="24"/>
          <w:szCs w:val="24"/>
          <w:highlight w:val="none"/>
        </w:rPr>
      </w:pPr>
      <w:r>
        <w:rPr>
          <w:rFonts w:hint="eastAsia" w:ascii="宋体" w:hAnsi="宋体" w:eastAsia="宋体" w:cs="宋体"/>
          <w:b w:val="0"/>
          <w:color w:val="auto"/>
          <w:kern w:val="2"/>
          <w:sz w:val="24"/>
          <w:szCs w:val="24"/>
          <w:highlight w:val="none"/>
          <w:lang w:val="en-US" w:eastAsia="zh-CN"/>
        </w:rPr>
        <w:t>3.</w:t>
      </w:r>
      <w:r>
        <w:rPr>
          <w:rFonts w:hint="eastAsia" w:ascii="宋体" w:hAnsi="宋体" w:eastAsia="宋体" w:cs="宋体"/>
          <w:b w:val="0"/>
          <w:color w:val="auto"/>
          <w:kern w:val="2"/>
          <w:sz w:val="24"/>
          <w:szCs w:val="24"/>
          <w:highlight w:val="none"/>
        </w:rPr>
        <w:t>8</w:t>
      </w:r>
      <w:r>
        <w:rPr>
          <w:rFonts w:hint="eastAsia" w:ascii="宋体" w:hAnsi="宋体" w:eastAsia="宋体" w:cs="宋体"/>
          <w:b w:val="0"/>
          <w:color w:val="auto"/>
          <w:kern w:val="2"/>
          <w:sz w:val="24"/>
          <w:szCs w:val="24"/>
          <w:highlight w:val="none"/>
          <w:lang w:eastAsia="zh-CN"/>
        </w:rPr>
        <w:t>、</w:t>
      </w:r>
      <w:r>
        <w:rPr>
          <w:rFonts w:hint="eastAsia" w:ascii="宋体" w:hAnsi="宋体" w:eastAsia="宋体" w:cs="宋体"/>
          <w:b w:val="0"/>
          <w:color w:val="auto"/>
          <w:kern w:val="2"/>
          <w:sz w:val="24"/>
          <w:szCs w:val="24"/>
          <w:highlight w:val="none"/>
        </w:rPr>
        <w:t>具备完善的冷链运输体系及服务说明；</w:t>
      </w:r>
    </w:p>
    <w:p w14:paraId="2025FFAA">
      <w:pPr>
        <w:keepNext w:val="0"/>
        <w:keepLines w:val="0"/>
        <w:pageBreakBefore w:val="0"/>
        <w:widowControl w:val="0"/>
        <w:kinsoku/>
        <w:wordWrap/>
        <w:overflowPunct/>
        <w:bidi w:val="0"/>
        <w:adjustRightInd/>
        <w:snapToGrid/>
        <w:spacing w:line="360" w:lineRule="auto"/>
        <w:ind w:left="420" w:leftChars="200" w:right="0" w:firstLine="0" w:firstLineChars="0"/>
        <w:jc w:val="both"/>
        <w:textAlignment w:val="auto"/>
        <w:outlineLvl w:val="9"/>
        <w:rPr>
          <w:rFonts w:hint="default" w:ascii="宋体" w:hAnsi="宋体" w:eastAsia="宋体" w:cs="宋体"/>
          <w:b w:val="0"/>
          <w:color w:val="auto"/>
          <w:kern w:val="2"/>
          <w:sz w:val="24"/>
          <w:szCs w:val="24"/>
          <w:highlight w:val="none"/>
          <w:lang w:val="en-US" w:eastAsia="zh-CN"/>
        </w:rPr>
      </w:pPr>
      <w:r>
        <w:rPr>
          <w:rFonts w:hint="eastAsia" w:ascii="宋体" w:hAnsi="宋体" w:eastAsia="宋体" w:cs="宋体"/>
          <w:b w:val="0"/>
          <w:color w:val="auto"/>
          <w:kern w:val="2"/>
          <w:sz w:val="24"/>
          <w:szCs w:val="24"/>
          <w:highlight w:val="none"/>
          <w:lang w:val="en-US" w:eastAsia="zh-CN"/>
        </w:rPr>
        <w:t>3.8</w:t>
      </w:r>
      <w:r>
        <w:rPr>
          <w:rFonts w:hint="default" w:ascii="宋体" w:hAnsi="宋体" w:eastAsia="宋体" w:cs="宋体"/>
          <w:b w:val="0"/>
          <w:color w:val="auto"/>
          <w:kern w:val="2"/>
          <w:sz w:val="24"/>
          <w:szCs w:val="24"/>
          <w:highlight w:val="none"/>
          <w:lang w:val="en-US" w:eastAsia="zh-CN"/>
        </w:rPr>
        <w:t>.1 根据</w:t>
      </w:r>
      <w:r>
        <w:rPr>
          <w:rFonts w:hint="eastAsia" w:ascii="宋体" w:hAnsi="宋体" w:eastAsia="宋体" w:cs="宋体"/>
          <w:b w:val="0"/>
          <w:color w:val="auto"/>
          <w:kern w:val="2"/>
          <w:sz w:val="24"/>
          <w:szCs w:val="24"/>
          <w:highlight w:val="none"/>
          <w:lang w:val="en-US" w:eastAsia="zh-CN"/>
        </w:rPr>
        <w:t>检</w:t>
      </w:r>
      <w:r>
        <w:rPr>
          <w:rFonts w:hint="default" w:ascii="宋体" w:hAnsi="宋体" w:eastAsia="宋体" w:cs="宋体"/>
          <w:b w:val="0"/>
          <w:color w:val="auto"/>
          <w:kern w:val="2"/>
          <w:sz w:val="24"/>
          <w:szCs w:val="24"/>
          <w:highlight w:val="none"/>
          <w:lang w:val="en-US" w:eastAsia="zh-CN"/>
        </w:rPr>
        <w:t>测项目外送要求，提供详细物流规划方案。</w:t>
      </w:r>
    </w:p>
    <w:p w14:paraId="09C8ED89">
      <w:pPr>
        <w:keepNext w:val="0"/>
        <w:keepLines w:val="0"/>
        <w:pageBreakBefore w:val="0"/>
        <w:widowControl w:val="0"/>
        <w:kinsoku/>
        <w:wordWrap/>
        <w:overflowPunct/>
        <w:bidi w:val="0"/>
        <w:adjustRightInd/>
        <w:snapToGrid/>
        <w:spacing w:line="360" w:lineRule="auto"/>
        <w:ind w:left="420" w:leftChars="200" w:right="0" w:firstLine="0" w:firstLineChars="0"/>
        <w:jc w:val="both"/>
        <w:textAlignment w:val="auto"/>
        <w:outlineLvl w:val="9"/>
        <w:rPr>
          <w:rFonts w:hint="default" w:ascii="宋体" w:hAnsi="宋体" w:eastAsia="宋体" w:cs="宋体"/>
          <w:b w:val="0"/>
          <w:color w:val="auto"/>
          <w:kern w:val="2"/>
          <w:sz w:val="24"/>
          <w:szCs w:val="24"/>
          <w:highlight w:val="none"/>
          <w:lang w:val="en-US" w:eastAsia="zh-CN"/>
        </w:rPr>
      </w:pPr>
      <w:r>
        <w:rPr>
          <w:rFonts w:hint="eastAsia" w:ascii="宋体" w:hAnsi="宋体" w:eastAsia="宋体" w:cs="宋体"/>
          <w:b w:val="0"/>
          <w:color w:val="auto"/>
          <w:kern w:val="2"/>
          <w:sz w:val="24"/>
          <w:szCs w:val="24"/>
          <w:highlight w:val="none"/>
          <w:lang w:val="en-US" w:eastAsia="zh-CN"/>
        </w:rPr>
        <w:t>3.8</w:t>
      </w:r>
      <w:r>
        <w:rPr>
          <w:rFonts w:hint="default" w:ascii="宋体" w:hAnsi="宋体" w:eastAsia="宋体" w:cs="宋体"/>
          <w:b w:val="0"/>
          <w:color w:val="auto"/>
          <w:kern w:val="2"/>
          <w:sz w:val="24"/>
          <w:szCs w:val="24"/>
          <w:highlight w:val="none"/>
          <w:lang w:val="en-US" w:eastAsia="zh-CN"/>
        </w:rPr>
        <w:t>.2 所有</w:t>
      </w:r>
      <w:r>
        <w:rPr>
          <w:rFonts w:hint="eastAsia" w:ascii="宋体" w:hAnsi="宋体" w:eastAsia="宋体" w:cs="宋体"/>
          <w:b w:val="0"/>
          <w:color w:val="auto"/>
          <w:kern w:val="2"/>
          <w:sz w:val="24"/>
          <w:szCs w:val="24"/>
          <w:highlight w:val="none"/>
          <w:lang w:val="en-US" w:eastAsia="zh-CN"/>
        </w:rPr>
        <w:t>标本</w:t>
      </w:r>
      <w:r>
        <w:rPr>
          <w:rFonts w:hint="default" w:ascii="宋体" w:hAnsi="宋体" w:eastAsia="宋体" w:cs="宋体"/>
          <w:b w:val="0"/>
          <w:color w:val="auto"/>
          <w:kern w:val="2"/>
          <w:sz w:val="24"/>
          <w:szCs w:val="24"/>
          <w:highlight w:val="none"/>
          <w:lang w:val="en-US" w:eastAsia="zh-CN"/>
        </w:rPr>
        <w:t>的运送必须符合</w:t>
      </w:r>
      <w:r>
        <w:rPr>
          <w:rFonts w:hint="eastAsia" w:ascii="宋体" w:hAnsi="宋体" w:eastAsia="宋体" w:cs="宋体"/>
          <w:b w:val="0"/>
          <w:color w:val="auto"/>
          <w:kern w:val="2"/>
          <w:sz w:val="24"/>
          <w:szCs w:val="24"/>
          <w:highlight w:val="none"/>
          <w:lang w:val="en-US" w:eastAsia="zh-CN"/>
        </w:rPr>
        <w:t>标本</w:t>
      </w:r>
      <w:r>
        <w:rPr>
          <w:rFonts w:hint="default" w:ascii="宋体" w:hAnsi="宋体" w:eastAsia="宋体" w:cs="宋体"/>
          <w:b w:val="0"/>
          <w:color w:val="auto"/>
          <w:kern w:val="2"/>
          <w:sz w:val="24"/>
          <w:szCs w:val="24"/>
          <w:highlight w:val="none"/>
          <w:lang w:val="en-US" w:eastAsia="zh-CN"/>
        </w:rPr>
        <w:t>温度的管理要求，采用相应的冷链运送技术，特殊标本运输过程中需干冰冻存。</w:t>
      </w:r>
    </w:p>
    <w:p w14:paraId="1C12BE34">
      <w:pPr>
        <w:keepNext w:val="0"/>
        <w:keepLines w:val="0"/>
        <w:pageBreakBefore w:val="0"/>
        <w:widowControl w:val="0"/>
        <w:kinsoku/>
        <w:wordWrap/>
        <w:overflowPunct/>
        <w:bidi w:val="0"/>
        <w:adjustRightInd/>
        <w:snapToGrid/>
        <w:spacing w:line="360" w:lineRule="auto"/>
        <w:ind w:left="420" w:leftChars="200" w:right="0" w:firstLine="0" w:firstLineChars="0"/>
        <w:jc w:val="both"/>
        <w:textAlignment w:val="auto"/>
        <w:outlineLvl w:val="9"/>
        <w:rPr>
          <w:rFonts w:hint="default" w:ascii="宋体" w:hAnsi="宋体" w:eastAsia="宋体" w:cs="宋体"/>
          <w:b w:val="0"/>
          <w:color w:val="auto"/>
          <w:kern w:val="2"/>
          <w:sz w:val="24"/>
          <w:szCs w:val="24"/>
          <w:highlight w:val="none"/>
          <w:lang w:val="en-US" w:eastAsia="zh-CN"/>
        </w:rPr>
      </w:pPr>
      <w:r>
        <w:rPr>
          <w:rFonts w:hint="eastAsia" w:ascii="宋体" w:hAnsi="宋体" w:eastAsia="宋体" w:cs="宋体"/>
          <w:b w:val="0"/>
          <w:color w:val="auto"/>
          <w:kern w:val="2"/>
          <w:sz w:val="24"/>
          <w:szCs w:val="24"/>
          <w:highlight w:val="none"/>
          <w:lang w:val="en-US" w:eastAsia="zh-CN"/>
        </w:rPr>
        <w:t>3.8</w:t>
      </w:r>
      <w:r>
        <w:rPr>
          <w:rFonts w:hint="default" w:ascii="宋体" w:hAnsi="宋体" w:eastAsia="宋体" w:cs="宋体"/>
          <w:b w:val="0"/>
          <w:color w:val="auto"/>
          <w:kern w:val="2"/>
          <w:sz w:val="24"/>
          <w:szCs w:val="24"/>
          <w:highlight w:val="none"/>
          <w:lang w:val="en-US" w:eastAsia="zh-CN"/>
        </w:rPr>
        <w:t>.3所有</w:t>
      </w:r>
      <w:r>
        <w:rPr>
          <w:rFonts w:hint="eastAsia" w:ascii="宋体" w:hAnsi="宋体" w:eastAsia="宋体" w:cs="宋体"/>
          <w:b w:val="0"/>
          <w:color w:val="auto"/>
          <w:kern w:val="2"/>
          <w:sz w:val="24"/>
          <w:szCs w:val="24"/>
          <w:highlight w:val="none"/>
          <w:lang w:val="en-US" w:eastAsia="zh-CN"/>
        </w:rPr>
        <w:t>标本</w:t>
      </w:r>
      <w:r>
        <w:rPr>
          <w:rFonts w:hint="default" w:ascii="宋体" w:hAnsi="宋体" w:eastAsia="宋体" w:cs="宋体"/>
          <w:b w:val="0"/>
          <w:color w:val="auto"/>
          <w:kern w:val="2"/>
          <w:sz w:val="24"/>
          <w:szCs w:val="24"/>
          <w:highlight w:val="none"/>
          <w:lang w:val="en-US" w:eastAsia="zh-CN"/>
        </w:rPr>
        <w:t>运送必须采用符合相关标准的冷链物流车或转送车辆及冷链物流箱，冷链物流车或转送车辆及冷链物流箱配备数量满足标本转送要求。</w:t>
      </w:r>
    </w:p>
    <w:p w14:paraId="1E1CF62C">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jc w:val="both"/>
        <w:textAlignment w:val="auto"/>
        <w:outlineLvl w:val="9"/>
        <w:rPr>
          <w:rFonts w:hint="default" w:ascii="宋体" w:hAnsi="宋体" w:eastAsia="宋体" w:cs="宋体"/>
          <w:b w:val="0"/>
          <w:color w:val="auto"/>
          <w:kern w:val="2"/>
          <w:sz w:val="24"/>
          <w:szCs w:val="24"/>
          <w:highlight w:val="none"/>
          <w:lang w:val="en-US" w:eastAsia="zh-CN"/>
        </w:rPr>
      </w:pPr>
      <w:r>
        <w:rPr>
          <w:rFonts w:hint="eastAsia" w:ascii="宋体" w:hAnsi="宋体" w:eastAsia="宋体" w:cs="宋体"/>
          <w:b w:val="0"/>
          <w:color w:val="auto"/>
          <w:kern w:val="2"/>
          <w:sz w:val="24"/>
          <w:szCs w:val="24"/>
          <w:highlight w:val="none"/>
          <w:lang w:val="en-US" w:eastAsia="zh-CN"/>
        </w:rPr>
        <w:t>3.8</w:t>
      </w:r>
      <w:r>
        <w:rPr>
          <w:rFonts w:hint="default" w:ascii="宋体" w:hAnsi="宋体" w:eastAsia="宋体" w:cs="宋体"/>
          <w:b w:val="0"/>
          <w:color w:val="auto"/>
          <w:kern w:val="2"/>
          <w:sz w:val="24"/>
          <w:szCs w:val="24"/>
          <w:highlight w:val="none"/>
          <w:lang w:val="en-US" w:eastAsia="zh-CN"/>
        </w:rPr>
        <w:t>.4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w:t>
      </w:r>
    </w:p>
    <w:p w14:paraId="6784E8E2">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9</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有避免标本丢失的措施或预案；</w:t>
      </w:r>
      <w:r>
        <w:rPr>
          <w:rFonts w:hint="eastAsia" w:ascii="宋体" w:hAnsi="宋体" w:eastAsia="宋体" w:cs="宋体"/>
          <w:b w:val="0"/>
          <w:bCs w:val="0"/>
          <w:color w:val="auto"/>
          <w:kern w:val="2"/>
          <w:sz w:val="24"/>
          <w:szCs w:val="24"/>
          <w:highlight w:val="none"/>
          <w:lang w:val="en-US" w:eastAsia="zh-CN" w:bidi="ar-SA"/>
        </w:rPr>
        <w:t>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p>
    <w:p w14:paraId="151383A5">
      <w:pPr>
        <w:pStyle w:val="6"/>
        <w:shd w:val="clear" w:color="auto" w:fill="FFFFFF"/>
        <w:spacing w:before="0" w:beforeAutospacing="0" w:after="37" w:afterAutospacing="0" w:line="360" w:lineRule="auto"/>
        <w:ind w:firstLine="480" w:firstLineChars="200"/>
        <w:jc w:val="left"/>
        <w:rPr>
          <w:rFonts w:hint="eastAsia" w:ascii="宋体" w:hAnsi="宋体" w:eastAsia="宋体" w:cs="宋体"/>
          <w:b w:val="0"/>
          <w:color w:val="auto"/>
          <w:kern w:val="2"/>
          <w:sz w:val="24"/>
          <w:szCs w:val="24"/>
          <w:highlight w:val="none"/>
        </w:rPr>
      </w:pPr>
      <w:r>
        <w:rPr>
          <w:rFonts w:hint="eastAsia" w:ascii="宋体" w:hAnsi="宋体" w:eastAsia="宋体" w:cs="宋体"/>
          <w:b w:val="0"/>
          <w:color w:val="auto"/>
          <w:kern w:val="2"/>
          <w:sz w:val="24"/>
          <w:szCs w:val="24"/>
          <w:highlight w:val="none"/>
          <w:lang w:val="en-US" w:eastAsia="zh-CN"/>
        </w:rPr>
        <w:t>3.</w:t>
      </w:r>
      <w:r>
        <w:rPr>
          <w:rFonts w:hint="eastAsia" w:ascii="宋体" w:hAnsi="宋体" w:eastAsia="宋体" w:cs="宋体"/>
          <w:b w:val="0"/>
          <w:color w:val="auto"/>
          <w:kern w:val="2"/>
          <w:sz w:val="24"/>
          <w:szCs w:val="24"/>
          <w:highlight w:val="none"/>
        </w:rPr>
        <w:t>10</w:t>
      </w:r>
      <w:r>
        <w:rPr>
          <w:rFonts w:hint="eastAsia" w:ascii="宋体" w:hAnsi="宋体" w:eastAsia="宋体" w:cs="宋体"/>
          <w:b w:val="0"/>
          <w:color w:val="auto"/>
          <w:kern w:val="2"/>
          <w:sz w:val="24"/>
          <w:szCs w:val="24"/>
          <w:highlight w:val="none"/>
          <w:lang w:eastAsia="zh-CN"/>
        </w:rPr>
        <w:t>、</w:t>
      </w:r>
      <w:r>
        <w:rPr>
          <w:rFonts w:hint="eastAsia" w:ascii="宋体" w:hAnsi="宋体" w:eastAsia="宋体" w:cs="宋体"/>
          <w:b w:val="0"/>
          <w:color w:val="auto"/>
          <w:kern w:val="2"/>
          <w:sz w:val="24"/>
          <w:szCs w:val="24"/>
          <w:highlight w:val="none"/>
        </w:rPr>
        <w:t>取得二级以上生物安全实验室证书（提供生物安全实验室备案证书复印件）；</w:t>
      </w:r>
    </w:p>
    <w:p w14:paraId="1167D827">
      <w:pPr>
        <w:numPr>
          <w:ilvl w:val="0"/>
          <w:numId w:val="0"/>
        </w:numPr>
        <w:spacing w:line="360" w:lineRule="auto"/>
        <w:ind w:left="482" w:leftChars="0"/>
        <w:rPr>
          <w:rFonts w:hint="eastAsia" w:ascii="宋体" w:hAnsi="宋体" w:eastAsia="宋体"/>
          <w:b/>
          <w:bCs/>
          <w:color w:val="auto"/>
          <w:sz w:val="24"/>
          <w:highlight w:val="none"/>
          <w:lang w:eastAsia="zh-CN"/>
        </w:rPr>
      </w:pPr>
      <w:r>
        <w:rPr>
          <w:rFonts w:hint="eastAsia" w:ascii="宋体" w:hAnsi="宋体"/>
          <w:b/>
          <w:bCs/>
          <w:color w:val="auto"/>
          <w:sz w:val="24"/>
          <w:highlight w:val="none"/>
          <w:lang w:val="en-US" w:eastAsia="zh-CN"/>
        </w:rPr>
        <w:t>4、</w:t>
      </w:r>
      <w:r>
        <w:rPr>
          <w:rFonts w:hint="eastAsia" w:ascii="宋体" w:hAnsi="宋体"/>
          <w:b/>
          <w:bCs/>
          <w:color w:val="auto"/>
          <w:sz w:val="24"/>
          <w:highlight w:val="none"/>
        </w:rPr>
        <w:t>服务</w:t>
      </w:r>
      <w:r>
        <w:rPr>
          <w:rFonts w:hint="eastAsia" w:ascii="宋体" w:hAnsi="宋体"/>
          <w:b/>
          <w:bCs/>
          <w:color w:val="auto"/>
          <w:sz w:val="24"/>
          <w:highlight w:val="none"/>
          <w:lang w:val="en-US" w:eastAsia="zh-CN"/>
        </w:rPr>
        <w:t>标准</w:t>
      </w:r>
    </w:p>
    <w:p w14:paraId="09632C33">
      <w:pPr>
        <w:pageBreakBefore w:val="0"/>
        <w:widowControl w:val="0"/>
        <w:kinsoku/>
        <w:wordWrap/>
        <w:overflowPunct/>
        <w:topLinePunct w:val="0"/>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b w:val="0"/>
          <w:bCs w:val="0"/>
          <w:color w:val="auto"/>
          <w:sz w:val="24"/>
          <w:highlight w:val="none"/>
          <w:lang w:val="en-US" w:eastAsia="zh-CN"/>
        </w:rPr>
        <w:t>4.</w:t>
      </w:r>
      <w:r>
        <w:rPr>
          <w:rFonts w:hint="eastAsia" w:ascii="宋体" w:hAnsi="宋体" w:cs="宋体"/>
          <w:b w:val="0"/>
          <w:bCs w:val="0"/>
          <w:color w:val="auto"/>
          <w:sz w:val="24"/>
          <w:highlight w:val="none"/>
        </w:rPr>
        <w:t>1</w:t>
      </w:r>
      <w:r>
        <w:rPr>
          <w:rFonts w:hint="eastAsia" w:ascii="宋体" w:hAnsi="宋体" w:cs="宋体"/>
          <w:color w:val="auto"/>
          <w:sz w:val="24"/>
          <w:highlight w:val="none"/>
        </w:rPr>
        <w:t>、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p>
    <w:p w14:paraId="6306E33B">
      <w:pPr>
        <w:pageBreakBefore w:val="0"/>
        <w:widowControl w:val="0"/>
        <w:kinsoku/>
        <w:wordWrap/>
        <w:overflowPunct/>
        <w:topLinePunct w:val="0"/>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2、实验室管理规范，有相关的法律法规和</w:t>
      </w:r>
      <w:r>
        <w:rPr>
          <w:rFonts w:hint="eastAsia" w:ascii="宋体" w:hAnsi="宋体" w:eastAsia="宋体" w:cs="宋体"/>
          <w:color w:val="auto"/>
          <w:sz w:val="24"/>
          <w:highlight w:val="none"/>
          <w:lang w:eastAsia="zh-CN"/>
        </w:rPr>
        <w:t>实验室</w:t>
      </w:r>
      <w:r>
        <w:rPr>
          <w:rFonts w:hint="eastAsia" w:ascii="宋体" w:hAnsi="宋体" w:cs="宋体"/>
          <w:color w:val="auto"/>
          <w:sz w:val="24"/>
          <w:highlight w:val="none"/>
        </w:rPr>
        <w:t>质量管理体系来保证日常实验活动有序进行。</w:t>
      </w:r>
    </w:p>
    <w:p w14:paraId="22BD47B8">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3、实验室人员资质及人数符合建设标准。</w:t>
      </w:r>
    </w:p>
    <w:p w14:paraId="5FF79187">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4、实验室开展的检测项目有完善的《室内质量控制管理程序》等质控管理体系，室内质控覆盖率100%，失控情况必有分析和纠正措施；有完善的《室间质量控制管理程序》等质控管理体系，室间质控参加并符合卫生部临检中心和江苏省临检中心相关要求。所有原始数据及过程记录均以电子版和普通文档统一归档保存。</w:t>
      </w:r>
    </w:p>
    <w:p w14:paraId="0E11034D">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5、所有服务外送项目均应在中标人内部开展并出检验结果。</w:t>
      </w:r>
    </w:p>
    <w:p w14:paraId="39B55275">
      <w:pPr>
        <w:pageBreakBefore w:val="0"/>
        <w:widowControl w:val="0"/>
        <w:kinsoku/>
        <w:wordWrap/>
        <w:overflowPunct/>
        <w:topLinePunct w:val="0"/>
        <w:autoSpaceDN/>
        <w:bidi w:val="0"/>
        <w:spacing w:line="360" w:lineRule="auto"/>
        <w:ind w:firstLine="484" w:firstLineChars="202"/>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6、收取标本地点：</w:t>
      </w:r>
      <w:r>
        <w:rPr>
          <w:rFonts w:hint="eastAsia" w:ascii="宋体" w:hAnsi="宋体" w:cs="宋体"/>
          <w:color w:val="auto"/>
          <w:sz w:val="24"/>
          <w:highlight w:val="none"/>
          <w:lang w:val="en-US" w:eastAsia="zh-CN"/>
        </w:rPr>
        <w:t>无锡</w:t>
      </w:r>
      <w:r>
        <w:rPr>
          <w:rFonts w:hint="eastAsia" w:ascii="宋体" w:hAnsi="宋体" w:cs="宋体"/>
          <w:color w:val="auto"/>
          <w:sz w:val="24"/>
          <w:highlight w:val="none"/>
        </w:rPr>
        <w:t>市中医医院</w:t>
      </w:r>
      <w:r>
        <w:rPr>
          <w:rFonts w:hint="eastAsia" w:ascii="宋体" w:hAnsi="宋体" w:cs="宋体"/>
          <w:color w:val="auto"/>
          <w:sz w:val="24"/>
          <w:highlight w:val="none"/>
          <w:lang w:val="en-US" w:eastAsia="zh-CN"/>
        </w:rPr>
        <w:t>二楼</w:t>
      </w:r>
      <w:r>
        <w:rPr>
          <w:rFonts w:hint="eastAsia" w:ascii="宋体" w:hAnsi="宋体" w:cs="宋体"/>
          <w:color w:val="auto"/>
          <w:sz w:val="24"/>
          <w:highlight w:val="none"/>
        </w:rPr>
        <w:t>检验科</w:t>
      </w:r>
      <w:r>
        <w:rPr>
          <w:rFonts w:hint="eastAsia" w:ascii="宋体" w:hAnsi="宋体" w:cs="宋体"/>
          <w:color w:val="auto"/>
          <w:sz w:val="24"/>
          <w:highlight w:val="none"/>
          <w:lang w:eastAsia="zh-CN"/>
        </w:rPr>
        <w:t>。</w:t>
      </w:r>
    </w:p>
    <w:p w14:paraId="07A98AFC">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7、收取标本地点</w:t>
      </w:r>
      <w:r>
        <w:rPr>
          <w:rFonts w:hint="eastAsia" w:ascii="宋体" w:hAnsi="宋体" w:cs="宋体"/>
          <w:color w:val="auto"/>
          <w:sz w:val="24"/>
          <w:highlight w:val="none"/>
          <w:lang w:val="en-US" w:eastAsia="zh-CN"/>
        </w:rPr>
        <w:t>及次数</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无锡</w:t>
      </w:r>
      <w:r>
        <w:rPr>
          <w:rFonts w:hint="eastAsia" w:ascii="宋体" w:hAnsi="宋体" w:cs="宋体"/>
          <w:color w:val="auto"/>
          <w:sz w:val="24"/>
          <w:highlight w:val="none"/>
        </w:rPr>
        <w:t>市中医医院</w:t>
      </w:r>
      <w:r>
        <w:rPr>
          <w:rFonts w:hint="eastAsia" w:ascii="宋体" w:hAnsi="宋体" w:cs="宋体"/>
          <w:color w:val="auto"/>
          <w:sz w:val="24"/>
          <w:highlight w:val="none"/>
          <w:lang w:val="en-US" w:eastAsia="zh-CN"/>
        </w:rPr>
        <w:t>二楼</w:t>
      </w:r>
      <w:r>
        <w:rPr>
          <w:rFonts w:hint="eastAsia" w:ascii="宋体" w:hAnsi="宋体" w:cs="宋体"/>
          <w:color w:val="auto"/>
          <w:sz w:val="24"/>
          <w:highlight w:val="none"/>
        </w:rPr>
        <w:t>检验科</w:t>
      </w:r>
      <w:r>
        <w:rPr>
          <w:rFonts w:hint="eastAsia" w:ascii="宋体" w:hAnsi="宋体" w:cs="宋体"/>
          <w:color w:val="auto"/>
          <w:sz w:val="24"/>
          <w:highlight w:val="none"/>
          <w:lang w:eastAsia="zh-CN"/>
        </w:rPr>
        <w:t>。</w:t>
      </w:r>
      <w:r>
        <w:rPr>
          <w:rFonts w:hint="default" w:ascii="宋体" w:hAnsi="宋体" w:eastAsia="宋体" w:cs="宋体"/>
          <w:color w:val="auto"/>
          <w:sz w:val="24"/>
          <w:highlight w:val="none"/>
          <w:lang w:val="en-US" w:eastAsia="zh-CN"/>
        </w:rPr>
        <w:t>每</w:t>
      </w:r>
      <w:r>
        <w:rPr>
          <w:rFonts w:hint="eastAsia" w:ascii="宋体" w:hAnsi="宋体" w:eastAsia="宋体" w:cs="宋体"/>
          <w:color w:val="auto"/>
          <w:sz w:val="24"/>
          <w:highlight w:val="none"/>
          <w:lang w:val="en-US" w:eastAsia="zh-CN"/>
        </w:rPr>
        <w:t>周一至周六</w:t>
      </w:r>
      <w:r>
        <w:rPr>
          <w:rFonts w:hint="default" w:ascii="宋体" w:hAnsi="宋体" w:eastAsia="宋体" w:cs="宋体"/>
          <w:color w:val="auto"/>
          <w:sz w:val="24"/>
          <w:highlight w:val="none"/>
          <w:lang w:val="en-US" w:eastAsia="zh-CN"/>
        </w:rPr>
        <w:t>安排上门收取标本，</w:t>
      </w:r>
      <w:r>
        <w:rPr>
          <w:rFonts w:hint="eastAsia" w:ascii="宋体" w:hAnsi="宋体" w:eastAsia="宋体" w:cs="宋体"/>
          <w:color w:val="auto"/>
          <w:sz w:val="24"/>
          <w:highlight w:val="none"/>
          <w:lang w:val="en-US" w:eastAsia="zh-CN"/>
        </w:rPr>
        <w:t>时间为8:30至17:00，</w:t>
      </w:r>
      <w:r>
        <w:rPr>
          <w:rFonts w:hint="eastAsia" w:ascii="宋体" w:hAnsi="宋体" w:eastAsia="宋体" w:cs="宋体"/>
          <w:color w:val="auto"/>
          <w:sz w:val="24"/>
          <w:szCs w:val="24"/>
          <w:highlight w:val="none"/>
          <w:lang w:val="en-US" w:eastAsia="zh-CN"/>
        </w:rPr>
        <w:t>报告单</w:t>
      </w:r>
      <w:r>
        <w:rPr>
          <w:rFonts w:hint="eastAsia" w:ascii="宋体" w:hAnsi="宋体" w:eastAsia="宋体" w:cs="宋体"/>
          <w:strike w:val="0"/>
          <w:dstrike w:val="0"/>
          <w:color w:val="auto"/>
          <w:sz w:val="24"/>
          <w:szCs w:val="24"/>
          <w:highlight w:val="none"/>
          <w:lang w:val="en-US" w:eastAsia="zh-CN"/>
        </w:rPr>
        <w:t>可供采购人（检验科）在网上查询</w:t>
      </w:r>
      <w:r>
        <w:rPr>
          <w:rFonts w:hint="default" w:ascii="宋体" w:hAnsi="宋体" w:eastAsia="宋体" w:cs="宋体"/>
          <w:color w:val="auto"/>
          <w:sz w:val="24"/>
          <w:highlight w:val="none"/>
          <w:lang w:val="en-US" w:eastAsia="zh-CN"/>
        </w:rPr>
        <w:t>，并及时送达</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医院</w:t>
      </w:r>
      <w:r>
        <w:rPr>
          <w:rFonts w:hint="eastAsia" w:ascii="宋体" w:hAnsi="宋体" w:cs="宋体"/>
          <w:color w:val="auto"/>
          <w:sz w:val="24"/>
          <w:highlight w:val="none"/>
          <w:lang w:val="en-US" w:eastAsia="zh-CN"/>
        </w:rPr>
        <w:t>如</w:t>
      </w:r>
      <w:r>
        <w:rPr>
          <w:rFonts w:hint="eastAsia" w:ascii="宋体" w:hAnsi="宋体" w:cs="宋体"/>
          <w:color w:val="auto"/>
          <w:sz w:val="24"/>
          <w:highlight w:val="none"/>
        </w:rPr>
        <w:t>有特殊需求</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可</w:t>
      </w:r>
      <w:r>
        <w:rPr>
          <w:rFonts w:hint="eastAsia" w:ascii="宋体" w:hAnsi="宋体" w:cs="宋体"/>
          <w:color w:val="auto"/>
          <w:sz w:val="24"/>
          <w:highlight w:val="none"/>
        </w:rPr>
        <w:t>增加收取次数。</w:t>
      </w:r>
    </w:p>
    <w:p w14:paraId="65EA3769">
      <w:pPr>
        <w:pageBreakBefore w:val="0"/>
        <w:widowControl w:val="0"/>
        <w:kinsoku/>
        <w:wordWrap/>
        <w:overflowPunct/>
        <w:topLinePunct w:val="0"/>
        <w:autoSpaceDN/>
        <w:bidi w:val="0"/>
        <w:spacing w:line="360" w:lineRule="auto"/>
        <w:ind w:firstLine="484" w:firstLineChars="202"/>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4.8</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标本的接收：供应商应规范标本接收、登记和包装流程，保证标本质量和安全，确保标本顺利交接，方便查核。标本接收人员要通过严格培训，负责标本质量的初检、标识的核对，标本的接收登记及包装储存。投标人必须确保及时接收、送检标本和及时检验。标本不符合检验要求时，应及时通知采购人重新取样。对检验后的标本进行妥善保存，以便检验结果有疑义时进行免费复查或再委托其他第三方检验，这种情况所发生的费用，由供应商承担。运送标本过程中要有保温、抗震抗压的标本接收箱，并记录每个环节，必须做到生物安全与物流链的安全（符合江苏省和无锡市食药监局冷链要求规定）。</w:t>
      </w:r>
    </w:p>
    <w:p w14:paraId="401BE7E0">
      <w:pPr>
        <w:pageBreakBefore w:val="0"/>
        <w:widowControl w:val="0"/>
        <w:kinsoku/>
        <w:wordWrap/>
        <w:overflowPunct/>
        <w:topLinePunct w:val="0"/>
        <w:autoSpaceDN/>
        <w:bidi w:val="0"/>
        <w:spacing w:line="360" w:lineRule="auto"/>
        <w:ind w:firstLine="484" w:firstLineChars="202"/>
        <w:textAlignment w:val="auto"/>
        <w:rPr>
          <w:color w:val="auto"/>
          <w:highlight w:val="none"/>
        </w:rPr>
      </w:pPr>
      <w:r>
        <w:rPr>
          <w:rFonts w:hint="eastAsia" w:ascii="宋体" w:hAnsi="宋体" w:eastAsia="宋体" w:cs="宋体"/>
          <w:color w:val="auto"/>
          <w:sz w:val="24"/>
          <w:highlight w:val="none"/>
          <w:lang w:val="en-US" w:eastAsia="zh-CN"/>
        </w:rPr>
        <w:t>4.9、标本</w:t>
      </w:r>
      <w:r>
        <w:rPr>
          <w:rFonts w:hint="default" w:ascii="宋体" w:hAnsi="宋体" w:eastAsia="宋体" w:cs="宋体"/>
          <w:color w:val="auto"/>
          <w:sz w:val="24"/>
          <w:highlight w:val="none"/>
          <w:lang w:val="en-US" w:eastAsia="zh-CN"/>
        </w:rPr>
        <w:t>的保存：中标人应按国家和行业标准对</w:t>
      </w:r>
      <w:r>
        <w:rPr>
          <w:rFonts w:hint="eastAsia" w:ascii="宋体" w:hAnsi="宋体" w:eastAsia="宋体" w:cs="宋体"/>
          <w:color w:val="auto"/>
          <w:sz w:val="24"/>
          <w:highlight w:val="none"/>
          <w:lang w:val="en-US" w:eastAsia="zh-CN"/>
        </w:rPr>
        <w:t>标本</w:t>
      </w:r>
      <w:r>
        <w:rPr>
          <w:rFonts w:hint="default" w:ascii="宋体" w:hAnsi="宋体" w:eastAsia="宋体" w:cs="宋体"/>
          <w:color w:val="auto"/>
          <w:sz w:val="24"/>
          <w:highlight w:val="none"/>
          <w:lang w:val="en-US" w:eastAsia="zh-CN"/>
        </w:rPr>
        <w:t>进行保存</w:t>
      </w:r>
      <w:r>
        <w:rPr>
          <w:rFonts w:hint="eastAsia" w:ascii="宋体" w:hAnsi="宋体" w:eastAsia="宋体" w:cs="宋体"/>
          <w:color w:val="auto"/>
          <w:sz w:val="24"/>
          <w:highlight w:val="none"/>
          <w:lang w:val="en-US" w:eastAsia="zh-CN"/>
        </w:rPr>
        <w:t>，不得私自销毁</w:t>
      </w:r>
      <w:r>
        <w:rPr>
          <w:rFonts w:hint="default" w:ascii="宋体" w:hAnsi="宋体" w:eastAsia="宋体" w:cs="宋体"/>
          <w:color w:val="auto"/>
          <w:sz w:val="24"/>
          <w:highlight w:val="none"/>
          <w:lang w:val="en-US" w:eastAsia="zh-CN"/>
        </w:rPr>
        <w:t>。</w:t>
      </w:r>
      <w:r>
        <w:rPr>
          <w:rFonts w:hint="default" w:ascii="宋体" w:hAnsi="宋体" w:eastAsia="宋体" w:cs="宋体"/>
          <w:strike w:val="0"/>
          <w:dstrike w:val="0"/>
          <w:color w:val="auto"/>
          <w:sz w:val="24"/>
          <w:highlight w:val="none"/>
          <w:lang w:val="en-US" w:eastAsia="zh-CN"/>
        </w:rPr>
        <w:t>由于</w:t>
      </w:r>
      <w:r>
        <w:rPr>
          <w:rFonts w:hint="eastAsia" w:ascii="宋体" w:hAnsi="宋体" w:eastAsia="宋体" w:cs="宋体"/>
          <w:strike w:val="0"/>
          <w:dstrike w:val="0"/>
          <w:color w:val="auto"/>
          <w:sz w:val="24"/>
          <w:highlight w:val="none"/>
          <w:lang w:val="en-US" w:eastAsia="zh-CN"/>
        </w:rPr>
        <w:t>标本</w:t>
      </w:r>
      <w:r>
        <w:rPr>
          <w:rFonts w:hint="default" w:ascii="宋体" w:hAnsi="宋体" w:eastAsia="宋体" w:cs="宋体"/>
          <w:strike w:val="0"/>
          <w:dstrike w:val="0"/>
          <w:color w:val="auto"/>
          <w:sz w:val="24"/>
          <w:highlight w:val="none"/>
          <w:lang w:val="en-US" w:eastAsia="zh-CN"/>
        </w:rPr>
        <w:t>本身特性达不到保存期限或保存无意义的，另行约定。</w:t>
      </w:r>
      <w:r>
        <w:rPr>
          <w:rFonts w:hint="eastAsia" w:ascii="宋体" w:hAnsi="宋体" w:eastAsia="宋体" w:cs="宋体"/>
          <w:strike w:val="0"/>
          <w:color w:val="auto"/>
          <w:sz w:val="24"/>
          <w:highlight w:val="none"/>
          <w:lang w:val="en-US" w:eastAsia="zh-CN"/>
        </w:rPr>
        <w:t>样</w:t>
      </w:r>
      <w:r>
        <w:rPr>
          <w:rFonts w:hint="eastAsia" w:ascii="宋体" w:hAnsi="宋体" w:eastAsia="宋体" w:cs="宋体"/>
          <w:color w:val="auto"/>
          <w:sz w:val="24"/>
          <w:highlight w:val="none"/>
          <w:lang w:val="en-US" w:eastAsia="zh-CN"/>
        </w:rPr>
        <w:t>本的销毁需满足国家相关标准要求。</w:t>
      </w:r>
    </w:p>
    <w:p w14:paraId="327B53E2">
      <w:pPr>
        <w:pageBreakBefore w:val="0"/>
        <w:widowControl w:val="0"/>
        <w:kinsoku/>
        <w:wordWrap/>
        <w:overflowPunct/>
        <w:topLinePunct w:val="0"/>
        <w:autoSpaceDN/>
        <w:bidi w:val="0"/>
        <w:spacing w:line="360" w:lineRule="auto"/>
        <w:ind w:firstLine="484" w:firstLineChars="202"/>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4.10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标本</w:t>
      </w:r>
      <w:r>
        <w:rPr>
          <w:rFonts w:hint="default" w:ascii="宋体" w:hAnsi="宋体" w:eastAsia="宋体" w:cs="宋体"/>
          <w:color w:val="auto"/>
          <w:sz w:val="24"/>
          <w:highlight w:val="none"/>
          <w:lang w:val="en-US" w:eastAsia="zh-CN"/>
        </w:rPr>
        <w:t>检测</w:t>
      </w:r>
      <w:r>
        <w:rPr>
          <w:rFonts w:hint="eastAsia" w:ascii="宋体" w:hAnsi="宋体" w:eastAsia="宋体" w:cs="宋体"/>
          <w:color w:val="auto"/>
          <w:sz w:val="24"/>
          <w:highlight w:val="none"/>
          <w:lang w:val="en-US" w:eastAsia="zh-CN"/>
        </w:rPr>
        <w:t>：</w:t>
      </w:r>
      <w:r>
        <w:rPr>
          <w:rFonts w:hint="default" w:ascii="宋体" w:hAnsi="宋体" w:eastAsia="宋体" w:cs="宋体"/>
          <w:color w:val="auto"/>
          <w:sz w:val="24"/>
          <w:highlight w:val="none"/>
          <w:lang w:val="en-US" w:eastAsia="zh-CN"/>
        </w:rPr>
        <w:t>如医院对检测结果有异议，并在</w:t>
      </w:r>
      <w:r>
        <w:rPr>
          <w:rFonts w:hint="eastAsia" w:ascii="宋体" w:hAnsi="宋体" w:eastAsia="宋体" w:cs="宋体"/>
          <w:color w:val="auto"/>
          <w:sz w:val="24"/>
          <w:highlight w:val="none"/>
          <w:lang w:val="en-US" w:eastAsia="zh-CN"/>
        </w:rPr>
        <w:t>标本</w:t>
      </w:r>
      <w:r>
        <w:rPr>
          <w:rFonts w:hint="default" w:ascii="宋体" w:hAnsi="宋体" w:eastAsia="宋体" w:cs="宋体"/>
          <w:color w:val="auto"/>
          <w:sz w:val="24"/>
          <w:highlight w:val="none"/>
          <w:lang w:val="en-US" w:eastAsia="zh-CN"/>
        </w:rPr>
        <w:t>保存有效期内提出，中标方应无条件免费重新检测。</w:t>
      </w:r>
    </w:p>
    <w:p w14:paraId="60B9CF46">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、物流人员经过专业系统培训，符合上岗要求。</w:t>
      </w:r>
    </w:p>
    <w:p w14:paraId="0F17D136">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、送检的标本按照相关技术要求及时送达报告，免费安装网络打印信息平台。</w:t>
      </w:r>
    </w:p>
    <w:p w14:paraId="5DD23D9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、结果报告：</w:t>
      </w:r>
    </w:p>
    <w:p w14:paraId="12BBF1A0">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（1）检验报告单必须由具备相应资质的检验人员签发</w:t>
      </w:r>
      <w:r>
        <w:rPr>
          <w:rFonts w:hint="eastAsia" w:ascii="宋体" w:hAnsi="宋体" w:eastAsia="宋体" w:cs="宋体"/>
          <w:color w:val="auto"/>
          <w:sz w:val="24"/>
          <w:highlight w:val="none"/>
          <w:lang w:eastAsia="zh-CN"/>
        </w:rPr>
        <w:t>，由</w:t>
      </w:r>
      <w:r>
        <w:rPr>
          <w:rFonts w:hint="eastAsia" w:ascii="宋体" w:hAnsi="宋体" w:eastAsia="宋体" w:cs="宋体"/>
          <w:color w:val="auto"/>
          <w:sz w:val="24"/>
          <w:highlight w:val="none"/>
        </w:rPr>
        <w:t>上级检验师或医师复核。出现因检验结果错误导致采购人医疗纠纷等不良后果，责任由</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承担。</w:t>
      </w:r>
    </w:p>
    <w:p w14:paraId="3F00C4D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（2）为保证检验结果实时网络传送，实现实验室数据的汇总、储存、传输功能，应当与医院LIS和HIS等相关业务系统对接（接口费用由</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承担）。医务人员可以随时调阅，保证病人的资料的准确性和检验结果的及时性，并提供系统使用的必要培训与技术支持。</w:t>
      </w:r>
    </w:p>
    <w:p w14:paraId="68E3F5B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（3）提供网上查询服务，以供随时查询进度和结果。</w:t>
      </w:r>
    </w:p>
    <w:p w14:paraId="30A4781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（4）提供电话查询服务，危急值专人电话跟进，确保患者检测信息与临床医生的畅通。</w:t>
      </w:r>
    </w:p>
    <w:p w14:paraId="5C32E25F">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（5）按照检测项目报告时间要求提供检测结果，并能满足采购人急诊项目的优先检测。</w:t>
      </w:r>
    </w:p>
    <w:p w14:paraId="3691F036">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4.14、如采购人有特殊要求，需要提前出具报告，供应商应无条件响应并满足采购人要求。</w:t>
      </w:r>
    </w:p>
    <w:p w14:paraId="5D18C093">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、实验室符合ISO 15189:20</w:t>
      </w:r>
      <w:r>
        <w:rPr>
          <w:rFonts w:hint="eastAsia" w:ascii="宋体" w:hAnsi="宋体" w:eastAsia="宋体" w:cs="宋体"/>
          <w:color w:val="auto"/>
          <w:sz w:val="24"/>
          <w:highlight w:val="none"/>
          <w:lang w:val="en-US" w:eastAsia="zh-CN"/>
        </w:rPr>
        <w:t>22</w:t>
      </w:r>
      <w:r>
        <w:rPr>
          <w:rFonts w:hint="eastAsia" w:ascii="宋体" w:hAnsi="宋体" w:cs="宋体"/>
          <w:color w:val="auto"/>
          <w:sz w:val="24"/>
          <w:highlight w:val="none"/>
        </w:rPr>
        <w:t>《医学实验室-质量和能力的要求》中国合格评定国家认可委员会实验室认可证书，有设备、环境、人员、试剂等全过程质量溯源性体系。</w:t>
      </w:r>
    </w:p>
    <w:p w14:paraId="43AB9001">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、根据医院需要免费提供</w:t>
      </w:r>
      <w:r>
        <w:rPr>
          <w:rFonts w:hint="eastAsia" w:ascii="宋体" w:hAnsi="宋体" w:cs="宋体"/>
          <w:color w:val="auto"/>
          <w:sz w:val="24"/>
          <w:highlight w:val="none"/>
          <w:lang w:val="en-US" w:eastAsia="zh-CN"/>
        </w:rPr>
        <w:t>相关项目的特殊耗材，比如</w:t>
      </w:r>
      <w:r>
        <w:rPr>
          <w:rFonts w:hint="eastAsia" w:ascii="宋体" w:hAnsi="宋体" w:cs="宋体"/>
          <w:color w:val="auto"/>
          <w:sz w:val="24"/>
          <w:highlight w:val="none"/>
        </w:rPr>
        <w:t>分离胶管、EDTA管、玻片、无菌痰杯、宫颈刷、TCT等耗材。</w:t>
      </w:r>
    </w:p>
    <w:p w14:paraId="6F1B0429">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、每个季度由院方</w:t>
      </w:r>
      <w:r>
        <w:rPr>
          <w:rFonts w:hint="eastAsia" w:ascii="宋体" w:hAnsi="宋体" w:cs="宋体"/>
          <w:color w:val="auto"/>
          <w:sz w:val="24"/>
          <w:highlight w:val="none"/>
          <w:lang w:val="en-US" w:eastAsia="zh-CN"/>
        </w:rPr>
        <w:t>对</w:t>
      </w:r>
      <w:r>
        <w:rPr>
          <w:rFonts w:hint="eastAsia" w:ascii="宋体" w:hAnsi="宋体" w:cs="宋体"/>
          <w:color w:val="auto"/>
          <w:sz w:val="24"/>
          <w:highlight w:val="none"/>
        </w:rPr>
        <w:t>中标方</w:t>
      </w:r>
      <w:r>
        <w:rPr>
          <w:rFonts w:hint="eastAsia" w:ascii="宋体" w:hAnsi="宋体" w:cs="宋体"/>
          <w:color w:val="auto"/>
          <w:sz w:val="24"/>
          <w:highlight w:val="none"/>
          <w:lang w:val="en-US" w:eastAsia="zh-CN"/>
        </w:rPr>
        <w:t>进行考核</w:t>
      </w:r>
      <w:r>
        <w:rPr>
          <w:rFonts w:hint="eastAsia" w:ascii="宋体" w:hAnsi="宋体" w:cs="宋体"/>
          <w:color w:val="auto"/>
          <w:sz w:val="24"/>
          <w:highlight w:val="none"/>
        </w:rPr>
        <w:t>，以督促中标</w:t>
      </w:r>
      <w:r>
        <w:rPr>
          <w:rFonts w:hint="eastAsia" w:ascii="宋体" w:hAnsi="宋体" w:eastAsia="宋体" w:cs="宋体"/>
          <w:color w:val="auto"/>
          <w:sz w:val="24"/>
          <w:highlight w:val="none"/>
          <w:lang w:eastAsia="zh-CN"/>
        </w:rPr>
        <w:t>方对</w:t>
      </w:r>
      <w:r>
        <w:rPr>
          <w:rFonts w:hint="eastAsia" w:ascii="宋体" w:hAnsi="宋体" w:cs="宋体"/>
          <w:color w:val="auto"/>
          <w:sz w:val="24"/>
          <w:highlight w:val="none"/>
        </w:rPr>
        <w:t>质量和服务</w:t>
      </w:r>
      <w:r>
        <w:rPr>
          <w:rFonts w:hint="eastAsia" w:ascii="宋体" w:hAnsi="宋体" w:eastAsia="宋体" w:cs="宋体"/>
          <w:color w:val="auto"/>
          <w:sz w:val="24"/>
          <w:highlight w:val="none"/>
          <w:lang w:eastAsia="zh-CN"/>
        </w:rPr>
        <w:t>作出</w:t>
      </w:r>
      <w:r>
        <w:rPr>
          <w:rFonts w:hint="eastAsia" w:ascii="宋体" w:hAnsi="宋体" w:cs="宋体"/>
          <w:color w:val="auto"/>
          <w:sz w:val="24"/>
          <w:highlight w:val="none"/>
        </w:rPr>
        <w:t>提升，如若有重大事件</w:t>
      </w:r>
      <w:r>
        <w:rPr>
          <w:rFonts w:hint="eastAsia" w:ascii="宋体" w:hAnsi="宋体" w:cs="宋体"/>
          <w:color w:val="auto"/>
          <w:sz w:val="24"/>
          <w:highlight w:val="none"/>
          <w:lang w:val="en-US" w:eastAsia="zh-CN"/>
        </w:rPr>
        <w:t>发生</w:t>
      </w:r>
      <w:r>
        <w:rPr>
          <w:rFonts w:hint="eastAsia" w:ascii="宋体" w:hAnsi="宋体" w:cs="宋体"/>
          <w:color w:val="auto"/>
          <w:sz w:val="24"/>
          <w:highlight w:val="none"/>
        </w:rPr>
        <w:t>，院方有权不支付该部分服务费，待事件处理完毕再行支付。</w:t>
      </w:r>
    </w:p>
    <w:p w14:paraId="33A37933">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、年度合同期内协助科室进行科研项目的申报及实施。（如有）</w:t>
      </w:r>
    </w:p>
    <w:p w14:paraId="2461DD27">
      <w:pPr>
        <w:pageBreakBefore w:val="0"/>
        <w:widowControl w:val="0"/>
        <w:kinsoku/>
        <w:wordWrap/>
        <w:overflowPunct/>
        <w:topLinePunct w:val="0"/>
        <w:autoSpaceDN/>
        <w:bidi w:val="0"/>
        <w:spacing w:before="156" w:beforeLines="50" w:after="156" w:afterLines="50"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4.19</w:t>
      </w:r>
      <w:r>
        <w:rPr>
          <w:rFonts w:hint="eastAsia" w:ascii="宋体" w:hAnsi="宋体" w:cs="宋体"/>
          <w:color w:val="auto"/>
          <w:sz w:val="24"/>
          <w:highlight w:val="none"/>
        </w:rPr>
        <w:t>、根据国家相关传染病上报条例、法规，及时进行相关信息的上报工作。</w:t>
      </w:r>
    </w:p>
    <w:p w14:paraId="3D07B982">
      <w:pPr>
        <w:pageBreakBefore w:val="0"/>
        <w:widowControl w:val="0"/>
        <w:kinsoku/>
        <w:wordWrap/>
        <w:overflowPunct/>
        <w:topLinePunct w:val="0"/>
        <w:autoSpaceDN/>
        <w:bidi w:val="0"/>
        <w:spacing w:before="156" w:beforeLines="50" w:after="156" w:afterLines="50"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、遇国家或当地相关政策变动时，采购人有权无条件终止此服务。</w:t>
      </w:r>
    </w:p>
    <w:p w14:paraId="1545BDCE">
      <w:pPr>
        <w:numPr>
          <w:ilvl w:val="0"/>
          <w:numId w:val="0"/>
        </w:numPr>
        <w:spacing w:line="360" w:lineRule="auto"/>
        <w:ind w:left="482" w:leftChars="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、外送项目实际检验方法学必须与标明收费的方法学一致，若有更改，中标方应及时书面通知院方。若因方法学不一致导致的所有损失及责任由中标方承担。</w:t>
      </w:r>
    </w:p>
    <w:p w14:paraId="47A39FAA">
      <w:pPr>
        <w:spacing w:line="360" w:lineRule="auto"/>
        <w:ind w:firstLine="480" w:firstLineChars="200"/>
        <w:rPr>
          <w:rFonts w:ascii="宋体"/>
          <w:bCs/>
          <w:color w:val="auto"/>
          <w:sz w:val="24"/>
          <w:highlight w:val="none"/>
        </w:rPr>
      </w:pPr>
      <w:r>
        <w:rPr>
          <w:rFonts w:hint="eastAsia" w:ascii="宋体"/>
          <w:bCs/>
          <w:color w:val="auto"/>
          <w:sz w:val="24"/>
          <w:highlight w:val="none"/>
        </w:rPr>
        <w:t>4.22、保密要求：对检验服务的内容</w:t>
      </w:r>
      <w:r>
        <w:rPr>
          <w:rFonts w:hint="eastAsia" w:ascii="宋体"/>
          <w:bCs/>
          <w:color w:val="auto"/>
          <w:sz w:val="24"/>
          <w:highlight w:val="none"/>
          <w:lang w:val="en-US" w:eastAsia="zh-CN"/>
        </w:rPr>
        <w:t>、结果及样本信息等</w:t>
      </w:r>
      <w:r>
        <w:rPr>
          <w:rFonts w:hint="eastAsia" w:ascii="宋体"/>
          <w:bCs/>
          <w:color w:val="auto"/>
          <w:sz w:val="24"/>
          <w:highlight w:val="none"/>
        </w:rPr>
        <w:t>承担保密责任，实验室的管理系统须参加安全等级保护备案。</w:t>
      </w:r>
    </w:p>
    <w:p w14:paraId="6056F477">
      <w:pPr>
        <w:spacing w:line="360" w:lineRule="auto"/>
        <w:ind w:firstLine="480" w:firstLineChars="200"/>
        <w:rPr>
          <w:rFonts w:hint="eastAsia" w:ascii="宋体" w:hAnsi="宋体" w:cs="宋体"/>
          <w:color w:val="auto"/>
          <w:sz w:val="24"/>
          <w:highlight w:val="none"/>
        </w:rPr>
      </w:pPr>
      <w:r>
        <w:rPr>
          <w:rFonts w:hint="eastAsia" w:ascii="宋体"/>
          <w:bCs/>
          <w:color w:val="auto"/>
          <w:sz w:val="24"/>
          <w:highlight w:val="none"/>
        </w:rPr>
        <w:t>4.23、样品的采集、存储、转运及销毁应符合国家及行业的相关标准</w:t>
      </w:r>
      <w:r>
        <w:rPr>
          <w:rFonts w:hint="eastAsia" w:ascii="宋体"/>
          <w:bCs/>
          <w:color w:val="auto"/>
          <w:sz w:val="24"/>
          <w:highlight w:val="none"/>
          <w:lang w:eastAsia="zh-CN"/>
        </w:rPr>
        <w:t>。</w:t>
      </w:r>
    </w:p>
    <w:p w14:paraId="658F45D6">
      <w:pPr>
        <w:keepNext w:val="0"/>
        <w:keepLines w:val="0"/>
        <w:pageBreakBefore w:val="0"/>
        <w:widowControl w:val="0"/>
        <w:kinsoku/>
        <w:wordWrap/>
        <w:overflowPunct/>
        <w:topLinePunct w:val="0"/>
        <w:autoSpaceDN/>
        <w:bidi w:val="0"/>
        <w:spacing w:line="360" w:lineRule="auto"/>
        <w:ind w:left="0" w:firstLine="480" w:firstLineChars="200"/>
        <w:textAlignment w:val="auto"/>
        <w:rPr>
          <w:rFonts w:hint="eastAsia" w:ascii="宋体" w:hAnsi="宋体"/>
          <w:b/>
          <w:color w:val="auto"/>
          <w:sz w:val="24"/>
          <w:highlight w:val="none"/>
        </w:rPr>
      </w:pPr>
      <w:r>
        <w:rPr>
          <w:rFonts w:hint="eastAsia" w:ascii="宋体" w:hAnsi="宋体"/>
          <w:b/>
          <w:color w:val="auto"/>
          <w:sz w:val="24"/>
          <w:highlight w:val="none"/>
          <w:lang w:val="en-US" w:eastAsia="zh-CN"/>
        </w:rPr>
        <w:t>三</w:t>
      </w:r>
      <w:r>
        <w:rPr>
          <w:rFonts w:hint="eastAsia" w:ascii="宋体" w:hAnsi="宋体"/>
          <w:b/>
          <w:color w:val="auto"/>
          <w:sz w:val="24"/>
          <w:highlight w:val="none"/>
        </w:rPr>
        <w:t>、</w:t>
      </w:r>
      <w:r>
        <w:rPr>
          <w:rFonts w:hint="eastAsia" w:ascii="宋体" w:hAnsi="宋体"/>
          <w:b/>
          <w:color w:val="auto"/>
          <w:sz w:val="24"/>
          <w:highlight w:val="none"/>
          <w:lang w:val="en-US" w:eastAsia="zh-CN"/>
        </w:rPr>
        <w:t>商务要求</w:t>
      </w:r>
      <w:r>
        <w:rPr>
          <w:rFonts w:hint="eastAsia" w:ascii="宋体" w:hAnsi="宋体"/>
          <w:b/>
          <w:color w:val="auto"/>
          <w:sz w:val="24"/>
          <w:highlight w:val="none"/>
        </w:rPr>
        <w:t>：（</w:t>
      </w:r>
      <w:r>
        <w:rPr>
          <w:rFonts w:hint="eastAsia" w:ascii="宋体" w:hAnsi="宋体"/>
          <w:b/>
          <w:color w:val="auto"/>
          <w:sz w:val="24"/>
          <w:highlight w:val="none"/>
          <w:lang w:val="en-US" w:eastAsia="zh-CN"/>
        </w:rPr>
        <w:t>取得采购标的的时间、地点、财务和服务要求，包括交付(实施)的时间(期限)和地点(范围)付款条件(进度和方式)，包装和运输，售后服务等</w:t>
      </w:r>
      <w:r>
        <w:rPr>
          <w:rFonts w:hint="eastAsia" w:ascii="宋体" w:hAnsi="宋体"/>
          <w:b/>
          <w:color w:val="auto"/>
          <w:sz w:val="24"/>
          <w:highlight w:val="none"/>
        </w:rPr>
        <w:t>）</w:t>
      </w:r>
    </w:p>
    <w:p w14:paraId="7A69235C">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auto"/>
        <w:ind w:left="0" w:leftChars="0" w:firstLine="476" w:firstLineChars="200"/>
        <w:jc w:val="left"/>
        <w:textAlignment w:val="auto"/>
        <w:rPr>
          <w:rFonts w:hint="eastAsia" w:ascii="宋体" w:hAnsi="宋体"/>
          <w:b/>
          <w:bCs/>
          <w:color w:val="auto"/>
          <w:spacing w:val="-1"/>
          <w:sz w:val="24"/>
          <w:szCs w:val="24"/>
          <w:highlight w:val="none"/>
          <w:lang w:val="zh-CN"/>
        </w:rPr>
      </w:pPr>
      <w:r>
        <w:rPr>
          <w:rFonts w:hint="eastAsia" w:ascii="宋体" w:hAnsi="宋体"/>
          <w:b/>
          <w:bCs/>
          <w:color w:val="auto"/>
          <w:spacing w:val="-1"/>
          <w:sz w:val="24"/>
          <w:szCs w:val="24"/>
          <w:highlight w:val="none"/>
          <w:lang w:val="en-US" w:eastAsia="zh-CN"/>
        </w:rPr>
        <w:t>1、项目相</w:t>
      </w:r>
      <w:r>
        <w:rPr>
          <w:rFonts w:hint="eastAsia" w:ascii="宋体" w:hAnsi="宋体"/>
          <w:b/>
          <w:bCs/>
          <w:color w:val="auto"/>
          <w:spacing w:val="-1"/>
          <w:sz w:val="24"/>
          <w:szCs w:val="24"/>
          <w:highlight w:val="none"/>
          <w:lang w:val="zh-CN"/>
        </w:rPr>
        <w:t>关说明</w:t>
      </w:r>
    </w:p>
    <w:p w14:paraId="459D14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本</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color w:val="auto"/>
          <w:sz w:val="24"/>
          <w:szCs w:val="24"/>
          <w:highlight w:val="none"/>
        </w:rPr>
        <w:t>文件中有关技术与商务条款的相关要求为基准要求，如供应商不能完全符合此基准要求，可高于此基准要求进行报价，采购人将不接受低于该基准要求（负偏离）的报价，供应商需对此基</w:t>
      </w:r>
      <w:r>
        <w:rPr>
          <w:rFonts w:hint="eastAsia" w:ascii="宋体" w:hAnsi="宋体" w:eastAsia="宋体" w:cs="宋体"/>
          <w:bCs/>
          <w:color w:val="auto"/>
          <w:sz w:val="24"/>
          <w:szCs w:val="24"/>
          <w:highlight w:val="none"/>
        </w:rPr>
        <w:t>准要求作实质性响应。</w:t>
      </w:r>
    </w:p>
    <w:p w14:paraId="7A70A37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2、服务地点：无锡市中医医院。</w:t>
      </w:r>
    </w:p>
    <w:p w14:paraId="2F7BE87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3、服务期：2年（以合同签订日期为准）。</w:t>
      </w:r>
    </w:p>
    <w:p w14:paraId="2D5A0381">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、收取标本地点</w:t>
      </w:r>
      <w:r>
        <w:rPr>
          <w:rFonts w:hint="eastAsia" w:ascii="宋体" w:hAnsi="宋体" w:cs="宋体"/>
          <w:color w:val="auto"/>
          <w:sz w:val="24"/>
          <w:highlight w:val="none"/>
          <w:lang w:val="en-US" w:eastAsia="zh-CN"/>
        </w:rPr>
        <w:t>及次数</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无锡</w:t>
      </w:r>
      <w:r>
        <w:rPr>
          <w:rFonts w:hint="eastAsia" w:ascii="宋体" w:hAnsi="宋体" w:cs="宋体"/>
          <w:color w:val="auto"/>
          <w:sz w:val="24"/>
          <w:highlight w:val="none"/>
        </w:rPr>
        <w:t>市中医医院</w:t>
      </w:r>
      <w:r>
        <w:rPr>
          <w:rFonts w:hint="eastAsia" w:ascii="宋体" w:hAnsi="宋体" w:cs="宋体"/>
          <w:color w:val="auto"/>
          <w:sz w:val="24"/>
          <w:highlight w:val="none"/>
          <w:lang w:val="en-US" w:eastAsia="zh-CN"/>
        </w:rPr>
        <w:t>二楼</w:t>
      </w:r>
      <w:r>
        <w:rPr>
          <w:rFonts w:hint="eastAsia" w:ascii="宋体" w:hAnsi="宋体" w:cs="宋体"/>
          <w:color w:val="auto"/>
          <w:sz w:val="24"/>
          <w:highlight w:val="none"/>
        </w:rPr>
        <w:t>检验科</w:t>
      </w:r>
      <w:r>
        <w:rPr>
          <w:rFonts w:hint="eastAsia" w:ascii="宋体" w:hAnsi="宋体" w:cs="宋体"/>
          <w:color w:val="auto"/>
          <w:sz w:val="24"/>
          <w:highlight w:val="none"/>
          <w:lang w:eastAsia="zh-CN"/>
        </w:rPr>
        <w:t>。</w:t>
      </w:r>
      <w:r>
        <w:rPr>
          <w:rFonts w:hint="default" w:ascii="宋体" w:hAnsi="宋体" w:eastAsia="宋体" w:cs="宋体"/>
          <w:color w:val="auto"/>
          <w:sz w:val="24"/>
          <w:highlight w:val="none"/>
          <w:lang w:val="en-US" w:eastAsia="zh-CN"/>
        </w:rPr>
        <w:t>每</w:t>
      </w:r>
      <w:r>
        <w:rPr>
          <w:rFonts w:hint="eastAsia" w:ascii="宋体" w:hAnsi="宋体" w:eastAsia="宋体" w:cs="宋体"/>
          <w:color w:val="auto"/>
          <w:sz w:val="24"/>
          <w:highlight w:val="none"/>
          <w:lang w:val="en-US" w:eastAsia="zh-CN"/>
        </w:rPr>
        <w:t>周一至周六</w:t>
      </w:r>
      <w:r>
        <w:rPr>
          <w:rFonts w:hint="default" w:ascii="宋体" w:hAnsi="宋体" w:eastAsia="宋体" w:cs="宋体"/>
          <w:color w:val="auto"/>
          <w:sz w:val="24"/>
          <w:highlight w:val="none"/>
          <w:lang w:val="en-US" w:eastAsia="zh-CN"/>
        </w:rPr>
        <w:t>安排上门收取标本，</w:t>
      </w:r>
      <w:r>
        <w:rPr>
          <w:rFonts w:hint="eastAsia" w:ascii="宋体" w:hAnsi="宋体" w:eastAsia="宋体" w:cs="宋体"/>
          <w:color w:val="auto"/>
          <w:sz w:val="24"/>
          <w:highlight w:val="none"/>
          <w:lang w:val="en-US" w:eastAsia="zh-CN"/>
        </w:rPr>
        <w:t>时间为8:30至17:00，</w:t>
      </w:r>
      <w:r>
        <w:rPr>
          <w:rFonts w:hint="eastAsia" w:ascii="宋体" w:hAnsi="宋体" w:eastAsia="宋体" w:cs="宋体"/>
          <w:color w:val="auto"/>
          <w:sz w:val="24"/>
          <w:szCs w:val="24"/>
          <w:highlight w:val="none"/>
          <w:lang w:val="en-US" w:eastAsia="zh-CN"/>
        </w:rPr>
        <w:t>报告单</w:t>
      </w:r>
      <w:r>
        <w:rPr>
          <w:rFonts w:hint="eastAsia" w:ascii="宋体" w:hAnsi="宋体" w:eastAsia="宋体" w:cs="宋体"/>
          <w:strike w:val="0"/>
          <w:dstrike w:val="0"/>
          <w:color w:val="auto"/>
          <w:sz w:val="24"/>
          <w:szCs w:val="24"/>
          <w:highlight w:val="none"/>
          <w:lang w:val="en-US" w:eastAsia="zh-CN"/>
        </w:rPr>
        <w:t>可供采购人（检验科）在网上查询</w:t>
      </w:r>
      <w:r>
        <w:rPr>
          <w:rFonts w:hint="default" w:ascii="宋体" w:hAnsi="宋体" w:eastAsia="宋体" w:cs="宋体"/>
          <w:color w:val="auto"/>
          <w:sz w:val="24"/>
          <w:highlight w:val="none"/>
          <w:lang w:val="en-US" w:eastAsia="zh-CN"/>
        </w:rPr>
        <w:t>，并及时送达</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医院</w:t>
      </w:r>
      <w:r>
        <w:rPr>
          <w:rFonts w:hint="eastAsia" w:ascii="宋体" w:hAnsi="宋体" w:cs="宋体"/>
          <w:color w:val="auto"/>
          <w:sz w:val="24"/>
          <w:highlight w:val="none"/>
          <w:lang w:val="en-US" w:eastAsia="zh-CN"/>
        </w:rPr>
        <w:t>如</w:t>
      </w:r>
      <w:r>
        <w:rPr>
          <w:rFonts w:hint="eastAsia" w:ascii="宋体" w:hAnsi="宋体" w:cs="宋体"/>
          <w:color w:val="auto"/>
          <w:sz w:val="24"/>
          <w:highlight w:val="none"/>
        </w:rPr>
        <w:t>有特殊需求</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可</w:t>
      </w:r>
      <w:r>
        <w:rPr>
          <w:rFonts w:hint="eastAsia" w:ascii="宋体" w:hAnsi="宋体" w:cs="宋体"/>
          <w:color w:val="auto"/>
          <w:sz w:val="24"/>
          <w:highlight w:val="none"/>
        </w:rPr>
        <w:t>增加收取次数。</w:t>
      </w:r>
    </w:p>
    <w:p w14:paraId="110C4785">
      <w:pPr>
        <w:pageBreakBefore w:val="0"/>
        <w:widowControl w:val="0"/>
        <w:kinsoku/>
        <w:wordWrap/>
        <w:overflowPunct/>
        <w:topLinePunct w:val="0"/>
        <w:autoSpaceDN/>
        <w:bidi w:val="0"/>
        <w:spacing w:line="360" w:lineRule="auto"/>
        <w:ind w:firstLine="484" w:firstLineChars="202"/>
        <w:textAlignment w:val="auto"/>
        <w:rPr>
          <w:rFonts w:hint="default"/>
          <w:color w:val="auto"/>
          <w:highlight w:val="none"/>
          <w:lang w:val="en-US"/>
        </w:rPr>
      </w:pPr>
      <w:r>
        <w:rPr>
          <w:rFonts w:hint="eastAsia" w:ascii="宋体" w:hAnsi="宋体" w:eastAsia="宋体" w:cs="宋体"/>
          <w:color w:val="auto"/>
          <w:sz w:val="24"/>
          <w:highlight w:val="none"/>
          <w:lang w:val="en-US" w:eastAsia="zh-CN"/>
        </w:rPr>
        <w:t>1.5</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标本</w:t>
      </w:r>
      <w:r>
        <w:rPr>
          <w:rFonts w:hint="default" w:ascii="宋体" w:hAnsi="宋体" w:eastAsia="宋体" w:cs="宋体"/>
          <w:color w:val="auto"/>
          <w:sz w:val="24"/>
          <w:highlight w:val="none"/>
          <w:lang w:val="en-US" w:eastAsia="zh-CN"/>
        </w:rPr>
        <w:t>的保存：中标人应按国家和行业标准对</w:t>
      </w:r>
      <w:r>
        <w:rPr>
          <w:rFonts w:hint="eastAsia" w:ascii="宋体" w:hAnsi="宋体" w:eastAsia="宋体" w:cs="宋体"/>
          <w:color w:val="auto"/>
          <w:sz w:val="24"/>
          <w:highlight w:val="none"/>
          <w:lang w:val="en-US" w:eastAsia="zh-CN"/>
        </w:rPr>
        <w:t>标本</w:t>
      </w:r>
      <w:r>
        <w:rPr>
          <w:rFonts w:hint="default" w:ascii="宋体" w:hAnsi="宋体" w:eastAsia="宋体" w:cs="宋体"/>
          <w:color w:val="auto"/>
          <w:sz w:val="24"/>
          <w:highlight w:val="none"/>
          <w:lang w:val="en-US" w:eastAsia="zh-CN"/>
        </w:rPr>
        <w:t>进行保存</w:t>
      </w:r>
      <w:r>
        <w:rPr>
          <w:rFonts w:hint="eastAsia" w:ascii="宋体" w:hAnsi="宋体" w:eastAsia="宋体" w:cs="宋体"/>
          <w:color w:val="auto"/>
          <w:sz w:val="24"/>
          <w:highlight w:val="none"/>
          <w:lang w:val="en-US" w:eastAsia="zh-CN"/>
        </w:rPr>
        <w:t>，不得私自销毁</w:t>
      </w:r>
      <w:r>
        <w:rPr>
          <w:rFonts w:hint="default" w:ascii="宋体" w:hAnsi="宋体" w:eastAsia="宋体" w:cs="宋体"/>
          <w:color w:val="auto"/>
          <w:sz w:val="24"/>
          <w:highlight w:val="none"/>
          <w:lang w:val="en-US" w:eastAsia="zh-CN"/>
        </w:rPr>
        <w:t>。</w:t>
      </w:r>
      <w:r>
        <w:rPr>
          <w:rFonts w:hint="default" w:ascii="宋体" w:hAnsi="宋体" w:eastAsia="宋体" w:cs="宋体"/>
          <w:strike w:val="0"/>
          <w:dstrike w:val="0"/>
          <w:color w:val="auto"/>
          <w:sz w:val="24"/>
          <w:highlight w:val="none"/>
          <w:lang w:val="en-US" w:eastAsia="zh-CN"/>
        </w:rPr>
        <w:t>由于</w:t>
      </w:r>
      <w:r>
        <w:rPr>
          <w:rFonts w:hint="eastAsia" w:ascii="宋体" w:hAnsi="宋体" w:eastAsia="宋体" w:cs="宋体"/>
          <w:strike w:val="0"/>
          <w:dstrike w:val="0"/>
          <w:color w:val="auto"/>
          <w:sz w:val="24"/>
          <w:highlight w:val="none"/>
          <w:lang w:val="en-US" w:eastAsia="zh-CN"/>
        </w:rPr>
        <w:t>标本</w:t>
      </w:r>
      <w:r>
        <w:rPr>
          <w:rFonts w:hint="default" w:ascii="宋体" w:hAnsi="宋体" w:eastAsia="宋体" w:cs="宋体"/>
          <w:strike w:val="0"/>
          <w:dstrike w:val="0"/>
          <w:color w:val="auto"/>
          <w:sz w:val="24"/>
          <w:highlight w:val="none"/>
          <w:lang w:val="en-US" w:eastAsia="zh-CN"/>
        </w:rPr>
        <w:t>本身特性达不到保存期限或保存无意义的，另行约定。</w:t>
      </w:r>
      <w:r>
        <w:rPr>
          <w:rFonts w:hint="eastAsia" w:ascii="宋体" w:hAnsi="宋体" w:eastAsia="宋体" w:cs="宋体"/>
          <w:strike w:val="0"/>
          <w:color w:val="auto"/>
          <w:sz w:val="24"/>
          <w:highlight w:val="none"/>
          <w:lang w:val="en-US" w:eastAsia="zh-CN"/>
        </w:rPr>
        <w:t>样</w:t>
      </w:r>
      <w:r>
        <w:rPr>
          <w:rFonts w:hint="eastAsia" w:ascii="宋体" w:hAnsi="宋体" w:eastAsia="宋体" w:cs="宋体"/>
          <w:color w:val="auto"/>
          <w:sz w:val="24"/>
          <w:highlight w:val="none"/>
          <w:lang w:val="en-US" w:eastAsia="zh-CN"/>
        </w:rPr>
        <w:t>本的销毁需满足国家相关标准要求。</w:t>
      </w:r>
    </w:p>
    <w:p w14:paraId="525DA1F6">
      <w:pPr>
        <w:pageBreakBefore w:val="0"/>
        <w:widowControl w:val="0"/>
        <w:kinsoku/>
        <w:wordWrap/>
        <w:overflowPunct/>
        <w:topLinePunct w:val="0"/>
        <w:autoSpaceDN/>
        <w:bidi w:val="0"/>
        <w:spacing w:line="360" w:lineRule="auto"/>
        <w:ind w:firstLine="484" w:firstLineChars="202"/>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1.6、运输要求：</w:t>
      </w:r>
      <w:r>
        <w:rPr>
          <w:rFonts w:hint="eastAsia" w:ascii="宋体" w:hAnsi="宋体" w:cs="宋体"/>
          <w:color w:val="auto"/>
          <w:sz w:val="24"/>
          <w:highlight w:val="none"/>
        </w:rPr>
        <w:t>运送标本过程中要有保温、抗震抗压的标本接收箱，并记录每个环节，必须做到生物安全与物流链的安全（符合江苏省和无锡市食药监局冷链要求规定）。物流人员经过专业系统培训，符合上岗要求。</w:t>
      </w:r>
    </w:p>
    <w:p w14:paraId="00F6A0F9">
      <w:pPr>
        <w:pageBreakBefore w:val="0"/>
        <w:widowControl w:val="0"/>
        <w:kinsoku/>
        <w:wordWrap/>
        <w:overflowPunct/>
        <w:topLinePunct w:val="0"/>
        <w:autoSpaceDN/>
        <w:bidi w:val="0"/>
        <w:spacing w:line="360" w:lineRule="auto"/>
        <w:ind w:firstLine="484" w:firstLineChars="202"/>
        <w:textAlignment w:val="auto"/>
        <w:rPr>
          <w:rFonts w:hint="eastAsia" w:ascii="宋体" w:hAnsi="宋体" w:eastAsia="宋体" w:cs="宋体"/>
          <w:color w:val="auto"/>
          <w:sz w:val="24"/>
          <w:highlight w:val="none"/>
          <w:lang w:val="en-GB"/>
        </w:rPr>
      </w:pPr>
      <w:r>
        <w:rPr>
          <w:rFonts w:hint="eastAsia" w:ascii="宋体" w:hAnsi="宋体" w:cs="宋体"/>
          <w:bCs/>
          <w:color w:val="auto"/>
          <w:sz w:val="24"/>
          <w:szCs w:val="24"/>
          <w:highlight w:val="none"/>
          <w:lang w:val="en-US" w:eastAsia="zh-CN"/>
        </w:rPr>
        <w:t>1.7</w:t>
      </w:r>
      <w:r>
        <w:rPr>
          <w:rFonts w:hint="eastAsia" w:ascii="宋体" w:hAnsi="宋体" w:eastAsia="宋体" w:cs="宋体"/>
          <w:bCs/>
          <w:color w:val="auto"/>
          <w:sz w:val="24"/>
          <w:szCs w:val="24"/>
          <w:highlight w:val="none"/>
          <w:lang w:val="en-US" w:eastAsia="zh-CN"/>
        </w:rPr>
        <w:t>、付款方式：以</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对应检验项目单价*（1-中标优惠率）*实际产生的检测项目数量</w:t>
      </w:r>
      <w:r>
        <w:rPr>
          <w:rFonts w:hint="default"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进行结算（检测项目数量以采购人检验科出具的报告数量为准），按季度结算。供应商每季度向采购人提供上个季度的检测项目数量，经采购人审核确认后，供应商出具正规发票，采购人收到发票无异议后按付款周期及时付款。注：服务期2年期满或累计服务费达到220万元，其中任意一项最先达到即为本项目完成。</w:t>
      </w:r>
      <w:r>
        <w:rPr>
          <w:rFonts w:hint="eastAsia" w:ascii="宋体" w:hAnsi="宋体" w:eastAsia="宋体" w:cs="宋体"/>
          <w:color w:val="auto"/>
          <w:sz w:val="24"/>
          <w:highlight w:val="none"/>
          <w:lang w:val="en-US" w:eastAsia="zh-CN"/>
        </w:rPr>
        <w:t>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highlight w:val="none"/>
          <w:lang w:val="en-GB"/>
        </w:rPr>
        <w:t>费用按照</w:t>
      </w:r>
      <w:r>
        <w:rPr>
          <w:rFonts w:hint="eastAsia" w:ascii="宋体" w:hAnsi="宋体" w:eastAsia="宋体" w:cs="宋体"/>
          <w:color w:val="auto"/>
          <w:sz w:val="24"/>
          <w:highlight w:val="none"/>
          <w:lang w:val="en-GB" w:eastAsia="zh-CN"/>
        </w:rPr>
        <w:t>“</w:t>
      </w:r>
      <w:r>
        <w:rPr>
          <w:rFonts w:hint="eastAsia" w:ascii="宋体" w:hAnsi="宋体" w:eastAsia="宋体" w:cs="宋体"/>
          <w:color w:val="auto"/>
          <w:sz w:val="24"/>
          <w:highlight w:val="none"/>
          <w:lang w:val="en-GB"/>
        </w:rPr>
        <w:t>江苏省医保局制定的医疗服务收费标准或当地物价部门规定的收费标准</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val="en-GB"/>
        </w:rPr>
        <w:t>甲乙双方协商价格</w:t>
      </w:r>
      <w:r>
        <w:rPr>
          <w:rFonts w:hint="eastAsia" w:ascii="宋体" w:hAnsi="宋体" w:eastAsia="宋体" w:cs="宋体"/>
          <w:color w:val="auto"/>
          <w:sz w:val="24"/>
          <w:highlight w:val="none"/>
          <w:lang w:val="en-US" w:eastAsia="zh-CN"/>
        </w:rPr>
        <w:t>*</w:t>
      </w:r>
      <w:r>
        <w:rPr>
          <w:rFonts w:hint="eastAsia" w:ascii="宋体" w:hAnsi="宋体" w:eastAsia="宋体" w:cs="宋体"/>
          <w:bCs/>
          <w:color w:val="auto"/>
          <w:sz w:val="24"/>
          <w:szCs w:val="24"/>
          <w:highlight w:val="none"/>
          <w:lang w:val="en-US" w:eastAsia="zh-CN"/>
        </w:rPr>
        <w:t>（1-中标优惠率）</w:t>
      </w:r>
      <w:r>
        <w:rPr>
          <w:rFonts w:hint="eastAsia" w:ascii="宋体" w:hAnsi="宋体" w:eastAsia="宋体" w:cs="宋体"/>
          <w:color w:val="auto"/>
          <w:sz w:val="24"/>
          <w:highlight w:val="none"/>
          <w:lang w:val="en-US" w:eastAsia="zh-CN"/>
        </w:rPr>
        <w:t>*实际产生的检测项目数量”进行结算。</w:t>
      </w:r>
    </w:p>
    <w:p w14:paraId="03574839">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auto"/>
        <w:ind w:left="0" w:leftChars="0" w:firstLine="476" w:firstLineChars="200"/>
        <w:jc w:val="left"/>
        <w:textAlignment w:val="auto"/>
        <w:rPr>
          <w:rFonts w:hint="eastAsia" w:ascii="宋体" w:hAnsi="宋体"/>
          <w:b/>
          <w:bCs/>
          <w:color w:val="auto"/>
          <w:spacing w:val="-1"/>
          <w:sz w:val="24"/>
          <w:szCs w:val="24"/>
          <w:highlight w:val="none"/>
          <w:lang w:val="zh-CN" w:eastAsia="zh-CN"/>
        </w:rPr>
      </w:pPr>
      <w:r>
        <w:rPr>
          <w:rFonts w:hint="eastAsia" w:ascii="宋体" w:hAnsi="宋体"/>
          <w:b/>
          <w:bCs/>
          <w:color w:val="auto"/>
          <w:spacing w:val="-1"/>
          <w:sz w:val="24"/>
          <w:szCs w:val="24"/>
          <w:highlight w:val="none"/>
          <w:lang w:val="en-US" w:eastAsia="zh-CN"/>
        </w:rPr>
        <w:t>2、报价相关</w:t>
      </w:r>
      <w:r>
        <w:rPr>
          <w:rFonts w:hint="eastAsia" w:ascii="宋体" w:hAnsi="宋体"/>
          <w:b/>
          <w:bCs/>
          <w:color w:val="auto"/>
          <w:spacing w:val="-1"/>
          <w:sz w:val="24"/>
          <w:szCs w:val="24"/>
          <w:highlight w:val="none"/>
          <w:lang w:val="zh-CN" w:eastAsia="zh-CN"/>
        </w:rPr>
        <w:t>说明</w:t>
      </w:r>
    </w:p>
    <w:p w14:paraId="4A8B54A8">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auto"/>
        <w:ind w:left="0" w:leftChars="0" w:firstLine="480" w:firstLineChars="200"/>
        <w:jc w:val="left"/>
        <w:textAlignment w:val="auto"/>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2.</w:t>
      </w:r>
      <w:r>
        <w:rPr>
          <w:rFonts w:hint="eastAsia" w:ascii="宋体" w:hAnsi="宋体" w:eastAsia="宋体" w:cs="宋体"/>
          <w:b w:val="0"/>
          <w:color w:val="auto"/>
          <w:sz w:val="24"/>
          <w:szCs w:val="24"/>
          <w:highlight w:val="none"/>
          <w:lang w:val="en-US" w:bidi="ar-SA"/>
        </w:rPr>
        <w:t>1</w:t>
      </w:r>
      <w:r>
        <w:rPr>
          <w:rFonts w:hint="eastAsia" w:ascii="宋体" w:hAnsi="宋体" w:eastAsia="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bidi="ar-SA"/>
        </w:rPr>
        <w:t>报价一经涂改，应在涂改处加盖单位公章或者由法定代表人或其授权代表签字或盖章，否则其投标作无效投标处理。</w:t>
      </w:r>
    </w:p>
    <w:p w14:paraId="202F82E7">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auto"/>
        <w:ind w:left="0" w:leftChars="0" w:firstLine="480" w:firstLineChars="200"/>
        <w:jc w:val="left"/>
        <w:textAlignment w:val="auto"/>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2.</w:t>
      </w:r>
      <w:r>
        <w:rPr>
          <w:rFonts w:hint="eastAsia" w:ascii="宋体" w:hAnsi="宋体" w:eastAsia="宋体" w:cs="宋体"/>
          <w:b w:val="0"/>
          <w:color w:val="auto"/>
          <w:sz w:val="24"/>
          <w:szCs w:val="24"/>
          <w:highlight w:val="none"/>
          <w:lang w:val="en-US" w:bidi="ar-SA"/>
        </w:rPr>
        <w:t>2</w:t>
      </w:r>
      <w:r>
        <w:rPr>
          <w:rFonts w:hint="eastAsia" w:ascii="宋体" w:hAnsi="宋体" w:eastAsia="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bidi="ar-SA"/>
        </w:rPr>
        <w:t>产品报价应包含税费、包装、库运、保险、检验、根据采购人需求提供相应数量的设备、配件、耗品等，以及提供工作人员培训、技术支持、设备保养维修及升级等所有费用。</w:t>
      </w:r>
    </w:p>
    <w:p w14:paraId="0C6E85E8">
      <w:pPr>
        <w:pStyle w:val="7"/>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2.</w:t>
      </w:r>
      <w:r>
        <w:rPr>
          <w:rFonts w:hint="eastAsia" w:ascii="宋体" w:hAnsi="宋体" w:eastAsia="宋体" w:cs="宋体"/>
          <w:b w:val="0"/>
          <w:color w:val="auto"/>
          <w:sz w:val="24"/>
          <w:szCs w:val="24"/>
          <w:highlight w:val="none"/>
          <w:lang w:val="en-US" w:bidi="ar-SA"/>
        </w:rPr>
        <w:t>3、投标价格的合理性：评标委员会认为</w:t>
      </w:r>
      <w:r>
        <w:rPr>
          <w:rFonts w:hint="eastAsia" w:ascii="宋体" w:hAnsi="宋体" w:eastAsia="宋体" w:cs="宋体"/>
          <w:b w:val="0"/>
          <w:color w:val="auto"/>
          <w:sz w:val="24"/>
          <w:szCs w:val="24"/>
          <w:highlight w:val="none"/>
          <w:lang w:val="en-US" w:eastAsia="zh-CN" w:bidi="ar-SA"/>
        </w:rPr>
        <w:t>供应商</w:t>
      </w:r>
      <w:r>
        <w:rPr>
          <w:rFonts w:hint="eastAsia" w:ascii="宋体" w:hAnsi="宋体" w:eastAsia="宋体" w:cs="宋体"/>
          <w:b w:val="0"/>
          <w:color w:val="auto"/>
          <w:sz w:val="24"/>
          <w:szCs w:val="24"/>
          <w:highlight w:val="none"/>
          <w:lang w:val="en-US" w:bidi="ar-SA"/>
        </w:rPr>
        <w:t>的报价明显低于其他通过符合性审查</w:t>
      </w:r>
      <w:r>
        <w:rPr>
          <w:rFonts w:hint="eastAsia" w:ascii="宋体" w:hAnsi="宋体" w:eastAsia="宋体" w:cs="宋体"/>
          <w:b w:val="0"/>
          <w:color w:val="auto"/>
          <w:sz w:val="24"/>
          <w:szCs w:val="24"/>
          <w:highlight w:val="none"/>
          <w:lang w:val="en-US" w:eastAsia="zh-CN" w:bidi="ar-SA"/>
        </w:rPr>
        <w:t>供应商</w:t>
      </w:r>
      <w:r>
        <w:rPr>
          <w:rFonts w:hint="eastAsia" w:ascii="宋体" w:hAnsi="宋体" w:eastAsia="宋体" w:cs="宋体"/>
          <w:b w:val="0"/>
          <w:color w:val="auto"/>
          <w:sz w:val="24"/>
          <w:szCs w:val="24"/>
          <w:highlight w:val="none"/>
          <w:lang w:val="en-US" w:bidi="ar-SA"/>
        </w:rPr>
        <w:t>的报价，有可能影响产品质量或者不能诚信履约的，应当要求其在评标现场合理的时间内提供书面说明，必要时提交相关证明材料；</w:t>
      </w:r>
      <w:r>
        <w:rPr>
          <w:rFonts w:hint="eastAsia" w:ascii="宋体" w:hAnsi="宋体" w:eastAsia="宋体" w:cs="宋体"/>
          <w:b w:val="0"/>
          <w:color w:val="auto"/>
          <w:sz w:val="24"/>
          <w:szCs w:val="24"/>
          <w:highlight w:val="none"/>
          <w:lang w:val="en-US" w:eastAsia="zh-CN" w:bidi="ar-SA"/>
        </w:rPr>
        <w:t>供应商</w:t>
      </w:r>
      <w:r>
        <w:rPr>
          <w:rFonts w:hint="eastAsia" w:ascii="宋体" w:hAnsi="宋体" w:eastAsia="宋体" w:cs="宋体"/>
          <w:b w:val="0"/>
          <w:color w:val="auto"/>
          <w:sz w:val="24"/>
          <w:szCs w:val="24"/>
          <w:highlight w:val="none"/>
          <w:lang w:val="en-US" w:bidi="ar-SA"/>
        </w:rPr>
        <w:t>不能证明其报价合理性的，评标委员会应当将其作为无效投标处理。</w:t>
      </w:r>
    </w:p>
    <w:p w14:paraId="50B9DA8D">
      <w:pPr>
        <w:keepNext w:val="0"/>
        <w:keepLines w:val="0"/>
        <w:pageBreakBefore w:val="0"/>
        <w:widowControl w:val="0"/>
        <w:kinsoku/>
        <w:wordWrap/>
        <w:overflowPunct/>
        <w:topLinePunct w:val="0"/>
        <w:autoSpaceDN/>
        <w:bidi w:val="0"/>
        <w:spacing w:line="360" w:lineRule="auto"/>
        <w:ind w:left="0" w:firstLine="482" w:firstLineChars="200"/>
        <w:textAlignment w:val="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四、转让和分包</w:t>
      </w:r>
    </w:p>
    <w:p w14:paraId="3F746795">
      <w:pPr>
        <w:pStyle w:val="430"/>
        <w:keepNext w:val="0"/>
        <w:keepLines w:val="0"/>
        <w:pageBreakBefore w:val="0"/>
        <w:kinsoku/>
        <w:overflowPunct/>
        <w:bidi w:val="0"/>
        <w:snapToGrid/>
        <w:spacing w:line="440" w:lineRule="exact"/>
        <w:ind w:left="0" w:leftChars="0" w:right="0" w:firstLine="480" w:firstLineChars="200"/>
        <w:outlineLvl w:val="9"/>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本项目不得以任何形式进行转包及分包。</w:t>
      </w:r>
    </w:p>
    <w:p w14:paraId="185BC858">
      <w:pPr>
        <w:tabs>
          <w:tab w:val="left" w:pos="525"/>
          <w:tab w:val="left" w:pos="630"/>
          <w:tab w:val="left" w:pos="735"/>
          <w:tab w:val="left" w:pos="945"/>
        </w:tabs>
        <w:spacing w:line="360" w:lineRule="auto"/>
        <w:ind w:firstLine="48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第</w:t>
      </w:r>
      <w:r>
        <w:rPr>
          <w:rFonts w:hint="eastAsia" w:ascii="宋体" w:hAnsi="宋体" w:eastAsia="宋体" w:cs="宋体"/>
          <w:b/>
          <w:color w:val="auto"/>
          <w:sz w:val="30"/>
          <w:szCs w:val="30"/>
          <w:highlight w:val="none"/>
          <w:lang w:val="en-US" w:eastAsia="zh-CN"/>
        </w:rPr>
        <w:t>二</w:t>
      </w:r>
      <w:r>
        <w:rPr>
          <w:rFonts w:hint="eastAsia" w:ascii="宋体" w:hAnsi="宋体" w:eastAsia="宋体" w:cs="宋体"/>
          <w:b/>
          <w:color w:val="auto"/>
          <w:sz w:val="30"/>
          <w:szCs w:val="30"/>
          <w:highlight w:val="none"/>
        </w:rPr>
        <w:t>部分  政府采购政策（包括但不限于下列具体政策要求）</w:t>
      </w:r>
    </w:p>
    <w:p w14:paraId="65531B0D">
      <w:pPr>
        <w:numPr>
          <w:ilvl w:val="1"/>
          <w:numId w:val="13"/>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1710144">
      <w:pPr>
        <w:numPr>
          <w:ilvl w:val="1"/>
          <w:numId w:val="13"/>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8B29A4D">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BA6A836">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032A49CB">
      <w:pPr>
        <w:numPr>
          <w:ilvl w:val="1"/>
          <w:numId w:val="13"/>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0F372D4">
      <w:pPr>
        <w:numPr>
          <w:ilvl w:val="1"/>
          <w:numId w:val="13"/>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7CA2C0F8">
      <w:pPr>
        <w:numPr>
          <w:ilvl w:val="1"/>
          <w:numId w:val="13"/>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3650B48D">
      <w:pPr>
        <w:numPr>
          <w:ilvl w:val="1"/>
          <w:numId w:val="13"/>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5A8F90DB">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059CD5A7">
      <w:pPr>
        <w:numPr>
          <w:ilvl w:val="1"/>
          <w:numId w:val="13"/>
        </w:numPr>
        <w:tabs>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592F1B28">
      <w:pPr>
        <w:numPr>
          <w:ilvl w:val="1"/>
          <w:numId w:val="13"/>
        </w:numPr>
        <w:tabs>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8D4E309">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28AA9DC">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582D16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 w:eastAsia="zh-CN"/>
        </w:rPr>
        <w:t>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p>
    <w:p w14:paraId="2564B4F9">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r>
    </w:p>
    <w:p w14:paraId="1D9F72DF">
      <w:pPr>
        <w:tabs>
          <w:tab w:val="left" w:pos="525"/>
          <w:tab w:val="left" w:pos="630"/>
          <w:tab w:val="left" w:pos="735"/>
          <w:tab w:val="left" w:pos="945"/>
          <w:tab w:val="left" w:pos="1080"/>
        </w:tabs>
        <w:spacing w:line="360" w:lineRule="auto"/>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6515EF30">
      <w:pPr>
        <w:pStyle w:val="405"/>
        <w:spacing w:before="0" w:after="0"/>
        <w:ind w:firstLine="602"/>
        <w:rPr>
          <w:rFonts w:cs="Arial"/>
          <w:b/>
          <w:color w:val="auto"/>
          <w:sz w:val="30"/>
          <w:szCs w:val="30"/>
          <w:highlight w:val="none"/>
        </w:rPr>
      </w:pPr>
      <w:r>
        <w:rPr>
          <w:rFonts w:hint="eastAsia" w:cs="Arial"/>
          <w:b/>
          <w:color w:val="auto"/>
          <w:sz w:val="30"/>
          <w:szCs w:val="30"/>
          <w:highlight w:val="none"/>
        </w:rPr>
        <w:t>第一部分评标方法</w:t>
      </w:r>
    </w:p>
    <w:p w14:paraId="3E0E3881">
      <w:pPr>
        <w:pStyle w:val="405"/>
        <w:spacing w:before="0" w:after="0"/>
        <w:rPr>
          <w:rFonts w:cs="Arial"/>
          <w:color w:val="auto"/>
          <w:highlight w:val="none"/>
        </w:rPr>
      </w:pPr>
      <w:r>
        <w:rPr>
          <w:rFonts w:hint="eastAsia" w:cs="Arial"/>
          <w:color w:val="auto"/>
          <w:highlight w:val="none"/>
        </w:rPr>
        <w:t>投标人通过初审的，方可进入比较与评价程序。</w:t>
      </w:r>
    </w:p>
    <w:p w14:paraId="7C81E584">
      <w:pPr>
        <w:pStyle w:val="405"/>
        <w:spacing w:before="0" w:after="0"/>
        <w:rPr>
          <w:rFonts w:cs="Arial"/>
          <w:color w:val="auto"/>
          <w:highlight w:val="none"/>
        </w:rPr>
      </w:pPr>
      <w:r>
        <w:rPr>
          <w:rFonts w:hint="eastAsia" w:cs="Arial"/>
          <w:color w:val="auto"/>
          <w:highlight w:val="none"/>
        </w:rPr>
        <w:t>比较与评价采用综合评分法。</w:t>
      </w:r>
    </w:p>
    <w:p w14:paraId="37C32741">
      <w:pPr>
        <w:pStyle w:val="405"/>
        <w:spacing w:before="0" w:after="0"/>
        <w:rPr>
          <w:rStyle w:val="100"/>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1EF7AA90">
      <w:pPr>
        <w:pStyle w:val="405"/>
        <w:spacing w:before="0" w:after="0"/>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EFAECA3">
      <w:pPr>
        <w:widowControl/>
        <w:spacing w:line="360" w:lineRule="auto"/>
        <w:ind w:firstLine="600"/>
        <w:jc w:val="left"/>
        <w:rPr>
          <w:rFonts w:cs="Arial"/>
          <w:b/>
          <w:color w:val="auto"/>
          <w:sz w:val="30"/>
          <w:szCs w:val="30"/>
          <w:highlight w:val="none"/>
        </w:rPr>
      </w:pPr>
      <w:r>
        <w:rPr>
          <w:rFonts w:hint="eastAsia" w:cs="Arial"/>
          <w:b/>
          <w:color w:val="auto"/>
          <w:sz w:val="30"/>
          <w:szCs w:val="30"/>
          <w:highlight w:val="none"/>
        </w:rPr>
        <w:t>第二部分评标标准</w:t>
      </w:r>
    </w:p>
    <w:p w14:paraId="73982687">
      <w:pPr>
        <w:pStyle w:val="405"/>
        <w:spacing w:before="0" w:after="0"/>
        <w:ind w:firstLine="562"/>
        <w:rPr>
          <w:rFonts w:ascii="宋体" w:hAnsi="宋体"/>
          <w:b/>
          <w:color w:val="auto"/>
          <w:sz w:val="28"/>
          <w:szCs w:val="28"/>
          <w:highlight w:val="none"/>
        </w:rPr>
      </w:pPr>
      <w:r>
        <w:rPr>
          <w:rFonts w:hint="eastAsia" w:ascii="宋体" w:hAnsi="宋体"/>
          <w:b/>
          <w:color w:val="auto"/>
          <w:sz w:val="28"/>
          <w:szCs w:val="28"/>
          <w:highlight w:val="none"/>
          <w:lang w:val="en-US" w:eastAsia="zh-CN"/>
        </w:rPr>
        <w:t>一、</w:t>
      </w:r>
      <w:r>
        <w:rPr>
          <w:rFonts w:hint="eastAsia" w:ascii="宋体" w:hAnsi="宋体"/>
          <w:b/>
          <w:color w:val="auto"/>
          <w:sz w:val="28"/>
          <w:szCs w:val="28"/>
          <w:highlight w:val="none"/>
        </w:rPr>
        <w:t>落实政府采购政策的价格调整</w:t>
      </w:r>
    </w:p>
    <w:p w14:paraId="64137EEE">
      <w:pPr>
        <w:spacing w:line="360" w:lineRule="auto"/>
        <w:ind w:firstLine="482"/>
        <w:jc w:val="left"/>
        <w:rPr>
          <w:rFonts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一）</w:t>
      </w:r>
      <w:r>
        <w:rPr>
          <w:rFonts w:hint="eastAsia" w:ascii="宋体" w:hAnsi="宋体"/>
          <w:b/>
          <w:bCs/>
          <w:color w:val="auto"/>
          <w:sz w:val="24"/>
          <w:szCs w:val="24"/>
          <w:highlight w:val="none"/>
        </w:rPr>
        <w:t>小微型企业价格扣除：</w:t>
      </w:r>
    </w:p>
    <w:p w14:paraId="4A0A8824">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0DA124E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出具的属于监狱企业的证明文件扫描件。</w:t>
      </w:r>
    </w:p>
    <w:p w14:paraId="33D1587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B7CDB6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6B38114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4E76190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50657EDF">
      <w:pPr>
        <w:spacing w:line="360" w:lineRule="auto"/>
        <w:ind w:firstLine="480"/>
        <w:jc w:val="left"/>
        <w:rPr>
          <w:rFonts w:ascii="宋体" w:hAnsi="宋体" w:eastAsia="宋体"/>
          <w:b/>
          <w:color w:val="auto"/>
          <w:sz w:val="28"/>
          <w:szCs w:val="28"/>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0687CAC9">
      <w:pPr>
        <w:pStyle w:val="405"/>
        <w:numPr>
          <w:ilvl w:val="0"/>
          <w:numId w:val="14"/>
        </w:numPr>
        <w:spacing w:before="0" w:after="0"/>
        <w:ind w:firstLine="360"/>
        <w:rPr>
          <w:rFonts w:ascii="宋体" w:hAnsi="宋体"/>
          <w:b/>
          <w:color w:val="auto"/>
          <w:sz w:val="28"/>
          <w:szCs w:val="28"/>
          <w:highlight w:val="none"/>
        </w:rPr>
      </w:pPr>
      <w:r>
        <w:rPr>
          <w:rFonts w:hint="eastAsia" w:ascii="宋体" w:hAnsi="宋体"/>
          <w:b/>
          <w:color w:val="auto"/>
          <w:sz w:val="28"/>
          <w:szCs w:val="28"/>
          <w:highlight w:val="none"/>
        </w:rPr>
        <w:t>评分标准</w:t>
      </w:r>
    </w:p>
    <w:p w14:paraId="4C3262A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一、价格分（</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0分）</w:t>
      </w:r>
    </w:p>
    <w:p w14:paraId="6DBE3A75">
      <w:pPr>
        <w:tabs>
          <w:tab w:val="left" w:pos="945"/>
        </w:tabs>
        <w:spacing w:line="360" w:lineRule="auto"/>
        <w:ind w:firstLine="480"/>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参与</w:t>
      </w:r>
      <w:r>
        <w:rPr>
          <w:rFonts w:hint="eastAsia" w:ascii="宋体" w:hAnsi="宋体" w:eastAsia="宋体" w:cs="宋体"/>
          <w:bCs/>
          <w:color w:val="auto"/>
          <w:sz w:val="24"/>
          <w:szCs w:val="20"/>
          <w:highlight w:val="none"/>
        </w:rPr>
        <w:t>投标单位</w:t>
      </w:r>
      <w:r>
        <w:rPr>
          <w:rFonts w:hint="eastAsia" w:ascii="宋体" w:hAnsi="宋体" w:eastAsia="宋体" w:cs="宋体"/>
          <w:bCs/>
          <w:color w:val="auto"/>
          <w:sz w:val="24"/>
          <w:szCs w:val="20"/>
          <w:highlight w:val="none"/>
          <w:lang w:val="zh-CN"/>
        </w:rPr>
        <w:t>应根据</w:t>
      </w:r>
      <w:r>
        <w:rPr>
          <w:rFonts w:hint="eastAsia" w:ascii="宋体" w:hAnsi="宋体" w:eastAsia="宋体" w:cs="宋体"/>
          <w:bCs/>
          <w:color w:val="auto"/>
          <w:sz w:val="24"/>
          <w:szCs w:val="20"/>
          <w:highlight w:val="none"/>
        </w:rPr>
        <w:t>采购清单中的单价标准</w:t>
      </w:r>
      <w:r>
        <w:rPr>
          <w:rFonts w:hint="eastAsia" w:ascii="宋体" w:hAnsi="宋体" w:eastAsia="宋体" w:cs="宋体"/>
          <w:bCs/>
          <w:color w:val="auto"/>
          <w:sz w:val="24"/>
          <w:szCs w:val="20"/>
          <w:highlight w:val="none"/>
          <w:lang w:val="zh-CN"/>
        </w:rPr>
        <w:t>，进行整体优惠率报价，评审时以优惠率作为投标报价，假设商品单价为100元，优惠率为</w:t>
      </w:r>
      <w:r>
        <w:rPr>
          <w:rFonts w:hint="eastAsia" w:ascii="宋体" w:hAnsi="宋体" w:eastAsia="宋体" w:cs="宋体"/>
          <w:bCs/>
          <w:color w:val="auto"/>
          <w:sz w:val="24"/>
          <w:szCs w:val="20"/>
          <w:highlight w:val="none"/>
          <w:lang w:val="en-US" w:eastAsia="zh-CN"/>
        </w:rPr>
        <w:t>70</w:t>
      </w:r>
      <w:r>
        <w:rPr>
          <w:rFonts w:hint="eastAsia" w:ascii="宋体" w:hAnsi="宋体" w:eastAsia="宋体" w:cs="宋体"/>
          <w:bCs/>
          <w:color w:val="auto"/>
          <w:sz w:val="24"/>
          <w:szCs w:val="20"/>
          <w:highlight w:val="none"/>
          <w:lang w:val="zh-CN"/>
        </w:rPr>
        <w:t>%则结算时该商品单价为（</w:t>
      </w:r>
      <w:r>
        <w:rPr>
          <w:rFonts w:hint="eastAsia"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lang w:val="zh-CN"/>
        </w:rPr>
        <w:t>-</w:t>
      </w:r>
      <w:r>
        <w:rPr>
          <w:rFonts w:hint="eastAsia" w:ascii="宋体" w:hAnsi="宋体" w:eastAsia="宋体" w:cs="宋体"/>
          <w:bCs/>
          <w:color w:val="auto"/>
          <w:sz w:val="24"/>
          <w:szCs w:val="20"/>
          <w:highlight w:val="none"/>
          <w:lang w:val="en-US" w:eastAsia="zh-CN"/>
        </w:rPr>
        <w:t>70</w:t>
      </w:r>
      <w:r>
        <w:rPr>
          <w:rFonts w:hint="eastAsia" w:ascii="宋体" w:hAnsi="宋体" w:eastAsia="宋体" w:cs="宋体"/>
          <w:bCs/>
          <w:color w:val="auto"/>
          <w:sz w:val="24"/>
          <w:szCs w:val="20"/>
          <w:highlight w:val="none"/>
          <w:lang w:val="zh-CN"/>
        </w:rPr>
        <w:t>%）*100=</w:t>
      </w:r>
      <w:r>
        <w:rPr>
          <w:rFonts w:hint="eastAsia" w:ascii="宋体" w:hAnsi="宋体" w:eastAsia="宋体" w:cs="宋体"/>
          <w:bCs/>
          <w:color w:val="auto"/>
          <w:sz w:val="24"/>
          <w:szCs w:val="20"/>
          <w:highlight w:val="none"/>
          <w:lang w:val="en-US" w:eastAsia="zh-CN"/>
        </w:rPr>
        <w:t>30</w:t>
      </w:r>
      <w:r>
        <w:rPr>
          <w:rFonts w:hint="eastAsia" w:ascii="宋体" w:hAnsi="宋体" w:eastAsia="宋体" w:cs="宋体"/>
          <w:bCs/>
          <w:color w:val="auto"/>
          <w:sz w:val="24"/>
          <w:szCs w:val="20"/>
          <w:highlight w:val="none"/>
          <w:lang w:val="zh-CN"/>
        </w:rPr>
        <w:t>元，优惠率为</w:t>
      </w:r>
      <w:r>
        <w:rPr>
          <w:rFonts w:hint="eastAsia" w:ascii="宋体" w:hAnsi="宋体" w:eastAsia="宋体" w:cs="宋体"/>
          <w:bCs/>
          <w:color w:val="auto"/>
          <w:sz w:val="24"/>
          <w:szCs w:val="20"/>
          <w:highlight w:val="none"/>
          <w:lang w:val="en-US" w:eastAsia="zh-CN"/>
        </w:rPr>
        <w:t>71</w:t>
      </w:r>
      <w:r>
        <w:rPr>
          <w:rFonts w:hint="eastAsia" w:ascii="宋体" w:hAnsi="宋体" w:eastAsia="宋体" w:cs="宋体"/>
          <w:bCs/>
          <w:color w:val="auto"/>
          <w:sz w:val="24"/>
          <w:szCs w:val="20"/>
          <w:highlight w:val="none"/>
          <w:lang w:val="zh-CN"/>
        </w:rPr>
        <w:t>%则结算时该商品单价为（</w:t>
      </w:r>
      <w:r>
        <w:rPr>
          <w:rFonts w:hint="eastAsia"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lang w:val="zh-CN"/>
        </w:rPr>
        <w:t>-</w:t>
      </w:r>
      <w:r>
        <w:rPr>
          <w:rFonts w:hint="eastAsia" w:ascii="宋体" w:hAnsi="宋体" w:eastAsia="宋体" w:cs="宋体"/>
          <w:bCs/>
          <w:color w:val="auto"/>
          <w:sz w:val="24"/>
          <w:szCs w:val="20"/>
          <w:highlight w:val="none"/>
          <w:lang w:val="en-US" w:eastAsia="zh-CN"/>
        </w:rPr>
        <w:t>71</w:t>
      </w:r>
      <w:r>
        <w:rPr>
          <w:rFonts w:hint="eastAsia" w:ascii="宋体" w:hAnsi="宋体" w:eastAsia="宋体" w:cs="宋体"/>
          <w:bCs/>
          <w:color w:val="auto"/>
          <w:sz w:val="24"/>
          <w:szCs w:val="20"/>
          <w:highlight w:val="none"/>
          <w:lang w:val="zh-CN"/>
        </w:rPr>
        <w:t>%）*100=</w:t>
      </w:r>
      <w:r>
        <w:rPr>
          <w:rFonts w:hint="eastAsia" w:ascii="宋体" w:hAnsi="宋体" w:eastAsia="宋体" w:cs="宋体"/>
          <w:bCs/>
          <w:color w:val="auto"/>
          <w:sz w:val="24"/>
          <w:szCs w:val="20"/>
          <w:highlight w:val="none"/>
          <w:lang w:val="en-US" w:eastAsia="zh-CN"/>
        </w:rPr>
        <w:t>29</w:t>
      </w:r>
      <w:r>
        <w:rPr>
          <w:rFonts w:hint="eastAsia" w:ascii="宋体" w:hAnsi="宋体" w:eastAsia="宋体" w:cs="宋体"/>
          <w:bCs/>
          <w:color w:val="auto"/>
          <w:sz w:val="24"/>
          <w:szCs w:val="20"/>
          <w:highlight w:val="none"/>
          <w:lang w:val="zh-CN"/>
        </w:rPr>
        <w:t>元，以此类推；整体优惠率只允许有一个，并且在合同履行过程中是固定不变的；任何有选择的报价将不予接受，并按无效响应处理。</w:t>
      </w:r>
    </w:p>
    <w:p w14:paraId="06A65B9E">
      <w:pPr>
        <w:tabs>
          <w:tab w:val="left" w:pos="945"/>
        </w:tabs>
        <w:spacing w:line="360" w:lineRule="auto"/>
        <w:ind w:firstLine="480"/>
        <w:rPr>
          <w:rFonts w:hint="eastAsia" w:ascii="宋体" w:hAnsi="宋体" w:eastAsia="宋体" w:cs="宋体"/>
          <w:bCs/>
          <w:color w:val="auto"/>
          <w:sz w:val="24"/>
          <w:szCs w:val="20"/>
          <w:highlight w:val="none"/>
          <w:lang w:val="zh-CN"/>
        </w:rPr>
      </w:pPr>
      <w:r>
        <w:rPr>
          <w:rFonts w:hint="eastAsia" w:ascii="宋体" w:hAnsi="宋体" w:eastAsia="宋体" w:cs="宋体"/>
          <w:color w:val="auto"/>
          <w:sz w:val="24"/>
          <w:szCs w:val="24"/>
          <w:highlight w:val="none"/>
        </w:rPr>
        <w:t>采用低价优先法计算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即满足采购文件要求且有效的</w:t>
      </w:r>
      <w:r>
        <w:rPr>
          <w:rFonts w:hint="eastAsia" w:ascii="宋体" w:hAnsi="宋体"/>
          <w:bCs/>
          <w:color w:val="auto"/>
          <w:sz w:val="24"/>
          <w:highlight w:val="none"/>
        </w:rPr>
        <w:t>报折扣率</w:t>
      </w:r>
      <w:r>
        <w:rPr>
          <w:rFonts w:hint="eastAsia" w:ascii="宋体" w:hAnsi="宋体"/>
          <w:bCs/>
          <w:color w:val="auto"/>
          <w:sz w:val="24"/>
          <w:highlight w:val="none"/>
          <w:lang w:eastAsia="zh-CN"/>
        </w:rPr>
        <w:t>（</w:t>
      </w:r>
      <w:r>
        <w:rPr>
          <w:rFonts w:hint="eastAsia" w:ascii="宋体" w:hAnsi="宋体"/>
          <w:bCs/>
          <w:color w:val="auto"/>
          <w:sz w:val="24"/>
          <w:highlight w:val="none"/>
        </w:rPr>
        <w:t>折扣率=1-优惠率</w:t>
      </w:r>
      <w:r>
        <w:rPr>
          <w:rFonts w:hint="eastAsia" w:ascii="宋体" w:hAnsi="宋体"/>
          <w:bCs/>
          <w:color w:val="auto"/>
          <w:sz w:val="24"/>
          <w:highlight w:val="none"/>
          <w:lang w:eastAsia="zh-CN"/>
        </w:rPr>
        <w:t>）</w:t>
      </w:r>
      <w:r>
        <w:rPr>
          <w:rFonts w:hint="eastAsia" w:ascii="宋体" w:hAnsi="宋体"/>
          <w:bCs/>
          <w:color w:val="auto"/>
          <w:sz w:val="24"/>
          <w:highlight w:val="none"/>
        </w:rPr>
        <w:t>最低的报价人的</w:t>
      </w:r>
      <w:r>
        <w:rPr>
          <w:rFonts w:hint="eastAsia" w:ascii="宋体" w:hAnsi="宋体"/>
          <w:bCs/>
          <w:color w:val="auto"/>
          <w:sz w:val="24"/>
          <w:highlight w:val="none"/>
          <w:lang w:val="en-US" w:eastAsia="zh-CN"/>
        </w:rPr>
        <w:t>优惠</w:t>
      </w:r>
      <w:r>
        <w:rPr>
          <w:rFonts w:hint="eastAsia" w:ascii="宋体" w:hAnsi="宋体"/>
          <w:bCs/>
          <w:color w:val="auto"/>
          <w:sz w:val="24"/>
          <w:highlight w:val="none"/>
        </w:rPr>
        <w:t>率</w:t>
      </w:r>
      <w:r>
        <w:rPr>
          <w:rFonts w:hint="eastAsia" w:ascii="宋体" w:hAnsi="宋体" w:eastAsia="宋体"/>
          <w:bCs/>
          <w:color w:val="auto"/>
          <w:sz w:val="24"/>
          <w:highlight w:val="none"/>
          <w:lang w:val="en-US" w:eastAsia="zh-CN"/>
        </w:rPr>
        <w:t>为</w:t>
      </w:r>
      <w:r>
        <w:rPr>
          <w:rFonts w:hint="eastAsia" w:ascii="宋体" w:hAnsi="宋体" w:eastAsia="宋体" w:cs="宋体"/>
          <w:color w:val="auto"/>
          <w:sz w:val="24"/>
          <w:szCs w:val="24"/>
          <w:highlight w:val="none"/>
        </w:rPr>
        <w:t>评标基准价</w:t>
      </w:r>
      <w:r>
        <w:rPr>
          <w:rFonts w:hint="eastAsia" w:ascii="宋体" w:hAnsi="宋体" w:eastAsia="宋体" w:cs="宋体"/>
          <w:bCs/>
          <w:color w:val="auto"/>
          <w:sz w:val="24"/>
          <w:szCs w:val="20"/>
          <w:highlight w:val="none"/>
          <w:lang w:val="zh-CN"/>
        </w:rPr>
        <w:t>，其价格分为满分。其他供应商的报价得分统一按照下列公式计算：</w:t>
      </w:r>
    </w:p>
    <w:p w14:paraId="3E3EE8FE">
      <w:pPr>
        <w:tabs>
          <w:tab w:val="left" w:pos="945"/>
        </w:tabs>
        <w:spacing w:line="360" w:lineRule="auto"/>
        <w:ind w:firstLine="480"/>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投标报价得分=（1-评审基准价）／（1-投标报价）×价格权值×100，结果保留两位小数。</w:t>
      </w:r>
    </w:p>
    <w:p w14:paraId="2175255C">
      <w:pPr>
        <w:widowControl/>
        <w:spacing w:line="360" w:lineRule="auto"/>
        <w:ind w:firstLine="600"/>
        <w:jc w:val="left"/>
        <w:rPr>
          <w:rFonts w:hint="eastAsia" w:ascii="宋体" w:hAnsi="宋体" w:eastAsia="宋体"/>
          <w:b/>
          <w:color w:val="auto"/>
          <w:sz w:val="28"/>
          <w:szCs w:val="28"/>
          <w:highlight w:val="none"/>
          <w:lang w:val="en-US" w:eastAsia="zh-CN"/>
        </w:rPr>
      </w:pPr>
      <w:r>
        <w:rPr>
          <w:rFonts w:hint="eastAsia" w:ascii="宋体" w:hAnsi="宋体" w:eastAsia="宋体" w:cs="宋体"/>
          <w:b/>
          <w:bCs/>
          <w:color w:val="auto"/>
          <w:sz w:val="24"/>
          <w:szCs w:val="24"/>
          <w:highlight w:val="none"/>
        </w:rPr>
        <w:t>备注：价格扣除</w:t>
      </w:r>
      <w:r>
        <w:rPr>
          <w:rFonts w:hint="eastAsia" w:ascii="宋体" w:hAnsi="宋体" w:eastAsia="宋体" w:cs="宋体"/>
          <w:b/>
          <w:bCs/>
          <w:color w:val="auto"/>
          <w:sz w:val="24"/>
          <w:szCs w:val="24"/>
          <w:highlight w:val="none"/>
          <w:lang w:val="en-US" w:eastAsia="zh-CN"/>
        </w:rPr>
        <w:t>详见“</w:t>
      </w:r>
      <w:r>
        <w:rPr>
          <w:rFonts w:hint="eastAsia" w:ascii="宋体" w:hAnsi="宋体" w:eastAsia="宋体" w:cs="宋体"/>
          <w:b/>
          <w:bCs/>
          <w:color w:val="auto"/>
          <w:sz w:val="24"/>
          <w:szCs w:val="24"/>
          <w:highlight w:val="none"/>
        </w:rPr>
        <w:t>第二部分评标标准</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落实政府采购政策的价格调整</w:t>
      </w:r>
      <w:r>
        <w:rPr>
          <w:rFonts w:hint="default" w:ascii="宋体" w:hAnsi="宋体" w:eastAsia="宋体" w:cs="宋体"/>
          <w:b/>
          <w:bCs/>
          <w:color w:val="auto"/>
          <w:sz w:val="24"/>
          <w:szCs w:val="24"/>
          <w:highlight w:val="none"/>
          <w:lang w:val="en-US" w:eastAsia="zh-CN"/>
        </w:rPr>
        <w:t>”</w:t>
      </w:r>
    </w:p>
    <w:p w14:paraId="049DC7A0">
      <w:pPr>
        <w:spacing w:line="360" w:lineRule="auto"/>
        <w:ind w:firstLine="48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二、商务部分（2</w:t>
      </w:r>
      <w:r>
        <w:rPr>
          <w:rFonts w:hint="eastAsia" w:ascii="宋体" w:hAnsi="宋体" w:eastAsia="宋体" w:cs="宋体"/>
          <w:b/>
          <w:bCs w:val="0"/>
          <w:color w:val="auto"/>
          <w:sz w:val="24"/>
          <w:highlight w:val="none"/>
          <w:lang w:val="en-US" w:eastAsia="zh-CN"/>
        </w:rPr>
        <w:t>0</w:t>
      </w:r>
      <w:r>
        <w:rPr>
          <w:rFonts w:hint="eastAsia" w:ascii="宋体" w:hAnsi="宋体" w:eastAsia="宋体" w:cs="宋体"/>
          <w:b/>
          <w:bCs w:val="0"/>
          <w:color w:val="auto"/>
          <w:sz w:val="24"/>
          <w:highlight w:val="none"/>
        </w:rPr>
        <w:t>分）</w:t>
      </w:r>
    </w:p>
    <w:p w14:paraId="2728164F">
      <w:pPr>
        <w:adjustRightInd w:val="0"/>
        <w:snapToGrid w:val="0"/>
        <w:spacing w:line="360" w:lineRule="auto"/>
        <w:ind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1）企业业绩（</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p>
    <w:p w14:paraId="5E8A4CAA">
      <w:pPr>
        <w:adjustRightInd w:val="0"/>
        <w:snapToGrid w:val="0"/>
        <w:spacing w:line="360" w:lineRule="auto"/>
        <w:ind w:firstLine="480" w:firstLineChars="200"/>
        <w:rPr>
          <w:rFonts w:hint="eastAsia" w:ascii="宋体" w:hAnsi="宋体" w:eastAsia="宋体" w:cs="宋体"/>
          <w:b w:val="0"/>
          <w:bCs w:val="0"/>
          <w:color w:val="auto"/>
          <w:kern w:val="2"/>
          <w:sz w:val="24"/>
          <w:highlight w:val="none"/>
          <w:lang w:val="en-US" w:eastAsia="zh-CN"/>
        </w:rPr>
      </w:pP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rPr>
        <w:t>202</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年1月1日（以合同签订时间为准）至投标截止日有同类</w:t>
      </w:r>
      <w:r>
        <w:rPr>
          <w:rFonts w:hint="eastAsia" w:ascii="宋体" w:hAnsi="宋体" w:eastAsia="宋体" w:cs="宋体"/>
          <w:color w:val="auto"/>
          <w:kern w:val="2"/>
          <w:sz w:val="24"/>
          <w:szCs w:val="24"/>
          <w:highlight w:val="none"/>
          <w:lang w:val="en-US" w:eastAsia="zh-CN"/>
        </w:rPr>
        <w:t>医院检验外送</w:t>
      </w:r>
      <w:r>
        <w:rPr>
          <w:rFonts w:hint="eastAsia" w:ascii="宋体" w:hAnsi="宋体" w:eastAsia="宋体" w:cs="宋体"/>
          <w:color w:val="auto"/>
          <w:kern w:val="2"/>
          <w:sz w:val="24"/>
          <w:szCs w:val="24"/>
          <w:highlight w:val="none"/>
        </w:rPr>
        <w:t>项目的业绩，每有一个得</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分，满分</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分。投标时提供合同</w:t>
      </w:r>
      <w:r>
        <w:rPr>
          <w:rFonts w:hint="eastAsia" w:ascii="宋体" w:hAnsi="宋体" w:eastAsia="宋体" w:cs="宋体"/>
          <w:b w:val="0"/>
          <w:bCs w:val="0"/>
          <w:color w:val="auto"/>
          <w:kern w:val="2"/>
          <w:sz w:val="24"/>
          <w:highlight w:val="none"/>
          <w:lang w:val="en-US" w:eastAsia="zh-CN"/>
        </w:rPr>
        <w:t>扫描件上传系统并加盖公章，不提供或提供不符合要求均不得分</w:t>
      </w:r>
    </w:p>
    <w:p w14:paraId="0EA62523">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2）项目拟配</w:t>
      </w:r>
      <w:r>
        <w:rPr>
          <w:rFonts w:hint="eastAsia" w:ascii="宋体" w:hAnsi="宋体" w:eastAsia="宋体" w:cs="宋体"/>
          <w:color w:val="auto"/>
          <w:kern w:val="2"/>
          <w:sz w:val="24"/>
          <w:szCs w:val="24"/>
          <w:highlight w:val="none"/>
          <w:lang w:val="en-US" w:eastAsia="zh-CN"/>
        </w:rPr>
        <w:t>人员</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p>
    <w:p w14:paraId="428E3853">
      <w:pPr>
        <w:widowControl w:val="0"/>
        <w:spacing w:line="360" w:lineRule="auto"/>
        <w:ind w:left="0" w:leftChars="0" w:firstLine="480" w:firstLineChars="200"/>
        <w:jc w:val="both"/>
        <w:rPr>
          <w:rFonts w:hint="eastAsia" w:ascii="Calibri" w:hAnsi="Calibri" w:eastAsia="宋体" w:cs="Times New Roman"/>
          <w:color w:val="auto"/>
          <w:kern w:val="2"/>
          <w:sz w:val="24"/>
          <w:szCs w:val="24"/>
          <w:highlight w:val="none"/>
          <w:lang w:val="en-US" w:eastAsia="zh-CN" w:bidi="ar-SA"/>
        </w:rPr>
      </w:pPr>
      <w:r>
        <w:rPr>
          <w:rFonts w:hint="eastAsia" w:ascii="Calibri" w:hAnsi="Calibri" w:eastAsia="宋体" w:cs="Times New Roman"/>
          <w:color w:val="auto"/>
          <w:kern w:val="2"/>
          <w:sz w:val="24"/>
          <w:szCs w:val="24"/>
          <w:highlight w:val="none"/>
          <w:lang w:val="en-US" w:eastAsia="zh-CN" w:bidi="ar-SA"/>
        </w:rPr>
        <w:t>（1）项目负责人（2分）：</w:t>
      </w:r>
    </w:p>
    <w:p w14:paraId="341B0894">
      <w:pPr>
        <w:widowControl w:val="0"/>
        <w:spacing w:line="360" w:lineRule="auto"/>
        <w:ind w:left="0" w:leftChars="0" w:firstLine="480" w:firstLineChars="200"/>
        <w:jc w:val="both"/>
        <w:rPr>
          <w:rFonts w:hint="default" w:ascii="Calibri" w:hAnsi="Calibri" w:eastAsia="宋体" w:cs="Times New Roman"/>
          <w:strike w:val="0"/>
          <w:dstrike w:val="0"/>
          <w:color w:val="auto"/>
          <w:kern w:val="2"/>
          <w:sz w:val="24"/>
          <w:szCs w:val="24"/>
          <w:highlight w:val="none"/>
          <w:lang w:val="en-US" w:eastAsia="zh-CN" w:bidi="ar-SA"/>
        </w:rPr>
      </w:pPr>
      <w:r>
        <w:rPr>
          <w:rFonts w:hint="eastAsia" w:ascii="Calibri" w:hAnsi="Calibri" w:eastAsia="宋体" w:cs="Times New Roman"/>
          <w:strike w:val="0"/>
          <w:dstrike w:val="0"/>
          <w:color w:val="auto"/>
          <w:kern w:val="2"/>
          <w:sz w:val="24"/>
          <w:szCs w:val="24"/>
          <w:highlight w:val="none"/>
          <w:lang w:val="en-US" w:eastAsia="zh-CN" w:bidi="ar-SA"/>
        </w:rPr>
        <w:t>供应商拟派项目负责人具有正高级职称的得2分，具有副高级职称的得1分，具有中级职称得0.5分，本项最高得2分。</w:t>
      </w:r>
    </w:p>
    <w:p w14:paraId="27DF3FD6">
      <w:pPr>
        <w:widowControl w:val="0"/>
        <w:spacing w:line="360" w:lineRule="auto"/>
        <w:ind w:left="0" w:leftChars="0" w:firstLine="480" w:firstLineChars="200"/>
        <w:jc w:val="both"/>
        <w:rPr>
          <w:rFonts w:hint="eastAsia" w:ascii="Calibri" w:hAnsi="Calibri" w:eastAsia="宋体" w:cs="Times New Roman"/>
          <w:color w:val="auto"/>
          <w:kern w:val="2"/>
          <w:sz w:val="24"/>
          <w:szCs w:val="24"/>
          <w:highlight w:val="none"/>
          <w:lang w:val="en-US" w:eastAsia="zh-CN" w:bidi="ar-SA"/>
        </w:rPr>
      </w:pPr>
      <w:r>
        <w:rPr>
          <w:rFonts w:hint="eastAsia" w:ascii="Calibri" w:hAnsi="Calibri" w:eastAsia="宋体" w:cs="Times New Roman"/>
          <w:color w:val="auto"/>
          <w:kern w:val="2"/>
          <w:sz w:val="24"/>
          <w:szCs w:val="24"/>
          <w:highlight w:val="none"/>
          <w:lang w:val="en-US" w:eastAsia="zh-CN" w:bidi="ar-SA"/>
        </w:rPr>
        <w:t>（2）项目团队配置（2分）：</w:t>
      </w:r>
    </w:p>
    <w:p w14:paraId="66E68673">
      <w:pPr>
        <w:widowControl w:val="0"/>
        <w:numPr>
          <w:ilvl w:val="0"/>
          <w:numId w:val="0"/>
        </w:numPr>
        <w:tabs>
          <w:tab w:val="left" w:pos="0"/>
        </w:tabs>
        <w:spacing w:line="360" w:lineRule="auto"/>
        <w:ind w:firstLine="480" w:firstLineChars="200"/>
        <w:jc w:val="both"/>
        <w:rPr>
          <w:rFonts w:hint="default" w:ascii="Calibri" w:hAnsi="Calibri" w:eastAsia="宋体" w:cs="Times New Roman"/>
          <w:color w:val="auto"/>
          <w:kern w:val="2"/>
          <w:sz w:val="24"/>
          <w:szCs w:val="24"/>
          <w:highlight w:val="none"/>
          <w:lang w:val="en-US" w:eastAsia="zh-CN" w:bidi="ar-SA"/>
        </w:rPr>
      </w:pPr>
      <w:r>
        <w:rPr>
          <w:rFonts w:hint="eastAsia" w:ascii="Calibri" w:hAnsi="Calibri" w:eastAsia="宋体" w:cs="Times New Roman"/>
          <w:strike w:val="0"/>
          <w:dstrike w:val="0"/>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承接本项目的检测实验室配备人员中（项目负责人除外），具有中级及以上职称的，有一个得0.5分，本项最高得2分。</w:t>
      </w:r>
    </w:p>
    <w:p w14:paraId="1CCA638B">
      <w:pPr>
        <w:widowControl w:val="0"/>
        <w:spacing w:line="360" w:lineRule="auto"/>
        <w:ind w:left="0" w:leftChars="0" w:firstLine="480" w:firstLineChars="200"/>
        <w:jc w:val="both"/>
        <w:rPr>
          <w:rFonts w:hint="eastAsia" w:ascii="宋体" w:hAnsi="宋体" w:eastAsia="宋体" w:cs="Times New Roman"/>
          <w:b w:val="0"/>
          <w:bCs w:val="0"/>
          <w:color w:val="auto"/>
          <w:kern w:val="2"/>
          <w:sz w:val="24"/>
          <w:szCs w:val="24"/>
          <w:highlight w:val="none"/>
          <w:lang w:eastAsia="zh-CN"/>
        </w:rPr>
      </w:pPr>
      <w:r>
        <w:rPr>
          <w:rFonts w:hint="eastAsia" w:ascii="Calibri" w:hAnsi="Calibri" w:eastAsia="宋体" w:cs="Times New Roman"/>
          <w:strike w:val="0"/>
          <w:dstrike w:val="0"/>
          <w:color w:val="auto"/>
          <w:kern w:val="2"/>
          <w:sz w:val="24"/>
          <w:szCs w:val="24"/>
          <w:highlight w:val="none"/>
          <w:lang w:val="en-US" w:eastAsia="zh-CN" w:bidi="ar-SA"/>
        </w:rPr>
        <w:t>注：</w:t>
      </w:r>
      <w:r>
        <w:rPr>
          <w:rFonts w:hint="eastAsia" w:ascii="Calibri" w:hAnsi="Calibri" w:eastAsia="宋体" w:cs="Times New Roman"/>
          <w:color w:val="auto"/>
          <w:kern w:val="2"/>
          <w:sz w:val="24"/>
          <w:szCs w:val="24"/>
          <w:highlight w:val="none"/>
          <w:lang w:val="en-US" w:eastAsia="zh-CN" w:bidi="ar-SA"/>
        </w:rPr>
        <w:t>提供以上两项人员相关证书及证明材料扫描件上传系统并加盖公章，不提供或提供不符合要求均不得分；</w:t>
      </w:r>
      <w:r>
        <w:rPr>
          <w:rFonts w:hint="eastAsia" w:ascii="Times New Roman" w:hAnsi="Times New Roman" w:eastAsia="宋体" w:cs="Times New Roman"/>
          <w:b w:val="0"/>
          <w:bCs w:val="0"/>
          <w:color w:val="auto"/>
          <w:kern w:val="2"/>
          <w:sz w:val="24"/>
          <w:szCs w:val="24"/>
          <w:highlight w:val="none"/>
          <w:lang w:val="en-US" w:eastAsia="zh-CN"/>
        </w:rPr>
        <w:t>供应商需填写《</w:t>
      </w:r>
      <w:r>
        <w:rPr>
          <w:rFonts w:hint="eastAsia" w:ascii="宋体" w:hAnsi="宋体" w:eastAsia="宋体" w:cs="宋体"/>
          <w:bCs/>
          <w:color w:val="auto"/>
          <w:kern w:val="2"/>
          <w:sz w:val="24"/>
          <w:szCs w:val="24"/>
          <w:highlight w:val="none"/>
        </w:rPr>
        <w:t>人员配置表</w:t>
      </w:r>
      <w:r>
        <w:rPr>
          <w:rFonts w:hint="eastAsia" w:ascii="Times New Roman" w:hAnsi="Times New Roman" w:eastAsia="宋体" w:cs="Times New Roman"/>
          <w:b w:val="0"/>
          <w:bCs w:val="0"/>
          <w:color w:val="auto"/>
          <w:kern w:val="2"/>
          <w:sz w:val="24"/>
          <w:szCs w:val="24"/>
          <w:highlight w:val="none"/>
          <w:lang w:val="en-US" w:eastAsia="zh-CN"/>
        </w:rPr>
        <w:t>》（格式见附件）同时需</w:t>
      </w:r>
      <w:r>
        <w:rPr>
          <w:rFonts w:hint="eastAsia" w:ascii="宋体" w:hAnsi="宋体" w:eastAsia="宋体" w:cs="Times New Roman"/>
          <w:b w:val="0"/>
          <w:bCs w:val="0"/>
          <w:color w:val="auto"/>
          <w:kern w:val="0"/>
          <w:sz w:val="24"/>
          <w:szCs w:val="24"/>
          <w:highlight w:val="none"/>
        </w:rPr>
        <w:t>提供</w:t>
      </w:r>
      <w:r>
        <w:rPr>
          <w:rFonts w:hint="eastAsia" w:ascii="宋体" w:hAnsi="宋体" w:eastAsia="宋体" w:cs="Times New Roman"/>
          <w:b w:val="0"/>
          <w:bCs w:val="0"/>
          <w:color w:val="auto"/>
          <w:kern w:val="2"/>
          <w:sz w:val="24"/>
          <w:szCs w:val="24"/>
          <w:highlight w:val="none"/>
        </w:rPr>
        <w:t>由供应商</w:t>
      </w:r>
      <w:r>
        <w:rPr>
          <w:rFonts w:hint="eastAsia" w:ascii="宋体" w:hAnsi="宋体" w:eastAsia="宋体" w:cs="Times New Roman"/>
          <w:b w:val="0"/>
          <w:bCs w:val="0"/>
          <w:color w:val="auto"/>
          <w:kern w:val="2"/>
          <w:sz w:val="24"/>
          <w:szCs w:val="24"/>
          <w:highlight w:val="none"/>
          <w:lang w:val="en-US" w:eastAsia="zh-CN"/>
        </w:rPr>
        <w:t>与该人员签订的劳动合同或</w:t>
      </w:r>
      <w:r>
        <w:rPr>
          <w:rFonts w:hint="eastAsia" w:ascii="宋体" w:hAnsi="宋体" w:eastAsia="宋体" w:cs="Times New Roman"/>
          <w:b w:val="0"/>
          <w:bCs w:val="0"/>
          <w:color w:val="auto"/>
          <w:kern w:val="2"/>
          <w:sz w:val="24"/>
          <w:szCs w:val="24"/>
          <w:highlight w:val="none"/>
        </w:rPr>
        <w:t>本企业为其依法</w:t>
      </w:r>
      <w:r>
        <w:rPr>
          <w:rFonts w:hint="eastAsia" w:ascii="宋体" w:hAnsi="宋体" w:eastAsia="宋体" w:cs="Times New Roman"/>
          <w:b w:val="0"/>
          <w:bCs w:val="0"/>
          <w:color w:val="auto"/>
          <w:kern w:val="2"/>
          <w:sz w:val="24"/>
          <w:szCs w:val="24"/>
          <w:highlight w:val="none"/>
          <w:u w:val="none"/>
        </w:rPr>
        <w:t>缴纳的</w:t>
      </w:r>
      <w:r>
        <w:rPr>
          <w:rFonts w:hint="eastAsia" w:ascii="宋体" w:hAnsi="宋体" w:eastAsia="宋体" w:cs="Times New Roman"/>
          <w:b w:val="0"/>
          <w:bCs w:val="0"/>
          <w:color w:val="auto"/>
          <w:kern w:val="2"/>
          <w:sz w:val="24"/>
          <w:szCs w:val="24"/>
          <w:highlight w:val="none"/>
          <w:u w:val="none"/>
          <w:lang w:val="en-US" w:eastAsia="zh-CN"/>
        </w:rPr>
        <w:t>近六个月中任意一个月（不含投标当月）</w:t>
      </w:r>
      <w:r>
        <w:rPr>
          <w:rFonts w:hint="eastAsia" w:ascii="宋体" w:hAnsi="宋体" w:eastAsia="宋体" w:cs="Times New Roman"/>
          <w:b w:val="0"/>
          <w:bCs w:val="0"/>
          <w:color w:val="auto"/>
          <w:kern w:val="2"/>
          <w:sz w:val="24"/>
          <w:szCs w:val="24"/>
          <w:highlight w:val="none"/>
        </w:rPr>
        <w:t>的社会保障资金的相关材料（提供相关主管部门证明或银行代扣证明），退休返聘人员提供退休证</w:t>
      </w:r>
      <w:r>
        <w:rPr>
          <w:rFonts w:hint="eastAsia" w:ascii="宋体" w:hAnsi="宋体" w:eastAsia="宋体" w:cs="宋体"/>
          <w:color w:val="auto"/>
          <w:kern w:val="2"/>
          <w:sz w:val="24"/>
          <w:szCs w:val="24"/>
          <w:highlight w:val="none"/>
          <w:lang w:val="en-US" w:eastAsia="zh-CN"/>
        </w:rPr>
        <w:t>和相关用工协议</w:t>
      </w:r>
      <w:r>
        <w:rPr>
          <w:rFonts w:hint="eastAsia" w:ascii="宋体" w:hAnsi="宋体" w:eastAsia="宋体" w:cs="Times New Roman"/>
          <w:b w:val="0"/>
          <w:bCs w:val="0"/>
          <w:color w:val="auto"/>
          <w:kern w:val="2"/>
          <w:sz w:val="24"/>
          <w:szCs w:val="24"/>
          <w:highlight w:val="none"/>
          <w:lang w:eastAsia="zh-CN"/>
        </w:rPr>
        <w:t>。</w:t>
      </w:r>
    </w:p>
    <w:p w14:paraId="3BEF2195">
      <w:pPr>
        <w:numPr>
          <w:ilvl w:val="0"/>
          <w:numId w:val="15"/>
        </w:numPr>
        <w:adjustRightInd w:val="0"/>
        <w:snapToGrid w:val="0"/>
        <w:spacing w:line="360" w:lineRule="auto"/>
        <w:ind w:left="-60" w:leftChars="0" w:firstLine="480" w:firstLineChars="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实验室证书（2分）：</w:t>
      </w:r>
    </w:p>
    <w:p w14:paraId="5F459AA5">
      <w:pPr>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投标供应商具有有效期内的质量管理体系认证证书、环境管理体系认证证书、职业健康安全管理体系认证证书、信息安全管理体系认证证书的，每提供一个得0.5分，最高得2分。</w:t>
      </w:r>
      <w:r>
        <w:rPr>
          <w:rFonts w:hint="eastAsia" w:ascii="宋体" w:hAnsi="宋体" w:eastAsia="宋体" w:cs="宋体"/>
          <w:color w:val="auto"/>
          <w:kern w:val="2"/>
          <w:sz w:val="24"/>
          <w:szCs w:val="24"/>
          <w:highlight w:val="none"/>
        </w:rPr>
        <w:t>投标时投标文件中须提供相关证书</w:t>
      </w:r>
      <w:r>
        <w:rPr>
          <w:rFonts w:hint="eastAsia" w:ascii="宋体" w:hAnsi="宋体" w:eastAsia="宋体" w:cs="宋体"/>
          <w:b w:val="0"/>
          <w:bCs w:val="0"/>
          <w:color w:val="auto"/>
          <w:kern w:val="2"/>
          <w:sz w:val="24"/>
          <w:highlight w:val="none"/>
          <w:lang w:val="en-US" w:eastAsia="zh-CN"/>
        </w:rPr>
        <w:t>扫描件上传系统并加盖公章，不提供或提供不符合要求均不得分。</w:t>
      </w:r>
    </w:p>
    <w:p w14:paraId="7F84B428">
      <w:pPr>
        <w:numPr>
          <w:ilvl w:val="0"/>
          <w:numId w:val="15"/>
        </w:numPr>
        <w:adjustRightInd w:val="0"/>
        <w:snapToGrid w:val="0"/>
        <w:spacing w:line="360" w:lineRule="auto"/>
        <w:ind w:left="-60" w:leftChars="0" w:firstLine="480" w:firstLineChars="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标本运输的时间（3分）</w:t>
      </w:r>
    </w:p>
    <w:p w14:paraId="19347F49">
      <w:pPr>
        <w:spacing w:line="360" w:lineRule="auto"/>
        <w:ind w:firstLine="48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bCs/>
          <w:color w:val="auto"/>
          <w:sz w:val="24"/>
          <w:szCs w:val="24"/>
          <w:highlight w:val="none"/>
        </w:rPr>
        <w:t>供应商具备配合采购人应急处置的能力，供应商在采集</w:t>
      </w:r>
      <w:r>
        <w:rPr>
          <w:rFonts w:hint="eastAsia" w:ascii="宋体" w:hAnsi="宋体" w:eastAsia="宋体" w:cs="宋体"/>
          <w:bCs/>
          <w:color w:val="auto"/>
          <w:sz w:val="24"/>
          <w:szCs w:val="24"/>
          <w:highlight w:val="none"/>
          <w:lang w:val="en-US" w:eastAsia="zh-CN"/>
        </w:rPr>
        <w:t>标本</w:t>
      </w:r>
      <w:r>
        <w:rPr>
          <w:rFonts w:hint="eastAsia" w:ascii="宋体" w:hAnsi="宋体" w:eastAsia="宋体" w:cs="宋体"/>
          <w:bCs/>
          <w:color w:val="auto"/>
          <w:sz w:val="24"/>
          <w:szCs w:val="24"/>
          <w:highlight w:val="none"/>
        </w:rPr>
        <w:t>后，应按相关要求尽快将</w:t>
      </w:r>
      <w:r>
        <w:rPr>
          <w:rFonts w:hint="eastAsia" w:ascii="宋体" w:hAnsi="宋体" w:eastAsia="宋体" w:cs="宋体"/>
          <w:bCs/>
          <w:color w:val="auto"/>
          <w:sz w:val="24"/>
          <w:szCs w:val="24"/>
          <w:highlight w:val="none"/>
          <w:lang w:val="en-US" w:eastAsia="zh-CN"/>
        </w:rPr>
        <w:t>标本</w:t>
      </w:r>
      <w:r>
        <w:rPr>
          <w:rFonts w:hint="eastAsia" w:ascii="宋体" w:hAnsi="宋体" w:eastAsia="宋体" w:cs="宋体"/>
          <w:bCs/>
          <w:color w:val="auto"/>
          <w:sz w:val="24"/>
          <w:szCs w:val="24"/>
          <w:highlight w:val="none"/>
        </w:rPr>
        <w:t>送达</w:t>
      </w:r>
      <w:r>
        <w:rPr>
          <w:rFonts w:hint="eastAsia" w:ascii="宋体" w:hAnsi="宋体" w:eastAsia="宋体" w:cs="宋体"/>
          <w:bCs/>
          <w:color w:val="auto"/>
          <w:sz w:val="24"/>
          <w:szCs w:val="24"/>
          <w:highlight w:val="none"/>
          <w:lang w:val="en-US" w:eastAsia="zh-CN"/>
        </w:rPr>
        <w:t>实验室</w:t>
      </w:r>
      <w:r>
        <w:rPr>
          <w:rFonts w:hint="eastAsia" w:ascii="宋体" w:hAnsi="宋体" w:eastAsia="宋体" w:cs="宋体"/>
          <w:bCs/>
          <w:color w:val="auto"/>
          <w:sz w:val="24"/>
          <w:szCs w:val="24"/>
          <w:highlight w:val="none"/>
        </w:rPr>
        <w:t>，供应商应在采集样品后4小时内（含4小时）将相关样品送达本单位检测实验室（从采购人所在地至投标供应商实验室），每提前0.5小时得1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分，最高得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分。提供承诺书（格式自拟）原件扫描件上传系统签章和送检</w:t>
      </w:r>
      <w:r>
        <w:rPr>
          <w:rFonts w:hint="eastAsia" w:ascii="宋体" w:hAnsi="宋体" w:eastAsia="宋体" w:cs="宋体"/>
          <w:bCs/>
          <w:color w:val="auto"/>
          <w:sz w:val="24"/>
          <w:szCs w:val="24"/>
          <w:highlight w:val="none"/>
          <w:lang w:val="en-US" w:eastAsia="zh-CN"/>
        </w:rPr>
        <w:t>时间</w:t>
      </w:r>
      <w:r>
        <w:rPr>
          <w:rFonts w:hint="eastAsia" w:ascii="宋体" w:hAnsi="宋体" w:eastAsia="宋体" w:cs="宋体"/>
          <w:bCs/>
          <w:color w:val="auto"/>
          <w:sz w:val="24"/>
          <w:szCs w:val="24"/>
          <w:highlight w:val="none"/>
        </w:rPr>
        <w:t>的相关证明扫描件上传系统签章，不提供或提供不全均不得分。</w:t>
      </w:r>
    </w:p>
    <w:p w14:paraId="21874E08">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）室间质评（</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p>
    <w:p w14:paraId="5DA69A94">
      <w:pPr>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承接本项目的检测实验室具有适用于本项目的合格室间质评证书（自2025年1月1日以来），提供一张证书得0.5分，最高得2分。（投标时提供参加的项目明细及合格证书</w:t>
      </w:r>
      <w:r>
        <w:rPr>
          <w:rFonts w:hint="eastAsia" w:ascii="宋体" w:hAnsi="宋体" w:eastAsia="宋体" w:cs="宋体"/>
          <w:b w:val="0"/>
          <w:bCs w:val="0"/>
          <w:color w:val="auto"/>
          <w:kern w:val="2"/>
          <w:sz w:val="24"/>
          <w:highlight w:val="none"/>
          <w:lang w:val="en-US" w:eastAsia="zh-CN"/>
        </w:rPr>
        <w:t>扫描件上传系统并加盖公章，不提供或提供不符合要求均不得分</w:t>
      </w:r>
      <w:r>
        <w:rPr>
          <w:rFonts w:hint="eastAsia" w:ascii="宋体" w:hAnsi="宋体" w:eastAsia="宋体" w:cs="宋体"/>
          <w:color w:val="auto"/>
          <w:kern w:val="2"/>
          <w:sz w:val="24"/>
          <w:szCs w:val="24"/>
          <w:highlight w:val="none"/>
          <w:lang w:val="en-US" w:eastAsia="zh-CN"/>
        </w:rPr>
        <w:t>）</w:t>
      </w:r>
    </w:p>
    <w:p w14:paraId="5411DAF9">
      <w:pPr>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6）应急备用实验室（2分）供应商提供一家省内应急备用实验室得1分，该实验室</w:t>
      </w:r>
      <w:r>
        <w:rPr>
          <w:rFonts w:hint="eastAsia" w:ascii="宋体" w:hAnsi="宋体" w:eastAsia="宋体" w:cs="Times New Roman"/>
          <w:b w:val="0"/>
          <w:bCs w:val="0"/>
          <w:color w:val="auto"/>
          <w:kern w:val="2"/>
          <w:sz w:val="24"/>
          <w:szCs w:val="24"/>
          <w:highlight w:val="none"/>
        </w:rPr>
        <w:t>具有中国实验室国家认可委员会认证的</w:t>
      </w:r>
      <w:r>
        <w:rPr>
          <w:rFonts w:ascii="宋体" w:hAnsi="宋体" w:eastAsia="宋体" w:cs="宋体"/>
          <w:color w:val="auto"/>
          <w:sz w:val="24"/>
          <w:szCs w:val="24"/>
          <w:highlight w:val="none"/>
        </w:rPr>
        <w:t>ISO 15189:2022</w:t>
      </w:r>
      <w:r>
        <w:rPr>
          <w:rFonts w:hint="eastAsia" w:ascii="宋体" w:hAnsi="宋体" w:eastAsia="宋体" w:cs="宋体"/>
          <w:color w:val="auto"/>
          <w:kern w:val="2"/>
          <w:sz w:val="24"/>
          <w:szCs w:val="24"/>
          <w:highlight w:val="none"/>
          <w:lang w:val="en-US" w:eastAsia="zh-CN"/>
        </w:rPr>
        <w:t>实验室认可</w:t>
      </w:r>
      <w:r>
        <w:rPr>
          <w:rFonts w:hint="eastAsia" w:ascii="宋体" w:hAnsi="宋体" w:eastAsia="宋体" w:cs="Times New Roman"/>
          <w:b w:val="0"/>
          <w:bCs w:val="0"/>
          <w:color w:val="auto"/>
          <w:kern w:val="2"/>
          <w:sz w:val="24"/>
          <w:szCs w:val="24"/>
          <w:highlight w:val="none"/>
        </w:rPr>
        <w:t>证书的</w:t>
      </w:r>
      <w:r>
        <w:rPr>
          <w:rFonts w:hint="eastAsia" w:ascii="宋体" w:hAnsi="宋体" w:eastAsia="宋体" w:cs="宋体"/>
          <w:color w:val="auto"/>
          <w:kern w:val="2"/>
          <w:sz w:val="24"/>
          <w:szCs w:val="24"/>
          <w:highlight w:val="none"/>
          <w:lang w:val="en-US" w:eastAsia="zh-CN"/>
        </w:rPr>
        <w:t>得1分。本项最高得2分（需提供实验室相关证明材</w:t>
      </w:r>
      <w:r>
        <w:rPr>
          <w:rFonts w:hint="eastAsia" w:ascii="宋体" w:hAnsi="宋体" w:eastAsia="宋体" w:cs="宋体"/>
          <w:b w:val="0"/>
          <w:bCs w:val="0"/>
          <w:color w:val="auto"/>
          <w:kern w:val="2"/>
          <w:sz w:val="24"/>
          <w:szCs w:val="24"/>
          <w:highlight w:val="none"/>
          <w:lang w:val="en-US" w:eastAsia="zh-CN"/>
        </w:rPr>
        <w:t>料、</w:t>
      </w:r>
      <w:r>
        <w:rPr>
          <w:rFonts w:hint="eastAsia" w:ascii="宋体" w:hAnsi="宋体" w:eastAsia="宋体" w:cs="Times New Roman"/>
          <w:b w:val="0"/>
          <w:bCs w:val="0"/>
          <w:color w:val="auto"/>
          <w:kern w:val="2"/>
          <w:sz w:val="24"/>
          <w:szCs w:val="24"/>
          <w:highlight w:val="none"/>
        </w:rPr>
        <w:t>证书以及官网查询截图</w:t>
      </w:r>
      <w:r>
        <w:rPr>
          <w:rFonts w:hint="eastAsia" w:ascii="宋体" w:hAnsi="宋体" w:eastAsia="宋体" w:cs="宋体"/>
          <w:b w:val="0"/>
          <w:bCs w:val="0"/>
          <w:color w:val="auto"/>
          <w:kern w:val="2"/>
          <w:sz w:val="24"/>
          <w:highlight w:val="none"/>
          <w:lang w:val="en-US" w:eastAsia="zh-CN"/>
        </w:rPr>
        <w:t>扫描件上传系统并加盖公章，不提供或提供不符合要求均不得分</w:t>
      </w:r>
      <w:r>
        <w:rPr>
          <w:rFonts w:hint="eastAsia" w:ascii="宋体" w:hAnsi="宋体" w:eastAsia="宋体" w:cs="宋体"/>
          <w:color w:val="auto"/>
          <w:kern w:val="2"/>
          <w:sz w:val="24"/>
          <w:szCs w:val="24"/>
          <w:highlight w:val="none"/>
          <w:lang w:val="en-US" w:eastAsia="zh-CN"/>
        </w:rPr>
        <w:t>）</w:t>
      </w:r>
    </w:p>
    <w:p w14:paraId="3DAF11D6">
      <w:pPr>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7）信息系统安全认证（2分）供应商具有公安机关颁发的信息系统安全等级保护备案证明（第三级）的，有一个得2分（投标时提供相关证书</w:t>
      </w:r>
      <w:r>
        <w:rPr>
          <w:rFonts w:hint="eastAsia" w:ascii="宋体" w:hAnsi="宋体" w:eastAsia="宋体" w:cs="宋体"/>
          <w:b w:val="0"/>
          <w:bCs w:val="0"/>
          <w:color w:val="auto"/>
          <w:kern w:val="2"/>
          <w:sz w:val="24"/>
          <w:highlight w:val="none"/>
          <w:lang w:val="en-US" w:eastAsia="zh-CN"/>
        </w:rPr>
        <w:t>扫描件上传系统并加盖公章，不提供或提供不符合要求均不得分</w:t>
      </w:r>
      <w:r>
        <w:rPr>
          <w:rFonts w:hint="eastAsia" w:ascii="宋体" w:hAnsi="宋体" w:eastAsia="宋体" w:cs="宋体"/>
          <w:color w:val="auto"/>
          <w:kern w:val="2"/>
          <w:sz w:val="24"/>
          <w:szCs w:val="24"/>
          <w:highlight w:val="none"/>
          <w:lang w:val="en-US" w:eastAsia="zh-CN"/>
        </w:rPr>
        <w:t>）</w:t>
      </w:r>
    </w:p>
    <w:p w14:paraId="53C839C7">
      <w:pPr>
        <w:spacing w:line="360" w:lineRule="auto"/>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w:t>
      </w:r>
      <w:r>
        <w:rPr>
          <w:rFonts w:hint="eastAsia" w:ascii="宋体" w:hAnsi="宋体" w:eastAsia="宋体" w:cs="宋体"/>
          <w:bCs/>
          <w:color w:val="auto"/>
          <w:kern w:val="2"/>
          <w:sz w:val="24"/>
          <w:szCs w:val="24"/>
          <w:highlight w:val="none"/>
          <w:lang w:val="en-US" w:eastAsia="zh-CN"/>
        </w:rPr>
        <w:t>冷链运输</w:t>
      </w:r>
      <w:r>
        <w:rPr>
          <w:rFonts w:hint="eastAsia" w:ascii="宋体" w:hAnsi="宋体" w:eastAsia="宋体" w:cs="宋体"/>
          <w:bCs/>
          <w:color w:val="auto"/>
          <w:kern w:val="2"/>
          <w:sz w:val="24"/>
          <w:szCs w:val="24"/>
          <w:highlight w:val="none"/>
        </w:rPr>
        <w:t>条件（</w:t>
      </w:r>
      <w:r>
        <w:rPr>
          <w:rFonts w:hint="eastAsia" w:ascii="宋体" w:hAnsi="宋体" w:eastAsia="宋体" w:cs="宋体"/>
          <w:bCs/>
          <w:color w:val="auto"/>
          <w:kern w:val="2"/>
          <w:sz w:val="24"/>
          <w:szCs w:val="24"/>
          <w:highlight w:val="none"/>
          <w:lang w:val="en-US" w:eastAsia="zh-CN"/>
        </w:rPr>
        <w:t>2</w:t>
      </w:r>
      <w:r>
        <w:rPr>
          <w:rFonts w:hint="eastAsia" w:ascii="宋体" w:hAnsi="宋体" w:eastAsia="宋体" w:cs="宋体"/>
          <w:bCs/>
          <w:color w:val="auto"/>
          <w:kern w:val="2"/>
          <w:sz w:val="24"/>
          <w:szCs w:val="24"/>
          <w:highlight w:val="none"/>
        </w:rPr>
        <w:t>分）：承诺在中标后</w:t>
      </w:r>
      <w:r>
        <w:rPr>
          <w:rFonts w:hint="eastAsia" w:ascii="宋体" w:hAnsi="宋体" w:eastAsia="宋体" w:cs="宋体"/>
          <w:bCs/>
          <w:color w:val="auto"/>
          <w:kern w:val="2"/>
          <w:sz w:val="24"/>
          <w:szCs w:val="24"/>
          <w:highlight w:val="none"/>
          <w:lang w:eastAsia="zh-CN"/>
        </w:rPr>
        <w:t>配备</w:t>
      </w:r>
      <w:r>
        <w:rPr>
          <w:rFonts w:hint="eastAsia" w:ascii="宋体" w:hAnsi="宋体" w:eastAsia="宋体" w:cs="宋体"/>
          <w:bCs/>
          <w:color w:val="auto"/>
          <w:kern w:val="2"/>
          <w:sz w:val="24"/>
          <w:szCs w:val="24"/>
          <w:highlight w:val="none"/>
        </w:rPr>
        <w:t>配送冷链车有1台得</w:t>
      </w:r>
      <w:r>
        <w:rPr>
          <w:rFonts w:hint="eastAsia" w:ascii="宋体" w:hAnsi="宋体" w:eastAsia="宋体" w:cs="宋体"/>
          <w:bCs/>
          <w:color w:val="auto"/>
          <w:kern w:val="2"/>
          <w:sz w:val="24"/>
          <w:szCs w:val="24"/>
          <w:highlight w:val="none"/>
          <w:lang w:val="en-US" w:eastAsia="zh-CN"/>
        </w:rPr>
        <w:t>1</w:t>
      </w:r>
      <w:r>
        <w:rPr>
          <w:rFonts w:hint="eastAsia" w:ascii="宋体" w:hAnsi="宋体" w:eastAsia="宋体" w:cs="宋体"/>
          <w:bCs/>
          <w:color w:val="auto"/>
          <w:kern w:val="2"/>
          <w:sz w:val="24"/>
          <w:szCs w:val="24"/>
          <w:highlight w:val="none"/>
        </w:rPr>
        <w:t>分，最多得</w:t>
      </w:r>
      <w:r>
        <w:rPr>
          <w:rFonts w:hint="eastAsia" w:ascii="宋体" w:hAnsi="宋体" w:eastAsia="宋体" w:cs="宋体"/>
          <w:bCs/>
          <w:color w:val="auto"/>
          <w:kern w:val="2"/>
          <w:sz w:val="24"/>
          <w:szCs w:val="24"/>
          <w:highlight w:val="none"/>
          <w:lang w:val="en-US" w:eastAsia="zh-CN"/>
        </w:rPr>
        <w:t>2</w:t>
      </w:r>
      <w:r>
        <w:rPr>
          <w:rFonts w:hint="eastAsia" w:ascii="宋体" w:hAnsi="宋体" w:eastAsia="宋体" w:cs="宋体"/>
          <w:bCs/>
          <w:color w:val="auto"/>
          <w:kern w:val="2"/>
          <w:sz w:val="24"/>
          <w:szCs w:val="24"/>
          <w:highlight w:val="none"/>
        </w:rPr>
        <w:t>分。提供承诺书，格式自拟，不提供或提供不符合要求则不得分。</w:t>
      </w:r>
    </w:p>
    <w:p w14:paraId="6D3A28C7">
      <w:pPr>
        <w:tabs>
          <w:tab w:val="left" w:pos="945"/>
          <w:tab w:val="left" w:pos="1140"/>
        </w:tabs>
        <w:spacing w:line="360" w:lineRule="auto"/>
        <w:ind w:firstLine="482" w:firstLineChars="200"/>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9）服务承诺（1分）</w:t>
      </w:r>
    </w:p>
    <w:p w14:paraId="0776DC5B">
      <w:pPr>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供应商承诺</w:t>
      </w:r>
      <w:r>
        <w:rPr>
          <w:rFonts w:hint="eastAsia" w:ascii="宋体" w:hAnsi="宋体" w:eastAsia="宋体" w:cs="宋体"/>
          <w:color w:val="auto"/>
          <w:kern w:val="2"/>
          <w:sz w:val="24"/>
          <w:szCs w:val="24"/>
          <w:highlight w:val="none"/>
        </w:rPr>
        <w:t>样品的采集、存储、转运及销毁应符合国家及行业的相关标准。承诺书格式自拟，不提供或提供不符合要求则不得分。</w:t>
      </w:r>
    </w:p>
    <w:p w14:paraId="5D14EF3F">
      <w:pPr>
        <w:keepNext w:val="0"/>
        <w:keepLines w:val="0"/>
        <w:pageBreakBefore w:val="0"/>
        <w:widowControl w:val="0"/>
        <w:spacing w:line="360" w:lineRule="auto"/>
        <w:ind w:firstLine="482"/>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三、技术部分（</w:t>
      </w:r>
      <w:r>
        <w:rPr>
          <w:rFonts w:hint="eastAsia" w:ascii="宋体" w:hAnsi="宋体" w:eastAsia="宋体" w:cs="宋体"/>
          <w:b/>
          <w:bCs w:val="0"/>
          <w:color w:val="auto"/>
          <w:sz w:val="24"/>
          <w:highlight w:val="none"/>
          <w:lang w:val="en-US" w:eastAsia="zh-CN"/>
        </w:rPr>
        <w:t>60</w:t>
      </w:r>
      <w:r>
        <w:rPr>
          <w:rFonts w:hint="eastAsia" w:ascii="宋体" w:hAnsi="宋体" w:eastAsia="宋体" w:cs="宋体"/>
          <w:b/>
          <w:bCs w:val="0"/>
          <w:color w:val="auto"/>
          <w:sz w:val="24"/>
          <w:highlight w:val="none"/>
        </w:rPr>
        <w:t>分）</w:t>
      </w:r>
    </w:p>
    <w:p w14:paraId="49FE3A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Times New Roman"/>
          <w:b/>
          <w:bCs/>
          <w:color w:val="auto"/>
          <w:kern w:val="2"/>
          <w:sz w:val="24"/>
          <w:szCs w:val="24"/>
          <w:highlight w:val="none"/>
          <w:lang w:val="en-US" w:eastAsia="zh-CN" w:bidi="zh-TW"/>
        </w:rPr>
      </w:pPr>
      <w:r>
        <w:rPr>
          <w:rFonts w:hint="eastAsia" w:ascii="宋体" w:hAnsi="宋体" w:eastAsia="宋体" w:cs="Times New Roman"/>
          <w:b/>
          <w:bCs/>
          <w:color w:val="auto"/>
          <w:kern w:val="2"/>
          <w:sz w:val="24"/>
          <w:szCs w:val="24"/>
          <w:highlight w:val="none"/>
          <w:lang w:val="en-US" w:eastAsia="zh-CN" w:bidi="zh-TW"/>
        </w:rPr>
        <w:t>1）项目服务方案（12分）</w:t>
      </w:r>
    </w:p>
    <w:p w14:paraId="390ABE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Times New Roman"/>
          <w:b/>
          <w:bCs/>
          <w:color w:val="auto"/>
          <w:kern w:val="2"/>
          <w:sz w:val="24"/>
          <w:szCs w:val="24"/>
          <w:highlight w:val="none"/>
          <w:lang w:val="en-US" w:eastAsia="zh-CN"/>
        </w:rPr>
      </w:pPr>
      <w:r>
        <w:rPr>
          <w:rFonts w:hint="eastAsia" w:ascii="宋体" w:hAnsi="宋体" w:eastAsia="宋体" w:cs="Times New Roman"/>
          <w:b/>
          <w:bCs/>
          <w:color w:val="auto"/>
          <w:kern w:val="2"/>
          <w:sz w:val="24"/>
          <w:szCs w:val="24"/>
          <w:highlight w:val="none"/>
        </w:rPr>
        <w:t>①每周上门服务</w:t>
      </w:r>
      <w:r>
        <w:rPr>
          <w:rFonts w:hint="eastAsia" w:ascii="宋体" w:hAnsi="宋体" w:eastAsia="宋体" w:cs="Times New Roman"/>
          <w:b/>
          <w:bCs/>
          <w:color w:val="auto"/>
          <w:kern w:val="2"/>
          <w:sz w:val="24"/>
          <w:szCs w:val="24"/>
          <w:highlight w:val="none"/>
          <w:lang w:val="en-US" w:eastAsia="zh-CN"/>
        </w:rPr>
        <w:t>方案（6分）</w:t>
      </w:r>
    </w:p>
    <w:p w14:paraId="35FC3A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服务</w:t>
      </w:r>
      <w:r>
        <w:rPr>
          <w:rFonts w:hint="eastAsia" w:ascii="宋体" w:hAnsi="宋体" w:eastAsia="宋体" w:cs="Times New Roman"/>
          <w:b w:val="0"/>
          <w:bCs w:val="0"/>
          <w:color w:val="auto"/>
          <w:kern w:val="2"/>
          <w:sz w:val="24"/>
          <w:szCs w:val="24"/>
          <w:highlight w:val="none"/>
          <w:lang w:val="en-US" w:eastAsia="zh-CN"/>
        </w:rPr>
        <w:t>方案</w:t>
      </w:r>
      <w:r>
        <w:rPr>
          <w:rFonts w:hint="eastAsia" w:ascii="宋体" w:hAnsi="宋体" w:eastAsia="宋体" w:cs="Times New Roman"/>
          <w:b w:val="0"/>
          <w:bCs w:val="0"/>
          <w:color w:val="auto"/>
          <w:kern w:val="2"/>
          <w:sz w:val="24"/>
          <w:szCs w:val="24"/>
          <w:highlight w:val="none"/>
        </w:rPr>
        <w:t>内容详实、与采购需求贴合度高且条理清晰的该条得</w:t>
      </w:r>
      <w:r>
        <w:rPr>
          <w:rFonts w:hint="eastAsia" w:ascii="Times New Roman" w:hAnsi="Times New Roman" w:eastAsia="宋体" w:cs="Times New Roman"/>
          <w:b w:val="0"/>
          <w:bCs w:val="0"/>
          <w:color w:val="auto"/>
          <w:kern w:val="2"/>
          <w:sz w:val="24"/>
          <w:szCs w:val="24"/>
          <w:highlight w:val="none"/>
          <w:lang w:val="en-US" w:eastAsia="zh-CN"/>
        </w:rPr>
        <w:t>6</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3A3478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服务</w:t>
      </w:r>
      <w:r>
        <w:rPr>
          <w:rFonts w:hint="eastAsia" w:ascii="宋体" w:hAnsi="宋体" w:eastAsia="宋体" w:cs="Times New Roman"/>
          <w:b w:val="0"/>
          <w:bCs w:val="0"/>
          <w:color w:val="auto"/>
          <w:kern w:val="2"/>
          <w:sz w:val="24"/>
          <w:szCs w:val="24"/>
          <w:highlight w:val="none"/>
          <w:lang w:val="en-US" w:eastAsia="zh-CN"/>
        </w:rPr>
        <w:t>方案</w:t>
      </w:r>
      <w:r>
        <w:rPr>
          <w:rFonts w:hint="eastAsia" w:ascii="宋体" w:hAnsi="宋体" w:eastAsia="宋体" w:cs="Times New Roman"/>
          <w:b w:val="0"/>
          <w:bCs w:val="0"/>
          <w:color w:val="auto"/>
          <w:kern w:val="2"/>
          <w:sz w:val="24"/>
          <w:szCs w:val="24"/>
          <w:highlight w:val="none"/>
        </w:rPr>
        <w:t>内容简略、基本满足采购需求且有逻辑性的得</w:t>
      </w:r>
      <w:r>
        <w:rPr>
          <w:rFonts w:hint="eastAsia" w:ascii="Times New Roman" w:hAnsi="Times New Roman" w:eastAsia="宋体" w:cs="Times New Roman"/>
          <w:b w:val="0"/>
          <w:bCs w:val="0"/>
          <w:color w:val="auto"/>
          <w:kern w:val="2"/>
          <w:sz w:val="24"/>
          <w:szCs w:val="24"/>
          <w:highlight w:val="none"/>
          <w:lang w:val="en-US" w:eastAsia="zh-CN"/>
        </w:rPr>
        <w:t>4</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635DC5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服务</w:t>
      </w:r>
      <w:r>
        <w:rPr>
          <w:rFonts w:hint="eastAsia" w:ascii="宋体" w:hAnsi="宋体" w:eastAsia="宋体" w:cs="Times New Roman"/>
          <w:b w:val="0"/>
          <w:bCs w:val="0"/>
          <w:color w:val="auto"/>
          <w:kern w:val="2"/>
          <w:sz w:val="24"/>
          <w:szCs w:val="24"/>
          <w:highlight w:val="none"/>
          <w:lang w:val="en-US" w:eastAsia="zh-CN"/>
        </w:rPr>
        <w:t>方案</w:t>
      </w:r>
      <w:r>
        <w:rPr>
          <w:rFonts w:hint="eastAsia" w:ascii="宋体" w:hAnsi="宋体" w:eastAsia="宋体" w:cs="Times New Roman"/>
          <w:b w:val="0"/>
          <w:bCs w:val="0"/>
          <w:color w:val="auto"/>
          <w:kern w:val="2"/>
          <w:sz w:val="24"/>
          <w:szCs w:val="24"/>
          <w:highlight w:val="none"/>
        </w:rPr>
        <w:t>内容</w:t>
      </w:r>
      <w:r>
        <w:rPr>
          <w:rFonts w:hint="eastAsia" w:ascii="宋体" w:hAnsi="宋体" w:eastAsia="宋体" w:cs="Times New Roman"/>
          <w:b w:val="0"/>
          <w:bCs w:val="0"/>
          <w:color w:val="auto"/>
          <w:kern w:val="2"/>
          <w:sz w:val="24"/>
          <w:szCs w:val="24"/>
          <w:highlight w:val="none"/>
          <w:lang w:val="en-US" w:eastAsia="zh-CN"/>
        </w:rPr>
        <w:t>简单且方案存在瑕疵</w:t>
      </w:r>
      <w:r>
        <w:rPr>
          <w:rFonts w:hint="eastAsia" w:ascii="宋体" w:hAnsi="宋体" w:eastAsia="宋体" w:cs="Times New Roman"/>
          <w:b w:val="0"/>
          <w:bCs w:val="0"/>
          <w:color w:val="auto"/>
          <w:kern w:val="2"/>
          <w:sz w:val="24"/>
          <w:szCs w:val="24"/>
          <w:highlight w:val="none"/>
        </w:rPr>
        <w:t>的得</w:t>
      </w:r>
      <w:r>
        <w:rPr>
          <w:rFonts w:hint="eastAsia" w:ascii="Times New Roman" w:hAnsi="Times New Roman" w:eastAsia="宋体" w:cs="Times New Roman"/>
          <w:b w:val="0"/>
          <w:bCs w:val="0"/>
          <w:color w:val="auto"/>
          <w:kern w:val="2"/>
          <w:sz w:val="24"/>
          <w:szCs w:val="24"/>
          <w:highlight w:val="none"/>
          <w:lang w:val="en-US" w:eastAsia="zh-CN"/>
        </w:rPr>
        <w:t>2</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59CD9F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 w:val="0"/>
          <w:bCs w:val="0"/>
          <w:color w:val="auto"/>
          <w:kern w:val="2"/>
          <w:sz w:val="24"/>
          <w:szCs w:val="24"/>
          <w:highlight w:val="none"/>
          <w:lang w:val="en-US" w:eastAsia="zh-CN"/>
        </w:rPr>
      </w:pPr>
      <w:r>
        <w:rPr>
          <w:rFonts w:hint="eastAsia" w:ascii="宋体" w:hAnsi="宋体" w:eastAsia="宋体" w:cs="Times New Roman"/>
          <w:b w:val="0"/>
          <w:bCs w:val="0"/>
          <w:color w:val="auto"/>
          <w:kern w:val="2"/>
          <w:sz w:val="24"/>
          <w:szCs w:val="24"/>
          <w:highlight w:val="none"/>
          <w:lang w:val="en-US" w:eastAsia="zh-CN"/>
        </w:rPr>
        <w:t>无服务方案或</w:t>
      </w:r>
      <w:r>
        <w:rPr>
          <w:rFonts w:hint="eastAsia" w:ascii="宋体" w:hAnsi="宋体" w:eastAsia="宋体" w:cs="Times New Roman"/>
          <w:b w:val="0"/>
          <w:bCs w:val="0"/>
          <w:color w:val="auto"/>
          <w:kern w:val="2"/>
          <w:sz w:val="24"/>
          <w:szCs w:val="24"/>
          <w:highlight w:val="none"/>
        </w:rPr>
        <w:t>存在逻辑错误、前后矛盾，或存在违反现行相关规范的</w:t>
      </w:r>
      <w:r>
        <w:rPr>
          <w:rFonts w:hint="eastAsia" w:ascii="宋体" w:hAnsi="宋体" w:eastAsia="宋体" w:cs="Times New Roman"/>
          <w:b w:val="0"/>
          <w:bCs w:val="0"/>
          <w:color w:val="auto"/>
          <w:kern w:val="2"/>
          <w:sz w:val="24"/>
          <w:szCs w:val="24"/>
          <w:highlight w:val="none"/>
          <w:lang w:val="en-US" w:eastAsia="zh-CN"/>
        </w:rPr>
        <w:t>不得分。</w:t>
      </w:r>
    </w:p>
    <w:p w14:paraId="02A61B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Times New Roman"/>
          <w:b/>
          <w:bCs/>
          <w:color w:val="auto"/>
          <w:kern w:val="2"/>
          <w:sz w:val="24"/>
          <w:szCs w:val="24"/>
          <w:highlight w:val="none"/>
          <w:lang w:val="en-US" w:eastAsia="zh-CN"/>
        </w:rPr>
      </w:pPr>
      <w:r>
        <w:rPr>
          <w:rFonts w:hint="eastAsia" w:ascii="宋体" w:hAnsi="宋体" w:eastAsia="宋体" w:cs="Times New Roman"/>
          <w:b/>
          <w:bCs/>
          <w:color w:val="auto"/>
          <w:kern w:val="2"/>
          <w:sz w:val="24"/>
          <w:szCs w:val="24"/>
          <w:highlight w:val="none"/>
        </w:rPr>
        <w:t>②采购人对检测报告提出异议后处理机制等内容</w:t>
      </w:r>
      <w:r>
        <w:rPr>
          <w:rFonts w:hint="eastAsia" w:ascii="宋体" w:hAnsi="宋体" w:eastAsia="宋体" w:cs="Times New Roman"/>
          <w:b/>
          <w:bCs/>
          <w:color w:val="auto"/>
          <w:kern w:val="2"/>
          <w:sz w:val="24"/>
          <w:szCs w:val="24"/>
          <w:highlight w:val="none"/>
          <w:lang w:eastAsia="zh-CN"/>
        </w:rPr>
        <w:t>（</w:t>
      </w:r>
      <w:r>
        <w:rPr>
          <w:rFonts w:hint="eastAsia" w:ascii="宋体" w:hAnsi="宋体" w:eastAsia="宋体" w:cs="Times New Roman"/>
          <w:b/>
          <w:bCs/>
          <w:color w:val="auto"/>
          <w:kern w:val="2"/>
          <w:sz w:val="24"/>
          <w:szCs w:val="24"/>
          <w:highlight w:val="none"/>
          <w:lang w:val="en-US" w:eastAsia="zh-CN"/>
        </w:rPr>
        <w:t>6分）</w:t>
      </w:r>
    </w:p>
    <w:p w14:paraId="1FE40C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处理机制内容详实、与采购需求贴合度高且条理清晰的该条得</w:t>
      </w:r>
      <w:r>
        <w:rPr>
          <w:rFonts w:hint="eastAsia" w:ascii="Times New Roman" w:hAnsi="Times New Roman" w:eastAsia="宋体" w:cs="Times New Roman"/>
          <w:b w:val="0"/>
          <w:bCs w:val="0"/>
          <w:color w:val="auto"/>
          <w:kern w:val="2"/>
          <w:sz w:val="24"/>
          <w:szCs w:val="24"/>
          <w:highlight w:val="none"/>
          <w:lang w:val="en-US" w:eastAsia="zh-CN"/>
        </w:rPr>
        <w:t>6</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42593C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处理机制内容简略、基本满足采购需求且有逻辑性的得</w:t>
      </w:r>
      <w:r>
        <w:rPr>
          <w:rFonts w:hint="eastAsia" w:ascii="Times New Roman" w:hAnsi="Times New Roman" w:eastAsia="宋体" w:cs="Times New Roman"/>
          <w:b w:val="0"/>
          <w:bCs w:val="0"/>
          <w:color w:val="auto"/>
          <w:kern w:val="2"/>
          <w:sz w:val="24"/>
          <w:szCs w:val="24"/>
          <w:highlight w:val="none"/>
          <w:lang w:val="en-US" w:eastAsia="zh-CN"/>
        </w:rPr>
        <w:t>4</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4BDD83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处理机制内容</w:t>
      </w:r>
      <w:r>
        <w:rPr>
          <w:rFonts w:hint="eastAsia" w:ascii="宋体" w:hAnsi="宋体" w:eastAsia="宋体" w:cs="Times New Roman"/>
          <w:b w:val="0"/>
          <w:bCs w:val="0"/>
          <w:color w:val="auto"/>
          <w:kern w:val="2"/>
          <w:sz w:val="24"/>
          <w:szCs w:val="24"/>
          <w:highlight w:val="none"/>
          <w:lang w:val="en-US" w:eastAsia="zh-CN"/>
        </w:rPr>
        <w:t>简单且方案存在瑕疵</w:t>
      </w:r>
      <w:r>
        <w:rPr>
          <w:rFonts w:hint="eastAsia" w:ascii="宋体" w:hAnsi="宋体" w:eastAsia="宋体" w:cs="Times New Roman"/>
          <w:b w:val="0"/>
          <w:bCs w:val="0"/>
          <w:color w:val="auto"/>
          <w:kern w:val="2"/>
          <w:sz w:val="24"/>
          <w:szCs w:val="24"/>
          <w:highlight w:val="none"/>
        </w:rPr>
        <w:t>的得</w:t>
      </w:r>
      <w:r>
        <w:rPr>
          <w:rFonts w:hint="eastAsia" w:ascii="Times New Roman" w:hAnsi="Times New Roman" w:eastAsia="宋体" w:cs="Times New Roman"/>
          <w:b w:val="0"/>
          <w:bCs w:val="0"/>
          <w:color w:val="auto"/>
          <w:kern w:val="2"/>
          <w:sz w:val="24"/>
          <w:szCs w:val="24"/>
          <w:highlight w:val="none"/>
          <w:lang w:val="en-US" w:eastAsia="zh-CN"/>
        </w:rPr>
        <w:t>2</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388A21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
          <w:bCs/>
          <w:color w:val="auto"/>
          <w:kern w:val="2"/>
          <w:sz w:val="24"/>
          <w:szCs w:val="24"/>
          <w:highlight w:val="none"/>
          <w:lang w:val="en-US" w:eastAsia="zh-CN" w:bidi="zh-TW"/>
        </w:rPr>
      </w:pPr>
      <w:r>
        <w:rPr>
          <w:rFonts w:hint="eastAsia" w:ascii="宋体" w:hAnsi="宋体" w:eastAsia="宋体" w:cs="宋体"/>
          <w:b w:val="0"/>
          <w:bCs w:val="0"/>
          <w:color w:val="auto"/>
          <w:kern w:val="2"/>
          <w:sz w:val="24"/>
          <w:szCs w:val="24"/>
          <w:highlight w:val="none"/>
          <w:lang w:val="en-US" w:eastAsia="zh-CN" w:bidi="zh-TW"/>
        </w:rPr>
        <w:t>无</w:t>
      </w:r>
      <w:r>
        <w:rPr>
          <w:rFonts w:hint="eastAsia" w:ascii="宋体" w:hAnsi="宋体" w:eastAsia="宋体" w:cs="宋体"/>
          <w:b w:val="0"/>
          <w:bCs w:val="0"/>
          <w:color w:val="auto"/>
          <w:kern w:val="2"/>
          <w:sz w:val="24"/>
          <w:szCs w:val="24"/>
          <w:highlight w:val="none"/>
          <w:lang w:val="zh-TW" w:eastAsia="zh-TW" w:bidi="zh-TW"/>
        </w:rPr>
        <w:t>处理机制</w:t>
      </w:r>
      <w:r>
        <w:rPr>
          <w:rFonts w:hint="eastAsia" w:ascii="宋体" w:hAnsi="宋体" w:eastAsia="宋体" w:cs="宋体"/>
          <w:b w:val="0"/>
          <w:bCs w:val="0"/>
          <w:color w:val="auto"/>
          <w:kern w:val="2"/>
          <w:sz w:val="24"/>
          <w:szCs w:val="24"/>
          <w:highlight w:val="none"/>
          <w:lang w:val="en-US" w:eastAsia="zh-CN" w:bidi="zh-TW"/>
        </w:rPr>
        <w:t>或</w:t>
      </w:r>
      <w:r>
        <w:rPr>
          <w:rFonts w:hint="eastAsia" w:ascii="宋体" w:hAnsi="宋体" w:eastAsia="宋体" w:cs="宋体"/>
          <w:b w:val="0"/>
          <w:bCs w:val="0"/>
          <w:color w:val="auto"/>
          <w:kern w:val="2"/>
          <w:sz w:val="24"/>
          <w:szCs w:val="24"/>
          <w:highlight w:val="none"/>
          <w:lang w:val="zh-TW" w:eastAsia="zh-TW" w:bidi="zh-TW"/>
        </w:rPr>
        <w:t>存在逻辑错误、前后矛盾，或存在违反现行相关规范的</w:t>
      </w:r>
      <w:r>
        <w:rPr>
          <w:rFonts w:hint="eastAsia" w:ascii="宋体" w:hAnsi="宋体" w:eastAsia="宋体" w:cs="宋体"/>
          <w:b w:val="0"/>
          <w:bCs w:val="0"/>
          <w:color w:val="auto"/>
          <w:kern w:val="2"/>
          <w:sz w:val="24"/>
          <w:szCs w:val="24"/>
          <w:highlight w:val="none"/>
          <w:lang w:val="en-US" w:eastAsia="zh-CN" w:bidi="zh-TW"/>
        </w:rPr>
        <w:t>不得分。</w:t>
      </w:r>
    </w:p>
    <w:p w14:paraId="3A1B02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Times New Roman"/>
          <w:b/>
          <w:bCs/>
          <w:color w:val="auto"/>
          <w:kern w:val="2"/>
          <w:sz w:val="24"/>
          <w:szCs w:val="24"/>
          <w:highlight w:val="none"/>
          <w:lang w:val="en-US" w:eastAsia="zh-CN" w:bidi="zh-TW"/>
        </w:rPr>
      </w:pPr>
      <w:r>
        <w:rPr>
          <w:rFonts w:hint="eastAsia" w:ascii="宋体" w:hAnsi="宋体" w:eastAsia="宋体" w:cs="Times New Roman"/>
          <w:b/>
          <w:bCs/>
          <w:color w:val="auto"/>
          <w:kern w:val="2"/>
          <w:sz w:val="24"/>
          <w:szCs w:val="24"/>
          <w:highlight w:val="none"/>
          <w:lang w:val="en-US" w:eastAsia="zh-CN" w:bidi="zh-TW"/>
        </w:rPr>
        <w:t>2）项目检测方案（12分）</w:t>
      </w:r>
    </w:p>
    <w:p w14:paraId="1699D9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val="en-US" w:eastAsia="zh-CN" w:bidi="zh-TW"/>
        </w:rPr>
      </w:pPr>
      <w:r>
        <w:rPr>
          <w:rFonts w:hint="eastAsia" w:ascii="宋体" w:hAnsi="宋体" w:eastAsia="宋体" w:cs="宋体"/>
          <w:b/>
          <w:bCs/>
          <w:color w:val="auto"/>
          <w:kern w:val="2"/>
          <w:sz w:val="24"/>
          <w:szCs w:val="24"/>
          <w:highlight w:val="none"/>
          <w:lang w:val="zh-TW" w:eastAsia="zh-TW" w:bidi="zh-TW"/>
        </w:rPr>
        <w:t>①检验方案</w:t>
      </w:r>
      <w:r>
        <w:rPr>
          <w:rFonts w:hint="eastAsia" w:ascii="宋体" w:hAnsi="宋体" w:eastAsia="宋体" w:cs="宋体"/>
          <w:b/>
          <w:bCs/>
          <w:color w:val="auto"/>
          <w:kern w:val="2"/>
          <w:sz w:val="24"/>
          <w:szCs w:val="24"/>
          <w:highlight w:val="none"/>
          <w:lang w:val="zh-TW" w:eastAsia="zh-CN" w:bidi="zh-TW"/>
        </w:rPr>
        <w:t>（</w:t>
      </w:r>
      <w:r>
        <w:rPr>
          <w:rFonts w:hint="eastAsia" w:ascii="宋体" w:hAnsi="宋体" w:eastAsia="宋体" w:cs="宋体"/>
          <w:b/>
          <w:bCs/>
          <w:color w:val="auto"/>
          <w:kern w:val="2"/>
          <w:sz w:val="24"/>
          <w:szCs w:val="24"/>
          <w:highlight w:val="none"/>
          <w:lang w:val="en-US" w:eastAsia="zh-CN" w:bidi="zh-TW"/>
        </w:rPr>
        <w:t>6分）</w:t>
      </w:r>
    </w:p>
    <w:p w14:paraId="370D3E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检验方案内容详实、与采购需求贴合度高且条理清晰的该条得</w:t>
      </w:r>
      <w:r>
        <w:rPr>
          <w:rFonts w:hint="eastAsia" w:ascii="Times New Roman" w:hAnsi="Times New Roman" w:eastAsia="宋体" w:cs="Times New Roman"/>
          <w:b w:val="0"/>
          <w:bCs w:val="0"/>
          <w:color w:val="auto"/>
          <w:kern w:val="2"/>
          <w:sz w:val="24"/>
          <w:szCs w:val="24"/>
          <w:highlight w:val="none"/>
          <w:lang w:val="en-US" w:eastAsia="zh-CN"/>
        </w:rPr>
        <w:t>6</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43A563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检验方案内容简略、基本满足采购需求且有逻辑性的得</w:t>
      </w:r>
      <w:r>
        <w:rPr>
          <w:rFonts w:hint="eastAsia" w:ascii="Times New Roman" w:hAnsi="Times New Roman" w:eastAsia="宋体" w:cs="Times New Roman"/>
          <w:b w:val="0"/>
          <w:bCs w:val="0"/>
          <w:color w:val="auto"/>
          <w:kern w:val="2"/>
          <w:sz w:val="24"/>
          <w:szCs w:val="24"/>
          <w:highlight w:val="none"/>
          <w:lang w:val="en-US" w:eastAsia="zh-CN"/>
        </w:rPr>
        <w:t>4</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71B0B4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检验方案内容</w:t>
      </w:r>
      <w:r>
        <w:rPr>
          <w:rFonts w:hint="eastAsia" w:ascii="宋体" w:hAnsi="宋体" w:eastAsia="宋体" w:cs="Times New Roman"/>
          <w:b w:val="0"/>
          <w:bCs w:val="0"/>
          <w:color w:val="auto"/>
          <w:kern w:val="2"/>
          <w:sz w:val="24"/>
          <w:szCs w:val="24"/>
          <w:highlight w:val="none"/>
          <w:lang w:val="en-US" w:eastAsia="zh-CN"/>
        </w:rPr>
        <w:t>简单且方案存在瑕疵</w:t>
      </w:r>
      <w:r>
        <w:rPr>
          <w:rFonts w:hint="eastAsia" w:ascii="宋体" w:hAnsi="宋体" w:eastAsia="宋体" w:cs="Times New Roman"/>
          <w:b w:val="0"/>
          <w:bCs w:val="0"/>
          <w:color w:val="auto"/>
          <w:kern w:val="2"/>
          <w:sz w:val="24"/>
          <w:szCs w:val="24"/>
          <w:highlight w:val="none"/>
        </w:rPr>
        <w:t>的得</w:t>
      </w:r>
      <w:r>
        <w:rPr>
          <w:rFonts w:hint="eastAsia" w:ascii="Times New Roman" w:hAnsi="Times New Roman" w:eastAsia="宋体" w:cs="Times New Roman"/>
          <w:b w:val="0"/>
          <w:bCs w:val="0"/>
          <w:color w:val="auto"/>
          <w:kern w:val="2"/>
          <w:sz w:val="24"/>
          <w:szCs w:val="24"/>
          <w:highlight w:val="none"/>
          <w:lang w:val="en-US" w:eastAsia="zh-CN"/>
        </w:rPr>
        <w:t>2</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5ADCE4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color w:val="auto"/>
          <w:kern w:val="2"/>
          <w:sz w:val="24"/>
          <w:szCs w:val="24"/>
          <w:highlight w:val="none"/>
          <w:lang w:val="en-US" w:eastAsia="zh-CN" w:bidi="zh-TW"/>
        </w:rPr>
      </w:pPr>
      <w:r>
        <w:rPr>
          <w:rFonts w:hint="eastAsia" w:ascii="宋体" w:hAnsi="宋体" w:eastAsia="宋体" w:cs="宋体"/>
          <w:b w:val="0"/>
          <w:bCs w:val="0"/>
          <w:color w:val="auto"/>
          <w:kern w:val="2"/>
          <w:sz w:val="24"/>
          <w:szCs w:val="24"/>
          <w:highlight w:val="none"/>
          <w:lang w:val="en-US" w:eastAsia="zh-CN" w:bidi="zh-TW"/>
        </w:rPr>
        <w:t>无</w:t>
      </w:r>
      <w:r>
        <w:rPr>
          <w:rFonts w:hint="eastAsia" w:ascii="宋体" w:hAnsi="宋体" w:eastAsia="宋体" w:cs="宋体"/>
          <w:b w:val="0"/>
          <w:bCs w:val="0"/>
          <w:color w:val="auto"/>
          <w:kern w:val="2"/>
          <w:sz w:val="24"/>
          <w:szCs w:val="24"/>
          <w:highlight w:val="none"/>
          <w:lang w:val="zh-TW" w:eastAsia="zh-TW" w:bidi="zh-TW"/>
        </w:rPr>
        <w:t>检验方案</w:t>
      </w:r>
      <w:r>
        <w:rPr>
          <w:rFonts w:hint="eastAsia" w:ascii="宋体" w:hAnsi="宋体" w:eastAsia="宋体" w:cs="宋体"/>
          <w:b w:val="0"/>
          <w:bCs w:val="0"/>
          <w:color w:val="auto"/>
          <w:kern w:val="2"/>
          <w:sz w:val="24"/>
          <w:szCs w:val="24"/>
          <w:highlight w:val="none"/>
          <w:lang w:val="en-US" w:eastAsia="zh-CN" w:bidi="zh-TW"/>
        </w:rPr>
        <w:t>或</w:t>
      </w:r>
      <w:r>
        <w:rPr>
          <w:rFonts w:hint="eastAsia" w:ascii="宋体" w:hAnsi="宋体" w:eastAsia="宋体" w:cs="宋体"/>
          <w:b w:val="0"/>
          <w:bCs w:val="0"/>
          <w:color w:val="auto"/>
          <w:kern w:val="2"/>
          <w:sz w:val="24"/>
          <w:szCs w:val="24"/>
          <w:highlight w:val="none"/>
          <w:lang w:val="zh-TW" w:eastAsia="zh-TW" w:bidi="zh-TW"/>
        </w:rPr>
        <w:t>存在逻辑错误、前后矛盾，或存在违反现行相关规范的</w:t>
      </w:r>
      <w:r>
        <w:rPr>
          <w:rFonts w:hint="eastAsia" w:ascii="宋体" w:hAnsi="宋体" w:eastAsia="宋体" w:cs="宋体"/>
          <w:b w:val="0"/>
          <w:bCs w:val="0"/>
          <w:color w:val="auto"/>
          <w:kern w:val="2"/>
          <w:sz w:val="24"/>
          <w:szCs w:val="24"/>
          <w:highlight w:val="none"/>
          <w:lang w:val="en-US" w:eastAsia="zh-CN" w:bidi="zh-TW"/>
        </w:rPr>
        <w:t>不得分。</w:t>
      </w:r>
    </w:p>
    <w:p w14:paraId="1F36BD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val="en-US" w:eastAsia="zh-CN" w:bidi="zh-TW"/>
        </w:rPr>
      </w:pPr>
      <w:r>
        <w:rPr>
          <w:rFonts w:hint="eastAsia" w:ascii="宋体" w:hAnsi="宋体" w:eastAsia="宋体" w:cs="宋体"/>
          <w:b/>
          <w:bCs/>
          <w:color w:val="auto"/>
          <w:kern w:val="2"/>
          <w:sz w:val="24"/>
          <w:szCs w:val="24"/>
          <w:highlight w:val="none"/>
          <w:lang w:val="zh-TW" w:eastAsia="zh-TW" w:bidi="zh-TW"/>
        </w:rPr>
        <w:t>②出具检测报告具体时间</w:t>
      </w:r>
      <w:r>
        <w:rPr>
          <w:rFonts w:hint="eastAsia" w:ascii="宋体" w:hAnsi="宋体" w:eastAsia="宋体" w:cs="宋体"/>
          <w:b/>
          <w:bCs/>
          <w:color w:val="auto"/>
          <w:kern w:val="2"/>
          <w:sz w:val="24"/>
          <w:szCs w:val="24"/>
          <w:highlight w:val="none"/>
          <w:lang w:val="zh-TW" w:eastAsia="zh-CN" w:bidi="zh-TW"/>
        </w:rPr>
        <w:t>（</w:t>
      </w:r>
      <w:r>
        <w:rPr>
          <w:rFonts w:hint="eastAsia" w:ascii="宋体" w:hAnsi="宋体" w:eastAsia="宋体" w:cs="宋体"/>
          <w:b/>
          <w:bCs/>
          <w:color w:val="auto"/>
          <w:kern w:val="2"/>
          <w:sz w:val="24"/>
          <w:szCs w:val="24"/>
          <w:highlight w:val="none"/>
          <w:lang w:val="en-US" w:eastAsia="zh-CN" w:bidi="zh-TW"/>
        </w:rPr>
        <w:t>6分）</w:t>
      </w:r>
    </w:p>
    <w:p w14:paraId="042C9A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出具检测报告</w:t>
      </w:r>
      <w:r>
        <w:rPr>
          <w:rFonts w:hint="eastAsia" w:ascii="宋体" w:hAnsi="宋体" w:eastAsia="宋体" w:cs="Times New Roman"/>
          <w:b w:val="0"/>
          <w:bCs w:val="0"/>
          <w:color w:val="auto"/>
          <w:kern w:val="2"/>
          <w:sz w:val="24"/>
          <w:szCs w:val="24"/>
          <w:highlight w:val="none"/>
          <w:lang w:val="en-US" w:eastAsia="zh-CN"/>
        </w:rPr>
        <w:t>时间迅速，时间安排与</w:t>
      </w:r>
      <w:r>
        <w:rPr>
          <w:rFonts w:hint="eastAsia" w:ascii="宋体" w:hAnsi="宋体" w:eastAsia="宋体" w:cs="Times New Roman"/>
          <w:b w:val="0"/>
          <w:bCs w:val="0"/>
          <w:color w:val="auto"/>
          <w:kern w:val="2"/>
          <w:sz w:val="24"/>
          <w:szCs w:val="24"/>
          <w:highlight w:val="none"/>
        </w:rPr>
        <w:t>采购需求贴合度高且条理清晰的该条得</w:t>
      </w:r>
      <w:r>
        <w:rPr>
          <w:rFonts w:hint="eastAsia" w:ascii="Times New Roman" w:hAnsi="Times New Roman" w:eastAsia="宋体" w:cs="Times New Roman"/>
          <w:b w:val="0"/>
          <w:bCs w:val="0"/>
          <w:color w:val="auto"/>
          <w:kern w:val="2"/>
          <w:sz w:val="24"/>
          <w:szCs w:val="24"/>
          <w:highlight w:val="none"/>
          <w:lang w:val="en-US" w:eastAsia="zh-CN"/>
        </w:rPr>
        <w:t>6</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637C4E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出具检测报告</w:t>
      </w:r>
      <w:r>
        <w:rPr>
          <w:rFonts w:hint="eastAsia" w:ascii="宋体" w:hAnsi="宋体" w:eastAsia="宋体" w:cs="Times New Roman"/>
          <w:b w:val="0"/>
          <w:bCs w:val="0"/>
          <w:color w:val="auto"/>
          <w:kern w:val="2"/>
          <w:sz w:val="24"/>
          <w:szCs w:val="24"/>
          <w:highlight w:val="none"/>
          <w:lang w:val="en-US" w:eastAsia="zh-CN"/>
        </w:rPr>
        <w:t>时间较快且合理</w:t>
      </w:r>
      <w:r>
        <w:rPr>
          <w:rFonts w:hint="eastAsia" w:ascii="宋体" w:hAnsi="宋体" w:eastAsia="宋体" w:cs="Times New Roman"/>
          <w:b w:val="0"/>
          <w:bCs w:val="0"/>
          <w:color w:val="auto"/>
          <w:kern w:val="2"/>
          <w:sz w:val="24"/>
          <w:szCs w:val="24"/>
          <w:highlight w:val="none"/>
        </w:rPr>
        <w:t>、</w:t>
      </w:r>
      <w:r>
        <w:rPr>
          <w:rFonts w:hint="eastAsia" w:ascii="宋体" w:hAnsi="宋体" w:eastAsia="宋体" w:cs="Times New Roman"/>
          <w:b w:val="0"/>
          <w:bCs w:val="0"/>
          <w:color w:val="auto"/>
          <w:kern w:val="2"/>
          <w:sz w:val="24"/>
          <w:szCs w:val="24"/>
          <w:highlight w:val="none"/>
          <w:lang w:val="en-US" w:eastAsia="zh-CN"/>
        </w:rPr>
        <w:t>时间安排</w:t>
      </w:r>
      <w:r>
        <w:rPr>
          <w:rFonts w:hint="eastAsia" w:ascii="宋体" w:hAnsi="宋体" w:eastAsia="宋体" w:cs="Times New Roman"/>
          <w:b w:val="0"/>
          <w:bCs w:val="0"/>
          <w:color w:val="auto"/>
          <w:kern w:val="2"/>
          <w:sz w:val="24"/>
          <w:szCs w:val="24"/>
          <w:highlight w:val="none"/>
        </w:rPr>
        <w:t>基本满足采购需求且有逻辑性的得</w:t>
      </w:r>
      <w:r>
        <w:rPr>
          <w:rFonts w:hint="eastAsia" w:ascii="Times New Roman" w:hAnsi="Times New Roman" w:eastAsia="宋体" w:cs="Times New Roman"/>
          <w:b w:val="0"/>
          <w:bCs w:val="0"/>
          <w:color w:val="auto"/>
          <w:kern w:val="2"/>
          <w:sz w:val="24"/>
          <w:szCs w:val="24"/>
          <w:highlight w:val="none"/>
          <w:lang w:val="en-US" w:eastAsia="zh-CN"/>
        </w:rPr>
        <w:t>4</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1A935E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出具检测报告</w:t>
      </w:r>
      <w:r>
        <w:rPr>
          <w:rFonts w:hint="eastAsia" w:ascii="宋体" w:hAnsi="宋体" w:eastAsia="宋体" w:cs="Times New Roman"/>
          <w:b w:val="0"/>
          <w:bCs w:val="0"/>
          <w:color w:val="auto"/>
          <w:kern w:val="2"/>
          <w:sz w:val="24"/>
          <w:szCs w:val="24"/>
          <w:highlight w:val="none"/>
          <w:lang w:val="en-US" w:eastAsia="zh-CN"/>
        </w:rPr>
        <w:t>时间较慢，且时间安排存在瑕疵</w:t>
      </w:r>
      <w:r>
        <w:rPr>
          <w:rFonts w:hint="eastAsia" w:ascii="宋体" w:hAnsi="宋体" w:eastAsia="宋体" w:cs="Times New Roman"/>
          <w:b w:val="0"/>
          <w:bCs w:val="0"/>
          <w:color w:val="auto"/>
          <w:kern w:val="2"/>
          <w:sz w:val="24"/>
          <w:szCs w:val="24"/>
          <w:highlight w:val="none"/>
        </w:rPr>
        <w:t>的得</w:t>
      </w:r>
      <w:r>
        <w:rPr>
          <w:rFonts w:hint="eastAsia" w:ascii="Times New Roman" w:hAnsi="Times New Roman" w:eastAsia="宋体" w:cs="Times New Roman"/>
          <w:b w:val="0"/>
          <w:bCs w:val="0"/>
          <w:color w:val="auto"/>
          <w:kern w:val="2"/>
          <w:sz w:val="24"/>
          <w:szCs w:val="24"/>
          <w:highlight w:val="none"/>
          <w:lang w:val="en-US" w:eastAsia="zh-CN"/>
        </w:rPr>
        <w:t>2</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142FD5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color w:val="auto"/>
          <w:kern w:val="2"/>
          <w:sz w:val="24"/>
          <w:szCs w:val="24"/>
          <w:highlight w:val="none"/>
          <w:lang w:val="en-US" w:eastAsia="zh-CN" w:bidi="zh-TW"/>
        </w:rPr>
      </w:pPr>
      <w:r>
        <w:rPr>
          <w:rFonts w:hint="eastAsia" w:ascii="宋体" w:hAnsi="宋体" w:eastAsia="宋体" w:cs="宋体"/>
          <w:b w:val="0"/>
          <w:bCs w:val="0"/>
          <w:color w:val="auto"/>
          <w:kern w:val="2"/>
          <w:sz w:val="24"/>
          <w:szCs w:val="24"/>
          <w:highlight w:val="none"/>
          <w:lang w:val="en-US" w:eastAsia="zh-CN" w:bidi="zh-TW"/>
        </w:rPr>
        <w:t>无</w:t>
      </w:r>
      <w:r>
        <w:rPr>
          <w:rFonts w:hint="eastAsia" w:ascii="宋体" w:hAnsi="宋体" w:eastAsia="宋体" w:cs="宋体"/>
          <w:b w:val="0"/>
          <w:bCs w:val="0"/>
          <w:color w:val="auto"/>
          <w:kern w:val="2"/>
          <w:sz w:val="24"/>
          <w:szCs w:val="24"/>
          <w:highlight w:val="none"/>
          <w:lang w:val="zh-TW" w:eastAsia="zh-TW" w:bidi="zh-TW"/>
        </w:rPr>
        <w:t>检验方案</w:t>
      </w:r>
      <w:r>
        <w:rPr>
          <w:rFonts w:hint="eastAsia" w:ascii="宋体" w:hAnsi="宋体" w:eastAsia="宋体" w:cs="宋体"/>
          <w:b w:val="0"/>
          <w:bCs w:val="0"/>
          <w:color w:val="auto"/>
          <w:kern w:val="2"/>
          <w:sz w:val="24"/>
          <w:szCs w:val="24"/>
          <w:highlight w:val="none"/>
          <w:lang w:val="en-US" w:eastAsia="zh-CN" w:bidi="zh-TW"/>
        </w:rPr>
        <w:t>或</w:t>
      </w:r>
      <w:r>
        <w:rPr>
          <w:rFonts w:hint="eastAsia" w:ascii="宋体" w:hAnsi="宋体" w:eastAsia="宋体" w:cs="宋体"/>
          <w:b w:val="0"/>
          <w:bCs w:val="0"/>
          <w:color w:val="auto"/>
          <w:kern w:val="2"/>
          <w:sz w:val="24"/>
          <w:szCs w:val="24"/>
          <w:highlight w:val="none"/>
          <w:lang w:val="zh-TW" w:eastAsia="zh-TW" w:bidi="zh-TW"/>
        </w:rPr>
        <w:t>存在逻辑错误、前后矛盾，或存在违反现行相关规范的</w:t>
      </w:r>
      <w:r>
        <w:rPr>
          <w:rFonts w:hint="eastAsia" w:ascii="宋体" w:hAnsi="宋体" w:eastAsia="宋体" w:cs="宋体"/>
          <w:b w:val="0"/>
          <w:bCs w:val="0"/>
          <w:color w:val="auto"/>
          <w:kern w:val="2"/>
          <w:sz w:val="24"/>
          <w:szCs w:val="24"/>
          <w:highlight w:val="none"/>
          <w:lang w:val="en-US" w:eastAsia="zh-CN" w:bidi="zh-TW"/>
        </w:rPr>
        <w:t>不得分。</w:t>
      </w:r>
    </w:p>
    <w:p w14:paraId="60E16A70">
      <w:pPr>
        <w:widowControl w:val="0"/>
        <w:spacing w:line="360" w:lineRule="auto"/>
        <w:ind w:firstLine="482" w:firstLineChars="200"/>
        <w:jc w:val="both"/>
        <w:rPr>
          <w:rFonts w:hint="eastAsia" w:ascii="Calibri" w:hAnsi="Calibri" w:eastAsia="宋体" w:cs="Times New Roman"/>
          <w:b/>
          <w:bCs/>
          <w:color w:val="auto"/>
          <w:kern w:val="2"/>
          <w:sz w:val="24"/>
          <w:szCs w:val="22"/>
          <w:highlight w:val="none"/>
          <w:lang w:val="en-US" w:eastAsia="zh-CN" w:bidi="ar-SA"/>
        </w:rPr>
      </w:pPr>
      <w:r>
        <w:rPr>
          <w:rFonts w:hint="eastAsia" w:ascii="Calibri" w:hAnsi="Calibri" w:eastAsia="宋体" w:cs="Times New Roman"/>
          <w:b/>
          <w:bCs/>
          <w:color w:val="auto"/>
          <w:kern w:val="2"/>
          <w:sz w:val="24"/>
          <w:szCs w:val="22"/>
          <w:highlight w:val="none"/>
          <w:lang w:val="en-US" w:eastAsia="zh-CN" w:bidi="ar-SA"/>
        </w:rPr>
        <w:t>3）供应商实验室的室内质控或质量控制措施（12分）</w:t>
      </w:r>
    </w:p>
    <w:p w14:paraId="380C171F">
      <w:pPr>
        <w:keepNext w:val="0"/>
        <w:keepLines w:val="0"/>
        <w:pageBreakBefore w:val="0"/>
        <w:widowControl w:val="0"/>
        <w:spacing w:line="360" w:lineRule="auto"/>
        <w:ind w:firstLine="480"/>
        <w:jc w:val="both"/>
        <w:rPr>
          <w:rFonts w:hint="eastAsia" w:ascii="宋体" w:hAnsi="宋体" w:eastAsia="宋体" w:cs="宋体"/>
          <w:b/>
          <w:bCs/>
          <w:color w:val="auto"/>
          <w:kern w:val="2"/>
          <w:sz w:val="24"/>
          <w:szCs w:val="24"/>
          <w:highlight w:val="none"/>
          <w:lang w:val="en-US" w:eastAsia="zh-CN" w:bidi="zh-TW"/>
        </w:rPr>
      </w:pPr>
      <w:r>
        <w:rPr>
          <w:rFonts w:hint="eastAsia" w:ascii="宋体" w:hAnsi="宋体" w:eastAsia="宋体" w:cs="宋体"/>
          <w:b/>
          <w:bCs/>
          <w:color w:val="auto"/>
          <w:kern w:val="2"/>
          <w:sz w:val="24"/>
          <w:szCs w:val="24"/>
          <w:highlight w:val="none"/>
          <w:lang w:val="zh-TW" w:eastAsia="zh-TW" w:bidi="zh-TW"/>
        </w:rPr>
        <w:t>①投入本项目设备配备情况</w:t>
      </w:r>
      <w:r>
        <w:rPr>
          <w:rFonts w:hint="eastAsia" w:ascii="宋体" w:hAnsi="宋体" w:eastAsia="宋体" w:cs="宋体"/>
          <w:b/>
          <w:bCs/>
          <w:color w:val="auto"/>
          <w:kern w:val="2"/>
          <w:sz w:val="24"/>
          <w:szCs w:val="24"/>
          <w:highlight w:val="none"/>
          <w:lang w:val="zh-TW" w:eastAsia="zh-CN" w:bidi="zh-TW"/>
        </w:rPr>
        <w:t>（</w:t>
      </w:r>
      <w:r>
        <w:rPr>
          <w:rFonts w:hint="eastAsia" w:ascii="宋体" w:hAnsi="宋体" w:eastAsia="宋体" w:cs="宋体"/>
          <w:b/>
          <w:bCs/>
          <w:color w:val="auto"/>
          <w:kern w:val="2"/>
          <w:sz w:val="24"/>
          <w:szCs w:val="24"/>
          <w:highlight w:val="none"/>
          <w:lang w:val="en-US" w:eastAsia="zh-CN" w:bidi="zh-TW"/>
        </w:rPr>
        <w:t>4分）</w:t>
      </w:r>
    </w:p>
    <w:p w14:paraId="6FC7A81E">
      <w:pPr>
        <w:keepNext w:val="0"/>
        <w:keepLines w:val="0"/>
        <w:pageBreakBefore w:val="0"/>
        <w:widowControl w:val="0"/>
        <w:spacing w:line="360" w:lineRule="auto"/>
        <w:ind w:firstLine="480"/>
        <w:jc w:val="both"/>
        <w:rPr>
          <w:rFonts w:hint="eastAsia" w:ascii="宋体" w:hAnsi="宋体" w:eastAsia="宋体" w:cs="宋体"/>
          <w:b w:val="0"/>
          <w:bCs w:val="0"/>
          <w:color w:val="auto"/>
          <w:kern w:val="2"/>
          <w:sz w:val="24"/>
          <w:szCs w:val="24"/>
          <w:highlight w:val="none"/>
          <w:lang w:val="zh-TW" w:eastAsia="zh-TW" w:bidi="zh-TW"/>
        </w:rPr>
      </w:pPr>
      <w:r>
        <w:rPr>
          <w:rFonts w:hint="eastAsia" w:ascii="宋体" w:hAnsi="宋体" w:eastAsia="宋体" w:cs="宋体"/>
          <w:b w:val="0"/>
          <w:bCs w:val="0"/>
          <w:color w:val="auto"/>
          <w:kern w:val="2"/>
          <w:sz w:val="24"/>
          <w:szCs w:val="24"/>
          <w:highlight w:val="none"/>
          <w:lang w:val="en-US" w:eastAsia="zh-CN" w:bidi="zh-TW"/>
        </w:rPr>
        <w:t>设备配备齐全合理</w:t>
      </w:r>
      <w:r>
        <w:rPr>
          <w:rFonts w:hint="eastAsia" w:ascii="宋体" w:hAnsi="宋体" w:eastAsia="宋体" w:cs="宋体"/>
          <w:b w:val="0"/>
          <w:bCs w:val="0"/>
          <w:color w:val="auto"/>
          <w:kern w:val="2"/>
          <w:sz w:val="24"/>
          <w:szCs w:val="24"/>
          <w:highlight w:val="none"/>
          <w:lang w:val="zh-TW" w:eastAsia="zh-TW" w:bidi="zh-TW"/>
        </w:rPr>
        <w:t>、与采购需求贴合度高的该条得</w:t>
      </w:r>
      <w:r>
        <w:rPr>
          <w:rFonts w:hint="eastAsia" w:ascii="宋体" w:hAnsi="宋体" w:eastAsia="宋体" w:cs="宋体"/>
          <w:b w:val="0"/>
          <w:bCs w:val="0"/>
          <w:color w:val="auto"/>
          <w:kern w:val="2"/>
          <w:sz w:val="24"/>
          <w:szCs w:val="24"/>
          <w:highlight w:val="none"/>
          <w:lang w:val="en-US" w:eastAsia="zh-CN" w:bidi="zh-TW"/>
        </w:rPr>
        <w:t>4</w:t>
      </w:r>
      <w:r>
        <w:rPr>
          <w:rFonts w:hint="eastAsia" w:ascii="宋体" w:hAnsi="宋体" w:eastAsia="宋体" w:cs="宋体"/>
          <w:b w:val="0"/>
          <w:bCs w:val="0"/>
          <w:color w:val="auto"/>
          <w:kern w:val="2"/>
          <w:sz w:val="24"/>
          <w:szCs w:val="24"/>
          <w:highlight w:val="none"/>
          <w:lang w:val="zh-TW" w:eastAsia="zh-TW" w:bidi="zh-TW"/>
        </w:rPr>
        <w:t>分；</w:t>
      </w:r>
    </w:p>
    <w:p w14:paraId="0B0876B6">
      <w:pPr>
        <w:keepNext w:val="0"/>
        <w:keepLines w:val="0"/>
        <w:pageBreakBefore w:val="0"/>
        <w:widowControl w:val="0"/>
        <w:spacing w:line="360" w:lineRule="auto"/>
        <w:ind w:firstLine="480"/>
        <w:jc w:val="both"/>
        <w:rPr>
          <w:rFonts w:hint="eastAsia" w:ascii="宋体" w:hAnsi="宋体" w:eastAsia="宋体" w:cs="宋体"/>
          <w:b w:val="0"/>
          <w:bCs w:val="0"/>
          <w:color w:val="auto"/>
          <w:kern w:val="2"/>
          <w:sz w:val="24"/>
          <w:szCs w:val="24"/>
          <w:highlight w:val="none"/>
          <w:lang w:val="zh-TW" w:eastAsia="zh-TW" w:bidi="zh-TW"/>
        </w:rPr>
      </w:pPr>
      <w:r>
        <w:rPr>
          <w:rFonts w:hint="eastAsia" w:ascii="宋体" w:hAnsi="宋体" w:eastAsia="宋体" w:cs="宋体"/>
          <w:b w:val="0"/>
          <w:bCs w:val="0"/>
          <w:color w:val="auto"/>
          <w:kern w:val="2"/>
          <w:sz w:val="24"/>
          <w:szCs w:val="24"/>
          <w:highlight w:val="none"/>
          <w:lang w:val="en-US" w:eastAsia="zh-CN" w:bidi="zh-TW"/>
        </w:rPr>
        <w:t>设备配备较为合理</w:t>
      </w:r>
      <w:r>
        <w:rPr>
          <w:rFonts w:hint="eastAsia" w:ascii="宋体" w:hAnsi="宋体" w:eastAsia="宋体" w:cs="宋体"/>
          <w:b w:val="0"/>
          <w:bCs w:val="0"/>
          <w:color w:val="auto"/>
          <w:kern w:val="2"/>
          <w:sz w:val="24"/>
          <w:szCs w:val="24"/>
          <w:highlight w:val="none"/>
          <w:lang w:val="zh-TW" w:eastAsia="zh-TW" w:bidi="zh-TW"/>
        </w:rPr>
        <w:t>、基本满足采购需求的得</w:t>
      </w:r>
      <w:r>
        <w:rPr>
          <w:rFonts w:hint="eastAsia" w:ascii="宋体" w:hAnsi="宋体" w:eastAsia="宋体" w:cs="宋体"/>
          <w:b w:val="0"/>
          <w:bCs w:val="0"/>
          <w:color w:val="auto"/>
          <w:kern w:val="2"/>
          <w:sz w:val="24"/>
          <w:szCs w:val="24"/>
          <w:highlight w:val="none"/>
          <w:lang w:val="en-US" w:eastAsia="zh-CN" w:bidi="zh-TW"/>
        </w:rPr>
        <w:t>2</w:t>
      </w:r>
      <w:r>
        <w:rPr>
          <w:rFonts w:hint="eastAsia" w:ascii="宋体" w:hAnsi="宋体" w:eastAsia="宋体" w:cs="宋体"/>
          <w:b w:val="0"/>
          <w:bCs w:val="0"/>
          <w:color w:val="auto"/>
          <w:kern w:val="2"/>
          <w:sz w:val="24"/>
          <w:szCs w:val="24"/>
          <w:highlight w:val="none"/>
          <w:lang w:val="zh-TW" w:eastAsia="zh-TW" w:bidi="zh-TW"/>
        </w:rPr>
        <w:t>分；</w:t>
      </w:r>
    </w:p>
    <w:p w14:paraId="1058FF6A">
      <w:pPr>
        <w:keepNext w:val="0"/>
        <w:keepLines w:val="0"/>
        <w:pageBreakBefore w:val="0"/>
        <w:widowControl w:val="0"/>
        <w:spacing w:line="360" w:lineRule="auto"/>
        <w:ind w:firstLine="480"/>
        <w:jc w:val="both"/>
        <w:rPr>
          <w:rFonts w:hint="eastAsia" w:ascii="宋体" w:hAnsi="宋体" w:eastAsia="宋体" w:cs="宋体"/>
          <w:b w:val="0"/>
          <w:bCs w:val="0"/>
          <w:color w:val="auto"/>
          <w:kern w:val="2"/>
          <w:sz w:val="24"/>
          <w:szCs w:val="24"/>
          <w:highlight w:val="none"/>
          <w:lang w:val="zh-TW" w:eastAsia="zh-CN" w:bidi="zh-TW"/>
        </w:rPr>
      </w:pPr>
      <w:r>
        <w:rPr>
          <w:rFonts w:hint="eastAsia" w:ascii="宋体" w:hAnsi="宋体" w:eastAsia="宋体" w:cs="宋体"/>
          <w:b w:val="0"/>
          <w:bCs w:val="0"/>
          <w:color w:val="auto"/>
          <w:kern w:val="2"/>
          <w:sz w:val="24"/>
          <w:szCs w:val="24"/>
          <w:highlight w:val="none"/>
          <w:lang w:val="en-US" w:eastAsia="zh-CN" w:bidi="zh-TW"/>
        </w:rPr>
        <w:t>设备配备简单，存在瑕疵</w:t>
      </w:r>
      <w:r>
        <w:rPr>
          <w:rFonts w:hint="eastAsia" w:ascii="宋体" w:hAnsi="宋体" w:eastAsia="宋体" w:cs="宋体"/>
          <w:b w:val="0"/>
          <w:bCs w:val="0"/>
          <w:color w:val="auto"/>
          <w:kern w:val="2"/>
          <w:sz w:val="24"/>
          <w:szCs w:val="24"/>
          <w:highlight w:val="none"/>
          <w:lang w:val="zh-TW" w:eastAsia="zh-CN" w:bidi="zh-TW"/>
        </w:rPr>
        <w:t>，</w:t>
      </w:r>
      <w:r>
        <w:rPr>
          <w:rFonts w:hint="eastAsia" w:ascii="宋体" w:hAnsi="宋体" w:eastAsia="宋体" w:cs="宋体"/>
          <w:b w:val="0"/>
          <w:bCs w:val="0"/>
          <w:color w:val="auto"/>
          <w:kern w:val="2"/>
          <w:sz w:val="24"/>
          <w:szCs w:val="24"/>
          <w:highlight w:val="none"/>
          <w:lang w:val="en-US" w:eastAsia="zh-CN" w:bidi="zh-TW"/>
        </w:rPr>
        <w:t>与</w:t>
      </w:r>
      <w:r>
        <w:rPr>
          <w:rFonts w:hint="eastAsia" w:ascii="宋体" w:hAnsi="宋体" w:eastAsia="宋体" w:cs="宋体"/>
          <w:b w:val="0"/>
          <w:bCs w:val="0"/>
          <w:color w:val="auto"/>
          <w:kern w:val="2"/>
          <w:sz w:val="24"/>
          <w:szCs w:val="24"/>
          <w:highlight w:val="none"/>
          <w:lang w:val="zh-TW" w:eastAsia="zh-TW" w:bidi="zh-TW"/>
        </w:rPr>
        <w:t>采购需求</w:t>
      </w:r>
      <w:r>
        <w:rPr>
          <w:rFonts w:hint="eastAsia" w:ascii="宋体" w:hAnsi="宋体" w:eastAsia="宋体" w:cs="宋体"/>
          <w:b w:val="0"/>
          <w:bCs w:val="0"/>
          <w:color w:val="auto"/>
          <w:kern w:val="2"/>
          <w:sz w:val="24"/>
          <w:szCs w:val="24"/>
          <w:highlight w:val="none"/>
          <w:lang w:val="en-US" w:eastAsia="zh-CN" w:bidi="zh-TW"/>
        </w:rPr>
        <w:t>贴合度较低的</w:t>
      </w:r>
      <w:r>
        <w:rPr>
          <w:rFonts w:hint="eastAsia" w:ascii="宋体" w:hAnsi="宋体" w:eastAsia="宋体" w:cs="宋体"/>
          <w:b w:val="0"/>
          <w:bCs w:val="0"/>
          <w:color w:val="auto"/>
          <w:kern w:val="2"/>
          <w:sz w:val="24"/>
          <w:szCs w:val="24"/>
          <w:highlight w:val="none"/>
          <w:lang w:val="zh-TW" w:eastAsia="zh-TW" w:bidi="zh-TW"/>
        </w:rPr>
        <w:t>得</w:t>
      </w:r>
      <w:r>
        <w:rPr>
          <w:rFonts w:hint="eastAsia" w:ascii="宋体" w:hAnsi="宋体" w:eastAsia="宋体" w:cs="宋体"/>
          <w:b w:val="0"/>
          <w:bCs w:val="0"/>
          <w:color w:val="auto"/>
          <w:kern w:val="2"/>
          <w:sz w:val="24"/>
          <w:szCs w:val="24"/>
          <w:highlight w:val="none"/>
          <w:lang w:val="en-US" w:eastAsia="zh-CN" w:bidi="zh-TW"/>
        </w:rPr>
        <w:t>1</w:t>
      </w:r>
      <w:r>
        <w:rPr>
          <w:rFonts w:hint="eastAsia" w:ascii="宋体" w:hAnsi="宋体" w:eastAsia="宋体" w:cs="宋体"/>
          <w:b w:val="0"/>
          <w:bCs w:val="0"/>
          <w:color w:val="auto"/>
          <w:kern w:val="2"/>
          <w:sz w:val="24"/>
          <w:szCs w:val="24"/>
          <w:highlight w:val="none"/>
          <w:lang w:val="zh-TW" w:eastAsia="zh-TW" w:bidi="zh-TW"/>
        </w:rPr>
        <w:t>分</w:t>
      </w:r>
      <w:r>
        <w:rPr>
          <w:rFonts w:hint="eastAsia" w:ascii="宋体" w:hAnsi="宋体" w:eastAsia="宋体" w:cs="宋体"/>
          <w:b w:val="0"/>
          <w:bCs w:val="0"/>
          <w:color w:val="auto"/>
          <w:kern w:val="2"/>
          <w:sz w:val="24"/>
          <w:szCs w:val="24"/>
          <w:highlight w:val="none"/>
          <w:lang w:val="zh-TW" w:eastAsia="zh-CN" w:bidi="zh-TW"/>
        </w:rPr>
        <w:t>；</w:t>
      </w:r>
    </w:p>
    <w:p w14:paraId="45F1EE48">
      <w:pPr>
        <w:keepNext w:val="0"/>
        <w:keepLines w:val="0"/>
        <w:pageBreakBefore w:val="0"/>
        <w:widowControl w:val="0"/>
        <w:spacing w:line="360" w:lineRule="auto"/>
        <w:ind w:firstLine="480"/>
        <w:jc w:val="both"/>
        <w:rPr>
          <w:rFonts w:hint="eastAsia" w:ascii="宋体" w:hAnsi="宋体" w:eastAsia="宋体" w:cs="宋体"/>
          <w:b w:val="0"/>
          <w:bCs w:val="0"/>
          <w:color w:val="auto"/>
          <w:kern w:val="2"/>
          <w:sz w:val="24"/>
          <w:szCs w:val="24"/>
          <w:highlight w:val="none"/>
          <w:lang w:val="en-US" w:eastAsia="zh-CN" w:bidi="zh-TW"/>
        </w:rPr>
      </w:pPr>
      <w:r>
        <w:rPr>
          <w:rFonts w:hint="eastAsia" w:ascii="宋体" w:hAnsi="宋体" w:eastAsia="宋体" w:cs="宋体"/>
          <w:b w:val="0"/>
          <w:bCs w:val="0"/>
          <w:color w:val="auto"/>
          <w:kern w:val="2"/>
          <w:sz w:val="24"/>
          <w:szCs w:val="24"/>
          <w:highlight w:val="none"/>
          <w:lang w:val="zh-TW" w:eastAsia="zh-TW" w:bidi="zh-TW"/>
        </w:rPr>
        <w:t>设备配备情况存在不能满足采购需求，或存在违反现行相关规范的，该条不得分</w:t>
      </w:r>
    </w:p>
    <w:p w14:paraId="3FDA4233">
      <w:pPr>
        <w:keepNext w:val="0"/>
        <w:keepLines w:val="0"/>
        <w:pageBreakBefore w:val="0"/>
        <w:widowControl w:val="0"/>
        <w:spacing w:line="360" w:lineRule="auto"/>
        <w:ind w:firstLine="480"/>
        <w:jc w:val="both"/>
        <w:rPr>
          <w:rFonts w:hint="eastAsia" w:ascii="宋体" w:hAnsi="宋体" w:eastAsia="宋体" w:cs="宋体"/>
          <w:b/>
          <w:bCs/>
          <w:color w:val="auto"/>
          <w:kern w:val="2"/>
          <w:sz w:val="24"/>
          <w:szCs w:val="24"/>
          <w:highlight w:val="none"/>
          <w:lang w:val="en-US" w:eastAsia="zh-CN" w:bidi="zh-TW"/>
        </w:rPr>
      </w:pPr>
      <w:r>
        <w:rPr>
          <w:rFonts w:hint="eastAsia" w:ascii="宋体" w:hAnsi="宋体" w:eastAsia="宋体" w:cs="宋体"/>
          <w:b/>
          <w:bCs/>
          <w:color w:val="auto"/>
          <w:kern w:val="2"/>
          <w:sz w:val="24"/>
          <w:szCs w:val="24"/>
          <w:highlight w:val="none"/>
          <w:lang w:val="zh-TW" w:eastAsia="zh-TW" w:bidi="zh-TW"/>
        </w:rPr>
        <w:t>②实验室管理情况</w:t>
      </w:r>
      <w:r>
        <w:rPr>
          <w:rFonts w:hint="eastAsia" w:ascii="宋体" w:hAnsi="宋体" w:eastAsia="宋体" w:cs="宋体"/>
          <w:b/>
          <w:bCs/>
          <w:color w:val="auto"/>
          <w:kern w:val="2"/>
          <w:sz w:val="24"/>
          <w:szCs w:val="24"/>
          <w:highlight w:val="none"/>
          <w:lang w:val="zh-TW" w:eastAsia="zh-CN" w:bidi="zh-TW"/>
        </w:rPr>
        <w:t>（</w:t>
      </w:r>
      <w:r>
        <w:rPr>
          <w:rFonts w:hint="eastAsia" w:ascii="宋体" w:hAnsi="宋体" w:eastAsia="宋体" w:cs="宋体"/>
          <w:b/>
          <w:bCs/>
          <w:color w:val="auto"/>
          <w:kern w:val="2"/>
          <w:sz w:val="24"/>
          <w:szCs w:val="24"/>
          <w:highlight w:val="none"/>
          <w:lang w:val="en-US" w:eastAsia="zh-CN" w:bidi="zh-TW"/>
        </w:rPr>
        <w:t>4分）</w:t>
      </w:r>
    </w:p>
    <w:p w14:paraId="03072E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实验室管理</w:t>
      </w:r>
      <w:r>
        <w:rPr>
          <w:rFonts w:hint="eastAsia" w:ascii="宋体" w:hAnsi="宋体" w:eastAsia="宋体" w:cs="Times New Roman"/>
          <w:b w:val="0"/>
          <w:bCs w:val="0"/>
          <w:color w:val="auto"/>
          <w:kern w:val="2"/>
          <w:sz w:val="24"/>
          <w:szCs w:val="24"/>
          <w:highlight w:val="none"/>
          <w:lang w:val="en-US" w:eastAsia="zh-CN"/>
        </w:rPr>
        <w:t>规范完整</w:t>
      </w:r>
      <w:r>
        <w:rPr>
          <w:rFonts w:hint="eastAsia" w:ascii="宋体" w:hAnsi="宋体" w:eastAsia="宋体" w:cs="Times New Roman"/>
          <w:b w:val="0"/>
          <w:bCs w:val="0"/>
          <w:color w:val="auto"/>
          <w:kern w:val="2"/>
          <w:sz w:val="24"/>
          <w:szCs w:val="24"/>
          <w:highlight w:val="none"/>
        </w:rPr>
        <w:t>、与采购需求贴合度高且条理清晰的该条得</w:t>
      </w:r>
      <w:r>
        <w:rPr>
          <w:rFonts w:hint="eastAsia" w:ascii="Times New Roman" w:hAnsi="Times New Roman" w:eastAsia="宋体" w:cs="Times New Roman"/>
          <w:b w:val="0"/>
          <w:bCs w:val="0"/>
          <w:color w:val="auto"/>
          <w:kern w:val="2"/>
          <w:sz w:val="24"/>
          <w:szCs w:val="24"/>
          <w:highlight w:val="none"/>
          <w:lang w:val="en-US" w:eastAsia="zh-CN"/>
        </w:rPr>
        <w:t>4</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001A2D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实验室管理内容</w:t>
      </w:r>
      <w:r>
        <w:rPr>
          <w:rFonts w:hint="eastAsia" w:ascii="宋体" w:hAnsi="宋体" w:eastAsia="宋体" w:cs="Times New Roman"/>
          <w:b w:val="0"/>
          <w:bCs w:val="0"/>
          <w:color w:val="auto"/>
          <w:kern w:val="2"/>
          <w:sz w:val="24"/>
          <w:szCs w:val="24"/>
          <w:highlight w:val="none"/>
          <w:lang w:val="en-US" w:eastAsia="zh-CN"/>
        </w:rPr>
        <w:t>较为合理</w:t>
      </w:r>
      <w:r>
        <w:rPr>
          <w:rFonts w:hint="eastAsia" w:ascii="宋体" w:hAnsi="宋体" w:eastAsia="宋体" w:cs="Times New Roman"/>
          <w:b w:val="0"/>
          <w:bCs w:val="0"/>
          <w:color w:val="auto"/>
          <w:kern w:val="2"/>
          <w:sz w:val="24"/>
          <w:szCs w:val="24"/>
          <w:highlight w:val="none"/>
        </w:rPr>
        <w:t>、基本满足采购需求且有逻辑性的得</w:t>
      </w:r>
      <w:r>
        <w:rPr>
          <w:rFonts w:hint="eastAsia" w:ascii="Times New Roman" w:hAnsi="Times New Roman" w:eastAsia="宋体" w:cs="Times New Roman"/>
          <w:b w:val="0"/>
          <w:bCs w:val="0"/>
          <w:color w:val="auto"/>
          <w:kern w:val="2"/>
          <w:sz w:val="24"/>
          <w:szCs w:val="24"/>
          <w:highlight w:val="none"/>
          <w:lang w:val="en-US" w:eastAsia="zh-CN"/>
        </w:rPr>
        <w:t>2</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3868F5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实验室管理内容</w:t>
      </w:r>
      <w:r>
        <w:rPr>
          <w:rFonts w:hint="eastAsia" w:ascii="宋体" w:hAnsi="宋体" w:eastAsia="宋体" w:cs="Times New Roman"/>
          <w:b w:val="0"/>
          <w:bCs w:val="0"/>
          <w:color w:val="auto"/>
          <w:kern w:val="2"/>
          <w:sz w:val="24"/>
          <w:szCs w:val="24"/>
          <w:highlight w:val="none"/>
          <w:lang w:val="en-US" w:eastAsia="zh-CN"/>
        </w:rPr>
        <w:t>简单且存在一些瑕疵</w:t>
      </w:r>
      <w:r>
        <w:rPr>
          <w:rFonts w:hint="eastAsia" w:ascii="宋体" w:hAnsi="宋体" w:eastAsia="宋体" w:cs="Times New Roman"/>
          <w:b w:val="0"/>
          <w:bCs w:val="0"/>
          <w:color w:val="auto"/>
          <w:kern w:val="2"/>
          <w:sz w:val="24"/>
          <w:szCs w:val="24"/>
          <w:highlight w:val="none"/>
        </w:rPr>
        <w:t>的得</w:t>
      </w:r>
      <w:r>
        <w:rPr>
          <w:rFonts w:hint="eastAsia" w:ascii="Times New Roman" w:hAnsi="Times New Roman" w:eastAsia="宋体" w:cs="Times New Roman"/>
          <w:b w:val="0"/>
          <w:bCs w:val="0"/>
          <w:color w:val="auto"/>
          <w:kern w:val="2"/>
          <w:sz w:val="24"/>
          <w:szCs w:val="24"/>
          <w:highlight w:val="none"/>
          <w:lang w:val="en-US" w:eastAsia="zh-CN"/>
        </w:rPr>
        <w:t>1</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5E2CC7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zh-TW"/>
        </w:rPr>
      </w:pPr>
      <w:r>
        <w:rPr>
          <w:rFonts w:hint="eastAsia" w:ascii="宋体" w:hAnsi="宋体" w:eastAsia="宋体" w:cs="宋体"/>
          <w:b w:val="0"/>
          <w:bCs w:val="0"/>
          <w:color w:val="auto"/>
          <w:kern w:val="2"/>
          <w:sz w:val="24"/>
          <w:szCs w:val="24"/>
          <w:highlight w:val="none"/>
          <w:lang w:val="en-US" w:eastAsia="zh-CN" w:bidi="zh-TW"/>
        </w:rPr>
        <w:t>无</w:t>
      </w:r>
      <w:r>
        <w:rPr>
          <w:rFonts w:hint="eastAsia" w:ascii="宋体" w:hAnsi="宋体" w:eastAsia="宋体" w:cs="宋体"/>
          <w:b w:val="0"/>
          <w:bCs w:val="0"/>
          <w:color w:val="auto"/>
          <w:kern w:val="2"/>
          <w:sz w:val="24"/>
          <w:szCs w:val="24"/>
          <w:highlight w:val="none"/>
          <w:lang w:val="zh-TW" w:eastAsia="zh-TW" w:bidi="zh-TW"/>
        </w:rPr>
        <w:t>实验室管理情况</w:t>
      </w:r>
      <w:r>
        <w:rPr>
          <w:rFonts w:hint="eastAsia" w:ascii="宋体" w:hAnsi="宋体" w:eastAsia="宋体" w:cs="宋体"/>
          <w:b w:val="0"/>
          <w:bCs w:val="0"/>
          <w:color w:val="auto"/>
          <w:kern w:val="2"/>
          <w:sz w:val="24"/>
          <w:szCs w:val="24"/>
          <w:highlight w:val="none"/>
          <w:lang w:val="en-US" w:eastAsia="zh-CN" w:bidi="zh-TW"/>
        </w:rPr>
        <w:t>或</w:t>
      </w:r>
      <w:r>
        <w:rPr>
          <w:rFonts w:hint="eastAsia" w:ascii="宋体" w:hAnsi="宋体" w:eastAsia="宋体" w:cs="宋体"/>
          <w:b w:val="0"/>
          <w:bCs w:val="0"/>
          <w:color w:val="auto"/>
          <w:kern w:val="2"/>
          <w:sz w:val="24"/>
          <w:szCs w:val="24"/>
          <w:highlight w:val="none"/>
          <w:lang w:val="zh-TW" w:eastAsia="zh-TW" w:bidi="zh-TW"/>
        </w:rPr>
        <w:t>存在逻辑错误、前后矛盾，或存在违反现行相关规范的</w:t>
      </w:r>
      <w:r>
        <w:rPr>
          <w:rFonts w:hint="eastAsia" w:ascii="宋体" w:hAnsi="宋体" w:eastAsia="宋体" w:cs="宋体"/>
          <w:b w:val="0"/>
          <w:bCs w:val="0"/>
          <w:color w:val="auto"/>
          <w:kern w:val="2"/>
          <w:sz w:val="24"/>
          <w:szCs w:val="24"/>
          <w:highlight w:val="none"/>
          <w:lang w:val="en-US" w:eastAsia="zh-CN" w:bidi="zh-TW"/>
        </w:rPr>
        <w:t>不得分。</w:t>
      </w:r>
    </w:p>
    <w:p w14:paraId="51D3D2F1">
      <w:pPr>
        <w:keepNext w:val="0"/>
        <w:keepLines w:val="0"/>
        <w:pageBreakBefore w:val="0"/>
        <w:widowControl w:val="0"/>
        <w:spacing w:line="360" w:lineRule="auto"/>
        <w:ind w:firstLine="480"/>
        <w:jc w:val="both"/>
        <w:rPr>
          <w:rFonts w:hint="eastAsia" w:ascii="宋体" w:hAnsi="宋体" w:eastAsia="宋体" w:cs="宋体"/>
          <w:b/>
          <w:bCs/>
          <w:color w:val="auto"/>
          <w:kern w:val="2"/>
          <w:sz w:val="24"/>
          <w:szCs w:val="24"/>
          <w:highlight w:val="none"/>
          <w:lang w:val="en-US" w:eastAsia="zh-CN" w:bidi="zh-TW"/>
        </w:rPr>
      </w:pPr>
      <w:r>
        <w:rPr>
          <w:rFonts w:hint="eastAsia" w:ascii="宋体" w:hAnsi="宋体" w:eastAsia="宋体" w:cs="宋体"/>
          <w:b/>
          <w:bCs/>
          <w:color w:val="auto"/>
          <w:kern w:val="2"/>
          <w:sz w:val="24"/>
          <w:szCs w:val="24"/>
          <w:highlight w:val="none"/>
          <w:lang w:val="zh-TW" w:eastAsia="zh-TW" w:bidi="zh-TW"/>
        </w:rPr>
        <w:t>③实验室质控措施等内容</w:t>
      </w:r>
      <w:r>
        <w:rPr>
          <w:rFonts w:hint="eastAsia" w:ascii="宋体" w:hAnsi="宋体" w:eastAsia="宋体" w:cs="宋体"/>
          <w:b/>
          <w:bCs/>
          <w:color w:val="auto"/>
          <w:kern w:val="2"/>
          <w:sz w:val="24"/>
          <w:szCs w:val="24"/>
          <w:highlight w:val="none"/>
          <w:lang w:val="zh-TW" w:eastAsia="zh-CN" w:bidi="zh-TW"/>
        </w:rPr>
        <w:t>（</w:t>
      </w:r>
      <w:r>
        <w:rPr>
          <w:rFonts w:hint="eastAsia" w:ascii="宋体" w:hAnsi="宋体" w:eastAsia="宋体" w:cs="宋体"/>
          <w:b/>
          <w:bCs/>
          <w:color w:val="auto"/>
          <w:kern w:val="2"/>
          <w:sz w:val="24"/>
          <w:szCs w:val="24"/>
          <w:highlight w:val="none"/>
          <w:lang w:val="en-US" w:eastAsia="zh-CN" w:bidi="zh-TW"/>
        </w:rPr>
        <w:t>4分）</w:t>
      </w:r>
    </w:p>
    <w:p w14:paraId="081117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实验室质控措施</w:t>
      </w:r>
      <w:r>
        <w:rPr>
          <w:rFonts w:hint="eastAsia" w:ascii="宋体" w:hAnsi="宋体" w:eastAsia="宋体" w:cs="Times New Roman"/>
          <w:b w:val="0"/>
          <w:bCs w:val="0"/>
          <w:color w:val="auto"/>
          <w:kern w:val="2"/>
          <w:sz w:val="24"/>
          <w:szCs w:val="24"/>
          <w:highlight w:val="none"/>
          <w:lang w:val="en-US" w:eastAsia="zh-CN"/>
        </w:rPr>
        <w:t>详细完整</w:t>
      </w:r>
      <w:r>
        <w:rPr>
          <w:rFonts w:hint="eastAsia" w:ascii="宋体" w:hAnsi="宋体" w:eastAsia="宋体" w:cs="Times New Roman"/>
          <w:b w:val="0"/>
          <w:bCs w:val="0"/>
          <w:color w:val="auto"/>
          <w:kern w:val="2"/>
          <w:sz w:val="24"/>
          <w:szCs w:val="24"/>
          <w:highlight w:val="none"/>
        </w:rPr>
        <w:t>、与采购需求贴合度高且条理清晰的该条得</w:t>
      </w:r>
      <w:r>
        <w:rPr>
          <w:rFonts w:hint="eastAsia" w:ascii="Times New Roman" w:hAnsi="Times New Roman" w:eastAsia="宋体" w:cs="Times New Roman"/>
          <w:b w:val="0"/>
          <w:bCs w:val="0"/>
          <w:color w:val="auto"/>
          <w:kern w:val="2"/>
          <w:sz w:val="24"/>
          <w:szCs w:val="24"/>
          <w:highlight w:val="none"/>
          <w:lang w:val="en-US" w:eastAsia="zh-CN"/>
        </w:rPr>
        <w:t>4</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65EE7C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实验室质控措施</w:t>
      </w:r>
      <w:r>
        <w:rPr>
          <w:rFonts w:hint="eastAsia" w:ascii="宋体" w:hAnsi="宋体" w:eastAsia="宋体" w:cs="Times New Roman"/>
          <w:b w:val="0"/>
          <w:bCs w:val="0"/>
          <w:color w:val="auto"/>
          <w:kern w:val="2"/>
          <w:sz w:val="24"/>
          <w:szCs w:val="24"/>
          <w:highlight w:val="none"/>
          <w:lang w:val="en-US" w:eastAsia="zh-CN"/>
        </w:rPr>
        <w:t>较为合理</w:t>
      </w:r>
      <w:r>
        <w:rPr>
          <w:rFonts w:hint="eastAsia" w:ascii="宋体" w:hAnsi="宋体" w:eastAsia="宋体" w:cs="Times New Roman"/>
          <w:b w:val="0"/>
          <w:bCs w:val="0"/>
          <w:color w:val="auto"/>
          <w:kern w:val="2"/>
          <w:sz w:val="24"/>
          <w:szCs w:val="24"/>
          <w:highlight w:val="none"/>
        </w:rPr>
        <w:t>、基本满足采购需求且有逻辑性的得</w:t>
      </w:r>
      <w:r>
        <w:rPr>
          <w:rFonts w:hint="eastAsia" w:ascii="Times New Roman" w:hAnsi="Times New Roman" w:eastAsia="宋体" w:cs="Times New Roman"/>
          <w:b w:val="0"/>
          <w:bCs w:val="0"/>
          <w:color w:val="auto"/>
          <w:kern w:val="2"/>
          <w:sz w:val="24"/>
          <w:szCs w:val="24"/>
          <w:highlight w:val="none"/>
          <w:lang w:val="en-US" w:eastAsia="zh-CN"/>
        </w:rPr>
        <w:t>2</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72A0B4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kern w:val="2"/>
          <w:sz w:val="24"/>
          <w:szCs w:val="24"/>
          <w:highlight w:val="none"/>
          <w:lang w:eastAsia="zh-CN"/>
        </w:rPr>
      </w:pPr>
      <w:r>
        <w:rPr>
          <w:rFonts w:hint="eastAsia" w:ascii="宋体" w:hAnsi="宋体" w:eastAsia="宋体" w:cs="Times New Roman"/>
          <w:b w:val="0"/>
          <w:bCs w:val="0"/>
          <w:color w:val="auto"/>
          <w:kern w:val="2"/>
          <w:sz w:val="24"/>
          <w:szCs w:val="24"/>
          <w:highlight w:val="none"/>
        </w:rPr>
        <w:t>实验室质控措施</w:t>
      </w:r>
      <w:r>
        <w:rPr>
          <w:rFonts w:hint="eastAsia" w:ascii="宋体" w:hAnsi="宋体" w:eastAsia="宋体" w:cs="Times New Roman"/>
          <w:b w:val="0"/>
          <w:bCs w:val="0"/>
          <w:color w:val="auto"/>
          <w:kern w:val="2"/>
          <w:sz w:val="24"/>
          <w:szCs w:val="24"/>
          <w:highlight w:val="none"/>
          <w:lang w:val="en-US" w:eastAsia="zh-CN"/>
        </w:rPr>
        <w:t>简单且存在一些瑕疵</w:t>
      </w:r>
      <w:r>
        <w:rPr>
          <w:rFonts w:hint="eastAsia" w:ascii="宋体" w:hAnsi="宋体" w:eastAsia="宋体" w:cs="Times New Roman"/>
          <w:b w:val="0"/>
          <w:bCs w:val="0"/>
          <w:color w:val="auto"/>
          <w:kern w:val="2"/>
          <w:sz w:val="24"/>
          <w:szCs w:val="24"/>
          <w:highlight w:val="none"/>
        </w:rPr>
        <w:t>的得</w:t>
      </w:r>
      <w:r>
        <w:rPr>
          <w:rFonts w:hint="eastAsia" w:ascii="Times New Roman" w:hAnsi="Times New Roman" w:eastAsia="宋体" w:cs="Times New Roman"/>
          <w:b w:val="0"/>
          <w:bCs w:val="0"/>
          <w:color w:val="auto"/>
          <w:kern w:val="2"/>
          <w:sz w:val="24"/>
          <w:szCs w:val="24"/>
          <w:highlight w:val="none"/>
          <w:lang w:val="en-US" w:eastAsia="zh-CN"/>
        </w:rPr>
        <w:t>1</w:t>
      </w:r>
      <w:r>
        <w:rPr>
          <w:rFonts w:hint="eastAsia" w:ascii="宋体" w:hAnsi="宋体" w:eastAsia="宋体" w:cs="Times New Roman"/>
          <w:b w:val="0"/>
          <w:bCs w:val="0"/>
          <w:color w:val="auto"/>
          <w:kern w:val="2"/>
          <w:sz w:val="24"/>
          <w:szCs w:val="24"/>
          <w:highlight w:val="none"/>
        </w:rPr>
        <w:t>分</w:t>
      </w:r>
      <w:r>
        <w:rPr>
          <w:rFonts w:hint="eastAsia" w:ascii="宋体" w:hAnsi="宋体" w:eastAsia="宋体" w:cs="Times New Roman"/>
          <w:b w:val="0"/>
          <w:bCs w:val="0"/>
          <w:color w:val="auto"/>
          <w:kern w:val="2"/>
          <w:sz w:val="24"/>
          <w:szCs w:val="24"/>
          <w:highlight w:val="none"/>
          <w:lang w:eastAsia="zh-CN"/>
        </w:rPr>
        <w:t>，</w:t>
      </w:r>
    </w:p>
    <w:p w14:paraId="2A9A1A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zh-TW"/>
        </w:rPr>
      </w:pPr>
      <w:r>
        <w:rPr>
          <w:rFonts w:hint="eastAsia" w:ascii="宋体" w:hAnsi="宋体" w:eastAsia="宋体" w:cs="宋体"/>
          <w:b w:val="0"/>
          <w:bCs w:val="0"/>
          <w:color w:val="auto"/>
          <w:kern w:val="2"/>
          <w:sz w:val="24"/>
          <w:szCs w:val="24"/>
          <w:highlight w:val="none"/>
          <w:lang w:val="en-US" w:eastAsia="zh-CN" w:bidi="zh-TW"/>
        </w:rPr>
        <w:t>无</w:t>
      </w:r>
      <w:r>
        <w:rPr>
          <w:rFonts w:hint="eastAsia" w:ascii="宋体" w:hAnsi="宋体" w:eastAsia="宋体" w:cs="宋体"/>
          <w:b w:val="0"/>
          <w:bCs w:val="0"/>
          <w:color w:val="auto"/>
          <w:kern w:val="2"/>
          <w:sz w:val="24"/>
          <w:szCs w:val="24"/>
          <w:highlight w:val="none"/>
          <w:lang w:val="zh-TW" w:eastAsia="zh-TW" w:bidi="zh-TW"/>
        </w:rPr>
        <w:t>实验室质控措施</w:t>
      </w:r>
      <w:r>
        <w:rPr>
          <w:rFonts w:hint="eastAsia" w:ascii="宋体" w:hAnsi="宋体" w:eastAsia="宋体" w:cs="宋体"/>
          <w:b w:val="0"/>
          <w:bCs w:val="0"/>
          <w:color w:val="auto"/>
          <w:kern w:val="2"/>
          <w:sz w:val="24"/>
          <w:szCs w:val="24"/>
          <w:highlight w:val="none"/>
          <w:lang w:val="en-US" w:eastAsia="zh-CN" w:bidi="zh-TW"/>
        </w:rPr>
        <w:t>或</w:t>
      </w:r>
      <w:r>
        <w:rPr>
          <w:rFonts w:hint="eastAsia" w:ascii="宋体" w:hAnsi="宋体" w:eastAsia="宋体" w:cs="宋体"/>
          <w:b w:val="0"/>
          <w:bCs w:val="0"/>
          <w:color w:val="auto"/>
          <w:kern w:val="2"/>
          <w:sz w:val="24"/>
          <w:szCs w:val="24"/>
          <w:highlight w:val="none"/>
          <w:lang w:val="zh-TW" w:eastAsia="zh-TW" w:bidi="zh-TW"/>
        </w:rPr>
        <w:t>存在逻辑错误、前后矛盾，或存在违反现行相关规范的</w:t>
      </w:r>
      <w:r>
        <w:rPr>
          <w:rFonts w:hint="eastAsia" w:ascii="宋体" w:hAnsi="宋体" w:eastAsia="宋体" w:cs="宋体"/>
          <w:b w:val="0"/>
          <w:bCs w:val="0"/>
          <w:color w:val="auto"/>
          <w:kern w:val="2"/>
          <w:sz w:val="24"/>
          <w:szCs w:val="24"/>
          <w:highlight w:val="none"/>
          <w:lang w:val="en-US" w:eastAsia="zh-CN" w:bidi="zh-TW"/>
        </w:rPr>
        <w:t>不得分。</w:t>
      </w:r>
    </w:p>
    <w:p w14:paraId="0C501183">
      <w:pPr>
        <w:widowControl w:val="0"/>
        <w:spacing w:line="360" w:lineRule="auto"/>
        <w:ind w:firstLine="482" w:firstLineChars="200"/>
        <w:jc w:val="both"/>
        <w:rPr>
          <w:rFonts w:hint="eastAsia" w:ascii="Calibri" w:hAnsi="Calibri" w:eastAsia="宋体" w:cs="Times New Roman"/>
          <w:b/>
          <w:bCs/>
          <w:color w:val="auto"/>
          <w:kern w:val="2"/>
          <w:sz w:val="24"/>
          <w:szCs w:val="22"/>
          <w:highlight w:val="none"/>
          <w:lang w:val="en-US" w:eastAsia="zh-CN" w:bidi="ar-SA"/>
        </w:rPr>
      </w:pPr>
      <w:r>
        <w:rPr>
          <w:rFonts w:hint="eastAsia" w:ascii="Calibri" w:hAnsi="Calibri" w:eastAsia="宋体" w:cs="Times New Roman"/>
          <w:b/>
          <w:bCs/>
          <w:color w:val="auto"/>
          <w:kern w:val="2"/>
          <w:sz w:val="24"/>
          <w:szCs w:val="22"/>
          <w:highlight w:val="none"/>
          <w:lang w:val="en-US" w:eastAsia="zh-CN" w:bidi="ar-SA"/>
        </w:rPr>
        <w:t>4）供应商的冷链运输体系及服务说明（6分）</w:t>
      </w:r>
    </w:p>
    <w:p w14:paraId="1E72A9F5">
      <w:pPr>
        <w:autoSpaceDE w:val="0"/>
        <w:autoSpaceDN w:val="0"/>
        <w:adjustRightIn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具有完整的冷链运输体系，服务说明</w:t>
      </w:r>
      <w:r>
        <w:rPr>
          <w:rFonts w:hint="eastAsia" w:ascii="宋体" w:hAnsi="宋体" w:eastAsia="宋体" w:cs="宋体"/>
          <w:color w:val="auto"/>
          <w:kern w:val="2"/>
          <w:sz w:val="24"/>
          <w:szCs w:val="24"/>
          <w:highlight w:val="none"/>
        </w:rPr>
        <w:t>内容全面，科学有效，针对性强，得</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p w14:paraId="1989510C">
      <w:pPr>
        <w:autoSpaceDE w:val="0"/>
        <w:autoSpaceDN w:val="0"/>
        <w:adjustRightIn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冷链运输体系较为完善，服务说明</w:t>
      </w:r>
      <w:r>
        <w:rPr>
          <w:rFonts w:hint="eastAsia" w:ascii="宋体" w:hAnsi="宋体" w:eastAsia="宋体" w:cs="宋体"/>
          <w:color w:val="auto"/>
          <w:kern w:val="2"/>
          <w:sz w:val="24"/>
          <w:szCs w:val="24"/>
          <w:highlight w:val="none"/>
        </w:rPr>
        <w:t>内容全面性、科学性、有效性有欠缺，针对性不强，需进一步修改完善，得</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p>
    <w:p w14:paraId="7C8882E8">
      <w:pPr>
        <w:autoSpaceDE w:val="0"/>
        <w:autoSpaceDN w:val="0"/>
        <w:adjustRightIn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冷链运输体系有所欠缺，服务说明</w:t>
      </w:r>
      <w:r>
        <w:rPr>
          <w:rFonts w:hint="eastAsia" w:ascii="宋体" w:hAnsi="宋体" w:eastAsia="宋体" w:cs="宋体"/>
          <w:color w:val="auto"/>
          <w:kern w:val="2"/>
          <w:sz w:val="24"/>
          <w:szCs w:val="24"/>
          <w:highlight w:val="none"/>
        </w:rPr>
        <w:t>内容缺乏针对性、</w:t>
      </w:r>
      <w:r>
        <w:rPr>
          <w:rFonts w:hint="eastAsia" w:ascii="宋体" w:hAnsi="宋体" w:eastAsia="宋体" w:cs="宋体"/>
          <w:color w:val="auto"/>
          <w:kern w:val="2"/>
          <w:sz w:val="24"/>
          <w:szCs w:val="24"/>
          <w:highlight w:val="none"/>
          <w:lang w:val="en-US" w:eastAsia="zh-CN"/>
        </w:rPr>
        <w:t>仍需完善</w:t>
      </w:r>
      <w:r>
        <w:rPr>
          <w:rFonts w:hint="eastAsia" w:ascii="宋体" w:hAnsi="宋体" w:eastAsia="宋体" w:cs="宋体"/>
          <w:color w:val="auto"/>
          <w:kern w:val="2"/>
          <w:sz w:val="24"/>
          <w:szCs w:val="24"/>
          <w:highlight w:val="none"/>
        </w:rPr>
        <w:t>的得</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p>
    <w:p w14:paraId="630C308A">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其他或未提供的不得分。</w:t>
      </w:r>
    </w:p>
    <w:p w14:paraId="458A4F8F">
      <w:pPr>
        <w:widowControl w:val="0"/>
        <w:numPr>
          <w:ilvl w:val="0"/>
          <w:numId w:val="16"/>
        </w:numPr>
        <w:spacing w:line="360" w:lineRule="auto"/>
        <w:ind w:firstLine="482" w:firstLineChars="200"/>
        <w:jc w:val="both"/>
        <w:rPr>
          <w:rFonts w:hint="eastAsia" w:ascii="Calibri" w:hAnsi="Calibri" w:eastAsia="宋体" w:cs="Times New Roman"/>
          <w:b/>
          <w:bCs/>
          <w:color w:val="auto"/>
          <w:kern w:val="2"/>
          <w:sz w:val="24"/>
          <w:szCs w:val="22"/>
          <w:highlight w:val="none"/>
          <w:lang w:val="en-US" w:eastAsia="zh-CN" w:bidi="ar-SA"/>
        </w:rPr>
      </w:pPr>
      <w:r>
        <w:rPr>
          <w:rFonts w:hint="eastAsia" w:ascii="Calibri" w:hAnsi="Calibri" w:eastAsia="宋体" w:cs="Times New Roman"/>
          <w:b/>
          <w:bCs/>
          <w:color w:val="auto"/>
          <w:kern w:val="2"/>
          <w:sz w:val="24"/>
          <w:szCs w:val="22"/>
          <w:highlight w:val="none"/>
          <w:lang w:val="en-US" w:eastAsia="zh-CN" w:bidi="ar-SA"/>
        </w:rPr>
        <w:t>供应商的信息化服务方案（6分）</w:t>
      </w:r>
    </w:p>
    <w:p w14:paraId="2CF817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信息化服务方案</w:t>
      </w:r>
      <w:r>
        <w:rPr>
          <w:rFonts w:hint="eastAsia" w:ascii="宋体" w:hAnsi="宋体" w:eastAsia="宋体" w:cs="宋体"/>
          <w:color w:val="auto"/>
          <w:kern w:val="2"/>
          <w:sz w:val="24"/>
          <w:szCs w:val="24"/>
          <w:highlight w:val="none"/>
        </w:rPr>
        <w:t>科学合理、可操作性强，切合项目实际的得</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p w14:paraId="1DA951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信息化服务方案</w:t>
      </w:r>
      <w:r>
        <w:rPr>
          <w:rFonts w:hint="eastAsia" w:ascii="宋体" w:hAnsi="宋体" w:eastAsia="宋体" w:cs="宋体"/>
          <w:color w:val="auto"/>
          <w:kern w:val="2"/>
          <w:sz w:val="24"/>
          <w:szCs w:val="24"/>
          <w:highlight w:val="none"/>
        </w:rPr>
        <w:t>阐述合理，部分内容表述有所欠缺，但总体符合项目实际、基本具有可操作性的得</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p>
    <w:p w14:paraId="7A8D48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信息化服务方案</w:t>
      </w:r>
      <w:r>
        <w:rPr>
          <w:rFonts w:hint="eastAsia" w:ascii="宋体" w:hAnsi="宋体" w:eastAsia="宋体" w:cs="宋体"/>
          <w:color w:val="auto"/>
          <w:kern w:val="2"/>
          <w:sz w:val="24"/>
          <w:szCs w:val="24"/>
          <w:highlight w:val="none"/>
        </w:rPr>
        <w:t>与本项目实际情况存在一定偏差，但内容总体合理的得</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p>
    <w:p w14:paraId="61C998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未提供方案或方案不合理的本项不得分。</w:t>
      </w:r>
    </w:p>
    <w:p w14:paraId="19AEEF16">
      <w:pPr>
        <w:widowControl w:val="0"/>
        <w:spacing w:line="360" w:lineRule="auto"/>
        <w:ind w:firstLine="482" w:firstLineChars="200"/>
        <w:jc w:val="both"/>
        <w:rPr>
          <w:rFonts w:hint="eastAsia" w:ascii="Calibri" w:hAnsi="Calibri" w:eastAsia="宋体" w:cs="Times New Roman"/>
          <w:b/>
          <w:bCs/>
          <w:color w:val="auto"/>
          <w:kern w:val="2"/>
          <w:sz w:val="24"/>
          <w:szCs w:val="22"/>
          <w:highlight w:val="none"/>
          <w:lang w:val="en-US" w:eastAsia="zh-CN" w:bidi="ar-SA"/>
        </w:rPr>
      </w:pPr>
      <w:r>
        <w:rPr>
          <w:rFonts w:hint="eastAsia" w:ascii="Calibri" w:hAnsi="Calibri" w:eastAsia="宋体" w:cs="Times New Roman"/>
          <w:b/>
          <w:bCs/>
          <w:color w:val="auto"/>
          <w:kern w:val="2"/>
          <w:sz w:val="24"/>
          <w:szCs w:val="22"/>
          <w:highlight w:val="none"/>
          <w:lang w:val="en-US" w:eastAsia="zh-CN" w:bidi="ar-SA"/>
        </w:rPr>
        <w:t>6）提供遇突发事件、应急事件的保证措施（6分）</w:t>
      </w:r>
    </w:p>
    <w:p w14:paraId="69B6FCC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针对本项目</w:t>
      </w:r>
      <w:r>
        <w:rPr>
          <w:rFonts w:hint="eastAsia" w:ascii="宋体" w:hAnsi="宋体" w:eastAsia="宋体" w:cs="宋体"/>
          <w:color w:val="auto"/>
          <w:kern w:val="2"/>
          <w:sz w:val="24"/>
          <w:szCs w:val="24"/>
          <w:highlight w:val="none"/>
          <w:lang w:val="en-US" w:eastAsia="zh-CN"/>
        </w:rPr>
        <w:t>突发事件、应急事件的保证措施</w:t>
      </w:r>
      <w:r>
        <w:rPr>
          <w:rFonts w:hint="eastAsia" w:ascii="宋体" w:hAnsi="宋体" w:eastAsia="宋体" w:cs="宋体"/>
          <w:color w:val="auto"/>
          <w:kern w:val="2"/>
          <w:sz w:val="24"/>
          <w:szCs w:val="24"/>
          <w:highlight w:val="none"/>
        </w:rPr>
        <w:t>详细完整该项可得</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p w14:paraId="529243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针对本项目</w:t>
      </w:r>
      <w:r>
        <w:rPr>
          <w:rFonts w:hint="eastAsia" w:ascii="宋体" w:hAnsi="宋体" w:eastAsia="宋体" w:cs="宋体"/>
          <w:color w:val="auto"/>
          <w:kern w:val="2"/>
          <w:sz w:val="24"/>
          <w:szCs w:val="24"/>
          <w:highlight w:val="none"/>
          <w:lang w:val="en-US" w:eastAsia="zh-CN"/>
        </w:rPr>
        <w:t>突发事件、应急事件的保证措施</w:t>
      </w:r>
      <w:r>
        <w:rPr>
          <w:rFonts w:hint="eastAsia" w:ascii="宋体" w:hAnsi="宋体" w:eastAsia="宋体" w:cs="宋体"/>
          <w:color w:val="auto"/>
          <w:kern w:val="2"/>
          <w:sz w:val="24"/>
          <w:szCs w:val="24"/>
          <w:highlight w:val="none"/>
        </w:rPr>
        <w:t>一般该项可得</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p>
    <w:p w14:paraId="2FDCD2D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宋体" w:hAnsi="宋体" w:eastAsia="宋体" w:cs="宋体"/>
          <w:color w:val="auto"/>
          <w:kern w:val="2"/>
          <w:sz w:val="24"/>
          <w:szCs w:val="28"/>
          <w:highlight w:val="none"/>
          <w:lang w:val="en-US" w:eastAsia="zh-CN" w:bidi="ar-SA"/>
        </w:rPr>
      </w:pPr>
      <w:r>
        <w:rPr>
          <w:rFonts w:hint="eastAsia" w:ascii="宋体" w:hAnsi="宋体" w:eastAsia="宋体" w:cs="宋体"/>
          <w:color w:val="auto"/>
          <w:kern w:val="2"/>
          <w:sz w:val="24"/>
          <w:szCs w:val="28"/>
          <w:highlight w:val="none"/>
          <w:lang w:val="en-US" w:eastAsia="zh-CN" w:bidi="ar-SA"/>
        </w:rPr>
        <w:t>针对本项目日常和突发事件、应急事件的保证措施简单粗糙，该项可得2分；</w:t>
      </w:r>
    </w:p>
    <w:p w14:paraId="5FF7F5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highlight w:val="none"/>
        </w:rPr>
        <w:t>针对本项的日常和突发事件</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应急事件的保证措施不尽合理或未提供任何执行方案该项不得分；</w:t>
      </w:r>
      <w:r>
        <w:rPr>
          <w:rFonts w:hint="eastAsia" w:ascii="宋体" w:hAnsi="宋体" w:eastAsia="宋体" w:cs="宋体"/>
          <w:color w:val="auto"/>
          <w:kern w:val="0"/>
          <w:sz w:val="24"/>
          <w:szCs w:val="24"/>
          <w:highlight w:val="none"/>
        </w:rPr>
        <w:t xml:space="preserve"> </w:t>
      </w:r>
    </w:p>
    <w:p w14:paraId="1EBCA8A4">
      <w:pPr>
        <w:widowControl w:val="0"/>
        <w:spacing w:line="360" w:lineRule="auto"/>
        <w:ind w:firstLine="482" w:firstLineChars="200"/>
        <w:jc w:val="both"/>
        <w:rPr>
          <w:rFonts w:hint="eastAsia" w:ascii="Calibri" w:hAnsi="Calibri" w:eastAsia="宋体" w:cs="Times New Roman"/>
          <w:b/>
          <w:bCs/>
          <w:color w:val="auto"/>
          <w:kern w:val="2"/>
          <w:sz w:val="24"/>
          <w:szCs w:val="22"/>
          <w:highlight w:val="none"/>
          <w:lang w:val="en-US" w:eastAsia="zh-CN" w:bidi="ar-SA"/>
        </w:rPr>
      </w:pPr>
      <w:r>
        <w:rPr>
          <w:rFonts w:hint="eastAsia" w:ascii="Calibri" w:hAnsi="Calibri" w:eastAsia="宋体" w:cs="Times New Roman"/>
          <w:b/>
          <w:bCs/>
          <w:color w:val="auto"/>
          <w:kern w:val="2"/>
          <w:sz w:val="24"/>
          <w:szCs w:val="22"/>
          <w:highlight w:val="none"/>
          <w:lang w:val="en-US" w:eastAsia="zh-CN" w:bidi="ar-SA"/>
        </w:rPr>
        <w:t>7）供应商针对本项目的其他优惠条件和增值服务（6分）</w:t>
      </w:r>
    </w:p>
    <w:p w14:paraId="0B41B42A">
      <w:pPr>
        <w:widowControl w:val="0"/>
        <w:spacing w:line="360" w:lineRule="auto"/>
        <w:ind w:firstLine="240" w:firstLineChars="100"/>
        <w:jc w:val="both"/>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增值服务方案科学合理、可操作性强，切合项目实际的得6分；</w:t>
      </w:r>
    </w:p>
    <w:p w14:paraId="5A3F4D12">
      <w:pPr>
        <w:widowControl w:val="0"/>
        <w:spacing w:line="360" w:lineRule="auto"/>
        <w:ind w:firstLine="240" w:firstLineChars="100"/>
        <w:jc w:val="both"/>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增值服务方案阐述合理，部分内容表述有所欠缺，但总体符合项目实际、基本具有可操作性的得4分；</w:t>
      </w:r>
    </w:p>
    <w:p w14:paraId="23D20379">
      <w:pPr>
        <w:widowControl w:val="0"/>
        <w:spacing w:line="360" w:lineRule="auto"/>
        <w:ind w:firstLine="240" w:firstLineChars="100"/>
        <w:jc w:val="both"/>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增值服务方案与本项目实际情况存在一定偏差，但内容总体合理的得2分；</w:t>
      </w:r>
    </w:p>
    <w:p w14:paraId="1C140372">
      <w:pPr>
        <w:widowControl w:val="0"/>
        <w:spacing w:line="360" w:lineRule="auto"/>
        <w:ind w:firstLine="240" w:firstLineChars="100"/>
        <w:jc w:val="both"/>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未提供方案或方案不合理的本项不得分。</w:t>
      </w:r>
    </w:p>
    <w:p w14:paraId="7222D963">
      <w:pPr>
        <w:spacing w:line="360" w:lineRule="auto"/>
        <w:ind w:firstLine="480"/>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p>
    <w:p w14:paraId="60485967">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bookmarkEnd w:id="148"/>
      <w:bookmarkEnd w:id="149"/>
      <w:r>
        <w:rPr>
          <w:rFonts w:hint="eastAsia" w:ascii="黑体" w:eastAsia="黑体"/>
          <w:bCs/>
          <w:color w:val="auto"/>
          <w:sz w:val="36"/>
          <w:szCs w:val="36"/>
          <w:highlight w:val="none"/>
        </w:rPr>
        <w:t>投标文件内容与格式</w:t>
      </w:r>
    </w:p>
    <w:p w14:paraId="501A781A">
      <w:pPr>
        <w:pStyle w:val="405"/>
        <w:spacing w:before="0" w:after="0"/>
        <w:ind w:firstLine="602"/>
        <w:rPr>
          <w:rFonts w:cs="Arial"/>
          <w:b/>
          <w:color w:val="auto"/>
          <w:sz w:val="30"/>
          <w:szCs w:val="30"/>
          <w:highlight w:val="none"/>
        </w:rPr>
      </w:pPr>
      <w:bookmarkStart w:id="150" w:name="_Hlt26955039"/>
      <w:bookmarkEnd w:id="150"/>
      <w:bookmarkStart w:id="151" w:name="_Hlt26671244"/>
      <w:bookmarkEnd w:id="151"/>
      <w:r>
        <w:rPr>
          <w:rFonts w:hint="eastAsia" w:cs="Arial"/>
          <w:b/>
          <w:color w:val="auto"/>
          <w:sz w:val="30"/>
          <w:szCs w:val="30"/>
          <w:highlight w:val="none"/>
        </w:rPr>
        <w:t>第一部分投标文件内容</w:t>
      </w:r>
    </w:p>
    <w:p w14:paraId="3C35413D">
      <w:pPr>
        <w:pStyle w:val="405"/>
        <w:spacing w:before="0" w:after="0"/>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0689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485E3D3">
            <w:pPr>
              <w:pStyle w:val="405"/>
              <w:spacing w:before="0" w:after="0"/>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78FE0398">
            <w:pPr>
              <w:pStyle w:val="405"/>
              <w:spacing w:before="0" w:after="0"/>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5567A959">
            <w:pPr>
              <w:pStyle w:val="405"/>
              <w:spacing w:before="0" w:after="0"/>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51E83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3B7A4FDA">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244EB02">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6294D4FE">
            <w:pPr>
              <w:pStyle w:val="405"/>
              <w:spacing w:before="0" w:after="0"/>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76E0B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767926B4">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6437A184">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0B137B7E">
            <w:pPr>
              <w:pStyle w:val="405"/>
              <w:spacing w:before="0" w:after="0" w:line="240" w:lineRule="auto"/>
              <w:ind w:firstLine="0"/>
              <w:rPr>
                <w:rFonts w:ascii="宋体" w:hAnsi="宋体" w:cs="宋体"/>
                <w:color w:val="auto"/>
                <w:highlight w:val="none"/>
              </w:rPr>
            </w:pPr>
          </w:p>
        </w:tc>
      </w:tr>
      <w:tr w14:paraId="7B163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017C6142">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221485E3">
            <w:pPr>
              <w:tabs>
                <w:tab w:val="left" w:pos="420"/>
                <w:tab w:val="left" w:pos="945"/>
                <w:tab w:val="left" w:pos="1155"/>
              </w:tabs>
              <w:spacing w:line="360" w:lineRule="auto"/>
              <w:rPr>
                <w:rFonts w:ascii="宋体" w:hAnsi="宋体" w:cs="宋体"/>
                <w:color w:val="auto"/>
                <w:highlight w:val="none"/>
              </w:rPr>
            </w:pP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具有与本企业签订的劳动合同或供应商为其缴纳的由相关部门出具的近</w:t>
            </w:r>
            <w:r>
              <w:rPr>
                <w:rFonts w:hint="eastAsia" w:ascii="宋体" w:hAnsi="宋体" w:eastAsia="宋体" w:cs="宋体"/>
                <w:bCs/>
                <w:color w:val="auto"/>
                <w:sz w:val="24"/>
                <w:highlight w:val="none"/>
                <w:lang w:eastAsia="zh-CN"/>
              </w:rPr>
              <w:t>六个月</w:t>
            </w:r>
            <w:r>
              <w:rPr>
                <w:rFonts w:hint="eastAsia" w:ascii="宋体" w:hAnsi="宋体" w:cs="宋体"/>
                <w:bCs/>
                <w:color w:val="auto"/>
                <w:sz w:val="24"/>
                <w:highlight w:val="none"/>
              </w:rPr>
              <w:t>中任意一个月份（不含投标当月）的社保缴费证明（新成立的企业若不满足</w:t>
            </w:r>
            <w:r>
              <w:rPr>
                <w:rFonts w:hint="eastAsia" w:ascii="宋体" w:hAnsi="宋体" w:eastAsia="宋体" w:cs="宋体"/>
                <w:bCs/>
                <w:color w:val="auto"/>
                <w:sz w:val="24"/>
                <w:highlight w:val="none"/>
                <w:lang w:eastAsia="zh-CN"/>
              </w:rPr>
              <w:t>六个月</w:t>
            </w:r>
            <w:r>
              <w:rPr>
                <w:rFonts w:hint="eastAsia" w:ascii="宋体" w:hAnsi="宋体" w:cs="宋体"/>
                <w:bCs/>
                <w:color w:val="auto"/>
                <w:sz w:val="24"/>
                <w:highlight w:val="none"/>
              </w:rPr>
              <w:t>，提供成立之后</w:t>
            </w:r>
            <w:r>
              <w:rPr>
                <w:rFonts w:hint="eastAsia" w:ascii="宋体" w:hAnsi="宋体" w:eastAsia="宋体" w:cs="宋体"/>
                <w:bCs/>
                <w:color w:val="auto"/>
                <w:sz w:val="24"/>
                <w:highlight w:val="none"/>
              </w:rPr>
              <w:t>被授权人</w:t>
            </w:r>
            <w:r>
              <w:rPr>
                <w:rFonts w:hint="eastAsia" w:ascii="宋体" w:hAnsi="宋体"/>
                <w:bCs/>
                <w:color w:val="auto"/>
                <w:sz w:val="24"/>
                <w:highlight w:val="none"/>
              </w:rPr>
              <w:t>）</w:t>
            </w:r>
            <w:r>
              <w:rPr>
                <w:rFonts w:hint="eastAsia" w:ascii="宋体" w:hAnsi="宋体" w:cs="宋体"/>
                <w:bCs/>
                <w:color w:val="auto"/>
                <w:sz w:val="24"/>
                <w:highlight w:val="none"/>
              </w:rPr>
              <w:t>相关月份的社保缴费证明）；</w:t>
            </w:r>
          </w:p>
        </w:tc>
        <w:tc>
          <w:tcPr>
            <w:tcW w:w="2449" w:type="dxa"/>
            <w:vMerge w:val="continue"/>
            <w:noWrap w:val="0"/>
            <w:vAlign w:val="center"/>
          </w:tcPr>
          <w:p w14:paraId="132514E9">
            <w:pPr>
              <w:pStyle w:val="405"/>
              <w:spacing w:before="0" w:after="0" w:line="240" w:lineRule="auto"/>
              <w:ind w:firstLine="0"/>
              <w:rPr>
                <w:rFonts w:ascii="宋体" w:hAnsi="宋体" w:cs="宋体"/>
                <w:color w:val="auto"/>
                <w:highlight w:val="none"/>
              </w:rPr>
            </w:pPr>
          </w:p>
        </w:tc>
      </w:tr>
      <w:tr w14:paraId="2EC6A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2A0A06A7">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7E6580F0">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eastAsia="zh-CN"/>
              </w:rPr>
              <w:t>六个月</w:t>
            </w:r>
            <w:r>
              <w:rPr>
                <w:rFonts w:hint="eastAsia" w:ascii="宋体" w:hAnsi="宋体" w:cs="宋体"/>
                <w:color w:val="auto"/>
                <w:highlight w:val="none"/>
              </w:rPr>
              <w:t>中任意一个月份（不含投标当月）的财务状况报告（资产负债表和利润表）或由会计师事务所出具的202</w:t>
            </w:r>
            <w:r>
              <w:rPr>
                <w:rFonts w:hint="eastAsia" w:ascii="宋体" w:hAnsi="宋体" w:cs="宋体"/>
                <w:color w:val="auto"/>
                <w:highlight w:val="none"/>
                <w:lang w:val="en-US" w:eastAsia="zh-CN"/>
              </w:rPr>
              <w:t>4</w:t>
            </w:r>
            <w:r>
              <w:rPr>
                <w:rFonts w:hint="eastAsia" w:ascii="宋体" w:hAnsi="宋体" w:cs="宋体"/>
                <w:color w:val="auto"/>
                <w:highlight w:val="none"/>
              </w:rPr>
              <w:t>年度或202</w:t>
            </w:r>
            <w:r>
              <w:rPr>
                <w:rFonts w:hint="eastAsia" w:ascii="宋体" w:hAnsi="宋体" w:cs="宋体"/>
                <w:color w:val="auto"/>
                <w:highlight w:val="none"/>
                <w:lang w:val="en-US" w:eastAsia="zh-CN"/>
              </w:rPr>
              <w:t>5</w:t>
            </w:r>
            <w:r>
              <w:rPr>
                <w:rFonts w:hint="eastAsia" w:ascii="宋体" w:hAnsi="宋体" w:cs="宋体"/>
                <w:color w:val="auto"/>
                <w:highlight w:val="none"/>
              </w:rPr>
              <w:t>年度的审计报告（投标人如是自然人情形的，没有经审计的财务报告的，可以提供银行出具的资信证明）</w:t>
            </w:r>
            <w:r>
              <w:rPr>
                <w:rStyle w:val="100"/>
                <w:rFonts w:hint="eastAsia" w:ascii="宋体" w:hAnsi="宋体" w:cs="宋体"/>
                <w:color w:val="auto"/>
                <w:highlight w:val="none"/>
              </w:rPr>
              <w:t>。</w:t>
            </w:r>
          </w:p>
        </w:tc>
        <w:tc>
          <w:tcPr>
            <w:tcW w:w="2449" w:type="dxa"/>
            <w:vMerge w:val="continue"/>
            <w:noWrap w:val="0"/>
            <w:vAlign w:val="center"/>
          </w:tcPr>
          <w:p w14:paraId="65B2DF2B">
            <w:pPr>
              <w:pStyle w:val="405"/>
              <w:spacing w:before="0" w:after="0" w:line="240" w:lineRule="auto"/>
              <w:ind w:firstLine="0"/>
              <w:rPr>
                <w:rFonts w:ascii="宋体" w:hAnsi="宋体" w:cs="宋体"/>
                <w:color w:val="auto"/>
                <w:highlight w:val="none"/>
              </w:rPr>
            </w:pPr>
          </w:p>
        </w:tc>
      </w:tr>
      <w:tr w14:paraId="07E3F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2F8E5A65">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304CAB65">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eastAsia="zh-CN"/>
              </w:rPr>
              <w:t>六个月</w:t>
            </w:r>
            <w:r>
              <w:rPr>
                <w:rFonts w:hint="eastAsia" w:ascii="宋体" w:hAnsi="宋体" w:cs="宋体"/>
                <w:color w:val="auto"/>
                <w:highlight w:val="none"/>
              </w:rPr>
              <w:t>任意一个月份（不含投标当月）的依法缴纳税收的相关材料（提供相关主管部门证明或银行代扣证明）。</w:t>
            </w:r>
          </w:p>
        </w:tc>
        <w:tc>
          <w:tcPr>
            <w:tcW w:w="2449" w:type="dxa"/>
            <w:vMerge w:val="continue"/>
            <w:noWrap w:val="0"/>
            <w:vAlign w:val="center"/>
          </w:tcPr>
          <w:p w14:paraId="1DE6105F">
            <w:pPr>
              <w:pStyle w:val="405"/>
              <w:spacing w:before="0" w:after="0" w:line="240" w:lineRule="auto"/>
              <w:ind w:firstLine="0"/>
              <w:rPr>
                <w:rFonts w:ascii="宋体" w:hAnsi="宋体" w:cs="宋体"/>
                <w:color w:val="auto"/>
                <w:highlight w:val="none"/>
              </w:rPr>
            </w:pPr>
          </w:p>
        </w:tc>
      </w:tr>
      <w:tr w14:paraId="6DDE3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43A47A00">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0AA66A56">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eastAsia="zh-CN"/>
              </w:rPr>
              <w:t>六个月</w:t>
            </w:r>
            <w:r>
              <w:rPr>
                <w:rFonts w:hint="eastAsia" w:ascii="宋体" w:hAnsi="宋体" w:cs="宋体"/>
                <w:color w:val="auto"/>
                <w:highlight w:val="none"/>
              </w:rPr>
              <w:t>中任意一个月份（不含投标当月）的依法缴纳社会保障资金的相关材料（提供相关主管部门证明或银行代扣证明）。</w:t>
            </w:r>
          </w:p>
        </w:tc>
        <w:tc>
          <w:tcPr>
            <w:tcW w:w="2449" w:type="dxa"/>
            <w:vMerge w:val="continue"/>
            <w:noWrap w:val="0"/>
            <w:vAlign w:val="center"/>
          </w:tcPr>
          <w:p w14:paraId="0905B797">
            <w:pPr>
              <w:pStyle w:val="405"/>
              <w:spacing w:before="0" w:after="0" w:line="240" w:lineRule="auto"/>
              <w:ind w:firstLine="0"/>
              <w:rPr>
                <w:rFonts w:ascii="宋体" w:hAnsi="宋体" w:cs="宋体"/>
                <w:color w:val="auto"/>
                <w:highlight w:val="none"/>
              </w:rPr>
            </w:pPr>
          </w:p>
        </w:tc>
      </w:tr>
      <w:tr w14:paraId="5E6BF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174D1F15">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58E4640D">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52FB41C8">
            <w:pPr>
              <w:pStyle w:val="405"/>
              <w:spacing w:before="0" w:after="0" w:line="240" w:lineRule="auto"/>
              <w:ind w:firstLine="0"/>
              <w:rPr>
                <w:rFonts w:ascii="宋体" w:hAnsi="宋体" w:cs="宋体"/>
                <w:color w:val="auto"/>
                <w:highlight w:val="none"/>
              </w:rPr>
            </w:pPr>
          </w:p>
        </w:tc>
      </w:tr>
      <w:tr w14:paraId="005C6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719" w:type="dxa"/>
            <w:noWrap w:val="0"/>
            <w:vAlign w:val="center"/>
          </w:tcPr>
          <w:p w14:paraId="5DADE2AC">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8</w:t>
            </w:r>
          </w:p>
        </w:tc>
        <w:tc>
          <w:tcPr>
            <w:tcW w:w="6104" w:type="dxa"/>
            <w:noWrap w:val="0"/>
            <w:vAlign w:val="center"/>
          </w:tcPr>
          <w:p w14:paraId="2ABF231D">
            <w:pPr>
              <w:pStyle w:val="405"/>
              <w:spacing w:before="0" w:after="0"/>
              <w:ind w:firstLine="0"/>
              <w:rPr>
                <w:rFonts w:ascii="宋体" w:hAnsi="宋体" w:cs="宋体"/>
                <w:color w:val="auto"/>
                <w:highlight w:val="none"/>
              </w:rPr>
            </w:pPr>
            <w:r>
              <w:rPr>
                <w:rFonts w:hint="eastAsia" w:ascii="宋体" w:hAnsi="宋体" w:cs="宋体"/>
                <w:color w:val="auto"/>
                <w:highlight w:val="none"/>
              </w:rPr>
              <w:t>满足中小企业政策的证明文件。</w:t>
            </w:r>
          </w:p>
        </w:tc>
        <w:tc>
          <w:tcPr>
            <w:tcW w:w="2449" w:type="dxa"/>
            <w:noWrap w:val="0"/>
            <w:vAlign w:val="center"/>
          </w:tcPr>
          <w:p w14:paraId="31F07514">
            <w:pPr>
              <w:pStyle w:val="405"/>
              <w:spacing w:before="0" w:after="0"/>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2D9F5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719" w:type="dxa"/>
            <w:noWrap w:val="0"/>
            <w:vAlign w:val="center"/>
          </w:tcPr>
          <w:p w14:paraId="04A1A138">
            <w:pPr>
              <w:pStyle w:val="405"/>
              <w:spacing w:before="0" w:after="0"/>
              <w:ind w:firstLine="0"/>
              <w:jc w:val="center"/>
              <w:rPr>
                <w:rFonts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18F3C0B1">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Lines="0" w:beforeAutospacing="0" w:after="0" w:afterLines="0" w:afterAutospacing="0" w:line="360" w:lineRule="auto"/>
              <w:ind w:left="0" w:right="0" w:firstLine="480" w:firstLineChars="200"/>
              <w:jc w:val="left"/>
              <w:rPr>
                <w:rFonts w:hint="eastAsia" w:ascii="宋体" w:hAnsi="宋体" w:cs="宋体"/>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p w14:paraId="5E32A797">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Lines="0" w:beforeAutospacing="0" w:after="0" w:afterLines="0" w:afterAutospacing="0" w:line="360" w:lineRule="auto"/>
              <w:ind w:left="0" w:right="0"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1）供应商必须具备有效期内的医疗机构执业许可证复印件加盖公章，所列“诊疗科目”能承担本项目的服务内容；</w:t>
            </w:r>
          </w:p>
          <w:p w14:paraId="70A947AF">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Lines="0" w:beforeAutospacing="0" w:after="0" w:afterLines="0" w:afterAutospacing="0" w:line="360" w:lineRule="auto"/>
              <w:ind w:left="0" w:right="0" w:firstLine="480" w:firstLineChars="200"/>
              <w:jc w:val="left"/>
              <w:rPr>
                <w:rFonts w:ascii="宋体" w:hAnsi="宋体" w:cs="宋体"/>
                <w:bCs/>
                <w:color w:val="auto"/>
                <w:highlight w:val="none"/>
              </w:rPr>
            </w:pPr>
            <w:r>
              <w:rPr>
                <w:rFonts w:hint="eastAsia" w:ascii="宋体" w:hAnsi="宋体" w:eastAsia="宋体" w:cs="Times New Roman"/>
                <w:color w:val="auto"/>
                <w:kern w:val="2"/>
                <w:sz w:val="24"/>
                <w:szCs w:val="24"/>
                <w:highlight w:val="none"/>
                <w:lang w:val="en-US" w:eastAsia="zh-CN" w:bidi="ar-SA"/>
              </w:rPr>
              <w:t>2）具备国家卫健委（原卫生部、卫计委）或省级或省级委托市级临床检验中心核发的《临床基因扩增检验实验室—技术验收合格证书》或批准文件；</w:t>
            </w:r>
          </w:p>
        </w:tc>
        <w:tc>
          <w:tcPr>
            <w:tcW w:w="2449" w:type="dxa"/>
            <w:noWrap w:val="0"/>
            <w:vAlign w:val="center"/>
          </w:tcPr>
          <w:p w14:paraId="740E7ECE">
            <w:pPr>
              <w:pStyle w:val="405"/>
              <w:spacing w:before="0" w:after="0"/>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50B82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1ACA575E">
            <w:pPr>
              <w:pStyle w:val="405"/>
              <w:spacing w:before="0" w:after="0"/>
              <w:ind w:firstLine="0"/>
              <w:jc w:val="center"/>
              <w:rPr>
                <w:rFonts w:ascii="宋体" w:hAnsi="宋体" w:cs="宋体"/>
                <w:bCs/>
                <w:color w:val="auto"/>
                <w:highlight w:val="none"/>
              </w:rPr>
            </w:pPr>
            <w:r>
              <w:rPr>
                <w:rFonts w:hint="eastAsia" w:ascii="宋体" w:hAnsi="宋体" w:cs="宋体"/>
                <w:bCs/>
                <w:color w:val="auto"/>
                <w:highlight w:val="none"/>
              </w:rPr>
              <w:t>10</w:t>
            </w:r>
          </w:p>
        </w:tc>
        <w:tc>
          <w:tcPr>
            <w:tcW w:w="8553" w:type="dxa"/>
            <w:gridSpan w:val="2"/>
            <w:noWrap w:val="0"/>
            <w:vAlign w:val="center"/>
          </w:tcPr>
          <w:p w14:paraId="28682D15">
            <w:pPr>
              <w:pStyle w:val="405"/>
              <w:spacing w:before="0" w:after="0"/>
              <w:ind w:firstLine="0"/>
              <w:rPr>
                <w:rFonts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4E19C7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0FD6E374">
      <w:pPr>
        <w:numPr>
          <w:ilvl w:val="0"/>
          <w:numId w:val="17"/>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1～7项必须全部按要求提供（有给定格式的，必须按给定格式的要求正确填报并提供，相应格式见本章第二部分），否则投标文件无效。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28B86B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w:t>
      </w:r>
      <w:r>
        <w:rPr>
          <w:rFonts w:hint="eastAsia" w:ascii="宋体" w:hAnsi="宋体" w:eastAsia="宋体"/>
          <w:color w:val="auto"/>
          <w:sz w:val="24"/>
          <w:szCs w:val="24"/>
          <w:highlight w:val="none"/>
          <w:lang w:eastAsia="zh-CN"/>
        </w:rPr>
        <w:t>《中华人民共和国政府采购法实施条例释义》</w:t>
      </w:r>
      <w:r>
        <w:rPr>
          <w:rFonts w:hint="eastAsia" w:ascii="宋体" w:hAnsi="宋体"/>
          <w:color w:val="auto"/>
          <w:sz w:val="24"/>
          <w:szCs w:val="24"/>
          <w:highlight w:val="none"/>
        </w:rPr>
        <w:t>，法人的分支机构由于其不能独立承担民事责任，不能以分支机构的身份参加政府采购，只能以法人身份参加。但银行、保险、石油石化、电力、电信等有行业特殊情况的，可以分支机构参加政府采购和签订合同。</w:t>
      </w:r>
    </w:p>
    <w:p w14:paraId="406A4B6B">
      <w:pPr>
        <w:numPr>
          <w:ilvl w:val="0"/>
          <w:numId w:val="1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8项，如本项目落实政府采购政策需满足的资格要求中有中小企业政策要求的（详见第一章《投标邀请》），必须提供相应证明文件，否则投标文件无效。</w:t>
      </w:r>
    </w:p>
    <w:p w14:paraId="2425245B">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48BFDE96">
      <w:pPr>
        <w:numPr>
          <w:ilvl w:val="0"/>
          <w:numId w:val="1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9项，如本项目有特定资格要求的（详见第一章《投标邀请》），须提供相应的特定资格证明文件。</w:t>
      </w:r>
    </w:p>
    <w:p w14:paraId="3C0BE3FE">
      <w:pPr>
        <w:numPr>
          <w:ilvl w:val="0"/>
          <w:numId w:val="1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06834F1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中：第2、7项可由联合体主体单位（即联合体牵头人）代表联合体提供；第1、4、5、6、8（如有要求）、9（如有要求）项，联合体各方均须提供。</w:t>
      </w:r>
    </w:p>
    <w:p w14:paraId="58B48206">
      <w:pPr>
        <w:spacing w:line="360" w:lineRule="auto"/>
        <w:rPr>
          <w:b/>
          <w:bCs/>
          <w:color w:val="auto"/>
          <w:sz w:val="28"/>
          <w:szCs w:val="28"/>
          <w:highlight w:val="none"/>
        </w:rPr>
      </w:pPr>
    </w:p>
    <w:p w14:paraId="42C63D78">
      <w:pPr>
        <w:spacing w:line="360" w:lineRule="auto"/>
        <w:rPr>
          <w:b/>
          <w:bCs/>
          <w:color w:val="auto"/>
          <w:sz w:val="28"/>
          <w:szCs w:val="28"/>
          <w:highlight w:val="none"/>
        </w:rPr>
      </w:pPr>
    </w:p>
    <w:p w14:paraId="0D0E1458">
      <w:pPr>
        <w:spacing w:line="360" w:lineRule="auto"/>
        <w:rPr>
          <w:b/>
          <w:bCs/>
          <w:color w:val="auto"/>
          <w:sz w:val="28"/>
          <w:szCs w:val="28"/>
          <w:highlight w:val="none"/>
        </w:rPr>
      </w:pPr>
      <w:r>
        <w:rPr>
          <w:rFonts w:hint="eastAsia"/>
          <w:b/>
          <w:color w:val="auto"/>
          <w:sz w:val="28"/>
          <w:szCs w:val="28"/>
          <w:highlight w:val="none"/>
        </w:rPr>
        <w:t>二、符合性证明文件及其他证明文件</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A555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AF39CEC">
            <w:pPr>
              <w:pStyle w:val="405"/>
              <w:spacing w:before="0" w:after="0" w:line="240" w:lineRule="auto"/>
              <w:ind w:firstLine="0"/>
              <w:jc w:val="center"/>
              <w:rPr>
                <w:rFonts w:cs="Arial"/>
                <w:b/>
                <w:color w:val="auto"/>
                <w:highlight w:val="none"/>
              </w:rPr>
            </w:pPr>
            <w:r>
              <w:rPr>
                <w:rFonts w:hint="eastAsia" w:cs="Arial"/>
                <w:b/>
                <w:color w:val="auto"/>
                <w:highlight w:val="none"/>
              </w:rPr>
              <w:t>序号</w:t>
            </w:r>
          </w:p>
        </w:tc>
        <w:tc>
          <w:tcPr>
            <w:tcW w:w="6095" w:type="dxa"/>
            <w:noWrap w:val="0"/>
            <w:vAlign w:val="center"/>
          </w:tcPr>
          <w:p w14:paraId="07E23EE8">
            <w:pPr>
              <w:pStyle w:val="405"/>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313AB5A9">
            <w:pPr>
              <w:pStyle w:val="405"/>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7B3EC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A29DEB8">
            <w:pPr>
              <w:pStyle w:val="405"/>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362E35EB">
            <w:pPr>
              <w:pStyle w:val="405"/>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2D23D27C">
            <w:pPr>
              <w:pStyle w:val="405"/>
              <w:spacing w:before="0" w:after="0" w:line="240" w:lineRule="auto"/>
              <w:ind w:firstLine="0"/>
              <w:jc w:val="center"/>
              <w:rPr>
                <w:rFonts w:cs="Arial"/>
                <w:color w:val="auto"/>
                <w:highlight w:val="none"/>
              </w:rPr>
            </w:pPr>
            <w:r>
              <w:rPr>
                <w:rFonts w:hint="eastAsia" w:cs="Arial"/>
                <w:color w:val="auto"/>
                <w:highlight w:val="none"/>
              </w:rPr>
              <w:t>商务符合性</w:t>
            </w:r>
          </w:p>
        </w:tc>
      </w:tr>
      <w:tr w14:paraId="69015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2FC1BF6">
            <w:pPr>
              <w:pStyle w:val="405"/>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4571C798">
            <w:pPr>
              <w:pStyle w:val="405"/>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49F08365">
            <w:pPr>
              <w:pStyle w:val="405"/>
              <w:spacing w:before="0" w:after="0" w:line="240" w:lineRule="auto"/>
              <w:ind w:firstLine="0"/>
              <w:jc w:val="center"/>
              <w:rPr>
                <w:rFonts w:cs="Arial"/>
                <w:color w:val="auto"/>
                <w:highlight w:val="none"/>
              </w:rPr>
            </w:pPr>
          </w:p>
        </w:tc>
      </w:tr>
      <w:tr w14:paraId="06AB6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79A3E5E">
            <w:pPr>
              <w:pStyle w:val="405"/>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6095" w:type="dxa"/>
            <w:noWrap w:val="0"/>
            <w:vAlign w:val="center"/>
          </w:tcPr>
          <w:p w14:paraId="0158E9D1">
            <w:pPr>
              <w:pStyle w:val="405"/>
              <w:spacing w:before="0" w:after="0" w:line="24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979" w:type="dxa"/>
            <w:vMerge w:val="restart"/>
            <w:noWrap w:val="0"/>
            <w:vAlign w:val="center"/>
          </w:tcPr>
          <w:p w14:paraId="28A6F5C4">
            <w:pPr>
              <w:pStyle w:val="405"/>
              <w:spacing w:before="0" w:after="0" w:line="240" w:lineRule="auto"/>
              <w:ind w:firstLine="0"/>
              <w:jc w:val="center"/>
              <w:rPr>
                <w:rFonts w:cs="Arial"/>
                <w:color w:val="auto"/>
                <w:highlight w:val="none"/>
              </w:rPr>
            </w:pPr>
            <w:r>
              <w:rPr>
                <w:rFonts w:hint="eastAsia" w:cs="Arial"/>
                <w:color w:val="auto"/>
                <w:highlight w:val="none"/>
              </w:rPr>
              <w:t>报价符合性</w:t>
            </w:r>
          </w:p>
        </w:tc>
      </w:tr>
      <w:tr w14:paraId="7B90E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08B21DB">
            <w:pPr>
              <w:pStyle w:val="405"/>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6095" w:type="dxa"/>
            <w:noWrap w:val="0"/>
            <w:vAlign w:val="center"/>
          </w:tcPr>
          <w:p w14:paraId="162B71F2">
            <w:pPr>
              <w:pStyle w:val="405"/>
              <w:spacing w:before="0" w:after="0" w:line="24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14:paraId="572A9901">
            <w:pPr>
              <w:pStyle w:val="405"/>
              <w:spacing w:before="0" w:after="0" w:line="240" w:lineRule="auto"/>
              <w:ind w:firstLine="0"/>
              <w:jc w:val="center"/>
              <w:rPr>
                <w:rFonts w:cs="Arial"/>
                <w:color w:val="auto"/>
                <w:highlight w:val="none"/>
              </w:rPr>
            </w:pPr>
          </w:p>
        </w:tc>
      </w:tr>
      <w:tr w14:paraId="7ABD2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356C97B">
            <w:pPr>
              <w:pStyle w:val="405"/>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6095" w:type="dxa"/>
            <w:noWrap w:val="0"/>
            <w:vAlign w:val="center"/>
          </w:tcPr>
          <w:p w14:paraId="4A4FB56D">
            <w:pPr>
              <w:pStyle w:val="405"/>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4BDCB4B2">
            <w:pPr>
              <w:pStyle w:val="405"/>
              <w:spacing w:before="0" w:after="0" w:line="240" w:lineRule="auto"/>
              <w:ind w:firstLine="0"/>
              <w:jc w:val="center"/>
              <w:rPr>
                <w:rFonts w:cs="Arial"/>
                <w:color w:val="auto"/>
                <w:highlight w:val="none"/>
              </w:rPr>
            </w:pPr>
            <w:r>
              <w:rPr>
                <w:rFonts w:hint="eastAsia" w:cs="Arial"/>
                <w:color w:val="auto"/>
                <w:highlight w:val="none"/>
              </w:rPr>
              <w:t>技术符合性</w:t>
            </w:r>
          </w:p>
        </w:tc>
      </w:tr>
      <w:tr w14:paraId="3EBB1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C5341AB">
            <w:pPr>
              <w:pStyle w:val="405"/>
              <w:spacing w:before="0" w:after="0" w:line="240" w:lineRule="auto"/>
              <w:ind w:firstLine="0"/>
              <w:jc w:val="center"/>
              <w:rPr>
                <w:rFonts w:ascii="宋体" w:hAnsi="宋体"/>
                <w:color w:val="auto"/>
                <w:highlight w:val="none"/>
              </w:rPr>
            </w:pPr>
            <w:r>
              <w:rPr>
                <w:rFonts w:hint="eastAsia" w:ascii="宋体" w:hAnsi="宋体"/>
                <w:color w:val="auto"/>
                <w:highlight w:val="none"/>
              </w:rPr>
              <w:t>6</w:t>
            </w:r>
          </w:p>
        </w:tc>
        <w:tc>
          <w:tcPr>
            <w:tcW w:w="6095" w:type="dxa"/>
            <w:noWrap w:val="0"/>
            <w:vAlign w:val="center"/>
          </w:tcPr>
          <w:p w14:paraId="34A76A78">
            <w:pPr>
              <w:pStyle w:val="405"/>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《采购需求》中要求提供的证明材料（如有）</w:t>
            </w:r>
          </w:p>
        </w:tc>
        <w:tc>
          <w:tcPr>
            <w:tcW w:w="1979" w:type="dxa"/>
            <w:vMerge w:val="continue"/>
            <w:noWrap w:val="0"/>
            <w:vAlign w:val="center"/>
          </w:tcPr>
          <w:p w14:paraId="712172BC">
            <w:pPr>
              <w:pStyle w:val="405"/>
              <w:spacing w:before="0" w:after="0" w:line="240" w:lineRule="auto"/>
              <w:ind w:firstLine="0"/>
              <w:jc w:val="center"/>
              <w:rPr>
                <w:rFonts w:cs="Arial"/>
                <w:color w:val="auto"/>
                <w:highlight w:val="none"/>
              </w:rPr>
            </w:pPr>
          </w:p>
        </w:tc>
      </w:tr>
    </w:tbl>
    <w:p w14:paraId="75341A0A">
      <w:pPr>
        <w:spacing w:line="360" w:lineRule="auto"/>
        <w:ind w:firstLine="480"/>
        <w:rPr>
          <w:rFonts w:ascii="宋体" w:hAnsi="宋体"/>
          <w:color w:val="auto"/>
          <w:sz w:val="24"/>
          <w:szCs w:val="24"/>
          <w:highlight w:val="none"/>
        </w:rPr>
      </w:pPr>
    </w:p>
    <w:p w14:paraId="7B086B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0E176763">
      <w:pPr>
        <w:numPr>
          <w:ilvl w:val="0"/>
          <w:numId w:val="1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eastAsia="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0A630AD3">
      <w:pPr>
        <w:numPr>
          <w:ilvl w:val="0"/>
          <w:numId w:val="18"/>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7C6B1271">
      <w:pPr>
        <w:spacing w:line="360" w:lineRule="auto"/>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02C6EECC">
      <w:pPr>
        <w:pStyle w:val="405"/>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7C6D2936">
      <w:pPr>
        <w:widowControl/>
        <w:spacing w:line="360" w:lineRule="auto"/>
        <w:jc w:val="left"/>
        <w:rPr>
          <w:rFonts w:ascii="Arial" w:hAnsi="Arial"/>
          <w:bCs/>
          <w:color w:val="auto"/>
          <w:sz w:val="32"/>
          <w:highlight w:val="none"/>
        </w:rPr>
      </w:pPr>
    </w:p>
    <w:p w14:paraId="0026EEB4">
      <w:pPr>
        <w:spacing w:line="360" w:lineRule="auto"/>
        <w:rPr>
          <w:rFonts w:ascii="Arial" w:hAnsi="Arial"/>
          <w:bCs/>
          <w:color w:val="auto"/>
          <w:sz w:val="32"/>
          <w:highlight w:val="none"/>
        </w:rPr>
      </w:pPr>
    </w:p>
    <w:p w14:paraId="79E34B0F">
      <w:pPr>
        <w:spacing w:line="360" w:lineRule="auto"/>
        <w:rPr>
          <w:rFonts w:ascii="Arial" w:hAnsi="Arial"/>
          <w:bCs/>
          <w:color w:val="auto"/>
          <w:sz w:val="32"/>
          <w:highlight w:val="none"/>
        </w:rPr>
      </w:pPr>
    </w:p>
    <w:p w14:paraId="6C65C6AC">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投</w:t>
      </w:r>
    </w:p>
    <w:p w14:paraId="18B733AD">
      <w:pPr>
        <w:spacing w:line="360" w:lineRule="auto"/>
        <w:jc w:val="center"/>
        <w:rPr>
          <w:rFonts w:ascii="Arial" w:hAnsi="Arial"/>
          <w:bCs/>
          <w:color w:val="auto"/>
          <w:sz w:val="72"/>
          <w:highlight w:val="none"/>
        </w:rPr>
      </w:pPr>
    </w:p>
    <w:p w14:paraId="10ACB241">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标</w:t>
      </w:r>
    </w:p>
    <w:p w14:paraId="3E8BAFE0">
      <w:pPr>
        <w:spacing w:line="360" w:lineRule="auto"/>
        <w:jc w:val="center"/>
        <w:rPr>
          <w:rFonts w:ascii="Arial" w:hAnsi="Arial"/>
          <w:bCs/>
          <w:color w:val="auto"/>
          <w:sz w:val="72"/>
          <w:highlight w:val="none"/>
        </w:rPr>
      </w:pPr>
    </w:p>
    <w:p w14:paraId="309EF3C1">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文</w:t>
      </w:r>
    </w:p>
    <w:p w14:paraId="777B89DC">
      <w:pPr>
        <w:spacing w:line="360" w:lineRule="auto"/>
        <w:jc w:val="center"/>
        <w:rPr>
          <w:rFonts w:ascii="Arial" w:hAnsi="Arial"/>
          <w:bCs/>
          <w:color w:val="auto"/>
          <w:sz w:val="52"/>
          <w:szCs w:val="52"/>
          <w:highlight w:val="none"/>
        </w:rPr>
      </w:pPr>
    </w:p>
    <w:p w14:paraId="245A4D82">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件</w:t>
      </w:r>
    </w:p>
    <w:p w14:paraId="0A6F7F7F">
      <w:pPr>
        <w:spacing w:line="360" w:lineRule="auto"/>
        <w:rPr>
          <w:rFonts w:ascii="Arial" w:hAnsi="Arial"/>
          <w:bCs/>
          <w:color w:val="auto"/>
          <w:sz w:val="28"/>
          <w:highlight w:val="none"/>
        </w:rPr>
      </w:pPr>
    </w:p>
    <w:p w14:paraId="0C06B645">
      <w:pPr>
        <w:spacing w:line="360" w:lineRule="auto"/>
        <w:ind w:firstLine="2715"/>
        <w:rPr>
          <w:rFonts w:ascii="Arial" w:hAnsi="Arial"/>
          <w:bCs/>
          <w:color w:val="auto"/>
          <w:sz w:val="28"/>
          <w:szCs w:val="28"/>
          <w:highlight w:val="none"/>
        </w:rPr>
      </w:pPr>
      <w:bookmarkStart w:id="152" w:name="_Hlk165208193"/>
      <w:r>
        <w:rPr>
          <w:rFonts w:hint="eastAsia" w:ascii="Arial" w:hAnsi="Arial"/>
          <w:bCs/>
          <w:color w:val="auto"/>
          <w:sz w:val="28"/>
          <w:szCs w:val="28"/>
          <w:highlight w:val="none"/>
        </w:rPr>
        <w:t xml:space="preserve">采购项目编号： </w:t>
      </w:r>
    </w:p>
    <w:p w14:paraId="51417D82">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p>
    <w:p w14:paraId="259F5D88">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投标人： </w:t>
      </w:r>
    </w:p>
    <w:p w14:paraId="42284A4D">
      <w:pPr>
        <w:spacing w:line="360" w:lineRule="auto"/>
        <w:jc w:val="center"/>
        <w:rPr>
          <w:rFonts w:ascii="Arial" w:hAnsi="Arial"/>
          <w:bCs/>
          <w:color w:val="auto"/>
          <w:sz w:val="36"/>
          <w:szCs w:val="36"/>
          <w:highlight w:val="none"/>
        </w:rPr>
      </w:pPr>
    </w:p>
    <w:p w14:paraId="61DEAB38">
      <w:pPr>
        <w:spacing w:line="360" w:lineRule="auto"/>
        <w:jc w:val="center"/>
        <w:rPr>
          <w:rFonts w:ascii="Arial" w:hAnsi="Arial"/>
          <w:bCs/>
          <w:color w:val="auto"/>
          <w:sz w:val="40"/>
          <w:szCs w:val="40"/>
          <w:highlight w:val="none"/>
        </w:rPr>
      </w:pPr>
    </w:p>
    <w:p w14:paraId="7194ECE6">
      <w:pPr>
        <w:spacing w:line="360" w:lineRule="auto"/>
        <w:jc w:val="center"/>
        <w:outlineLvl w:val="0"/>
        <w:rPr>
          <w:rFonts w:ascii="Arial" w:hAnsi="Arial"/>
          <w:bCs/>
          <w:color w:val="auto"/>
          <w:sz w:val="28"/>
          <w:szCs w:val="28"/>
          <w:highlight w:val="none"/>
        </w:rPr>
      </w:pPr>
      <w:r>
        <w:rPr>
          <w:rFonts w:hint="eastAsia" w:ascii="Arial" w:hAnsi="Arial"/>
          <w:bCs/>
          <w:color w:val="auto"/>
          <w:sz w:val="28"/>
          <w:szCs w:val="28"/>
          <w:highlight w:val="none"/>
        </w:rPr>
        <w:t>20   年   月</w:t>
      </w:r>
      <w:bookmarkEnd w:id="152"/>
    </w:p>
    <w:p w14:paraId="0E6E050A">
      <w:pPr>
        <w:spacing w:line="360" w:lineRule="auto"/>
        <w:outlineLvl w:val="0"/>
        <w:rPr>
          <w:rFonts w:ascii="Arial" w:hAnsi="Arial"/>
          <w:bCs/>
          <w:color w:val="auto"/>
          <w:sz w:val="24"/>
          <w:szCs w:val="24"/>
          <w:highlight w:val="none"/>
        </w:rPr>
      </w:pPr>
    </w:p>
    <w:p w14:paraId="2E2F7056">
      <w:pPr>
        <w:spacing w:line="360" w:lineRule="auto"/>
        <w:outlineLvl w:val="0"/>
        <w:rPr>
          <w:rFonts w:ascii="Arial" w:hAnsi="Arial"/>
          <w:color w:val="auto"/>
          <w:sz w:val="24"/>
          <w:szCs w:val="24"/>
          <w:highlight w:val="none"/>
        </w:rPr>
      </w:pPr>
    </w:p>
    <w:p w14:paraId="272681D2">
      <w:pPr>
        <w:rPr>
          <w:rFonts w:ascii="Arial" w:hAnsi="Arial"/>
          <w:b/>
          <w:bCs/>
          <w:color w:val="auto"/>
          <w:sz w:val="28"/>
          <w:szCs w:val="28"/>
          <w:highlight w:val="none"/>
        </w:rPr>
      </w:pPr>
    </w:p>
    <w:p w14:paraId="5ACE3C7C">
      <w:pP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二、授权委托书（给定格式）：</w:t>
      </w:r>
    </w:p>
    <w:p w14:paraId="51457323">
      <w:pPr>
        <w:spacing w:line="360" w:lineRule="auto"/>
        <w:jc w:val="center"/>
        <w:outlineLvl w:val="0"/>
        <w:rPr>
          <w:rFonts w:ascii="黑体" w:eastAsia="黑体"/>
          <w:bCs/>
          <w:color w:val="auto"/>
          <w:sz w:val="28"/>
          <w:szCs w:val="28"/>
          <w:highlight w:val="none"/>
        </w:rPr>
      </w:pPr>
    </w:p>
    <w:p w14:paraId="33D90384">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02B6DC2E">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项目，兹授权：</w:t>
      </w:r>
    </w:p>
    <w:p w14:paraId="015E2383">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CF193E1">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8972E23">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6CEAA10D">
      <w:pPr>
        <w:pStyle w:val="404"/>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05889AFD">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特此授权委托。</w:t>
      </w:r>
    </w:p>
    <w:p w14:paraId="1F39F3BE">
      <w:pPr>
        <w:pStyle w:val="404"/>
        <w:spacing w:line="360" w:lineRule="auto"/>
        <w:ind w:firstLine="0"/>
        <w:rPr>
          <w:rFonts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46CE319C">
      <w:pPr>
        <w:pStyle w:val="404"/>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2B004574">
      <w:pPr>
        <w:pStyle w:val="404"/>
        <w:spacing w:line="360" w:lineRule="auto"/>
        <w:ind w:firstLine="0"/>
        <w:rPr>
          <w:rFonts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287259C8">
      <w:pPr>
        <w:pStyle w:val="404"/>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说明：</w:t>
      </w:r>
    </w:p>
    <w:p w14:paraId="765BE480">
      <w:pPr>
        <w:pStyle w:val="404"/>
        <w:numPr>
          <w:ilvl w:val="0"/>
          <w:numId w:val="19"/>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若投标人为事业单位或其他组织或分支机构，则法定代表人处的签字人可为单位负责人。</w:t>
      </w:r>
    </w:p>
    <w:p w14:paraId="74FA1234">
      <w:pPr>
        <w:pStyle w:val="404"/>
        <w:numPr>
          <w:ilvl w:val="0"/>
          <w:numId w:val="19"/>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1CF305EE">
      <w:pPr>
        <w:pStyle w:val="404"/>
        <w:numPr>
          <w:ilvl w:val="0"/>
          <w:numId w:val="19"/>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0EEA4800">
      <w:pPr>
        <w:pStyle w:val="404"/>
        <w:numPr>
          <w:ilvl w:val="0"/>
          <w:numId w:val="19"/>
        </w:num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可在中国大陆有效居留的许可证明。</w:t>
      </w:r>
    </w:p>
    <w:p w14:paraId="46346040">
      <w:pPr>
        <w:pStyle w:val="404"/>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48A6B537">
      <w:pPr>
        <w:jc w:val="center"/>
        <w:outlineLvl w:val="0"/>
        <w:rPr>
          <w:rFonts w:ascii="黑体" w:eastAsia="黑体"/>
          <w:bCs/>
          <w:color w:val="auto"/>
          <w:sz w:val="28"/>
          <w:szCs w:val="28"/>
          <w:highlight w:val="none"/>
        </w:rPr>
      </w:pPr>
      <w:bookmarkStart w:id="153" w:name="报价方关于资格的声明函（格式）"/>
      <w:bookmarkEnd w:id="153"/>
      <w:r>
        <w:rPr>
          <w:rFonts w:hint="eastAsia" w:ascii="黑体" w:eastAsia="黑体"/>
          <w:bCs/>
          <w:color w:val="auto"/>
          <w:sz w:val="28"/>
          <w:szCs w:val="28"/>
          <w:highlight w:val="none"/>
        </w:rPr>
        <w:t>资格声明函</w:t>
      </w:r>
    </w:p>
    <w:p w14:paraId="7A391776">
      <w:pPr>
        <w:spacing w:line="480" w:lineRule="auto"/>
        <w:jc w:val="center"/>
        <w:rPr>
          <w:rFonts w:ascii="宋体"/>
          <w:bCs/>
          <w:color w:val="auto"/>
          <w:sz w:val="24"/>
          <w:szCs w:val="24"/>
          <w:highlight w:val="none"/>
        </w:rPr>
      </w:pPr>
    </w:p>
    <w:p w14:paraId="5D43830D">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3976D18A">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进行投标，并作如下声明</w:t>
      </w:r>
    </w:p>
    <w:p w14:paraId="47642DC5">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61067A0A">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6828C5BB">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w:t>
      </w:r>
      <w:r>
        <w:rPr>
          <w:rFonts w:hint="eastAsia" w:ascii="宋体" w:hAnsi="宋体" w:eastAsia="宋体"/>
          <w:bCs/>
          <w:color w:val="auto"/>
          <w:sz w:val="24"/>
          <w:szCs w:val="24"/>
          <w:highlight w:val="none"/>
        </w:rPr>
        <w:t>未</w:t>
      </w:r>
      <w:r>
        <w:rPr>
          <w:rFonts w:hint="eastAsia" w:ascii="宋体" w:hAnsi="宋体"/>
          <w:bCs/>
          <w:color w:val="auto"/>
          <w:sz w:val="24"/>
          <w:szCs w:val="24"/>
          <w:highlight w:val="none"/>
        </w:rPr>
        <w:t>被“信用中国”网站（www.creditchina.gov.cn）、中国政府采购网</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列入失信被执行人、</w:t>
      </w:r>
      <w:r>
        <w:rPr>
          <w:rFonts w:hint="eastAsia" w:ascii="宋体" w:hAnsi="宋体" w:eastAsia="宋体"/>
          <w:bCs/>
          <w:color w:val="auto"/>
          <w:sz w:val="24"/>
          <w:szCs w:val="24"/>
          <w:highlight w:val="none"/>
        </w:rPr>
        <w:t>重大税收违法失信主体</w:t>
      </w:r>
      <w:r>
        <w:rPr>
          <w:rFonts w:hint="eastAsia" w:ascii="宋体" w:hAnsi="宋体"/>
          <w:bCs/>
          <w:color w:val="auto"/>
          <w:sz w:val="24"/>
          <w:szCs w:val="24"/>
          <w:highlight w:val="none"/>
        </w:rPr>
        <w:t>、政府采购严重失信行为记录名单及其他不符合《中华人民共和国政府采购法》第二十二条规定条件的信用记录。</w:t>
      </w:r>
    </w:p>
    <w:p w14:paraId="722FA927">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6079176B">
      <w:pPr>
        <w:spacing w:line="480" w:lineRule="auto"/>
        <w:rPr>
          <w:rFonts w:ascii="宋体"/>
          <w:bCs/>
          <w:color w:val="auto"/>
          <w:sz w:val="24"/>
          <w:szCs w:val="24"/>
          <w:highlight w:val="none"/>
        </w:rPr>
      </w:pPr>
    </w:p>
    <w:p w14:paraId="79C7740D">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1F0BB337">
      <w:pPr>
        <w:spacing w:line="360" w:lineRule="auto"/>
        <w:jc w:val="left"/>
        <w:rPr>
          <w:rFonts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rPr>
        <w:t xml:space="preserve"> </w:t>
      </w:r>
    </w:p>
    <w:p w14:paraId="7EA2BE6A">
      <w:pPr>
        <w:spacing w:line="360" w:lineRule="auto"/>
        <w:rPr>
          <w:rFonts w:ascii="宋体" w:hAnsi="宋体" w:eastAsia="宋体" w:cs="宋体"/>
          <w:bCs/>
          <w:color w:val="auto"/>
          <w:highlight w:val="none"/>
        </w:rPr>
      </w:pPr>
    </w:p>
    <w:p w14:paraId="4D1592FA">
      <w:pPr>
        <w:spacing w:line="360" w:lineRule="auto"/>
        <w:rPr>
          <w:rFonts w:ascii="宋体" w:hAnsi="宋体" w:eastAsia="宋体" w:cs="宋体"/>
          <w:bCs/>
          <w:color w:val="auto"/>
          <w:highlight w:val="none"/>
        </w:rPr>
      </w:pPr>
    </w:p>
    <w:p w14:paraId="52E9A7B4">
      <w:pPr>
        <w:spacing w:line="360" w:lineRule="auto"/>
        <w:jc w:val="left"/>
        <w:rPr>
          <w:rFonts w:ascii="宋体" w:hAnsi="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256D6367">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55797768">
      <w:pPr>
        <w:spacing w:line="360" w:lineRule="auto"/>
        <w:ind w:firstLine="480"/>
        <w:rPr>
          <w:rFonts w:hint="eastAsia" w:ascii="宋体" w:hAnsi="宋体"/>
          <w:bCs/>
          <w:color w:val="auto"/>
          <w:sz w:val="24"/>
          <w:highlight w:val="none"/>
        </w:rPr>
      </w:pPr>
      <w:r>
        <w:rPr>
          <w:rFonts w:ascii="宋体" w:hAnsi="宋体"/>
          <w:bCs/>
          <w:color w:val="auto"/>
          <w:sz w:val="24"/>
          <w:highlight w:val="none"/>
        </w:rPr>
        <w:t>本公司（联合体）郑重声明</w:t>
      </w:r>
      <w:r>
        <w:rPr>
          <w:rFonts w:hint="eastAsia" w:ascii="宋体" w:hAnsi="宋体"/>
          <w:bCs/>
          <w:color w:val="auto"/>
          <w:sz w:val="24"/>
          <w:highlight w:val="none"/>
        </w:rPr>
        <w:t>，</w:t>
      </w:r>
      <w:r>
        <w:rPr>
          <w:rFonts w:ascii="宋体" w:hAnsi="宋体"/>
          <w:bCs/>
          <w:color w:val="auto"/>
          <w:sz w:val="24"/>
          <w:highlight w:val="none"/>
        </w:rPr>
        <w:t>根据《政府采购促进中小企业发展管理办法》（财库﹝2020﹞46 号）的规定</w:t>
      </w:r>
      <w:r>
        <w:rPr>
          <w:rFonts w:hint="eastAsia" w:ascii="宋体" w:hAnsi="宋体"/>
          <w:bCs/>
          <w:color w:val="auto"/>
          <w:sz w:val="24"/>
          <w:highlight w:val="none"/>
        </w:rPr>
        <w:t>，</w:t>
      </w:r>
      <w:r>
        <w:rPr>
          <w:rFonts w:ascii="宋体" w:hAnsi="宋体"/>
          <w:bCs/>
          <w:color w:val="auto"/>
          <w:sz w:val="24"/>
          <w:highlight w:val="none"/>
        </w:rPr>
        <w:t xml:space="preserve">本公司 </w:t>
      </w:r>
      <w:r>
        <w:rPr>
          <w:rFonts w:ascii="宋体" w:hAnsi="宋体"/>
          <w:bCs/>
          <w:color w:val="auto"/>
          <w:sz w:val="24"/>
          <w:highlight w:val="none"/>
          <w:u w:val="single"/>
        </w:rPr>
        <w:t>（联合体）</w:t>
      </w:r>
      <w:r>
        <w:rPr>
          <w:rFonts w:ascii="宋体" w:hAnsi="宋体"/>
          <w:bCs/>
          <w:color w:val="auto"/>
          <w:sz w:val="24"/>
          <w:highlight w:val="none"/>
        </w:rPr>
        <w:t>参加</w:t>
      </w:r>
      <w:r>
        <w:rPr>
          <w:rFonts w:ascii="宋体" w:hAnsi="宋体"/>
          <w:bCs/>
          <w:color w:val="auto"/>
          <w:sz w:val="24"/>
          <w:highlight w:val="none"/>
          <w:u w:val="single"/>
        </w:rPr>
        <w:t>（单位名称）</w:t>
      </w:r>
      <w:r>
        <w:rPr>
          <w:rFonts w:ascii="宋体" w:hAnsi="宋体"/>
          <w:bCs/>
          <w:color w:val="auto"/>
          <w:sz w:val="24"/>
          <w:highlight w:val="none"/>
        </w:rPr>
        <w:t>的</w:t>
      </w:r>
      <w:r>
        <w:rPr>
          <w:rFonts w:ascii="宋体" w:hAnsi="宋体"/>
          <w:bCs/>
          <w:color w:val="auto"/>
          <w:sz w:val="24"/>
          <w:highlight w:val="none"/>
          <w:u w:val="single"/>
        </w:rPr>
        <w:t>（项目名称）</w:t>
      </w:r>
      <w:r>
        <w:rPr>
          <w:rFonts w:ascii="宋体" w:hAnsi="宋体"/>
          <w:bCs/>
          <w:color w:val="auto"/>
          <w:sz w:val="24"/>
          <w:highlight w:val="none"/>
        </w:rPr>
        <w:t>采购活动</w:t>
      </w:r>
      <w:r>
        <w:rPr>
          <w:rFonts w:hint="eastAsia" w:ascii="宋体" w:hAnsi="宋体"/>
          <w:bCs/>
          <w:color w:val="auto"/>
          <w:sz w:val="24"/>
          <w:highlight w:val="none"/>
        </w:rPr>
        <w:t>，</w:t>
      </w:r>
      <w:r>
        <w:rPr>
          <w:rFonts w:ascii="宋体" w:hAnsi="宋体"/>
          <w:bCs/>
          <w:color w:val="auto"/>
          <w:sz w:val="24"/>
          <w:highlight w:val="none"/>
        </w:rPr>
        <w:t>服务全部由符合政策要求的中小企业承接</w:t>
      </w:r>
      <w:r>
        <w:rPr>
          <w:rFonts w:hint="eastAsia" w:ascii="宋体" w:hAnsi="宋体"/>
          <w:bCs/>
          <w:color w:val="auto"/>
          <w:sz w:val="24"/>
          <w:highlight w:val="none"/>
        </w:rPr>
        <w:t>。</w:t>
      </w:r>
      <w:r>
        <w:rPr>
          <w:rFonts w:ascii="宋体" w:hAnsi="宋体"/>
          <w:bCs/>
          <w:color w:val="auto"/>
          <w:sz w:val="24"/>
          <w:highlight w:val="none"/>
        </w:rPr>
        <w:t>相关企业（含联合体中的中小企业、签订分包意向协议的中小企业）的具体情况如下</w:t>
      </w:r>
      <w:r>
        <w:rPr>
          <w:rFonts w:hint="eastAsia" w:ascii="宋体" w:hAnsi="宋体"/>
          <w:bCs/>
          <w:color w:val="auto"/>
          <w:sz w:val="24"/>
          <w:highlight w:val="none"/>
        </w:rPr>
        <w:t>：</w:t>
      </w:r>
    </w:p>
    <w:p w14:paraId="3B3CD02B">
      <w:pPr>
        <w:spacing w:line="360" w:lineRule="auto"/>
        <w:ind w:firstLine="480"/>
        <w:rPr>
          <w:rFonts w:hint="eastAsia" w:ascii="宋体" w:hAnsi="宋体"/>
          <w:bCs/>
          <w:color w:val="auto"/>
          <w:sz w:val="24"/>
          <w:highlight w:val="none"/>
        </w:rPr>
      </w:pPr>
      <w:r>
        <w:rPr>
          <w:rFonts w:ascii="宋体" w:hAnsi="宋体"/>
          <w:bCs/>
          <w:color w:val="auto"/>
          <w:sz w:val="24"/>
          <w:highlight w:val="none"/>
        </w:rPr>
        <w:t>1.</w:t>
      </w:r>
      <w:r>
        <w:rPr>
          <w:rFonts w:ascii="宋体" w:hAnsi="宋体"/>
          <w:bCs/>
          <w:color w:val="auto"/>
          <w:sz w:val="24"/>
          <w:highlight w:val="none"/>
          <w:u w:val="single"/>
        </w:rPr>
        <w:t xml:space="preserve"> （标的名称） </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w:t>
      </w:r>
      <w:r>
        <w:rPr>
          <w:rFonts w:hint="eastAsia" w:ascii="宋体" w:hAnsi="宋体"/>
          <w:bCs/>
          <w:color w:val="auto"/>
          <w:sz w:val="24"/>
          <w:highlight w:val="none"/>
          <w:u w:val="single"/>
        </w:rPr>
        <w:t>招标</w:t>
      </w:r>
      <w:r>
        <w:rPr>
          <w:rFonts w:ascii="宋体" w:hAnsi="宋体"/>
          <w:bCs/>
          <w:color w:val="auto"/>
          <w:sz w:val="24"/>
          <w:highlight w:val="none"/>
          <w:u w:val="single"/>
        </w:rPr>
        <w:t>文件中明确的所属行业）</w:t>
      </w:r>
      <w:r>
        <w:rPr>
          <w:rFonts w:hint="eastAsia" w:ascii="宋体" w:hAnsi="宋体"/>
          <w:bCs/>
          <w:color w:val="auto"/>
          <w:sz w:val="24"/>
          <w:highlight w:val="none"/>
        </w:rPr>
        <w:t>；</w:t>
      </w:r>
      <w:r>
        <w:rPr>
          <w:rFonts w:ascii="宋体" w:hAnsi="宋体"/>
          <w:bCs/>
          <w:color w:val="auto"/>
          <w:sz w:val="24"/>
          <w:highlight w:val="none"/>
        </w:rPr>
        <w:t xml:space="preserve"> 承建（承接）企业为</w:t>
      </w:r>
      <w:r>
        <w:rPr>
          <w:rFonts w:ascii="宋体" w:hAnsi="宋体"/>
          <w:bCs/>
          <w:color w:val="auto"/>
          <w:sz w:val="24"/>
          <w:highlight w:val="none"/>
          <w:u w:val="single"/>
        </w:rPr>
        <w:t>（企业名称）</w:t>
      </w:r>
      <w:r>
        <w:rPr>
          <w:rFonts w:hint="eastAsia" w:ascii="宋体" w:hAnsi="宋体"/>
          <w:bCs/>
          <w:color w:val="auto"/>
          <w:sz w:val="24"/>
          <w:highlight w:val="none"/>
        </w:rPr>
        <w:t>，</w:t>
      </w:r>
      <w:r>
        <w:rPr>
          <w:rFonts w:ascii="宋体" w:hAnsi="宋体"/>
          <w:bCs/>
          <w:color w:val="auto"/>
          <w:sz w:val="24"/>
          <w:highlight w:val="none"/>
        </w:rPr>
        <w:t>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人</w:t>
      </w:r>
      <w:r>
        <w:rPr>
          <w:rFonts w:hint="eastAsia" w:ascii="宋体" w:hAnsi="宋体"/>
          <w:bCs/>
          <w:color w:val="auto"/>
          <w:sz w:val="24"/>
          <w:highlight w:val="none"/>
        </w:rPr>
        <w:t>，</w:t>
      </w:r>
      <w:r>
        <w:rPr>
          <w:rFonts w:ascii="宋体" w:hAnsi="宋体"/>
          <w:bCs/>
          <w:color w:val="auto"/>
          <w:sz w:val="24"/>
          <w:highlight w:val="none"/>
        </w:rPr>
        <w:t>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（中型企业、 小型企业、微型企业）</w:t>
      </w:r>
      <w:r>
        <w:rPr>
          <w:rFonts w:hint="eastAsia" w:ascii="宋体" w:hAnsi="宋体"/>
          <w:bCs/>
          <w:color w:val="auto"/>
          <w:sz w:val="24"/>
          <w:highlight w:val="none"/>
        </w:rPr>
        <w:t>；</w:t>
      </w:r>
    </w:p>
    <w:p w14:paraId="6922BBE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ascii="宋体" w:hAnsi="宋体"/>
          <w:bCs/>
          <w:color w:val="auto"/>
          <w:sz w:val="24"/>
          <w:highlight w:val="none"/>
          <w:u w:val="single"/>
        </w:rPr>
        <w:t xml:space="preserve"> （标的名称） </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w:t>
      </w:r>
      <w:r>
        <w:rPr>
          <w:rFonts w:hint="eastAsia" w:ascii="宋体" w:hAnsi="宋体"/>
          <w:bCs/>
          <w:color w:val="auto"/>
          <w:sz w:val="24"/>
          <w:highlight w:val="none"/>
          <w:u w:val="single"/>
        </w:rPr>
        <w:t>招标</w:t>
      </w:r>
      <w:r>
        <w:rPr>
          <w:rFonts w:ascii="宋体" w:hAnsi="宋体"/>
          <w:bCs/>
          <w:color w:val="auto"/>
          <w:sz w:val="24"/>
          <w:highlight w:val="none"/>
          <w:u w:val="single"/>
        </w:rPr>
        <w:t>文件中明确的所属行业）</w:t>
      </w:r>
      <w:r>
        <w:rPr>
          <w:rFonts w:hint="eastAsia" w:ascii="宋体" w:hAnsi="宋体"/>
          <w:bCs/>
          <w:color w:val="auto"/>
          <w:sz w:val="24"/>
          <w:highlight w:val="none"/>
        </w:rPr>
        <w:t>；</w:t>
      </w:r>
      <w:r>
        <w:rPr>
          <w:rFonts w:ascii="宋体" w:hAnsi="宋体"/>
          <w:bCs/>
          <w:color w:val="auto"/>
          <w:sz w:val="24"/>
          <w:highlight w:val="none"/>
        </w:rPr>
        <w:t xml:space="preserve"> 承建（承接）企业为</w:t>
      </w:r>
      <w:r>
        <w:rPr>
          <w:rFonts w:ascii="宋体" w:hAnsi="宋体"/>
          <w:bCs/>
          <w:color w:val="auto"/>
          <w:sz w:val="24"/>
          <w:highlight w:val="none"/>
          <w:u w:val="single"/>
        </w:rPr>
        <w:t>（企业名称）</w:t>
      </w:r>
      <w:r>
        <w:rPr>
          <w:rFonts w:hint="eastAsia" w:ascii="宋体" w:hAnsi="宋体"/>
          <w:bCs/>
          <w:color w:val="auto"/>
          <w:sz w:val="24"/>
          <w:highlight w:val="none"/>
        </w:rPr>
        <w:t>，</w:t>
      </w:r>
      <w:r>
        <w:rPr>
          <w:rFonts w:ascii="宋体" w:hAnsi="宋体"/>
          <w:bCs/>
          <w:color w:val="auto"/>
          <w:sz w:val="24"/>
          <w:highlight w:val="none"/>
        </w:rPr>
        <w:t>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人</w:t>
      </w:r>
      <w:r>
        <w:rPr>
          <w:rFonts w:hint="eastAsia" w:ascii="宋体" w:hAnsi="宋体"/>
          <w:bCs/>
          <w:color w:val="auto"/>
          <w:sz w:val="24"/>
          <w:highlight w:val="none"/>
        </w:rPr>
        <w:t>，</w:t>
      </w:r>
      <w:r>
        <w:rPr>
          <w:rFonts w:ascii="宋体" w:hAnsi="宋体"/>
          <w:bCs/>
          <w:color w:val="auto"/>
          <w:sz w:val="24"/>
          <w:highlight w:val="none"/>
        </w:rPr>
        <w:t>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（中型企业、 小型企业、微型企业）</w:t>
      </w:r>
      <w:r>
        <w:rPr>
          <w:rFonts w:hint="eastAsia" w:ascii="宋体" w:hAnsi="宋体"/>
          <w:bCs/>
          <w:color w:val="auto"/>
          <w:sz w:val="24"/>
          <w:highlight w:val="none"/>
        </w:rPr>
        <w:t>；</w:t>
      </w:r>
    </w:p>
    <w:p w14:paraId="362D739C">
      <w:pPr>
        <w:spacing w:line="360" w:lineRule="auto"/>
        <w:ind w:firstLine="480"/>
        <w:rPr>
          <w:rFonts w:ascii="宋体" w:hAnsi="宋体"/>
          <w:bCs/>
          <w:color w:val="auto"/>
          <w:sz w:val="24"/>
          <w:highlight w:val="none"/>
        </w:rPr>
      </w:pPr>
      <w:r>
        <w:rPr>
          <w:rFonts w:ascii="宋体" w:hAnsi="宋体"/>
          <w:bCs/>
          <w:color w:val="auto"/>
          <w:sz w:val="24"/>
          <w:highlight w:val="none"/>
        </w:rPr>
        <w:t>……</w:t>
      </w:r>
    </w:p>
    <w:p w14:paraId="0EDF5B06">
      <w:pPr>
        <w:spacing w:line="360" w:lineRule="auto"/>
        <w:ind w:firstLine="480"/>
        <w:rPr>
          <w:rFonts w:hint="eastAsia" w:ascii="宋体" w:hAnsi="宋体"/>
          <w:bCs/>
          <w:color w:val="auto"/>
          <w:sz w:val="24"/>
          <w:highlight w:val="none"/>
        </w:rPr>
      </w:pPr>
      <w:r>
        <w:rPr>
          <w:rFonts w:ascii="宋体" w:hAnsi="宋体"/>
          <w:bCs/>
          <w:color w:val="auto"/>
          <w:sz w:val="24"/>
          <w:highlight w:val="none"/>
        </w:rPr>
        <w:t>以上企业</w:t>
      </w:r>
      <w:r>
        <w:rPr>
          <w:rFonts w:hint="eastAsia" w:ascii="宋体" w:hAnsi="宋体"/>
          <w:bCs/>
          <w:color w:val="auto"/>
          <w:sz w:val="24"/>
          <w:highlight w:val="none"/>
        </w:rPr>
        <w:t>，</w:t>
      </w:r>
      <w:r>
        <w:rPr>
          <w:rFonts w:ascii="宋体" w:hAnsi="宋体"/>
          <w:bCs/>
          <w:color w:val="auto"/>
          <w:sz w:val="24"/>
          <w:highlight w:val="none"/>
        </w:rPr>
        <w:t>不属于大企业的分支机构</w:t>
      </w:r>
      <w:r>
        <w:rPr>
          <w:rFonts w:hint="eastAsia" w:ascii="宋体" w:hAnsi="宋体"/>
          <w:bCs/>
          <w:color w:val="auto"/>
          <w:sz w:val="24"/>
          <w:highlight w:val="none"/>
        </w:rPr>
        <w:t>，</w:t>
      </w:r>
      <w:r>
        <w:rPr>
          <w:rFonts w:ascii="宋体" w:hAnsi="宋体"/>
          <w:bCs/>
          <w:color w:val="auto"/>
          <w:sz w:val="24"/>
          <w:highlight w:val="none"/>
        </w:rPr>
        <w:t>不存在控股股东为大企业的情形</w:t>
      </w:r>
      <w:r>
        <w:rPr>
          <w:rFonts w:hint="eastAsia" w:ascii="宋体" w:hAnsi="宋体"/>
          <w:bCs/>
          <w:color w:val="auto"/>
          <w:sz w:val="24"/>
          <w:highlight w:val="none"/>
        </w:rPr>
        <w:t>，</w:t>
      </w:r>
      <w:r>
        <w:rPr>
          <w:rFonts w:ascii="宋体" w:hAnsi="宋体"/>
          <w:bCs/>
          <w:color w:val="auto"/>
          <w:sz w:val="24"/>
          <w:highlight w:val="none"/>
        </w:rPr>
        <w:t>也不存在与大企业的负责人为同一人的情形</w:t>
      </w:r>
      <w:r>
        <w:rPr>
          <w:rFonts w:hint="eastAsia" w:ascii="宋体" w:hAnsi="宋体"/>
          <w:bCs/>
          <w:color w:val="auto"/>
          <w:sz w:val="24"/>
          <w:highlight w:val="none"/>
        </w:rPr>
        <w:t>。</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w:t>
      </w:r>
      <w:r>
        <w:rPr>
          <w:rFonts w:ascii="宋体" w:hAnsi="宋体"/>
          <w:bCs/>
          <w:color w:val="auto"/>
          <w:sz w:val="24"/>
          <w:highlight w:val="none"/>
        </w:rPr>
        <w:t>如有虚假</w:t>
      </w:r>
      <w:r>
        <w:rPr>
          <w:rFonts w:hint="eastAsia" w:ascii="宋体" w:hAnsi="宋体"/>
          <w:bCs/>
          <w:color w:val="auto"/>
          <w:sz w:val="24"/>
          <w:highlight w:val="none"/>
        </w:rPr>
        <w:t>，</w:t>
      </w:r>
      <w:r>
        <w:rPr>
          <w:rFonts w:ascii="宋体" w:hAnsi="宋体"/>
          <w:bCs/>
          <w:color w:val="auto"/>
          <w:sz w:val="24"/>
          <w:highlight w:val="none"/>
        </w:rPr>
        <w:t>将依 法承担相应责任</w:t>
      </w:r>
      <w:r>
        <w:rPr>
          <w:rFonts w:hint="eastAsia" w:ascii="宋体" w:hAnsi="宋体"/>
          <w:bCs/>
          <w:color w:val="auto"/>
          <w:sz w:val="24"/>
          <w:highlight w:val="none"/>
        </w:rPr>
        <w:t>。</w:t>
      </w:r>
    </w:p>
    <w:p w14:paraId="655D6E16">
      <w:pPr>
        <w:spacing w:line="360" w:lineRule="auto"/>
        <w:ind w:firstLine="4800"/>
        <w:rPr>
          <w:rFonts w:hint="eastAsia" w:ascii="宋体" w:hAnsi="宋体"/>
          <w:bCs/>
          <w:color w:val="auto"/>
          <w:sz w:val="24"/>
          <w:highlight w:val="none"/>
        </w:rPr>
      </w:pPr>
      <w:r>
        <w:rPr>
          <w:rFonts w:hint="eastAsia" w:ascii="宋体" w:hAnsi="宋体"/>
          <w:bCs/>
          <w:color w:val="auto"/>
          <w:sz w:val="24"/>
          <w:highlight w:val="none"/>
        </w:rPr>
        <w:t>企业名称（签章）：</w:t>
      </w:r>
    </w:p>
    <w:p w14:paraId="5D3D5299">
      <w:pPr>
        <w:spacing w:line="360" w:lineRule="auto"/>
        <w:ind w:firstLine="4800"/>
        <w:rPr>
          <w:rFonts w:hint="eastAsia" w:ascii="宋体" w:hAnsi="宋体"/>
          <w:bCs/>
          <w:color w:val="auto"/>
          <w:sz w:val="24"/>
          <w:highlight w:val="none"/>
        </w:rPr>
      </w:pPr>
      <w:r>
        <w:rPr>
          <w:rFonts w:hint="eastAsia" w:ascii="宋体" w:hAnsi="宋体"/>
          <w:bCs/>
          <w:color w:val="auto"/>
          <w:sz w:val="24"/>
          <w:highlight w:val="none"/>
        </w:rPr>
        <w:t>日　　　　　　期：</w:t>
      </w:r>
    </w:p>
    <w:p w14:paraId="4DE84E08">
      <w:pPr>
        <w:keepNext w:val="0"/>
        <w:keepLines w:val="0"/>
        <w:pageBreakBefore w:val="0"/>
        <w:widowControl w:val="0"/>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9FBA8C3">
      <w:pPr>
        <w:keepNext w:val="0"/>
        <w:keepLines w:val="0"/>
        <w:pageBreakBefore w:val="0"/>
        <w:widowControl w:val="0"/>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（2）从业人员、营业收入、资产总额填报上一年度数据，无上一年度数据的新成立企业可不填报。</w:t>
      </w:r>
    </w:p>
    <w:p w14:paraId="217909A1">
      <w:pPr>
        <w:keepNext w:val="0"/>
        <w:keepLines w:val="0"/>
        <w:pageBreakBefore w:val="0"/>
        <w:widowControl w:val="0"/>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中标人的《中小企业声明函》将随中标公告进行公示。投标人按照本办法规定提供声明函内容不实的，属于提供虚假材料谋取中标、成交，依照《中华人民共和国政府采购法》等国家有关规定追究相应责任。</w:t>
      </w:r>
    </w:p>
    <w:p w14:paraId="15B0B2CB">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p>
    <w:p w14:paraId="009ED74E">
      <w:pPr>
        <w:spacing w:line="360" w:lineRule="auto"/>
        <w:rPr>
          <w:rFonts w:hint="eastAsia" w:ascii="宋体" w:hAnsi="宋体" w:cs="宋体"/>
          <w:b/>
          <w:bCs/>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364E984C">
      <w:pPr>
        <w:spacing w:line="360" w:lineRule="auto"/>
        <w:ind w:firstLine="482"/>
        <w:rPr>
          <w:rFonts w:ascii="Arial" w:hAnsi="Arial"/>
          <w:b/>
          <w:color w:val="auto"/>
          <w:sz w:val="24"/>
          <w:highlight w:val="none"/>
        </w:rPr>
      </w:pPr>
    </w:p>
    <w:p w14:paraId="78141820">
      <w:pPr>
        <w:spacing w:line="360" w:lineRule="auto"/>
        <w:jc w:val="center"/>
        <w:rPr>
          <w:rFonts w:ascii="黑体" w:eastAsia="黑体"/>
          <w:bCs/>
          <w:color w:val="auto"/>
          <w:sz w:val="28"/>
          <w:szCs w:val="28"/>
          <w:highlight w:val="none"/>
        </w:rPr>
      </w:pPr>
      <w:bookmarkStart w:id="159" w:name="_GoBack"/>
      <w:r>
        <w:rPr>
          <w:rFonts w:hint="eastAsia" w:ascii="黑体" w:eastAsia="黑体"/>
          <w:bCs/>
          <w:color w:val="auto"/>
          <w:sz w:val="28"/>
          <w:szCs w:val="28"/>
          <w:highlight w:val="none"/>
        </w:rPr>
        <w:t>残疾人福利性单位声明函</w:t>
      </w:r>
    </w:p>
    <w:p w14:paraId="2203ECBD">
      <w:pPr>
        <w:spacing w:line="360" w:lineRule="auto"/>
        <w:jc w:val="center"/>
        <w:rPr>
          <w:rFonts w:ascii="黑体" w:eastAsia="黑体"/>
          <w:bCs/>
          <w:color w:val="auto"/>
          <w:sz w:val="28"/>
          <w:szCs w:val="28"/>
          <w:highlight w:val="none"/>
        </w:rPr>
      </w:pPr>
    </w:p>
    <w:p w14:paraId="42E2A8B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〔2017〕141号</w:t>
      </w:r>
      <w:r>
        <w:rPr>
          <w:rFonts w:hint="eastAsia" w:ascii="宋体" w:hAnsi="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9B2A4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5446A5">
      <w:pPr>
        <w:spacing w:line="360" w:lineRule="auto"/>
        <w:ind w:firstLine="480"/>
        <w:rPr>
          <w:rFonts w:ascii="宋体" w:hAnsi="宋体"/>
          <w:bCs/>
          <w:color w:val="auto"/>
          <w:sz w:val="24"/>
          <w:szCs w:val="24"/>
          <w:highlight w:val="none"/>
        </w:rPr>
      </w:pPr>
    </w:p>
    <w:p w14:paraId="71171741">
      <w:pPr>
        <w:spacing w:line="360" w:lineRule="auto"/>
        <w:ind w:firstLine="480"/>
        <w:rPr>
          <w:rFonts w:ascii="宋体" w:hAnsi="宋体"/>
          <w:bCs/>
          <w:color w:val="auto"/>
          <w:sz w:val="24"/>
          <w:szCs w:val="24"/>
          <w:highlight w:val="none"/>
        </w:rPr>
      </w:pPr>
    </w:p>
    <w:p w14:paraId="15803D1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1D2ACEB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日  期：</w:t>
      </w:r>
    </w:p>
    <w:bookmarkEnd w:id="159"/>
    <w:p w14:paraId="5C70F6B7">
      <w:pPr>
        <w:rPr>
          <w:rFonts w:hint="eastAsia"/>
          <w:b/>
          <w:color w:val="auto"/>
          <w:sz w:val="30"/>
          <w:szCs w:val="30"/>
          <w:highlight w:val="none"/>
          <w:lang w:val="en-US" w:eastAsia="zh-CN"/>
        </w:rPr>
      </w:pPr>
      <w:r>
        <w:rPr>
          <w:rFonts w:hint="eastAsia"/>
          <w:b/>
          <w:color w:val="auto"/>
          <w:sz w:val="30"/>
          <w:szCs w:val="30"/>
          <w:highlight w:val="none"/>
          <w:lang w:val="en-US" w:eastAsia="zh-CN"/>
        </w:rPr>
        <w:br w:type="page" w:clear="all"/>
      </w:r>
    </w:p>
    <w:p w14:paraId="3C9138B7">
      <w:pPr>
        <w:spacing w:line="360" w:lineRule="auto"/>
        <w:rPr>
          <w:b/>
          <w:color w:val="auto"/>
          <w:sz w:val="28"/>
          <w:szCs w:val="28"/>
          <w:highlight w:val="none"/>
        </w:rPr>
      </w:pPr>
      <w:r>
        <w:rPr>
          <w:rFonts w:hint="eastAsia" w:eastAsia="宋体"/>
          <w:b/>
          <w:color w:val="auto"/>
          <w:sz w:val="28"/>
          <w:szCs w:val="28"/>
          <w:highlight w:val="none"/>
          <w:lang w:val="en-US" w:eastAsia="zh-CN"/>
        </w:rPr>
        <w:t>六</w:t>
      </w:r>
      <w:r>
        <w:rPr>
          <w:b/>
          <w:color w:val="auto"/>
          <w:sz w:val="28"/>
          <w:szCs w:val="28"/>
          <w:highlight w:val="none"/>
        </w:rPr>
        <w:t>、投标函</w:t>
      </w:r>
      <w:r>
        <w:rPr>
          <w:rFonts w:hint="eastAsia"/>
          <w:b/>
          <w:color w:val="auto"/>
          <w:sz w:val="28"/>
          <w:szCs w:val="28"/>
          <w:highlight w:val="none"/>
        </w:rPr>
        <w:t>（给定格式）：</w:t>
      </w:r>
    </w:p>
    <w:p w14:paraId="5A9EB85A">
      <w:pPr>
        <w:spacing w:line="360" w:lineRule="auto"/>
        <w:rPr>
          <w:b/>
          <w:color w:val="auto"/>
          <w:sz w:val="30"/>
          <w:szCs w:val="30"/>
          <w:highlight w:val="none"/>
        </w:rPr>
      </w:pPr>
    </w:p>
    <w:p w14:paraId="27ACB592">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448E8404">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0FF1FD7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招标文件，经仔细阅读和研究，我方决定参加此项目的投标。</w:t>
      </w:r>
    </w:p>
    <w:p w14:paraId="769A5DEB">
      <w:pPr>
        <w:numPr>
          <w:ilvl w:val="0"/>
          <w:numId w:val="20"/>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w:t>
      </w:r>
      <w:r>
        <w:rPr>
          <w:rFonts w:hint="eastAsia" w:ascii="宋体" w:hAnsi="宋体" w:eastAsia="宋体"/>
          <w:bCs/>
          <w:color w:val="auto"/>
          <w:sz w:val="24"/>
          <w:szCs w:val="24"/>
          <w:highlight w:val="none"/>
          <w:lang w:val="en-US" w:eastAsia="zh-CN"/>
        </w:rPr>
        <w:t>优惠率</w:t>
      </w:r>
      <w:r>
        <w:rPr>
          <w:rFonts w:hint="eastAsia" w:ascii="宋体" w:hAnsi="宋体"/>
          <w:bCs/>
          <w:color w:val="auto"/>
          <w:sz w:val="24"/>
          <w:szCs w:val="24"/>
          <w:highlight w:val="none"/>
        </w:rPr>
        <w:t>见《开标一览表》。</w:t>
      </w:r>
    </w:p>
    <w:p w14:paraId="19AD7890">
      <w:pPr>
        <w:numPr>
          <w:ilvl w:val="0"/>
          <w:numId w:val="20"/>
        </w:numPr>
        <w:tabs>
          <w:tab w:val="left" w:pos="0"/>
          <w:tab w:val="left" w:pos="315"/>
          <w:tab w:val="left" w:pos="525"/>
          <w:tab w:val="left" w:pos="840"/>
          <w:tab w:val="left" w:pos="945"/>
          <w:tab w:val="left" w:pos="1050"/>
        </w:tabs>
        <w:spacing w:line="360" w:lineRule="auto"/>
        <w:ind w:left="0" w:firstLine="523"/>
        <w:rPr>
          <w:rStyle w:val="399"/>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在招标文件中要求的文件、资料。</w:t>
      </w:r>
    </w:p>
    <w:p w14:paraId="386A38F9">
      <w:pPr>
        <w:numPr>
          <w:ilvl w:val="0"/>
          <w:numId w:val="20"/>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7BE2EBF0">
      <w:pPr>
        <w:numPr>
          <w:ilvl w:val="0"/>
          <w:numId w:val="20"/>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268A8F26">
      <w:pPr>
        <w:numPr>
          <w:ilvl w:val="0"/>
          <w:numId w:val="20"/>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0E648BDE">
      <w:pPr>
        <w:numPr>
          <w:ilvl w:val="0"/>
          <w:numId w:val="20"/>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70C8D0B2">
      <w:pPr>
        <w:numPr>
          <w:ilvl w:val="0"/>
          <w:numId w:val="20"/>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3B0968C0">
      <w:pPr>
        <w:numPr>
          <w:ilvl w:val="0"/>
          <w:numId w:val="20"/>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19774A0D">
      <w:pPr>
        <w:numPr>
          <w:ilvl w:val="0"/>
          <w:numId w:val="20"/>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0FDAD275">
      <w:pPr>
        <w:numPr>
          <w:ilvl w:val="0"/>
          <w:numId w:val="20"/>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28D54CA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346DA6A0">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77D2DB9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6E77CF6A">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lang w:val="en-US" w:eastAsia="zh-CN"/>
        </w:rPr>
        <w:t>七</w:t>
      </w:r>
      <w:r>
        <w:rPr>
          <w:rFonts w:hint="eastAsia"/>
          <w:b/>
          <w:color w:val="auto"/>
          <w:sz w:val="28"/>
          <w:szCs w:val="28"/>
          <w:highlight w:val="none"/>
        </w:rPr>
        <w:t>、承诺书（给定格式）：</w:t>
      </w:r>
    </w:p>
    <w:p w14:paraId="43631DB6">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00ADA13C">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在此承诺：</w:t>
      </w:r>
    </w:p>
    <w:p w14:paraId="7DC875A1">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2B7D5666">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7FF5E28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512346C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3199F875">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7866066B">
      <w:pPr>
        <w:spacing w:line="360" w:lineRule="auto"/>
        <w:ind w:firstLine="480"/>
        <w:rPr>
          <w:rFonts w:ascii="宋体"/>
          <w:bCs/>
          <w:color w:val="auto"/>
          <w:sz w:val="24"/>
          <w:szCs w:val="24"/>
          <w:highlight w:val="none"/>
        </w:rPr>
      </w:pPr>
    </w:p>
    <w:p w14:paraId="47D78B5F">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63607C84">
      <w:pPr>
        <w:spacing w:line="360" w:lineRule="auto"/>
        <w:ind w:firstLine="480"/>
        <w:rPr>
          <w:rFonts w:ascii="宋体"/>
          <w:bCs/>
          <w:color w:val="auto"/>
          <w:sz w:val="24"/>
          <w:szCs w:val="24"/>
          <w:highlight w:val="none"/>
        </w:rPr>
      </w:pPr>
    </w:p>
    <w:p w14:paraId="1CADA846">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7C307D68">
      <w:pPr>
        <w:spacing w:line="360" w:lineRule="auto"/>
        <w:ind w:firstLine="5400"/>
        <w:rPr>
          <w:rFonts w:ascii="宋体" w:hAnsi="宋体"/>
          <w:bCs/>
          <w:color w:val="auto"/>
          <w:sz w:val="24"/>
          <w:szCs w:val="24"/>
          <w:highlight w:val="none"/>
        </w:rPr>
      </w:pPr>
    </w:p>
    <w:p w14:paraId="6C99838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3D807211">
      <w:pPr>
        <w:spacing w:line="360" w:lineRule="auto"/>
        <w:outlineLvl w:val="0"/>
        <w:rPr>
          <w:rFonts w:ascii="宋体" w:hAnsi="宋体"/>
          <w:bCs/>
          <w:color w:val="auto"/>
          <w:sz w:val="24"/>
          <w:szCs w:val="24"/>
          <w:highlight w:val="none"/>
        </w:rPr>
      </w:pPr>
    </w:p>
    <w:p w14:paraId="44EFF8C3">
      <w:pPr>
        <w:spacing w:line="360" w:lineRule="auto"/>
        <w:rPr>
          <w:b/>
          <w:color w:val="auto"/>
          <w:sz w:val="28"/>
          <w:szCs w:val="28"/>
          <w:highlight w:val="none"/>
        </w:rPr>
      </w:pPr>
      <w:r>
        <w:rPr>
          <w:rFonts w:hint="eastAsia" w:eastAsia="宋体"/>
          <w:b/>
          <w:color w:val="auto"/>
          <w:sz w:val="28"/>
          <w:szCs w:val="28"/>
          <w:highlight w:val="none"/>
          <w:lang w:val="en-US" w:eastAsia="zh-CN"/>
        </w:rPr>
        <w:t>八</w:t>
      </w:r>
      <w:r>
        <w:rPr>
          <w:rFonts w:hint="eastAsia"/>
          <w:b/>
          <w:color w:val="auto"/>
          <w:sz w:val="28"/>
          <w:szCs w:val="28"/>
          <w:highlight w:val="none"/>
        </w:rPr>
        <w:t>、开标一览表（给定格式）：</w:t>
      </w:r>
    </w:p>
    <w:p w14:paraId="1A4E8397">
      <w:pPr>
        <w:spacing w:line="360" w:lineRule="auto"/>
        <w:ind w:firstLine="482"/>
        <w:rPr>
          <w:rFonts w:ascii="Arial" w:hAnsi="Arial"/>
          <w:b/>
          <w:color w:val="auto"/>
          <w:sz w:val="24"/>
          <w:highlight w:val="none"/>
        </w:rPr>
      </w:pPr>
    </w:p>
    <w:p w14:paraId="2A48B41F">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4531473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p w14:paraId="481D7ED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p>
    <w:tbl>
      <w:tblPr>
        <w:tblStyle w:val="46"/>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90"/>
        <w:gridCol w:w="3672"/>
        <w:gridCol w:w="2704"/>
      </w:tblGrid>
      <w:tr w14:paraId="545DA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090" w:type="dxa"/>
            <w:noWrap w:val="0"/>
            <w:vAlign w:val="center"/>
          </w:tcPr>
          <w:p w14:paraId="0F06A8D0">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3672" w:type="dxa"/>
            <w:noWrap w:val="0"/>
            <w:vAlign w:val="center"/>
          </w:tcPr>
          <w:p w14:paraId="243B7D28">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优惠率（%）</w:t>
            </w:r>
          </w:p>
        </w:tc>
        <w:tc>
          <w:tcPr>
            <w:tcW w:w="2704" w:type="dxa"/>
            <w:noWrap w:val="0"/>
            <w:vAlign w:val="center"/>
          </w:tcPr>
          <w:p w14:paraId="53FE17DD">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A6F7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3090" w:type="dxa"/>
            <w:noWrap w:val="0"/>
            <w:vAlign w:val="center"/>
          </w:tcPr>
          <w:p w14:paraId="765C8890">
            <w:pPr>
              <w:pStyle w:val="154"/>
              <w:spacing w:line="360" w:lineRule="auto"/>
              <w:jc w:val="center"/>
              <w:rPr>
                <w:rFonts w:hAnsi="宋体" w:cs="宋体"/>
                <w:color w:val="auto"/>
                <w:szCs w:val="24"/>
                <w:highlight w:val="none"/>
              </w:rPr>
            </w:pPr>
          </w:p>
        </w:tc>
        <w:tc>
          <w:tcPr>
            <w:tcW w:w="3672" w:type="dxa"/>
            <w:noWrap w:val="0"/>
            <w:vAlign w:val="center"/>
          </w:tcPr>
          <w:p w14:paraId="020915D8">
            <w:pPr>
              <w:pStyle w:val="154"/>
              <w:spacing w:line="360" w:lineRule="auto"/>
              <w:jc w:val="center"/>
              <w:rPr>
                <w:rFonts w:hAnsi="宋体" w:cs="宋体"/>
                <w:color w:val="auto"/>
                <w:szCs w:val="24"/>
                <w:highlight w:val="none"/>
              </w:rPr>
            </w:pPr>
          </w:p>
        </w:tc>
        <w:tc>
          <w:tcPr>
            <w:tcW w:w="2704" w:type="dxa"/>
            <w:noWrap w:val="0"/>
            <w:vAlign w:val="center"/>
          </w:tcPr>
          <w:p w14:paraId="4F3B3203">
            <w:pPr>
              <w:pStyle w:val="154"/>
              <w:spacing w:line="360" w:lineRule="auto"/>
              <w:jc w:val="center"/>
              <w:rPr>
                <w:rFonts w:hAnsi="宋体" w:cs="宋体"/>
                <w:color w:val="auto"/>
                <w:szCs w:val="24"/>
                <w:highlight w:val="none"/>
              </w:rPr>
            </w:pPr>
            <w:r>
              <w:rPr>
                <w:rFonts w:hint="eastAsia"/>
                <w:b/>
                <w:bCs w:val="0"/>
                <w:color w:val="auto"/>
                <w:sz w:val="24"/>
                <w:szCs w:val="24"/>
                <w:highlight w:val="none"/>
                <w:lang w:val="en-US" w:eastAsia="zh-CN"/>
              </w:rPr>
              <w:t>优惠率填写</w:t>
            </w:r>
          </w:p>
        </w:tc>
      </w:tr>
    </w:tbl>
    <w:p w14:paraId="3254726E">
      <w:pPr>
        <w:spacing w:line="360" w:lineRule="auto"/>
        <w:rPr>
          <w:rFonts w:ascii="宋体" w:hAnsi="宋体" w:eastAsia="宋体" w:cs="宋体"/>
          <w:bCs/>
          <w:color w:val="auto"/>
          <w:sz w:val="24"/>
          <w:szCs w:val="24"/>
          <w:highlight w:val="none"/>
        </w:rPr>
      </w:pPr>
    </w:p>
    <w:p w14:paraId="6668943D">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79193BC9">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4021ED5D">
      <w:pPr>
        <w:keepNext w:val="0"/>
        <w:keepLines w:val="0"/>
        <w:pageBreakBefore w:val="0"/>
        <w:widowControl w:val="0"/>
        <w:tabs>
          <w:tab w:val="left" w:pos="525"/>
          <w:tab w:val="left" w:pos="630"/>
          <w:tab w:val="left" w:pos="735"/>
          <w:tab w:val="left" w:pos="945"/>
        </w:tabs>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开标一览表中的报价为优惠率。</w:t>
      </w:r>
      <w:r>
        <w:rPr>
          <w:rFonts w:hint="eastAsia" w:ascii="宋体" w:hAnsi="宋体" w:eastAsia="宋体" w:cs="宋体"/>
          <w:color w:val="auto"/>
          <w:sz w:val="24"/>
          <w:szCs w:val="24"/>
          <w:highlight w:val="none"/>
        </w:rPr>
        <w:t>数量以最终</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rPr>
        <w:t>为准。</w:t>
      </w:r>
    </w:p>
    <w:p w14:paraId="20E97678">
      <w:pPr>
        <w:spacing w:line="360" w:lineRule="auto"/>
        <w:ind w:firstLine="482"/>
        <w:rPr>
          <w:rFonts w:ascii="宋体" w:hAnsi="宋体"/>
          <w:b/>
          <w:color w:val="auto"/>
          <w:sz w:val="24"/>
          <w:highlight w:val="none"/>
        </w:rPr>
      </w:pPr>
    </w:p>
    <w:p w14:paraId="057FE546">
      <w:pPr>
        <w:spacing w:line="360" w:lineRule="auto"/>
        <w:rPr>
          <w:rFonts w:ascii="黑体" w:eastAsia="黑体"/>
          <w:bCs/>
          <w:color w:val="auto"/>
          <w:sz w:val="24"/>
          <w:szCs w:val="24"/>
          <w:highlight w:val="none"/>
        </w:rPr>
      </w:pPr>
    </w:p>
    <w:p w14:paraId="29625088">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eastAsia="黑体"/>
          <w:b/>
          <w:color w:val="auto"/>
          <w:sz w:val="28"/>
          <w:szCs w:val="28"/>
          <w:highlight w:val="none"/>
          <w:lang w:val="en-US" w:eastAsia="zh-CN"/>
        </w:rPr>
        <w:t>九</w:t>
      </w:r>
      <w:r>
        <w:rPr>
          <w:rFonts w:hint="eastAsia"/>
          <w:b/>
          <w:color w:val="auto"/>
          <w:sz w:val="28"/>
          <w:szCs w:val="28"/>
          <w:highlight w:val="none"/>
        </w:rPr>
        <w:t>、分项</w:t>
      </w:r>
      <w:r>
        <w:rPr>
          <w:b/>
          <w:color w:val="auto"/>
          <w:sz w:val="28"/>
          <w:szCs w:val="28"/>
          <w:highlight w:val="none"/>
        </w:rPr>
        <w:t>报价表</w:t>
      </w:r>
      <w:r>
        <w:rPr>
          <w:rFonts w:hint="eastAsia"/>
          <w:b/>
          <w:color w:val="auto"/>
          <w:sz w:val="28"/>
          <w:szCs w:val="28"/>
          <w:highlight w:val="none"/>
        </w:rPr>
        <w:t>（给定格式）：</w:t>
      </w:r>
      <w:bookmarkStart w:id="154" w:name="_Toc120614284"/>
    </w:p>
    <w:p w14:paraId="350E9D17">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hint="eastAsia" w:ascii="黑体" w:eastAsia="黑体"/>
          <w:bCs/>
          <w:color w:val="auto"/>
          <w:sz w:val="28"/>
          <w:szCs w:val="28"/>
          <w:highlight w:val="none"/>
        </w:rPr>
        <w:t>分项报价表</w:t>
      </w:r>
    </w:p>
    <w:p w14:paraId="136FE18E">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黑体" w:hAnsi="黑体" w:eastAsia="黑体" w:cs="黑体"/>
          <w:color w:val="auto"/>
          <w:sz w:val="24"/>
          <w:highlight w:val="none"/>
        </w:rPr>
        <w:t>项目编号：</w:t>
      </w:r>
    </w:p>
    <w:tbl>
      <w:tblPr>
        <w:tblStyle w:val="46"/>
        <w:tblW w:w="55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
        <w:gridCol w:w="2416"/>
        <w:gridCol w:w="1906"/>
        <w:gridCol w:w="1908"/>
        <w:gridCol w:w="1371"/>
        <w:gridCol w:w="1371"/>
        <w:gridCol w:w="1703"/>
      </w:tblGrid>
      <w:tr w14:paraId="5DD49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70" w:type="pct"/>
            <w:noWrap w:val="0"/>
            <w:vAlign w:val="center"/>
          </w:tcPr>
          <w:p w14:paraId="04E742F4">
            <w:pPr>
              <w:jc w:val="center"/>
              <w:rPr>
                <w:rFonts w:ascii="黑体" w:hAnsi="黑体" w:eastAsia="黑体"/>
                <w:b/>
                <w:color w:val="auto"/>
                <w:highlight w:val="none"/>
              </w:rPr>
            </w:pPr>
            <w:r>
              <w:rPr>
                <w:rFonts w:hint="eastAsia" w:ascii="黑体" w:hAnsi="黑体" w:eastAsia="黑体"/>
                <w:b/>
                <w:color w:val="auto"/>
                <w:highlight w:val="none"/>
              </w:rPr>
              <w:t>序号</w:t>
            </w:r>
          </w:p>
        </w:tc>
        <w:tc>
          <w:tcPr>
            <w:tcW w:w="1070" w:type="pct"/>
            <w:noWrap w:val="0"/>
            <w:vAlign w:val="center"/>
          </w:tcPr>
          <w:p w14:paraId="29D9C837">
            <w:pPr>
              <w:jc w:val="center"/>
              <w:rPr>
                <w:rFonts w:hint="eastAsia" w:ascii="黑体" w:hAnsi="黑体" w:eastAsia="黑体"/>
                <w:b/>
                <w:color w:val="auto"/>
                <w:highlight w:val="none"/>
                <w:lang w:val="en-US" w:eastAsia="zh-CN"/>
              </w:rPr>
            </w:pPr>
            <w:r>
              <w:rPr>
                <w:rFonts w:hint="eastAsia" w:ascii="黑体" w:hAnsi="黑体" w:eastAsia="黑体"/>
                <w:b/>
                <w:color w:val="auto"/>
                <w:highlight w:val="none"/>
              </w:rPr>
              <w:t>项目</w:t>
            </w:r>
            <w:r>
              <w:rPr>
                <w:rFonts w:hint="eastAsia" w:ascii="黑体" w:hAnsi="黑体" w:eastAsia="黑体"/>
                <w:b/>
                <w:color w:val="auto"/>
                <w:highlight w:val="none"/>
                <w:lang w:val="en-US" w:eastAsia="zh-CN"/>
              </w:rPr>
              <w:t>名称</w:t>
            </w:r>
          </w:p>
        </w:tc>
        <w:tc>
          <w:tcPr>
            <w:tcW w:w="844" w:type="pct"/>
            <w:noWrap w:val="0"/>
            <w:vAlign w:val="center"/>
          </w:tcPr>
          <w:p w14:paraId="4833A620">
            <w:pPr>
              <w:jc w:val="center"/>
              <w:rPr>
                <w:rFonts w:hint="default" w:ascii="黑体" w:hAnsi="黑体" w:eastAsia="黑体"/>
                <w:b/>
                <w:color w:val="auto"/>
                <w:highlight w:val="none"/>
                <w:lang w:val="en-US" w:eastAsia="zh-CN"/>
              </w:rPr>
            </w:pPr>
            <w:r>
              <w:rPr>
                <w:rFonts w:hint="eastAsia" w:ascii="黑体" w:hAnsi="黑体" w:eastAsia="黑体"/>
                <w:b/>
                <w:color w:val="auto"/>
                <w:highlight w:val="none"/>
              </w:rPr>
              <w:t>单价</w:t>
            </w:r>
            <w:r>
              <w:rPr>
                <w:rFonts w:hint="eastAsia" w:ascii="黑体" w:hAnsi="黑体" w:eastAsia="黑体"/>
                <w:b/>
                <w:color w:val="auto"/>
                <w:highlight w:val="none"/>
                <w:lang w:eastAsia="zh-CN"/>
              </w:rPr>
              <w:t>（</w:t>
            </w:r>
            <w:r>
              <w:rPr>
                <w:rFonts w:hint="eastAsia" w:ascii="黑体" w:hAnsi="黑体" w:eastAsia="黑体"/>
                <w:b/>
                <w:color w:val="auto"/>
                <w:highlight w:val="none"/>
                <w:lang w:val="en-US" w:eastAsia="zh-CN"/>
              </w:rPr>
              <w:t>元）</w:t>
            </w:r>
          </w:p>
        </w:tc>
        <w:tc>
          <w:tcPr>
            <w:tcW w:w="845" w:type="pct"/>
            <w:noWrap w:val="0"/>
            <w:vAlign w:val="center"/>
          </w:tcPr>
          <w:p w14:paraId="23BC1E8C">
            <w:pPr>
              <w:spacing w:line="240" w:lineRule="exact"/>
              <w:jc w:val="center"/>
              <w:rPr>
                <w:rFonts w:hint="default"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投标单价（元）</w:t>
            </w:r>
          </w:p>
        </w:tc>
        <w:tc>
          <w:tcPr>
            <w:tcW w:w="607" w:type="pct"/>
            <w:noWrap w:val="0"/>
            <w:vAlign w:val="center"/>
          </w:tcPr>
          <w:p w14:paraId="53E62A4B">
            <w:pPr>
              <w:spacing w:line="240" w:lineRule="exact"/>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优惠率（%）</w:t>
            </w:r>
          </w:p>
        </w:tc>
        <w:tc>
          <w:tcPr>
            <w:tcW w:w="607" w:type="pct"/>
            <w:noWrap w:val="0"/>
            <w:vAlign w:val="center"/>
          </w:tcPr>
          <w:p w14:paraId="18273D78">
            <w:pPr>
              <w:spacing w:line="240" w:lineRule="exact"/>
              <w:jc w:val="center"/>
              <w:rPr>
                <w:rFonts w:hint="eastAsia" w:ascii="黑体" w:hAnsi="黑体" w:eastAsia="黑体" w:cs="宋体"/>
                <w:b/>
                <w:color w:val="auto"/>
                <w:highlight w:val="none"/>
              </w:rPr>
            </w:pPr>
            <w:r>
              <w:rPr>
                <w:rFonts w:hint="eastAsia" w:ascii="宋体" w:hAnsi="宋体" w:cs="宋体"/>
                <w:b/>
                <w:color w:val="auto"/>
                <w:szCs w:val="21"/>
                <w:highlight w:val="none"/>
              </w:rPr>
              <w:t>是否在</w:t>
            </w:r>
            <w:r>
              <w:rPr>
                <w:rFonts w:hint="eastAsia" w:ascii="宋体" w:hAnsi="宋体" w:cs="宋体"/>
                <w:b/>
                <w:color w:val="auto"/>
                <w:szCs w:val="21"/>
                <w:highlight w:val="none"/>
                <w:lang w:val="en-US" w:eastAsia="zh-CN"/>
              </w:rPr>
              <w:t>供应商检验能力</w:t>
            </w:r>
            <w:r>
              <w:rPr>
                <w:rFonts w:hint="eastAsia" w:ascii="宋体" w:hAnsi="宋体" w:cs="宋体"/>
                <w:b/>
                <w:color w:val="auto"/>
                <w:szCs w:val="21"/>
                <w:highlight w:val="none"/>
              </w:rPr>
              <w:t>范围内</w:t>
            </w:r>
          </w:p>
        </w:tc>
        <w:tc>
          <w:tcPr>
            <w:tcW w:w="754" w:type="pct"/>
            <w:noWrap w:val="0"/>
            <w:vAlign w:val="center"/>
          </w:tcPr>
          <w:p w14:paraId="1B4A0401">
            <w:pPr>
              <w:spacing w:line="240" w:lineRule="exact"/>
              <w:jc w:val="center"/>
              <w:rPr>
                <w:rFonts w:hint="eastAsia"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备注</w:t>
            </w:r>
          </w:p>
        </w:tc>
      </w:tr>
      <w:tr w14:paraId="7CEC7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61245BC4">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70" w:type="pct"/>
            <w:noWrap w:val="0"/>
            <w:vAlign w:val="center"/>
          </w:tcPr>
          <w:p w14:paraId="3D98E822">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抗心磷脂抗体三项</w:t>
            </w:r>
          </w:p>
        </w:tc>
        <w:tc>
          <w:tcPr>
            <w:tcW w:w="844" w:type="pct"/>
            <w:shd w:val="clear" w:color="auto" w:fill="auto"/>
            <w:noWrap w:val="0"/>
            <w:vAlign w:val="center"/>
          </w:tcPr>
          <w:p w14:paraId="77BED0C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210</w:t>
            </w:r>
          </w:p>
        </w:tc>
        <w:tc>
          <w:tcPr>
            <w:tcW w:w="845" w:type="pct"/>
            <w:noWrap w:val="0"/>
            <w:vAlign w:val="top"/>
          </w:tcPr>
          <w:p w14:paraId="081569AF">
            <w:pPr>
              <w:rPr>
                <w:rFonts w:ascii="宋体"/>
                <w:color w:val="auto"/>
                <w:sz w:val="18"/>
                <w:szCs w:val="18"/>
                <w:highlight w:val="none"/>
              </w:rPr>
            </w:pPr>
          </w:p>
        </w:tc>
        <w:tc>
          <w:tcPr>
            <w:tcW w:w="607" w:type="pct"/>
            <w:vMerge w:val="restart"/>
            <w:noWrap w:val="0"/>
            <w:vAlign w:val="top"/>
          </w:tcPr>
          <w:p w14:paraId="07093F42">
            <w:pPr>
              <w:rPr>
                <w:rFonts w:ascii="宋体"/>
                <w:color w:val="auto"/>
                <w:sz w:val="18"/>
                <w:szCs w:val="18"/>
                <w:highlight w:val="none"/>
              </w:rPr>
            </w:pPr>
          </w:p>
        </w:tc>
        <w:tc>
          <w:tcPr>
            <w:tcW w:w="607" w:type="pct"/>
            <w:noWrap w:val="0"/>
            <w:vAlign w:val="top"/>
          </w:tcPr>
          <w:p w14:paraId="0F77FE90">
            <w:pPr>
              <w:rPr>
                <w:rFonts w:ascii="宋体"/>
                <w:color w:val="auto"/>
                <w:sz w:val="18"/>
                <w:szCs w:val="18"/>
                <w:highlight w:val="none"/>
              </w:rPr>
            </w:pPr>
          </w:p>
        </w:tc>
        <w:tc>
          <w:tcPr>
            <w:tcW w:w="754" w:type="pct"/>
            <w:noWrap w:val="0"/>
            <w:vAlign w:val="top"/>
          </w:tcPr>
          <w:p w14:paraId="1350547E">
            <w:pPr>
              <w:rPr>
                <w:rFonts w:ascii="宋体"/>
                <w:color w:val="auto"/>
                <w:sz w:val="18"/>
                <w:szCs w:val="18"/>
                <w:highlight w:val="none"/>
              </w:rPr>
            </w:pPr>
          </w:p>
        </w:tc>
      </w:tr>
      <w:tr w14:paraId="0C2B4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6550EBAB">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70" w:type="pct"/>
            <w:tcBorders>
              <w:bottom w:val="nil"/>
            </w:tcBorders>
            <w:noWrap w:val="0"/>
            <w:vAlign w:val="center"/>
          </w:tcPr>
          <w:p w14:paraId="629151CB">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抗β2-糖蛋白1抗体三项</w:t>
            </w:r>
          </w:p>
        </w:tc>
        <w:tc>
          <w:tcPr>
            <w:tcW w:w="844" w:type="pct"/>
            <w:tcBorders>
              <w:bottom w:val="nil"/>
            </w:tcBorders>
            <w:shd w:val="clear" w:color="auto" w:fill="auto"/>
            <w:noWrap w:val="0"/>
            <w:vAlign w:val="center"/>
          </w:tcPr>
          <w:p w14:paraId="27E800D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210</w:t>
            </w:r>
          </w:p>
        </w:tc>
        <w:tc>
          <w:tcPr>
            <w:tcW w:w="845" w:type="pct"/>
            <w:noWrap w:val="0"/>
            <w:vAlign w:val="top"/>
          </w:tcPr>
          <w:p w14:paraId="5E96CB7E">
            <w:pPr>
              <w:rPr>
                <w:rFonts w:ascii="宋体"/>
                <w:color w:val="auto"/>
                <w:sz w:val="18"/>
                <w:szCs w:val="18"/>
                <w:highlight w:val="none"/>
              </w:rPr>
            </w:pPr>
          </w:p>
        </w:tc>
        <w:tc>
          <w:tcPr>
            <w:tcW w:w="607" w:type="pct"/>
            <w:vMerge w:val="continue"/>
            <w:tcBorders/>
            <w:noWrap w:val="0"/>
            <w:vAlign w:val="top"/>
          </w:tcPr>
          <w:p w14:paraId="7AFD97A6">
            <w:pPr>
              <w:rPr>
                <w:rFonts w:ascii="宋体"/>
                <w:color w:val="auto"/>
                <w:sz w:val="18"/>
                <w:szCs w:val="18"/>
                <w:highlight w:val="none"/>
              </w:rPr>
            </w:pPr>
          </w:p>
        </w:tc>
        <w:tc>
          <w:tcPr>
            <w:tcW w:w="607" w:type="pct"/>
            <w:noWrap w:val="0"/>
            <w:vAlign w:val="top"/>
          </w:tcPr>
          <w:p w14:paraId="44EDA2E1">
            <w:pPr>
              <w:rPr>
                <w:rFonts w:ascii="宋体"/>
                <w:color w:val="auto"/>
                <w:sz w:val="18"/>
                <w:szCs w:val="18"/>
                <w:highlight w:val="none"/>
              </w:rPr>
            </w:pPr>
          </w:p>
        </w:tc>
        <w:tc>
          <w:tcPr>
            <w:tcW w:w="754" w:type="pct"/>
            <w:noWrap w:val="0"/>
            <w:vAlign w:val="top"/>
          </w:tcPr>
          <w:p w14:paraId="4715E82F">
            <w:pPr>
              <w:rPr>
                <w:rFonts w:ascii="宋体"/>
                <w:color w:val="auto"/>
                <w:sz w:val="18"/>
                <w:szCs w:val="18"/>
                <w:highlight w:val="none"/>
              </w:rPr>
            </w:pPr>
          </w:p>
        </w:tc>
      </w:tr>
      <w:tr w14:paraId="6AB8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4ED3988C">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70" w:type="pct"/>
            <w:noWrap w:val="0"/>
            <w:vAlign w:val="center"/>
          </w:tcPr>
          <w:p w14:paraId="3CAA3AD5">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转铁蛋白（TF）</w:t>
            </w:r>
          </w:p>
        </w:tc>
        <w:tc>
          <w:tcPr>
            <w:tcW w:w="844" w:type="pct"/>
            <w:shd w:val="clear" w:color="auto" w:fill="auto"/>
            <w:noWrap w:val="0"/>
            <w:vAlign w:val="center"/>
          </w:tcPr>
          <w:p w14:paraId="2EB14C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845" w:type="pct"/>
            <w:noWrap w:val="0"/>
            <w:vAlign w:val="top"/>
          </w:tcPr>
          <w:p w14:paraId="21A850EE">
            <w:pPr>
              <w:rPr>
                <w:rFonts w:ascii="宋体"/>
                <w:color w:val="auto"/>
                <w:sz w:val="18"/>
                <w:szCs w:val="18"/>
                <w:highlight w:val="none"/>
              </w:rPr>
            </w:pPr>
          </w:p>
        </w:tc>
        <w:tc>
          <w:tcPr>
            <w:tcW w:w="607" w:type="pct"/>
            <w:vMerge w:val="continue"/>
            <w:tcBorders/>
            <w:noWrap w:val="0"/>
            <w:vAlign w:val="top"/>
          </w:tcPr>
          <w:p w14:paraId="38D6A076">
            <w:pPr>
              <w:rPr>
                <w:rFonts w:ascii="宋体"/>
                <w:color w:val="auto"/>
                <w:sz w:val="18"/>
                <w:szCs w:val="18"/>
                <w:highlight w:val="none"/>
              </w:rPr>
            </w:pPr>
          </w:p>
        </w:tc>
        <w:tc>
          <w:tcPr>
            <w:tcW w:w="607" w:type="pct"/>
            <w:noWrap w:val="0"/>
            <w:vAlign w:val="top"/>
          </w:tcPr>
          <w:p w14:paraId="2B169C79">
            <w:pPr>
              <w:rPr>
                <w:rFonts w:ascii="宋体"/>
                <w:color w:val="auto"/>
                <w:sz w:val="18"/>
                <w:szCs w:val="18"/>
                <w:highlight w:val="none"/>
              </w:rPr>
            </w:pPr>
          </w:p>
        </w:tc>
        <w:tc>
          <w:tcPr>
            <w:tcW w:w="754" w:type="pct"/>
            <w:noWrap w:val="0"/>
            <w:vAlign w:val="top"/>
          </w:tcPr>
          <w:p w14:paraId="5E5C9CF5">
            <w:pPr>
              <w:rPr>
                <w:rFonts w:ascii="宋体"/>
                <w:color w:val="auto"/>
                <w:sz w:val="18"/>
                <w:szCs w:val="18"/>
                <w:highlight w:val="none"/>
              </w:rPr>
            </w:pPr>
          </w:p>
        </w:tc>
      </w:tr>
      <w:tr w14:paraId="1C5BE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57588462">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70" w:type="pct"/>
            <w:noWrap w:val="0"/>
            <w:vAlign w:val="center"/>
          </w:tcPr>
          <w:p w14:paraId="347CA9EE">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粪便钙卫蛋白定量</w:t>
            </w:r>
          </w:p>
        </w:tc>
        <w:tc>
          <w:tcPr>
            <w:tcW w:w="844" w:type="pct"/>
            <w:shd w:val="clear" w:color="auto" w:fill="auto"/>
            <w:noWrap w:val="0"/>
            <w:vAlign w:val="center"/>
          </w:tcPr>
          <w:p w14:paraId="241E75B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118</w:t>
            </w:r>
          </w:p>
        </w:tc>
        <w:tc>
          <w:tcPr>
            <w:tcW w:w="845" w:type="pct"/>
            <w:noWrap w:val="0"/>
            <w:vAlign w:val="top"/>
          </w:tcPr>
          <w:p w14:paraId="3E8F0AB2">
            <w:pPr>
              <w:rPr>
                <w:rFonts w:ascii="宋体"/>
                <w:color w:val="auto"/>
                <w:sz w:val="18"/>
                <w:szCs w:val="18"/>
                <w:highlight w:val="none"/>
              </w:rPr>
            </w:pPr>
          </w:p>
        </w:tc>
        <w:tc>
          <w:tcPr>
            <w:tcW w:w="607" w:type="pct"/>
            <w:vMerge w:val="continue"/>
            <w:tcBorders/>
            <w:noWrap w:val="0"/>
            <w:vAlign w:val="top"/>
          </w:tcPr>
          <w:p w14:paraId="6D6C1CD3">
            <w:pPr>
              <w:rPr>
                <w:rFonts w:ascii="宋体"/>
                <w:color w:val="auto"/>
                <w:sz w:val="18"/>
                <w:szCs w:val="18"/>
                <w:highlight w:val="none"/>
              </w:rPr>
            </w:pPr>
          </w:p>
        </w:tc>
        <w:tc>
          <w:tcPr>
            <w:tcW w:w="607" w:type="pct"/>
            <w:noWrap w:val="0"/>
            <w:vAlign w:val="top"/>
          </w:tcPr>
          <w:p w14:paraId="599F378E">
            <w:pPr>
              <w:rPr>
                <w:rFonts w:ascii="宋体"/>
                <w:color w:val="auto"/>
                <w:sz w:val="18"/>
                <w:szCs w:val="18"/>
                <w:highlight w:val="none"/>
              </w:rPr>
            </w:pPr>
          </w:p>
        </w:tc>
        <w:tc>
          <w:tcPr>
            <w:tcW w:w="754" w:type="pct"/>
            <w:noWrap w:val="0"/>
            <w:vAlign w:val="top"/>
          </w:tcPr>
          <w:p w14:paraId="339CE5AF">
            <w:pPr>
              <w:rPr>
                <w:rFonts w:ascii="宋体"/>
                <w:color w:val="auto"/>
                <w:sz w:val="18"/>
                <w:szCs w:val="18"/>
                <w:highlight w:val="none"/>
              </w:rPr>
            </w:pPr>
          </w:p>
        </w:tc>
      </w:tr>
      <w:tr w14:paraId="2A4E9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09562E42">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70" w:type="pct"/>
            <w:noWrap w:val="0"/>
            <w:vAlign w:val="center"/>
          </w:tcPr>
          <w:p w14:paraId="182A882F">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抗内因子抗体</w:t>
            </w:r>
          </w:p>
        </w:tc>
        <w:tc>
          <w:tcPr>
            <w:tcW w:w="844" w:type="pct"/>
            <w:shd w:val="clear" w:color="auto" w:fill="auto"/>
            <w:noWrap w:val="0"/>
            <w:vAlign w:val="center"/>
          </w:tcPr>
          <w:p w14:paraId="1DE744B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65</w:t>
            </w:r>
          </w:p>
        </w:tc>
        <w:tc>
          <w:tcPr>
            <w:tcW w:w="845" w:type="pct"/>
            <w:noWrap w:val="0"/>
            <w:vAlign w:val="top"/>
          </w:tcPr>
          <w:p w14:paraId="7000500C">
            <w:pPr>
              <w:rPr>
                <w:rFonts w:ascii="宋体"/>
                <w:color w:val="auto"/>
                <w:sz w:val="18"/>
                <w:szCs w:val="18"/>
                <w:highlight w:val="none"/>
              </w:rPr>
            </w:pPr>
          </w:p>
        </w:tc>
        <w:tc>
          <w:tcPr>
            <w:tcW w:w="607" w:type="pct"/>
            <w:vMerge w:val="continue"/>
            <w:tcBorders/>
            <w:noWrap w:val="0"/>
            <w:vAlign w:val="top"/>
          </w:tcPr>
          <w:p w14:paraId="0DC747CA">
            <w:pPr>
              <w:rPr>
                <w:rFonts w:ascii="宋体"/>
                <w:color w:val="auto"/>
                <w:sz w:val="18"/>
                <w:szCs w:val="18"/>
                <w:highlight w:val="none"/>
              </w:rPr>
            </w:pPr>
          </w:p>
        </w:tc>
        <w:tc>
          <w:tcPr>
            <w:tcW w:w="607" w:type="pct"/>
            <w:noWrap w:val="0"/>
            <w:vAlign w:val="top"/>
          </w:tcPr>
          <w:p w14:paraId="3CD0AA86">
            <w:pPr>
              <w:rPr>
                <w:rFonts w:ascii="宋体"/>
                <w:color w:val="auto"/>
                <w:sz w:val="18"/>
                <w:szCs w:val="18"/>
                <w:highlight w:val="none"/>
              </w:rPr>
            </w:pPr>
          </w:p>
        </w:tc>
        <w:tc>
          <w:tcPr>
            <w:tcW w:w="754" w:type="pct"/>
            <w:noWrap w:val="0"/>
            <w:vAlign w:val="top"/>
          </w:tcPr>
          <w:p w14:paraId="15F2F1BD">
            <w:pPr>
              <w:rPr>
                <w:rFonts w:ascii="宋体"/>
                <w:color w:val="auto"/>
                <w:sz w:val="18"/>
                <w:szCs w:val="18"/>
                <w:highlight w:val="none"/>
              </w:rPr>
            </w:pPr>
          </w:p>
        </w:tc>
      </w:tr>
      <w:tr w14:paraId="444D5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2C077143">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70" w:type="pct"/>
            <w:noWrap w:val="0"/>
            <w:vAlign w:val="center"/>
          </w:tcPr>
          <w:p w14:paraId="1168F8F0">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抗胃壁细胞抗体</w:t>
            </w:r>
          </w:p>
        </w:tc>
        <w:tc>
          <w:tcPr>
            <w:tcW w:w="844" w:type="pct"/>
            <w:shd w:val="clear" w:color="auto" w:fill="auto"/>
            <w:noWrap w:val="0"/>
            <w:vAlign w:val="center"/>
          </w:tcPr>
          <w:p w14:paraId="4981A54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845" w:type="pct"/>
            <w:noWrap w:val="0"/>
            <w:vAlign w:val="top"/>
          </w:tcPr>
          <w:p w14:paraId="49E00918">
            <w:pPr>
              <w:rPr>
                <w:rFonts w:ascii="宋体"/>
                <w:color w:val="auto"/>
                <w:sz w:val="18"/>
                <w:szCs w:val="18"/>
                <w:highlight w:val="none"/>
              </w:rPr>
            </w:pPr>
          </w:p>
        </w:tc>
        <w:tc>
          <w:tcPr>
            <w:tcW w:w="607" w:type="pct"/>
            <w:vMerge w:val="continue"/>
            <w:tcBorders/>
            <w:noWrap w:val="0"/>
            <w:vAlign w:val="top"/>
          </w:tcPr>
          <w:p w14:paraId="4803E128">
            <w:pPr>
              <w:rPr>
                <w:rFonts w:ascii="宋体"/>
                <w:color w:val="auto"/>
                <w:sz w:val="18"/>
                <w:szCs w:val="18"/>
                <w:highlight w:val="none"/>
              </w:rPr>
            </w:pPr>
          </w:p>
        </w:tc>
        <w:tc>
          <w:tcPr>
            <w:tcW w:w="607" w:type="pct"/>
            <w:noWrap w:val="0"/>
            <w:vAlign w:val="top"/>
          </w:tcPr>
          <w:p w14:paraId="6E9D1CAC">
            <w:pPr>
              <w:rPr>
                <w:rFonts w:ascii="宋体"/>
                <w:color w:val="auto"/>
                <w:sz w:val="18"/>
                <w:szCs w:val="18"/>
                <w:highlight w:val="none"/>
              </w:rPr>
            </w:pPr>
          </w:p>
        </w:tc>
        <w:tc>
          <w:tcPr>
            <w:tcW w:w="754" w:type="pct"/>
            <w:noWrap w:val="0"/>
            <w:vAlign w:val="top"/>
          </w:tcPr>
          <w:p w14:paraId="78E428EE">
            <w:pPr>
              <w:rPr>
                <w:rFonts w:ascii="宋体"/>
                <w:color w:val="auto"/>
                <w:sz w:val="18"/>
                <w:szCs w:val="18"/>
                <w:highlight w:val="none"/>
              </w:rPr>
            </w:pPr>
          </w:p>
        </w:tc>
      </w:tr>
      <w:tr w14:paraId="161B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70B7459">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70" w:type="pct"/>
            <w:noWrap w:val="0"/>
            <w:vAlign w:val="center"/>
          </w:tcPr>
          <w:p w14:paraId="7303EB3A">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肝纤维四项（透明质酸(HA)Ⅲ型前胶原(PC-Ⅲ)Ⅳ型胶原(IV-C)层粘连蛋白(LN)   ）</w:t>
            </w:r>
          </w:p>
        </w:tc>
        <w:tc>
          <w:tcPr>
            <w:tcW w:w="844" w:type="pct"/>
            <w:shd w:val="clear" w:color="auto" w:fill="auto"/>
            <w:noWrap w:val="0"/>
            <w:vAlign w:val="center"/>
          </w:tcPr>
          <w:p w14:paraId="1D03EC1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120</w:t>
            </w:r>
          </w:p>
        </w:tc>
        <w:tc>
          <w:tcPr>
            <w:tcW w:w="845" w:type="pct"/>
            <w:noWrap w:val="0"/>
            <w:vAlign w:val="top"/>
          </w:tcPr>
          <w:p w14:paraId="7E5EE654">
            <w:pPr>
              <w:rPr>
                <w:rFonts w:ascii="宋体"/>
                <w:color w:val="auto"/>
                <w:sz w:val="18"/>
                <w:szCs w:val="18"/>
                <w:highlight w:val="none"/>
              </w:rPr>
            </w:pPr>
          </w:p>
        </w:tc>
        <w:tc>
          <w:tcPr>
            <w:tcW w:w="607" w:type="pct"/>
            <w:vMerge w:val="continue"/>
            <w:tcBorders/>
            <w:noWrap w:val="0"/>
            <w:vAlign w:val="top"/>
          </w:tcPr>
          <w:p w14:paraId="022B6B02">
            <w:pPr>
              <w:rPr>
                <w:rFonts w:ascii="宋体"/>
                <w:color w:val="auto"/>
                <w:sz w:val="18"/>
                <w:szCs w:val="18"/>
                <w:highlight w:val="none"/>
              </w:rPr>
            </w:pPr>
          </w:p>
        </w:tc>
        <w:tc>
          <w:tcPr>
            <w:tcW w:w="607" w:type="pct"/>
            <w:noWrap w:val="0"/>
            <w:vAlign w:val="top"/>
          </w:tcPr>
          <w:p w14:paraId="07C98DCE">
            <w:pPr>
              <w:rPr>
                <w:rFonts w:ascii="宋体"/>
                <w:color w:val="auto"/>
                <w:sz w:val="18"/>
                <w:szCs w:val="18"/>
                <w:highlight w:val="none"/>
              </w:rPr>
            </w:pPr>
          </w:p>
        </w:tc>
        <w:tc>
          <w:tcPr>
            <w:tcW w:w="754" w:type="pct"/>
            <w:noWrap w:val="0"/>
            <w:vAlign w:val="top"/>
          </w:tcPr>
          <w:p w14:paraId="123E1985">
            <w:pPr>
              <w:rPr>
                <w:rFonts w:ascii="宋体"/>
                <w:color w:val="auto"/>
                <w:sz w:val="18"/>
                <w:szCs w:val="18"/>
                <w:highlight w:val="none"/>
              </w:rPr>
            </w:pPr>
          </w:p>
        </w:tc>
      </w:tr>
      <w:tr w14:paraId="559E0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7878D8A7">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70" w:type="pct"/>
            <w:noWrap w:val="0"/>
            <w:vAlign w:val="center"/>
          </w:tcPr>
          <w:p w14:paraId="40CC5A7F">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抗磷脂酶A2受体抗体（ELISA法）</w:t>
            </w:r>
          </w:p>
        </w:tc>
        <w:tc>
          <w:tcPr>
            <w:tcW w:w="844" w:type="pct"/>
            <w:shd w:val="clear" w:color="auto" w:fill="auto"/>
            <w:noWrap w:val="0"/>
            <w:vAlign w:val="center"/>
          </w:tcPr>
          <w:p w14:paraId="68D0EB6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100</w:t>
            </w:r>
          </w:p>
        </w:tc>
        <w:tc>
          <w:tcPr>
            <w:tcW w:w="845" w:type="pct"/>
            <w:noWrap w:val="0"/>
            <w:vAlign w:val="top"/>
          </w:tcPr>
          <w:p w14:paraId="3FE765F8">
            <w:pPr>
              <w:rPr>
                <w:rFonts w:ascii="宋体"/>
                <w:color w:val="auto"/>
                <w:sz w:val="18"/>
                <w:szCs w:val="18"/>
                <w:highlight w:val="none"/>
              </w:rPr>
            </w:pPr>
          </w:p>
        </w:tc>
        <w:tc>
          <w:tcPr>
            <w:tcW w:w="607" w:type="pct"/>
            <w:vMerge w:val="continue"/>
            <w:tcBorders/>
            <w:noWrap w:val="0"/>
            <w:vAlign w:val="top"/>
          </w:tcPr>
          <w:p w14:paraId="6C225DAA">
            <w:pPr>
              <w:rPr>
                <w:rFonts w:ascii="宋体"/>
                <w:color w:val="auto"/>
                <w:sz w:val="18"/>
                <w:szCs w:val="18"/>
                <w:highlight w:val="none"/>
              </w:rPr>
            </w:pPr>
          </w:p>
        </w:tc>
        <w:tc>
          <w:tcPr>
            <w:tcW w:w="607" w:type="pct"/>
            <w:noWrap w:val="0"/>
            <w:vAlign w:val="top"/>
          </w:tcPr>
          <w:p w14:paraId="1DD993BC">
            <w:pPr>
              <w:rPr>
                <w:rFonts w:ascii="宋体"/>
                <w:color w:val="auto"/>
                <w:sz w:val="18"/>
                <w:szCs w:val="18"/>
                <w:highlight w:val="none"/>
              </w:rPr>
            </w:pPr>
          </w:p>
        </w:tc>
        <w:tc>
          <w:tcPr>
            <w:tcW w:w="754" w:type="pct"/>
            <w:noWrap w:val="0"/>
            <w:vAlign w:val="top"/>
          </w:tcPr>
          <w:p w14:paraId="5EF61500">
            <w:pPr>
              <w:rPr>
                <w:rFonts w:ascii="宋体"/>
                <w:color w:val="auto"/>
                <w:sz w:val="18"/>
                <w:szCs w:val="18"/>
                <w:highlight w:val="none"/>
              </w:rPr>
            </w:pPr>
          </w:p>
        </w:tc>
      </w:tr>
      <w:tr w14:paraId="45E2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69064AF8">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70" w:type="pct"/>
            <w:noWrap w:val="0"/>
            <w:vAlign w:val="center"/>
          </w:tcPr>
          <w:p w14:paraId="171A948F">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中性粒细胞明胶酶相关脂质运载蛋白（uNGAL）</w:t>
            </w:r>
          </w:p>
        </w:tc>
        <w:tc>
          <w:tcPr>
            <w:tcW w:w="844" w:type="pct"/>
            <w:shd w:val="clear" w:color="auto" w:fill="auto"/>
            <w:noWrap w:val="0"/>
            <w:vAlign w:val="center"/>
          </w:tcPr>
          <w:p w14:paraId="335276E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w:t>
            </w:r>
          </w:p>
        </w:tc>
        <w:tc>
          <w:tcPr>
            <w:tcW w:w="845" w:type="pct"/>
            <w:noWrap w:val="0"/>
            <w:vAlign w:val="top"/>
          </w:tcPr>
          <w:p w14:paraId="2EBA0EDB">
            <w:pPr>
              <w:rPr>
                <w:rFonts w:ascii="宋体"/>
                <w:color w:val="auto"/>
                <w:sz w:val="18"/>
                <w:szCs w:val="18"/>
                <w:highlight w:val="none"/>
              </w:rPr>
            </w:pPr>
          </w:p>
        </w:tc>
        <w:tc>
          <w:tcPr>
            <w:tcW w:w="607" w:type="pct"/>
            <w:vMerge w:val="continue"/>
            <w:tcBorders/>
            <w:noWrap w:val="0"/>
            <w:vAlign w:val="top"/>
          </w:tcPr>
          <w:p w14:paraId="3FF5764C">
            <w:pPr>
              <w:rPr>
                <w:rFonts w:ascii="宋体"/>
                <w:color w:val="auto"/>
                <w:sz w:val="18"/>
                <w:szCs w:val="18"/>
                <w:highlight w:val="none"/>
              </w:rPr>
            </w:pPr>
          </w:p>
        </w:tc>
        <w:tc>
          <w:tcPr>
            <w:tcW w:w="607" w:type="pct"/>
            <w:noWrap w:val="0"/>
            <w:vAlign w:val="top"/>
          </w:tcPr>
          <w:p w14:paraId="563171AC">
            <w:pPr>
              <w:rPr>
                <w:rFonts w:ascii="宋体"/>
                <w:color w:val="auto"/>
                <w:sz w:val="18"/>
                <w:szCs w:val="18"/>
                <w:highlight w:val="none"/>
              </w:rPr>
            </w:pPr>
          </w:p>
        </w:tc>
        <w:tc>
          <w:tcPr>
            <w:tcW w:w="754" w:type="pct"/>
            <w:noWrap w:val="0"/>
            <w:vAlign w:val="top"/>
          </w:tcPr>
          <w:p w14:paraId="6A3E26E4">
            <w:pPr>
              <w:rPr>
                <w:rFonts w:ascii="宋体"/>
                <w:color w:val="auto"/>
                <w:sz w:val="18"/>
                <w:szCs w:val="18"/>
                <w:highlight w:val="none"/>
              </w:rPr>
            </w:pPr>
          </w:p>
        </w:tc>
      </w:tr>
      <w:tr w14:paraId="3C59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6ADA12D">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70" w:type="pct"/>
            <w:noWrap w:val="0"/>
            <w:vAlign w:val="center"/>
          </w:tcPr>
          <w:p w14:paraId="44E8F8C1">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糖尿病自身抗体</w:t>
            </w:r>
          </w:p>
        </w:tc>
        <w:tc>
          <w:tcPr>
            <w:tcW w:w="844" w:type="pct"/>
            <w:shd w:val="clear" w:color="auto" w:fill="auto"/>
            <w:noWrap w:val="0"/>
            <w:vAlign w:val="center"/>
          </w:tcPr>
          <w:p w14:paraId="18CCDE2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w:t>
            </w:r>
          </w:p>
        </w:tc>
        <w:tc>
          <w:tcPr>
            <w:tcW w:w="845" w:type="pct"/>
            <w:noWrap w:val="0"/>
            <w:vAlign w:val="top"/>
          </w:tcPr>
          <w:p w14:paraId="7E0C871D">
            <w:pPr>
              <w:rPr>
                <w:rFonts w:ascii="宋体"/>
                <w:color w:val="auto"/>
                <w:sz w:val="18"/>
                <w:szCs w:val="18"/>
                <w:highlight w:val="none"/>
              </w:rPr>
            </w:pPr>
          </w:p>
        </w:tc>
        <w:tc>
          <w:tcPr>
            <w:tcW w:w="607" w:type="pct"/>
            <w:vMerge w:val="continue"/>
            <w:tcBorders/>
            <w:noWrap w:val="0"/>
            <w:vAlign w:val="top"/>
          </w:tcPr>
          <w:p w14:paraId="7BFEF701">
            <w:pPr>
              <w:rPr>
                <w:rFonts w:ascii="宋体"/>
                <w:color w:val="auto"/>
                <w:sz w:val="18"/>
                <w:szCs w:val="18"/>
                <w:highlight w:val="none"/>
              </w:rPr>
            </w:pPr>
          </w:p>
        </w:tc>
        <w:tc>
          <w:tcPr>
            <w:tcW w:w="607" w:type="pct"/>
            <w:noWrap w:val="0"/>
            <w:vAlign w:val="top"/>
          </w:tcPr>
          <w:p w14:paraId="3BED7621">
            <w:pPr>
              <w:rPr>
                <w:rFonts w:ascii="宋体"/>
                <w:color w:val="auto"/>
                <w:sz w:val="18"/>
                <w:szCs w:val="18"/>
                <w:highlight w:val="none"/>
              </w:rPr>
            </w:pPr>
          </w:p>
        </w:tc>
        <w:tc>
          <w:tcPr>
            <w:tcW w:w="754" w:type="pct"/>
            <w:noWrap w:val="0"/>
            <w:vAlign w:val="top"/>
          </w:tcPr>
          <w:p w14:paraId="67615330">
            <w:pPr>
              <w:rPr>
                <w:rFonts w:ascii="宋体"/>
                <w:color w:val="auto"/>
                <w:sz w:val="18"/>
                <w:szCs w:val="18"/>
                <w:highlight w:val="none"/>
              </w:rPr>
            </w:pPr>
          </w:p>
        </w:tc>
      </w:tr>
      <w:tr w14:paraId="1FD1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0AE4A1E">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70" w:type="pct"/>
            <w:noWrap w:val="0"/>
            <w:vAlign w:val="center"/>
          </w:tcPr>
          <w:p w14:paraId="11D5C7F5">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类胰岛素生长因子-1测定（IGF-1）</w:t>
            </w:r>
          </w:p>
        </w:tc>
        <w:tc>
          <w:tcPr>
            <w:tcW w:w="844" w:type="pct"/>
            <w:shd w:val="clear" w:color="auto" w:fill="auto"/>
            <w:noWrap w:val="0"/>
            <w:vAlign w:val="center"/>
          </w:tcPr>
          <w:p w14:paraId="4C4F20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120</w:t>
            </w:r>
          </w:p>
        </w:tc>
        <w:tc>
          <w:tcPr>
            <w:tcW w:w="845" w:type="pct"/>
            <w:noWrap w:val="0"/>
            <w:vAlign w:val="top"/>
          </w:tcPr>
          <w:p w14:paraId="03B3A912">
            <w:pPr>
              <w:rPr>
                <w:rFonts w:ascii="宋体"/>
                <w:color w:val="auto"/>
                <w:sz w:val="18"/>
                <w:szCs w:val="18"/>
                <w:highlight w:val="none"/>
              </w:rPr>
            </w:pPr>
          </w:p>
        </w:tc>
        <w:tc>
          <w:tcPr>
            <w:tcW w:w="607" w:type="pct"/>
            <w:vMerge w:val="continue"/>
            <w:tcBorders/>
            <w:noWrap w:val="0"/>
            <w:vAlign w:val="top"/>
          </w:tcPr>
          <w:p w14:paraId="746FE42C">
            <w:pPr>
              <w:rPr>
                <w:rFonts w:ascii="宋体"/>
                <w:color w:val="auto"/>
                <w:sz w:val="18"/>
                <w:szCs w:val="18"/>
                <w:highlight w:val="none"/>
              </w:rPr>
            </w:pPr>
          </w:p>
        </w:tc>
        <w:tc>
          <w:tcPr>
            <w:tcW w:w="607" w:type="pct"/>
            <w:noWrap w:val="0"/>
            <w:vAlign w:val="top"/>
          </w:tcPr>
          <w:p w14:paraId="50E1BDD7">
            <w:pPr>
              <w:rPr>
                <w:rFonts w:ascii="宋体"/>
                <w:color w:val="auto"/>
                <w:sz w:val="18"/>
                <w:szCs w:val="18"/>
                <w:highlight w:val="none"/>
              </w:rPr>
            </w:pPr>
          </w:p>
        </w:tc>
        <w:tc>
          <w:tcPr>
            <w:tcW w:w="754" w:type="pct"/>
            <w:noWrap w:val="0"/>
            <w:vAlign w:val="top"/>
          </w:tcPr>
          <w:p w14:paraId="14F27289">
            <w:pPr>
              <w:rPr>
                <w:rFonts w:ascii="宋体"/>
                <w:color w:val="auto"/>
                <w:sz w:val="18"/>
                <w:szCs w:val="18"/>
                <w:highlight w:val="none"/>
              </w:rPr>
            </w:pPr>
          </w:p>
        </w:tc>
      </w:tr>
      <w:tr w14:paraId="78B2E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7FBD36D">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70" w:type="pct"/>
            <w:noWrap w:val="0"/>
            <w:vAlign w:val="center"/>
          </w:tcPr>
          <w:p w14:paraId="019ABE6B">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类胰岛素生长因子结合蛋白3测定（IGFBP-3）</w:t>
            </w:r>
          </w:p>
        </w:tc>
        <w:tc>
          <w:tcPr>
            <w:tcW w:w="844" w:type="pct"/>
            <w:shd w:val="clear" w:color="auto" w:fill="auto"/>
            <w:noWrap w:val="0"/>
            <w:vAlign w:val="center"/>
          </w:tcPr>
          <w:p w14:paraId="2B697F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80</w:t>
            </w:r>
          </w:p>
        </w:tc>
        <w:tc>
          <w:tcPr>
            <w:tcW w:w="845" w:type="pct"/>
            <w:noWrap w:val="0"/>
            <w:vAlign w:val="top"/>
          </w:tcPr>
          <w:p w14:paraId="50C729BA">
            <w:pPr>
              <w:rPr>
                <w:rFonts w:ascii="宋体"/>
                <w:color w:val="auto"/>
                <w:sz w:val="18"/>
                <w:szCs w:val="18"/>
                <w:highlight w:val="none"/>
              </w:rPr>
            </w:pPr>
          </w:p>
        </w:tc>
        <w:tc>
          <w:tcPr>
            <w:tcW w:w="607" w:type="pct"/>
            <w:vMerge w:val="continue"/>
            <w:tcBorders/>
            <w:noWrap w:val="0"/>
            <w:vAlign w:val="top"/>
          </w:tcPr>
          <w:p w14:paraId="2F236475">
            <w:pPr>
              <w:rPr>
                <w:rFonts w:ascii="宋体"/>
                <w:color w:val="auto"/>
                <w:sz w:val="18"/>
                <w:szCs w:val="18"/>
                <w:highlight w:val="none"/>
              </w:rPr>
            </w:pPr>
          </w:p>
        </w:tc>
        <w:tc>
          <w:tcPr>
            <w:tcW w:w="607" w:type="pct"/>
            <w:noWrap w:val="0"/>
            <w:vAlign w:val="top"/>
          </w:tcPr>
          <w:p w14:paraId="1E0B25CE">
            <w:pPr>
              <w:rPr>
                <w:rFonts w:ascii="宋体"/>
                <w:color w:val="auto"/>
                <w:sz w:val="18"/>
                <w:szCs w:val="18"/>
                <w:highlight w:val="none"/>
              </w:rPr>
            </w:pPr>
          </w:p>
        </w:tc>
        <w:tc>
          <w:tcPr>
            <w:tcW w:w="754" w:type="pct"/>
            <w:noWrap w:val="0"/>
            <w:vAlign w:val="top"/>
          </w:tcPr>
          <w:p w14:paraId="6321A69E">
            <w:pPr>
              <w:rPr>
                <w:rFonts w:ascii="宋体"/>
                <w:color w:val="auto"/>
                <w:sz w:val="18"/>
                <w:szCs w:val="18"/>
                <w:highlight w:val="none"/>
              </w:rPr>
            </w:pPr>
          </w:p>
        </w:tc>
      </w:tr>
      <w:tr w14:paraId="54D57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557F894">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70" w:type="pct"/>
            <w:noWrap w:val="0"/>
            <w:vAlign w:val="center"/>
          </w:tcPr>
          <w:p w14:paraId="3649587B">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铜蓝蛋白测定</w:t>
            </w:r>
          </w:p>
        </w:tc>
        <w:tc>
          <w:tcPr>
            <w:tcW w:w="844" w:type="pct"/>
            <w:shd w:val="clear" w:color="auto" w:fill="auto"/>
            <w:noWrap w:val="0"/>
            <w:vAlign w:val="center"/>
          </w:tcPr>
          <w:p w14:paraId="60707EA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30</w:t>
            </w:r>
          </w:p>
        </w:tc>
        <w:tc>
          <w:tcPr>
            <w:tcW w:w="845" w:type="pct"/>
            <w:noWrap w:val="0"/>
            <w:vAlign w:val="top"/>
          </w:tcPr>
          <w:p w14:paraId="058DA99F">
            <w:pPr>
              <w:rPr>
                <w:rFonts w:ascii="宋体"/>
                <w:color w:val="auto"/>
                <w:sz w:val="18"/>
                <w:szCs w:val="18"/>
                <w:highlight w:val="none"/>
              </w:rPr>
            </w:pPr>
          </w:p>
        </w:tc>
        <w:tc>
          <w:tcPr>
            <w:tcW w:w="607" w:type="pct"/>
            <w:vMerge w:val="continue"/>
            <w:tcBorders/>
            <w:noWrap w:val="0"/>
            <w:vAlign w:val="top"/>
          </w:tcPr>
          <w:p w14:paraId="5C49D1ED">
            <w:pPr>
              <w:rPr>
                <w:rFonts w:ascii="宋体"/>
                <w:color w:val="auto"/>
                <w:sz w:val="18"/>
                <w:szCs w:val="18"/>
                <w:highlight w:val="none"/>
              </w:rPr>
            </w:pPr>
          </w:p>
        </w:tc>
        <w:tc>
          <w:tcPr>
            <w:tcW w:w="607" w:type="pct"/>
            <w:noWrap w:val="0"/>
            <w:vAlign w:val="top"/>
          </w:tcPr>
          <w:p w14:paraId="0192DEB0">
            <w:pPr>
              <w:rPr>
                <w:rFonts w:ascii="宋体"/>
                <w:color w:val="auto"/>
                <w:sz w:val="18"/>
                <w:szCs w:val="18"/>
                <w:highlight w:val="none"/>
              </w:rPr>
            </w:pPr>
          </w:p>
        </w:tc>
        <w:tc>
          <w:tcPr>
            <w:tcW w:w="754" w:type="pct"/>
            <w:noWrap w:val="0"/>
            <w:vAlign w:val="top"/>
          </w:tcPr>
          <w:p w14:paraId="04F0B210">
            <w:pPr>
              <w:rPr>
                <w:rFonts w:ascii="宋体"/>
                <w:color w:val="auto"/>
                <w:sz w:val="18"/>
                <w:szCs w:val="18"/>
                <w:highlight w:val="none"/>
              </w:rPr>
            </w:pPr>
          </w:p>
        </w:tc>
      </w:tr>
      <w:tr w14:paraId="7BA7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5A23377B">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70" w:type="pct"/>
            <w:noWrap w:val="0"/>
            <w:vAlign w:val="center"/>
          </w:tcPr>
          <w:p w14:paraId="3281D279">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血管紧张素转换酶</w:t>
            </w:r>
          </w:p>
        </w:tc>
        <w:tc>
          <w:tcPr>
            <w:tcW w:w="844" w:type="pct"/>
            <w:shd w:val="clear" w:color="auto" w:fill="auto"/>
            <w:noWrap w:val="0"/>
            <w:vAlign w:val="center"/>
          </w:tcPr>
          <w:p w14:paraId="1EB765E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845" w:type="pct"/>
            <w:noWrap w:val="0"/>
            <w:vAlign w:val="top"/>
          </w:tcPr>
          <w:p w14:paraId="069D7198">
            <w:pPr>
              <w:rPr>
                <w:rFonts w:ascii="宋体"/>
                <w:color w:val="auto"/>
                <w:sz w:val="18"/>
                <w:szCs w:val="18"/>
                <w:highlight w:val="none"/>
              </w:rPr>
            </w:pPr>
          </w:p>
        </w:tc>
        <w:tc>
          <w:tcPr>
            <w:tcW w:w="607" w:type="pct"/>
            <w:vMerge w:val="continue"/>
            <w:tcBorders/>
            <w:noWrap w:val="0"/>
            <w:vAlign w:val="top"/>
          </w:tcPr>
          <w:p w14:paraId="2758E4AD">
            <w:pPr>
              <w:rPr>
                <w:rFonts w:ascii="宋体"/>
                <w:color w:val="auto"/>
                <w:sz w:val="18"/>
                <w:szCs w:val="18"/>
                <w:highlight w:val="none"/>
              </w:rPr>
            </w:pPr>
          </w:p>
        </w:tc>
        <w:tc>
          <w:tcPr>
            <w:tcW w:w="607" w:type="pct"/>
            <w:noWrap w:val="0"/>
            <w:vAlign w:val="top"/>
          </w:tcPr>
          <w:p w14:paraId="11427870">
            <w:pPr>
              <w:rPr>
                <w:rFonts w:ascii="宋体"/>
                <w:color w:val="auto"/>
                <w:sz w:val="18"/>
                <w:szCs w:val="18"/>
                <w:highlight w:val="none"/>
              </w:rPr>
            </w:pPr>
          </w:p>
        </w:tc>
        <w:tc>
          <w:tcPr>
            <w:tcW w:w="754" w:type="pct"/>
            <w:noWrap w:val="0"/>
            <w:vAlign w:val="top"/>
          </w:tcPr>
          <w:p w14:paraId="0028033A">
            <w:pPr>
              <w:rPr>
                <w:rFonts w:ascii="宋体"/>
                <w:color w:val="auto"/>
                <w:sz w:val="18"/>
                <w:szCs w:val="18"/>
                <w:highlight w:val="none"/>
              </w:rPr>
            </w:pPr>
          </w:p>
        </w:tc>
      </w:tr>
      <w:tr w14:paraId="37EB6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2A79B4E">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70" w:type="pct"/>
            <w:noWrap w:val="0"/>
            <w:vAlign w:val="center"/>
          </w:tcPr>
          <w:p w14:paraId="15B8D962">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EPO（促红细胞生成素）测定</w:t>
            </w:r>
          </w:p>
        </w:tc>
        <w:tc>
          <w:tcPr>
            <w:tcW w:w="844" w:type="pct"/>
            <w:shd w:val="clear" w:color="auto" w:fill="auto"/>
            <w:noWrap w:val="0"/>
            <w:vAlign w:val="center"/>
          </w:tcPr>
          <w:p w14:paraId="2E1060E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70</w:t>
            </w:r>
          </w:p>
        </w:tc>
        <w:tc>
          <w:tcPr>
            <w:tcW w:w="845" w:type="pct"/>
            <w:noWrap w:val="0"/>
            <w:vAlign w:val="top"/>
          </w:tcPr>
          <w:p w14:paraId="17384FE4">
            <w:pPr>
              <w:rPr>
                <w:rFonts w:ascii="宋体"/>
                <w:color w:val="auto"/>
                <w:sz w:val="18"/>
                <w:szCs w:val="18"/>
                <w:highlight w:val="none"/>
              </w:rPr>
            </w:pPr>
          </w:p>
        </w:tc>
        <w:tc>
          <w:tcPr>
            <w:tcW w:w="607" w:type="pct"/>
            <w:vMerge w:val="continue"/>
            <w:tcBorders/>
            <w:noWrap w:val="0"/>
            <w:vAlign w:val="top"/>
          </w:tcPr>
          <w:p w14:paraId="2D91636C">
            <w:pPr>
              <w:rPr>
                <w:rFonts w:ascii="宋体"/>
                <w:color w:val="auto"/>
                <w:sz w:val="18"/>
                <w:szCs w:val="18"/>
                <w:highlight w:val="none"/>
              </w:rPr>
            </w:pPr>
          </w:p>
        </w:tc>
        <w:tc>
          <w:tcPr>
            <w:tcW w:w="607" w:type="pct"/>
            <w:noWrap w:val="0"/>
            <w:vAlign w:val="top"/>
          </w:tcPr>
          <w:p w14:paraId="34138DA9">
            <w:pPr>
              <w:rPr>
                <w:rFonts w:ascii="宋体"/>
                <w:color w:val="auto"/>
                <w:sz w:val="18"/>
                <w:szCs w:val="18"/>
                <w:highlight w:val="none"/>
              </w:rPr>
            </w:pPr>
          </w:p>
        </w:tc>
        <w:tc>
          <w:tcPr>
            <w:tcW w:w="754" w:type="pct"/>
            <w:noWrap w:val="0"/>
            <w:vAlign w:val="top"/>
          </w:tcPr>
          <w:p w14:paraId="126DD1CF">
            <w:pPr>
              <w:rPr>
                <w:rFonts w:ascii="宋体"/>
                <w:color w:val="auto"/>
                <w:sz w:val="18"/>
                <w:szCs w:val="18"/>
                <w:highlight w:val="none"/>
              </w:rPr>
            </w:pPr>
          </w:p>
        </w:tc>
      </w:tr>
      <w:tr w14:paraId="0DDEB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02FFC25A">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70" w:type="pct"/>
            <w:noWrap w:val="0"/>
            <w:vAlign w:val="center"/>
          </w:tcPr>
          <w:p w14:paraId="12050F24">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血小板膜表面相关抗体三项（包括IgA、IgM、IgG）</w:t>
            </w:r>
          </w:p>
        </w:tc>
        <w:tc>
          <w:tcPr>
            <w:tcW w:w="844" w:type="pct"/>
            <w:shd w:val="clear" w:color="auto" w:fill="auto"/>
            <w:noWrap w:val="0"/>
            <w:vAlign w:val="center"/>
          </w:tcPr>
          <w:p w14:paraId="28010C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845" w:type="pct"/>
            <w:noWrap w:val="0"/>
            <w:vAlign w:val="top"/>
          </w:tcPr>
          <w:p w14:paraId="6CB4A0D7">
            <w:pPr>
              <w:rPr>
                <w:rFonts w:ascii="宋体"/>
                <w:color w:val="auto"/>
                <w:sz w:val="18"/>
                <w:szCs w:val="18"/>
                <w:highlight w:val="none"/>
              </w:rPr>
            </w:pPr>
          </w:p>
        </w:tc>
        <w:tc>
          <w:tcPr>
            <w:tcW w:w="607" w:type="pct"/>
            <w:vMerge w:val="continue"/>
            <w:tcBorders/>
            <w:noWrap w:val="0"/>
            <w:vAlign w:val="top"/>
          </w:tcPr>
          <w:p w14:paraId="49B2675C">
            <w:pPr>
              <w:rPr>
                <w:rFonts w:ascii="宋体"/>
                <w:color w:val="auto"/>
                <w:sz w:val="18"/>
                <w:szCs w:val="18"/>
                <w:highlight w:val="none"/>
              </w:rPr>
            </w:pPr>
          </w:p>
        </w:tc>
        <w:tc>
          <w:tcPr>
            <w:tcW w:w="607" w:type="pct"/>
            <w:noWrap w:val="0"/>
            <w:vAlign w:val="top"/>
          </w:tcPr>
          <w:p w14:paraId="2F7BD158">
            <w:pPr>
              <w:rPr>
                <w:rFonts w:ascii="宋体"/>
                <w:color w:val="auto"/>
                <w:sz w:val="18"/>
                <w:szCs w:val="18"/>
                <w:highlight w:val="none"/>
              </w:rPr>
            </w:pPr>
          </w:p>
        </w:tc>
        <w:tc>
          <w:tcPr>
            <w:tcW w:w="754" w:type="pct"/>
            <w:noWrap w:val="0"/>
            <w:vAlign w:val="top"/>
          </w:tcPr>
          <w:p w14:paraId="3672431E">
            <w:pPr>
              <w:rPr>
                <w:rFonts w:ascii="宋体"/>
                <w:color w:val="auto"/>
                <w:sz w:val="18"/>
                <w:szCs w:val="18"/>
                <w:highlight w:val="none"/>
              </w:rPr>
            </w:pPr>
          </w:p>
        </w:tc>
      </w:tr>
      <w:tr w14:paraId="4819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B1181CD">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70" w:type="pct"/>
            <w:noWrap w:val="0"/>
            <w:vAlign w:val="center"/>
          </w:tcPr>
          <w:p w14:paraId="094FB135">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免疫球蛋白亚类定量测定（包括IgG1、IgG2、IgG3、IgG4、IgA1、IgA2）</w:t>
            </w:r>
          </w:p>
        </w:tc>
        <w:tc>
          <w:tcPr>
            <w:tcW w:w="844" w:type="pct"/>
            <w:shd w:val="clear" w:color="auto" w:fill="auto"/>
            <w:noWrap w:val="0"/>
            <w:vAlign w:val="center"/>
          </w:tcPr>
          <w:p w14:paraId="403780E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150</w:t>
            </w:r>
          </w:p>
        </w:tc>
        <w:tc>
          <w:tcPr>
            <w:tcW w:w="845" w:type="pct"/>
            <w:noWrap w:val="0"/>
            <w:vAlign w:val="top"/>
          </w:tcPr>
          <w:p w14:paraId="7EB44781">
            <w:pPr>
              <w:rPr>
                <w:rFonts w:ascii="宋体"/>
                <w:color w:val="auto"/>
                <w:sz w:val="18"/>
                <w:szCs w:val="18"/>
                <w:highlight w:val="none"/>
              </w:rPr>
            </w:pPr>
          </w:p>
        </w:tc>
        <w:tc>
          <w:tcPr>
            <w:tcW w:w="607" w:type="pct"/>
            <w:vMerge w:val="continue"/>
            <w:tcBorders/>
            <w:noWrap w:val="0"/>
            <w:vAlign w:val="top"/>
          </w:tcPr>
          <w:p w14:paraId="7F2CC9A3">
            <w:pPr>
              <w:rPr>
                <w:rFonts w:ascii="宋体"/>
                <w:color w:val="auto"/>
                <w:sz w:val="18"/>
                <w:szCs w:val="18"/>
                <w:highlight w:val="none"/>
              </w:rPr>
            </w:pPr>
          </w:p>
        </w:tc>
        <w:tc>
          <w:tcPr>
            <w:tcW w:w="607" w:type="pct"/>
            <w:noWrap w:val="0"/>
            <w:vAlign w:val="top"/>
          </w:tcPr>
          <w:p w14:paraId="4861B58E">
            <w:pPr>
              <w:rPr>
                <w:rFonts w:ascii="宋体"/>
                <w:color w:val="auto"/>
                <w:sz w:val="18"/>
                <w:szCs w:val="18"/>
                <w:highlight w:val="none"/>
              </w:rPr>
            </w:pPr>
          </w:p>
        </w:tc>
        <w:tc>
          <w:tcPr>
            <w:tcW w:w="754" w:type="pct"/>
            <w:noWrap w:val="0"/>
            <w:vAlign w:val="top"/>
          </w:tcPr>
          <w:p w14:paraId="0F0C831F">
            <w:pPr>
              <w:rPr>
                <w:rFonts w:ascii="宋体"/>
                <w:color w:val="auto"/>
                <w:sz w:val="18"/>
                <w:szCs w:val="18"/>
                <w:highlight w:val="none"/>
              </w:rPr>
            </w:pPr>
          </w:p>
        </w:tc>
      </w:tr>
      <w:tr w14:paraId="0264C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608D4828">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070" w:type="pct"/>
            <w:noWrap w:val="0"/>
            <w:vAlign w:val="center"/>
          </w:tcPr>
          <w:p w14:paraId="527C5396">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呼吸道感染病原体IgM抗体检测包括嗜肺军团菌血清1型、肺炎支原体、Q热立克次体、肺炎衣原体、腺病毒、呼吸道合胞病毒、甲型流感病毒、乙型流感病毒和副流感病毒1、2和3型等9项。）</w:t>
            </w:r>
          </w:p>
        </w:tc>
        <w:tc>
          <w:tcPr>
            <w:tcW w:w="844" w:type="pct"/>
            <w:shd w:val="clear" w:color="auto" w:fill="auto"/>
            <w:noWrap w:val="0"/>
            <w:vAlign w:val="center"/>
          </w:tcPr>
          <w:p w14:paraId="041F300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45</w:t>
            </w:r>
          </w:p>
        </w:tc>
        <w:tc>
          <w:tcPr>
            <w:tcW w:w="845" w:type="pct"/>
            <w:noWrap w:val="0"/>
            <w:vAlign w:val="top"/>
          </w:tcPr>
          <w:p w14:paraId="27FD1C5A">
            <w:pPr>
              <w:rPr>
                <w:rFonts w:ascii="宋体"/>
                <w:color w:val="auto"/>
                <w:sz w:val="18"/>
                <w:szCs w:val="18"/>
                <w:highlight w:val="none"/>
              </w:rPr>
            </w:pPr>
          </w:p>
        </w:tc>
        <w:tc>
          <w:tcPr>
            <w:tcW w:w="607" w:type="pct"/>
            <w:vMerge w:val="continue"/>
            <w:tcBorders/>
            <w:noWrap w:val="0"/>
            <w:vAlign w:val="top"/>
          </w:tcPr>
          <w:p w14:paraId="0637B004">
            <w:pPr>
              <w:rPr>
                <w:rFonts w:ascii="宋体"/>
                <w:color w:val="auto"/>
                <w:sz w:val="18"/>
                <w:szCs w:val="18"/>
                <w:highlight w:val="none"/>
              </w:rPr>
            </w:pPr>
          </w:p>
        </w:tc>
        <w:tc>
          <w:tcPr>
            <w:tcW w:w="607" w:type="pct"/>
            <w:noWrap w:val="0"/>
            <w:vAlign w:val="top"/>
          </w:tcPr>
          <w:p w14:paraId="0540664E">
            <w:pPr>
              <w:rPr>
                <w:rFonts w:ascii="宋体"/>
                <w:color w:val="auto"/>
                <w:sz w:val="18"/>
                <w:szCs w:val="18"/>
                <w:highlight w:val="none"/>
              </w:rPr>
            </w:pPr>
          </w:p>
        </w:tc>
        <w:tc>
          <w:tcPr>
            <w:tcW w:w="754" w:type="pct"/>
            <w:noWrap w:val="0"/>
            <w:vAlign w:val="top"/>
          </w:tcPr>
          <w:p w14:paraId="56728D2F">
            <w:pPr>
              <w:rPr>
                <w:rFonts w:ascii="宋体"/>
                <w:color w:val="auto"/>
                <w:sz w:val="18"/>
                <w:szCs w:val="18"/>
                <w:highlight w:val="none"/>
              </w:rPr>
            </w:pPr>
          </w:p>
        </w:tc>
      </w:tr>
      <w:tr w14:paraId="1005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0A6B0AE">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070" w:type="pct"/>
            <w:noWrap w:val="0"/>
            <w:vAlign w:val="center"/>
          </w:tcPr>
          <w:p w14:paraId="53750F4D">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EB病毒抗体</w:t>
            </w:r>
          </w:p>
        </w:tc>
        <w:tc>
          <w:tcPr>
            <w:tcW w:w="844" w:type="pct"/>
            <w:shd w:val="clear" w:color="auto" w:fill="auto"/>
            <w:noWrap w:val="0"/>
            <w:vAlign w:val="center"/>
          </w:tcPr>
          <w:p w14:paraId="30B868D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45</w:t>
            </w:r>
          </w:p>
        </w:tc>
        <w:tc>
          <w:tcPr>
            <w:tcW w:w="845" w:type="pct"/>
            <w:noWrap w:val="0"/>
            <w:vAlign w:val="top"/>
          </w:tcPr>
          <w:p w14:paraId="2C480C71">
            <w:pPr>
              <w:rPr>
                <w:rFonts w:ascii="宋体"/>
                <w:color w:val="auto"/>
                <w:sz w:val="18"/>
                <w:szCs w:val="18"/>
                <w:highlight w:val="none"/>
              </w:rPr>
            </w:pPr>
          </w:p>
        </w:tc>
        <w:tc>
          <w:tcPr>
            <w:tcW w:w="607" w:type="pct"/>
            <w:vMerge w:val="continue"/>
            <w:tcBorders/>
            <w:noWrap w:val="0"/>
            <w:vAlign w:val="top"/>
          </w:tcPr>
          <w:p w14:paraId="02EDD43F">
            <w:pPr>
              <w:rPr>
                <w:rFonts w:ascii="宋体"/>
                <w:color w:val="auto"/>
                <w:sz w:val="18"/>
                <w:szCs w:val="18"/>
                <w:highlight w:val="none"/>
              </w:rPr>
            </w:pPr>
          </w:p>
        </w:tc>
        <w:tc>
          <w:tcPr>
            <w:tcW w:w="607" w:type="pct"/>
            <w:noWrap w:val="0"/>
            <w:vAlign w:val="top"/>
          </w:tcPr>
          <w:p w14:paraId="58FFD5FD">
            <w:pPr>
              <w:rPr>
                <w:rFonts w:ascii="宋体"/>
                <w:color w:val="auto"/>
                <w:sz w:val="18"/>
                <w:szCs w:val="18"/>
                <w:highlight w:val="none"/>
              </w:rPr>
            </w:pPr>
          </w:p>
        </w:tc>
        <w:tc>
          <w:tcPr>
            <w:tcW w:w="754" w:type="pct"/>
            <w:noWrap w:val="0"/>
            <w:vAlign w:val="top"/>
          </w:tcPr>
          <w:p w14:paraId="6FF45E05">
            <w:pPr>
              <w:rPr>
                <w:rFonts w:ascii="宋体"/>
                <w:color w:val="auto"/>
                <w:sz w:val="18"/>
                <w:szCs w:val="18"/>
                <w:highlight w:val="none"/>
              </w:rPr>
            </w:pPr>
          </w:p>
        </w:tc>
      </w:tr>
      <w:tr w14:paraId="0776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64E498A1">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1070" w:type="pct"/>
            <w:noWrap w:val="0"/>
            <w:vAlign w:val="center"/>
          </w:tcPr>
          <w:p w14:paraId="52E82425">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丁型肝炎病毒抗体（HDV-IgM）</w:t>
            </w:r>
          </w:p>
        </w:tc>
        <w:tc>
          <w:tcPr>
            <w:tcW w:w="844" w:type="pct"/>
            <w:shd w:val="clear" w:color="auto" w:fill="auto"/>
            <w:noWrap w:val="0"/>
            <w:vAlign w:val="center"/>
          </w:tcPr>
          <w:p w14:paraId="5EE5316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35</w:t>
            </w:r>
          </w:p>
        </w:tc>
        <w:tc>
          <w:tcPr>
            <w:tcW w:w="845" w:type="pct"/>
            <w:noWrap w:val="0"/>
            <w:vAlign w:val="top"/>
          </w:tcPr>
          <w:p w14:paraId="36F8E08D">
            <w:pPr>
              <w:rPr>
                <w:rFonts w:ascii="宋体"/>
                <w:color w:val="auto"/>
                <w:sz w:val="18"/>
                <w:szCs w:val="18"/>
                <w:highlight w:val="none"/>
              </w:rPr>
            </w:pPr>
          </w:p>
        </w:tc>
        <w:tc>
          <w:tcPr>
            <w:tcW w:w="607" w:type="pct"/>
            <w:vMerge w:val="continue"/>
            <w:tcBorders/>
            <w:noWrap w:val="0"/>
            <w:vAlign w:val="top"/>
          </w:tcPr>
          <w:p w14:paraId="6ED97B61">
            <w:pPr>
              <w:rPr>
                <w:rFonts w:ascii="宋体"/>
                <w:color w:val="auto"/>
                <w:sz w:val="18"/>
                <w:szCs w:val="18"/>
                <w:highlight w:val="none"/>
              </w:rPr>
            </w:pPr>
          </w:p>
        </w:tc>
        <w:tc>
          <w:tcPr>
            <w:tcW w:w="607" w:type="pct"/>
            <w:noWrap w:val="0"/>
            <w:vAlign w:val="top"/>
          </w:tcPr>
          <w:p w14:paraId="678AB3FE">
            <w:pPr>
              <w:rPr>
                <w:rFonts w:ascii="宋体"/>
                <w:color w:val="auto"/>
                <w:sz w:val="18"/>
                <w:szCs w:val="18"/>
                <w:highlight w:val="none"/>
              </w:rPr>
            </w:pPr>
          </w:p>
        </w:tc>
        <w:tc>
          <w:tcPr>
            <w:tcW w:w="754" w:type="pct"/>
            <w:noWrap w:val="0"/>
            <w:vAlign w:val="top"/>
          </w:tcPr>
          <w:p w14:paraId="654B6604">
            <w:pPr>
              <w:rPr>
                <w:rFonts w:ascii="宋体"/>
                <w:color w:val="auto"/>
                <w:sz w:val="18"/>
                <w:szCs w:val="18"/>
                <w:highlight w:val="none"/>
              </w:rPr>
            </w:pPr>
          </w:p>
        </w:tc>
      </w:tr>
      <w:tr w14:paraId="73B6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A6B6F09">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1070" w:type="pct"/>
            <w:noWrap w:val="0"/>
            <w:vAlign w:val="center"/>
          </w:tcPr>
          <w:p w14:paraId="7F7FAD17">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丁型肝炎病毒抗体（HDV-IgG）</w:t>
            </w:r>
          </w:p>
        </w:tc>
        <w:tc>
          <w:tcPr>
            <w:tcW w:w="844" w:type="pct"/>
            <w:shd w:val="clear" w:color="auto" w:fill="auto"/>
            <w:noWrap w:val="0"/>
            <w:vAlign w:val="center"/>
          </w:tcPr>
          <w:p w14:paraId="409989B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35</w:t>
            </w:r>
          </w:p>
        </w:tc>
        <w:tc>
          <w:tcPr>
            <w:tcW w:w="845" w:type="pct"/>
            <w:noWrap w:val="0"/>
            <w:vAlign w:val="top"/>
          </w:tcPr>
          <w:p w14:paraId="2915B09A">
            <w:pPr>
              <w:rPr>
                <w:rFonts w:ascii="宋体"/>
                <w:color w:val="auto"/>
                <w:sz w:val="18"/>
                <w:szCs w:val="18"/>
                <w:highlight w:val="none"/>
              </w:rPr>
            </w:pPr>
          </w:p>
        </w:tc>
        <w:tc>
          <w:tcPr>
            <w:tcW w:w="607" w:type="pct"/>
            <w:vMerge w:val="continue"/>
            <w:tcBorders/>
            <w:noWrap w:val="0"/>
            <w:vAlign w:val="top"/>
          </w:tcPr>
          <w:p w14:paraId="3A9356EA">
            <w:pPr>
              <w:rPr>
                <w:rFonts w:ascii="宋体"/>
                <w:color w:val="auto"/>
                <w:sz w:val="18"/>
                <w:szCs w:val="18"/>
                <w:highlight w:val="none"/>
              </w:rPr>
            </w:pPr>
          </w:p>
        </w:tc>
        <w:tc>
          <w:tcPr>
            <w:tcW w:w="607" w:type="pct"/>
            <w:noWrap w:val="0"/>
            <w:vAlign w:val="top"/>
          </w:tcPr>
          <w:p w14:paraId="7C9B4613">
            <w:pPr>
              <w:rPr>
                <w:rFonts w:ascii="宋体"/>
                <w:color w:val="auto"/>
                <w:sz w:val="18"/>
                <w:szCs w:val="18"/>
                <w:highlight w:val="none"/>
              </w:rPr>
            </w:pPr>
          </w:p>
        </w:tc>
        <w:tc>
          <w:tcPr>
            <w:tcW w:w="754" w:type="pct"/>
            <w:noWrap w:val="0"/>
            <w:vAlign w:val="top"/>
          </w:tcPr>
          <w:p w14:paraId="14660143">
            <w:pPr>
              <w:rPr>
                <w:rFonts w:ascii="宋体"/>
                <w:color w:val="auto"/>
                <w:sz w:val="18"/>
                <w:szCs w:val="18"/>
                <w:highlight w:val="none"/>
              </w:rPr>
            </w:pPr>
          </w:p>
        </w:tc>
      </w:tr>
      <w:tr w14:paraId="5A64F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2249BF6D">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1070" w:type="pct"/>
            <w:noWrap w:val="0"/>
            <w:vAlign w:val="center"/>
          </w:tcPr>
          <w:p w14:paraId="66B5176E">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结核杆菌抗体（TB-AB）检测</w:t>
            </w:r>
          </w:p>
        </w:tc>
        <w:tc>
          <w:tcPr>
            <w:tcW w:w="844" w:type="pct"/>
            <w:shd w:val="clear" w:color="auto" w:fill="auto"/>
            <w:noWrap w:val="0"/>
            <w:vAlign w:val="center"/>
          </w:tcPr>
          <w:p w14:paraId="0FFE082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845" w:type="pct"/>
            <w:noWrap w:val="0"/>
            <w:vAlign w:val="top"/>
          </w:tcPr>
          <w:p w14:paraId="18BAFD94">
            <w:pPr>
              <w:rPr>
                <w:rFonts w:ascii="宋体"/>
                <w:color w:val="auto"/>
                <w:sz w:val="18"/>
                <w:szCs w:val="18"/>
                <w:highlight w:val="none"/>
              </w:rPr>
            </w:pPr>
          </w:p>
        </w:tc>
        <w:tc>
          <w:tcPr>
            <w:tcW w:w="607" w:type="pct"/>
            <w:vMerge w:val="continue"/>
            <w:tcBorders/>
            <w:noWrap w:val="0"/>
            <w:vAlign w:val="top"/>
          </w:tcPr>
          <w:p w14:paraId="7FAA8682">
            <w:pPr>
              <w:rPr>
                <w:rFonts w:ascii="宋体"/>
                <w:color w:val="auto"/>
                <w:sz w:val="18"/>
                <w:szCs w:val="18"/>
                <w:highlight w:val="none"/>
              </w:rPr>
            </w:pPr>
          </w:p>
        </w:tc>
        <w:tc>
          <w:tcPr>
            <w:tcW w:w="607" w:type="pct"/>
            <w:noWrap w:val="0"/>
            <w:vAlign w:val="top"/>
          </w:tcPr>
          <w:p w14:paraId="04B878E5">
            <w:pPr>
              <w:rPr>
                <w:rFonts w:ascii="宋体"/>
                <w:color w:val="auto"/>
                <w:sz w:val="18"/>
                <w:szCs w:val="18"/>
                <w:highlight w:val="none"/>
              </w:rPr>
            </w:pPr>
          </w:p>
        </w:tc>
        <w:tc>
          <w:tcPr>
            <w:tcW w:w="754" w:type="pct"/>
            <w:noWrap w:val="0"/>
            <w:vAlign w:val="top"/>
          </w:tcPr>
          <w:p w14:paraId="604C5BDA">
            <w:pPr>
              <w:rPr>
                <w:rFonts w:ascii="宋体"/>
                <w:color w:val="auto"/>
                <w:sz w:val="18"/>
                <w:szCs w:val="18"/>
                <w:highlight w:val="none"/>
              </w:rPr>
            </w:pPr>
          </w:p>
        </w:tc>
      </w:tr>
      <w:tr w14:paraId="765A9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582CD2CD">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070" w:type="pct"/>
            <w:noWrap w:val="0"/>
            <w:vAlign w:val="center"/>
          </w:tcPr>
          <w:p w14:paraId="2D776E98">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隐球菌荚膜抗原检测</w:t>
            </w:r>
          </w:p>
        </w:tc>
        <w:tc>
          <w:tcPr>
            <w:tcW w:w="844" w:type="pct"/>
            <w:shd w:val="clear" w:color="auto" w:fill="auto"/>
            <w:noWrap w:val="0"/>
            <w:vAlign w:val="center"/>
          </w:tcPr>
          <w:p w14:paraId="1E34D73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120</w:t>
            </w:r>
          </w:p>
        </w:tc>
        <w:tc>
          <w:tcPr>
            <w:tcW w:w="845" w:type="pct"/>
            <w:noWrap w:val="0"/>
            <w:vAlign w:val="top"/>
          </w:tcPr>
          <w:p w14:paraId="7694BF4F">
            <w:pPr>
              <w:rPr>
                <w:rFonts w:ascii="宋体"/>
                <w:color w:val="auto"/>
                <w:sz w:val="18"/>
                <w:szCs w:val="18"/>
                <w:highlight w:val="none"/>
              </w:rPr>
            </w:pPr>
          </w:p>
        </w:tc>
        <w:tc>
          <w:tcPr>
            <w:tcW w:w="607" w:type="pct"/>
            <w:vMerge w:val="continue"/>
            <w:tcBorders/>
            <w:noWrap w:val="0"/>
            <w:vAlign w:val="top"/>
          </w:tcPr>
          <w:p w14:paraId="1BD4338A">
            <w:pPr>
              <w:rPr>
                <w:rFonts w:ascii="宋体"/>
                <w:color w:val="auto"/>
                <w:sz w:val="18"/>
                <w:szCs w:val="18"/>
                <w:highlight w:val="none"/>
              </w:rPr>
            </w:pPr>
          </w:p>
        </w:tc>
        <w:tc>
          <w:tcPr>
            <w:tcW w:w="607" w:type="pct"/>
            <w:noWrap w:val="0"/>
            <w:vAlign w:val="top"/>
          </w:tcPr>
          <w:p w14:paraId="607DA74A">
            <w:pPr>
              <w:rPr>
                <w:rFonts w:ascii="宋体"/>
                <w:color w:val="auto"/>
                <w:sz w:val="18"/>
                <w:szCs w:val="18"/>
                <w:highlight w:val="none"/>
              </w:rPr>
            </w:pPr>
          </w:p>
        </w:tc>
        <w:tc>
          <w:tcPr>
            <w:tcW w:w="754" w:type="pct"/>
            <w:noWrap w:val="0"/>
            <w:vAlign w:val="top"/>
          </w:tcPr>
          <w:p w14:paraId="7F5039A7">
            <w:pPr>
              <w:rPr>
                <w:rFonts w:ascii="宋体"/>
                <w:color w:val="auto"/>
                <w:sz w:val="18"/>
                <w:szCs w:val="18"/>
                <w:highlight w:val="none"/>
              </w:rPr>
            </w:pPr>
          </w:p>
        </w:tc>
      </w:tr>
      <w:tr w14:paraId="0ECE5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4D803711">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070" w:type="pct"/>
            <w:noWrap w:val="0"/>
            <w:vAlign w:val="center"/>
          </w:tcPr>
          <w:p w14:paraId="1393AF2E">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真菌（1-3）-β-D-葡聚糖测定</w:t>
            </w:r>
          </w:p>
        </w:tc>
        <w:tc>
          <w:tcPr>
            <w:tcW w:w="844" w:type="pct"/>
            <w:shd w:val="clear" w:color="auto" w:fill="auto"/>
            <w:noWrap w:val="0"/>
            <w:vAlign w:val="center"/>
          </w:tcPr>
          <w:p w14:paraId="0AE9C93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155</w:t>
            </w:r>
          </w:p>
        </w:tc>
        <w:tc>
          <w:tcPr>
            <w:tcW w:w="845" w:type="pct"/>
            <w:noWrap w:val="0"/>
            <w:vAlign w:val="top"/>
          </w:tcPr>
          <w:p w14:paraId="5E2ACD4A">
            <w:pPr>
              <w:rPr>
                <w:rFonts w:ascii="宋体"/>
                <w:color w:val="auto"/>
                <w:sz w:val="18"/>
                <w:szCs w:val="18"/>
                <w:highlight w:val="none"/>
              </w:rPr>
            </w:pPr>
          </w:p>
        </w:tc>
        <w:tc>
          <w:tcPr>
            <w:tcW w:w="607" w:type="pct"/>
            <w:vMerge w:val="continue"/>
            <w:tcBorders/>
            <w:noWrap w:val="0"/>
            <w:vAlign w:val="top"/>
          </w:tcPr>
          <w:p w14:paraId="2D108BCE">
            <w:pPr>
              <w:rPr>
                <w:rFonts w:ascii="宋体"/>
                <w:color w:val="auto"/>
                <w:sz w:val="18"/>
                <w:szCs w:val="18"/>
                <w:highlight w:val="none"/>
              </w:rPr>
            </w:pPr>
          </w:p>
        </w:tc>
        <w:tc>
          <w:tcPr>
            <w:tcW w:w="607" w:type="pct"/>
            <w:noWrap w:val="0"/>
            <w:vAlign w:val="top"/>
          </w:tcPr>
          <w:p w14:paraId="2760E4BB">
            <w:pPr>
              <w:rPr>
                <w:rFonts w:ascii="宋体"/>
                <w:color w:val="auto"/>
                <w:sz w:val="18"/>
                <w:szCs w:val="18"/>
                <w:highlight w:val="none"/>
              </w:rPr>
            </w:pPr>
          </w:p>
        </w:tc>
        <w:tc>
          <w:tcPr>
            <w:tcW w:w="754" w:type="pct"/>
            <w:noWrap w:val="0"/>
            <w:vAlign w:val="top"/>
          </w:tcPr>
          <w:p w14:paraId="756638B3">
            <w:pPr>
              <w:rPr>
                <w:rFonts w:ascii="宋体"/>
                <w:color w:val="auto"/>
                <w:sz w:val="18"/>
                <w:szCs w:val="18"/>
                <w:highlight w:val="none"/>
              </w:rPr>
            </w:pPr>
          </w:p>
        </w:tc>
      </w:tr>
      <w:tr w14:paraId="5AE7A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01DEF69C">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1070" w:type="pct"/>
            <w:noWrap w:val="0"/>
            <w:vAlign w:val="center"/>
          </w:tcPr>
          <w:p w14:paraId="01F924F8">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曲霉菌免疫学测定（包括GM、抗体IgG、IgM、IgE测定）</w:t>
            </w:r>
          </w:p>
        </w:tc>
        <w:tc>
          <w:tcPr>
            <w:tcW w:w="844" w:type="pct"/>
            <w:shd w:val="clear" w:color="auto" w:fill="auto"/>
            <w:noWrap w:val="0"/>
            <w:vAlign w:val="center"/>
          </w:tcPr>
          <w:p w14:paraId="667A4B4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150</w:t>
            </w:r>
          </w:p>
        </w:tc>
        <w:tc>
          <w:tcPr>
            <w:tcW w:w="845" w:type="pct"/>
            <w:noWrap w:val="0"/>
            <w:vAlign w:val="top"/>
          </w:tcPr>
          <w:p w14:paraId="46767A33">
            <w:pPr>
              <w:rPr>
                <w:rFonts w:ascii="宋体"/>
                <w:color w:val="auto"/>
                <w:sz w:val="18"/>
                <w:szCs w:val="18"/>
                <w:highlight w:val="none"/>
              </w:rPr>
            </w:pPr>
          </w:p>
        </w:tc>
        <w:tc>
          <w:tcPr>
            <w:tcW w:w="607" w:type="pct"/>
            <w:vMerge w:val="continue"/>
            <w:tcBorders/>
            <w:noWrap w:val="0"/>
            <w:vAlign w:val="top"/>
          </w:tcPr>
          <w:p w14:paraId="72CAE7F9">
            <w:pPr>
              <w:rPr>
                <w:rFonts w:ascii="宋体"/>
                <w:color w:val="auto"/>
                <w:sz w:val="18"/>
                <w:szCs w:val="18"/>
                <w:highlight w:val="none"/>
              </w:rPr>
            </w:pPr>
          </w:p>
        </w:tc>
        <w:tc>
          <w:tcPr>
            <w:tcW w:w="607" w:type="pct"/>
            <w:noWrap w:val="0"/>
            <w:vAlign w:val="top"/>
          </w:tcPr>
          <w:p w14:paraId="15C25C0E">
            <w:pPr>
              <w:rPr>
                <w:rFonts w:ascii="宋体"/>
                <w:color w:val="auto"/>
                <w:sz w:val="18"/>
                <w:szCs w:val="18"/>
                <w:highlight w:val="none"/>
              </w:rPr>
            </w:pPr>
          </w:p>
        </w:tc>
        <w:tc>
          <w:tcPr>
            <w:tcW w:w="754" w:type="pct"/>
            <w:noWrap w:val="0"/>
            <w:vAlign w:val="top"/>
          </w:tcPr>
          <w:p w14:paraId="1995C424">
            <w:pPr>
              <w:rPr>
                <w:rFonts w:ascii="宋体"/>
                <w:color w:val="auto"/>
                <w:sz w:val="18"/>
                <w:szCs w:val="18"/>
                <w:highlight w:val="none"/>
              </w:rPr>
            </w:pPr>
          </w:p>
        </w:tc>
      </w:tr>
      <w:tr w14:paraId="39FBC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6E86B0A">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1070" w:type="pct"/>
            <w:noWrap w:val="0"/>
            <w:vAlign w:val="center"/>
          </w:tcPr>
          <w:p w14:paraId="534F34B8">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军团菌尿抗原</w:t>
            </w:r>
          </w:p>
        </w:tc>
        <w:tc>
          <w:tcPr>
            <w:tcW w:w="844" w:type="pct"/>
            <w:shd w:val="clear" w:color="auto" w:fill="auto"/>
            <w:noWrap w:val="0"/>
            <w:vAlign w:val="center"/>
          </w:tcPr>
          <w:p w14:paraId="5005B6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95</w:t>
            </w:r>
          </w:p>
        </w:tc>
        <w:tc>
          <w:tcPr>
            <w:tcW w:w="845" w:type="pct"/>
            <w:noWrap w:val="0"/>
            <w:vAlign w:val="top"/>
          </w:tcPr>
          <w:p w14:paraId="7A3887CA">
            <w:pPr>
              <w:rPr>
                <w:rFonts w:ascii="宋体"/>
                <w:color w:val="auto"/>
                <w:sz w:val="18"/>
                <w:szCs w:val="18"/>
                <w:highlight w:val="none"/>
              </w:rPr>
            </w:pPr>
          </w:p>
        </w:tc>
        <w:tc>
          <w:tcPr>
            <w:tcW w:w="607" w:type="pct"/>
            <w:vMerge w:val="continue"/>
            <w:tcBorders/>
            <w:noWrap w:val="0"/>
            <w:vAlign w:val="top"/>
          </w:tcPr>
          <w:p w14:paraId="18C2144C">
            <w:pPr>
              <w:rPr>
                <w:rFonts w:ascii="宋体"/>
                <w:color w:val="auto"/>
                <w:sz w:val="18"/>
                <w:szCs w:val="18"/>
                <w:highlight w:val="none"/>
              </w:rPr>
            </w:pPr>
          </w:p>
        </w:tc>
        <w:tc>
          <w:tcPr>
            <w:tcW w:w="607" w:type="pct"/>
            <w:noWrap w:val="0"/>
            <w:vAlign w:val="top"/>
          </w:tcPr>
          <w:p w14:paraId="55772BD8">
            <w:pPr>
              <w:rPr>
                <w:rFonts w:ascii="宋体"/>
                <w:color w:val="auto"/>
                <w:sz w:val="18"/>
                <w:szCs w:val="18"/>
                <w:highlight w:val="none"/>
              </w:rPr>
            </w:pPr>
          </w:p>
        </w:tc>
        <w:tc>
          <w:tcPr>
            <w:tcW w:w="754" w:type="pct"/>
            <w:noWrap w:val="0"/>
            <w:vAlign w:val="top"/>
          </w:tcPr>
          <w:p w14:paraId="7E5F9932">
            <w:pPr>
              <w:rPr>
                <w:rFonts w:ascii="宋体"/>
                <w:color w:val="auto"/>
                <w:sz w:val="18"/>
                <w:szCs w:val="18"/>
                <w:highlight w:val="none"/>
              </w:rPr>
            </w:pPr>
          </w:p>
        </w:tc>
      </w:tr>
      <w:tr w14:paraId="7FBA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75944D7">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1070" w:type="pct"/>
            <w:noWrap w:val="0"/>
            <w:vAlign w:val="center"/>
          </w:tcPr>
          <w:p w14:paraId="0AB2A361">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军团菌培养</w:t>
            </w:r>
          </w:p>
        </w:tc>
        <w:tc>
          <w:tcPr>
            <w:tcW w:w="844" w:type="pct"/>
            <w:shd w:val="clear" w:color="auto" w:fill="auto"/>
            <w:noWrap w:val="0"/>
            <w:vAlign w:val="center"/>
          </w:tcPr>
          <w:p w14:paraId="3D61776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30</w:t>
            </w:r>
          </w:p>
        </w:tc>
        <w:tc>
          <w:tcPr>
            <w:tcW w:w="845" w:type="pct"/>
            <w:noWrap w:val="0"/>
            <w:vAlign w:val="top"/>
          </w:tcPr>
          <w:p w14:paraId="22E67507">
            <w:pPr>
              <w:rPr>
                <w:rFonts w:ascii="宋体"/>
                <w:color w:val="auto"/>
                <w:sz w:val="18"/>
                <w:szCs w:val="18"/>
                <w:highlight w:val="none"/>
              </w:rPr>
            </w:pPr>
          </w:p>
        </w:tc>
        <w:tc>
          <w:tcPr>
            <w:tcW w:w="607" w:type="pct"/>
            <w:vMerge w:val="continue"/>
            <w:tcBorders/>
            <w:noWrap w:val="0"/>
            <w:vAlign w:val="top"/>
          </w:tcPr>
          <w:p w14:paraId="57E8D5CA">
            <w:pPr>
              <w:rPr>
                <w:rFonts w:ascii="宋体"/>
                <w:color w:val="auto"/>
                <w:sz w:val="18"/>
                <w:szCs w:val="18"/>
                <w:highlight w:val="none"/>
              </w:rPr>
            </w:pPr>
          </w:p>
        </w:tc>
        <w:tc>
          <w:tcPr>
            <w:tcW w:w="607" w:type="pct"/>
            <w:noWrap w:val="0"/>
            <w:vAlign w:val="top"/>
          </w:tcPr>
          <w:p w14:paraId="199E6144">
            <w:pPr>
              <w:rPr>
                <w:rFonts w:ascii="宋体"/>
                <w:color w:val="auto"/>
                <w:sz w:val="18"/>
                <w:szCs w:val="18"/>
                <w:highlight w:val="none"/>
              </w:rPr>
            </w:pPr>
          </w:p>
        </w:tc>
        <w:tc>
          <w:tcPr>
            <w:tcW w:w="754" w:type="pct"/>
            <w:noWrap w:val="0"/>
            <w:vAlign w:val="top"/>
          </w:tcPr>
          <w:p w14:paraId="2D47B311">
            <w:pPr>
              <w:rPr>
                <w:rFonts w:ascii="宋体"/>
                <w:color w:val="auto"/>
                <w:sz w:val="18"/>
                <w:szCs w:val="18"/>
                <w:highlight w:val="none"/>
              </w:rPr>
            </w:pPr>
          </w:p>
        </w:tc>
      </w:tr>
      <w:tr w14:paraId="7F841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0D29A3CA">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1070" w:type="pct"/>
            <w:noWrap w:val="0"/>
            <w:vAlign w:val="center"/>
          </w:tcPr>
          <w:p w14:paraId="70AE250D">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肺吸虫抗原和抗体测定</w:t>
            </w:r>
          </w:p>
        </w:tc>
        <w:tc>
          <w:tcPr>
            <w:tcW w:w="844" w:type="pct"/>
            <w:shd w:val="clear" w:color="auto" w:fill="auto"/>
            <w:noWrap w:val="0"/>
            <w:vAlign w:val="center"/>
          </w:tcPr>
          <w:p w14:paraId="2DE41B4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845" w:type="pct"/>
            <w:noWrap w:val="0"/>
            <w:vAlign w:val="top"/>
          </w:tcPr>
          <w:p w14:paraId="586D81BB">
            <w:pPr>
              <w:rPr>
                <w:rFonts w:ascii="宋体"/>
                <w:color w:val="auto"/>
                <w:sz w:val="18"/>
                <w:szCs w:val="18"/>
                <w:highlight w:val="none"/>
              </w:rPr>
            </w:pPr>
          </w:p>
        </w:tc>
        <w:tc>
          <w:tcPr>
            <w:tcW w:w="607" w:type="pct"/>
            <w:vMerge w:val="continue"/>
            <w:tcBorders/>
            <w:noWrap w:val="0"/>
            <w:vAlign w:val="top"/>
          </w:tcPr>
          <w:p w14:paraId="26AC35C8">
            <w:pPr>
              <w:rPr>
                <w:rFonts w:ascii="宋体"/>
                <w:color w:val="auto"/>
                <w:sz w:val="18"/>
                <w:szCs w:val="18"/>
                <w:highlight w:val="none"/>
              </w:rPr>
            </w:pPr>
          </w:p>
        </w:tc>
        <w:tc>
          <w:tcPr>
            <w:tcW w:w="607" w:type="pct"/>
            <w:noWrap w:val="0"/>
            <w:vAlign w:val="top"/>
          </w:tcPr>
          <w:p w14:paraId="7CA89B6D">
            <w:pPr>
              <w:rPr>
                <w:rFonts w:ascii="宋体"/>
                <w:color w:val="auto"/>
                <w:sz w:val="18"/>
                <w:szCs w:val="18"/>
                <w:highlight w:val="none"/>
              </w:rPr>
            </w:pPr>
          </w:p>
        </w:tc>
        <w:tc>
          <w:tcPr>
            <w:tcW w:w="754" w:type="pct"/>
            <w:noWrap w:val="0"/>
            <w:vAlign w:val="top"/>
          </w:tcPr>
          <w:p w14:paraId="5E5FF863">
            <w:pPr>
              <w:rPr>
                <w:rFonts w:ascii="宋体"/>
                <w:color w:val="auto"/>
                <w:sz w:val="18"/>
                <w:szCs w:val="18"/>
                <w:highlight w:val="none"/>
              </w:rPr>
            </w:pPr>
          </w:p>
        </w:tc>
      </w:tr>
      <w:tr w14:paraId="112E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C30A284">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1070" w:type="pct"/>
            <w:noWrap w:val="0"/>
            <w:vAlign w:val="center"/>
          </w:tcPr>
          <w:p w14:paraId="05C03B3D">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艰难梭菌谷氨酸脱氢酶抗原及毒素检测</w:t>
            </w:r>
          </w:p>
        </w:tc>
        <w:tc>
          <w:tcPr>
            <w:tcW w:w="844" w:type="pct"/>
            <w:shd w:val="clear" w:color="auto" w:fill="auto"/>
            <w:noWrap w:val="0"/>
            <w:vAlign w:val="center"/>
          </w:tcPr>
          <w:p w14:paraId="22953A2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180</w:t>
            </w:r>
          </w:p>
        </w:tc>
        <w:tc>
          <w:tcPr>
            <w:tcW w:w="845" w:type="pct"/>
            <w:noWrap w:val="0"/>
            <w:vAlign w:val="top"/>
          </w:tcPr>
          <w:p w14:paraId="496D4CEE">
            <w:pPr>
              <w:rPr>
                <w:rFonts w:ascii="宋体"/>
                <w:color w:val="auto"/>
                <w:sz w:val="18"/>
                <w:szCs w:val="18"/>
                <w:highlight w:val="none"/>
              </w:rPr>
            </w:pPr>
          </w:p>
        </w:tc>
        <w:tc>
          <w:tcPr>
            <w:tcW w:w="607" w:type="pct"/>
            <w:vMerge w:val="continue"/>
            <w:tcBorders/>
            <w:noWrap w:val="0"/>
            <w:vAlign w:val="top"/>
          </w:tcPr>
          <w:p w14:paraId="6D20D941">
            <w:pPr>
              <w:rPr>
                <w:rFonts w:ascii="宋体"/>
                <w:color w:val="auto"/>
                <w:sz w:val="18"/>
                <w:szCs w:val="18"/>
                <w:highlight w:val="none"/>
              </w:rPr>
            </w:pPr>
          </w:p>
        </w:tc>
        <w:tc>
          <w:tcPr>
            <w:tcW w:w="607" w:type="pct"/>
            <w:noWrap w:val="0"/>
            <w:vAlign w:val="top"/>
          </w:tcPr>
          <w:p w14:paraId="6E6BDDE7">
            <w:pPr>
              <w:rPr>
                <w:rFonts w:ascii="宋体"/>
                <w:color w:val="auto"/>
                <w:sz w:val="18"/>
                <w:szCs w:val="18"/>
                <w:highlight w:val="none"/>
              </w:rPr>
            </w:pPr>
          </w:p>
        </w:tc>
        <w:tc>
          <w:tcPr>
            <w:tcW w:w="754" w:type="pct"/>
            <w:noWrap w:val="0"/>
            <w:vAlign w:val="top"/>
          </w:tcPr>
          <w:p w14:paraId="389668CC">
            <w:pPr>
              <w:rPr>
                <w:rFonts w:ascii="宋体"/>
                <w:color w:val="auto"/>
                <w:sz w:val="18"/>
                <w:szCs w:val="18"/>
                <w:highlight w:val="none"/>
              </w:rPr>
            </w:pPr>
          </w:p>
        </w:tc>
      </w:tr>
      <w:tr w14:paraId="759A7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2BBA2612">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1070" w:type="pct"/>
            <w:noWrap w:val="0"/>
            <w:vAlign w:val="center"/>
          </w:tcPr>
          <w:p w14:paraId="587030D5">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柯萨奇B组病毒抗体IgM</w:t>
            </w:r>
          </w:p>
        </w:tc>
        <w:tc>
          <w:tcPr>
            <w:tcW w:w="844" w:type="pct"/>
            <w:shd w:val="clear" w:color="auto" w:fill="auto"/>
            <w:noWrap w:val="0"/>
            <w:vAlign w:val="center"/>
          </w:tcPr>
          <w:p w14:paraId="4341FED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845" w:type="pct"/>
            <w:noWrap w:val="0"/>
            <w:vAlign w:val="top"/>
          </w:tcPr>
          <w:p w14:paraId="1A39BAC3">
            <w:pPr>
              <w:rPr>
                <w:rFonts w:ascii="宋体"/>
                <w:color w:val="auto"/>
                <w:sz w:val="18"/>
                <w:szCs w:val="18"/>
                <w:highlight w:val="none"/>
              </w:rPr>
            </w:pPr>
          </w:p>
        </w:tc>
        <w:tc>
          <w:tcPr>
            <w:tcW w:w="607" w:type="pct"/>
            <w:vMerge w:val="continue"/>
            <w:tcBorders/>
            <w:noWrap w:val="0"/>
            <w:vAlign w:val="top"/>
          </w:tcPr>
          <w:p w14:paraId="6F2BDCB0">
            <w:pPr>
              <w:rPr>
                <w:rFonts w:ascii="宋体"/>
                <w:color w:val="auto"/>
                <w:sz w:val="18"/>
                <w:szCs w:val="18"/>
                <w:highlight w:val="none"/>
              </w:rPr>
            </w:pPr>
          </w:p>
        </w:tc>
        <w:tc>
          <w:tcPr>
            <w:tcW w:w="607" w:type="pct"/>
            <w:noWrap w:val="0"/>
            <w:vAlign w:val="top"/>
          </w:tcPr>
          <w:p w14:paraId="1383EA98">
            <w:pPr>
              <w:rPr>
                <w:rFonts w:ascii="宋体"/>
                <w:color w:val="auto"/>
                <w:sz w:val="18"/>
                <w:szCs w:val="18"/>
                <w:highlight w:val="none"/>
              </w:rPr>
            </w:pPr>
          </w:p>
        </w:tc>
        <w:tc>
          <w:tcPr>
            <w:tcW w:w="754" w:type="pct"/>
            <w:noWrap w:val="0"/>
            <w:vAlign w:val="top"/>
          </w:tcPr>
          <w:p w14:paraId="51482F06">
            <w:pPr>
              <w:rPr>
                <w:rFonts w:ascii="宋体"/>
                <w:color w:val="auto"/>
                <w:sz w:val="18"/>
                <w:szCs w:val="18"/>
                <w:highlight w:val="none"/>
              </w:rPr>
            </w:pPr>
          </w:p>
        </w:tc>
      </w:tr>
      <w:tr w14:paraId="5637F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5C91CA34">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1070" w:type="pct"/>
            <w:noWrap w:val="0"/>
            <w:vAlign w:val="center"/>
          </w:tcPr>
          <w:p w14:paraId="194D27A6">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内毒素（血清）测定</w:t>
            </w:r>
          </w:p>
        </w:tc>
        <w:tc>
          <w:tcPr>
            <w:tcW w:w="844" w:type="pct"/>
            <w:shd w:val="clear" w:color="auto" w:fill="auto"/>
            <w:noWrap w:val="0"/>
            <w:vAlign w:val="center"/>
          </w:tcPr>
          <w:p w14:paraId="3447381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150</w:t>
            </w:r>
          </w:p>
        </w:tc>
        <w:tc>
          <w:tcPr>
            <w:tcW w:w="845" w:type="pct"/>
            <w:noWrap w:val="0"/>
            <w:vAlign w:val="top"/>
          </w:tcPr>
          <w:p w14:paraId="65CC2FF5">
            <w:pPr>
              <w:rPr>
                <w:rFonts w:ascii="宋体"/>
                <w:color w:val="auto"/>
                <w:sz w:val="18"/>
                <w:szCs w:val="18"/>
                <w:highlight w:val="none"/>
              </w:rPr>
            </w:pPr>
          </w:p>
        </w:tc>
        <w:tc>
          <w:tcPr>
            <w:tcW w:w="607" w:type="pct"/>
            <w:vMerge w:val="continue"/>
            <w:tcBorders/>
            <w:noWrap w:val="0"/>
            <w:vAlign w:val="top"/>
          </w:tcPr>
          <w:p w14:paraId="256D9C8B">
            <w:pPr>
              <w:rPr>
                <w:rFonts w:ascii="宋体"/>
                <w:color w:val="auto"/>
                <w:sz w:val="18"/>
                <w:szCs w:val="18"/>
                <w:highlight w:val="none"/>
              </w:rPr>
            </w:pPr>
          </w:p>
        </w:tc>
        <w:tc>
          <w:tcPr>
            <w:tcW w:w="607" w:type="pct"/>
            <w:noWrap w:val="0"/>
            <w:vAlign w:val="top"/>
          </w:tcPr>
          <w:p w14:paraId="6368F38A">
            <w:pPr>
              <w:rPr>
                <w:rFonts w:ascii="宋体"/>
                <w:color w:val="auto"/>
                <w:sz w:val="18"/>
                <w:szCs w:val="18"/>
                <w:highlight w:val="none"/>
              </w:rPr>
            </w:pPr>
          </w:p>
        </w:tc>
        <w:tc>
          <w:tcPr>
            <w:tcW w:w="754" w:type="pct"/>
            <w:noWrap w:val="0"/>
            <w:vAlign w:val="top"/>
          </w:tcPr>
          <w:p w14:paraId="3A7E390F">
            <w:pPr>
              <w:rPr>
                <w:rFonts w:ascii="宋体"/>
                <w:color w:val="auto"/>
                <w:sz w:val="18"/>
                <w:szCs w:val="18"/>
                <w:highlight w:val="none"/>
              </w:rPr>
            </w:pPr>
          </w:p>
        </w:tc>
      </w:tr>
      <w:tr w14:paraId="12302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7808E335">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1070" w:type="pct"/>
            <w:noWrap w:val="0"/>
            <w:vAlign w:val="center"/>
          </w:tcPr>
          <w:p w14:paraId="08D69625">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分枝杆菌鉴定-核酸鉴定与耐药基因检测</w:t>
            </w:r>
          </w:p>
        </w:tc>
        <w:tc>
          <w:tcPr>
            <w:tcW w:w="844" w:type="pct"/>
            <w:shd w:val="clear" w:color="auto" w:fill="auto"/>
            <w:noWrap w:val="0"/>
            <w:vAlign w:val="center"/>
          </w:tcPr>
          <w:p w14:paraId="4AAA0C9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300</w:t>
            </w:r>
          </w:p>
        </w:tc>
        <w:tc>
          <w:tcPr>
            <w:tcW w:w="845" w:type="pct"/>
            <w:noWrap w:val="0"/>
            <w:vAlign w:val="top"/>
          </w:tcPr>
          <w:p w14:paraId="352FD67E">
            <w:pPr>
              <w:rPr>
                <w:rFonts w:ascii="宋体"/>
                <w:color w:val="auto"/>
                <w:sz w:val="18"/>
                <w:szCs w:val="18"/>
                <w:highlight w:val="none"/>
              </w:rPr>
            </w:pPr>
          </w:p>
        </w:tc>
        <w:tc>
          <w:tcPr>
            <w:tcW w:w="607" w:type="pct"/>
            <w:vMerge w:val="continue"/>
            <w:tcBorders/>
            <w:noWrap w:val="0"/>
            <w:vAlign w:val="top"/>
          </w:tcPr>
          <w:p w14:paraId="6D481A3B">
            <w:pPr>
              <w:rPr>
                <w:rFonts w:ascii="宋体"/>
                <w:color w:val="auto"/>
                <w:sz w:val="18"/>
                <w:szCs w:val="18"/>
                <w:highlight w:val="none"/>
              </w:rPr>
            </w:pPr>
          </w:p>
        </w:tc>
        <w:tc>
          <w:tcPr>
            <w:tcW w:w="607" w:type="pct"/>
            <w:noWrap w:val="0"/>
            <w:vAlign w:val="top"/>
          </w:tcPr>
          <w:p w14:paraId="2D878DBE">
            <w:pPr>
              <w:rPr>
                <w:rFonts w:ascii="宋体"/>
                <w:color w:val="auto"/>
                <w:sz w:val="18"/>
                <w:szCs w:val="18"/>
                <w:highlight w:val="none"/>
              </w:rPr>
            </w:pPr>
          </w:p>
        </w:tc>
        <w:tc>
          <w:tcPr>
            <w:tcW w:w="754" w:type="pct"/>
            <w:noWrap w:val="0"/>
            <w:vAlign w:val="top"/>
          </w:tcPr>
          <w:p w14:paraId="60392F8A">
            <w:pPr>
              <w:rPr>
                <w:rFonts w:ascii="宋体"/>
                <w:color w:val="auto"/>
                <w:sz w:val="18"/>
                <w:szCs w:val="18"/>
                <w:highlight w:val="none"/>
              </w:rPr>
            </w:pPr>
          </w:p>
        </w:tc>
      </w:tr>
      <w:tr w14:paraId="23225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2280BCDC">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1070" w:type="pct"/>
            <w:noWrap w:val="0"/>
            <w:vAlign w:val="center"/>
          </w:tcPr>
          <w:p w14:paraId="43809EC5">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各类病原体DNA测定（结核杆菌抗体（TB-DNA）定性检测）</w:t>
            </w:r>
          </w:p>
        </w:tc>
        <w:tc>
          <w:tcPr>
            <w:tcW w:w="844" w:type="pct"/>
            <w:shd w:val="clear" w:color="auto" w:fill="auto"/>
            <w:noWrap w:val="0"/>
            <w:vAlign w:val="center"/>
          </w:tcPr>
          <w:p w14:paraId="1A9B3A0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845" w:type="pct"/>
            <w:noWrap w:val="0"/>
            <w:vAlign w:val="top"/>
          </w:tcPr>
          <w:p w14:paraId="46D51759">
            <w:pPr>
              <w:rPr>
                <w:rFonts w:ascii="宋体"/>
                <w:color w:val="auto"/>
                <w:sz w:val="18"/>
                <w:szCs w:val="18"/>
                <w:highlight w:val="none"/>
              </w:rPr>
            </w:pPr>
          </w:p>
        </w:tc>
        <w:tc>
          <w:tcPr>
            <w:tcW w:w="607" w:type="pct"/>
            <w:vMerge w:val="continue"/>
            <w:tcBorders/>
            <w:noWrap w:val="0"/>
            <w:vAlign w:val="top"/>
          </w:tcPr>
          <w:p w14:paraId="5768E7C0">
            <w:pPr>
              <w:rPr>
                <w:rFonts w:ascii="宋体"/>
                <w:color w:val="auto"/>
                <w:sz w:val="18"/>
                <w:szCs w:val="18"/>
                <w:highlight w:val="none"/>
              </w:rPr>
            </w:pPr>
          </w:p>
        </w:tc>
        <w:tc>
          <w:tcPr>
            <w:tcW w:w="607" w:type="pct"/>
            <w:noWrap w:val="0"/>
            <w:vAlign w:val="top"/>
          </w:tcPr>
          <w:p w14:paraId="5B618CE3">
            <w:pPr>
              <w:rPr>
                <w:rFonts w:ascii="宋体"/>
                <w:color w:val="auto"/>
                <w:sz w:val="18"/>
                <w:szCs w:val="18"/>
                <w:highlight w:val="none"/>
              </w:rPr>
            </w:pPr>
          </w:p>
        </w:tc>
        <w:tc>
          <w:tcPr>
            <w:tcW w:w="754" w:type="pct"/>
            <w:noWrap w:val="0"/>
            <w:vAlign w:val="top"/>
          </w:tcPr>
          <w:p w14:paraId="54C03A38">
            <w:pPr>
              <w:rPr>
                <w:rFonts w:ascii="宋体"/>
                <w:color w:val="auto"/>
                <w:sz w:val="18"/>
                <w:szCs w:val="18"/>
                <w:highlight w:val="none"/>
              </w:rPr>
            </w:pPr>
          </w:p>
        </w:tc>
      </w:tr>
      <w:tr w14:paraId="07AC7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01829E49">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1070" w:type="pct"/>
            <w:noWrap w:val="0"/>
            <w:vAlign w:val="center"/>
          </w:tcPr>
          <w:p w14:paraId="43B934D4">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结核分枝杆菌符合群核酸（定性）</w:t>
            </w:r>
          </w:p>
        </w:tc>
        <w:tc>
          <w:tcPr>
            <w:tcW w:w="844" w:type="pct"/>
            <w:shd w:val="clear" w:color="auto" w:fill="auto"/>
            <w:noWrap w:val="0"/>
            <w:vAlign w:val="center"/>
          </w:tcPr>
          <w:p w14:paraId="6AA6DD3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845" w:type="pct"/>
            <w:noWrap w:val="0"/>
            <w:vAlign w:val="top"/>
          </w:tcPr>
          <w:p w14:paraId="3D9D6EBC">
            <w:pPr>
              <w:rPr>
                <w:rFonts w:ascii="宋体"/>
                <w:color w:val="auto"/>
                <w:sz w:val="18"/>
                <w:szCs w:val="18"/>
                <w:highlight w:val="none"/>
              </w:rPr>
            </w:pPr>
          </w:p>
        </w:tc>
        <w:tc>
          <w:tcPr>
            <w:tcW w:w="607" w:type="pct"/>
            <w:vMerge w:val="continue"/>
            <w:tcBorders/>
            <w:noWrap w:val="0"/>
            <w:vAlign w:val="top"/>
          </w:tcPr>
          <w:p w14:paraId="2C585302">
            <w:pPr>
              <w:rPr>
                <w:rFonts w:ascii="宋体"/>
                <w:color w:val="auto"/>
                <w:sz w:val="18"/>
                <w:szCs w:val="18"/>
                <w:highlight w:val="none"/>
              </w:rPr>
            </w:pPr>
          </w:p>
        </w:tc>
        <w:tc>
          <w:tcPr>
            <w:tcW w:w="607" w:type="pct"/>
            <w:noWrap w:val="0"/>
            <w:vAlign w:val="top"/>
          </w:tcPr>
          <w:p w14:paraId="06FF6923">
            <w:pPr>
              <w:rPr>
                <w:rFonts w:ascii="宋体"/>
                <w:color w:val="auto"/>
                <w:sz w:val="18"/>
                <w:szCs w:val="18"/>
                <w:highlight w:val="none"/>
              </w:rPr>
            </w:pPr>
          </w:p>
        </w:tc>
        <w:tc>
          <w:tcPr>
            <w:tcW w:w="754" w:type="pct"/>
            <w:noWrap w:val="0"/>
            <w:vAlign w:val="top"/>
          </w:tcPr>
          <w:p w14:paraId="201D1D57">
            <w:pPr>
              <w:rPr>
                <w:rFonts w:ascii="宋体"/>
                <w:color w:val="auto"/>
                <w:sz w:val="18"/>
                <w:szCs w:val="18"/>
                <w:highlight w:val="none"/>
              </w:rPr>
            </w:pPr>
          </w:p>
        </w:tc>
      </w:tr>
      <w:tr w14:paraId="53141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07D0B8FA">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1070" w:type="pct"/>
            <w:noWrap w:val="0"/>
            <w:vAlign w:val="center"/>
          </w:tcPr>
          <w:p w14:paraId="6BCF486F">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病毒五项联合筛查</w:t>
            </w:r>
          </w:p>
        </w:tc>
        <w:tc>
          <w:tcPr>
            <w:tcW w:w="844" w:type="pct"/>
            <w:shd w:val="clear" w:color="auto" w:fill="auto"/>
            <w:noWrap w:val="0"/>
            <w:vAlign w:val="center"/>
          </w:tcPr>
          <w:p w14:paraId="3051704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750</w:t>
            </w:r>
          </w:p>
        </w:tc>
        <w:tc>
          <w:tcPr>
            <w:tcW w:w="845" w:type="pct"/>
            <w:noWrap w:val="0"/>
            <w:vAlign w:val="top"/>
          </w:tcPr>
          <w:p w14:paraId="3DCAFBF8">
            <w:pPr>
              <w:rPr>
                <w:rFonts w:ascii="宋体"/>
                <w:color w:val="auto"/>
                <w:sz w:val="18"/>
                <w:szCs w:val="18"/>
                <w:highlight w:val="none"/>
              </w:rPr>
            </w:pPr>
          </w:p>
        </w:tc>
        <w:tc>
          <w:tcPr>
            <w:tcW w:w="607" w:type="pct"/>
            <w:vMerge w:val="continue"/>
            <w:tcBorders/>
            <w:noWrap w:val="0"/>
            <w:vAlign w:val="top"/>
          </w:tcPr>
          <w:p w14:paraId="59CE911A">
            <w:pPr>
              <w:rPr>
                <w:rFonts w:ascii="宋体"/>
                <w:color w:val="auto"/>
                <w:sz w:val="18"/>
                <w:szCs w:val="18"/>
                <w:highlight w:val="none"/>
              </w:rPr>
            </w:pPr>
          </w:p>
        </w:tc>
        <w:tc>
          <w:tcPr>
            <w:tcW w:w="607" w:type="pct"/>
            <w:noWrap w:val="0"/>
            <w:vAlign w:val="top"/>
          </w:tcPr>
          <w:p w14:paraId="42D24190">
            <w:pPr>
              <w:rPr>
                <w:rFonts w:ascii="宋体"/>
                <w:color w:val="auto"/>
                <w:sz w:val="18"/>
                <w:szCs w:val="18"/>
                <w:highlight w:val="none"/>
              </w:rPr>
            </w:pPr>
          </w:p>
        </w:tc>
        <w:tc>
          <w:tcPr>
            <w:tcW w:w="754" w:type="pct"/>
            <w:noWrap w:val="0"/>
            <w:vAlign w:val="top"/>
          </w:tcPr>
          <w:p w14:paraId="25A659C1">
            <w:pPr>
              <w:rPr>
                <w:rFonts w:ascii="宋体"/>
                <w:color w:val="auto"/>
                <w:sz w:val="18"/>
                <w:szCs w:val="18"/>
                <w:highlight w:val="none"/>
              </w:rPr>
            </w:pPr>
          </w:p>
        </w:tc>
      </w:tr>
      <w:tr w14:paraId="5403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B7BE9E7">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1070" w:type="pct"/>
            <w:noWrap w:val="0"/>
            <w:vAlign w:val="center"/>
          </w:tcPr>
          <w:p w14:paraId="3BC53557">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EB病毒DNA荧光定性（EBV-DNA）</w:t>
            </w:r>
          </w:p>
        </w:tc>
        <w:tc>
          <w:tcPr>
            <w:tcW w:w="844" w:type="pct"/>
            <w:shd w:val="clear" w:color="auto" w:fill="auto"/>
            <w:noWrap w:val="0"/>
            <w:vAlign w:val="center"/>
          </w:tcPr>
          <w:p w14:paraId="0E0163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845" w:type="pct"/>
            <w:noWrap w:val="0"/>
            <w:vAlign w:val="top"/>
          </w:tcPr>
          <w:p w14:paraId="62D83258">
            <w:pPr>
              <w:rPr>
                <w:rFonts w:ascii="宋体"/>
                <w:color w:val="auto"/>
                <w:sz w:val="18"/>
                <w:szCs w:val="18"/>
                <w:highlight w:val="none"/>
              </w:rPr>
            </w:pPr>
          </w:p>
        </w:tc>
        <w:tc>
          <w:tcPr>
            <w:tcW w:w="607" w:type="pct"/>
            <w:vMerge w:val="continue"/>
            <w:tcBorders/>
            <w:noWrap w:val="0"/>
            <w:vAlign w:val="top"/>
          </w:tcPr>
          <w:p w14:paraId="70BEFFC7">
            <w:pPr>
              <w:rPr>
                <w:rFonts w:ascii="宋体"/>
                <w:color w:val="auto"/>
                <w:sz w:val="18"/>
                <w:szCs w:val="18"/>
                <w:highlight w:val="none"/>
              </w:rPr>
            </w:pPr>
          </w:p>
        </w:tc>
        <w:tc>
          <w:tcPr>
            <w:tcW w:w="607" w:type="pct"/>
            <w:noWrap w:val="0"/>
            <w:vAlign w:val="top"/>
          </w:tcPr>
          <w:p w14:paraId="7F4D517F">
            <w:pPr>
              <w:rPr>
                <w:rFonts w:ascii="宋体"/>
                <w:color w:val="auto"/>
                <w:sz w:val="18"/>
                <w:szCs w:val="18"/>
                <w:highlight w:val="none"/>
              </w:rPr>
            </w:pPr>
          </w:p>
        </w:tc>
        <w:tc>
          <w:tcPr>
            <w:tcW w:w="754" w:type="pct"/>
            <w:noWrap w:val="0"/>
            <w:vAlign w:val="top"/>
          </w:tcPr>
          <w:p w14:paraId="7DEF3B3E">
            <w:pPr>
              <w:rPr>
                <w:rFonts w:ascii="宋体"/>
                <w:color w:val="auto"/>
                <w:sz w:val="18"/>
                <w:szCs w:val="18"/>
                <w:highlight w:val="none"/>
              </w:rPr>
            </w:pPr>
          </w:p>
        </w:tc>
      </w:tr>
      <w:tr w14:paraId="7340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E766BE3">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1070" w:type="pct"/>
            <w:noWrap w:val="0"/>
            <w:vAlign w:val="center"/>
          </w:tcPr>
          <w:p w14:paraId="2B432AEB">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巨细胞病毒脱氧核酸（CMV-DNA）</w:t>
            </w:r>
          </w:p>
        </w:tc>
        <w:tc>
          <w:tcPr>
            <w:tcW w:w="844" w:type="pct"/>
            <w:shd w:val="clear" w:color="auto" w:fill="auto"/>
            <w:noWrap w:val="0"/>
            <w:vAlign w:val="center"/>
          </w:tcPr>
          <w:p w14:paraId="6E174DD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150</w:t>
            </w:r>
          </w:p>
        </w:tc>
        <w:tc>
          <w:tcPr>
            <w:tcW w:w="845" w:type="pct"/>
            <w:noWrap w:val="0"/>
            <w:vAlign w:val="top"/>
          </w:tcPr>
          <w:p w14:paraId="2197CD62">
            <w:pPr>
              <w:rPr>
                <w:rFonts w:ascii="宋体"/>
                <w:color w:val="auto"/>
                <w:sz w:val="18"/>
                <w:szCs w:val="18"/>
                <w:highlight w:val="none"/>
              </w:rPr>
            </w:pPr>
          </w:p>
        </w:tc>
        <w:tc>
          <w:tcPr>
            <w:tcW w:w="607" w:type="pct"/>
            <w:vMerge w:val="continue"/>
            <w:tcBorders/>
            <w:noWrap w:val="0"/>
            <w:vAlign w:val="top"/>
          </w:tcPr>
          <w:p w14:paraId="362541CC">
            <w:pPr>
              <w:rPr>
                <w:rFonts w:ascii="宋体"/>
                <w:color w:val="auto"/>
                <w:sz w:val="18"/>
                <w:szCs w:val="18"/>
                <w:highlight w:val="none"/>
              </w:rPr>
            </w:pPr>
          </w:p>
        </w:tc>
        <w:tc>
          <w:tcPr>
            <w:tcW w:w="607" w:type="pct"/>
            <w:noWrap w:val="0"/>
            <w:vAlign w:val="top"/>
          </w:tcPr>
          <w:p w14:paraId="4B91BD94">
            <w:pPr>
              <w:rPr>
                <w:rFonts w:ascii="宋体"/>
                <w:color w:val="auto"/>
                <w:sz w:val="18"/>
                <w:szCs w:val="18"/>
                <w:highlight w:val="none"/>
              </w:rPr>
            </w:pPr>
          </w:p>
        </w:tc>
        <w:tc>
          <w:tcPr>
            <w:tcW w:w="754" w:type="pct"/>
            <w:noWrap w:val="0"/>
            <w:vAlign w:val="top"/>
          </w:tcPr>
          <w:p w14:paraId="64B5A63C">
            <w:pPr>
              <w:rPr>
                <w:rFonts w:ascii="宋体"/>
                <w:color w:val="auto"/>
                <w:sz w:val="18"/>
                <w:szCs w:val="18"/>
                <w:highlight w:val="none"/>
              </w:rPr>
            </w:pPr>
          </w:p>
        </w:tc>
      </w:tr>
      <w:tr w14:paraId="76B8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2B9C212">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1070" w:type="pct"/>
            <w:noWrap w:val="0"/>
            <w:vAlign w:val="center"/>
          </w:tcPr>
          <w:p w14:paraId="145AD5AC">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单纯疱疹病毒Ⅱ型核酸（HSV-II-DNA）定性</w:t>
            </w:r>
          </w:p>
        </w:tc>
        <w:tc>
          <w:tcPr>
            <w:tcW w:w="844" w:type="pct"/>
            <w:shd w:val="clear" w:color="auto" w:fill="auto"/>
            <w:noWrap w:val="0"/>
            <w:vAlign w:val="center"/>
          </w:tcPr>
          <w:p w14:paraId="0D9BCA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845" w:type="pct"/>
            <w:noWrap w:val="0"/>
            <w:vAlign w:val="top"/>
          </w:tcPr>
          <w:p w14:paraId="51B697EB">
            <w:pPr>
              <w:rPr>
                <w:rFonts w:ascii="宋体"/>
                <w:color w:val="auto"/>
                <w:sz w:val="18"/>
                <w:szCs w:val="18"/>
                <w:highlight w:val="none"/>
              </w:rPr>
            </w:pPr>
          </w:p>
        </w:tc>
        <w:tc>
          <w:tcPr>
            <w:tcW w:w="607" w:type="pct"/>
            <w:vMerge w:val="continue"/>
            <w:tcBorders/>
            <w:noWrap w:val="0"/>
            <w:vAlign w:val="top"/>
          </w:tcPr>
          <w:p w14:paraId="1E3F26C2">
            <w:pPr>
              <w:rPr>
                <w:rFonts w:ascii="宋体"/>
                <w:color w:val="auto"/>
                <w:sz w:val="18"/>
                <w:szCs w:val="18"/>
                <w:highlight w:val="none"/>
              </w:rPr>
            </w:pPr>
          </w:p>
        </w:tc>
        <w:tc>
          <w:tcPr>
            <w:tcW w:w="607" w:type="pct"/>
            <w:noWrap w:val="0"/>
            <w:vAlign w:val="top"/>
          </w:tcPr>
          <w:p w14:paraId="4C5474A2">
            <w:pPr>
              <w:rPr>
                <w:rFonts w:ascii="宋体"/>
                <w:color w:val="auto"/>
                <w:sz w:val="18"/>
                <w:szCs w:val="18"/>
                <w:highlight w:val="none"/>
              </w:rPr>
            </w:pPr>
          </w:p>
        </w:tc>
        <w:tc>
          <w:tcPr>
            <w:tcW w:w="754" w:type="pct"/>
            <w:noWrap w:val="0"/>
            <w:vAlign w:val="top"/>
          </w:tcPr>
          <w:p w14:paraId="330BC08A">
            <w:pPr>
              <w:rPr>
                <w:rFonts w:ascii="宋体"/>
                <w:color w:val="auto"/>
                <w:sz w:val="18"/>
                <w:szCs w:val="18"/>
                <w:highlight w:val="none"/>
              </w:rPr>
            </w:pPr>
          </w:p>
        </w:tc>
      </w:tr>
      <w:tr w14:paraId="4D4E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51201361">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1070" w:type="pct"/>
            <w:noWrap w:val="0"/>
            <w:vAlign w:val="center"/>
          </w:tcPr>
          <w:p w14:paraId="01256487">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Style w:val="434"/>
                <w:color w:val="auto"/>
                <w:highlight w:val="none"/>
                <w:lang w:val="en-US" w:eastAsia="zh-CN" w:bidi="ar"/>
              </w:rPr>
              <w:t>单纯疱疹病毒Ⅱ型核酸（HSV-II-DNA）定量</w:t>
            </w:r>
          </w:p>
        </w:tc>
        <w:tc>
          <w:tcPr>
            <w:tcW w:w="844" w:type="pct"/>
            <w:shd w:val="clear" w:color="auto" w:fill="auto"/>
            <w:noWrap w:val="0"/>
            <w:vAlign w:val="center"/>
          </w:tcPr>
          <w:p w14:paraId="13F6648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150</w:t>
            </w:r>
          </w:p>
        </w:tc>
        <w:tc>
          <w:tcPr>
            <w:tcW w:w="845" w:type="pct"/>
            <w:noWrap w:val="0"/>
            <w:vAlign w:val="top"/>
          </w:tcPr>
          <w:p w14:paraId="0AAD9F42">
            <w:pPr>
              <w:rPr>
                <w:rFonts w:ascii="宋体"/>
                <w:color w:val="auto"/>
                <w:sz w:val="18"/>
                <w:szCs w:val="18"/>
                <w:highlight w:val="none"/>
              </w:rPr>
            </w:pPr>
          </w:p>
        </w:tc>
        <w:tc>
          <w:tcPr>
            <w:tcW w:w="607" w:type="pct"/>
            <w:vMerge w:val="continue"/>
            <w:tcBorders/>
            <w:noWrap w:val="0"/>
            <w:vAlign w:val="top"/>
          </w:tcPr>
          <w:p w14:paraId="6FAE7856">
            <w:pPr>
              <w:rPr>
                <w:rFonts w:ascii="宋体"/>
                <w:color w:val="auto"/>
                <w:sz w:val="18"/>
                <w:szCs w:val="18"/>
                <w:highlight w:val="none"/>
              </w:rPr>
            </w:pPr>
          </w:p>
        </w:tc>
        <w:tc>
          <w:tcPr>
            <w:tcW w:w="607" w:type="pct"/>
            <w:noWrap w:val="0"/>
            <w:vAlign w:val="top"/>
          </w:tcPr>
          <w:p w14:paraId="416289F1">
            <w:pPr>
              <w:rPr>
                <w:rFonts w:ascii="宋体"/>
                <w:color w:val="auto"/>
                <w:sz w:val="18"/>
                <w:szCs w:val="18"/>
                <w:highlight w:val="none"/>
              </w:rPr>
            </w:pPr>
          </w:p>
        </w:tc>
        <w:tc>
          <w:tcPr>
            <w:tcW w:w="754" w:type="pct"/>
            <w:noWrap w:val="0"/>
            <w:vAlign w:val="top"/>
          </w:tcPr>
          <w:p w14:paraId="2946F842">
            <w:pPr>
              <w:rPr>
                <w:rFonts w:ascii="宋体"/>
                <w:color w:val="auto"/>
                <w:sz w:val="18"/>
                <w:szCs w:val="18"/>
                <w:highlight w:val="none"/>
              </w:rPr>
            </w:pPr>
          </w:p>
        </w:tc>
      </w:tr>
      <w:tr w14:paraId="11BA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6D1D3B66">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1070" w:type="pct"/>
            <w:noWrap w:val="0"/>
            <w:vAlign w:val="center"/>
          </w:tcPr>
          <w:p w14:paraId="59F8E025">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乙型肝炎病毒脱氧核糖核酸扩增定量检测（高灵敏HBV-DNA）</w:t>
            </w:r>
          </w:p>
        </w:tc>
        <w:tc>
          <w:tcPr>
            <w:tcW w:w="844" w:type="pct"/>
            <w:shd w:val="clear" w:color="auto" w:fill="auto"/>
            <w:noWrap w:val="0"/>
            <w:vAlign w:val="center"/>
          </w:tcPr>
          <w:p w14:paraId="44A19F6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450</w:t>
            </w:r>
          </w:p>
        </w:tc>
        <w:tc>
          <w:tcPr>
            <w:tcW w:w="845" w:type="pct"/>
            <w:noWrap w:val="0"/>
            <w:vAlign w:val="top"/>
          </w:tcPr>
          <w:p w14:paraId="4FE7EEF9">
            <w:pPr>
              <w:rPr>
                <w:rFonts w:ascii="宋体"/>
                <w:color w:val="auto"/>
                <w:sz w:val="18"/>
                <w:szCs w:val="18"/>
                <w:highlight w:val="none"/>
              </w:rPr>
            </w:pPr>
          </w:p>
        </w:tc>
        <w:tc>
          <w:tcPr>
            <w:tcW w:w="607" w:type="pct"/>
            <w:vMerge w:val="continue"/>
            <w:tcBorders/>
            <w:noWrap w:val="0"/>
            <w:vAlign w:val="top"/>
          </w:tcPr>
          <w:p w14:paraId="29F2CC80">
            <w:pPr>
              <w:rPr>
                <w:rFonts w:ascii="宋体"/>
                <w:color w:val="auto"/>
                <w:sz w:val="18"/>
                <w:szCs w:val="18"/>
                <w:highlight w:val="none"/>
              </w:rPr>
            </w:pPr>
          </w:p>
        </w:tc>
        <w:tc>
          <w:tcPr>
            <w:tcW w:w="607" w:type="pct"/>
            <w:noWrap w:val="0"/>
            <w:vAlign w:val="top"/>
          </w:tcPr>
          <w:p w14:paraId="07E41AD4">
            <w:pPr>
              <w:rPr>
                <w:rFonts w:ascii="宋体"/>
                <w:color w:val="auto"/>
                <w:sz w:val="18"/>
                <w:szCs w:val="18"/>
                <w:highlight w:val="none"/>
              </w:rPr>
            </w:pPr>
          </w:p>
        </w:tc>
        <w:tc>
          <w:tcPr>
            <w:tcW w:w="754" w:type="pct"/>
            <w:noWrap w:val="0"/>
            <w:vAlign w:val="top"/>
          </w:tcPr>
          <w:p w14:paraId="47D37FD1">
            <w:pPr>
              <w:rPr>
                <w:rFonts w:ascii="宋体"/>
                <w:color w:val="auto"/>
                <w:sz w:val="18"/>
                <w:szCs w:val="18"/>
                <w:highlight w:val="none"/>
              </w:rPr>
            </w:pPr>
          </w:p>
        </w:tc>
      </w:tr>
      <w:tr w14:paraId="5A4EA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5565BF41">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1070" w:type="pct"/>
            <w:noWrap w:val="0"/>
            <w:vAlign w:val="center"/>
          </w:tcPr>
          <w:p w14:paraId="5F0542AE">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高灵敏度丙肝病毒核酸（HCV-RNA）</w:t>
            </w:r>
          </w:p>
        </w:tc>
        <w:tc>
          <w:tcPr>
            <w:tcW w:w="844" w:type="pct"/>
            <w:shd w:val="clear" w:color="auto" w:fill="auto"/>
            <w:noWrap w:val="0"/>
            <w:vAlign w:val="center"/>
          </w:tcPr>
          <w:p w14:paraId="4E5722E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465</w:t>
            </w:r>
          </w:p>
        </w:tc>
        <w:tc>
          <w:tcPr>
            <w:tcW w:w="845" w:type="pct"/>
            <w:noWrap w:val="0"/>
            <w:vAlign w:val="top"/>
          </w:tcPr>
          <w:p w14:paraId="1EE4488C">
            <w:pPr>
              <w:rPr>
                <w:rFonts w:ascii="宋体"/>
                <w:color w:val="auto"/>
                <w:sz w:val="18"/>
                <w:szCs w:val="18"/>
                <w:highlight w:val="none"/>
              </w:rPr>
            </w:pPr>
          </w:p>
        </w:tc>
        <w:tc>
          <w:tcPr>
            <w:tcW w:w="607" w:type="pct"/>
            <w:vMerge w:val="continue"/>
            <w:tcBorders/>
            <w:noWrap w:val="0"/>
            <w:vAlign w:val="top"/>
          </w:tcPr>
          <w:p w14:paraId="08894594">
            <w:pPr>
              <w:rPr>
                <w:rFonts w:ascii="宋体"/>
                <w:color w:val="auto"/>
                <w:sz w:val="18"/>
                <w:szCs w:val="18"/>
                <w:highlight w:val="none"/>
              </w:rPr>
            </w:pPr>
          </w:p>
        </w:tc>
        <w:tc>
          <w:tcPr>
            <w:tcW w:w="607" w:type="pct"/>
            <w:noWrap w:val="0"/>
            <w:vAlign w:val="top"/>
          </w:tcPr>
          <w:p w14:paraId="10BF1047">
            <w:pPr>
              <w:rPr>
                <w:rFonts w:ascii="宋体"/>
                <w:color w:val="auto"/>
                <w:sz w:val="18"/>
                <w:szCs w:val="18"/>
                <w:highlight w:val="none"/>
              </w:rPr>
            </w:pPr>
          </w:p>
        </w:tc>
        <w:tc>
          <w:tcPr>
            <w:tcW w:w="754" w:type="pct"/>
            <w:noWrap w:val="0"/>
            <w:vAlign w:val="top"/>
          </w:tcPr>
          <w:p w14:paraId="5C681179">
            <w:pPr>
              <w:rPr>
                <w:rFonts w:ascii="宋体"/>
                <w:color w:val="auto"/>
                <w:sz w:val="18"/>
                <w:szCs w:val="18"/>
                <w:highlight w:val="none"/>
              </w:rPr>
            </w:pPr>
          </w:p>
        </w:tc>
      </w:tr>
      <w:tr w14:paraId="19D6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75B4D5D2">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1070" w:type="pct"/>
            <w:noWrap w:val="0"/>
            <w:vAlign w:val="center"/>
          </w:tcPr>
          <w:p w14:paraId="18655CDB">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儿茶酚胺（肾上腺素、去甲肾上腺素、儿茶酚胺）</w:t>
            </w:r>
          </w:p>
        </w:tc>
        <w:tc>
          <w:tcPr>
            <w:tcW w:w="844" w:type="pct"/>
            <w:shd w:val="clear" w:color="auto" w:fill="auto"/>
            <w:noWrap w:val="0"/>
            <w:vAlign w:val="center"/>
          </w:tcPr>
          <w:p w14:paraId="09E4CE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w:t>
            </w:r>
          </w:p>
        </w:tc>
        <w:tc>
          <w:tcPr>
            <w:tcW w:w="845" w:type="pct"/>
            <w:noWrap w:val="0"/>
            <w:vAlign w:val="top"/>
          </w:tcPr>
          <w:p w14:paraId="0AEAD311">
            <w:pPr>
              <w:rPr>
                <w:rFonts w:ascii="宋体"/>
                <w:color w:val="auto"/>
                <w:sz w:val="18"/>
                <w:szCs w:val="18"/>
                <w:highlight w:val="none"/>
              </w:rPr>
            </w:pPr>
          </w:p>
        </w:tc>
        <w:tc>
          <w:tcPr>
            <w:tcW w:w="607" w:type="pct"/>
            <w:vMerge w:val="continue"/>
            <w:tcBorders/>
            <w:noWrap w:val="0"/>
            <w:vAlign w:val="top"/>
          </w:tcPr>
          <w:p w14:paraId="710AF4C2">
            <w:pPr>
              <w:rPr>
                <w:rFonts w:ascii="宋体"/>
                <w:color w:val="auto"/>
                <w:sz w:val="18"/>
                <w:szCs w:val="18"/>
                <w:highlight w:val="none"/>
              </w:rPr>
            </w:pPr>
          </w:p>
        </w:tc>
        <w:tc>
          <w:tcPr>
            <w:tcW w:w="607" w:type="pct"/>
            <w:noWrap w:val="0"/>
            <w:vAlign w:val="top"/>
          </w:tcPr>
          <w:p w14:paraId="6A5815DA">
            <w:pPr>
              <w:rPr>
                <w:rFonts w:ascii="宋体"/>
                <w:color w:val="auto"/>
                <w:sz w:val="18"/>
                <w:szCs w:val="18"/>
                <w:highlight w:val="none"/>
              </w:rPr>
            </w:pPr>
          </w:p>
        </w:tc>
        <w:tc>
          <w:tcPr>
            <w:tcW w:w="754" w:type="pct"/>
            <w:noWrap w:val="0"/>
            <w:vAlign w:val="top"/>
          </w:tcPr>
          <w:p w14:paraId="238905DF">
            <w:pPr>
              <w:rPr>
                <w:rFonts w:ascii="宋体"/>
                <w:color w:val="auto"/>
                <w:sz w:val="18"/>
                <w:szCs w:val="18"/>
                <w:highlight w:val="none"/>
              </w:rPr>
            </w:pPr>
          </w:p>
        </w:tc>
      </w:tr>
      <w:tr w14:paraId="3365E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2058740">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1070" w:type="pct"/>
            <w:noWrap w:val="0"/>
            <w:vAlign w:val="center"/>
          </w:tcPr>
          <w:p w14:paraId="1D6EACC1">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24尿尿香草苦杏仁酸</w:t>
            </w:r>
          </w:p>
        </w:tc>
        <w:tc>
          <w:tcPr>
            <w:tcW w:w="844" w:type="pct"/>
            <w:shd w:val="clear" w:color="auto" w:fill="auto"/>
            <w:noWrap w:val="0"/>
            <w:vAlign w:val="center"/>
          </w:tcPr>
          <w:p w14:paraId="15F11A0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w:t>
            </w:r>
          </w:p>
        </w:tc>
        <w:tc>
          <w:tcPr>
            <w:tcW w:w="845" w:type="pct"/>
            <w:noWrap w:val="0"/>
            <w:vAlign w:val="top"/>
          </w:tcPr>
          <w:p w14:paraId="65227523">
            <w:pPr>
              <w:rPr>
                <w:rFonts w:ascii="宋体"/>
                <w:color w:val="auto"/>
                <w:sz w:val="18"/>
                <w:szCs w:val="18"/>
                <w:highlight w:val="none"/>
              </w:rPr>
            </w:pPr>
          </w:p>
        </w:tc>
        <w:tc>
          <w:tcPr>
            <w:tcW w:w="607" w:type="pct"/>
            <w:vMerge w:val="continue"/>
            <w:tcBorders/>
            <w:noWrap w:val="0"/>
            <w:vAlign w:val="top"/>
          </w:tcPr>
          <w:p w14:paraId="0F355C4A">
            <w:pPr>
              <w:rPr>
                <w:rFonts w:ascii="宋体"/>
                <w:color w:val="auto"/>
                <w:sz w:val="18"/>
                <w:szCs w:val="18"/>
                <w:highlight w:val="none"/>
              </w:rPr>
            </w:pPr>
          </w:p>
        </w:tc>
        <w:tc>
          <w:tcPr>
            <w:tcW w:w="607" w:type="pct"/>
            <w:noWrap w:val="0"/>
            <w:vAlign w:val="top"/>
          </w:tcPr>
          <w:p w14:paraId="4442F703">
            <w:pPr>
              <w:rPr>
                <w:rFonts w:ascii="宋体"/>
                <w:color w:val="auto"/>
                <w:sz w:val="18"/>
                <w:szCs w:val="18"/>
                <w:highlight w:val="none"/>
              </w:rPr>
            </w:pPr>
          </w:p>
        </w:tc>
        <w:tc>
          <w:tcPr>
            <w:tcW w:w="754" w:type="pct"/>
            <w:noWrap w:val="0"/>
            <w:vAlign w:val="top"/>
          </w:tcPr>
          <w:p w14:paraId="407E39A6">
            <w:pPr>
              <w:rPr>
                <w:rFonts w:ascii="宋体"/>
                <w:color w:val="auto"/>
                <w:sz w:val="18"/>
                <w:szCs w:val="18"/>
                <w:highlight w:val="none"/>
              </w:rPr>
            </w:pPr>
          </w:p>
        </w:tc>
      </w:tr>
      <w:tr w14:paraId="121D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5A50FFDA">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1070" w:type="pct"/>
            <w:noWrap w:val="0"/>
            <w:vAlign w:val="center"/>
          </w:tcPr>
          <w:p w14:paraId="306C01F8">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24小时尿游离皮质醇</w:t>
            </w:r>
          </w:p>
        </w:tc>
        <w:tc>
          <w:tcPr>
            <w:tcW w:w="844" w:type="pct"/>
            <w:shd w:val="clear" w:color="auto" w:fill="auto"/>
            <w:noWrap w:val="0"/>
            <w:vAlign w:val="center"/>
          </w:tcPr>
          <w:p w14:paraId="7ED313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w:t>
            </w:r>
          </w:p>
        </w:tc>
        <w:tc>
          <w:tcPr>
            <w:tcW w:w="845" w:type="pct"/>
            <w:noWrap w:val="0"/>
            <w:vAlign w:val="top"/>
          </w:tcPr>
          <w:p w14:paraId="147072EC">
            <w:pPr>
              <w:rPr>
                <w:rFonts w:ascii="宋体"/>
                <w:color w:val="auto"/>
                <w:sz w:val="18"/>
                <w:szCs w:val="18"/>
                <w:highlight w:val="none"/>
              </w:rPr>
            </w:pPr>
          </w:p>
        </w:tc>
        <w:tc>
          <w:tcPr>
            <w:tcW w:w="607" w:type="pct"/>
            <w:vMerge w:val="continue"/>
            <w:tcBorders/>
            <w:noWrap w:val="0"/>
            <w:vAlign w:val="top"/>
          </w:tcPr>
          <w:p w14:paraId="2D526A5B">
            <w:pPr>
              <w:rPr>
                <w:rFonts w:ascii="宋体"/>
                <w:color w:val="auto"/>
                <w:sz w:val="18"/>
                <w:szCs w:val="18"/>
                <w:highlight w:val="none"/>
              </w:rPr>
            </w:pPr>
          </w:p>
        </w:tc>
        <w:tc>
          <w:tcPr>
            <w:tcW w:w="607" w:type="pct"/>
            <w:noWrap w:val="0"/>
            <w:vAlign w:val="top"/>
          </w:tcPr>
          <w:p w14:paraId="29308239">
            <w:pPr>
              <w:rPr>
                <w:rFonts w:ascii="宋体"/>
                <w:color w:val="auto"/>
                <w:sz w:val="18"/>
                <w:szCs w:val="18"/>
                <w:highlight w:val="none"/>
              </w:rPr>
            </w:pPr>
          </w:p>
        </w:tc>
        <w:tc>
          <w:tcPr>
            <w:tcW w:w="754" w:type="pct"/>
            <w:noWrap w:val="0"/>
            <w:vAlign w:val="top"/>
          </w:tcPr>
          <w:p w14:paraId="40BC90FB">
            <w:pPr>
              <w:rPr>
                <w:rFonts w:ascii="宋体"/>
                <w:color w:val="auto"/>
                <w:sz w:val="18"/>
                <w:szCs w:val="18"/>
                <w:highlight w:val="none"/>
              </w:rPr>
            </w:pPr>
          </w:p>
        </w:tc>
      </w:tr>
      <w:tr w14:paraId="16266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76246086">
            <w:pPr>
              <w:keepNext w:val="0"/>
              <w:keepLines w:val="0"/>
              <w:widowControl/>
              <w:suppressLineNumbers w:val="0"/>
              <w:jc w:val="center"/>
              <w:textAlignment w:val="bottom"/>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1070" w:type="pct"/>
            <w:noWrap w:val="0"/>
            <w:vAlign w:val="center"/>
          </w:tcPr>
          <w:p w14:paraId="5AE5A327">
            <w:pPr>
              <w:keepNext w:val="0"/>
              <w:keepLines w:val="0"/>
              <w:widowControl/>
              <w:suppressLineNumbers w:val="0"/>
              <w:jc w:val="center"/>
              <w:textAlignment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生长激素（GH）</w:t>
            </w:r>
          </w:p>
        </w:tc>
        <w:tc>
          <w:tcPr>
            <w:tcW w:w="844" w:type="pct"/>
            <w:shd w:val="clear" w:color="auto" w:fill="auto"/>
            <w:noWrap w:val="0"/>
            <w:vAlign w:val="center"/>
          </w:tcPr>
          <w:p w14:paraId="7A50D7E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w:t>
            </w:r>
          </w:p>
        </w:tc>
        <w:tc>
          <w:tcPr>
            <w:tcW w:w="845" w:type="pct"/>
            <w:noWrap w:val="0"/>
            <w:vAlign w:val="top"/>
          </w:tcPr>
          <w:p w14:paraId="4776BB9E">
            <w:pPr>
              <w:rPr>
                <w:rFonts w:ascii="宋体"/>
                <w:color w:val="auto"/>
                <w:sz w:val="18"/>
                <w:szCs w:val="18"/>
                <w:highlight w:val="none"/>
              </w:rPr>
            </w:pPr>
          </w:p>
        </w:tc>
        <w:tc>
          <w:tcPr>
            <w:tcW w:w="607" w:type="pct"/>
            <w:vMerge w:val="continue"/>
            <w:tcBorders/>
            <w:noWrap w:val="0"/>
            <w:vAlign w:val="top"/>
          </w:tcPr>
          <w:p w14:paraId="73EFE670">
            <w:pPr>
              <w:rPr>
                <w:rFonts w:ascii="宋体"/>
                <w:color w:val="auto"/>
                <w:sz w:val="18"/>
                <w:szCs w:val="18"/>
                <w:highlight w:val="none"/>
              </w:rPr>
            </w:pPr>
          </w:p>
        </w:tc>
        <w:tc>
          <w:tcPr>
            <w:tcW w:w="607" w:type="pct"/>
            <w:noWrap w:val="0"/>
            <w:vAlign w:val="top"/>
          </w:tcPr>
          <w:p w14:paraId="4CE6F56D">
            <w:pPr>
              <w:rPr>
                <w:rFonts w:ascii="宋体"/>
                <w:color w:val="auto"/>
                <w:sz w:val="18"/>
                <w:szCs w:val="18"/>
                <w:highlight w:val="none"/>
              </w:rPr>
            </w:pPr>
          </w:p>
        </w:tc>
        <w:tc>
          <w:tcPr>
            <w:tcW w:w="754" w:type="pct"/>
            <w:noWrap w:val="0"/>
            <w:vAlign w:val="top"/>
          </w:tcPr>
          <w:p w14:paraId="6789A04F">
            <w:pPr>
              <w:rPr>
                <w:rFonts w:ascii="宋体"/>
                <w:color w:val="auto"/>
                <w:sz w:val="18"/>
                <w:szCs w:val="18"/>
                <w:highlight w:val="none"/>
              </w:rPr>
            </w:pPr>
          </w:p>
        </w:tc>
      </w:tr>
      <w:tr w14:paraId="6C68B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0B4865E4">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1070" w:type="pct"/>
            <w:noWrap w:val="0"/>
            <w:vAlign w:val="center"/>
          </w:tcPr>
          <w:p w14:paraId="0BA4B497">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17α羟孕酮测定</w:t>
            </w:r>
          </w:p>
        </w:tc>
        <w:tc>
          <w:tcPr>
            <w:tcW w:w="844" w:type="pct"/>
            <w:shd w:val="clear" w:color="auto" w:fill="auto"/>
            <w:noWrap w:val="0"/>
            <w:vAlign w:val="center"/>
          </w:tcPr>
          <w:p w14:paraId="476D1D3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35</w:t>
            </w:r>
          </w:p>
        </w:tc>
        <w:tc>
          <w:tcPr>
            <w:tcW w:w="845" w:type="pct"/>
            <w:noWrap w:val="0"/>
            <w:vAlign w:val="top"/>
          </w:tcPr>
          <w:p w14:paraId="620E60EB">
            <w:pPr>
              <w:rPr>
                <w:rFonts w:ascii="宋体"/>
                <w:color w:val="auto"/>
                <w:sz w:val="18"/>
                <w:szCs w:val="18"/>
                <w:highlight w:val="none"/>
              </w:rPr>
            </w:pPr>
          </w:p>
        </w:tc>
        <w:tc>
          <w:tcPr>
            <w:tcW w:w="607" w:type="pct"/>
            <w:vMerge w:val="continue"/>
            <w:tcBorders/>
            <w:noWrap w:val="0"/>
            <w:vAlign w:val="top"/>
          </w:tcPr>
          <w:p w14:paraId="4F6D1558">
            <w:pPr>
              <w:rPr>
                <w:rFonts w:ascii="宋体"/>
                <w:color w:val="auto"/>
                <w:sz w:val="18"/>
                <w:szCs w:val="18"/>
                <w:highlight w:val="none"/>
              </w:rPr>
            </w:pPr>
          </w:p>
        </w:tc>
        <w:tc>
          <w:tcPr>
            <w:tcW w:w="607" w:type="pct"/>
            <w:noWrap w:val="0"/>
            <w:vAlign w:val="top"/>
          </w:tcPr>
          <w:p w14:paraId="5600835D">
            <w:pPr>
              <w:rPr>
                <w:rFonts w:ascii="宋体"/>
                <w:color w:val="auto"/>
                <w:sz w:val="18"/>
                <w:szCs w:val="18"/>
                <w:highlight w:val="none"/>
              </w:rPr>
            </w:pPr>
          </w:p>
        </w:tc>
        <w:tc>
          <w:tcPr>
            <w:tcW w:w="754" w:type="pct"/>
            <w:noWrap w:val="0"/>
            <w:vAlign w:val="top"/>
          </w:tcPr>
          <w:p w14:paraId="651EE892">
            <w:pPr>
              <w:rPr>
                <w:rFonts w:ascii="宋体"/>
                <w:color w:val="auto"/>
                <w:sz w:val="18"/>
                <w:szCs w:val="18"/>
                <w:highlight w:val="none"/>
              </w:rPr>
            </w:pPr>
          </w:p>
        </w:tc>
      </w:tr>
      <w:tr w14:paraId="0118E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09E19A5">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1070" w:type="pct"/>
            <w:noWrap w:val="0"/>
            <w:vAlign w:val="center"/>
          </w:tcPr>
          <w:p w14:paraId="60BCA7D0">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4"/>
                <w:szCs w:val="24"/>
                <w:highlight w:val="none"/>
                <w:u w:val="none"/>
                <w:lang w:val="en-US" w:eastAsia="zh-CN" w:bidi="ar"/>
              </w:rPr>
              <w:t>药物浓度测定（万古霉素、丙戊酸、卡马西平、地高辛）环孢霉素、他克莫司</w:t>
            </w:r>
          </w:p>
        </w:tc>
        <w:tc>
          <w:tcPr>
            <w:tcW w:w="844" w:type="pct"/>
            <w:shd w:val="clear" w:color="auto" w:fill="auto"/>
            <w:noWrap w:val="0"/>
            <w:vAlign w:val="center"/>
          </w:tcPr>
          <w:p w14:paraId="5760680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100</w:t>
            </w:r>
          </w:p>
        </w:tc>
        <w:tc>
          <w:tcPr>
            <w:tcW w:w="845" w:type="pct"/>
            <w:noWrap w:val="0"/>
            <w:vAlign w:val="top"/>
          </w:tcPr>
          <w:p w14:paraId="0D1ABB16">
            <w:pPr>
              <w:rPr>
                <w:rFonts w:ascii="宋体"/>
                <w:color w:val="auto"/>
                <w:sz w:val="18"/>
                <w:szCs w:val="18"/>
                <w:highlight w:val="none"/>
              </w:rPr>
            </w:pPr>
          </w:p>
        </w:tc>
        <w:tc>
          <w:tcPr>
            <w:tcW w:w="607" w:type="pct"/>
            <w:vMerge w:val="continue"/>
            <w:tcBorders/>
            <w:noWrap w:val="0"/>
            <w:vAlign w:val="top"/>
          </w:tcPr>
          <w:p w14:paraId="78DEB1DA">
            <w:pPr>
              <w:rPr>
                <w:rFonts w:ascii="宋体"/>
                <w:color w:val="auto"/>
                <w:sz w:val="18"/>
                <w:szCs w:val="18"/>
                <w:highlight w:val="none"/>
              </w:rPr>
            </w:pPr>
          </w:p>
        </w:tc>
        <w:tc>
          <w:tcPr>
            <w:tcW w:w="607" w:type="pct"/>
            <w:noWrap w:val="0"/>
            <w:vAlign w:val="top"/>
          </w:tcPr>
          <w:p w14:paraId="2A2F2D7E">
            <w:pPr>
              <w:rPr>
                <w:rFonts w:ascii="宋体"/>
                <w:color w:val="auto"/>
                <w:sz w:val="18"/>
                <w:szCs w:val="18"/>
                <w:highlight w:val="none"/>
              </w:rPr>
            </w:pPr>
          </w:p>
        </w:tc>
        <w:tc>
          <w:tcPr>
            <w:tcW w:w="754" w:type="pct"/>
            <w:noWrap w:val="0"/>
            <w:vAlign w:val="top"/>
          </w:tcPr>
          <w:p w14:paraId="1F8495A8">
            <w:pPr>
              <w:rPr>
                <w:rFonts w:ascii="宋体"/>
                <w:color w:val="auto"/>
                <w:sz w:val="18"/>
                <w:szCs w:val="18"/>
                <w:highlight w:val="none"/>
              </w:rPr>
            </w:pPr>
          </w:p>
        </w:tc>
      </w:tr>
      <w:tr w14:paraId="0ECD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1C51B9C6">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1070" w:type="pct"/>
            <w:noWrap w:val="0"/>
            <w:vAlign w:val="center"/>
          </w:tcPr>
          <w:p w14:paraId="5783DEF8">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脑脊液β淀粉样蛋白42、40</w:t>
            </w:r>
          </w:p>
        </w:tc>
        <w:tc>
          <w:tcPr>
            <w:tcW w:w="844" w:type="pct"/>
            <w:shd w:val="clear" w:color="auto" w:fill="auto"/>
            <w:noWrap w:val="0"/>
            <w:vAlign w:val="center"/>
          </w:tcPr>
          <w:p w14:paraId="19DA267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400</w:t>
            </w:r>
          </w:p>
        </w:tc>
        <w:tc>
          <w:tcPr>
            <w:tcW w:w="845" w:type="pct"/>
            <w:noWrap w:val="0"/>
            <w:vAlign w:val="top"/>
          </w:tcPr>
          <w:p w14:paraId="7BC9E270">
            <w:pPr>
              <w:rPr>
                <w:rFonts w:ascii="宋体"/>
                <w:color w:val="auto"/>
                <w:sz w:val="18"/>
                <w:szCs w:val="18"/>
                <w:highlight w:val="none"/>
              </w:rPr>
            </w:pPr>
          </w:p>
        </w:tc>
        <w:tc>
          <w:tcPr>
            <w:tcW w:w="607" w:type="pct"/>
            <w:vMerge w:val="continue"/>
            <w:tcBorders/>
            <w:noWrap w:val="0"/>
            <w:vAlign w:val="top"/>
          </w:tcPr>
          <w:p w14:paraId="22902E87">
            <w:pPr>
              <w:rPr>
                <w:rFonts w:ascii="宋体"/>
                <w:color w:val="auto"/>
                <w:sz w:val="18"/>
                <w:szCs w:val="18"/>
                <w:highlight w:val="none"/>
              </w:rPr>
            </w:pPr>
          </w:p>
        </w:tc>
        <w:tc>
          <w:tcPr>
            <w:tcW w:w="607" w:type="pct"/>
            <w:noWrap w:val="0"/>
            <w:vAlign w:val="top"/>
          </w:tcPr>
          <w:p w14:paraId="4054CF8C">
            <w:pPr>
              <w:rPr>
                <w:rFonts w:ascii="宋体"/>
                <w:color w:val="auto"/>
                <w:sz w:val="18"/>
                <w:szCs w:val="18"/>
                <w:highlight w:val="none"/>
              </w:rPr>
            </w:pPr>
          </w:p>
        </w:tc>
        <w:tc>
          <w:tcPr>
            <w:tcW w:w="754" w:type="pct"/>
            <w:noWrap w:val="0"/>
            <w:vAlign w:val="top"/>
          </w:tcPr>
          <w:p w14:paraId="75A57320">
            <w:pPr>
              <w:rPr>
                <w:rFonts w:ascii="宋体"/>
                <w:color w:val="auto"/>
                <w:sz w:val="18"/>
                <w:szCs w:val="18"/>
                <w:highlight w:val="none"/>
              </w:rPr>
            </w:pPr>
          </w:p>
        </w:tc>
      </w:tr>
      <w:tr w14:paraId="296E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7E3D350">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1070" w:type="pct"/>
            <w:noWrap w:val="0"/>
            <w:vAlign w:val="center"/>
          </w:tcPr>
          <w:p w14:paraId="489B7127">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脑脊液磷酸化tau-181、tau-217</w:t>
            </w:r>
          </w:p>
        </w:tc>
        <w:tc>
          <w:tcPr>
            <w:tcW w:w="844" w:type="pct"/>
            <w:shd w:val="clear" w:color="auto" w:fill="auto"/>
            <w:noWrap w:val="0"/>
            <w:vAlign w:val="center"/>
          </w:tcPr>
          <w:p w14:paraId="33D8EC5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w:t>
            </w:r>
          </w:p>
        </w:tc>
        <w:tc>
          <w:tcPr>
            <w:tcW w:w="845" w:type="pct"/>
            <w:noWrap w:val="0"/>
            <w:vAlign w:val="top"/>
          </w:tcPr>
          <w:p w14:paraId="601209DC">
            <w:pPr>
              <w:rPr>
                <w:rFonts w:ascii="宋体"/>
                <w:color w:val="auto"/>
                <w:sz w:val="18"/>
                <w:szCs w:val="18"/>
                <w:highlight w:val="none"/>
              </w:rPr>
            </w:pPr>
          </w:p>
        </w:tc>
        <w:tc>
          <w:tcPr>
            <w:tcW w:w="607" w:type="pct"/>
            <w:vMerge w:val="continue"/>
            <w:tcBorders/>
            <w:noWrap w:val="0"/>
            <w:vAlign w:val="top"/>
          </w:tcPr>
          <w:p w14:paraId="3BE544A3">
            <w:pPr>
              <w:rPr>
                <w:rFonts w:ascii="宋体"/>
                <w:color w:val="auto"/>
                <w:sz w:val="18"/>
                <w:szCs w:val="18"/>
                <w:highlight w:val="none"/>
              </w:rPr>
            </w:pPr>
          </w:p>
        </w:tc>
        <w:tc>
          <w:tcPr>
            <w:tcW w:w="607" w:type="pct"/>
            <w:noWrap w:val="0"/>
            <w:vAlign w:val="top"/>
          </w:tcPr>
          <w:p w14:paraId="3D8F43BD">
            <w:pPr>
              <w:rPr>
                <w:rFonts w:ascii="宋体"/>
                <w:color w:val="auto"/>
                <w:sz w:val="18"/>
                <w:szCs w:val="18"/>
                <w:highlight w:val="none"/>
              </w:rPr>
            </w:pPr>
          </w:p>
        </w:tc>
        <w:tc>
          <w:tcPr>
            <w:tcW w:w="754" w:type="pct"/>
            <w:noWrap w:val="0"/>
            <w:vAlign w:val="top"/>
          </w:tcPr>
          <w:p w14:paraId="6782AD0E">
            <w:pPr>
              <w:rPr>
                <w:rFonts w:ascii="宋体"/>
                <w:color w:val="auto"/>
                <w:sz w:val="18"/>
                <w:szCs w:val="18"/>
                <w:highlight w:val="none"/>
              </w:rPr>
            </w:pPr>
          </w:p>
        </w:tc>
      </w:tr>
      <w:tr w14:paraId="0E35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270" w:type="pct"/>
            <w:noWrap w:val="0"/>
            <w:vAlign w:val="center"/>
          </w:tcPr>
          <w:p w14:paraId="289F283F">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1070" w:type="pct"/>
            <w:noWrap w:val="0"/>
            <w:vAlign w:val="center"/>
          </w:tcPr>
          <w:p w14:paraId="728AAC47">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血小板聚集功能测定（PAgT）</w:t>
            </w:r>
          </w:p>
        </w:tc>
        <w:tc>
          <w:tcPr>
            <w:tcW w:w="844" w:type="pct"/>
            <w:shd w:val="clear" w:color="auto" w:fill="auto"/>
            <w:noWrap w:val="0"/>
            <w:vAlign w:val="center"/>
          </w:tcPr>
          <w:p w14:paraId="570E78B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45" w:type="pct"/>
            <w:noWrap w:val="0"/>
            <w:vAlign w:val="top"/>
          </w:tcPr>
          <w:p w14:paraId="7CAF4811">
            <w:pPr>
              <w:rPr>
                <w:rFonts w:ascii="宋体"/>
                <w:color w:val="auto"/>
                <w:sz w:val="18"/>
                <w:szCs w:val="18"/>
                <w:highlight w:val="none"/>
              </w:rPr>
            </w:pPr>
          </w:p>
        </w:tc>
        <w:tc>
          <w:tcPr>
            <w:tcW w:w="607" w:type="pct"/>
            <w:vMerge w:val="continue"/>
            <w:tcBorders/>
            <w:noWrap w:val="0"/>
            <w:vAlign w:val="top"/>
          </w:tcPr>
          <w:p w14:paraId="68D23CD9">
            <w:pPr>
              <w:rPr>
                <w:rFonts w:ascii="宋体"/>
                <w:color w:val="auto"/>
                <w:sz w:val="18"/>
                <w:szCs w:val="18"/>
                <w:highlight w:val="none"/>
              </w:rPr>
            </w:pPr>
          </w:p>
        </w:tc>
        <w:tc>
          <w:tcPr>
            <w:tcW w:w="607" w:type="pct"/>
            <w:noWrap w:val="0"/>
            <w:vAlign w:val="top"/>
          </w:tcPr>
          <w:p w14:paraId="7C95145C">
            <w:pPr>
              <w:rPr>
                <w:rFonts w:ascii="宋体"/>
                <w:color w:val="auto"/>
                <w:sz w:val="18"/>
                <w:szCs w:val="18"/>
                <w:highlight w:val="none"/>
              </w:rPr>
            </w:pPr>
          </w:p>
        </w:tc>
        <w:tc>
          <w:tcPr>
            <w:tcW w:w="754" w:type="pct"/>
            <w:noWrap w:val="0"/>
            <w:vAlign w:val="top"/>
          </w:tcPr>
          <w:p w14:paraId="17BA6FDE">
            <w:pPr>
              <w:rPr>
                <w:rFonts w:ascii="宋体"/>
                <w:color w:val="auto"/>
                <w:sz w:val="18"/>
                <w:szCs w:val="18"/>
                <w:highlight w:val="none"/>
              </w:rPr>
            </w:pPr>
          </w:p>
        </w:tc>
      </w:tr>
      <w:tr w14:paraId="0BA6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0EF5F052">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1070" w:type="pct"/>
            <w:noWrap w:val="0"/>
            <w:vAlign w:val="center"/>
          </w:tcPr>
          <w:p w14:paraId="0BF3C588">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血型IgG抗体效价测定（抗A）</w:t>
            </w:r>
          </w:p>
        </w:tc>
        <w:tc>
          <w:tcPr>
            <w:tcW w:w="844" w:type="pct"/>
            <w:shd w:val="clear" w:color="auto" w:fill="auto"/>
            <w:noWrap w:val="0"/>
            <w:vAlign w:val="center"/>
          </w:tcPr>
          <w:p w14:paraId="7AB8FCD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845" w:type="pct"/>
            <w:noWrap w:val="0"/>
            <w:vAlign w:val="top"/>
          </w:tcPr>
          <w:p w14:paraId="179579AC">
            <w:pPr>
              <w:rPr>
                <w:rFonts w:ascii="宋体"/>
                <w:color w:val="auto"/>
                <w:sz w:val="18"/>
                <w:szCs w:val="18"/>
                <w:highlight w:val="none"/>
              </w:rPr>
            </w:pPr>
          </w:p>
        </w:tc>
        <w:tc>
          <w:tcPr>
            <w:tcW w:w="607" w:type="pct"/>
            <w:vMerge w:val="continue"/>
            <w:tcBorders/>
            <w:noWrap w:val="0"/>
            <w:vAlign w:val="top"/>
          </w:tcPr>
          <w:p w14:paraId="000F9ECC">
            <w:pPr>
              <w:rPr>
                <w:rFonts w:ascii="宋体"/>
                <w:color w:val="auto"/>
                <w:sz w:val="18"/>
                <w:szCs w:val="18"/>
                <w:highlight w:val="none"/>
              </w:rPr>
            </w:pPr>
          </w:p>
        </w:tc>
        <w:tc>
          <w:tcPr>
            <w:tcW w:w="607" w:type="pct"/>
            <w:noWrap w:val="0"/>
            <w:vAlign w:val="top"/>
          </w:tcPr>
          <w:p w14:paraId="190164B7">
            <w:pPr>
              <w:rPr>
                <w:rFonts w:ascii="宋体"/>
                <w:color w:val="auto"/>
                <w:sz w:val="18"/>
                <w:szCs w:val="18"/>
                <w:highlight w:val="none"/>
              </w:rPr>
            </w:pPr>
          </w:p>
        </w:tc>
        <w:tc>
          <w:tcPr>
            <w:tcW w:w="754" w:type="pct"/>
            <w:noWrap w:val="0"/>
            <w:vAlign w:val="top"/>
          </w:tcPr>
          <w:p w14:paraId="005FAC7B">
            <w:pPr>
              <w:rPr>
                <w:rFonts w:ascii="宋体"/>
                <w:color w:val="auto"/>
                <w:sz w:val="18"/>
                <w:szCs w:val="18"/>
                <w:highlight w:val="none"/>
              </w:rPr>
            </w:pPr>
          </w:p>
        </w:tc>
      </w:tr>
      <w:tr w14:paraId="60E0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7E24279">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1070" w:type="pct"/>
            <w:noWrap w:val="0"/>
            <w:vAlign w:val="center"/>
          </w:tcPr>
          <w:p w14:paraId="2B445304">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1"/>
                <w:szCs w:val="21"/>
                <w:highlight w:val="none"/>
                <w:u w:val="none"/>
                <w:lang w:val="en-US" w:eastAsia="zh-CN" w:bidi="ar"/>
              </w:rPr>
              <w:t>血型IgG抗体效价测定（抗B）</w:t>
            </w:r>
          </w:p>
        </w:tc>
        <w:tc>
          <w:tcPr>
            <w:tcW w:w="844" w:type="pct"/>
            <w:shd w:val="clear" w:color="auto" w:fill="auto"/>
            <w:noWrap w:val="0"/>
            <w:vAlign w:val="center"/>
          </w:tcPr>
          <w:p w14:paraId="7ACB7A3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845" w:type="pct"/>
            <w:noWrap w:val="0"/>
            <w:vAlign w:val="top"/>
          </w:tcPr>
          <w:p w14:paraId="2C1F8DF6">
            <w:pPr>
              <w:rPr>
                <w:rFonts w:ascii="宋体"/>
                <w:color w:val="auto"/>
                <w:sz w:val="18"/>
                <w:szCs w:val="18"/>
                <w:highlight w:val="none"/>
              </w:rPr>
            </w:pPr>
          </w:p>
        </w:tc>
        <w:tc>
          <w:tcPr>
            <w:tcW w:w="607" w:type="pct"/>
            <w:vMerge w:val="continue"/>
            <w:tcBorders/>
            <w:noWrap w:val="0"/>
            <w:vAlign w:val="top"/>
          </w:tcPr>
          <w:p w14:paraId="05B7B7B3">
            <w:pPr>
              <w:rPr>
                <w:rFonts w:ascii="宋体"/>
                <w:color w:val="auto"/>
                <w:sz w:val="18"/>
                <w:szCs w:val="18"/>
                <w:highlight w:val="none"/>
              </w:rPr>
            </w:pPr>
          </w:p>
        </w:tc>
        <w:tc>
          <w:tcPr>
            <w:tcW w:w="607" w:type="pct"/>
            <w:noWrap w:val="0"/>
            <w:vAlign w:val="top"/>
          </w:tcPr>
          <w:p w14:paraId="0DA31263">
            <w:pPr>
              <w:rPr>
                <w:rFonts w:ascii="宋体"/>
                <w:color w:val="auto"/>
                <w:sz w:val="18"/>
                <w:szCs w:val="18"/>
                <w:highlight w:val="none"/>
              </w:rPr>
            </w:pPr>
          </w:p>
        </w:tc>
        <w:tc>
          <w:tcPr>
            <w:tcW w:w="754" w:type="pct"/>
            <w:noWrap w:val="0"/>
            <w:vAlign w:val="top"/>
          </w:tcPr>
          <w:p w14:paraId="1D4D6694">
            <w:pPr>
              <w:rPr>
                <w:rFonts w:ascii="宋体"/>
                <w:color w:val="auto"/>
                <w:sz w:val="18"/>
                <w:szCs w:val="18"/>
                <w:highlight w:val="none"/>
              </w:rPr>
            </w:pPr>
          </w:p>
        </w:tc>
      </w:tr>
      <w:tr w14:paraId="2F50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4F43CBC8">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1070" w:type="pct"/>
            <w:noWrap w:val="0"/>
            <w:vAlign w:val="center"/>
          </w:tcPr>
          <w:p w14:paraId="01053124">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尿N-酰-β-D-氨基葡萄糖苷酶测定（UNAG）</w:t>
            </w:r>
          </w:p>
        </w:tc>
        <w:tc>
          <w:tcPr>
            <w:tcW w:w="844" w:type="pct"/>
            <w:shd w:val="clear" w:color="auto" w:fill="auto"/>
            <w:noWrap w:val="0"/>
            <w:vAlign w:val="center"/>
          </w:tcPr>
          <w:p w14:paraId="59C2C3C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45" w:type="pct"/>
            <w:noWrap w:val="0"/>
            <w:vAlign w:val="top"/>
          </w:tcPr>
          <w:p w14:paraId="571CE462">
            <w:pPr>
              <w:rPr>
                <w:rFonts w:ascii="宋体"/>
                <w:color w:val="auto"/>
                <w:sz w:val="18"/>
                <w:szCs w:val="18"/>
                <w:highlight w:val="none"/>
              </w:rPr>
            </w:pPr>
          </w:p>
        </w:tc>
        <w:tc>
          <w:tcPr>
            <w:tcW w:w="607" w:type="pct"/>
            <w:vMerge w:val="continue"/>
            <w:tcBorders/>
            <w:noWrap w:val="0"/>
            <w:vAlign w:val="top"/>
          </w:tcPr>
          <w:p w14:paraId="723A1732">
            <w:pPr>
              <w:rPr>
                <w:rFonts w:ascii="宋体"/>
                <w:color w:val="auto"/>
                <w:sz w:val="18"/>
                <w:szCs w:val="18"/>
                <w:highlight w:val="none"/>
              </w:rPr>
            </w:pPr>
          </w:p>
        </w:tc>
        <w:tc>
          <w:tcPr>
            <w:tcW w:w="607" w:type="pct"/>
            <w:noWrap w:val="0"/>
            <w:vAlign w:val="top"/>
          </w:tcPr>
          <w:p w14:paraId="3DD9A9AC">
            <w:pPr>
              <w:rPr>
                <w:rFonts w:ascii="宋体"/>
                <w:color w:val="auto"/>
                <w:sz w:val="18"/>
                <w:szCs w:val="18"/>
                <w:highlight w:val="none"/>
              </w:rPr>
            </w:pPr>
          </w:p>
        </w:tc>
        <w:tc>
          <w:tcPr>
            <w:tcW w:w="754" w:type="pct"/>
            <w:noWrap w:val="0"/>
            <w:vAlign w:val="top"/>
          </w:tcPr>
          <w:p w14:paraId="71FEF1D3">
            <w:pPr>
              <w:rPr>
                <w:rFonts w:ascii="宋体"/>
                <w:color w:val="auto"/>
                <w:sz w:val="18"/>
                <w:szCs w:val="18"/>
                <w:highlight w:val="none"/>
              </w:rPr>
            </w:pPr>
          </w:p>
        </w:tc>
      </w:tr>
      <w:tr w14:paraId="219E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578DEDD9">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1070" w:type="pct"/>
            <w:noWrap w:val="0"/>
            <w:vAlign w:val="center"/>
          </w:tcPr>
          <w:p w14:paraId="6CDFE0A4">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尿α2-巨球蛋白测定（Ua2-mG）</w:t>
            </w:r>
          </w:p>
        </w:tc>
        <w:tc>
          <w:tcPr>
            <w:tcW w:w="844" w:type="pct"/>
            <w:shd w:val="clear" w:color="auto" w:fill="auto"/>
            <w:noWrap w:val="0"/>
            <w:vAlign w:val="center"/>
          </w:tcPr>
          <w:p w14:paraId="60F67C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845" w:type="pct"/>
            <w:noWrap w:val="0"/>
            <w:vAlign w:val="top"/>
          </w:tcPr>
          <w:p w14:paraId="41D5A2E7">
            <w:pPr>
              <w:rPr>
                <w:rFonts w:ascii="宋体"/>
                <w:color w:val="auto"/>
                <w:sz w:val="18"/>
                <w:szCs w:val="18"/>
                <w:highlight w:val="none"/>
              </w:rPr>
            </w:pPr>
          </w:p>
        </w:tc>
        <w:tc>
          <w:tcPr>
            <w:tcW w:w="607" w:type="pct"/>
            <w:vMerge w:val="continue"/>
            <w:tcBorders/>
            <w:noWrap w:val="0"/>
            <w:vAlign w:val="top"/>
          </w:tcPr>
          <w:p w14:paraId="5A2180B8">
            <w:pPr>
              <w:rPr>
                <w:rFonts w:ascii="宋体"/>
                <w:color w:val="auto"/>
                <w:sz w:val="18"/>
                <w:szCs w:val="18"/>
                <w:highlight w:val="none"/>
              </w:rPr>
            </w:pPr>
          </w:p>
        </w:tc>
        <w:tc>
          <w:tcPr>
            <w:tcW w:w="607" w:type="pct"/>
            <w:noWrap w:val="0"/>
            <w:vAlign w:val="top"/>
          </w:tcPr>
          <w:p w14:paraId="428DD650">
            <w:pPr>
              <w:rPr>
                <w:rFonts w:ascii="宋体"/>
                <w:color w:val="auto"/>
                <w:sz w:val="18"/>
                <w:szCs w:val="18"/>
                <w:highlight w:val="none"/>
              </w:rPr>
            </w:pPr>
          </w:p>
        </w:tc>
        <w:tc>
          <w:tcPr>
            <w:tcW w:w="754" w:type="pct"/>
            <w:noWrap w:val="0"/>
            <w:vAlign w:val="top"/>
          </w:tcPr>
          <w:p w14:paraId="09C458DF">
            <w:pPr>
              <w:rPr>
                <w:rFonts w:ascii="宋体"/>
                <w:color w:val="auto"/>
                <w:sz w:val="18"/>
                <w:szCs w:val="18"/>
                <w:highlight w:val="none"/>
              </w:rPr>
            </w:pPr>
          </w:p>
        </w:tc>
      </w:tr>
      <w:tr w14:paraId="74A8C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4F3682AF">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1070" w:type="pct"/>
            <w:noWrap w:val="0"/>
            <w:vAlign w:val="center"/>
          </w:tcPr>
          <w:p w14:paraId="0C4740A9">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尿α1微量球蛋白测定（Ua1-mG）</w:t>
            </w:r>
          </w:p>
        </w:tc>
        <w:tc>
          <w:tcPr>
            <w:tcW w:w="844" w:type="pct"/>
            <w:shd w:val="clear" w:color="auto" w:fill="auto"/>
            <w:noWrap w:val="0"/>
            <w:vAlign w:val="center"/>
          </w:tcPr>
          <w:p w14:paraId="6BC71E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845" w:type="pct"/>
            <w:noWrap w:val="0"/>
            <w:vAlign w:val="top"/>
          </w:tcPr>
          <w:p w14:paraId="74A319FB">
            <w:pPr>
              <w:rPr>
                <w:rFonts w:ascii="宋体"/>
                <w:color w:val="auto"/>
                <w:sz w:val="18"/>
                <w:szCs w:val="18"/>
                <w:highlight w:val="none"/>
              </w:rPr>
            </w:pPr>
          </w:p>
        </w:tc>
        <w:tc>
          <w:tcPr>
            <w:tcW w:w="607" w:type="pct"/>
            <w:vMerge w:val="continue"/>
            <w:tcBorders/>
            <w:noWrap w:val="0"/>
            <w:vAlign w:val="top"/>
          </w:tcPr>
          <w:p w14:paraId="432AA7FD">
            <w:pPr>
              <w:rPr>
                <w:rFonts w:ascii="宋体"/>
                <w:color w:val="auto"/>
                <w:sz w:val="18"/>
                <w:szCs w:val="18"/>
                <w:highlight w:val="none"/>
              </w:rPr>
            </w:pPr>
          </w:p>
        </w:tc>
        <w:tc>
          <w:tcPr>
            <w:tcW w:w="607" w:type="pct"/>
            <w:noWrap w:val="0"/>
            <w:vAlign w:val="top"/>
          </w:tcPr>
          <w:p w14:paraId="7D01A3AC">
            <w:pPr>
              <w:rPr>
                <w:rFonts w:ascii="宋体"/>
                <w:color w:val="auto"/>
                <w:sz w:val="18"/>
                <w:szCs w:val="18"/>
                <w:highlight w:val="none"/>
              </w:rPr>
            </w:pPr>
          </w:p>
        </w:tc>
        <w:tc>
          <w:tcPr>
            <w:tcW w:w="754" w:type="pct"/>
            <w:noWrap w:val="0"/>
            <w:vAlign w:val="top"/>
          </w:tcPr>
          <w:p w14:paraId="0885B6A1">
            <w:pPr>
              <w:rPr>
                <w:rFonts w:ascii="宋体"/>
                <w:color w:val="auto"/>
                <w:sz w:val="18"/>
                <w:szCs w:val="18"/>
                <w:highlight w:val="none"/>
              </w:rPr>
            </w:pPr>
          </w:p>
        </w:tc>
      </w:tr>
      <w:tr w14:paraId="587CB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6654D8E2">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1070" w:type="pct"/>
            <w:noWrap w:val="0"/>
            <w:vAlign w:val="center"/>
          </w:tcPr>
          <w:p w14:paraId="09598A93">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尿渗透压</w:t>
            </w:r>
          </w:p>
        </w:tc>
        <w:tc>
          <w:tcPr>
            <w:tcW w:w="844" w:type="pct"/>
            <w:shd w:val="clear" w:color="auto" w:fill="auto"/>
            <w:noWrap w:val="0"/>
            <w:vAlign w:val="center"/>
          </w:tcPr>
          <w:p w14:paraId="2D34B30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45" w:type="pct"/>
            <w:noWrap w:val="0"/>
            <w:vAlign w:val="top"/>
          </w:tcPr>
          <w:p w14:paraId="34A83805">
            <w:pPr>
              <w:rPr>
                <w:rFonts w:ascii="宋体"/>
                <w:color w:val="auto"/>
                <w:sz w:val="18"/>
                <w:szCs w:val="18"/>
                <w:highlight w:val="none"/>
              </w:rPr>
            </w:pPr>
          </w:p>
        </w:tc>
        <w:tc>
          <w:tcPr>
            <w:tcW w:w="607" w:type="pct"/>
            <w:vMerge w:val="continue"/>
            <w:tcBorders/>
            <w:noWrap w:val="0"/>
            <w:vAlign w:val="top"/>
          </w:tcPr>
          <w:p w14:paraId="71A39261">
            <w:pPr>
              <w:rPr>
                <w:rFonts w:ascii="宋体"/>
                <w:color w:val="auto"/>
                <w:sz w:val="18"/>
                <w:szCs w:val="18"/>
                <w:highlight w:val="none"/>
              </w:rPr>
            </w:pPr>
          </w:p>
        </w:tc>
        <w:tc>
          <w:tcPr>
            <w:tcW w:w="607" w:type="pct"/>
            <w:noWrap w:val="0"/>
            <w:vAlign w:val="top"/>
          </w:tcPr>
          <w:p w14:paraId="205AE284">
            <w:pPr>
              <w:rPr>
                <w:rFonts w:ascii="宋体"/>
                <w:color w:val="auto"/>
                <w:sz w:val="18"/>
                <w:szCs w:val="18"/>
                <w:highlight w:val="none"/>
              </w:rPr>
            </w:pPr>
          </w:p>
        </w:tc>
        <w:tc>
          <w:tcPr>
            <w:tcW w:w="754" w:type="pct"/>
            <w:noWrap w:val="0"/>
            <w:vAlign w:val="top"/>
          </w:tcPr>
          <w:p w14:paraId="05334E07">
            <w:pPr>
              <w:rPr>
                <w:rFonts w:ascii="宋体"/>
                <w:color w:val="auto"/>
                <w:sz w:val="18"/>
                <w:szCs w:val="18"/>
                <w:highlight w:val="none"/>
              </w:rPr>
            </w:pPr>
          </w:p>
        </w:tc>
      </w:tr>
      <w:tr w14:paraId="50D8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0" w:type="pct"/>
            <w:noWrap w:val="0"/>
            <w:vAlign w:val="center"/>
          </w:tcPr>
          <w:p w14:paraId="36733E0D">
            <w:pPr>
              <w:keepNext w:val="0"/>
              <w:keepLines w:val="0"/>
              <w:widowControl/>
              <w:suppressLineNumbers w:val="0"/>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1070" w:type="pct"/>
            <w:noWrap w:val="0"/>
            <w:vAlign w:val="center"/>
          </w:tcPr>
          <w:p w14:paraId="5678738F">
            <w:pPr>
              <w:keepNext w:val="0"/>
              <w:keepLines w:val="0"/>
              <w:widowControl/>
              <w:suppressLineNumbers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i w:val="0"/>
                <w:iCs w:val="0"/>
                <w:color w:val="auto"/>
                <w:kern w:val="0"/>
                <w:sz w:val="22"/>
                <w:szCs w:val="22"/>
                <w:highlight w:val="none"/>
                <w:u w:val="none"/>
                <w:lang w:val="en-US" w:eastAsia="zh-CN" w:bidi="ar"/>
              </w:rPr>
              <w:t>微量元素测定</w:t>
            </w:r>
          </w:p>
        </w:tc>
        <w:tc>
          <w:tcPr>
            <w:tcW w:w="844" w:type="pct"/>
            <w:shd w:val="clear" w:color="auto" w:fill="auto"/>
            <w:noWrap w:val="0"/>
            <w:vAlign w:val="center"/>
          </w:tcPr>
          <w:p w14:paraId="1B5AD5D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845" w:type="pct"/>
            <w:noWrap w:val="0"/>
            <w:vAlign w:val="top"/>
          </w:tcPr>
          <w:p w14:paraId="5C2BF004">
            <w:pPr>
              <w:rPr>
                <w:rFonts w:ascii="宋体"/>
                <w:color w:val="auto"/>
                <w:sz w:val="18"/>
                <w:szCs w:val="18"/>
                <w:highlight w:val="none"/>
              </w:rPr>
            </w:pPr>
          </w:p>
        </w:tc>
        <w:tc>
          <w:tcPr>
            <w:tcW w:w="607" w:type="pct"/>
            <w:vMerge w:val="continue"/>
            <w:tcBorders/>
            <w:noWrap w:val="0"/>
            <w:vAlign w:val="top"/>
          </w:tcPr>
          <w:p w14:paraId="1052AA6C">
            <w:pPr>
              <w:rPr>
                <w:rFonts w:ascii="宋体"/>
                <w:color w:val="auto"/>
                <w:sz w:val="18"/>
                <w:szCs w:val="18"/>
                <w:highlight w:val="none"/>
              </w:rPr>
            </w:pPr>
          </w:p>
        </w:tc>
        <w:tc>
          <w:tcPr>
            <w:tcW w:w="607" w:type="pct"/>
            <w:noWrap w:val="0"/>
            <w:vAlign w:val="top"/>
          </w:tcPr>
          <w:p w14:paraId="2327BC05">
            <w:pPr>
              <w:rPr>
                <w:rFonts w:ascii="宋体"/>
                <w:color w:val="auto"/>
                <w:sz w:val="18"/>
                <w:szCs w:val="18"/>
                <w:highlight w:val="none"/>
              </w:rPr>
            </w:pPr>
          </w:p>
        </w:tc>
        <w:tc>
          <w:tcPr>
            <w:tcW w:w="754" w:type="pct"/>
            <w:noWrap w:val="0"/>
            <w:vAlign w:val="top"/>
          </w:tcPr>
          <w:p w14:paraId="13DA276A">
            <w:pPr>
              <w:rPr>
                <w:rFonts w:ascii="宋体"/>
                <w:color w:val="auto"/>
                <w:sz w:val="18"/>
                <w:szCs w:val="18"/>
                <w:highlight w:val="none"/>
              </w:rPr>
            </w:pPr>
          </w:p>
        </w:tc>
      </w:tr>
    </w:tbl>
    <w:p w14:paraId="04684983">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14:paraId="605E6BD9">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08610A9A">
      <w:pPr>
        <w:spacing w:line="400" w:lineRule="exact"/>
        <w:outlineLvl w:val="0"/>
        <w:rPr>
          <w:rFonts w:hint="eastAsia" w:ascii="宋体" w:hAnsi="宋体" w:eastAsia="宋体" w:cs="宋体"/>
          <w:b w:val="0"/>
          <w:bCs/>
          <w:color w:val="auto"/>
          <w:highlight w:val="none"/>
        </w:rPr>
      </w:pPr>
      <w:r>
        <w:rPr>
          <w:rFonts w:hint="eastAsia" w:ascii="宋体" w:hAnsi="宋体" w:eastAsia="宋体" w:cs="宋体"/>
          <w:b w:val="0"/>
          <w:bCs/>
          <w:color w:val="auto"/>
          <w:highlight w:val="none"/>
        </w:rPr>
        <w:t>注：（1）</w:t>
      </w:r>
      <w:r>
        <w:rPr>
          <w:rFonts w:hint="eastAsia" w:ascii="宋体" w:hAnsi="宋体" w:eastAsia="宋体" w:cs="宋体"/>
          <w:b w:val="0"/>
          <w:bCs/>
          <w:color w:val="auto"/>
          <w:highlight w:val="none"/>
          <w:lang w:eastAsia="zh-CN"/>
        </w:rPr>
        <w:t>供应商</w:t>
      </w:r>
      <w:r>
        <w:rPr>
          <w:rFonts w:hint="eastAsia" w:ascii="宋体" w:hAnsi="宋体" w:eastAsia="宋体" w:cs="宋体"/>
          <w:b w:val="0"/>
          <w:bCs/>
          <w:color w:val="auto"/>
          <w:highlight w:val="none"/>
        </w:rPr>
        <w:t>如为“中小企业”，提供</w:t>
      </w:r>
      <w:r>
        <w:rPr>
          <w:rFonts w:hint="eastAsia" w:ascii="宋体" w:hAnsi="宋体" w:eastAsia="宋体" w:cs="宋体"/>
          <w:b w:val="0"/>
          <w:bCs/>
          <w:color w:val="auto"/>
          <w:highlight w:val="none"/>
          <w:lang w:eastAsia="zh-CN"/>
        </w:rPr>
        <w:t>供应商</w:t>
      </w:r>
      <w:r>
        <w:rPr>
          <w:rFonts w:hint="eastAsia" w:ascii="宋体" w:hAnsi="宋体" w:eastAsia="宋体" w:cs="宋体"/>
          <w:b w:val="0"/>
          <w:bCs/>
          <w:color w:val="auto"/>
          <w:highlight w:val="none"/>
        </w:rPr>
        <w:t>《中小企业声明函》，</w:t>
      </w:r>
      <w:r>
        <w:rPr>
          <w:rFonts w:hint="eastAsia" w:ascii="宋体" w:hAnsi="宋体" w:eastAsia="宋体" w:cs="宋体"/>
          <w:b w:val="0"/>
          <w:bCs/>
          <w:color w:val="auto"/>
          <w:highlight w:val="none"/>
          <w:lang w:eastAsia="zh-CN"/>
        </w:rPr>
        <w:t>供应商</w:t>
      </w:r>
      <w:r>
        <w:rPr>
          <w:rFonts w:hint="eastAsia" w:ascii="宋体" w:hAnsi="宋体" w:eastAsia="宋体" w:cs="宋体"/>
          <w:b w:val="0"/>
          <w:bCs/>
          <w:color w:val="auto"/>
          <w:highlight w:val="none"/>
        </w:rPr>
        <w:t>如为“监狱企业”，必须提供由省级以上监狱管理局、戒毒管理局（含新疆生产建设兵团）出具的属于监狱企业的证明文件复印件，</w:t>
      </w:r>
      <w:r>
        <w:rPr>
          <w:rFonts w:hint="eastAsia" w:ascii="宋体" w:hAnsi="宋体" w:eastAsia="宋体" w:cs="宋体"/>
          <w:b w:val="0"/>
          <w:bCs/>
          <w:color w:val="auto"/>
          <w:highlight w:val="none"/>
          <w:lang w:eastAsia="zh-CN"/>
        </w:rPr>
        <w:t>供应商</w:t>
      </w:r>
      <w:r>
        <w:rPr>
          <w:rFonts w:hint="eastAsia" w:ascii="宋体" w:hAnsi="宋体" w:eastAsia="宋体" w:cs="宋体"/>
          <w:b w:val="0"/>
          <w:bCs/>
          <w:color w:val="auto"/>
          <w:highlight w:val="none"/>
        </w:rPr>
        <w:t>如为“残疾人福利性单位”，应当按照《财政部、民政部、中国残疾人联合会关于促进残疾人就业政府采购政策的通知》（财库</w:t>
      </w:r>
      <w:r>
        <w:rPr>
          <w:rFonts w:hint="eastAsia" w:ascii="宋体" w:hAnsi="宋体" w:eastAsia="宋体" w:cs="宋体"/>
          <w:b w:val="0"/>
          <w:bCs/>
          <w:color w:val="auto"/>
          <w:highlight w:val="none"/>
          <w:lang w:eastAsia="zh-CN"/>
        </w:rPr>
        <w:t>〔2017〕141号</w:t>
      </w:r>
      <w:r>
        <w:rPr>
          <w:rFonts w:hint="eastAsia" w:ascii="宋体" w:hAnsi="宋体" w:eastAsia="宋体" w:cs="宋体"/>
          <w:b w:val="0"/>
          <w:bCs/>
          <w:color w:val="auto"/>
          <w:highlight w:val="none"/>
        </w:rPr>
        <w:t>）的规定填写《残疾人福利性单位声明函》；如未按要求填写或相关内容表述不清的，不得享受价格扣除。</w:t>
      </w:r>
      <w:r>
        <w:rPr>
          <w:rFonts w:hint="eastAsia" w:ascii="宋体" w:hAnsi="宋体" w:eastAsia="宋体" w:cs="宋体"/>
          <w:b w:val="0"/>
          <w:bCs/>
          <w:color w:val="auto"/>
          <w:highlight w:val="none"/>
          <w:lang w:eastAsia="zh-CN"/>
        </w:rPr>
        <w:t>供应商</w:t>
      </w:r>
      <w:r>
        <w:rPr>
          <w:rFonts w:hint="eastAsia" w:ascii="宋体" w:hAnsi="宋体" w:eastAsia="宋体" w:cs="宋体"/>
          <w:b w:val="0"/>
          <w:bCs/>
          <w:color w:val="auto"/>
          <w:highlight w:val="none"/>
        </w:rPr>
        <w:t>对所报相关数据的真实性负责，普信国际工程咨询有限公司有权将相关内容进行公示；</w:t>
      </w:r>
    </w:p>
    <w:p w14:paraId="7B147DB9">
      <w:pPr>
        <w:spacing w:line="400" w:lineRule="exact"/>
        <w:outlineLvl w:val="0"/>
        <w:rPr>
          <w:rFonts w:hint="eastAsia" w:ascii="宋体" w:hAnsi="宋体" w:eastAsia="宋体" w:cs="宋体"/>
          <w:b w:val="0"/>
          <w:bCs/>
          <w:color w:val="auto"/>
          <w:highlight w:val="none"/>
        </w:rPr>
      </w:pPr>
      <w:r>
        <w:rPr>
          <w:rFonts w:hint="eastAsia" w:ascii="宋体" w:hAnsi="宋体" w:eastAsia="宋体" w:cs="宋体"/>
          <w:b w:val="0"/>
          <w:bCs/>
          <w:color w:val="auto"/>
          <w:highlight w:val="none"/>
        </w:rPr>
        <w:t>（2）报价供应商应当根据“项目技术要求和有关说明”的内容在上表中详细填写；</w:t>
      </w:r>
    </w:p>
    <w:p w14:paraId="4EDC7098">
      <w:pPr>
        <w:spacing w:line="400" w:lineRule="exact"/>
        <w:outlineLvl w:val="0"/>
        <w:rPr>
          <w:rFonts w:hint="eastAsia" w:ascii="宋体" w:hAnsi="宋体" w:eastAsia="宋体" w:cs="宋体"/>
          <w:b w:val="0"/>
          <w:bCs/>
          <w:color w:val="auto"/>
          <w:highlight w:val="none"/>
        </w:rPr>
      </w:pPr>
      <w:r>
        <w:rPr>
          <w:rFonts w:hint="eastAsia" w:ascii="宋体" w:hAnsi="宋体" w:eastAsia="宋体" w:cs="宋体"/>
          <w:b w:val="0"/>
          <w:bCs/>
          <w:color w:val="auto"/>
          <w:highlight w:val="none"/>
        </w:rPr>
        <w:t>（3）表格不够可自行延长。</w:t>
      </w:r>
    </w:p>
    <w:p w14:paraId="663A8794">
      <w:pPr>
        <w:spacing w:line="400" w:lineRule="exact"/>
        <w:outlineLvl w:val="0"/>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（4）供应商对检测项目进行逐一报价，每个检测项目的报价均采用同一优惠率报价后填写。</w:t>
      </w:r>
    </w:p>
    <w:p w14:paraId="7CEFF6BA">
      <w:pPr>
        <w:spacing w:line="400" w:lineRule="exact"/>
        <w:outlineLvl w:val="0"/>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（5）</w:t>
      </w:r>
      <w:r>
        <w:rPr>
          <w:rFonts w:hint="eastAsia" w:ascii="宋体" w:hAnsi="宋体" w:eastAsia="宋体" w:cs="宋体"/>
          <w:b w:val="0"/>
          <w:bCs/>
          <w:color w:val="auto"/>
          <w:highlight w:val="none"/>
        </w:rPr>
        <w:t>不在检</w:t>
      </w:r>
      <w:r>
        <w:rPr>
          <w:rFonts w:hint="eastAsia" w:ascii="宋体" w:hAnsi="宋体" w:eastAsia="宋体" w:cs="宋体"/>
          <w:b w:val="0"/>
          <w:bCs/>
          <w:color w:val="auto"/>
          <w:highlight w:val="none"/>
          <w:lang w:val="en-US" w:eastAsia="zh-CN"/>
        </w:rPr>
        <w:t>验</w:t>
      </w:r>
      <w:r>
        <w:rPr>
          <w:rFonts w:hint="eastAsia" w:ascii="宋体" w:hAnsi="宋体" w:eastAsia="宋体" w:cs="宋体"/>
          <w:b w:val="0"/>
          <w:bCs/>
          <w:color w:val="auto"/>
          <w:highlight w:val="none"/>
        </w:rPr>
        <w:t>范围内的检验项目不得进行报价，表格中填写“/”，且在是否在检测范围内栏中的对应项中填写清楚。</w:t>
      </w:r>
    </w:p>
    <w:p w14:paraId="636406E5">
      <w:pPr>
        <w:spacing w:line="400" w:lineRule="exact"/>
        <w:outlineLvl w:val="0"/>
        <w:rPr>
          <w:rFonts w:hint="eastAsia" w:ascii="宋体" w:hAnsi="宋体" w:eastAsia="宋体" w:cs="宋体"/>
          <w:b/>
          <w:color w:val="auto"/>
          <w:highlight w:val="none"/>
          <w:lang w:eastAsia="zh-CN"/>
        </w:rPr>
      </w:pPr>
    </w:p>
    <w:p w14:paraId="00B15D03">
      <w:pPr>
        <w:spacing w:line="400" w:lineRule="exact"/>
        <w:outlineLvl w:val="0"/>
        <w:rPr>
          <w:rFonts w:ascii="宋体" w:hAnsi="宋体" w:cs="宋体"/>
          <w:color w:val="auto"/>
          <w:sz w:val="22"/>
          <w:highlight w:val="none"/>
        </w:rPr>
      </w:pPr>
      <w:r>
        <w:rPr>
          <w:rFonts w:ascii="宋体" w:hAnsi="宋体" w:cs="宋体"/>
          <w:color w:val="auto"/>
          <w:sz w:val="22"/>
          <w:highlight w:val="none"/>
        </w:rPr>
        <w:br w:type="page" w:clear="all"/>
      </w:r>
    </w:p>
    <w:p w14:paraId="22882CEC">
      <w:pPr>
        <w:spacing w:line="360" w:lineRule="auto"/>
        <w:rPr>
          <w:b/>
          <w:color w:val="auto"/>
          <w:sz w:val="28"/>
          <w:szCs w:val="28"/>
          <w:highlight w:val="none"/>
        </w:rPr>
      </w:pPr>
      <w:r>
        <w:rPr>
          <w:rFonts w:hint="eastAsia"/>
          <w:b/>
          <w:color w:val="auto"/>
          <w:sz w:val="28"/>
          <w:szCs w:val="28"/>
          <w:highlight w:val="none"/>
        </w:rPr>
        <w:t>十</w:t>
      </w:r>
      <w:r>
        <w:rPr>
          <w:rFonts w:hint="eastAsia" w:eastAsia="宋体"/>
          <w:b/>
          <w:color w:val="auto"/>
          <w:sz w:val="28"/>
          <w:szCs w:val="28"/>
          <w:highlight w:val="none"/>
          <w:lang w:val="en-US" w:eastAsia="zh-CN"/>
        </w:rPr>
        <w:t>一</w:t>
      </w:r>
      <w:r>
        <w:rPr>
          <w:b/>
          <w:color w:val="auto"/>
          <w:sz w:val="28"/>
          <w:szCs w:val="28"/>
          <w:highlight w:val="none"/>
        </w:rPr>
        <w:t>、</w:t>
      </w:r>
      <w:r>
        <w:rPr>
          <w:rFonts w:hint="eastAsia"/>
          <w:b/>
          <w:color w:val="auto"/>
          <w:sz w:val="28"/>
          <w:szCs w:val="28"/>
          <w:highlight w:val="none"/>
        </w:rPr>
        <w:t>投标偏离表（给定格式）：</w:t>
      </w:r>
    </w:p>
    <w:p w14:paraId="6AE551FC">
      <w:pPr>
        <w:spacing w:line="360" w:lineRule="auto"/>
        <w:ind w:firstLine="490"/>
        <w:jc w:val="center"/>
        <w:outlineLvl w:val="0"/>
        <w:rPr>
          <w:rFonts w:ascii="黑体" w:eastAsia="黑体"/>
          <w:bCs/>
          <w:color w:val="auto"/>
          <w:sz w:val="28"/>
          <w:szCs w:val="28"/>
          <w:highlight w:val="none"/>
        </w:rPr>
      </w:pPr>
    </w:p>
    <w:p w14:paraId="2AF27899">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885E34">
      <w:pPr>
        <w:spacing w:line="360" w:lineRule="auto"/>
        <w:jc w:val="center"/>
        <w:outlineLvl w:val="0"/>
        <w:rPr>
          <w:rFonts w:ascii="黑体" w:eastAsia="黑体"/>
          <w:bCs/>
          <w:color w:val="auto"/>
          <w:sz w:val="28"/>
          <w:szCs w:val="28"/>
          <w:highlight w:val="none"/>
        </w:rPr>
      </w:pPr>
    </w:p>
    <w:p w14:paraId="69643987">
      <w:pPr>
        <w:spacing w:line="360" w:lineRule="auto"/>
        <w:jc w:val="center"/>
        <w:outlineLvl w:val="0"/>
        <w:rPr>
          <w:rFonts w:ascii="黑体" w:eastAsia="黑体"/>
          <w:bCs/>
          <w:color w:val="auto"/>
          <w:sz w:val="28"/>
          <w:szCs w:val="28"/>
          <w:highlight w:val="none"/>
        </w:rPr>
      </w:pPr>
    </w:p>
    <w:p w14:paraId="5A4E5C16">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6"/>
        <w:tblW w:w="9885" w:type="dxa"/>
        <w:jc w:val="center"/>
        <w:tblLayout w:type="fixed"/>
        <w:tblCellMar>
          <w:top w:w="15" w:type="dxa"/>
          <w:left w:w="15" w:type="dxa"/>
          <w:bottom w:w="0" w:type="dxa"/>
          <w:right w:w="15" w:type="dxa"/>
        </w:tblCellMar>
      </w:tblPr>
      <w:tblGrid>
        <w:gridCol w:w="1905"/>
        <w:gridCol w:w="2835"/>
        <w:gridCol w:w="2835"/>
        <w:gridCol w:w="2310"/>
      </w:tblGrid>
      <w:tr w14:paraId="3A4CDADF">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C38979B">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4B0F3BD">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BD6865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2A6FB8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92F0F5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165B433">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E868D4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004A174">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D225D28">
            <w:pPr>
              <w:spacing w:line="360" w:lineRule="auto"/>
              <w:jc w:val="center"/>
              <w:rPr>
                <w:rFonts w:ascii="宋体"/>
                <w:bCs/>
                <w:color w:val="auto"/>
                <w:highlight w:val="none"/>
              </w:rPr>
            </w:pPr>
          </w:p>
        </w:tc>
      </w:tr>
    </w:tbl>
    <w:p w14:paraId="524A9881">
      <w:pPr>
        <w:spacing w:line="360" w:lineRule="auto"/>
        <w:rPr>
          <w:rFonts w:ascii="黑体" w:eastAsia="黑体"/>
          <w:bCs/>
          <w:color w:val="auto"/>
          <w:sz w:val="24"/>
          <w:szCs w:val="24"/>
          <w:highlight w:val="none"/>
        </w:rPr>
      </w:pPr>
    </w:p>
    <w:p w14:paraId="614038F6">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4A7D0F8E">
      <w:pPr>
        <w:spacing w:line="360" w:lineRule="auto"/>
        <w:ind w:firstLine="420"/>
        <w:outlineLvl w:val="0"/>
        <w:rPr>
          <w:rFonts w:ascii="宋体" w:hAnsi="宋体"/>
          <w:bCs/>
          <w:color w:val="auto"/>
          <w:sz w:val="24"/>
          <w:szCs w:val="24"/>
          <w:highlight w:val="none"/>
        </w:rPr>
      </w:pPr>
    </w:p>
    <w:p w14:paraId="7A317470">
      <w:pPr>
        <w:spacing w:line="360" w:lineRule="auto"/>
        <w:ind w:firstLine="420"/>
        <w:outlineLvl w:val="0"/>
        <w:rPr>
          <w:rFonts w:ascii="宋体" w:hAnsi="宋体"/>
          <w:bCs/>
          <w:color w:val="auto"/>
          <w:sz w:val="24"/>
          <w:szCs w:val="24"/>
          <w:highlight w:val="none"/>
        </w:rPr>
      </w:pPr>
    </w:p>
    <w:p w14:paraId="0376EA87">
      <w:pPr>
        <w:spacing w:line="360" w:lineRule="auto"/>
        <w:ind w:firstLine="420"/>
        <w:outlineLvl w:val="0"/>
        <w:rPr>
          <w:rFonts w:ascii="宋体" w:hAnsi="宋体"/>
          <w:bCs/>
          <w:color w:val="auto"/>
          <w:sz w:val="24"/>
          <w:szCs w:val="24"/>
          <w:highlight w:val="none"/>
        </w:rPr>
      </w:pPr>
    </w:p>
    <w:p w14:paraId="25561754">
      <w:pPr>
        <w:spacing w:line="360" w:lineRule="auto"/>
        <w:ind w:firstLine="420"/>
        <w:outlineLvl w:val="0"/>
        <w:rPr>
          <w:rFonts w:ascii="宋体" w:hAnsi="宋体"/>
          <w:bCs/>
          <w:color w:val="auto"/>
          <w:sz w:val="24"/>
          <w:szCs w:val="24"/>
          <w:highlight w:val="none"/>
        </w:rPr>
      </w:pPr>
    </w:p>
    <w:p w14:paraId="7C4C5CE6">
      <w:pPr>
        <w:spacing w:line="400" w:lineRule="exact"/>
        <w:outlineLvl w:val="0"/>
        <w:rPr>
          <w:rFonts w:ascii="宋体" w:hAnsi="宋体"/>
          <w:bCs/>
          <w:color w:val="auto"/>
          <w:sz w:val="24"/>
          <w:szCs w:val="24"/>
          <w:highlight w:val="none"/>
        </w:rPr>
      </w:pPr>
      <w:r>
        <w:rPr>
          <w:rFonts w:hint="eastAsia" w:ascii="宋体" w:hAnsi="宋体"/>
          <w:bCs/>
          <w:color w:val="auto"/>
          <w:sz w:val="24"/>
          <w:szCs w:val="24"/>
          <w:highlight w:val="none"/>
        </w:rPr>
        <w:t>注：（1）本表不得删除；</w:t>
      </w:r>
    </w:p>
    <w:p w14:paraId="176C7711">
      <w:pPr>
        <w:spacing w:line="400" w:lineRule="exact"/>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（2）如无任何偏离，请于本表 “偏离说明”中注明“无偏离”；</w:t>
      </w:r>
    </w:p>
    <w:p w14:paraId="785D8730">
      <w:pPr>
        <w:spacing w:line="400" w:lineRule="exact"/>
        <w:outlineLvl w:val="0"/>
        <w:rPr>
          <w:rFonts w:ascii="宋体" w:hAnsi="宋体"/>
          <w:bCs/>
          <w:color w:val="auto"/>
          <w:sz w:val="24"/>
          <w:szCs w:val="24"/>
          <w:highlight w:val="none"/>
        </w:rPr>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任何</w:t>
      </w:r>
      <w:r>
        <w:rPr>
          <w:rFonts w:hint="eastAsia" w:ascii="宋体" w:hAnsi="宋体"/>
          <w:bCs/>
          <w:color w:val="auto"/>
          <w:sz w:val="24"/>
          <w:szCs w:val="24"/>
          <w:highlight w:val="none"/>
        </w:rPr>
        <w:t>偏离项，请于本表中列明偏离内容，如需要可自行延长，其余无偏离内容</w:t>
      </w:r>
      <w:r>
        <w:rPr>
          <w:rFonts w:hint="eastAsia" w:ascii="宋体" w:hAnsi="宋体" w:eastAsia="宋体"/>
          <w:bCs/>
          <w:color w:val="auto"/>
          <w:sz w:val="24"/>
          <w:szCs w:val="24"/>
          <w:highlight w:val="none"/>
          <w:lang w:eastAsia="zh-CN"/>
        </w:rPr>
        <w:t>无需</w:t>
      </w:r>
      <w:r>
        <w:rPr>
          <w:rFonts w:hint="eastAsia" w:ascii="宋体" w:hAnsi="宋体"/>
          <w:bCs/>
          <w:color w:val="auto"/>
          <w:sz w:val="24"/>
          <w:szCs w:val="24"/>
          <w:highlight w:val="none"/>
        </w:rPr>
        <w:t>赘述。</w:t>
      </w:r>
      <w:bookmarkEnd w:id="154"/>
      <w:bookmarkStart w:id="155" w:name="_Hlt26671374"/>
      <w:bookmarkEnd w:id="155"/>
      <w:bookmarkStart w:id="156" w:name="_Hlt26955066"/>
      <w:bookmarkEnd w:id="156"/>
      <w:bookmarkStart w:id="157" w:name="_格式2__法定代表人授权书"/>
      <w:bookmarkEnd w:id="157"/>
      <w:bookmarkStart w:id="158" w:name="_Hlt26609389"/>
      <w:bookmarkEnd w:id="158"/>
    </w:p>
    <w:p w14:paraId="286E0CB3">
      <w:pPr>
        <w:spacing w:line="360" w:lineRule="auto"/>
        <w:ind w:firstLine="420"/>
        <w:outlineLvl w:val="0"/>
        <w:rPr>
          <w:rFonts w:ascii="宋体" w:hAnsi="宋体"/>
          <w:bCs/>
          <w:color w:val="auto"/>
          <w:sz w:val="24"/>
          <w:szCs w:val="24"/>
          <w:highlight w:val="none"/>
        </w:rPr>
      </w:pPr>
    </w:p>
    <w:p w14:paraId="2FFE6662">
      <w:pPr>
        <w:spacing w:line="360" w:lineRule="auto"/>
        <w:ind w:firstLine="420"/>
        <w:outlineLvl w:val="0"/>
        <w:rPr>
          <w:rFonts w:ascii="宋体" w:hAnsi="宋体"/>
          <w:bCs/>
          <w:color w:val="auto"/>
          <w:sz w:val="24"/>
          <w:szCs w:val="24"/>
          <w:highlight w:val="none"/>
        </w:rPr>
      </w:pPr>
    </w:p>
    <w:p w14:paraId="15D79ED3">
      <w:pPr>
        <w:spacing w:line="360" w:lineRule="auto"/>
        <w:rPr>
          <w:color w:val="auto"/>
          <w:highlight w:val="none"/>
        </w:rPr>
      </w:pPr>
    </w:p>
    <w:p w14:paraId="12D7401A">
      <w:pPr>
        <w:rPr>
          <w:rFonts w:hint="eastAsia"/>
          <w:b/>
          <w:color w:val="auto"/>
          <w:sz w:val="28"/>
          <w:szCs w:val="28"/>
          <w:highlight w:val="none"/>
        </w:rPr>
      </w:pPr>
      <w:r>
        <w:rPr>
          <w:rFonts w:hint="eastAsia"/>
          <w:b/>
          <w:color w:val="auto"/>
          <w:sz w:val="28"/>
          <w:szCs w:val="28"/>
          <w:highlight w:val="none"/>
        </w:rPr>
        <w:br w:type="page"/>
      </w:r>
    </w:p>
    <w:p w14:paraId="5400984C">
      <w:pPr>
        <w:spacing w:line="360" w:lineRule="auto"/>
        <w:outlineLvl w:val="0"/>
        <w:rPr>
          <w:b/>
          <w:color w:val="auto"/>
          <w:sz w:val="28"/>
          <w:szCs w:val="28"/>
          <w:highlight w:val="none"/>
        </w:rPr>
      </w:pPr>
      <w:r>
        <w:rPr>
          <w:rFonts w:hint="eastAsia"/>
          <w:b/>
          <w:color w:val="auto"/>
          <w:sz w:val="28"/>
          <w:szCs w:val="28"/>
          <w:highlight w:val="none"/>
        </w:rPr>
        <w:t>十</w:t>
      </w:r>
      <w:r>
        <w:rPr>
          <w:rFonts w:hint="eastAsia" w:eastAsia="宋体"/>
          <w:b/>
          <w:color w:val="auto"/>
          <w:sz w:val="28"/>
          <w:szCs w:val="28"/>
          <w:highlight w:val="none"/>
          <w:lang w:val="en-US" w:eastAsia="zh-CN"/>
        </w:rPr>
        <w:t>二</w:t>
      </w:r>
      <w:r>
        <w:rPr>
          <w:rFonts w:hint="eastAsia"/>
          <w:b/>
          <w:color w:val="auto"/>
          <w:sz w:val="28"/>
          <w:szCs w:val="28"/>
          <w:highlight w:val="none"/>
        </w:rPr>
        <w:t>、项目人员配置表（格式）</w:t>
      </w:r>
    </w:p>
    <w:p w14:paraId="02FE3F94">
      <w:pPr>
        <w:spacing w:line="360" w:lineRule="auto"/>
        <w:ind w:firstLine="420"/>
        <w:outlineLvl w:val="0"/>
        <w:rPr>
          <w:rFonts w:ascii="黑体" w:hAnsi="宋体" w:eastAsia="黑体"/>
          <w:bCs/>
          <w:color w:val="auto"/>
          <w:sz w:val="24"/>
          <w:szCs w:val="24"/>
          <w:highlight w:val="none"/>
        </w:rPr>
      </w:pPr>
    </w:p>
    <w:p w14:paraId="400A014D">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486E5F3E">
      <w:pPr>
        <w:spacing w:line="360" w:lineRule="auto"/>
        <w:jc w:val="center"/>
        <w:rPr>
          <w:rFonts w:ascii="黑体" w:eastAsia="黑体"/>
          <w:bCs/>
          <w:color w:val="auto"/>
          <w:sz w:val="28"/>
          <w:szCs w:val="28"/>
          <w:highlight w:val="none"/>
        </w:rPr>
      </w:pPr>
    </w:p>
    <w:p w14:paraId="2D22B108">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62F5E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2B3D7C3C">
            <w:pPr>
              <w:jc w:val="center"/>
              <w:rPr>
                <w:b/>
                <w:color w:val="auto"/>
                <w:sz w:val="24"/>
                <w:highlight w:val="none"/>
              </w:rPr>
            </w:pPr>
            <w:r>
              <w:rPr>
                <w:rFonts w:hint="eastAsia"/>
                <w:b/>
                <w:color w:val="auto"/>
                <w:sz w:val="24"/>
                <w:highlight w:val="none"/>
              </w:rPr>
              <w:t>序号</w:t>
            </w:r>
          </w:p>
        </w:tc>
        <w:tc>
          <w:tcPr>
            <w:tcW w:w="1476" w:type="dxa"/>
            <w:noWrap w:val="0"/>
            <w:vAlign w:val="center"/>
          </w:tcPr>
          <w:p w14:paraId="77983FFF">
            <w:pPr>
              <w:jc w:val="center"/>
              <w:rPr>
                <w:b/>
                <w:color w:val="auto"/>
                <w:sz w:val="24"/>
                <w:highlight w:val="none"/>
              </w:rPr>
            </w:pPr>
            <w:r>
              <w:rPr>
                <w:rFonts w:hint="eastAsia"/>
                <w:b/>
                <w:color w:val="auto"/>
                <w:sz w:val="24"/>
                <w:highlight w:val="none"/>
              </w:rPr>
              <w:t>姓名</w:t>
            </w:r>
          </w:p>
        </w:tc>
        <w:tc>
          <w:tcPr>
            <w:tcW w:w="720" w:type="dxa"/>
            <w:noWrap w:val="0"/>
            <w:vAlign w:val="center"/>
          </w:tcPr>
          <w:p w14:paraId="1062C971">
            <w:pPr>
              <w:jc w:val="center"/>
              <w:rPr>
                <w:b/>
                <w:color w:val="auto"/>
                <w:sz w:val="24"/>
                <w:highlight w:val="none"/>
              </w:rPr>
            </w:pPr>
            <w:r>
              <w:rPr>
                <w:rFonts w:hint="eastAsia"/>
                <w:b/>
                <w:color w:val="auto"/>
                <w:sz w:val="24"/>
                <w:highlight w:val="none"/>
              </w:rPr>
              <w:t>年龄</w:t>
            </w:r>
          </w:p>
        </w:tc>
        <w:tc>
          <w:tcPr>
            <w:tcW w:w="2520" w:type="dxa"/>
            <w:noWrap w:val="0"/>
            <w:vAlign w:val="center"/>
          </w:tcPr>
          <w:p w14:paraId="3130809D">
            <w:pPr>
              <w:jc w:val="center"/>
              <w:rPr>
                <w:b/>
                <w:color w:val="auto"/>
                <w:sz w:val="24"/>
                <w:highlight w:val="none"/>
              </w:rPr>
            </w:pPr>
            <w:r>
              <w:rPr>
                <w:rFonts w:hint="eastAsia"/>
                <w:b/>
                <w:color w:val="auto"/>
                <w:sz w:val="24"/>
                <w:highlight w:val="none"/>
              </w:rPr>
              <w:t>本项目职责</w:t>
            </w:r>
          </w:p>
        </w:tc>
        <w:tc>
          <w:tcPr>
            <w:tcW w:w="3274" w:type="dxa"/>
            <w:noWrap w:val="0"/>
            <w:vAlign w:val="center"/>
          </w:tcPr>
          <w:p w14:paraId="5F2FDC92">
            <w:pPr>
              <w:jc w:val="center"/>
              <w:rPr>
                <w:b/>
                <w:color w:val="auto"/>
                <w:sz w:val="24"/>
                <w:highlight w:val="none"/>
              </w:rPr>
            </w:pPr>
            <w:r>
              <w:rPr>
                <w:rFonts w:hint="eastAsia"/>
                <w:b/>
                <w:color w:val="auto"/>
                <w:sz w:val="24"/>
                <w:highlight w:val="none"/>
              </w:rPr>
              <w:t>人员证书名称</w:t>
            </w:r>
          </w:p>
        </w:tc>
      </w:tr>
      <w:tr w14:paraId="437E2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1183B4B2">
            <w:pPr>
              <w:outlineLvl w:val="0"/>
              <w:rPr>
                <w:rFonts w:ascii="黑体" w:eastAsia="黑体"/>
                <w:bCs/>
                <w:color w:val="auto"/>
                <w:sz w:val="24"/>
                <w:szCs w:val="24"/>
                <w:highlight w:val="none"/>
              </w:rPr>
            </w:pPr>
          </w:p>
        </w:tc>
        <w:tc>
          <w:tcPr>
            <w:tcW w:w="1476" w:type="dxa"/>
            <w:noWrap w:val="0"/>
          </w:tcPr>
          <w:p w14:paraId="40EC69B4">
            <w:pPr>
              <w:outlineLvl w:val="0"/>
              <w:rPr>
                <w:rFonts w:ascii="黑体" w:eastAsia="黑体"/>
                <w:bCs/>
                <w:color w:val="auto"/>
                <w:sz w:val="24"/>
                <w:szCs w:val="24"/>
                <w:highlight w:val="none"/>
              </w:rPr>
            </w:pPr>
          </w:p>
        </w:tc>
        <w:tc>
          <w:tcPr>
            <w:tcW w:w="720" w:type="dxa"/>
            <w:noWrap w:val="0"/>
          </w:tcPr>
          <w:p w14:paraId="112EE2E0">
            <w:pPr>
              <w:outlineLvl w:val="0"/>
              <w:rPr>
                <w:rFonts w:ascii="黑体" w:eastAsia="黑体"/>
                <w:bCs/>
                <w:color w:val="auto"/>
                <w:sz w:val="24"/>
                <w:szCs w:val="24"/>
                <w:highlight w:val="none"/>
              </w:rPr>
            </w:pPr>
          </w:p>
        </w:tc>
        <w:tc>
          <w:tcPr>
            <w:tcW w:w="2520" w:type="dxa"/>
            <w:noWrap w:val="0"/>
          </w:tcPr>
          <w:p w14:paraId="3BEE8230">
            <w:pPr>
              <w:outlineLvl w:val="0"/>
              <w:rPr>
                <w:rFonts w:ascii="黑体" w:eastAsia="黑体"/>
                <w:bCs/>
                <w:color w:val="auto"/>
                <w:sz w:val="24"/>
                <w:szCs w:val="24"/>
                <w:highlight w:val="none"/>
              </w:rPr>
            </w:pPr>
          </w:p>
        </w:tc>
        <w:tc>
          <w:tcPr>
            <w:tcW w:w="3274" w:type="dxa"/>
            <w:noWrap w:val="0"/>
          </w:tcPr>
          <w:p w14:paraId="68704DB3">
            <w:pPr>
              <w:outlineLvl w:val="0"/>
              <w:rPr>
                <w:rFonts w:ascii="黑体" w:eastAsia="黑体"/>
                <w:bCs/>
                <w:color w:val="auto"/>
                <w:sz w:val="24"/>
                <w:szCs w:val="24"/>
                <w:highlight w:val="none"/>
              </w:rPr>
            </w:pPr>
          </w:p>
        </w:tc>
      </w:tr>
      <w:tr w14:paraId="630A2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4AB9F470">
            <w:pPr>
              <w:outlineLvl w:val="0"/>
              <w:rPr>
                <w:rFonts w:ascii="黑体" w:eastAsia="黑体"/>
                <w:bCs/>
                <w:color w:val="auto"/>
                <w:sz w:val="24"/>
                <w:szCs w:val="24"/>
                <w:highlight w:val="none"/>
              </w:rPr>
            </w:pPr>
          </w:p>
        </w:tc>
        <w:tc>
          <w:tcPr>
            <w:tcW w:w="1476" w:type="dxa"/>
            <w:noWrap w:val="0"/>
          </w:tcPr>
          <w:p w14:paraId="226B16D0">
            <w:pPr>
              <w:outlineLvl w:val="0"/>
              <w:rPr>
                <w:rFonts w:ascii="黑体" w:eastAsia="黑体"/>
                <w:bCs/>
                <w:color w:val="auto"/>
                <w:sz w:val="24"/>
                <w:szCs w:val="24"/>
                <w:highlight w:val="none"/>
              </w:rPr>
            </w:pPr>
          </w:p>
        </w:tc>
        <w:tc>
          <w:tcPr>
            <w:tcW w:w="720" w:type="dxa"/>
            <w:noWrap w:val="0"/>
          </w:tcPr>
          <w:p w14:paraId="32C68CE9">
            <w:pPr>
              <w:outlineLvl w:val="0"/>
              <w:rPr>
                <w:rFonts w:ascii="黑体" w:eastAsia="黑体"/>
                <w:bCs/>
                <w:color w:val="auto"/>
                <w:sz w:val="24"/>
                <w:szCs w:val="24"/>
                <w:highlight w:val="none"/>
              </w:rPr>
            </w:pPr>
          </w:p>
        </w:tc>
        <w:tc>
          <w:tcPr>
            <w:tcW w:w="2520" w:type="dxa"/>
            <w:noWrap w:val="0"/>
          </w:tcPr>
          <w:p w14:paraId="48AFF539">
            <w:pPr>
              <w:outlineLvl w:val="0"/>
              <w:rPr>
                <w:rFonts w:ascii="黑体" w:eastAsia="黑体"/>
                <w:bCs/>
                <w:color w:val="auto"/>
                <w:sz w:val="24"/>
                <w:szCs w:val="24"/>
                <w:highlight w:val="none"/>
              </w:rPr>
            </w:pPr>
          </w:p>
        </w:tc>
        <w:tc>
          <w:tcPr>
            <w:tcW w:w="3274" w:type="dxa"/>
            <w:noWrap w:val="0"/>
          </w:tcPr>
          <w:p w14:paraId="74635C7B">
            <w:pPr>
              <w:outlineLvl w:val="0"/>
              <w:rPr>
                <w:rFonts w:ascii="黑体" w:eastAsia="黑体"/>
                <w:bCs/>
                <w:color w:val="auto"/>
                <w:sz w:val="24"/>
                <w:szCs w:val="24"/>
                <w:highlight w:val="none"/>
              </w:rPr>
            </w:pPr>
          </w:p>
        </w:tc>
      </w:tr>
      <w:tr w14:paraId="39E8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01AFDC7D">
            <w:pPr>
              <w:outlineLvl w:val="0"/>
              <w:rPr>
                <w:rFonts w:ascii="黑体" w:eastAsia="黑体"/>
                <w:bCs/>
                <w:color w:val="auto"/>
                <w:sz w:val="24"/>
                <w:szCs w:val="24"/>
                <w:highlight w:val="none"/>
              </w:rPr>
            </w:pPr>
          </w:p>
        </w:tc>
        <w:tc>
          <w:tcPr>
            <w:tcW w:w="1476" w:type="dxa"/>
            <w:noWrap w:val="0"/>
          </w:tcPr>
          <w:p w14:paraId="56F7FB78">
            <w:pPr>
              <w:outlineLvl w:val="0"/>
              <w:rPr>
                <w:rFonts w:ascii="黑体" w:eastAsia="黑体"/>
                <w:bCs/>
                <w:color w:val="auto"/>
                <w:sz w:val="24"/>
                <w:szCs w:val="24"/>
                <w:highlight w:val="none"/>
              </w:rPr>
            </w:pPr>
          </w:p>
        </w:tc>
        <w:tc>
          <w:tcPr>
            <w:tcW w:w="720" w:type="dxa"/>
            <w:noWrap w:val="0"/>
          </w:tcPr>
          <w:p w14:paraId="0BA38BF1">
            <w:pPr>
              <w:outlineLvl w:val="0"/>
              <w:rPr>
                <w:rFonts w:ascii="黑体" w:eastAsia="黑体"/>
                <w:bCs/>
                <w:color w:val="auto"/>
                <w:sz w:val="24"/>
                <w:szCs w:val="24"/>
                <w:highlight w:val="none"/>
              </w:rPr>
            </w:pPr>
          </w:p>
        </w:tc>
        <w:tc>
          <w:tcPr>
            <w:tcW w:w="2520" w:type="dxa"/>
            <w:noWrap w:val="0"/>
          </w:tcPr>
          <w:p w14:paraId="7390793B">
            <w:pPr>
              <w:outlineLvl w:val="0"/>
              <w:rPr>
                <w:rFonts w:ascii="黑体" w:eastAsia="黑体"/>
                <w:bCs/>
                <w:color w:val="auto"/>
                <w:sz w:val="24"/>
                <w:szCs w:val="24"/>
                <w:highlight w:val="none"/>
              </w:rPr>
            </w:pPr>
          </w:p>
        </w:tc>
        <w:tc>
          <w:tcPr>
            <w:tcW w:w="3274" w:type="dxa"/>
            <w:noWrap w:val="0"/>
          </w:tcPr>
          <w:p w14:paraId="19F25BB6">
            <w:pPr>
              <w:outlineLvl w:val="0"/>
              <w:rPr>
                <w:rFonts w:ascii="黑体" w:eastAsia="黑体"/>
                <w:bCs/>
                <w:color w:val="auto"/>
                <w:sz w:val="24"/>
                <w:szCs w:val="24"/>
                <w:highlight w:val="none"/>
              </w:rPr>
            </w:pPr>
          </w:p>
        </w:tc>
      </w:tr>
      <w:tr w14:paraId="2E42A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50782C98">
            <w:pPr>
              <w:outlineLvl w:val="0"/>
              <w:rPr>
                <w:rFonts w:ascii="黑体" w:eastAsia="黑体"/>
                <w:bCs/>
                <w:color w:val="auto"/>
                <w:sz w:val="24"/>
                <w:szCs w:val="24"/>
                <w:highlight w:val="none"/>
              </w:rPr>
            </w:pPr>
          </w:p>
        </w:tc>
        <w:tc>
          <w:tcPr>
            <w:tcW w:w="1476" w:type="dxa"/>
            <w:noWrap w:val="0"/>
          </w:tcPr>
          <w:p w14:paraId="5D321102">
            <w:pPr>
              <w:outlineLvl w:val="0"/>
              <w:rPr>
                <w:rFonts w:ascii="黑体" w:eastAsia="黑体"/>
                <w:bCs/>
                <w:color w:val="auto"/>
                <w:sz w:val="24"/>
                <w:szCs w:val="24"/>
                <w:highlight w:val="none"/>
              </w:rPr>
            </w:pPr>
          </w:p>
        </w:tc>
        <w:tc>
          <w:tcPr>
            <w:tcW w:w="720" w:type="dxa"/>
            <w:noWrap w:val="0"/>
          </w:tcPr>
          <w:p w14:paraId="6F579EAB">
            <w:pPr>
              <w:outlineLvl w:val="0"/>
              <w:rPr>
                <w:rFonts w:ascii="黑体" w:eastAsia="黑体"/>
                <w:bCs/>
                <w:color w:val="auto"/>
                <w:sz w:val="24"/>
                <w:szCs w:val="24"/>
                <w:highlight w:val="none"/>
              </w:rPr>
            </w:pPr>
          </w:p>
        </w:tc>
        <w:tc>
          <w:tcPr>
            <w:tcW w:w="2520" w:type="dxa"/>
            <w:noWrap w:val="0"/>
          </w:tcPr>
          <w:p w14:paraId="03169B6B">
            <w:pPr>
              <w:outlineLvl w:val="0"/>
              <w:rPr>
                <w:rFonts w:ascii="黑体" w:eastAsia="黑体"/>
                <w:bCs/>
                <w:color w:val="auto"/>
                <w:sz w:val="24"/>
                <w:szCs w:val="24"/>
                <w:highlight w:val="none"/>
              </w:rPr>
            </w:pPr>
          </w:p>
        </w:tc>
        <w:tc>
          <w:tcPr>
            <w:tcW w:w="3274" w:type="dxa"/>
            <w:noWrap w:val="0"/>
          </w:tcPr>
          <w:p w14:paraId="63780F9B">
            <w:pPr>
              <w:outlineLvl w:val="0"/>
              <w:rPr>
                <w:rFonts w:ascii="黑体" w:eastAsia="黑体"/>
                <w:bCs/>
                <w:color w:val="auto"/>
                <w:sz w:val="24"/>
                <w:szCs w:val="24"/>
                <w:highlight w:val="none"/>
              </w:rPr>
            </w:pPr>
          </w:p>
        </w:tc>
      </w:tr>
      <w:tr w14:paraId="5107D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609D6750">
            <w:pPr>
              <w:outlineLvl w:val="0"/>
              <w:rPr>
                <w:rFonts w:ascii="黑体" w:eastAsia="黑体"/>
                <w:bCs/>
                <w:color w:val="auto"/>
                <w:sz w:val="24"/>
                <w:szCs w:val="24"/>
                <w:highlight w:val="none"/>
              </w:rPr>
            </w:pPr>
          </w:p>
        </w:tc>
        <w:tc>
          <w:tcPr>
            <w:tcW w:w="1476" w:type="dxa"/>
            <w:noWrap w:val="0"/>
          </w:tcPr>
          <w:p w14:paraId="5C3CC921">
            <w:pPr>
              <w:outlineLvl w:val="0"/>
              <w:rPr>
                <w:rFonts w:ascii="黑体" w:eastAsia="黑体"/>
                <w:bCs/>
                <w:color w:val="auto"/>
                <w:sz w:val="24"/>
                <w:szCs w:val="24"/>
                <w:highlight w:val="none"/>
              </w:rPr>
            </w:pPr>
          </w:p>
        </w:tc>
        <w:tc>
          <w:tcPr>
            <w:tcW w:w="720" w:type="dxa"/>
            <w:noWrap w:val="0"/>
          </w:tcPr>
          <w:p w14:paraId="5737609C">
            <w:pPr>
              <w:outlineLvl w:val="0"/>
              <w:rPr>
                <w:rFonts w:ascii="黑体" w:eastAsia="黑体"/>
                <w:bCs/>
                <w:color w:val="auto"/>
                <w:sz w:val="24"/>
                <w:szCs w:val="24"/>
                <w:highlight w:val="none"/>
              </w:rPr>
            </w:pPr>
          </w:p>
        </w:tc>
        <w:tc>
          <w:tcPr>
            <w:tcW w:w="2520" w:type="dxa"/>
            <w:noWrap w:val="0"/>
          </w:tcPr>
          <w:p w14:paraId="25FE83C6">
            <w:pPr>
              <w:outlineLvl w:val="0"/>
              <w:rPr>
                <w:rFonts w:ascii="黑体" w:eastAsia="黑体"/>
                <w:bCs/>
                <w:color w:val="auto"/>
                <w:sz w:val="24"/>
                <w:szCs w:val="24"/>
                <w:highlight w:val="none"/>
              </w:rPr>
            </w:pPr>
          </w:p>
        </w:tc>
        <w:tc>
          <w:tcPr>
            <w:tcW w:w="3274" w:type="dxa"/>
            <w:noWrap w:val="0"/>
          </w:tcPr>
          <w:p w14:paraId="1529B9A4">
            <w:pPr>
              <w:outlineLvl w:val="0"/>
              <w:rPr>
                <w:rFonts w:ascii="黑体" w:eastAsia="黑体"/>
                <w:bCs/>
                <w:color w:val="auto"/>
                <w:sz w:val="24"/>
                <w:szCs w:val="24"/>
                <w:highlight w:val="none"/>
              </w:rPr>
            </w:pPr>
          </w:p>
        </w:tc>
      </w:tr>
    </w:tbl>
    <w:p w14:paraId="1E6307C5">
      <w:pPr>
        <w:spacing w:line="360" w:lineRule="auto"/>
        <w:rPr>
          <w:rFonts w:ascii="黑体" w:eastAsia="黑体"/>
          <w:bCs/>
          <w:color w:val="auto"/>
          <w:sz w:val="24"/>
          <w:szCs w:val="24"/>
          <w:highlight w:val="none"/>
        </w:rPr>
      </w:pPr>
    </w:p>
    <w:p w14:paraId="4767ADB9">
      <w:pPr>
        <w:spacing w:line="360" w:lineRule="auto"/>
        <w:ind w:firstLine="72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5A515EA2">
      <w:pPr>
        <w:spacing w:line="360" w:lineRule="auto"/>
        <w:rPr>
          <w:rFonts w:ascii="宋体" w:hAnsi="宋体"/>
          <w:bCs/>
          <w:color w:val="auto"/>
          <w:highlight w:val="none"/>
        </w:rPr>
      </w:pPr>
    </w:p>
    <w:p w14:paraId="410B5D8F">
      <w:pPr>
        <w:spacing w:line="360" w:lineRule="auto"/>
        <w:rPr>
          <w:rFonts w:ascii="宋体" w:hAnsi="宋体"/>
          <w:bCs/>
          <w:color w:val="auto"/>
          <w:highlight w:val="none"/>
        </w:rPr>
      </w:pPr>
    </w:p>
    <w:p w14:paraId="327226B0">
      <w:pPr>
        <w:spacing w:line="360" w:lineRule="auto"/>
        <w:rPr>
          <w:rFonts w:ascii="宋体" w:hAnsi="宋体"/>
          <w:bCs/>
          <w:color w:val="auto"/>
          <w:highlight w:val="none"/>
        </w:rPr>
      </w:pPr>
    </w:p>
    <w:p w14:paraId="3AC67399">
      <w:pPr>
        <w:spacing w:line="360" w:lineRule="auto"/>
        <w:rPr>
          <w:rFonts w:ascii="宋体" w:hAnsi="宋体"/>
          <w:bCs/>
          <w:color w:val="auto"/>
          <w:highlight w:val="none"/>
        </w:rPr>
      </w:pPr>
    </w:p>
    <w:p w14:paraId="58DD4F5C">
      <w:pPr>
        <w:spacing w:line="360" w:lineRule="auto"/>
        <w:rPr>
          <w:rFonts w:ascii="宋体" w:hAnsi="宋体"/>
          <w:bCs/>
          <w:color w:val="auto"/>
          <w:highlight w:val="none"/>
        </w:rPr>
      </w:pPr>
      <w:r>
        <w:rPr>
          <w:rFonts w:hint="eastAsia" w:ascii="宋体" w:hAnsi="宋体"/>
          <w:bCs/>
          <w:color w:val="auto"/>
          <w:highlight w:val="none"/>
        </w:rPr>
        <w:t>注：本表对应项目人员配置情况，表格不够可自行延长。</w:t>
      </w:r>
    </w:p>
    <w:p w14:paraId="77096500">
      <w:pPr>
        <w:spacing w:line="360" w:lineRule="auto"/>
        <w:rPr>
          <w:rFonts w:ascii="Arial" w:hAnsi="Arial"/>
          <w:bCs/>
          <w:color w:val="auto"/>
          <w:sz w:val="30"/>
          <w:highlight w:val="none"/>
        </w:rPr>
      </w:pPr>
    </w:p>
    <w:sectPr>
      <w:footerReference r:id="rId11" w:type="first"/>
      <w:footerReference r:id="rId10" w:type="default"/>
      <w:pgSz w:w="11906" w:h="16838"/>
      <w:pgMar w:top="850" w:right="851" w:bottom="850" w:left="1134"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1060001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KSOFF9CC6125">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2B71">
    <w:pPr>
      <w:pStyle w:val="28"/>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59114">
    <w:pPr>
      <w:pStyle w:val="28"/>
      <w:framePr w:wrap="around" w:vAnchor="text" w:hAnchor="margin" w:xAlign="center" w:y="1"/>
      <w:rPr>
        <w:rStyle w:val="51"/>
      </w:rPr>
    </w:pPr>
    <w:r>
      <w:rPr>
        <w:rStyle w:val="51"/>
      </w:rPr>
      <w:fldChar w:fldCharType="begin"/>
    </w:r>
    <w:r>
      <w:rPr>
        <w:rStyle w:val="51"/>
      </w:rPr>
      <w:instrText xml:space="preserve">PAGE  </w:instrText>
    </w:r>
    <w:r>
      <w:rPr>
        <w:rStyle w:val="51"/>
      </w:rPr>
      <w:fldChar w:fldCharType="separate"/>
    </w:r>
    <w:r>
      <w:rPr>
        <w:rStyle w:val="51"/>
      </w:rPr>
      <w:t>1</w:t>
    </w:r>
    <w:r>
      <w:rPr>
        <w:rStyle w:val="51"/>
      </w:rPr>
      <w:fldChar w:fldCharType="end"/>
    </w:r>
  </w:p>
  <w:p w14:paraId="6D8C7026">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617B7">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D34B5">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39BB4">
    <w:pPr>
      <w:pStyle w:val="2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FA96">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791593">
                          <w:pPr>
                            <w:pStyle w:val="2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7791593">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C93FD">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353210" cy="294214"/>
                      </a:xfrm>
                      <a:prstGeom prst="rect">
                        <a:avLst/>
                      </a:prstGeom>
                      <a:noFill/>
                      <a:ln>
                        <a:noFill/>
                      </a:ln>
                    </wps:spPr>
                    <wps:txbx>
                      <w:txbxContent>
                        <w:p w14:paraId="28DE6C32">
                          <w:pPr>
                            <w:pStyle w:val="28"/>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36FD73FD"/>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3.15pt;width:27.8pt;mso-position-horizontal:center;mso-position-horizontal-relative:margin;z-index:251659264;mso-width-relative:page;mso-height-relative:page;" filled="f" stroked="f" coordsize="21600,21600" o:gfxdata="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7fzIzUAAAAAwEAAA8AAAAAAAAAAQAg&#10;AAAAIgAAAGRycy9kb3ducmV2LnhtbFBLAQIUABQAAAAIAIdO4kDD8cpI2QEAAKcDAAAOAAAAAAAA&#10;AAEAIAAAACMBAABkcnMvZTJvRG9jLnhtbFBLBQYAAAAABgAGAFkBAABuBQAAAAA=&#10;">
              <v:fill on="f" focussize="0,0"/>
              <v:stroke on="f"/>
              <v:imagedata o:title=""/>
              <o:lock v:ext="edit" aspectratio="f"/>
              <v:textbox inset="0mm,0mm,0mm,0mm">
                <w:txbxContent>
                  <w:p w14:paraId="28DE6C32">
                    <w:pPr>
                      <w:pStyle w:val="28"/>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36FD73FD"/>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368FC">
    <w:pPr>
      <w:pStyle w:val="2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38C21">
    <w:pPr>
      <w:pStyle w:val="31"/>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1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40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24304CD"/>
    <w:multiLevelType w:val="singleLevel"/>
    <w:tmpl w:val="C24304CD"/>
    <w:lvl w:ilvl="0" w:tentative="0">
      <w:start w:val="5"/>
      <w:numFmt w:val="decimal"/>
      <w:suff w:val="nothing"/>
      <w:lvlText w:val="%1）"/>
      <w:lvlJc w:val="left"/>
    </w:lvl>
  </w:abstractNum>
  <w:abstractNum w:abstractNumId="3">
    <w:nsid w:val="C8879AEF"/>
    <w:multiLevelType w:val="multilevel"/>
    <w:tmpl w:val="C8879AEF"/>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CF092B84"/>
    <w:multiLevelType w:val="multilevel"/>
    <w:tmpl w:val="CF092B84"/>
    <w:lvl w:ilvl="0" w:tentative="0">
      <w:start w:val="1"/>
      <w:numFmt w:val="japaneseCounting"/>
      <w:pStyle w:val="56"/>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DCBA6B53"/>
    <w:multiLevelType w:val="multilevel"/>
    <w:tmpl w:val="DCBA6B53"/>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053208E"/>
    <w:multiLevelType w:val="multilevel"/>
    <w:tmpl w:val="0053208E"/>
    <w:lvl w:ilvl="0" w:tentative="0">
      <w:start w:val="1"/>
      <w:numFmt w:val="upperLetter"/>
      <w:pStyle w:val="8"/>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15B2F4B0"/>
    <w:multiLevelType w:val="singleLevel"/>
    <w:tmpl w:val="15B2F4B0"/>
    <w:lvl w:ilvl="0" w:tentative="0">
      <w:start w:val="1"/>
      <w:numFmt w:val="decimal"/>
      <w:suff w:val="nothing"/>
      <w:lvlText w:val="%1、"/>
      <w:lvlJc w:val="left"/>
    </w:lvl>
  </w:abstractNum>
  <w:abstractNum w:abstractNumId="10">
    <w:nsid w:val="1DD5D291"/>
    <w:multiLevelType w:val="singleLevel"/>
    <w:tmpl w:val="1DD5D291"/>
    <w:lvl w:ilvl="0" w:tentative="0">
      <w:start w:val="1"/>
      <w:numFmt w:val="decimal"/>
      <w:suff w:val="nothing"/>
      <w:lvlText w:val="%1、"/>
      <w:lvlJc w:val="left"/>
      <w:pPr>
        <w:ind w:left="-426"/>
      </w:pPr>
    </w:lvl>
  </w:abstractNum>
  <w:abstractNum w:abstractNumId="11">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494FB220"/>
    <w:multiLevelType w:val="singleLevel"/>
    <w:tmpl w:val="494FB220"/>
    <w:lvl w:ilvl="0" w:tentative="0">
      <w:start w:val="3"/>
      <w:numFmt w:val="decimal"/>
      <w:suff w:val="nothing"/>
      <w:lvlText w:val="%1）"/>
      <w:lvlJc w:val="left"/>
      <w:pPr>
        <w:ind w:left="-60"/>
      </w:pPr>
    </w:lvl>
  </w:abstractNum>
  <w:abstractNum w:abstractNumId="14">
    <w:nsid w:val="4D4DC07F"/>
    <w:multiLevelType w:val="multilevel"/>
    <w:tmpl w:val="4D4DC07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77620A2"/>
    <w:multiLevelType w:val="multilevel"/>
    <w:tmpl w:val="577620A2"/>
    <w:lvl w:ilvl="0" w:tentative="0">
      <w:start w:val="1"/>
      <w:numFmt w:val="japaneseCounting"/>
      <w:lvlText w:val="%1、"/>
      <w:lvlJc w:val="left"/>
      <w:pPr>
        <w:ind w:left="1202" w:hanging="720"/>
      </w:pPr>
      <w:rPr>
        <w:rFonts w:hint="default" w:cs="Times New Roman"/>
      </w:rPr>
    </w:lvl>
    <w:lvl w:ilvl="1" w:tentative="0">
      <w:start w:val="1"/>
      <w:numFmt w:val="lowerLetter"/>
      <w:lvlText w:val="%2)"/>
      <w:lvlJc w:val="left"/>
      <w:pPr>
        <w:ind w:left="1322" w:hanging="420"/>
      </w:pPr>
      <w:rPr>
        <w:rFonts w:cs="Times New Roman"/>
      </w:rPr>
    </w:lvl>
    <w:lvl w:ilvl="2" w:tentative="0">
      <w:start w:val="1"/>
      <w:numFmt w:val="lowerRoman"/>
      <w:lvlText w:val="%3."/>
      <w:lvlJc w:val="right"/>
      <w:pPr>
        <w:ind w:left="1742" w:hanging="420"/>
      </w:pPr>
      <w:rPr>
        <w:rFonts w:cs="Times New Roman"/>
      </w:rPr>
    </w:lvl>
    <w:lvl w:ilvl="3" w:tentative="0">
      <w:start w:val="1"/>
      <w:numFmt w:val="decimal"/>
      <w:lvlText w:val="%4."/>
      <w:lvlJc w:val="left"/>
      <w:pPr>
        <w:ind w:left="2162" w:hanging="420"/>
      </w:pPr>
      <w:rPr>
        <w:rFonts w:cs="Times New Roman"/>
      </w:rPr>
    </w:lvl>
    <w:lvl w:ilvl="4" w:tentative="0">
      <w:start w:val="1"/>
      <w:numFmt w:val="lowerLetter"/>
      <w:lvlText w:val="%5)"/>
      <w:lvlJc w:val="left"/>
      <w:pPr>
        <w:ind w:left="2582" w:hanging="420"/>
      </w:pPr>
      <w:rPr>
        <w:rFonts w:cs="Times New Roman"/>
      </w:rPr>
    </w:lvl>
    <w:lvl w:ilvl="5" w:tentative="0">
      <w:start w:val="1"/>
      <w:numFmt w:val="lowerRoman"/>
      <w:lvlText w:val="%6."/>
      <w:lvlJc w:val="right"/>
      <w:pPr>
        <w:ind w:left="3002" w:hanging="420"/>
      </w:pPr>
      <w:rPr>
        <w:rFonts w:cs="Times New Roman"/>
      </w:rPr>
    </w:lvl>
    <w:lvl w:ilvl="6" w:tentative="0">
      <w:start w:val="1"/>
      <w:numFmt w:val="decimal"/>
      <w:lvlText w:val="%7."/>
      <w:lvlJc w:val="left"/>
      <w:pPr>
        <w:ind w:left="3422" w:hanging="420"/>
      </w:pPr>
      <w:rPr>
        <w:rFonts w:cs="Times New Roman"/>
      </w:rPr>
    </w:lvl>
    <w:lvl w:ilvl="7" w:tentative="0">
      <w:start w:val="1"/>
      <w:numFmt w:val="lowerLetter"/>
      <w:lvlText w:val="%8)"/>
      <w:lvlJc w:val="left"/>
      <w:pPr>
        <w:ind w:left="3842" w:hanging="420"/>
      </w:pPr>
      <w:rPr>
        <w:rFonts w:cs="Times New Roman"/>
      </w:rPr>
    </w:lvl>
    <w:lvl w:ilvl="8" w:tentative="0">
      <w:start w:val="1"/>
      <w:numFmt w:val="lowerRoman"/>
      <w:lvlText w:val="%9."/>
      <w:lvlJc w:val="right"/>
      <w:pPr>
        <w:ind w:left="4262" w:hanging="420"/>
      </w:pPr>
      <w:rPr>
        <w:rFonts w:cs="Times New Roman"/>
      </w:rPr>
    </w:lvl>
  </w:abstractNum>
  <w:abstractNum w:abstractNumId="16">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39"/>
      <w:suff w:val="nothing"/>
      <w:lvlText w:val=""/>
      <w:lvlJc w:val="left"/>
      <w:pPr>
        <w:ind w:left="0" w:firstLine="0"/>
      </w:pPr>
      <w:rPr>
        <w:rFonts w:hint="eastAsia"/>
      </w:rPr>
    </w:lvl>
    <w:lvl w:ilvl="6" w:tentative="0">
      <w:start w:val="1"/>
      <w:numFmt w:val="decimal"/>
      <w:pStyle w:val="341"/>
      <w:suff w:val="nothing"/>
      <w:lvlText w:val=""/>
      <w:lvlJc w:val="left"/>
      <w:pPr>
        <w:ind w:left="0" w:firstLine="0"/>
      </w:pPr>
      <w:rPr>
        <w:rFonts w:hint="eastAsia"/>
      </w:rPr>
    </w:lvl>
    <w:lvl w:ilvl="7" w:tentative="0">
      <w:start w:val="1"/>
      <w:numFmt w:val="decimal"/>
      <w:pStyle w:val="343"/>
      <w:suff w:val="nothing"/>
      <w:lvlText w:val=""/>
      <w:lvlJc w:val="left"/>
      <w:pPr>
        <w:ind w:left="0" w:firstLine="0"/>
      </w:pPr>
      <w:rPr>
        <w:rFonts w:hint="eastAsia"/>
      </w:rPr>
    </w:lvl>
    <w:lvl w:ilvl="8" w:tentative="0">
      <w:start w:val="1"/>
      <w:numFmt w:val="decimal"/>
      <w:pStyle w:val="345"/>
      <w:suff w:val="nothing"/>
      <w:lvlText w:val=""/>
      <w:lvlJc w:val="left"/>
      <w:pPr>
        <w:ind w:left="0" w:firstLine="0"/>
      </w:pPr>
      <w:rPr>
        <w:rFonts w:hint="eastAsia"/>
      </w:rPr>
    </w:lvl>
  </w:abstractNum>
  <w:abstractNum w:abstractNumId="17">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8">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7D2890CA"/>
    <w:multiLevelType w:val="singleLevel"/>
    <w:tmpl w:val="7D2890CA"/>
    <w:lvl w:ilvl="0" w:tentative="0">
      <w:start w:val="4"/>
      <w:numFmt w:val="chineseCounting"/>
      <w:suff w:val="space"/>
      <w:lvlText w:val="第%1章"/>
      <w:lvlJc w:val="left"/>
      <w:rPr>
        <w:rFonts w:hint="eastAsia"/>
      </w:rPr>
    </w:lvl>
  </w:abstractNum>
  <w:num w:numId="1">
    <w:abstractNumId w:val="7"/>
  </w:num>
  <w:num w:numId="2">
    <w:abstractNumId w:val="4"/>
  </w:num>
  <w:num w:numId="3">
    <w:abstractNumId w:val="16"/>
  </w:num>
  <w:num w:numId="4">
    <w:abstractNumId w:val="1"/>
  </w:num>
  <w:num w:numId="5">
    <w:abstractNumId w:val="0"/>
  </w:num>
  <w:num w:numId="6">
    <w:abstractNumId w:val="8"/>
  </w:num>
  <w:num w:numId="7">
    <w:abstractNumId w:val="12"/>
  </w:num>
  <w:num w:numId="8">
    <w:abstractNumId w:val="18"/>
  </w:num>
  <w:num w:numId="9">
    <w:abstractNumId w:val="9"/>
  </w:num>
  <w:num w:numId="10">
    <w:abstractNumId w:val="10"/>
  </w:num>
  <w:num w:numId="11">
    <w:abstractNumId w:val="19"/>
  </w:num>
  <w:num w:numId="12">
    <w:abstractNumId w:val="15"/>
  </w:num>
  <w:num w:numId="13">
    <w:abstractNumId w:val="3"/>
  </w:num>
  <w:num w:numId="14">
    <w:abstractNumId w:val="14"/>
  </w:num>
  <w:num w:numId="15">
    <w:abstractNumId w:val="13"/>
  </w:num>
  <w:num w:numId="16">
    <w:abstractNumId w:val="2"/>
  </w:num>
  <w:num w:numId="17">
    <w:abstractNumId w:val="11"/>
  </w:num>
  <w:num w:numId="18">
    <w:abstractNumId w:val="6"/>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22046"/>
    <w:rsid w:val="06781442"/>
    <w:rsid w:val="0CF654D8"/>
    <w:rsid w:val="0F931C5C"/>
    <w:rsid w:val="10610265"/>
    <w:rsid w:val="14F52C04"/>
    <w:rsid w:val="1510284E"/>
    <w:rsid w:val="1A606D71"/>
    <w:rsid w:val="1B854CE1"/>
    <w:rsid w:val="1BED1A83"/>
    <w:rsid w:val="212A5A24"/>
    <w:rsid w:val="24A107C5"/>
    <w:rsid w:val="27392E24"/>
    <w:rsid w:val="28A22B82"/>
    <w:rsid w:val="28FB380C"/>
    <w:rsid w:val="2B680BE6"/>
    <w:rsid w:val="2CA645D7"/>
    <w:rsid w:val="2CB032FD"/>
    <w:rsid w:val="39FC4435"/>
    <w:rsid w:val="3B242B36"/>
    <w:rsid w:val="3E370F67"/>
    <w:rsid w:val="3F3347BE"/>
    <w:rsid w:val="3FA82F18"/>
    <w:rsid w:val="3FEA2069"/>
    <w:rsid w:val="40B6199D"/>
    <w:rsid w:val="42F6680A"/>
    <w:rsid w:val="43DB40AC"/>
    <w:rsid w:val="499D6552"/>
    <w:rsid w:val="4A134A76"/>
    <w:rsid w:val="5811760C"/>
    <w:rsid w:val="583314FC"/>
    <w:rsid w:val="59E31A85"/>
    <w:rsid w:val="5F1B213D"/>
    <w:rsid w:val="688176D5"/>
    <w:rsid w:val="69CE3988"/>
    <w:rsid w:val="6F7909D8"/>
    <w:rsid w:val="73BD1EC3"/>
    <w:rsid w:val="74F217A6"/>
    <w:rsid w:val="79A474FA"/>
    <w:rsid w:val="7A992B4E"/>
    <w:rsid w:val="7E303DFA"/>
    <w:rsid w:val="7F9A2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Arial" w:cs="Times New Roman"/>
      <w:sz w:val="21"/>
      <w:szCs w:val="22"/>
      <w:lang w:val="en-US" w:eastAsia="zh-CN" w:bidi="ar-SA"/>
    </w:rPr>
  </w:style>
  <w:style w:type="paragraph" w:styleId="4">
    <w:name w:val="heading 1"/>
    <w:basedOn w:val="1"/>
    <w:next w:val="1"/>
    <w:link w:val="61"/>
    <w:qFormat/>
    <w:uiPriority w:val="9"/>
    <w:pPr>
      <w:keepNext/>
      <w:jc w:val="center"/>
      <w:outlineLvl w:val="0"/>
    </w:pPr>
    <w:rPr>
      <w:rFonts w:ascii="楷体_GB2312" w:hAnsi="Times New Roman" w:eastAsia="楷体_GB2312"/>
      <w:b/>
      <w:sz w:val="28"/>
      <w:szCs w:val="20"/>
    </w:rPr>
  </w:style>
  <w:style w:type="paragraph" w:styleId="5">
    <w:name w:val="heading 2"/>
    <w:basedOn w:val="1"/>
    <w:next w:val="1"/>
    <w:link w:val="62"/>
    <w:qFormat/>
    <w:uiPriority w:val="9"/>
    <w:pPr>
      <w:keepNext/>
      <w:jc w:val="center"/>
      <w:outlineLvl w:val="1"/>
    </w:pPr>
    <w:rPr>
      <w:rFonts w:ascii="楷体_GB2312" w:hAnsi="Times New Roman" w:eastAsia="楷体_GB2312"/>
      <w:b/>
      <w:bCs/>
      <w:sz w:val="18"/>
      <w:szCs w:val="20"/>
    </w:rPr>
  </w:style>
  <w:style w:type="paragraph" w:styleId="6">
    <w:name w:val="heading 3"/>
    <w:basedOn w:val="1"/>
    <w:link w:val="64"/>
    <w:qFormat/>
    <w:uiPriority w:val="9"/>
    <w:pPr>
      <w:keepNext/>
      <w:jc w:val="left"/>
    </w:pPr>
    <w:rPr>
      <w:rFonts w:ascii="Arial" w:hAnsi="Arial" w:eastAsia="Arial"/>
      <w:bCs/>
      <w:sz w:val="24"/>
      <w:szCs w:val="24"/>
      <w:lang w:eastAsia="zh-CN"/>
    </w:rPr>
  </w:style>
  <w:style w:type="paragraph" w:styleId="7">
    <w:name w:val="heading 4"/>
    <w:basedOn w:val="1"/>
    <w:next w:val="1"/>
    <w:link w:val="65"/>
    <w:qFormat/>
    <w:uiPriority w:val="9"/>
    <w:pPr>
      <w:keepNext/>
      <w:outlineLvl w:val="3"/>
    </w:pPr>
    <w:rPr>
      <w:rFonts w:ascii="Times New Roman" w:hAnsi="Times New Roman" w:eastAsia="楷体_GB2312"/>
      <w:b/>
      <w:bCs/>
      <w:sz w:val="15"/>
      <w:szCs w:val="20"/>
    </w:rPr>
  </w:style>
  <w:style w:type="paragraph" w:styleId="8">
    <w:name w:val="heading 5"/>
    <w:basedOn w:val="1"/>
    <w:next w:val="1"/>
    <w:link w:val="66"/>
    <w:qFormat/>
    <w:uiPriority w:val="9"/>
    <w:pPr>
      <w:keepNext/>
      <w:numPr>
        <w:ilvl w:val="0"/>
        <w:numId w:val="1"/>
      </w:numPr>
      <w:outlineLvl w:val="4"/>
    </w:pPr>
    <w:rPr>
      <w:rFonts w:ascii="楷体_GB2312" w:hAnsi="Times New Roman" w:eastAsia="楷体_GB2312"/>
      <w:bCs/>
      <w:sz w:val="28"/>
      <w:szCs w:val="20"/>
    </w:rPr>
  </w:style>
  <w:style w:type="paragraph" w:styleId="9">
    <w:name w:val="heading 6"/>
    <w:basedOn w:val="1"/>
    <w:next w:val="1"/>
    <w:link w:val="67"/>
    <w:qFormat/>
    <w:uiPriority w:val="9"/>
    <w:pPr>
      <w:keepNext/>
      <w:keepLines/>
      <w:spacing w:before="320" w:after="200"/>
      <w:outlineLvl w:val="5"/>
    </w:pPr>
    <w:rPr>
      <w:rFonts w:ascii="Arial" w:hAnsi="Arial" w:cs="Arial"/>
      <w:b/>
      <w:bCs/>
      <w:sz w:val="22"/>
    </w:rPr>
  </w:style>
  <w:style w:type="paragraph" w:styleId="10">
    <w:name w:val="heading 7"/>
    <w:basedOn w:val="1"/>
    <w:next w:val="1"/>
    <w:link w:val="68"/>
    <w:qFormat/>
    <w:uiPriority w:val="9"/>
    <w:pPr>
      <w:keepNext/>
      <w:keepLines/>
      <w:spacing w:before="320" w:after="200"/>
      <w:outlineLvl w:val="6"/>
    </w:pPr>
    <w:rPr>
      <w:rFonts w:ascii="Arial" w:hAnsi="Arial" w:cs="Arial"/>
      <w:b/>
      <w:bCs/>
      <w:i/>
      <w:iCs/>
      <w:sz w:val="22"/>
    </w:rPr>
  </w:style>
  <w:style w:type="paragraph" w:styleId="11">
    <w:name w:val="heading 8"/>
    <w:basedOn w:val="1"/>
    <w:next w:val="1"/>
    <w:link w:val="69"/>
    <w:qFormat/>
    <w:uiPriority w:val="9"/>
    <w:pPr>
      <w:keepNext/>
      <w:keepLines/>
      <w:spacing w:before="320" w:after="200"/>
      <w:outlineLvl w:val="7"/>
    </w:pPr>
    <w:rPr>
      <w:rFonts w:ascii="Arial" w:hAnsi="Arial" w:cs="Arial"/>
      <w:i/>
      <w:iCs/>
      <w:sz w:val="22"/>
    </w:rPr>
  </w:style>
  <w:style w:type="paragraph" w:styleId="12">
    <w:name w:val="heading 9"/>
    <w:basedOn w:val="1"/>
    <w:next w:val="1"/>
    <w:link w:val="70"/>
    <w:qFormat/>
    <w:uiPriority w:val="9"/>
    <w:pPr>
      <w:keepNext/>
      <w:keepLines/>
      <w:spacing w:before="320" w:after="200"/>
      <w:outlineLvl w:val="8"/>
    </w:pPr>
    <w:rPr>
      <w:rFonts w:ascii="Arial" w:hAnsi="Arial" w:cs="Arial"/>
      <w:i/>
      <w:iCs/>
      <w:szCs w:val="21"/>
    </w:rPr>
  </w:style>
  <w:style w:type="character" w:default="1" w:styleId="48">
    <w:name w:val="Default Paragraph Font"/>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spacing w:after="120"/>
      <w:ind w:left="420" w:firstLine="420"/>
    </w:pPr>
    <w:rPr>
      <w:rFonts w:asciiTheme="minorHAnsi" w:hAnsiTheme="minorHAnsi" w:eastAsiaTheme="minorEastAsia" w:cstheme="minorBidi"/>
      <w:b w:val="0"/>
      <w:sz w:val="21"/>
      <w:szCs w:val="22"/>
    </w:rPr>
  </w:style>
  <w:style w:type="paragraph" w:styleId="3">
    <w:name w:val="Body Text Indent"/>
    <w:basedOn w:val="1"/>
    <w:link w:val="75"/>
    <w:qFormat/>
    <w:uiPriority w:val="99"/>
    <w:pPr>
      <w:ind w:firstLine="576"/>
    </w:pPr>
    <w:rPr>
      <w:rFonts w:ascii="Times New Roman" w:hAnsi="Times New Roman" w:eastAsia="宋体"/>
      <w:b/>
      <w:sz w:val="30"/>
      <w:szCs w:val="20"/>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eastAsia="宋体"/>
      <w:szCs w:val="20"/>
    </w:rPr>
  </w:style>
  <w:style w:type="paragraph" w:styleId="15">
    <w:name w:val="caption"/>
    <w:basedOn w:val="1"/>
    <w:next w:val="1"/>
    <w:qFormat/>
    <w:uiPriority w:val="35"/>
    <w:pPr>
      <w:spacing w:line="276" w:lineRule="auto"/>
    </w:pPr>
    <w:rPr>
      <w:rFonts w:ascii="Times New Roman" w:hAnsi="Times New Roman" w:eastAsia="宋体"/>
      <w:b/>
      <w:bCs/>
      <w:color w:val="4F81BD"/>
      <w:sz w:val="18"/>
      <w:szCs w:val="18"/>
    </w:rPr>
  </w:style>
  <w:style w:type="paragraph" w:styleId="16">
    <w:name w:val="Document Map"/>
    <w:basedOn w:val="1"/>
    <w:link w:val="72"/>
    <w:semiHidden/>
    <w:qFormat/>
    <w:uiPriority w:val="99"/>
    <w:pPr>
      <w:shd w:val="clear" w:color="auto" w:fill="000080"/>
    </w:pPr>
    <w:rPr>
      <w:rFonts w:ascii="Times New Roman" w:hAnsi="Times New Roman" w:eastAsia="宋体"/>
      <w:sz w:val="20"/>
      <w:szCs w:val="20"/>
    </w:rPr>
  </w:style>
  <w:style w:type="paragraph" w:styleId="17">
    <w:name w:val="annotation text"/>
    <w:basedOn w:val="1"/>
    <w:link w:val="73"/>
    <w:unhideWhenUsed/>
    <w:qFormat/>
    <w:uiPriority w:val="99"/>
    <w:pPr>
      <w:jc w:val="left"/>
    </w:pPr>
  </w:style>
  <w:style w:type="paragraph" w:styleId="18">
    <w:name w:val="Body Text"/>
    <w:basedOn w:val="1"/>
    <w:link w:val="74"/>
    <w:qFormat/>
    <w:uiPriority w:val="99"/>
    <w:rPr>
      <w:rFonts w:ascii="华文中宋" w:hAnsi="Times New Roman" w:eastAsia="华文中宋"/>
      <w:bCs/>
      <w:sz w:val="28"/>
      <w:szCs w:val="20"/>
    </w:r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黑体"/>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79"/>
    <w:qFormat/>
    <w:uiPriority w:val="99"/>
    <w:rPr>
      <w:rFonts w:ascii="Times New Roman" w:hAnsi="Times New Roman" w:eastAsia="黑体"/>
      <w:b/>
      <w:sz w:val="36"/>
      <w:szCs w:val="20"/>
    </w:rPr>
  </w:style>
  <w:style w:type="paragraph" w:styleId="25">
    <w:name w:val="Body Text Indent 2"/>
    <w:basedOn w:val="1"/>
    <w:link w:val="80"/>
    <w:qFormat/>
    <w:uiPriority w:val="99"/>
    <w:pPr>
      <w:ind w:left="900"/>
    </w:pPr>
    <w:rPr>
      <w:rFonts w:ascii="楷体_GB2312" w:hAnsi="Times New Roman" w:eastAsia="楷体_GB2312"/>
      <w:b/>
      <w:sz w:val="28"/>
      <w:szCs w:val="20"/>
    </w:rPr>
  </w:style>
  <w:style w:type="paragraph" w:styleId="26">
    <w:name w:val="endnote text"/>
    <w:basedOn w:val="1"/>
    <w:link w:val="81"/>
    <w:unhideWhenUsed/>
    <w:qFormat/>
    <w:uiPriority w:val="99"/>
    <w:rPr>
      <w:rFonts w:ascii="Times New Roman" w:hAnsi="Times New Roman" w:eastAsia="宋体"/>
      <w:sz w:val="20"/>
      <w:szCs w:val="21"/>
    </w:rPr>
  </w:style>
  <w:style w:type="paragraph" w:styleId="27">
    <w:name w:val="Balloon Text"/>
    <w:basedOn w:val="1"/>
    <w:link w:val="82"/>
    <w:unhideWhenUsed/>
    <w:qFormat/>
    <w:uiPriority w:val="99"/>
    <w:rPr>
      <w:rFonts w:ascii="Times New Roman" w:hAnsi="Times New Roman" w:eastAsia="宋体"/>
      <w:sz w:val="18"/>
      <w:szCs w:val="18"/>
    </w:rPr>
  </w:style>
  <w:style w:type="paragraph" w:styleId="28">
    <w:name w:val="footer"/>
    <w:basedOn w:val="1"/>
    <w:next w:val="29"/>
    <w:link w:val="83"/>
    <w:qFormat/>
    <w:uiPriority w:val="99"/>
    <w:pPr>
      <w:tabs>
        <w:tab w:val="center" w:pos="4153"/>
        <w:tab w:val="right" w:pos="8306"/>
      </w:tabs>
      <w:jc w:val="left"/>
    </w:pPr>
    <w:rPr>
      <w:rFonts w:ascii="Times New Roman" w:hAnsi="Times New Roman" w:eastAsia="宋体"/>
      <w:sz w:val="18"/>
      <w:szCs w:val="20"/>
    </w:rPr>
  </w:style>
  <w:style w:type="paragraph" w:customStyle="1" w:styleId="29">
    <w:name w:val="TOC Heading1"/>
    <w:next w:val="1"/>
    <w:qFormat/>
    <w:uiPriority w:val="0"/>
    <w:pPr>
      <w:wordWrap w:val="0"/>
    </w:pPr>
    <w:rPr>
      <w:rFonts w:ascii="Times New Roman" w:hAnsi="Times New Roman" w:eastAsia="宋体" w:cs="Times New Roman"/>
      <w:sz w:val="32"/>
      <w:lang w:val="en-US" w:eastAsia="zh-CN" w:bidi="ar-SA"/>
    </w:rPr>
  </w:style>
  <w:style w:type="paragraph" w:styleId="30">
    <w:name w:val="envelope return"/>
    <w:basedOn w:val="1"/>
    <w:unhideWhenUsed/>
    <w:qFormat/>
    <w:uiPriority w:val="99"/>
    <w:pPr>
      <w:snapToGrid w:val="0"/>
    </w:pPr>
    <w:rPr>
      <w:rFonts w:ascii="Arial" w:hAnsi="Arial"/>
    </w:rPr>
  </w:style>
  <w:style w:type="paragraph" w:styleId="31">
    <w:name w:val="header"/>
    <w:basedOn w:val="1"/>
    <w:link w:val="84"/>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87"/>
    <w:qFormat/>
    <w:uiPriority w:val="11"/>
    <w:pPr>
      <w:spacing w:before="240" w:after="60" w:line="312" w:lineRule="atLeast"/>
      <w:ind w:firstLine="471"/>
      <w:jc w:val="center"/>
      <w:outlineLvl w:val="1"/>
    </w:pPr>
    <w:rPr>
      <w:rFonts w:ascii="Arial" w:hAnsi="Arial"/>
      <w:b/>
      <w:bCs/>
      <w:sz w:val="32"/>
      <w:szCs w:val="32"/>
    </w:rPr>
  </w:style>
  <w:style w:type="paragraph" w:styleId="35">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6">
    <w:name w:val="footnote text"/>
    <w:basedOn w:val="1"/>
    <w:link w:val="88"/>
    <w:unhideWhenUsed/>
    <w:qFormat/>
    <w:uiPriority w:val="99"/>
    <w:pPr>
      <w:spacing w:after="40"/>
    </w:pPr>
    <w:rPr>
      <w:rFonts w:ascii="Times New Roman" w:hAnsi="Times New Roman" w:eastAsia="宋体"/>
      <w:sz w:val="18"/>
      <w:szCs w:val="21"/>
    </w:rPr>
  </w:style>
  <w:style w:type="paragraph" w:styleId="37">
    <w:name w:val="toc 6"/>
    <w:basedOn w:val="1"/>
    <w:next w:val="1"/>
    <w:unhideWhenUsed/>
    <w:qFormat/>
    <w:uiPriority w:val="39"/>
    <w:pPr>
      <w:spacing w:after="57"/>
      <w:ind w:left="1417"/>
    </w:pPr>
  </w:style>
  <w:style w:type="paragraph" w:styleId="38">
    <w:name w:val="Body Text Indent 3"/>
    <w:basedOn w:val="1"/>
    <w:link w:val="90"/>
    <w:qFormat/>
    <w:uiPriority w:val="99"/>
    <w:pPr>
      <w:ind w:left="359" w:firstLine="359"/>
    </w:pPr>
    <w:rPr>
      <w:rFonts w:ascii="Times New Roman" w:hAnsi="Times New Roman" w:eastAsia="宋体"/>
      <w:sz w:val="20"/>
      <w:szCs w:val="20"/>
    </w:rPr>
  </w:style>
  <w:style w:type="paragraph" w:styleId="39">
    <w:name w:val="table of figures"/>
    <w:basedOn w:val="1"/>
    <w:next w:val="1"/>
    <w:unhideWhenUsed/>
    <w:qFormat/>
    <w:uiPriority w:val="99"/>
    <w:rPr>
      <w:rFonts w:ascii="Times New Roman" w:hAnsi="Times New Roman" w:eastAsia="宋体"/>
      <w:szCs w:val="21"/>
    </w:rPr>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93"/>
    <w:qFormat/>
    <w:uiPriority w:val="99"/>
    <w:pPr>
      <w:spacing w:after="120" w:line="480" w:lineRule="auto"/>
    </w:pPr>
    <w:rPr>
      <w:rFonts w:ascii="Times New Roman" w:hAnsi="Times New Roman" w:eastAsia="宋体"/>
      <w:sz w:val="20"/>
      <w:szCs w:val="20"/>
    </w:rPr>
  </w:style>
  <w:style w:type="paragraph" w:styleId="43">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4">
    <w:name w:val="Title"/>
    <w:basedOn w:val="1"/>
    <w:next w:val="1"/>
    <w:link w:val="94"/>
    <w:qFormat/>
    <w:uiPriority w:val="10"/>
    <w:pPr>
      <w:spacing w:before="300" w:after="200"/>
      <w:contextualSpacing/>
    </w:pPr>
    <w:rPr>
      <w:rFonts w:ascii="Times New Roman" w:hAnsi="Times New Roman" w:eastAsia="宋体"/>
      <w:sz w:val="48"/>
      <w:szCs w:val="48"/>
    </w:rPr>
  </w:style>
  <w:style w:type="paragraph" w:styleId="45">
    <w:name w:val="annotation subject"/>
    <w:basedOn w:val="17"/>
    <w:next w:val="17"/>
    <w:link w:val="95"/>
    <w:unhideWhenUsed/>
    <w:qFormat/>
    <w:uiPriority w:val="99"/>
    <w:rPr>
      <w:b/>
      <w:bCs/>
    </w:rPr>
  </w:style>
  <w:style w:type="table" w:styleId="47">
    <w:name w:val="Table Grid"/>
    <w:basedOn w:val="46"/>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99"/>
    <w:rPr>
      <w:rFonts w:cs="Times New Roman"/>
      <w:b/>
      <w:bCs/>
    </w:rPr>
  </w:style>
  <w:style w:type="character" w:styleId="50">
    <w:name w:val="endnote reference"/>
    <w:unhideWhenUsed/>
    <w:qFormat/>
    <w:uiPriority w:val="99"/>
    <w:rPr>
      <w:vertAlign w:val="superscript"/>
    </w:rPr>
  </w:style>
  <w:style w:type="character" w:styleId="51">
    <w:name w:val="page number"/>
    <w:qFormat/>
    <w:uiPriority w:val="99"/>
    <w:rPr>
      <w:rFonts w:cs="Times New Roman"/>
    </w:rPr>
  </w:style>
  <w:style w:type="character" w:styleId="52">
    <w:name w:val="HTML Typewriter"/>
    <w:qFormat/>
    <w:uiPriority w:val="99"/>
    <w:rPr>
      <w:rFonts w:ascii="宋体" w:hAnsi="宋体" w:eastAsia="宋体" w:cs="宋体"/>
      <w:sz w:val="24"/>
      <w:szCs w:val="24"/>
    </w:rPr>
  </w:style>
  <w:style w:type="character" w:styleId="53">
    <w:name w:val="Hyperlink"/>
    <w:qFormat/>
    <w:uiPriority w:val="99"/>
    <w:rPr>
      <w:rFonts w:cs="Times New Roman"/>
      <w:color w:val="000000"/>
      <w:u w:val="none"/>
    </w:rPr>
  </w:style>
  <w:style w:type="character" w:styleId="54">
    <w:name w:val="annotation reference"/>
    <w:basedOn w:val="48"/>
    <w:unhideWhenUsed/>
    <w:qFormat/>
    <w:uiPriority w:val="0"/>
    <w:rPr>
      <w:sz w:val="21"/>
      <w:szCs w:val="21"/>
    </w:rPr>
  </w:style>
  <w:style w:type="character" w:styleId="55">
    <w:name w:val="footnote reference"/>
    <w:unhideWhenUsed/>
    <w:qFormat/>
    <w:uiPriority w:val="99"/>
    <w:rPr>
      <w:vertAlign w:val="superscript"/>
    </w:rPr>
  </w:style>
  <w:style w:type="paragraph" w:styleId="56">
    <w:name w:val="List Paragraph"/>
    <w:basedOn w:val="1"/>
    <w:qFormat/>
    <w:uiPriority w:val="34"/>
    <w:pPr>
      <w:numPr>
        <w:ilvl w:val="0"/>
        <w:numId w:val="2"/>
      </w:numPr>
      <w:spacing w:line="360" w:lineRule="auto"/>
    </w:pPr>
    <w:rPr>
      <w:rFonts w:ascii="Arial" w:hAnsi="Arial" w:eastAsia="宋体" w:cs="宋体"/>
      <w:b/>
      <w:sz w:val="24"/>
      <w:szCs w:val="20"/>
    </w:rPr>
  </w:style>
  <w:style w:type="paragraph" w:customStyle="1" w:styleId="57">
    <w:name w:val="Cn Heading3"/>
    <w:basedOn w:val="58"/>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58">
    <w:name w:val="列出段落1"/>
    <w:basedOn w:val="1"/>
    <w:link w:val="63"/>
    <w:qFormat/>
    <w:uiPriority w:val="0"/>
    <w:pPr>
      <w:spacing w:before="120" w:after="120" w:line="360" w:lineRule="auto"/>
      <w:ind w:firstLine="420"/>
    </w:pPr>
    <w:rPr>
      <w:rFonts w:eastAsia="宋体"/>
      <w:sz w:val="24"/>
    </w:rPr>
  </w:style>
  <w:style w:type="paragraph" w:customStyle="1" w:styleId="59">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paragraph" w:customStyle="1" w:styleId="60">
    <w:name w:val="索引 41"/>
    <w:basedOn w:val="1"/>
    <w:next w:val="1"/>
    <w:qFormat/>
    <w:uiPriority w:val="99"/>
    <w:pPr>
      <w:ind w:left="600"/>
    </w:pPr>
    <w:rPr>
      <w:szCs w:val="24"/>
    </w:rPr>
  </w:style>
  <w:style w:type="character" w:customStyle="1" w:styleId="61">
    <w:name w:val="标题 1 字符"/>
    <w:basedOn w:val="48"/>
    <w:link w:val="4"/>
    <w:qFormat/>
    <w:uiPriority w:val="9"/>
    <w:rPr>
      <w:rFonts w:ascii="楷体_GB2312" w:hAnsi="Times New Roman" w:eastAsia="楷体_GB2312" w:cs="Times New Roman"/>
      <w:b/>
      <w:sz w:val="28"/>
      <w:szCs w:val="20"/>
    </w:rPr>
  </w:style>
  <w:style w:type="character" w:customStyle="1" w:styleId="62">
    <w:name w:val="标题 2 字符"/>
    <w:basedOn w:val="48"/>
    <w:link w:val="5"/>
    <w:qFormat/>
    <w:uiPriority w:val="9"/>
    <w:rPr>
      <w:rFonts w:ascii="楷体_GB2312" w:hAnsi="Times New Roman" w:eastAsia="楷体_GB2312" w:cs="Times New Roman"/>
      <w:b/>
      <w:bCs/>
      <w:sz w:val="18"/>
      <w:szCs w:val="20"/>
    </w:rPr>
  </w:style>
  <w:style w:type="character" w:customStyle="1" w:styleId="63">
    <w:name w:val="列出段落 Char"/>
    <w:link w:val="58"/>
    <w:qFormat/>
    <w:uiPriority w:val="0"/>
    <w:rPr>
      <w:rFonts w:ascii="Calibri" w:hAnsi="Calibri" w:eastAsia="宋体" w:cs="Times New Roman"/>
      <w:sz w:val="24"/>
      <w:szCs w:val="22"/>
    </w:rPr>
  </w:style>
  <w:style w:type="character" w:customStyle="1" w:styleId="64">
    <w:name w:val="标题 3 字符"/>
    <w:basedOn w:val="48"/>
    <w:link w:val="6"/>
    <w:qFormat/>
    <w:uiPriority w:val="9"/>
    <w:rPr>
      <w:rFonts w:ascii="Arial" w:hAnsi="Arial"/>
      <w:b/>
      <w:bCs/>
      <w:sz w:val="24"/>
      <w:szCs w:val="24"/>
    </w:rPr>
  </w:style>
  <w:style w:type="character" w:customStyle="1" w:styleId="65">
    <w:name w:val="标题 4 字符"/>
    <w:basedOn w:val="48"/>
    <w:link w:val="7"/>
    <w:qFormat/>
    <w:uiPriority w:val="9"/>
    <w:rPr>
      <w:rFonts w:ascii="Times New Roman" w:hAnsi="Times New Roman" w:eastAsia="楷体_GB2312" w:cs="Times New Roman"/>
      <w:b/>
      <w:bCs/>
      <w:sz w:val="15"/>
    </w:rPr>
  </w:style>
  <w:style w:type="character" w:customStyle="1" w:styleId="66">
    <w:name w:val="标题 5 字符"/>
    <w:basedOn w:val="48"/>
    <w:link w:val="8"/>
    <w:qFormat/>
    <w:uiPriority w:val="9"/>
    <w:rPr>
      <w:rFonts w:ascii="楷体_GB2312" w:hAnsi="Times New Roman" w:eastAsia="楷体_GB2312" w:cs="Times New Roman"/>
      <w:bCs/>
      <w:sz w:val="28"/>
    </w:rPr>
  </w:style>
  <w:style w:type="character" w:customStyle="1" w:styleId="67">
    <w:name w:val="标题 6 字符"/>
    <w:basedOn w:val="48"/>
    <w:link w:val="9"/>
    <w:qFormat/>
    <w:uiPriority w:val="9"/>
    <w:rPr>
      <w:rFonts w:ascii="Arial" w:hAnsi="Arial" w:eastAsia="Arial" w:cs="Arial"/>
      <w:b/>
      <w:bCs/>
      <w:sz w:val="22"/>
      <w:szCs w:val="22"/>
    </w:rPr>
  </w:style>
  <w:style w:type="character" w:customStyle="1" w:styleId="68">
    <w:name w:val="标题 7 字符"/>
    <w:basedOn w:val="48"/>
    <w:link w:val="10"/>
    <w:qFormat/>
    <w:uiPriority w:val="9"/>
    <w:rPr>
      <w:rFonts w:ascii="Arial" w:hAnsi="Arial" w:eastAsia="Arial" w:cs="Arial"/>
      <w:b/>
      <w:bCs/>
      <w:i/>
      <w:iCs/>
      <w:sz w:val="22"/>
      <w:szCs w:val="22"/>
    </w:rPr>
  </w:style>
  <w:style w:type="character" w:customStyle="1" w:styleId="69">
    <w:name w:val="标题 8 字符"/>
    <w:basedOn w:val="48"/>
    <w:link w:val="11"/>
    <w:qFormat/>
    <w:uiPriority w:val="9"/>
    <w:rPr>
      <w:rFonts w:ascii="Arial" w:hAnsi="Arial" w:eastAsia="Arial" w:cs="Arial"/>
      <w:i/>
      <w:iCs/>
      <w:sz w:val="22"/>
      <w:szCs w:val="22"/>
    </w:rPr>
  </w:style>
  <w:style w:type="character" w:customStyle="1" w:styleId="70">
    <w:name w:val="标题 9 字符"/>
    <w:basedOn w:val="48"/>
    <w:link w:val="12"/>
    <w:qFormat/>
    <w:uiPriority w:val="9"/>
    <w:rPr>
      <w:rFonts w:ascii="Arial" w:hAnsi="Arial" w:eastAsia="Arial" w:cs="Arial"/>
      <w:i/>
      <w:iCs/>
      <w:sz w:val="21"/>
      <w:szCs w:val="21"/>
    </w:rPr>
  </w:style>
  <w:style w:type="paragraph" w:customStyle="1" w:styleId="71">
    <w:name w:val="目录 7111"/>
    <w:basedOn w:val="1"/>
    <w:next w:val="1"/>
    <w:unhideWhenUsed/>
    <w:qFormat/>
    <w:uiPriority w:val="39"/>
    <w:pPr>
      <w:spacing w:after="57"/>
      <w:ind w:left="1701"/>
    </w:pPr>
    <w:rPr>
      <w:rFonts w:ascii="Times New Roman" w:hAnsi="Times New Roman" w:eastAsia="宋体"/>
      <w:szCs w:val="21"/>
    </w:rPr>
  </w:style>
  <w:style w:type="character" w:customStyle="1" w:styleId="72">
    <w:name w:val="文档结构图 字符"/>
    <w:basedOn w:val="48"/>
    <w:link w:val="16"/>
    <w:semiHidden/>
    <w:qFormat/>
    <w:uiPriority w:val="99"/>
    <w:rPr>
      <w:rFonts w:ascii="Times New Roman" w:hAnsi="Times New Roman" w:eastAsia="宋体" w:cs="Times New Roman"/>
      <w:sz w:val="20"/>
      <w:szCs w:val="20"/>
      <w:shd w:val="clear" w:color="auto" w:fill="000080"/>
    </w:rPr>
  </w:style>
  <w:style w:type="character" w:customStyle="1" w:styleId="73">
    <w:name w:val="批注文字 字符"/>
    <w:basedOn w:val="48"/>
    <w:link w:val="17"/>
    <w:semiHidden/>
    <w:qFormat/>
    <w:uiPriority w:val="99"/>
  </w:style>
  <w:style w:type="character" w:customStyle="1" w:styleId="74">
    <w:name w:val="正文文本 字符"/>
    <w:basedOn w:val="48"/>
    <w:link w:val="18"/>
    <w:qFormat/>
    <w:uiPriority w:val="99"/>
    <w:rPr>
      <w:rFonts w:ascii="华文中宋" w:hAnsi="Times New Roman" w:eastAsia="华文中宋" w:cs="Times New Roman"/>
      <w:bCs/>
      <w:sz w:val="28"/>
      <w:szCs w:val="20"/>
    </w:rPr>
  </w:style>
  <w:style w:type="character" w:customStyle="1" w:styleId="75">
    <w:name w:val="正文文本缩进 字符"/>
    <w:basedOn w:val="48"/>
    <w:link w:val="3"/>
    <w:qFormat/>
    <w:uiPriority w:val="99"/>
    <w:rPr>
      <w:rFonts w:ascii="Times New Roman" w:hAnsi="Times New Roman" w:eastAsia="宋体" w:cs="Times New Roman"/>
      <w:b/>
      <w:sz w:val="30"/>
      <w:szCs w:val="20"/>
    </w:rPr>
  </w:style>
  <w:style w:type="paragraph" w:customStyle="1" w:styleId="76">
    <w:name w:val="目录 5111"/>
    <w:basedOn w:val="1"/>
    <w:next w:val="1"/>
    <w:unhideWhenUsed/>
    <w:qFormat/>
    <w:uiPriority w:val="39"/>
    <w:pPr>
      <w:spacing w:after="57"/>
      <w:ind w:left="1134"/>
    </w:pPr>
    <w:rPr>
      <w:rFonts w:ascii="Times New Roman" w:hAnsi="Times New Roman" w:eastAsia="宋体"/>
      <w:szCs w:val="21"/>
    </w:rPr>
  </w:style>
  <w:style w:type="paragraph" w:customStyle="1" w:styleId="77">
    <w:name w:val="目录 3111"/>
    <w:basedOn w:val="1"/>
    <w:next w:val="1"/>
    <w:unhideWhenUsed/>
    <w:qFormat/>
    <w:uiPriority w:val="39"/>
    <w:pPr>
      <w:spacing w:after="57"/>
      <w:ind w:left="567"/>
    </w:pPr>
    <w:rPr>
      <w:rFonts w:ascii="Times New Roman" w:hAnsi="Times New Roman" w:eastAsia="宋体"/>
      <w:szCs w:val="21"/>
    </w:rPr>
  </w:style>
  <w:style w:type="paragraph" w:customStyle="1" w:styleId="78">
    <w:name w:val="目录 8111"/>
    <w:basedOn w:val="1"/>
    <w:next w:val="1"/>
    <w:unhideWhenUsed/>
    <w:qFormat/>
    <w:uiPriority w:val="39"/>
    <w:pPr>
      <w:spacing w:after="57"/>
      <w:ind w:left="1984"/>
    </w:pPr>
    <w:rPr>
      <w:rFonts w:ascii="Times New Roman" w:hAnsi="Times New Roman" w:eastAsia="宋体"/>
      <w:szCs w:val="21"/>
    </w:rPr>
  </w:style>
  <w:style w:type="character" w:customStyle="1" w:styleId="79">
    <w:name w:val="日期 字符"/>
    <w:basedOn w:val="48"/>
    <w:link w:val="24"/>
    <w:qFormat/>
    <w:uiPriority w:val="99"/>
    <w:rPr>
      <w:rFonts w:ascii="Times New Roman" w:hAnsi="Times New Roman" w:eastAsia="黑体" w:cs="Times New Roman"/>
      <w:b/>
      <w:sz w:val="36"/>
      <w:szCs w:val="20"/>
    </w:rPr>
  </w:style>
  <w:style w:type="character" w:customStyle="1" w:styleId="80">
    <w:name w:val="正文文本缩进 2 字符"/>
    <w:basedOn w:val="48"/>
    <w:link w:val="25"/>
    <w:qFormat/>
    <w:uiPriority w:val="99"/>
    <w:rPr>
      <w:rFonts w:ascii="楷体_GB2312" w:hAnsi="Times New Roman" w:eastAsia="楷体_GB2312" w:cs="Times New Roman"/>
      <w:b/>
      <w:sz w:val="28"/>
      <w:szCs w:val="20"/>
    </w:rPr>
  </w:style>
  <w:style w:type="character" w:customStyle="1" w:styleId="81">
    <w:name w:val="尾注文本 字符"/>
    <w:basedOn w:val="48"/>
    <w:link w:val="26"/>
    <w:qFormat/>
    <w:uiPriority w:val="99"/>
    <w:rPr>
      <w:rFonts w:ascii="Times New Roman" w:hAnsi="Times New Roman" w:eastAsia="宋体" w:cs="Times New Roman"/>
      <w:szCs w:val="21"/>
    </w:rPr>
  </w:style>
  <w:style w:type="character" w:customStyle="1" w:styleId="82">
    <w:name w:val="批注框文本 字符"/>
    <w:basedOn w:val="48"/>
    <w:link w:val="27"/>
    <w:semiHidden/>
    <w:qFormat/>
    <w:uiPriority w:val="99"/>
    <w:rPr>
      <w:rFonts w:ascii="Times New Roman" w:hAnsi="Times New Roman" w:eastAsia="宋体" w:cs="Times New Roman"/>
      <w:sz w:val="18"/>
      <w:szCs w:val="18"/>
    </w:rPr>
  </w:style>
  <w:style w:type="character" w:customStyle="1" w:styleId="83">
    <w:name w:val="页脚 字符"/>
    <w:basedOn w:val="48"/>
    <w:link w:val="28"/>
    <w:qFormat/>
    <w:uiPriority w:val="99"/>
    <w:rPr>
      <w:rFonts w:ascii="Times New Roman" w:hAnsi="Times New Roman" w:eastAsia="宋体" w:cs="Times New Roman"/>
      <w:sz w:val="18"/>
      <w:szCs w:val="20"/>
    </w:rPr>
  </w:style>
  <w:style w:type="character" w:customStyle="1" w:styleId="84">
    <w:name w:val="页眉 字符"/>
    <w:basedOn w:val="48"/>
    <w:link w:val="31"/>
    <w:qFormat/>
    <w:uiPriority w:val="99"/>
    <w:rPr>
      <w:rFonts w:ascii="Times New Roman" w:hAnsi="Times New Roman" w:eastAsia="宋体" w:cs="Times New Roman"/>
      <w:sz w:val="18"/>
      <w:szCs w:val="20"/>
    </w:rPr>
  </w:style>
  <w:style w:type="paragraph" w:customStyle="1" w:styleId="85">
    <w:name w:val="目录 1112"/>
    <w:basedOn w:val="1"/>
    <w:next w:val="1"/>
    <w:unhideWhenUsed/>
    <w:qFormat/>
    <w:uiPriority w:val="39"/>
    <w:pPr>
      <w:spacing w:after="57"/>
    </w:pPr>
    <w:rPr>
      <w:rFonts w:ascii="Times New Roman" w:hAnsi="Times New Roman" w:eastAsia="宋体"/>
      <w:szCs w:val="21"/>
    </w:rPr>
  </w:style>
  <w:style w:type="paragraph" w:customStyle="1" w:styleId="86">
    <w:name w:val="目录 4111"/>
    <w:basedOn w:val="1"/>
    <w:next w:val="1"/>
    <w:unhideWhenUsed/>
    <w:qFormat/>
    <w:uiPriority w:val="39"/>
    <w:pPr>
      <w:spacing w:after="57"/>
      <w:ind w:left="850"/>
    </w:pPr>
    <w:rPr>
      <w:rFonts w:ascii="Times New Roman" w:hAnsi="Times New Roman" w:eastAsia="宋体"/>
      <w:szCs w:val="21"/>
    </w:rPr>
  </w:style>
  <w:style w:type="character" w:customStyle="1" w:styleId="87">
    <w:name w:val="副标题 字符"/>
    <w:link w:val="34"/>
    <w:qFormat/>
    <w:uiPriority w:val="11"/>
    <w:rPr>
      <w:rFonts w:ascii="Arial" w:hAnsi="Arial"/>
      <w:b/>
      <w:bCs/>
      <w:sz w:val="32"/>
      <w:szCs w:val="32"/>
    </w:rPr>
  </w:style>
  <w:style w:type="character" w:customStyle="1" w:styleId="88">
    <w:name w:val="脚注文本 字符"/>
    <w:basedOn w:val="48"/>
    <w:link w:val="36"/>
    <w:qFormat/>
    <w:uiPriority w:val="99"/>
    <w:rPr>
      <w:rFonts w:ascii="Times New Roman" w:hAnsi="Times New Roman" w:eastAsia="宋体" w:cs="Times New Roman"/>
      <w:sz w:val="18"/>
      <w:szCs w:val="21"/>
    </w:rPr>
  </w:style>
  <w:style w:type="paragraph" w:customStyle="1" w:styleId="89">
    <w:name w:val="目录 6111"/>
    <w:basedOn w:val="1"/>
    <w:next w:val="1"/>
    <w:unhideWhenUsed/>
    <w:qFormat/>
    <w:uiPriority w:val="39"/>
    <w:pPr>
      <w:spacing w:after="57"/>
      <w:ind w:left="1417"/>
    </w:pPr>
    <w:rPr>
      <w:rFonts w:ascii="Times New Roman" w:hAnsi="Times New Roman" w:eastAsia="宋体"/>
      <w:szCs w:val="21"/>
    </w:rPr>
  </w:style>
  <w:style w:type="character" w:customStyle="1" w:styleId="90">
    <w:name w:val="正文文本缩进 3 字符"/>
    <w:basedOn w:val="48"/>
    <w:link w:val="38"/>
    <w:qFormat/>
    <w:uiPriority w:val="99"/>
    <w:rPr>
      <w:rFonts w:ascii="Times New Roman" w:hAnsi="Times New Roman" w:eastAsia="宋体" w:cs="Times New Roman"/>
      <w:sz w:val="20"/>
      <w:szCs w:val="20"/>
    </w:rPr>
  </w:style>
  <w:style w:type="paragraph" w:customStyle="1" w:styleId="91">
    <w:name w:val="目录 2111"/>
    <w:basedOn w:val="1"/>
    <w:next w:val="1"/>
    <w:unhideWhenUsed/>
    <w:qFormat/>
    <w:uiPriority w:val="39"/>
    <w:pPr>
      <w:spacing w:after="57"/>
      <w:ind w:left="283"/>
    </w:pPr>
    <w:rPr>
      <w:rFonts w:ascii="Times New Roman" w:hAnsi="Times New Roman" w:eastAsia="宋体"/>
      <w:szCs w:val="21"/>
    </w:rPr>
  </w:style>
  <w:style w:type="paragraph" w:customStyle="1" w:styleId="92">
    <w:name w:val="目录 9111"/>
    <w:basedOn w:val="1"/>
    <w:next w:val="1"/>
    <w:unhideWhenUsed/>
    <w:qFormat/>
    <w:uiPriority w:val="39"/>
    <w:pPr>
      <w:spacing w:after="57"/>
      <w:ind w:left="2268"/>
    </w:pPr>
    <w:rPr>
      <w:rFonts w:ascii="Times New Roman" w:hAnsi="Times New Roman" w:eastAsia="宋体"/>
      <w:szCs w:val="21"/>
    </w:rPr>
  </w:style>
  <w:style w:type="character" w:customStyle="1" w:styleId="93">
    <w:name w:val="正文文本 2 字符"/>
    <w:basedOn w:val="48"/>
    <w:link w:val="42"/>
    <w:qFormat/>
    <w:uiPriority w:val="99"/>
    <w:rPr>
      <w:rFonts w:ascii="Times New Roman" w:hAnsi="Times New Roman" w:eastAsia="宋体" w:cs="Times New Roman"/>
      <w:sz w:val="20"/>
      <w:szCs w:val="20"/>
    </w:rPr>
  </w:style>
  <w:style w:type="character" w:customStyle="1" w:styleId="94">
    <w:name w:val="标题 字符"/>
    <w:basedOn w:val="48"/>
    <w:link w:val="44"/>
    <w:qFormat/>
    <w:uiPriority w:val="10"/>
    <w:rPr>
      <w:rFonts w:ascii="Times New Roman" w:hAnsi="Times New Roman" w:eastAsia="宋体" w:cs="Times New Roman"/>
      <w:sz w:val="48"/>
      <w:szCs w:val="48"/>
    </w:rPr>
  </w:style>
  <w:style w:type="character" w:customStyle="1" w:styleId="95">
    <w:name w:val="批注主题 字符"/>
    <w:basedOn w:val="73"/>
    <w:link w:val="45"/>
    <w:semiHidden/>
    <w:qFormat/>
    <w:uiPriority w:val="99"/>
    <w:rPr>
      <w:b/>
      <w:bCs/>
    </w:rPr>
  </w:style>
  <w:style w:type="paragraph" w:customStyle="1" w:styleId="96">
    <w:name w:val="正文首行缩进11"/>
    <w:basedOn w:val="18"/>
    <w:unhideWhenUsed/>
    <w:qFormat/>
    <w:uiPriority w:val="99"/>
    <w:pPr>
      <w:spacing w:after="120"/>
      <w:ind w:firstLine="420"/>
    </w:pPr>
    <w:rPr>
      <w:rFonts w:ascii="Calibri" w:hAnsi="Calibri" w:eastAsia="宋体"/>
      <w:sz w:val="21"/>
      <w:szCs w:val="22"/>
    </w:rPr>
  </w:style>
  <w:style w:type="paragraph" w:customStyle="1" w:styleId="97">
    <w:name w:val="正文首行缩进 211"/>
    <w:basedOn w:val="3"/>
    <w:next w:val="1"/>
    <w:link w:val="98"/>
    <w:unhideWhenUsed/>
    <w:qFormat/>
    <w:uiPriority w:val="99"/>
    <w:pPr>
      <w:spacing w:after="120"/>
      <w:ind w:left="420" w:firstLine="420"/>
    </w:pPr>
    <w:rPr>
      <w:rFonts w:ascii="Calibri" w:hAnsi="Calibri" w:eastAsia="Arial"/>
      <w:b w:val="0"/>
      <w:sz w:val="21"/>
      <w:szCs w:val="22"/>
    </w:rPr>
  </w:style>
  <w:style w:type="character" w:customStyle="1" w:styleId="98">
    <w:name w:val="正文首行缩进 2 Char1"/>
    <w:basedOn w:val="75"/>
    <w:link w:val="97"/>
    <w:semiHidden/>
    <w:qFormat/>
    <w:uiPriority w:val="99"/>
    <w:rPr>
      <w:rFonts w:ascii="Times New Roman" w:hAnsi="Times New Roman" w:eastAsia="宋体" w:cs="Times New Roman"/>
      <w:b w:val="0"/>
      <w:sz w:val="21"/>
      <w:szCs w:val="22"/>
    </w:rPr>
  </w:style>
  <w:style w:type="character" w:customStyle="1" w:styleId="99">
    <w:name w:val="已访问的超链接11"/>
    <w:unhideWhenUsed/>
    <w:qFormat/>
    <w:uiPriority w:val="99"/>
    <w:rPr>
      <w:color w:val="800080"/>
      <w:u w:val="single"/>
    </w:rPr>
  </w:style>
  <w:style w:type="character" w:customStyle="1" w:styleId="100">
    <w:name w:val="批注引用1"/>
    <w:semiHidden/>
    <w:qFormat/>
    <w:uiPriority w:val="0"/>
    <w:rPr>
      <w:rFonts w:ascii="Calibri" w:hAnsi="Calibri" w:eastAsia="Arial" w:cs="Times New Roman"/>
      <w:sz w:val="21"/>
      <w:szCs w:val="22"/>
    </w:rPr>
  </w:style>
  <w:style w:type="paragraph" w:customStyle="1" w:styleId="101">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02">
    <w:name w:val="TOC Heading"/>
    <w:unhideWhenUsed/>
    <w:qFormat/>
    <w:uiPriority w:val="39"/>
    <w:rPr>
      <w:rFonts w:hint="default" w:ascii="Calibri" w:hAnsi="Calibri" w:eastAsia="Arial" w:cs="Times New Roman"/>
      <w:lang w:val="en-US" w:eastAsia="zh-CN" w:bidi="ar-SA"/>
    </w:rPr>
  </w:style>
  <w:style w:type="paragraph" w:customStyle="1" w:styleId="103">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04">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05">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06">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07">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0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0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1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5">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16">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7">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18">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9">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20">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1">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22">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3">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24">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25">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6">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7">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8">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9">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30">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31">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32">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3">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4">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5">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6">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7">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8">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39">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40">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41">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2">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3">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4">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5">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6">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7">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8">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149">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150">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151">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152">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153">
    <w:name w:val="case31"/>
    <w:qFormat/>
    <w:uiPriority w:val="99"/>
    <w:rPr>
      <w:rFonts w:cs="Times New Roman"/>
      <w:spacing w:val="390"/>
      <w:sz w:val="21"/>
      <w:szCs w:val="21"/>
    </w:rPr>
  </w:style>
  <w:style w:type="paragraph" w:customStyle="1" w:styleId="154">
    <w:name w:val="普通文字"/>
    <w:basedOn w:val="1"/>
    <w:next w:val="1"/>
    <w:qFormat/>
    <w:uiPriority w:val="99"/>
    <w:rPr>
      <w:rFonts w:ascii="宋体" w:hAnsi="Times New Roman" w:eastAsia="宋体"/>
      <w:sz w:val="24"/>
      <w:szCs w:val="20"/>
    </w:rPr>
  </w:style>
  <w:style w:type="paragraph" w:customStyle="1" w:styleId="155">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156">
    <w:name w:val="Char Char Char Char"/>
    <w:basedOn w:val="16"/>
    <w:qFormat/>
    <w:uiPriority w:val="0"/>
    <w:pPr>
      <w:spacing w:line="360" w:lineRule="auto"/>
    </w:pPr>
    <w:rPr>
      <w:rFonts w:ascii="Tahoma" w:hAnsi="Tahoma"/>
      <w:sz w:val="24"/>
      <w:szCs w:val="24"/>
    </w:rPr>
  </w:style>
  <w:style w:type="paragraph" w:customStyle="1" w:styleId="157">
    <w:name w:val="Char Char1 Char Char Char Char"/>
    <w:basedOn w:val="16"/>
    <w:qFormat/>
    <w:uiPriority w:val="99"/>
    <w:pPr>
      <w:spacing w:line="436" w:lineRule="exact"/>
      <w:ind w:left="357"/>
      <w:jc w:val="left"/>
      <w:outlineLvl w:val="3"/>
    </w:pPr>
    <w:rPr>
      <w:rFonts w:ascii="Tahoma" w:hAnsi="Tahoma"/>
      <w:b/>
      <w:sz w:val="24"/>
      <w:szCs w:val="24"/>
    </w:rPr>
  </w:style>
  <w:style w:type="paragraph" w:customStyle="1" w:styleId="158">
    <w:name w:val="修订1"/>
    <w:semiHidden/>
    <w:qFormat/>
    <w:uiPriority w:val="99"/>
    <w:rPr>
      <w:rFonts w:hint="default" w:ascii="Times New Roman" w:hAnsi="Times New Roman" w:eastAsia="宋体" w:cs="Times New Roman"/>
      <w:sz w:val="21"/>
      <w:lang w:val="en-US" w:eastAsia="zh-CN" w:bidi="ar-SA"/>
    </w:rPr>
  </w:style>
  <w:style w:type="paragraph" w:customStyle="1" w:styleId="159">
    <w:name w:val="列表段落1"/>
    <w:basedOn w:val="1"/>
    <w:qFormat/>
    <w:uiPriority w:val="34"/>
    <w:pPr>
      <w:ind w:firstLine="420"/>
    </w:pPr>
  </w:style>
  <w:style w:type="paragraph" w:customStyle="1" w:styleId="160">
    <w:name w:val="样式 小四 段前: 5 磅 段后: 5 磅 首行缩进:  2 字符"/>
    <w:basedOn w:val="1"/>
    <w:qFormat/>
    <w:uiPriority w:val="0"/>
    <w:pPr>
      <w:spacing w:line="360" w:lineRule="auto"/>
    </w:pPr>
    <w:rPr>
      <w:rFonts w:ascii="宋体" w:hAnsi="宋体"/>
      <w:szCs w:val="21"/>
    </w:rPr>
  </w:style>
  <w:style w:type="table" w:customStyle="1" w:styleId="161">
    <w:name w:val="网格型1"/>
    <w:basedOn w:val="46"/>
    <w:qFormat/>
    <w:uiPriority w:val="59"/>
  </w:style>
  <w:style w:type="table" w:customStyle="1" w:styleId="162">
    <w:name w:val="网格型2"/>
    <w:basedOn w:val="46"/>
    <w:qFormat/>
    <w:uiPriority w:val="39"/>
  </w:style>
  <w:style w:type="table" w:customStyle="1" w:styleId="163">
    <w:name w:val="网格型3"/>
    <w:basedOn w:val="46"/>
    <w:qFormat/>
    <w:uiPriority w:val="39"/>
  </w:style>
  <w:style w:type="table" w:customStyle="1" w:styleId="164">
    <w:name w:val="网格型4"/>
    <w:basedOn w:val="46"/>
    <w:qFormat/>
    <w:uiPriority w:val="39"/>
  </w:style>
  <w:style w:type="paragraph" w:customStyle="1" w:styleId="165">
    <w:name w:val="List Paragraph1"/>
    <w:basedOn w:val="1"/>
    <w:qFormat/>
    <w:uiPriority w:val="0"/>
    <w:pPr>
      <w:ind w:firstLine="420"/>
    </w:pPr>
    <w:rPr>
      <w:szCs w:val="21"/>
    </w:rPr>
  </w:style>
  <w:style w:type="paragraph" w:customStyle="1" w:styleId="166">
    <w:name w:val="标题 31"/>
    <w:basedOn w:val="1"/>
    <w:next w:val="1"/>
    <w:link w:val="167"/>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167">
    <w:name w:val="标题 3 Char"/>
    <w:link w:val="166"/>
    <w:qFormat/>
    <w:uiPriority w:val="0"/>
    <w:rPr>
      <w:rFonts w:ascii="Times New Roman" w:hAnsi="Times New Roman" w:eastAsia="宋体" w:cs="Times New Roman"/>
      <w:b/>
      <w:bCs/>
      <w:sz w:val="32"/>
      <w:szCs w:val="32"/>
      <w:lang w:eastAsia="en-US"/>
    </w:rPr>
  </w:style>
  <w:style w:type="character" w:customStyle="1" w:styleId="168">
    <w:name w:val="Heading 1 Char"/>
    <w:qFormat/>
    <w:uiPriority w:val="9"/>
    <w:rPr>
      <w:rFonts w:ascii="Arial" w:hAnsi="Arial" w:eastAsia="Arial" w:cs="Arial"/>
      <w:sz w:val="40"/>
      <w:szCs w:val="40"/>
    </w:rPr>
  </w:style>
  <w:style w:type="character" w:customStyle="1" w:styleId="169">
    <w:name w:val="Heading 2 Char"/>
    <w:qFormat/>
    <w:uiPriority w:val="9"/>
    <w:rPr>
      <w:rFonts w:ascii="Arial" w:hAnsi="Arial" w:eastAsia="Arial" w:cs="Arial"/>
      <w:sz w:val="34"/>
    </w:rPr>
  </w:style>
  <w:style w:type="character" w:customStyle="1" w:styleId="170">
    <w:name w:val="Heading 3 Char"/>
    <w:qFormat/>
    <w:uiPriority w:val="9"/>
    <w:rPr>
      <w:rFonts w:ascii="Arial" w:hAnsi="Arial" w:eastAsia="Arial" w:cs="Arial"/>
      <w:sz w:val="30"/>
      <w:szCs w:val="30"/>
    </w:rPr>
  </w:style>
  <w:style w:type="character" w:customStyle="1" w:styleId="171">
    <w:name w:val="Heading 4 Char"/>
    <w:qFormat/>
    <w:uiPriority w:val="9"/>
    <w:rPr>
      <w:rFonts w:ascii="Arial" w:hAnsi="Arial" w:eastAsia="Arial" w:cs="Arial"/>
      <w:b/>
      <w:bCs/>
      <w:sz w:val="26"/>
      <w:szCs w:val="26"/>
    </w:rPr>
  </w:style>
  <w:style w:type="character" w:customStyle="1" w:styleId="172">
    <w:name w:val="Heading 5 Char"/>
    <w:qFormat/>
    <w:uiPriority w:val="9"/>
    <w:rPr>
      <w:rFonts w:ascii="Arial" w:hAnsi="Arial" w:eastAsia="Arial" w:cs="Arial"/>
      <w:b/>
      <w:bCs/>
      <w:sz w:val="24"/>
      <w:szCs w:val="24"/>
    </w:rPr>
  </w:style>
  <w:style w:type="character" w:customStyle="1" w:styleId="173">
    <w:name w:val="Heading 6 Char"/>
    <w:qFormat/>
    <w:uiPriority w:val="9"/>
    <w:rPr>
      <w:rFonts w:ascii="Arial" w:hAnsi="Arial" w:eastAsia="Arial" w:cs="Arial"/>
      <w:b/>
      <w:bCs/>
      <w:sz w:val="22"/>
      <w:szCs w:val="22"/>
    </w:rPr>
  </w:style>
  <w:style w:type="character" w:customStyle="1" w:styleId="174">
    <w:name w:val="Heading 7 Char"/>
    <w:qFormat/>
    <w:uiPriority w:val="9"/>
    <w:rPr>
      <w:rFonts w:ascii="Arial" w:hAnsi="Arial" w:eastAsia="Arial" w:cs="Arial"/>
      <w:b/>
      <w:bCs/>
      <w:i/>
      <w:iCs/>
      <w:sz w:val="22"/>
      <w:szCs w:val="22"/>
    </w:rPr>
  </w:style>
  <w:style w:type="character" w:customStyle="1" w:styleId="175">
    <w:name w:val="Heading 8 Char"/>
    <w:qFormat/>
    <w:uiPriority w:val="9"/>
    <w:rPr>
      <w:rFonts w:ascii="Arial" w:hAnsi="Arial" w:eastAsia="Arial" w:cs="Arial"/>
      <w:i/>
      <w:iCs/>
      <w:sz w:val="22"/>
      <w:szCs w:val="22"/>
    </w:rPr>
  </w:style>
  <w:style w:type="character" w:customStyle="1" w:styleId="176">
    <w:name w:val="Heading 9 Char"/>
    <w:qFormat/>
    <w:uiPriority w:val="9"/>
    <w:rPr>
      <w:rFonts w:ascii="Arial" w:hAnsi="Arial" w:eastAsia="Arial" w:cs="Arial"/>
      <w:i/>
      <w:iCs/>
      <w:sz w:val="21"/>
      <w:szCs w:val="21"/>
    </w:rPr>
  </w:style>
  <w:style w:type="paragraph" w:styleId="177">
    <w:name w:val="No Spacing"/>
    <w:qFormat/>
    <w:uiPriority w:val="1"/>
    <w:rPr>
      <w:rFonts w:hint="default" w:ascii="Calibri" w:hAnsi="Calibri" w:eastAsia="宋体" w:cs="Times New Roman"/>
      <w:lang w:val="en-US" w:eastAsia="zh-CN" w:bidi="ar-SA"/>
    </w:rPr>
  </w:style>
  <w:style w:type="character" w:customStyle="1" w:styleId="178">
    <w:name w:val="Title Char"/>
    <w:qFormat/>
    <w:uiPriority w:val="10"/>
    <w:rPr>
      <w:sz w:val="48"/>
      <w:szCs w:val="48"/>
    </w:rPr>
  </w:style>
  <w:style w:type="character" w:customStyle="1" w:styleId="179">
    <w:name w:val="Subtitle Char"/>
    <w:qFormat/>
    <w:uiPriority w:val="11"/>
    <w:rPr>
      <w:sz w:val="24"/>
      <w:szCs w:val="24"/>
    </w:rPr>
  </w:style>
  <w:style w:type="paragraph" w:styleId="180">
    <w:name w:val="Quote"/>
    <w:basedOn w:val="1"/>
    <w:next w:val="1"/>
    <w:link w:val="181"/>
    <w:qFormat/>
    <w:uiPriority w:val="29"/>
    <w:pPr>
      <w:ind w:left="720" w:right="720"/>
    </w:pPr>
    <w:rPr>
      <w:rFonts w:ascii="Times New Roman" w:hAnsi="Times New Roman" w:eastAsia="宋体"/>
      <w:i/>
      <w:szCs w:val="21"/>
    </w:rPr>
  </w:style>
  <w:style w:type="character" w:customStyle="1" w:styleId="181">
    <w:name w:val="引用 字符"/>
    <w:basedOn w:val="48"/>
    <w:link w:val="180"/>
    <w:qFormat/>
    <w:uiPriority w:val="29"/>
    <w:rPr>
      <w:rFonts w:ascii="Times New Roman" w:hAnsi="Times New Roman" w:eastAsia="宋体" w:cs="Times New Roman"/>
      <w:i/>
      <w:sz w:val="21"/>
      <w:szCs w:val="21"/>
    </w:rPr>
  </w:style>
  <w:style w:type="character" w:customStyle="1" w:styleId="182">
    <w:name w:val="Quote Char"/>
    <w:qFormat/>
    <w:uiPriority w:val="29"/>
    <w:rPr>
      <w:i/>
    </w:rPr>
  </w:style>
  <w:style w:type="paragraph" w:styleId="183">
    <w:name w:val="Intense Quote"/>
    <w:basedOn w:val="1"/>
    <w:next w:val="1"/>
    <w:link w:val="1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184">
    <w:name w:val="明显引用 字符"/>
    <w:basedOn w:val="48"/>
    <w:link w:val="183"/>
    <w:qFormat/>
    <w:uiPriority w:val="30"/>
    <w:rPr>
      <w:rFonts w:ascii="Times New Roman" w:hAnsi="Times New Roman" w:eastAsia="宋体" w:cs="Times New Roman"/>
      <w:i/>
      <w:sz w:val="21"/>
      <w:szCs w:val="21"/>
      <w:shd w:val="clear" w:color="auto" w:fill="F2F2F2"/>
    </w:rPr>
  </w:style>
  <w:style w:type="character" w:customStyle="1" w:styleId="185">
    <w:name w:val="Intense Quote Char"/>
    <w:qFormat/>
    <w:uiPriority w:val="30"/>
    <w:rPr>
      <w:i/>
    </w:rPr>
  </w:style>
  <w:style w:type="character" w:customStyle="1" w:styleId="186">
    <w:name w:val="Header Char"/>
    <w:qFormat/>
    <w:uiPriority w:val="99"/>
  </w:style>
  <w:style w:type="character" w:customStyle="1" w:styleId="187">
    <w:name w:val="Footer Char"/>
    <w:qFormat/>
    <w:uiPriority w:val="99"/>
  </w:style>
  <w:style w:type="character" w:customStyle="1" w:styleId="188">
    <w:name w:val="Caption Char"/>
    <w:qFormat/>
    <w:uiPriority w:val="99"/>
  </w:style>
  <w:style w:type="character" w:customStyle="1" w:styleId="189">
    <w:name w:val="Footnote Text Char"/>
    <w:qFormat/>
    <w:uiPriority w:val="99"/>
    <w:rPr>
      <w:sz w:val="18"/>
    </w:rPr>
  </w:style>
  <w:style w:type="character" w:customStyle="1" w:styleId="190">
    <w:name w:val="Endnote Text Char"/>
    <w:qFormat/>
    <w:uiPriority w:val="99"/>
    <w:rPr>
      <w:sz w:val="20"/>
    </w:rPr>
  </w:style>
  <w:style w:type="paragraph" w:customStyle="1" w:styleId="191">
    <w:name w:val="目录 71"/>
    <w:basedOn w:val="1"/>
    <w:next w:val="1"/>
    <w:unhideWhenUsed/>
    <w:qFormat/>
    <w:uiPriority w:val="39"/>
    <w:pPr>
      <w:spacing w:after="57"/>
      <w:ind w:left="1701"/>
    </w:pPr>
    <w:rPr>
      <w:rFonts w:ascii="Times New Roman" w:hAnsi="Times New Roman" w:eastAsia="宋体"/>
      <w:szCs w:val="21"/>
    </w:rPr>
  </w:style>
  <w:style w:type="paragraph" w:customStyle="1" w:styleId="192">
    <w:name w:val="目录 51"/>
    <w:basedOn w:val="1"/>
    <w:next w:val="1"/>
    <w:unhideWhenUsed/>
    <w:qFormat/>
    <w:uiPriority w:val="39"/>
    <w:pPr>
      <w:spacing w:after="57"/>
      <w:ind w:left="1134"/>
    </w:pPr>
    <w:rPr>
      <w:rFonts w:ascii="Times New Roman" w:hAnsi="Times New Roman" w:eastAsia="宋体"/>
      <w:szCs w:val="21"/>
    </w:rPr>
  </w:style>
  <w:style w:type="paragraph" w:customStyle="1" w:styleId="193">
    <w:name w:val="目录 31"/>
    <w:basedOn w:val="1"/>
    <w:next w:val="1"/>
    <w:unhideWhenUsed/>
    <w:qFormat/>
    <w:uiPriority w:val="39"/>
    <w:pPr>
      <w:spacing w:after="57"/>
      <w:ind w:left="567"/>
    </w:pPr>
    <w:rPr>
      <w:rFonts w:ascii="Times New Roman" w:hAnsi="Times New Roman" w:eastAsia="宋体"/>
      <w:szCs w:val="21"/>
    </w:rPr>
  </w:style>
  <w:style w:type="paragraph" w:customStyle="1" w:styleId="194">
    <w:name w:val="目录 81"/>
    <w:basedOn w:val="1"/>
    <w:next w:val="1"/>
    <w:unhideWhenUsed/>
    <w:qFormat/>
    <w:uiPriority w:val="39"/>
    <w:pPr>
      <w:spacing w:after="57"/>
      <w:ind w:left="1984"/>
    </w:pPr>
    <w:rPr>
      <w:rFonts w:ascii="Times New Roman" w:hAnsi="Times New Roman" w:eastAsia="宋体"/>
      <w:szCs w:val="21"/>
    </w:rPr>
  </w:style>
  <w:style w:type="character" w:customStyle="1" w:styleId="195">
    <w:name w:val="页脚 字符1"/>
    <w:qFormat/>
    <w:uiPriority w:val="99"/>
  </w:style>
  <w:style w:type="paragraph" w:customStyle="1" w:styleId="196">
    <w:name w:val="目录 11"/>
    <w:basedOn w:val="1"/>
    <w:next w:val="1"/>
    <w:unhideWhenUsed/>
    <w:qFormat/>
    <w:uiPriority w:val="39"/>
    <w:pPr>
      <w:spacing w:after="57"/>
    </w:pPr>
    <w:rPr>
      <w:rFonts w:ascii="Times New Roman" w:hAnsi="Times New Roman" w:eastAsia="宋体"/>
      <w:szCs w:val="21"/>
    </w:rPr>
  </w:style>
  <w:style w:type="paragraph" w:customStyle="1" w:styleId="197">
    <w:name w:val="目录 41"/>
    <w:basedOn w:val="1"/>
    <w:next w:val="1"/>
    <w:unhideWhenUsed/>
    <w:qFormat/>
    <w:uiPriority w:val="39"/>
    <w:pPr>
      <w:spacing w:after="57"/>
      <w:ind w:left="850"/>
    </w:pPr>
    <w:rPr>
      <w:rFonts w:ascii="Times New Roman" w:hAnsi="Times New Roman" w:eastAsia="宋体"/>
      <w:szCs w:val="21"/>
    </w:rPr>
  </w:style>
  <w:style w:type="paragraph" w:customStyle="1" w:styleId="198">
    <w:name w:val="目录 61"/>
    <w:basedOn w:val="1"/>
    <w:next w:val="1"/>
    <w:unhideWhenUsed/>
    <w:qFormat/>
    <w:uiPriority w:val="39"/>
    <w:pPr>
      <w:spacing w:after="57"/>
      <w:ind w:left="1417"/>
    </w:pPr>
    <w:rPr>
      <w:rFonts w:ascii="Times New Roman" w:hAnsi="Times New Roman" w:eastAsia="宋体"/>
      <w:szCs w:val="21"/>
    </w:rPr>
  </w:style>
  <w:style w:type="paragraph" w:customStyle="1" w:styleId="199">
    <w:name w:val="目录 21"/>
    <w:basedOn w:val="1"/>
    <w:next w:val="1"/>
    <w:unhideWhenUsed/>
    <w:qFormat/>
    <w:uiPriority w:val="39"/>
    <w:pPr>
      <w:spacing w:after="57"/>
      <w:ind w:left="283"/>
    </w:pPr>
    <w:rPr>
      <w:rFonts w:ascii="Times New Roman" w:hAnsi="Times New Roman" w:eastAsia="宋体"/>
      <w:szCs w:val="21"/>
    </w:rPr>
  </w:style>
  <w:style w:type="paragraph" w:customStyle="1" w:styleId="200">
    <w:name w:val="目录 91"/>
    <w:basedOn w:val="1"/>
    <w:next w:val="1"/>
    <w:unhideWhenUsed/>
    <w:qFormat/>
    <w:uiPriority w:val="39"/>
    <w:pPr>
      <w:spacing w:after="57"/>
      <w:ind w:left="2268"/>
    </w:pPr>
    <w:rPr>
      <w:rFonts w:ascii="Times New Roman" w:hAnsi="Times New Roman" w:eastAsia="宋体"/>
      <w:szCs w:val="21"/>
    </w:rPr>
  </w:style>
  <w:style w:type="character" w:customStyle="1" w:styleId="201">
    <w:name w:val="font5 Char"/>
    <w:qFormat/>
    <w:uiPriority w:val="0"/>
    <w:rPr>
      <w:rFonts w:ascii="宋体" w:hAnsi="宋体" w:eastAsia="宋体"/>
      <w:sz w:val="28"/>
      <w:szCs w:val="28"/>
      <w:lang w:val="en-US" w:eastAsia="zh-CN" w:bidi="ar-SA"/>
    </w:rPr>
  </w:style>
  <w:style w:type="paragraph" w:customStyle="1" w:styleId="202">
    <w:name w:val="列出段落2"/>
    <w:basedOn w:val="1"/>
    <w:qFormat/>
    <w:uiPriority w:val="34"/>
    <w:pPr>
      <w:ind w:left="720"/>
      <w:contextualSpacing/>
    </w:pPr>
    <w:rPr>
      <w:rFonts w:ascii="Times New Roman" w:hAnsi="Times New Roman" w:eastAsia="宋体"/>
      <w:szCs w:val="21"/>
    </w:rPr>
  </w:style>
  <w:style w:type="table" w:customStyle="1" w:styleId="203">
    <w:name w:val="Table Grid Light"/>
    <w:qFormat/>
    <w:uiPriority w:val="59"/>
    <w:rPr>
      <w:rFonts w:ascii="Calibri" w:hAnsi="Calibri"/>
    </w:rPr>
    <w:tblPr>
      <w:tblCellMar>
        <w:top w:w="0" w:type="dxa"/>
        <w:left w:w="0" w:type="dxa"/>
        <w:bottom w:w="0" w:type="dxa"/>
        <w:right w:w="0" w:type="dxa"/>
      </w:tblCellMar>
    </w:tblPr>
  </w:style>
  <w:style w:type="table" w:customStyle="1" w:styleId="204">
    <w:name w:val="Plain Table 1"/>
    <w:qFormat/>
    <w:uiPriority w:val="59"/>
    <w:rPr>
      <w:rFonts w:ascii="Calibri" w:hAnsi="Calibri"/>
    </w:rPr>
    <w:tblPr>
      <w:tblCellMar>
        <w:top w:w="0" w:type="dxa"/>
        <w:left w:w="0" w:type="dxa"/>
        <w:bottom w:w="0" w:type="dxa"/>
        <w:right w:w="0" w:type="dxa"/>
      </w:tblCellMar>
    </w:tblPr>
  </w:style>
  <w:style w:type="table" w:customStyle="1" w:styleId="205">
    <w:name w:val="Plain Table 2"/>
    <w:qFormat/>
    <w:uiPriority w:val="59"/>
    <w:rPr>
      <w:rFonts w:ascii="Calibri" w:hAnsi="Calibri"/>
    </w:rPr>
    <w:tblPr>
      <w:tblCellMar>
        <w:top w:w="0" w:type="dxa"/>
        <w:left w:w="0" w:type="dxa"/>
        <w:bottom w:w="0" w:type="dxa"/>
        <w:right w:w="0" w:type="dxa"/>
      </w:tblCellMar>
    </w:tblPr>
  </w:style>
  <w:style w:type="table" w:customStyle="1" w:styleId="206">
    <w:name w:val="Plain Table 3"/>
    <w:qFormat/>
    <w:uiPriority w:val="99"/>
    <w:rPr>
      <w:rFonts w:ascii="Calibri" w:hAnsi="Calibri"/>
    </w:rPr>
    <w:tblPr>
      <w:tblCellMar>
        <w:top w:w="0" w:type="dxa"/>
        <w:left w:w="0" w:type="dxa"/>
        <w:bottom w:w="0" w:type="dxa"/>
        <w:right w:w="0" w:type="dxa"/>
      </w:tblCellMar>
    </w:tblPr>
  </w:style>
  <w:style w:type="table" w:customStyle="1" w:styleId="207">
    <w:name w:val="Plain Table 4"/>
    <w:qFormat/>
    <w:uiPriority w:val="99"/>
    <w:rPr>
      <w:rFonts w:ascii="Calibri" w:hAnsi="Calibri"/>
    </w:rPr>
    <w:tblPr>
      <w:tblCellMar>
        <w:top w:w="0" w:type="dxa"/>
        <w:left w:w="0" w:type="dxa"/>
        <w:bottom w:w="0" w:type="dxa"/>
        <w:right w:w="0" w:type="dxa"/>
      </w:tblCellMar>
    </w:tblPr>
  </w:style>
  <w:style w:type="table" w:customStyle="1" w:styleId="208">
    <w:name w:val="Plain Table 5"/>
    <w:qFormat/>
    <w:uiPriority w:val="99"/>
    <w:rPr>
      <w:rFonts w:ascii="Calibri" w:hAnsi="Calibri"/>
    </w:rPr>
    <w:tblPr>
      <w:tblCellMar>
        <w:top w:w="0" w:type="dxa"/>
        <w:left w:w="0" w:type="dxa"/>
        <w:bottom w:w="0" w:type="dxa"/>
        <w:right w:w="0" w:type="dxa"/>
      </w:tblCellMar>
    </w:tblPr>
  </w:style>
  <w:style w:type="table" w:customStyle="1" w:styleId="209">
    <w:name w:val="Grid Table 1 Light"/>
    <w:qFormat/>
    <w:uiPriority w:val="99"/>
    <w:rPr>
      <w:rFonts w:ascii="Calibri" w:hAnsi="Calibri"/>
    </w:rPr>
    <w:tblPr>
      <w:tblCellMar>
        <w:top w:w="0" w:type="dxa"/>
        <w:left w:w="0" w:type="dxa"/>
        <w:bottom w:w="0" w:type="dxa"/>
        <w:right w:w="0" w:type="dxa"/>
      </w:tblCellMar>
    </w:tblPr>
  </w:style>
  <w:style w:type="table" w:customStyle="1" w:styleId="210">
    <w:name w:val="Grid Table 1 Light - Accent 1"/>
    <w:qFormat/>
    <w:uiPriority w:val="99"/>
    <w:rPr>
      <w:rFonts w:ascii="Calibri" w:hAnsi="Calibri"/>
    </w:rPr>
    <w:tblPr>
      <w:tblCellMar>
        <w:top w:w="0" w:type="dxa"/>
        <w:left w:w="0" w:type="dxa"/>
        <w:bottom w:w="0" w:type="dxa"/>
        <w:right w:w="0" w:type="dxa"/>
      </w:tblCellMar>
    </w:tblPr>
  </w:style>
  <w:style w:type="table" w:customStyle="1" w:styleId="211">
    <w:name w:val="Grid Table 1 Light - Accent 2"/>
    <w:qFormat/>
    <w:uiPriority w:val="99"/>
    <w:rPr>
      <w:rFonts w:ascii="Calibri" w:hAnsi="Calibri"/>
    </w:rPr>
    <w:tblPr>
      <w:tblCellMar>
        <w:top w:w="0" w:type="dxa"/>
        <w:left w:w="0" w:type="dxa"/>
        <w:bottom w:w="0" w:type="dxa"/>
        <w:right w:w="0" w:type="dxa"/>
      </w:tblCellMar>
    </w:tblPr>
  </w:style>
  <w:style w:type="table" w:customStyle="1" w:styleId="212">
    <w:name w:val="Grid Table 1 Light - Accent 3"/>
    <w:qFormat/>
    <w:uiPriority w:val="99"/>
    <w:rPr>
      <w:rFonts w:ascii="Calibri" w:hAnsi="Calibri"/>
    </w:rPr>
    <w:tblPr>
      <w:tblCellMar>
        <w:top w:w="0" w:type="dxa"/>
        <w:left w:w="0" w:type="dxa"/>
        <w:bottom w:w="0" w:type="dxa"/>
        <w:right w:w="0" w:type="dxa"/>
      </w:tblCellMar>
    </w:tblPr>
  </w:style>
  <w:style w:type="table" w:customStyle="1" w:styleId="213">
    <w:name w:val="Grid Table 1 Light - Accent 4"/>
    <w:qFormat/>
    <w:uiPriority w:val="99"/>
    <w:rPr>
      <w:rFonts w:ascii="Calibri" w:hAnsi="Calibri"/>
    </w:rPr>
    <w:tblPr>
      <w:tblCellMar>
        <w:top w:w="0" w:type="dxa"/>
        <w:left w:w="0" w:type="dxa"/>
        <w:bottom w:w="0" w:type="dxa"/>
        <w:right w:w="0" w:type="dxa"/>
      </w:tblCellMar>
    </w:tblPr>
  </w:style>
  <w:style w:type="table" w:customStyle="1" w:styleId="214">
    <w:name w:val="Grid Table 1 Light - Accent 5"/>
    <w:qFormat/>
    <w:uiPriority w:val="99"/>
    <w:rPr>
      <w:rFonts w:ascii="Calibri" w:hAnsi="Calibri"/>
    </w:rPr>
    <w:tblPr>
      <w:tblCellMar>
        <w:top w:w="0" w:type="dxa"/>
        <w:left w:w="0" w:type="dxa"/>
        <w:bottom w:w="0" w:type="dxa"/>
        <w:right w:w="0" w:type="dxa"/>
      </w:tblCellMar>
    </w:tblPr>
  </w:style>
  <w:style w:type="table" w:customStyle="1" w:styleId="215">
    <w:name w:val="Grid Table 1 Light - Accent 6"/>
    <w:qFormat/>
    <w:uiPriority w:val="99"/>
    <w:rPr>
      <w:rFonts w:ascii="Calibri" w:hAnsi="Calibri"/>
    </w:rPr>
    <w:tblPr>
      <w:tblCellMar>
        <w:top w:w="0" w:type="dxa"/>
        <w:left w:w="0" w:type="dxa"/>
        <w:bottom w:w="0" w:type="dxa"/>
        <w:right w:w="0" w:type="dxa"/>
      </w:tblCellMar>
    </w:tblPr>
  </w:style>
  <w:style w:type="table" w:customStyle="1" w:styleId="216">
    <w:name w:val="Grid Table 2"/>
    <w:qFormat/>
    <w:uiPriority w:val="99"/>
    <w:rPr>
      <w:rFonts w:ascii="Calibri" w:hAnsi="Calibri"/>
    </w:rPr>
    <w:tblPr>
      <w:tblCellMar>
        <w:top w:w="0" w:type="dxa"/>
        <w:left w:w="0" w:type="dxa"/>
        <w:bottom w:w="0" w:type="dxa"/>
        <w:right w:w="0" w:type="dxa"/>
      </w:tblCellMar>
    </w:tblPr>
  </w:style>
  <w:style w:type="table" w:customStyle="1" w:styleId="217">
    <w:name w:val="Grid Table 2 - Accent 1"/>
    <w:qFormat/>
    <w:uiPriority w:val="99"/>
    <w:rPr>
      <w:rFonts w:ascii="Calibri" w:hAnsi="Calibri"/>
    </w:rPr>
    <w:tblPr>
      <w:tblCellMar>
        <w:top w:w="0" w:type="dxa"/>
        <w:left w:w="0" w:type="dxa"/>
        <w:bottom w:w="0" w:type="dxa"/>
        <w:right w:w="0" w:type="dxa"/>
      </w:tblCellMar>
    </w:tblPr>
  </w:style>
  <w:style w:type="table" w:customStyle="1" w:styleId="218">
    <w:name w:val="Grid Table 2 - Accent 2"/>
    <w:qFormat/>
    <w:uiPriority w:val="99"/>
    <w:rPr>
      <w:rFonts w:ascii="Calibri" w:hAnsi="Calibri"/>
    </w:rPr>
    <w:tblPr>
      <w:tblCellMar>
        <w:top w:w="0" w:type="dxa"/>
        <w:left w:w="0" w:type="dxa"/>
        <w:bottom w:w="0" w:type="dxa"/>
        <w:right w:w="0" w:type="dxa"/>
      </w:tblCellMar>
    </w:tblPr>
  </w:style>
  <w:style w:type="table" w:customStyle="1" w:styleId="219">
    <w:name w:val="Grid Table 2 - Accent 3"/>
    <w:qFormat/>
    <w:uiPriority w:val="99"/>
    <w:rPr>
      <w:rFonts w:ascii="Calibri" w:hAnsi="Calibri"/>
    </w:rPr>
    <w:tblPr>
      <w:tblCellMar>
        <w:top w:w="0" w:type="dxa"/>
        <w:left w:w="0" w:type="dxa"/>
        <w:bottom w:w="0" w:type="dxa"/>
        <w:right w:w="0" w:type="dxa"/>
      </w:tblCellMar>
    </w:tblPr>
  </w:style>
  <w:style w:type="table" w:customStyle="1" w:styleId="220">
    <w:name w:val="Grid Table 2 - Accent 4"/>
    <w:qFormat/>
    <w:uiPriority w:val="99"/>
    <w:rPr>
      <w:rFonts w:ascii="Calibri" w:hAnsi="Calibri"/>
    </w:rPr>
    <w:tblPr>
      <w:tblCellMar>
        <w:top w:w="0" w:type="dxa"/>
        <w:left w:w="0" w:type="dxa"/>
        <w:bottom w:w="0" w:type="dxa"/>
        <w:right w:w="0" w:type="dxa"/>
      </w:tblCellMar>
    </w:tblPr>
  </w:style>
  <w:style w:type="table" w:customStyle="1" w:styleId="221">
    <w:name w:val="Grid Table 2 - Accent 5"/>
    <w:qFormat/>
    <w:uiPriority w:val="99"/>
    <w:rPr>
      <w:rFonts w:ascii="Calibri" w:hAnsi="Calibri"/>
    </w:rPr>
    <w:tblPr>
      <w:tblCellMar>
        <w:top w:w="0" w:type="dxa"/>
        <w:left w:w="0" w:type="dxa"/>
        <w:bottom w:w="0" w:type="dxa"/>
        <w:right w:w="0" w:type="dxa"/>
      </w:tblCellMar>
    </w:tblPr>
  </w:style>
  <w:style w:type="table" w:customStyle="1" w:styleId="222">
    <w:name w:val="Grid Table 2 - Accent 6"/>
    <w:qFormat/>
    <w:uiPriority w:val="99"/>
    <w:rPr>
      <w:rFonts w:ascii="Calibri" w:hAnsi="Calibri"/>
    </w:rPr>
    <w:tblPr>
      <w:tblCellMar>
        <w:top w:w="0" w:type="dxa"/>
        <w:left w:w="0" w:type="dxa"/>
        <w:bottom w:w="0" w:type="dxa"/>
        <w:right w:w="0" w:type="dxa"/>
      </w:tblCellMar>
    </w:tblPr>
  </w:style>
  <w:style w:type="table" w:customStyle="1" w:styleId="223">
    <w:name w:val="Grid Table 3"/>
    <w:qFormat/>
    <w:uiPriority w:val="99"/>
    <w:rPr>
      <w:rFonts w:ascii="Calibri" w:hAnsi="Calibri"/>
    </w:rPr>
    <w:tblPr>
      <w:tblCellMar>
        <w:top w:w="0" w:type="dxa"/>
        <w:left w:w="0" w:type="dxa"/>
        <w:bottom w:w="0" w:type="dxa"/>
        <w:right w:w="0" w:type="dxa"/>
      </w:tblCellMar>
    </w:tblPr>
  </w:style>
  <w:style w:type="table" w:customStyle="1" w:styleId="224">
    <w:name w:val="Grid Table 3 - Accent 1"/>
    <w:qFormat/>
    <w:uiPriority w:val="99"/>
    <w:rPr>
      <w:rFonts w:ascii="Calibri" w:hAnsi="Calibri"/>
    </w:rPr>
    <w:tblPr>
      <w:tblCellMar>
        <w:top w:w="0" w:type="dxa"/>
        <w:left w:w="0" w:type="dxa"/>
        <w:bottom w:w="0" w:type="dxa"/>
        <w:right w:w="0" w:type="dxa"/>
      </w:tblCellMar>
    </w:tblPr>
  </w:style>
  <w:style w:type="table" w:customStyle="1" w:styleId="225">
    <w:name w:val="Grid Table 3 - Accent 2"/>
    <w:qFormat/>
    <w:uiPriority w:val="99"/>
    <w:rPr>
      <w:rFonts w:ascii="Calibri" w:hAnsi="Calibri"/>
    </w:rPr>
    <w:tblPr>
      <w:tblCellMar>
        <w:top w:w="0" w:type="dxa"/>
        <w:left w:w="0" w:type="dxa"/>
        <w:bottom w:w="0" w:type="dxa"/>
        <w:right w:w="0" w:type="dxa"/>
      </w:tblCellMar>
    </w:tblPr>
  </w:style>
  <w:style w:type="table" w:customStyle="1" w:styleId="226">
    <w:name w:val="Grid Table 3 - Accent 3"/>
    <w:qFormat/>
    <w:uiPriority w:val="99"/>
    <w:rPr>
      <w:rFonts w:ascii="Calibri" w:hAnsi="Calibri"/>
    </w:rPr>
    <w:tblPr>
      <w:tblCellMar>
        <w:top w:w="0" w:type="dxa"/>
        <w:left w:w="0" w:type="dxa"/>
        <w:bottom w:w="0" w:type="dxa"/>
        <w:right w:w="0" w:type="dxa"/>
      </w:tblCellMar>
    </w:tblPr>
  </w:style>
  <w:style w:type="table" w:customStyle="1" w:styleId="227">
    <w:name w:val="Grid Table 3 - Accent 4"/>
    <w:qFormat/>
    <w:uiPriority w:val="99"/>
    <w:rPr>
      <w:rFonts w:ascii="Calibri" w:hAnsi="Calibri"/>
    </w:rPr>
    <w:tblPr>
      <w:tblCellMar>
        <w:top w:w="0" w:type="dxa"/>
        <w:left w:w="0" w:type="dxa"/>
        <w:bottom w:w="0" w:type="dxa"/>
        <w:right w:w="0" w:type="dxa"/>
      </w:tblCellMar>
    </w:tblPr>
  </w:style>
  <w:style w:type="table" w:customStyle="1" w:styleId="228">
    <w:name w:val="Grid Table 3 - Accent 5"/>
    <w:qFormat/>
    <w:uiPriority w:val="99"/>
    <w:rPr>
      <w:rFonts w:ascii="Calibri" w:hAnsi="Calibri"/>
    </w:rPr>
    <w:tblPr>
      <w:tblCellMar>
        <w:top w:w="0" w:type="dxa"/>
        <w:left w:w="0" w:type="dxa"/>
        <w:bottom w:w="0" w:type="dxa"/>
        <w:right w:w="0" w:type="dxa"/>
      </w:tblCellMar>
    </w:tblPr>
  </w:style>
  <w:style w:type="table" w:customStyle="1" w:styleId="229">
    <w:name w:val="Grid Table 3 - Accent 6"/>
    <w:qFormat/>
    <w:uiPriority w:val="99"/>
    <w:rPr>
      <w:rFonts w:ascii="Calibri" w:hAnsi="Calibri"/>
    </w:rPr>
    <w:tblPr>
      <w:tblCellMar>
        <w:top w:w="0" w:type="dxa"/>
        <w:left w:w="0" w:type="dxa"/>
        <w:bottom w:w="0" w:type="dxa"/>
        <w:right w:w="0" w:type="dxa"/>
      </w:tblCellMar>
    </w:tblPr>
  </w:style>
  <w:style w:type="table" w:customStyle="1" w:styleId="230">
    <w:name w:val="Grid Table 4"/>
    <w:qFormat/>
    <w:uiPriority w:val="59"/>
    <w:rPr>
      <w:rFonts w:ascii="Calibri" w:hAnsi="Calibri"/>
    </w:rPr>
    <w:tblPr>
      <w:tblCellMar>
        <w:top w:w="0" w:type="dxa"/>
        <w:left w:w="0" w:type="dxa"/>
        <w:bottom w:w="0" w:type="dxa"/>
        <w:right w:w="0" w:type="dxa"/>
      </w:tblCellMar>
    </w:tblPr>
  </w:style>
  <w:style w:type="table" w:customStyle="1" w:styleId="231">
    <w:name w:val="Grid Table 4 - Accent 1"/>
    <w:qFormat/>
    <w:uiPriority w:val="59"/>
    <w:rPr>
      <w:rFonts w:ascii="Calibri" w:hAnsi="Calibri"/>
    </w:rPr>
    <w:tblPr>
      <w:tblCellMar>
        <w:top w:w="0" w:type="dxa"/>
        <w:left w:w="0" w:type="dxa"/>
        <w:bottom w:w="0" w:type="dxa"/>
        <w:right w:w="0" w:type="dxa"/>
      </w:tblCellMar>
    </w:tblPr>
  </w:style>
  <w:style w:type="table" w:customStyle="1" w:styleId="232">
    <w:name w:val="Grid Table 4 - Accent 2"/>
    <w:qFormat/>
    <w:uiPriority w:val="59"/>
    <w:rPr>
      <w:rFonts w:ascii="Calibri" w:hAnsi="Calibri"/>
    </w:rPr>
    <w:tblPr>
      <w:tblCellMar>
        <w:top w:w="0" w:type="dxa"/>
        <w:left w:w="0" w:type="dxa"/>
        <w:bottom w:w="0" w:type="dxa"/>
        <w:right w:w="0" w:type="dxa"/>
      </w:tblCellMar>
    </w:tblPr>
  </w:style>
  <w:style w:type="table" w:customStyle="1" w:styleId="233">
    <w:name w:val="Grid Table 4 - Accent 3"/>
    <w:qFormat/>
    <w:uiPriority w:val="59"/>
    <w:rPr>
      <w:rFonts w:ascii="Calibri" w:hAnsi="Calibri"/>
    </w:rPr>
    <w:tblPr>
      <w:tblCellMar>
        <w:top w:w="0" w:type="dxa"/>
        <w:left w:w="0" w:type="dxa"/>
        <w:bottom w:w="0" w:type="dxa"/>
        <w:right w:w="0" w:type="dxa"/>
      </w:tblCellMar>
    </w:tblPr>
  </w:style>
  <w:style w:type="table" w:customStyle="1" w:styleId="234">
    <w:name w:val="Grid Table 4 - Accent 4"/>
    <w:qFormat/>
    <w:uiPriority w:val="59"/>
    <w:rPr>
      <w:rFonts w:ascii="Calibri" w:hAnsi="Calibri"/>
    </w:rPr>
    <w:tblPr>
      <w:tblCellMar>
        <w:top w:w="0" w:type="dxa"/>
        <w:left w:w="0" w:type="dxa"/>
        <w:bottom w:w="0" w:type="dxa"/>
        <w:right w:w="0" w:type="dxa"/>
      </w:tblCellMar>
    </w:tblPr>
  </w:style>
  <w:style w:type="table" w:customStyle="1" w:styleId="235">
    <w:name w:val="Grid Table 4 - Accent 5"/>
    <w:qFormat/>
    <w:uiPriority w:val="59"/>
    <w:rPr>
      <w:rFonts w:ascii="Calibri" w:hAnsi="Calibri"/>
    </w:rPr>
    <w:tblPr>
      <w:tblCellMar>
        <w:top w:w="0" w:type="dxa"/>
        <w:left w:w="0" w:type="dxa"/>
        <w:bottom w:w="0" w:type="dxa"/>
        <w:right w:w="0" w:type="dxa"/>
      </w:tblCellMar>
    </w:tblPr>
  </w:style>
  <w:style w:type="table" w:customStyle="1" w:styleId="236">
    <w:name w:val="Grid Table 4 - Accent 6"/>
    <w:qFormat/>
    <w:uiPriority w:val="59"/>
    <w:rPr>
      <w:rFonts w:ascii="Calibri" w:hAnsi="Calibri"/>
    </w:rPr>
    <w:tblPr>
      <w:tblCellMar>
        <w:top w:w="0" w:type="dxa"/>
        <w:left w:w="0" w:type="dxa"/>
        <w:bottom w:w="0" w:type="dxa"/>
        <w:right w:w="0" w:type="dxa"/>
      </w:tblCellMar>
    </w:tblPr>
  </w:style>
  <w:style w:type="table" w:customStyle="1" w:styleId="237">
    <w:name w:val="Grid Table 5 Dark"/>
    <w:qFormat/>
    <w:uiPriority w:val="99"/>
    <w:rPr>
      <w:rFonts w:ascii="Calibri" w:hAnsi="Calibri"/>
    </w:rPr>
    <w:tblPr>
      <w:tblCellMar>
        <w:top w:w="0" w:type="dxa"/>
        <w:left w:w="0" w:type="dxa"/>
        <w:bottom w:w="0" w:type="dxa"/>
        <w:right w:w="0" w:type="dxa"/>
      </w:tblCellMar>
    </w:tblPr>
  </w:style>
  <w:style w:type="table" w:customStyle="1" w:styleId="238">
    <w:name w:val="Grid Table 5 Dark- Accent 1"/>
    <w:qFormat/>
    <w:uiPriority w:val="99"/>
    <w:rPr>
      <w:rFonts w:ascii="Calibri" w:hAnsi="Calibri"/>
    </w:rPr>
    <w:tblPr>
      <w:tblCellMar>
        <w:top w:w="0" w:type="dxa"/>
        <w:left w:w="0" w:type="dxa"/>
        <w:bottom w:w="0" w:type="dxa"/>
        <w:right w:w="0" w:type="dxa"/>
      </w:tblCellMar>
    </w:tblPr>
  </w:style>
  <w:style w:type="table" w:customStyle="1" w:styleId="239">
    <w:name w:val="Grid Table 5 Dark - Accent 2"/>
    <w:qFormat/>
    <w:uiPriority w:val="99"/>
    <w:rPr>
      <w:rFonts w:ascii="Calibri" w:hAnsi="Calibri"/>
    </w:rPr>
    <w:tblPr>
      <w:tblCellMar>
        <w:top w:w="0" w:type="dxa"/>
        <w:left w:w="0" w:type="dxa"/>
        <w:bottom w:w="0" w:type="dxa"/>
        <w:right w:w="0" w:type="dxa"/>
      </w:tblCellMar>
    </w:tblPr>
  </w:style>
  <w:style w:type="table" w:customStyle="1" w:styleId="240">
    <w:name w:val="Grid Table 5 Dark - Accent 3"/>
    <w:qFormat/>
    <w:uiPriority w:val="99"/>
    <w:rPr>
      <w:rFonts w:ascii="Calibri" w:hAnsi="Calibri"/>
    </w:rPr>
    <w:tblPr>
      <w:tblCellMar>
        <w:top w:w="0" w:type="dxa"/>
        <w:left w:w="0" w:type="dxa"/>
        <w:bottom w:w="0" w:type="dxa"/>
        <w:right w:w="0" w:type="dxa"/>
      </w:tblCellMar>
    </w:tblPr>
  </w:style>
  <w:style w:type="table" w:customStyle="1" w:styleId="241">
    <w:name w:val="Grid Table 5 Dark- Accent 4"/>
    <w:qFormat/>
    <w:uiPriority w:val="99"/>
    <w:rPr>
      <w:rFonts w:ascii="Calibri" w:hAnsi="Calibri"/>
    </w:rPr>
    <w:tblPr>
      <w:tblCellMar>
        <w:top w:w="0" w:type="dxa"/>
        <w:left w:w="0" w:type="dxa"/>
        <w:bottom w:w="0" w:type="dxa"/>
        <w:right w:w="0" w:type="dxa"/>
      </w:tblCellMar>
    </w:tblPr>
  </w:style>
  <w:style w:type="table" w:customStyle="1" w:styleId="242">
    <w:name w:val="Grid Table 5 Dark - Accent 5"/>
    <w:qFormat/>
    <w:uiPriority w:val="99"/>
    <w:rPr>
      <w:rFonts w:ascii="Calibri" w:hAnsi="Calibri"/>
    </w:rPr>
    <w:tblPr>
      <w:tblCellMar>
        <w:top w:w="0" w:type="dxa"/>
        <w:left w:w="0" w:type="dxa"/>
        <w:bottom w:w="0" w:type="dxa"/>
        <w:right w:w="0" w:type="dxa"/>
      </w:tblCellMar>
    </w:tblPr>
  </w:style>
  <w:style w:type="table" w:customStyle="1" w:styleId="243">
    <w:name w:val="Grid Table 5 Dark - Accent 6"/>
    <w:qFormat/>
    <w:uiPriority w:val="99"/>
    <w:rPr>
      <w:rFonts w:ascii="Calibri" w:hAnsi="Calibri"/>
    </w:rPr>
    <w:tblPr>
      <w:tblCellMar>
        <w:top w:w="0" w:type="dxa"/>
        <w:left w:w="0" w:type="dxa"/>
        <w:bottom w:w="0" w:type="dxa"/>
        <w:right w:w="0" w:type="dxa"/>
      </w:tblCellMar>
    </w:tblPr>
  </w:style>
  <w:style w:type="table" w:customStyle="1" w:styleId="244">
    <w:name w:val="Grid Table 6 Colorful"/>
    <w:qFormat/>
    <w:uiPriority w:val="99"/>
    <w:rPr>
      <w:rFonts w:ascii="Calibri" w:hAnsi="Calibri"/>
    </w:rPr>
    <w:tblPr>
      <w:tblCellMar>
        <w:top w:w="0" w:type="dxa"/>
        <w:left w:w="0" w:type="dxa"/>
        <w:bottom w:w="0" w:type="dxa"/>
        <w:right w:w="0" w:type="dxa"/>
      </w:tblCellMar>
    </w:tblPr>
  </w:style>
  <w:style w:type="table" w:customStyle="1" w:styleId="245">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46">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47">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48">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49">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50">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51">
    <w:name w:val="Grid Table 7 Colorful"/>
    <w:qFormat/>
    <w:uiPriority w:val="99"/>
    <w:rPr>
      <w:rFonts w:ascii="Calibri" w:hAnsi="Calibri"/>
    </w:rPr>
    <w:tblPr>
      <w:tblCellMar>
        <w:top w:w="0" w:type="dxa"/>
        <w:left w:w="0" w:type="dxa"/>
        <w:bottom w:w="0" w:type="dxa"/>
        <w:right w:w="0" w:type="dxa"/>
      </w:tblCellMar>
    </w:tblPr>
  </w:style>
  <w:style w:type="table" w:customStyle="1" w:styleId="252">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53">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54">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55">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56">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57">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58">
    <w:name w:val="List Table 1 Light"/>
    <w:qFormat/>
    <w:uiPriority w:val="99"/>
    <w:rPr>
      <w:rFonts w:ascii="Calibri" w:hAnsi="Calibri"/>
    </w:rPr>
    <w:tblPr>
      <w:tblCellMar>
        <w:top w:w="0" w:type="dxa"/>
        <w:left w:w="0" w:type="dxa"/>
        <w:bottom w:w="0" w:type="dxa"/>
        <w:right w:w="0" w:type="dxa"/>
      </w:tblCellMar>
    </w:tblPr>
  </w:style>
  <w:style w:type="table" w:customStyle="1" w:styleId="259">
    <w:name w:val="List Table 1 Light - Accent 1"/>
    <w:qFormat/>
    <w:uiPriority w:val="99"/>
    <w:rPr>
      <w:rFonts w:ascii="Calibri" w:hAnsi="Calibri"/>
    </w:rPr>
    <w:tblPr>
      <w:tblCellMar>
        <w:top w:w="0" w:type="dxa"/>
        <w:left w:w="0" w:type="dxa"/>
        <w:bottom w:w="0" w:type="dxa"/>
        <w:right w:w="0" w:type="dxa"/>
      </w:tblCellMar>
    </w:tblPr>
  </w:style>
  <w:style w:type="table" w:customStyle="1" w:styleId="260">
    <w:name w:val="List Table 1 Light - Accent 2"/>
    <w:qFormat/>
    <w:uiPriority w:val="99"/>
    <w:rPr>
      <w:rFonts w:ascii="Calibri" w:hAnsi="Calibri"/>
    </w:rPr>
    <w:tblPr>
      <w:tblCellMar>
        <w:top w:w="0" w:type="dxa"/>
        <w:left w:w="0" w:type="dxa"/>
        <w:bottom w:w="0" w:type="dxa"/>
        <w:right w:w="0" w:type="dxa"/>
      </w:tblCellMar>
    </w:tblPr>
  </w:style>
  <w:style w:type="table" w:customStyle="1" w:styleId="261">
    <w:name w:val="List Table 1 Light - Accent 3"/>
    <w:qFormat/>
    <w:uiPriority w:val="99"/>
    <w:rPr>
      <w:rFonts w:ascii="Calibri" w:hAnsi="Calibri"/>
    </w:rPr>
    <w:tblPr>
      <w:tblCellMar>
        <w:top w:w="0" w:type="dxa"/>
        <w:left w:w="0" w:type="dxa"/>
        <w:bottom w:w="0" w:type="dxa"/>
        <w:right w:w="0" w:type="dxa"/>
      </w:tblCellMar>
    </w:tblPr>
  </w:style>
  <w:style w:type="table" w:customStyle="1" w:styleId="262">
    <w:name w:val="List Table 1 Light - Accent 4"/>
    <w:qFormat/>
    <w:uiPriority w:val="99"/>
    <w:rPr>
      <w:rFonts w:ascii="Calibri" w:hAnsi="Calibri"/>
    </w:rPr>
    <w:tblPr>
      <w:tblCellMar>
        <w:top w:w="0" w:type="dxa"/>
        <w:left w:w="0" w:type="dxa"/>
        <w:bottom w:w="0" w:type="dxa"/>
        <w:right w:w="0" w:type="dxa"/>
      </w:tblCellMar>
    </w:tblPr>
  </w:style>
  <w:style w:type="table" w:customStyle="1" w:styleId="263">
    <w:name w:val="List Table 1 Light - Accent 5"/>
    <w:qFormat/>
    <w:uiPriority w:val="99"/>
    <w:rPr>
      <w:rFonts w:ascii="Calibri" w:hAnsi="Calibri"/>
    </w:rPr>
    <w:tblPr>
      <w:tblCellMar>
        <w:top w:w="0" w:type="dxa"/>
        <w:left w:w="0" w:type="dxa"/>
        <w:bottom w:w="0" w:type="dxa"/>
        <w:right w:w="0" w:type="dxa"/>
      </w:tblCellMar>
    </w:tblPr>
  </w:style>
  <w:style w:type="table" w:customStyle="1" w:styleId="264">
    <w:name w:val="List Table 1 Light - Accent 6"/>
    <w:qFormat/>
    <w:uiPriority w:val="99"/>
    <w:rPr>
      <w:rFonts w:ascii="Calibri" w:hAnsi="Calibri"/>
    </w:rPr>
    <w:tblPr>
      <w:tblCellMar>
        <w:top w:w="0" w:type="dxa"/>
        <w:left w:w="0" w:type="dxa"/>
        <w:bottom w:w="0" w:type="dxa"/>
        <w:right w:w="0" w:type="dxa"/>
      </w:tblCellMar>
    </w:tblPr>
  </w:style>
  <w:style w:type="table" w:customStyle="1" w:styleId="265">
    <w:name w:val="List Table 2"/>
    <w:qFormat/>
    <w:uiPriority w:val="99"/>
    <w:rPr>
      <w:rFonts w:ascii="Calibri" w:hAnsi="Calibri"/>
    </w:rPr>
    <w:tblPr>
      <w:tblCellMar>
        <w:top w:w="0" w:type="dxa"/>
        <w:left w:w="0" w:type="dxa"/>
        <w:bottom w:w="0" w:type="dxa"/>
        <w:right w:w="0" w:type="dxa"/>
      </w:tblCellMar>
    </w:tblPr>
  </w:style>
  <w:style w:type="table" w:customStyle="1" w:styleId="266">
    <w:name w:val="List Table 2 - Accent 1"/>
    <w:qFormat/>
    <w:uiPriority w:val="99"/>
    <w:rPr>
      <w:rFonts w:ascii="Calibri" w:hAnsi="Calibri"/>
    </w:rPr>
    <w:tblPr>
      <w:tblCellMar>
        <w:top w:w="0" w:type="dxa"/>
        <w:left w:w="0" w:type="dxa"/>
        <w:bottom w:w="0" w:type="dxa"/>
        <w:right w:w="0" w:type="dxa"/>
      </w:tblCellMar>
    </w:tblPr>
  </w:style>
  <w:style w:type="table" w:customStyle="1" w:styleId="267">
    <w:name w:val="List Table 2 - Accent 2"/>
    <w:qFormat/>
    <w:uiPriority w:val="99"/>
    <w:rPr>
      <w:rFonts w:ascii="Calibri" w:hAnsi="Calibri"/>
    </w:rPr>
    <w:tblPr>
      <w:tblCellMar>
        <w:top w:w="0" w:type="dxa"/>
        <w:left w:w="0" w:type="dxa"/>
        <w:bottom w:w="0" w:type="dxa"/>
        <w:right w:w="0" w:type="dxa"/>
      </w:tblCellMar>
    </w:tblPr>
  </w:style>
  <w:style w:type="table" w:customStyle="1" w:styleId="268">
    <w:name w:val="List Table 2 - Accent 3"/>
    <w:qFormat/>
    <w:uiPriority w:val="99"/>
    <w:rPr>
      <w:rFonts w:ascii="Calibri" w:hAnsi="Calibri"/>
    </w:rPr>
    <w:tblPr>
      <w:tblCellMar>
        <w:top w:w="0" w:type="dxa"/>
        <w:left w:w="0" w:type="dxa"/>
        <w:bottom w:w="0" w:type="dxa"/>
        <w:right w:w="0" w:type="dxa"/>
      </w:tblCellMar>
    </w:tblPr>
  </w:style>
  <w:style w:type="table" w:customStyle="1" w:styleId="269">
    <w:name w:val="List Table 2 - Accent 4"/>
    <w:qFormat/>
    <w:uiPriority w:val="99"/>
    <w:rPr>
      <w:rFonts w:ascii="Calibri" w:hAnsi="Calibri"/>
    </w:rPr>
    <w:tblPr>
      <w:tblCellMar>
        <w:top w:w="0" w:type="dxa"/>
        <w:left w:w="0" w:type="dxa"/>
        <w:bottom w:w="0" w:type="dxa"/>
        <w:right w:w="0" w:type="dxa"/>
      </w:tblCellMar>
    </w:tblPr>
  </w:style>
  <w:style w:type="table" w:customStyle="1" w:styleId="270">
    <w:name w:val="List Table 2 - Accent 5"/>
    <w:qFormat/>
    <w:uiPriority w:val="99"/>
    <w:rPr>
      <w:rFonts w:ascii="Calibri" w:hAnsi="Calibri"/>
    </w:rPr>
    <w:tblPr>
      <w:tblCellMar>
        <w:top w:w="0" w:type="dxa"/>
        <w:left w:w="0" w:type="dxa"/>
        <w:bottom w:w="0" w:type="dxa"/>
        <w:right w:w="0" w:type="dxa"/>
      </w:tblCellMar>
    </w:tblPr>
  </w:style>
  <w:style w:type="table" w:customStyle="1" w:styleId="271">
    <w:name w:val="List Table 2 - Accent 6"/>
    <w:qFormat/>
    <w:uiPriority w:val="99"/>
    <w:rPr>
      <w:rFonts w:ascii="Calibri" w:hAnsi="Calibri"/>
    </w:rPr>
    <w:tblPr>
      <w:tblCellMar>
        <w:top w:w="0" w:type="dxa"/>
        <w:left w:w="0" w:type="dxa"/>
        <w:bottom w:w="0" w:type="dxa"/>
        <w:right w:w="0" w:type="dxa"/>
      </w:tblCellMar>
    </w:tblPr>
  </w:style>
  <w:style w:type="table" w:customStyle="1" w:styleId="272">
    <w:name w:val="List Table 3"/>
    <w:qFormat/>
    <w:uiPriority w:val="99"/>
    <w:rPr>
      <w:rFonts w:ascii="Calibri" w:hAnsi="Calibri"/>
    </w:rPr>
    <w:tblPr>
      <w:tblCellMar>
        <w:top w:w="0" w:type="dxa"/>
        <w:left w:w="0" w:type="dxa"/>
        <w:bottom w:w="0" w:type="dxa"/>
        <w:right w:w="0" w:type="dxa"/>
      </w:tblCellMar>
    </w:tblPr>
  </w:style>
  <w:style w:type="table" w:customStyle="1" w:styleId="273">
    <w:name w:val="List Table 3 - Accent 1"/>
    <w:qFormat/>
    <w:uiPriority w:val="99"/>
    <w:rPr>
      <w:rFonts w:ascii="Calibri" w:hAnsi="Calibri"/>
    </w:rPr>
    <w:tblPr>
      <w:tblCellMar>
        <w:top w:w="0" w:type="dxa"/>
        <w:left w:w="0" w:type="dxa"/>
        <w:bottom w:w="0" w:type="dxa"/>
        <w:right w:w="0" w:type="dxa"/>
      </w:tblCellMar>
    </w:tblPr>
  </w:style>
  <w:style w:type="table" w:customStyle="1" w:styleId="274">
    <w:name w:val="List Table 3 - Accent 2"/>
    <w:qFormat/>
    <w:uiPriority w:val="99"/>
    <w:rPr>
      <w:rFonts w:ascii="Calibri" w:hAnsi="Calibri"/>
    </w:rPr>
    <w:tblPr>
      <w:tblCellMar>
        <w:top w:w="0" w:type="dxa"/>
        <w:left w:w="0" w:type="dxa"/>
        <w:bottom w:w="0" w:type="dxa"/>
        <w:right w:w="0" w:type="dxa"/>
      </w:tblCellMar>
    </w:tblPr>
  </w:style>
  <w:style w:type="table" w:customStyle="1" w:styleId="275">
    <w:name w:val="List Table 3 - Accent 3"/>
    <w:qFormat/>
    <w:uiPriority w:val="99"/>
    <w:rPr>
      <w:rFonts w:ascii="Calibri" w:hAnsi="Calibri"/>
    </w:rPr>
    <w:tblPr>
      <w:tblCellMar>
        <w:top w:w="0" w:type="dxa"/>
        <w:left w:w="0" w:type="dxa"/>
        <w:bottom w:w="0" w:type="dxa"/>
        <w:right w:w="0" w:type="dxa"/>
      </w:tblCellMar>
    </w:tblPr>
  </w:style>
  <w:style w:type="table" w:customStyle="1" w:styleId="276">
    <w:name w:val="List Table 3 - Accent 4"/>
    <w:qFormat/>
    <w:uiPriority w:val="99"/>
    <w:rPr>
      <w:rFonts w:ascii="Calibri" w:hAnsi="Calibri"/>
    </w:rPr>
    <w:tblPr>
      <w:tblCellMar>
        <w:top w:w="0" w:type="dxa"/>
        <w:left w:w="0" w:type="dxa"/>
        <w:bottom w:w="0" w:type="dxa"/>
        <w:right w:w="0" w:type="dxa"/>
      </w:tblCellMar>
    </w:tblPr>
  </w:style>
  <w:style w:type="table" w:customStyle="1" w:styleId="277">
    <w:name w:val="List Table 3 - Accent 5"/>
    <w:qFormat/>
    <w:uiPriority w:val="99"/>
    <w:rPr>
      <w:rFonts w:ascii="Calibri" w:hAnsi="Calibri"/>
    </w:rPr>
    <w:tblPr>
      <w:tblCellMar>
        <w:top w:w="0" w:type="dxa"/>
        <w:left w:w="0" w:type="dxa"/>
        <w:bottom w:w="0" w:type="dxa"/>
        <w:right w:w="0" w:type="dxa"/>
      </w:tblCellMar>
    </w:tblPr>
  </w:style>
  <w:style w:type="table" w:customStyle="1" w:styleId="278">
    <w:name w:val="List Table 3 - Accent 6"/>
    <w:qFormat/>
    <w:uiPriority w:val="99"/>
    <w:rPr>
      <w:rFonts w:ascii="Calibri" w:hAnsi="Calibri"/>
    </w:rPr>
    <w:tblPr>
      <w:tblCellMar>
        <w:top w:w="0" w:type="dxa"/>
        <w:left w:w="0" w:type="dxa"/>
        <w:bottom w:w="0" w:type="dxa"/>
        <w:right w:w="0" w:type="dxa"/>
      </w:tblCellMar>
    </w:tblPr>
  </w:style>
  <w:style w:type="table" w:customStyle="1" w:styleId="279">
    <w:name w:val="List Table 4"/>
    <w:qFormat/>
    <w:uiPriority w:val="99"/>
    <w:rPr>
      <w:rFonts w:ascii="Calibri" w:hAnsi="Calibri"/>
    </w:rPr>
    <w:tblPr>
      <w:tblCellMar>
        <w:top w:w="0" w:type="dxa"/>
        <w:left w:w="0" w:type="dxa"/>
        <w:bottom w:w="0" w:type="dxa"/>
        <w:right w:w="0" w:type="dxa"/>
      </w:tblCellMar>
    </w:tblPr>
  </w:style>
  <w:style w:type="table" w:customStyle="1" w:styleId="280">
    <w:name w:val="List Table 4 - Accent 1"/>
    <w:qFormat/>
    <w:uiPriority w:val="99"/>
    <w:rPr>
      <w:rFonts w:ascii="Calibri" w:hAnsi="Calibri"/>
    </w:rPr>
    <w:tblPr>
      <w:tblCellMar>
        <w:top w:w="0" w:type="dxa"/>
        <w:left w:w="0" w:type="dxa"/>
        <w:bottom w:w="0" w:type="dxa"/>
        <w:right w:w="0" w:type="dxa"/>
      </w:tblCellMar>
    </w:tblPr>
  </w:style>
  <w:style w:type="table" w:customStyle="1" w:styleId="281">
    <w:name w:val="List Table 4 - Accent 2"/>
    <w:qFormat/>
    <w:uiPriority w:val="99"/>
    <w:rPr>
      <w:rFonts w:ascii="Calibri" w:hAnsi="Calibri"/>
    </w:rPr>
    <w:tblPr>
      <w:tblCellMar>
        <w:top w:w="0" w:type="dxa"/>
        <w:left w:w="0" w:type="dxa"/>
        <w:bottom w:w="0" w:type="dxa"/>
        <w:right w:w="0" w:type="dxa"/>
      </w:tblCellMar>
    </w:tblPr>
  </w:style>
  <w:style w:type="table" w:customStyle="1" w:styleId="282">
    <w:name w:val="List Table 4 - Accent 3"/>
    <w:qFormat/>
    <w:uiPriority w:val="99"/>
    <w:rPr>
      <w:rFonts w:ascii="Calibri" w:hAnsi="Calibri"/>
    </w:rPr>
    <w:tblPr>
      <w:tblCellMar>
        <w:top w:w="0" w:type="dxa"/>
        <w:left w:w="0" w:type="dxa"/>
        <w:bottom w:w="0" w:type="dxa"/>
        <w:right w:w="0" w:type="dxa"/>
      </w:tblCellMar>
    </w:tblPr>
  </w:style>
  <w:style w:type="table" w:customStyle="1" w:styleId="283">
    <w:name w:val="List Table 4 - Accent 4"/>
    <w:qFormat/>
    <w:uiPriority w:val="99"/>
    <w:rPr>
      <w:rFonts w:ascii="Calibri" w:hAnsi="Calibri"/>
    </w:rPr>
    <w:tblPr>
      <w:tblCellMar>
        <w:top w:w="0" w:type="dxa"/>
        <w:left w:w="0" w:type="dxa"/>
        <w:bottom w:w="0" w:type="dxa"/>
        <w:right w:w="0" w:type="dxa"/>
      </w:tblCellMar>
    </w:tblPr>
  </w:style>
  <w:style w:type="table" w:customStyle="1" w:styleId="284">
    <w:name w:val="List Table 4 - Accent 5"/>
    <w:qFormat/>
    <w:uiPriority w:val="99"/>
    <w:rPr>
      <w:rFonts w:ascii="Calibri" w:hAnsi="Calibri"/>
    </w:rPr>
    <w:tblPr>
      <w:tblCellMar>
        <w:top w:w="0" w:type="dxa"/>
        <w:left w:w="0" w:type="dxa"/>
        <w:bottom w:w="0" w:type="dxa"/>
        <w:right w:w="0" w:type="dxa"/>
      </w:tblCellMar>
    </w:tblPr>
  </w:style>
  <w:style w:type="table" w:customStyle="1" w:styleId="285">
    <w:name w:val="List Table 4 - Accent 6"/>
    <w:qFormat/>
    <w:uiPriority w:val="99"/>
    <w:rPr>
      <w:rFonts w:ascii="Calibri" w:hAnsi="Calibri"/>
    </w:rPr>
    <w:tblPr>
      <w:tblCellMar>
        <w:top w:w="0" w:type="dxa"/>
        <w:left w:w="0" w:type="dxa"/>
        <w:bottom w:w="0" w:type="dxa"/>
        <w:right w:w="0" w:type="dxa"/>
      </w:tblCellMar>
    </w:tblPr>
  </w:style>
  <w:style w:type="table" w:customStyle="1" w:styleId="286">
    <w:name w:val="List Table 5 Dark"/>
    <w:qFormat/>
    <w:uiPriority w:val="99"/>
    <w:rPr>
      <w:rFonts w:ascii="Calibri" w:hAnsi="Calibri"/>
    </w:rPr>
    <w:tblPr>
      <w:tblCellMar>
        <w:top w:w="0" w:type="dxa"/>
        <w:left w:w="0" w:type="dxa"/>
        <w:bottom w:w="0" w:type="dxa"/>
        <w:right w:w="0" w:type="dxa"/>
      </w:tblCellMar>
    </w:tblPr>
  </w:style>
  <w:style w:type="table" w:customStyle="1" w:styleId="287">
    <w:name w:val="List Table 5 Dark - Accent 1"/>
    <w:qFormat/>
    <w:uiPriority w:val="99"/>
    <w:rPr>
      <w:rFonts w:ascii="Calibri" w:hAnsi="Calibri"/>
    </w:rPr>
    <w:tblPr>
      <w:tblCellMar>
        <w:top w:w="0" w:type="dxa"/>
        <w:left w:w="0" w:type="dxa"/>
        <w:bottom w:w="0" w:type="dxa"/>
        <w:right w:w="0" w:type="dxa"/>
      </w:tblCellMar>
    </w:tblPr>
  </w:style>
  <w:style w:type="table" w:customStyle="1" w:styleId="288">
    <w:name w:val="List Table 5 Dark - Accent 2"/>
    <w:qFormat/>
    <w:uiPriority w:val="99"/>
    <w:rPr>
      <w:rFonts w:ascii="Calibri" w:hAnsi="Calibri"/>
    </w:rPr>
    <w:tblPr>
      <w:tblCellMar>
        <w:top w:w="0" w:type="dxa"/>
        <w:left w:w="0" w:type="dxa"/>
        <w:bottom w:w="0" w:type="dxa"/>
        <w:right w:w="0" w:type="dxa"/>
      </w:tblCellMar>
    </w:tblPr>
  </w:style>
  <w:style w:type="table" w:customStyle="1" w:styleId="289">
    <w:name w:val="List Table 5 Dark - Accent 3"/>
    <w:qFormat/>
    <w:uiPriority w:val="99"/>
    <w:rPr>
      <w:rFonts w:ascii="Calibri" w:hAnsi="Calibri"/>
    </w:rPr>
    <w:tblPr>
      <w:tblCellMar>
        <w:top w:w="0" w:type="dxa"/>
        <w:left w:w="0" w:type="dxa"/>
        <w:bottom w:w="0" w:type="dxa"/>
        <w:right w:w="0" w:type="dxa"/>
      </w:tblCellMar>
    </w:tblPr>
  </w:style>
  <w:style w:type="table" w:customStyle="1" w:styleId="290">
    <w:name w:val="List Table 5 Dark - Accent 4"/>
    <w:qFormat/>
    <w:uiPriority w:val="99"/>
    <w:rPr>
      <w:rFonts w:ascii="Calibri" w:hAnsi="Calibri"/>
    </w:rPr>
    <w:tblPr>
      <w:tblCellMar>
        <w:top w:w="0" w:type="dxa"/>
        <w:left w:w="0" w:type="dxa"/>
        <w:bottom w:w="0" w:type="dxa"/>
        <w:right w:w="0" w:type="dxa"/>
      </w:tblCellMar>
    </w:tblPr>
  </w:style>
  <w:style w:type="table" w:customStyle="1" w:styleId="291">
    <w:name w:val="List Table 5 Dark - Accent 5"/>
    <w:qFormat/>
    <w:uiPriority w:val="99"/>
    <w:rPr>
      <w:rFonts w:ascii="Calibri" w:hAnsi="Calibri"/>
    </w:rPr>
    <w:tblPr>
      <w:tblCellMar>
        <w:top w:w="0" w:type="dxa"/>
        <w:left w:w="0" w:type="dxa"/>
        <w:bottom w:w="0" w:type="dxa"/>
        <w:right w:w="0" w:type="dxa"/>
      </w:tblCellMar>
    </w:tblPr>
  </w:style>
  <w:style w:type="table" w:customStyle="1" w:styleId="292">
    <w:name w:val="List Table 5 Dark - Accent 6"/>
    <w:qFormat/>
    <w:uiPriority w:val="99"/>
    <w:rPr>
      <w:rFonts w:ascii="Calibri" w:hAnsi="Calibri"/>
    </w:rPr>
    <w:tblPr>
      <w:tblCellMar>
        <w:top w:w="0" w:type="dxa"/>
        <w:left w:w="0" w:type="dxa"/>
        <w:bottom w:w="0" w:type="dxa"/>
        <w:right w:w="0" w:type="dxa"/>
      </w:tblCellMar>
    </w:tblPr>
  </w:style>
  <w:style w:type="table" w:customStyle="1" w:styleId="293">
    <w:name w:val="List Table 6 Colorful"/>
    <w:qFormat/>
    <w:uiPriority w:val="99"/>
    <w:rPr>
      <w:rFonts w:ascii="Calibri" w:hAnsi="Calibri"/>
    </w:rPr>
    <w:tblPr>
      <w:tblCellMar>
        <w:top w:w="0" w:type="dxa"/>
        <w:left w:w="0" w:type="dxa"/>
        <w:bottom w:w="0" w:type="dxa"/>
        <w:right w:w="0" w:type="dxa"/>
      </w:tblCellMar>
    </w:tblPr>
  </w:style>
  <w:style w:type="table" w:customStyle="1" w:styleId="294">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295">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296">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297">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298">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299">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00">
    <w:name w:val="List Table 7 Colorful"/>
    <w:qFormat/>
    <w:uiPriority w:val="99"/>
    <w:rPr>
      <w:rFonts w:ascii="Calibri" w:hAnsi="Calibri"/>
    </w:rPr>
    <w:tblPr>
      <w:tblCellMar>
        <w:top w:w="0" w:type="dxa"/>
        <w:left w:w="0" w:type="dxa"/>
        <w:bottom w:w="0" w:type="dxa"/>
        <w:right w:w="0" w:type="dxa"/>
      </w:tblCellMar>
    </w:tblPr>
  </w:style>
  <w:style w:type="table" w:customStyle="1" w:styleId="301">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02">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03">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04">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05">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06">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07">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08">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09">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10">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11">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12">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13">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14">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15">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16">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17">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18">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19">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20">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21">
    <w:name w:val="Bordered"/>
    <w:qFormat/>
    <w:uiPriority w:val="99"/>
    <w:rPr>
      <w:rFonts w:ascii="Calibri" w:hAnsi="Calibri"/>
    </w:rPr>
    <w:tblPr>
      <w:tblCellMar>
        <w:top w:w="0" w:type="dxa"/>
        <w:left w:w="0" w:type="dxa"/>
        <w:bottom w:w="0" w:type="dxa"/>
        <w:right w:w="0" w:type="dxa"/>
      </w:tblCellMar>
    </w:tblPr>
  </w:style>
  <w:style w:type="table" w:customStyle="1" w:styleId="322">
    <w:name w:val="Bordered - Accent 1"/>
    <w:qFormat/>
    <w:uiPriority w:val="99"/>
    <w:rPr>
      <w:rFonts w:ascii="Calibri" w:hAnsi="Calibri"/>
    </w:rPr>
    <w:tblPr>
      <w:tblCellMar>
        <w:top w:w="0" w:type="dxa"/>
        <w:left w:w="0" w:type="dxa"/>
        <w:bottom w:w="0" w:type="dxa"/>
        <w:right w:w="0" w:type="dxa"/>
      </w:tblCellMar>
    </w:tblPr>
  </w:style>
  <w:style w:type="table" w:customStyle="1" w:styleId="323">
    <w:name w:val="Bordered - Accent 2"/>
    <w:qFormat/>
    <w:uiPriority w:val="99"/>
    <w:rPr>
      <w:rFonts w:ascii="Calibri" w:hAnsi="Calibri"/>
    </w:rPr>
    <w:tblPr>
      <w:tblCellMar>
        <w:top w:w="0" w:type="dxa"/>
        <w:left w:w="0" w:type="dxa"/>
        <w:bottom w:w="0" w:type="dxa"/>
        <w:right w:w="0" w:type="dxa"/>
      </w:tblCellMar>
    </w:tblPr>
  </w:style>
  <w:style w:type="table" w:customStyle="1" w:styleId="324">
    <w:name w:val="Bordered - Accent 3"/>
    <w:qFormat/>
    <w:uiPriority w:val="99"/>
    <w:rPr>
      <w:rFonts w:ascii="Calibri" w:hAnsi="Calibri"/>
    </w:rPr>
    <w:tblPr>
      <w:tblCellMar>
        <w:top w:w="0" w:type="dxa"/>
        <w:left w:w="0" w:type="dxa"/>
        <w:bottom w:w="0" w:type="dxa"/>
        <w:right w:w="0" w:type="dxa"/>
      </w:tblCellMar>
    </w:tblPr>
  </w:style>
  <w:style w:type="table" w:customStyle="1" w:styleId="325">
    <w:name w:val="Bordered - Accent 4"/>
    <w:qFormat/>
    <w:uiPriority w:val="99"/>
    <w:rPr>
      <w:rFonts w:ascii="Calibri" w:hAnsi="Calibri"/>
    </w:rPr>
    <w:tblPr>
      <w:tblCellMar>
        <w:top w:w="0" w:type="dxa"/>
        <w:left w:w="0" w:type="dxa"/>
        <w:bottom w:w="0" w:type="dxa"/>
        <w:right w:w="0" w:type="dxa"/>
      </w:tblCellMar>
    </w:tblPr>
  </w:style>
  <w:style w:type="table" w:customStyle="1" w:styleId="326">
    <w:name w:val="Bordered - Accent 5"/>
    <w:qFormat/>
    <w:uiPriority w:val="99"/>
    <w:rPr>
      <w:rFonts w:ascii="Calibri" w:hAnsi="Calibri"/>
    </w:rPr>
    <w:tblPr>
      <w:tblCellMar>
        <w:top w:w="0" w:type="dxa"/>
        <w:left w:w="0" w:type="dxa"/>
        <w:bottom w:w="0" w:type="dxa"/>
        <w:right w:w="0" w:type="dxa"/>
      </w:tblCellMar>
    </w:tblPr>
  </w:style>
  <w:style w:type="table" w:customStyle="1" w:styleId="327">
    <w:name w:val="Bordered - Accent 6"/>
    <w:qFormat/>
    <w:uiPriority w:val="99"/>
    <w:rPr>
      <w:rFonts w:ascii="Calibri" w:hAnsi="Calibri"/>
    </w:rPr>
    <w:tblPr>
      <w:tblCellMar>
        <w:top w:w="0" w:type="dxa"/>
        <w:left w:w="0" w:type="dxa"/>
        <w:bottom w:w="0" w:type="dxa"/>
        <w:right w:w="0" w:type="dxa"/>
      </w:tblCellMar>
    </w:tblPr>
  </w:style>
  <w:style w:type="paragraph" w:customStyle="1" w:styleId="328">
    <w:name w:val="TOC 标题1"/>
    <w:unhideWhenUsed/>
    <w:qFormat/>
    <w:uiPriority w:val="39"/>
    <w:rPr>
      <w:rFonts w:hint="default" w:ascii="Calibri" w:hAnsi="Calibri" w:eastAsia="宋体" w:cs="Times New Roman"/>
      <w:lang w:val="en-US" w:eastAsia="zh-CN" w:bidi="ar-SA"/>
    </w:rPr>
  </w:style>
  <w:style w:type="paragraph" w:customStyle="1" w:styleId="329">
    <w:name w:val="标题 11"/>
    <w:basedOn w:val="1"/>
    <w:next w:val="1"/>
    <w:link w:val="330"/>
    <w:qFormat/>
    <w:uiPriority w:val="0"/>
    <w:pPr>
      <w:keepNext/>
      <w:jc w:val="center"/>
      <w:outlineLvl w:val="0"/>
    </w:pPr>
    <w:rPr>
      <w:rFonts w:ascii="楷体_GB2312" w:hAnsi="Times New Roman" w:eastAsia="楷体_GB2312"/>
      <w:sz w:val="28"/>
      <w:szCs w:val="28"/>
      <w:lang w:eastAsia="en-US"/>
    </w:rPr>
  </w:style>
  <w:style w:type="character" w:customStyle="1" w:styleId="330">
    <w:name w:val="标题 1 Char"/>
    <w:link w:val="329"/>
    <w:qFormat/>
    <w:uiPriority w:val="0"/>
    <w:rPr>
      <w:rFonts w:ascii="楷体_GB2312" w:hAnsi="Times New Roman" w:eastAsia="楷体_GB2312" w:cs="Times New Roman"/>
      <w:sz w:val="28"/>
      <w:szCs w:val="28"/>
      <w:lang w:eastAsia="en-US"/>
    </w:rPr>
  </w:style>
  <w:style w:type="paragraph" w:customStyle="1" w:styleId="331">
    <w:name w:val="标题 21"/>
    <w:basedOn w:val="1"/>
    <w:next w:val="332"/>
    <w:link w:val="333"/>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32">
    <w:name w:val="正文缩进1"/>
    <w:basedOn w:val="1"/>
    <w:link w:val="334"/>
    <w:qFormat/>
    <w:uiPriority w:val="0"/>
    <w:pPr>
      <w:ind w:firstLine="420"/>
    </w:pPr>
    <w:rPr>
      <w:rFonts w:ascii="Times New Roman" w:hAnsi="Times New Roman" w:eastAsia="宋体"/>
      <w:sz w:val="20"/>
      <w:szCs w:val="21"/>
      <w:lang w:eastAsia="en-US"/>
    </w:rPr>
  </w:style>
  <w:style w:type="character" w:customStyle="1" w:styleId="333">
    <w:name w:val="标题 2 Char"/>
    <w:link w:val="331"/>
    <w:qFormat/>
    <w:uiPriority w:val="0"/>
    <w:rPr>
      <w:rFonts w:ascii="Arial" w:hAnsi="Arial" w:eastAsia="幼圆" w:cs="Times New Roman"/>
      <w:b/>
      <w:bCs/>
      <w:sz w:val="44"/>
      <w:szCs w:val="44"/>
      <w:lang w:eastAsia="en-US"/>
    </w:rPr>
  </w:style>
  <w:style w:type="character" w:customStyle="1" w:styleId="334">
    <w:name w:val="正文缩进 Char"/>
    <w:link w:val="332"/>
    <w:qFormat/>
    <w:uiPriority w:val="0"/>
    <w:rPr>
      <w:rFonts w:ascii="Times New Roman" w:hAnsi="Times New Roman" w:eastAsia="宋体" w:cs="Times New Roman"/>
      <w:szCs w:val="21"/>
      <w:lang w:eastAsia="en-US"/>
    </w:rPr>
  </w:style>
  <w:style w:type="paragraph" w:customStyle="1" w:styleId="335">
    <w:name w:val="标题 41"/>
    <w:basedOn w:val="1"/>
    <w:next w:val="332"/>
    <w:link w:val="336"/>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36">
    <w:name w:val="标题 4 Char"/>
    <w:link w:val="335"/>
    <w:qFormat/>
    <w:uiPriority w:val="0"/>
    <w:rPr>
      <w:rFonts w:ascii="Arial" w:hAnsi="Arial" w:eastAsia="黑体" w:cs="Times New Roman"/>
      <w:b/>
      <w:bCs/>
      <w:sz w:val="28"/>
      <w:szCs w:val="28"/>
      <w:lang w:eastAsia="en-US"/>
    </w:rPr>
  </w:style>
  <w:style w:type="paragraph" w:customStyle="1" w:styleId="337">
    <w:name w:val="标题 51"/>
    <w:basedOn w:val="1"/>
    <w:next w:val="332"/>
    <w:link w:val="338"/>
    <w:qFormat/>
    <w:uiPriority w:val="0"/>
    <w:pPr>
      <w:keepNext/>
      <w:outlineLvl w:val="4"/>
    </w:pPr>
    <w:rPr>
      <w:rFonts w:ascii="宋体" w:hAnsi="Times New Roman" w:eastAsia="宋体"/>
      <w:color w:val="000000"/>
      <w:sz w:val="28"/>
      <w:szCs w:val="28"/>
      <w:lang w:eastAsia="en-US"/>
    </w:rPr>
  </w:style>
  <w:style w:type="character" w:customStyle="1" w:styleId="338">
    <w:name w:val="标题 5 Char"/>
    <w:link w:val="337"/>
    <w:qFormat/>
    <w:uiPriority w:val="0"/>
    <w:rPr>
      <w:rFonts w:ascii="宋体" w:hAnsi="Times New Roman" w:eastAsia="宋体" w:cs="Times New Roman"/>
      <w:color w:val="000000"/>
      <w:sz w:val="28"/>
      <w:szCs w:val="28"/>
      <w:lang w:eastAsia="en-US"/>
    </w:rPr>
  </w:style>
  <w:style w:type="paragraph" w:customStyle="1" w:styleId="339">
    <w:name w:val="标题 61"/>
    <w:basedOn w:val="1"/>
    <w:next w:val="1"/>
    <w:link w:val="340"/>
    <w:qFormat/>
    <w:uiPriority w:val="0"/>
    <w:pPr>
      <w:keepNext/>
      <w:keepLines/>
      <w:numPr>
        <w:ilvl w:val="5"/>
        <w:numId w:val="3"/>
      </w:numPr>
      <w:spacing w:before="240" w:after="64" w:line="320" w:lineRule="auto"/>
      <w:outlineLvl w:val="5"/>
    </w:pPr>
    <w:rPr>
      <w:rFonts w:ascii="Arial" w:hAnsi="Arial" w:eastAsia="黑体"/>
      <w:b/>
      <w:bCs/>
      <w:sz w:val="24"/>
      <w:szCs w:val="24"/>
      <w:lang w:eastAsia="en-US"/>
    </w:rPr>
  </w:style>
  <w:style w:type="character" w:customStyle="1" w:styleId="340">
    <w:name w:val="标题 6 Char"/>
    <w:link w:val="339"/>
    <w:qFormat/>
    <w:uiPriority w:val="0"/>
    <w:rPr>
      <w:rFonts w:ascii="Arial" w:hAnsi="Arial" w:eastAsia="黑体" w:cs="Times New Roman"/>
      <w:b/>
      <w:bCs/>
      <w:sz w:val="24"/>
      <w:szCs w:val="24"/>
      <w:lang w:eastAsia="en-US"/>
    </w:rPr>
  </w:style>
  <w:style w:type="paragraph" w:customStyle="1" w:styleId="341">
    <w:name w:val="标题 71"/>
    <w:basedOn w:val="1"/>
    <w:next w:val="1"/>
    <w:link w:val="342"/>
    <w:qFormat/>
    <w:uiPriority w:val="0"/>
    <w:pPr>
      <w:keepNext/>
      <w:keepLines/>
      <w:numPr>
        <w:ilvl w:val="6"/>
        <w:numId w:val="3"/>
      </w:numPr>
      <w:spacing w:before="240" w:after="64" w:line="320" w:lineRule="auto"/>
      <w:outlineLvl w:val="6"/>
    </w:pPr>
    <w:rPr>
      <w:rFonts w:ascii="Times New Roman" w:hAnsi="Times New Roman" w:eastAsia="宋体"/>
      <w:b/>
      <w:bCs/>
      <w:sz w:val="24"/>
      <w:szCs w:val="24"/>
      <w:lang w:eastAsia="en-US"/>
    </w:rPr>
  </w:style>
  <w:style w:type="character" w:customStyle="1" w:styleId="342">
    <w:name w:val="标题 7 Char"/>
    <w:link w:val="341"/>
    <w:qFormat/>
    <w:uiPriority w:val="0"/>
    <w:rPr>
      <w:rFonts w:ascii="Times New Roman" w:hAnsi="Times New Roman" w:eastAsia="宋体" w:cs="Times New Roman"/>
      <w:b/>
      <w:bCs/>
      <w:sz w:val="24"/>
      <w:szCs w:val="24"/>
      <w:lang w:eastAsia="en-US"/>
    </w:rPr>
  </w:style>
  <w:style w:type="paragraph" w:customStyle="1" w:styleId="343">
    <w:name w:val="标题 81"/>
    <w:basedOn w:val="1"/>
    <w:next w:val="1"/>
    <w:link w:val="344"/>
    <w:qFormat/>
    <w:uiPriority w:val="0"/>
    <w:pPr>
      <w:keepNext/>
      <w:keepLines/>
      <w:numPr>
        <w:ilvl w:val="7"/>
        <w:numId w:val="3"/>
      </w:numPr>
      <w:spacing w:before="240" w:after="64" w:line="320" w:lineRule="auto"/>
      <w:outlineLvl w:val="7"/>
    </w:pPr>
    <w:rPr>
      <w:rFonts w:ascii="Arial" w:hAnsi="Arial" w:eastAsia="黑体"/>
      <w:sz w:val="24"/>
      <w:szCs w:val="24"/>
      <w:lang w:eastAsia="en-US"/>
    </w:rPr>
  </w:style>
  <w:style w:type="character" w:customStyle="1" w:styleId="344">
    <w:name w:val="标题 8 Char"/>
    <w:link w:val="343"/>
    <w:qFormat/>
    <w:uiPriority w:val="0"/>
    <w:rPr>
      <w:rFonts w:ascii="Arial" w:hAnsi="Arial" w:eastAsia="黑体" w:cs="Times New Roman"/>
      <w:sz w:val="24"/>
      <w:szCs w:val="24"/>
      <w:lang w:eastAsia="en-US"/>
    </w:rPr>
  </w:style>
  <w:style w:type="paragraph" w:customStyle="1" w:styleId="345">
    <w:name w:val="标题 91"/>
    <w:basedOn w:val="1"/>
    <w:next w:val="1"/>
    <w:link w:val="346"/>
    <w:qFormat/>
    <w:uiPriority w:val="0"/>
    <w:pPr>
      <w:keepNext/>
      <w:keepLines/>
      <w:numPr>
        <w:ilvl w:val="8"/>
        <w:numId w:val="3"/>
      </w:numPr>
      <w:spacing w:before="240" w:after="64" w:line="320" w:lineRule="auto"/>
      <w:outlineLvl w:val="8"/>
    </w:pPr>
    <w:rPr>
      <w:rFonts w:ascii="Arial" w:hAnsi="Arial" w:eastAsia="黑体"/>
      <w:sz w:val="20"/>
      <w:szCs w:val="21"/>
      <w:lang w:eastAsia="en-US"/>
    </w:rPr>
  </w:style>
  <w:style w:type="character" w:customStyle="1" w:styleId="346">
    <w:name w:val="标题 9 Char"/>
    <w:link w:val="345"/>
    <w:qFormat/>
    <w:uiPriority w:val="0"/>
    <w:rPr>
      <w:rFonts w:ascii="Arial" w:hAnsi="Arial" w:eastAsia="黑体" w:cs="Times New Roman"/>
      <w:szCs w:val="21"/>
      <w:lang w:eastAsia="en-US"/>
    </w:rPr>
  </w:style>
  <w:style w:type="character" w:customStyle="1" w:styleId="347">
    <w:name w:val="默认段落字体1"/>
    <w:unhideWhenUsed/>
    <w:qFormat/>
    <w:uiPriority w:val="1"/>
  </w:style>
  <w:style w:type="table" w:customStyle="1" w:styleId="348">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49">
    <w:name w:val="列表 31"/>
    <w:basedOn w:val="1"/>
    <w:qFormat/>
    <w:uiPriority w:val="0"/>
    <w:pPr>
      <w:ind w:left="100" w:hanging="200"/>
    </w:pPr>
    <w:rPr>
      <w:rFonts w:ascii="Times New Roman" w:hAnsi="Times New Roman" w:eastAsia="宋体"/>
      <w:szCs w:val="21"/>
    </w:rPr>
  </w:style>
  <w:style w:type="paragraph" w:customStyle="1" w:styleId="350">
    <w:name w:val="目录 711"/>
    <w:basedOn w:val="1"/>
    <w:next w:val="1"/>
    <w:semiHidden/>
    <w:qFormat/>
    <w:uiPriority w:val="0"/>
    <w:pPr>
      <w:ind w:left="1260"/>
      <w:jc w:val="left"/>
    </w:pPr>
    <w:rPr>
      <w:rFonts w:ascii="Times New Roman" w:hAnsi="Times New Roman" w:eastAsia="宋体"/>
      <w:szCs w:val="21"/>
    </w:rPr>
  </w:style>
  <w:style w:type="paragraph" w:customStyle="1" w:styleId="351">
    <w:name w:val="文档结构图1"/>
    <w:basedOn w:val="1"/>
    <w:link w:val="352"/>
    <w:semiHidden/>
    <w:qFormat/>
    <w:uiPriority w:val="0"/>
    <w:pPr>
      <w:shd w:val="clear" w:color="auto" w:fill="000080"/>
    </w:pPr>
    <w:rPr>
      <w:rFonts w:ascii="Times New Roman" w:hAnsi="Times New Roman" w:eastAsia="宋体"/>
      <w:sz w:val="20"/>
      <w:szCs w:val="21"/>
      <w:lang w:eastAsia="en-US"/>
    </w:rPr>
  </w:style>
  <w:style w:type="character" w:customStyle="1" w:styleId="352">
    <w:name w:val="文档结构图 Char"/>
    <w:link w:val="351"/>
    <w:semiHidden/>
    <w:qFormat/>
    <w:uiPriority w:val="0"/>
    <w:rPr>
      <w:rFonts w:ascii="Times New Roman" w:hAnsi="Times New Roman" w:eastAsia="宋体" w:cs="Times New Roman"/>
      <w:szCs w:val="21"/>
      <w:shd w:val="clear" w:color="auto" w:fill="000080"/>
      <w:lang w:eastAsia="en-US"/>
    </w:rPr>
  </w:style>
  <w:style w:type="paragraph" w:customStyle="1" w:styleId="353">
    <w:name w:val="批注文字1"/>
    <w:basedOn w:val="1"/>
    <w:link w:val="354"/>
    <w:semiHidden/>
    <w:qFormat/>
    <w:uiPriority w:val="0"/>
    <w:pPr>
      <w:jc w:val="left"/>
    </w:pPr>
    <w:rPr>
      <w:rFonts w:ascii="Times New Roman" w:hAnsi="Times New Roman" w:eastAsia="宋体"/>
      <w:sz w:val="20"/>
      <w:szCs w:val="21"/>
      <w:lang w:eastAsia="en-US"/>
    </w:rPr>
  </w:style>
  <w:style w:type="character" w:customStyle="1" w:styleId="354">
    <w:name w:val="批注文字 Char"/>
    <w:link w:val="353"/>
    <w:semiHidden/>
    <w:qFormat/>
    <w:uiPriority w:val="0"/>
    <w:rPr>
      <w:rFonts w:ascii="Times New Roman" w:hAnsi="Times New Roman" w:eastAsia="宋体" w:cs="Times New Roman"/>
      <w:szCs w:val="21"/>
      <w:lang w:eastAsia="en-US"/>
    </w:rPr>
  </w:style>
  <w:style w:type="paragraph" w:customStyle="1" w:styleId="355">
    <w:name w:val="正文文本 31"/>
    <w:basedOn w:val="1"/>
    <w:link w:val="356"/>
    <w:qFormat/>
    <w:uiPriority w:val="0"/>
    <w:rPr>
      <w:rFonts w:ascii="仿宋_GB2312" w:hAnsi="Arial" w:eastAsia="仿宋_GB2312"/>
      <w:sz w:val="32"/>
      <w:szCs w:val="32"/>
      <w:lang w:eastAsia="en-US"/>
    </w:rPr>
  </w:style>
  <w:style w:type="character" w:customStyle="1" w:styleId="356">
    <w:name w:val="正文文本 3 Char"/>
    <w:link w:val="355"/>
    <w:qFormat/>
    <w:uiPriority w:val="0"/>
    <w:rPr>
      <w:rFonts w:ascii="仿宋_GB2312" w:hAnsi="Arial" w:eastAsia="仿宋_GB2312" w:cs="Times New Roman"/>
      <w:sz w:val="32"/>
      <w:szCs w:val="32"/>
      <w:lang w:eastAsia="en-US"/>
    </w:rPr>
  </w:style>
  <w:style w:type="paragraph" w:customStyle="1" w:styleId="357">
    <w:name w:val="正文文本1"/>
    <w:basedOn w:val="1"/>
    <w:next w:val="1"/>
    <w:link w:val="358"/>
    <w:qFormat/>
    <w:uiPriority w:val="0"/>
    <w:rPr>
      <w:rFonts w:ascii="楷体_GB2312" w:hAnsi="Arial" w:eastAsia="楷体_GB2312"/>
      <w:sz w:val="28"/>
      <w:szCs w:val="28"/>
      <w:lang w:eastAsia="en-US"/>
    </w:rPr>
  </w:style>
  <w:style w:type="character" w:customStyle="1" w:styleId="358">
    <w:name w:val="正文文本 Char"/>
    <w:link w:val="357"/>
    <w:qFormat/>
    <w:uiPriority w:val="0"/>
    <w:rPr>
      <w:rFonts w:ascii="楷体_GB2312" w:hAnsi="Arial" w:eastAsia="楷体_GB2312" w:cs="Times New Roman"/>
      <w:sz w:val="28"/>
      <w:szCs w:val="28"/>
      <w:lang w:eastAsia="en-US"/>
    </w:rPr>
  </w:style>
  <w:style w:type="paragraph" w:customStyle="1" w:styleId="359">
    <w:name w:val="正文文本缩进1"/>
    <w:basedOn w:val="1"/>
    <w:link w:val="360"/>
    <w:qFormat/>
    <w:uiPriority w:val="0"/>
    <w:pPr>
      <w:ind w:firstLine="645"/>
    </w:pPr>
    <w:rPr>
      <w:rFonts w:ascii="楷体_GB2312" w:hAnsi="Times New Roman" w:eastAsia="楷体_GB2312"/>
      <w:sz w:val="32"/>
      <w:szCs w:val="32"/>
      <w:lang w:eastAsia="en-US"/>
    </w:rPr>
  </w:style>
  <w:style w:type="character" w:customStyle="1" w:styleId="360">
    <w:name w:val="正文文本缩进 Char"/>
    <w:link w:val="359"/>
    <w:qFormat/>
    <w:uiPriority w:val="0"/>
    <w:rPr>
      <w:rFonts w:ascii="楷体_GB2312" w:hAnsi="Times New Roman" w:eastAsia="楷体_GB2312" w:cs="Times New Roman"/>
      <w:sz w:val="32"/>
      <w:szCs w:val="32"/>
      <w:lang w:eastAsia="en-US"/>
    </w:rPr>
  </w:style>
  <w:style w:type="paragraph" w:customStyle="1" w:styleId="361">
    <w:name w:val="列表 21"/>
    <w:basedOn w:val="1"/>
    <w:qFormat/>
    <w:uiPriority w:val="0"/>
    <w:pPr>
      <w:ind w:left="100" w:hanging="200"/>
    </w:pPr>
    <w:rPr>
      <w:rFonts w:ascii="Times New Roman" w:hAnsi="Times New Roman" w:eastAsia="宋体"/>
      <w:szCs w:val="21"/>
    </w:rPr>
  </w:style>
  <w:style w:type="paragraph" w:customStyle="1" w:styleId="362">
    <w:name w:val="目录 511"/>
    <w:basedOn w:val="1"/>
    <w:next w:val="1"/>
    <w:semiHidden/>
    <w:qFormat/>
    <w:uiPriority w:val="0"/>
    <w:pPr>
      <w:ind w:left="840"/>
      <w:jc w:val="left"/>
    </w:pPr>
    <w:rPr>
      <w:rFonts w:ascii="Times New Roman" w:hAnsi="Times New Roman" w:eastAsia="宋体"/>
      <w:szCs w:val="21"/>
    </w:rPr>
  </w:style>
  <w:style w:type="paragraph" w:customStyle="1" w:styleId="363">
    <w:name w:val="目录 311"/>
    <w:basedOn w:val="1"/>
    <w:next w:val="1"/>
    <w:semiHidden/>
    <w:qFormat/>
    <w:uiPriority w:val="0"/>
    <w:pPr>
      <w:ind w:left="420"/>
      <w:jc w:val="left"/>
    </w:pPr>
    <w:rPr>
      <w:rFonts w:ascii="Times New Roman" w:hAnsi="Times New Roman" w:eastAsia="宋体"/>
      <w:i/>
      <w:iCs/>
      <w:szCs w:val="24"/>
    </w:rPr>
  </w:style>
  <w:style w:type="paragraph" w:customStyle="1" w:styleId="364">
    <w:name w:val="纯文本1"/>
    <w:basedOn w:val="1"/>
    <w:link w:val="365"/>
    <w:qFormat/>
    <w:uiPriority w:val="0"/>
    <w:rPr>
      <w:rFonts w:ascii="宋体" w:hAnsi="Courier New" w:eastAsia="宋体"/>
      <w:sz w:val="20"/>
      <w:szCs w:val="21"/>
      <w:lang w:eastAsia="en-US"/>
    </w:rPr>
  </w:style>
  <w:style w:type="character" w:customStyle="1" w:styleId="365">
    <w:name w:val="纯文本 Char"/>
    <w:link w:val="364"/>
    <w:qFormat/>
    <w:uiPriority w:val="0"/>
    <w:rPr>
      <w:rFonts w:ascii="宋体" w:hAnsi="Courier New" w:eastAsia="宋体" w:cs="Times New Roman"/>
      <w:szCs w:val="21"/>
      <w:lang w:eastAsia="en-US"/>
    </w:rPr>
  </w:style>
  <w:style w:type="paragraph" w:customStyle="1" w:styleId="366">
    <w:name w:val="目录 811"/>
    <w:basedOn w:val="1"/>
    <w:next w:val="1"/>
    <w:semiHidden/>
    <w:qFormat/>
    <w:uiPriority w:val="0"/>
    <w:pPr>
      <w:ind w:left="1470"/>
      <w:jc w:val="left"/>
    </w:pPr>
    <w:rPr>
      <w:rFonts w:ascii="Times New Roman" w:hAnsi="Times New Roman" w:eastAsia="宋体"/>
      <w:szCs w:val="21"/>
    </w:rPr>
  </w:style>
  <w:style w:type="paragraph" w:customStyle="1" w:styleId="367">
    <w:name w:val="日期1"/>
    <w:basedOn w:val="1"/>
    <w:next w:val="1"/>
    <w:link w:val="368"/>
    <w:qFormat/>
    <w:uiPriority w:val="0"/>
    <w:rPr>
      <w:rFonts w:ascii="Times New Roman" w:hAnsi="Times New Roman" w:eastAsia="宋体"/>
      <w:sz w:val="24"/>
      <w:szCs w:val="24"/>
      <w:lang w:eastAsia="en-US"/>
    </w:rPr>
  </w:style>
  <w:style w:type="character" w:customStyle="1" w:styleId="368">
    <w:name w:val="日期 Char"/>
    <w:link w:val="367"/>
    <w:qFormat/>
    <w:uiPriority w:val="0"/>
    <w:rPr>
      <w:rFonts w:ascii="Times New Roman" w:hAnsi="Times New Roman" w:eastAsia="宋体" w:cs="Times New Roman"/>
      <w:sz w:val="24"/>
      <w:szCs w:val="24"/>
      <w:lang w:eastAsia="en-US"/>
    </w:rPr>
  </w:style>
  <w:style w:type="paragraph" w:customStyle="1" w:styleId="369">
    <w:name w:val="正文文本缩进 21"/>
    <w:basedOn w:val="1"/>
    <w:link w:val="370"/>
    <w:qFormat/>
    <w:uiPriority w:val="0"/>
    <w:pPr>
      <w:ind w:left="630" w:firstLine="645"/>
    </w:pPr>
    <w:rPr>
      <w:rFonts w:ascii="Arial" w:hAnsi="Arial" w:eastAsia="仿宋_GB2312"/>
      <w:sz w:val="32"/>
      <w:szCs w:val="32"/>
      <w:lang w:eastAsia="en-US"/>
    </w:rPr>
  </w:style>
  <w:style w:type="character" w:customStyle="1" w:styleId="370">
    <w:name w:val="正文文本缩进 2 Char"/>
    <w:link w:val="369"/>
    <w:qFormat/>
    <w:uiPriority w:val="0"/>
    <w:rPr>
      <w:rFonts w:ascii="Arial" w:hAnsi="Arial" w:eastAsia="仿宋_GB2312" w:cs="Times New Roman"/>
      <w:sz w:val="32"/>
      <w:szCs w:val="32"/>
      <w:lang w:eastAsia="en-US"/>
    </w:rPr>
  </w:style>
  <w:style w:type="paragraph" w:customStyle="1" w:styleId="371">
    <w:name w:val="批注框文本1"/>
    <w:basedOn w:val="1"/>
    <w:link w:val="372"/>
    <w:semiHidden/>
    <w:qFormat/>
    <w:uiPriority w:val="0"/>
    <w:rPr>
      <w:rFonts w:ascii="Times New Roman" w:hAnsi="Times New Roman" w:eastAsia="宋体"/>
      <w:sz w:val="18"/>
      <w:szCs w:val="18"/>
      <w:lang w:eastAsia="en-US"/>
    </w:rPr>
  </w:style>
  <w:style w:type="character" w:customStyle="1" w:styleId="372">
    <w:name w:val="批注框文本 Char"/>
    <w:link w:val="371"/>
    <w:semiHidden/>
    <w:qFormat/>
    <w:uiPriority w:val="0"/>
    <w:rPr>
      <w:rFonts w:ascii="Times New Roman" w:hAnsi="Times New Roman" w:eastAsia="宋体" w:cs="Times New Roman"/>
      <w:sz w:val="18"/>
      <w:szCs w:val="18"/>
      <w:lang w:eastAsia="en-US"/>
    </w:rPr>
  </w:style>
  <w:style w:type="paragraph" w:customStyle="1" w:styleId="373">
    <w:name w:val="页脚1"/>
    <w:basedOn w:val="1"/>
    <w:link w:val="374"/>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374">
    <w:name w:val="页脚 Char"/>
    <w:link w:val="373"/>
    <w:qFormat/>
    <w:uiPriority w:val="0"/>
    <w:rPr>
      <w:rFonts w:ascii="Times New Roman" w:hAnsi="Times New Roman" w:eastAsia="宋体" w:cs="Times New Roman"/>
      <w:sz w:val="18"/>
      <w:szCs w:val="18"/>
      <w:lang w:eastAsia="en-US"/>
    </w:rPr>
  </w:style>
  <w:style w:type="paragraph" w:customStyle="1" w:styleId="375">
    <w:name w:val="页眉1"/>
    <w:basedOn w:val="1"/>
    <w:link w:val="376"/>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376">
    <w:name w:val="页眉 Char"/>
    <w:link w:val="375"/>
    <w:qFormat/>
    <w:uiPriority w:val="99"/>
    <w:rPr>
      <w:rFonts w:ascii="Times New Roman" w:hAnsi="Times New Roman" w:eastAsia="宋体" w:cs="Times New Roman"/>
      <w:sz w:val="18"/>
      <w:szCs w:val="18"/>
      <w:lang w:eastAsia="en-US"/>
    </w:rPr>
  </w:style>
  <w:style w:type="paragraph" w:customStyle="1" w:styleId="377">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378">
    <w:name w:val="目录 411"/>
    <w:basedOn w:val="1"/>
    <w:next w:val="1"/>
    <w:semiHidden/>
    <w:qFormat/>
    <w:uiPriority w:val="0"/>
    <w:pPr>
      <w:ind w:left="630"/>
      <w:jc w:val="left"/>
    </w:pPr>
    <w:rPr>
      <w:rFonts w:ascii="Times New Roman" w:hAnsi="Times New Roman" w:eastAsia="宋体"/>
      <w:szCs w:val="21"/>
    </w:rPr>
  </w:style>
  <w:style w:type="paragraph" w:customStyle="1" w:styleId="379">
    <w:name w:val="列表1"/>
    <w:basedOn w:val="1"/>
    <w:qFormat/>
    <w:uiPriority w:val="0"/>
    <w:pPr>
      <w:ind w:left="200" w:hanging="200"/>
    </w:pPr>
    <w:rPr>
      <w:rFonts w:ascii="Times New Roman" w:hAnsi="Times New Roman" w:eastAsia="宋体"/>
      <w:szCs w:val="21"/>
    </w:rPr>
  </w:style>
  <w:style w:type="paragraph" w:customStyle="1" w:styleId="380">
    <w:name w:val="目录 611"/>
    <w:basedOn w:val="1"/>
    <w:next w:val="1"/>
    <w:semiHidden/>
    <w:qFormat/>
    <w:uiPriority w:val="0"/>
    <w:pPr>
      <w:ind w:left="1050"/>
      <w:jc w:val="left"/>
    </w:pPr>
    <w:rPr>
      <w:rFonts w:ascii="Times New Roman" w:hAnsi="Times New Roman" w:eastAsia="宋体"/>
      <w:szCs w:val="21"/>
    </w:rPr>
  </w:style>
  <w:style w:type="paragraph" w:customStyle="1" w:styleId="381">
    <w:name w:val="正文文本缩进 31"/>
    <w:basedOn w:val="1"/>
    <w:link w:val="382"/>
    <w:qFormat/>
    <w:uiPriority w:val="0"/>
    <w:pPr>
      <w:ind w:left="645" w:firstLine="645"/>
    </w:pPr>
    <w:rPr>
      <w:rFonts w:ascii="Arial" w:hAnsi="Arial" w:eastAsia="仿宋_GB2312"/>
      <w:color w:val="FFFF00"/>
      <w:sz w:val="32"/>
      <w:szCs w:val="32"/>
      <w:lang w:eastAsia="en-US"/>
    </w:rPr>
  </w:style>
  <w:style w:type="character" w:customStyle="1" w:styleId="382">
    <w:name w:val="正文文本缩进 3 Char"/>
    <w:link w:val="381"/>
    <w:qFormat/>
    <w:uiPriority w:val="0"/>
    <w:rPr>
      <w:rFonts w:ascii="Arial" w:hAnsi="Arial" w:eastAsia="仿宋_GB2312" w:cs="Times New Roman"/>
      <w:color w:val="FFFF00"/>
      <w:sz w:val="32"/>
      <w:szCs w:val="32"/>
      <w:lang w:eastAsia="en-US"/>
    </w:rPr>
  </w:style>
  <w:style w:type="paragraph" w:customStyle="1" w:styleId="383">
    <w:name w:val="图表目录1"/>
    <w:basedOn w:val="1"/>
    <w:next w:val="1"/>
    <w:semiHidden/>
    <w:qFormat/>
    <w:uiPriority w:val="0"/>
    <w:pPr>
      <w:ind w:left="840" w:hanging="420"/>
    </w:pPr>
    <w:rPr>
      <w:rFonts w:ascii="Times New Roman" w:hAnsi="Times New Roman" w:eastAsia="宋体"/>
      <w:szCs w:val="21"/>
    </w:rPr>
  </w:style>
  <w:style w:type="paragraph" w:customStyle="1" w:styleId="384">
    <w:name w:val="目录 211"/>
    <w:basedOn w:val="1"/>
    <w:next w:val="1"/>
    <w:semiHidden/>
    <w:qFormat/>
    <w:uiPriority w:val="0"/>
    <w:pPr>
      <w:ind w:left="210"/>
      <w:jc w:val="left"/>
    </w:pPr>
    <w:rPr>
      <w:rFonts w:ascii="Times New Roman" w:hAnsi="Times New Roman" w:eastAsia="宋体"/>
      <w:smallCaps/>
      <w:szCs w:val="24"/>
    </w:rPr>
  </w:style>
  <w:style w:type="paragraph" w:customStyle="1" w:styleId="385">
    <w:name w:val="目录 911"/>
    <w:basedOn w:val="1"/>
    <w:next w:val="1"/>
    <w:semiHidden/>
    <w:qFormat/>
    <w:uiPriority w:val="0"/>
    <w:pPr>
      <w:ind w:left="1680"/>
      <w:jc w:val="left"/>
    </w:pPr>
    <w:rPr>
      <w:rFonts w:ascii="Times New Roman" w:hAnsi="Times New Roman" w:eastAsia="宋体"/>
      <w:szCs w:val="21"/>
    </w:rPr>
  </w:style>
  <w:style w:type="paragraph" w:customStyle="1" w:styleId="386">
    <w:name w:val="正文文本 21"/>
    <w:basedOn w:val="1"/>
    <w:link w:val="387"/>
    <w:qFormat/>
    <w:uiPriority w:val="0"/>
    <w:pPr>
      <w:widowControl/>
      <w:jc w:val="center"/>
    </w:pPr>
    <w:rPr>
      <w:rFonts w:ascii="楷体_GB2312" w:hAnsi="Times New Roman" w:eastAsia="楷体_GB2312"/>
      <w:sz w:val="28"/>
      <w:szCs w:val="28"/>
      <w:lang w:eastAsia="en-US"/>
    </w:rPr>
  </w:style>
  <w:style w:type="character" w:customStyle="1" w:styleId="387">
    <w:name w:val="正文文本 2 Char"/>
    <w:link w:val="386"/>
    <w:qFormat/>
    <w:uiPriority w:val="0"/>
    <w:rPr>
      <w:rFonts w:ascii="楷体_GB2312" w:hAnsi="Times New Roman" w:eastAsia="楷体_GB2312" w:cs="Times New Roman"/>
      <w:sz w:val="28"/>
      <w:szCs w:val="28"/>
      <w:lang w:eastAsia="en-US"/>
    </w:rPr>
  </w:style>
  <w:style w:type="paragraph" w:customStyle="1" w:styleId="38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89">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390">
    <w:name w:val="批注主题1"/>
    <w:basedOn w:val="353"/>
    <w:next w:val="353"/>
    <w:link w:val="391"/>
    <w:semiHidden/>
    <w:qFormat/>
    <w:uiPriority w:val="0"/>
    <w:rPr>
      <w:b/>
      <w:bCs/>
    </w:rPr>
  </w:style>
  <w:style w:type="character" w:customStyle="1" w:styleId="391">
    <w:name w:val="批注主题 Char"/>
    <w:link w:val="390"/>
    <w:semiHidden/>
    <w:qFormat/>
    <w:uiPriority w:val="0"/>
    <w:rPr>
      <w:rFonts w:ascii="Times New Roman" w:hAnsi="Times New Roman" w:eastAsia="宋体" w:cs="Times New Roman"/>
      <w:b/>
      <w:bCs/>
      <w:szCs w:val="21"/>
      <w:lang w:eastAsia="en-US"/>
    </w:rPr>
  </w:style>
  <w:style w:type="paragraph" w:customStyle="1" w:styleId="392">
    <w:name w:val="正文首行缩进1"/>
    <w:basedOn w:val="1"/>
    <w:link w:val="393"/>
    <w:qFormat/>
    <w:uiPriority w:val="0"/>
    <w:pPr>
      <w:spacing w:line="360" w:lineRule="auto"/>
      <w:ind w:firstLine="200"/>
    </w:pPr>
    <w:rPr>
      <w:rFonts w:ascii="仿宋_GB2312" w:hAnsi="Times New Roman" w:eastAsia="仿宋_GB2312"/>
      <w:sz w:val="30"/>
      <w:szCs w:val="30"/>
      <w:lang w:eastAsia="en-US"/>
    </w:rPr>
  </w:style>
  <w:style w:type="character" w:customStyle="1" w:styleId="393">
    <w:name w:val="正文首行缩进 Char"/>
    <w:link w:val="392"/>
    <w:qFormat/>
    <w:uiPriority w:val="0"/>
    <w:rPr>
      <w:rFonts w:ascii="仿宋_GB2312" w:hAnsi="Times New Roman" w:eastAsia="仿宋_GB2312" w:cs="Times New Roman"/>
      <w:sz w:val="30"/>
      <w:szCs w:val="30"/>
      <w:lang w:eastAsia="en-US"/>
    </w:rPr>
  </w:style>
  <w:style w:type="paragraph" w:customStyle="1" w:styleId="394">
    <w:name w:val="正文首行缩进 21"/>
    <w:basedOn w:val="359"/>
    <w:link w:val="395"/>
    <w:qFormat/>
    <w:uiPriority w:val="0"/>
    <w:pPr>
      <w:spacing w:line="360" w:lineRule="auto"/>
      <w:ind w:firstLine="420"/>
    </w:pPr>
    <w:rPr>
      <w:rFonts w:ascii="宋体" w:hAnsi="宋体" w:eastAsia="宋体"/>
      <w:szCs w:val="20"/>
    </w:rPr>
  </w:style>
  <w:style w:type="character" w:customStyle="1" w:styleId="395">
    <w:name w:val="正文首行缩进 2 Char"/>
    <w:link w:val="394"/>
    <w:qFormat/>
    <w:uiPriority w:val="0"/>
    <w:rPr>
      <w:rFonts w:ascii="宋体" w:hAnsi="宋体" w:eastAsia="宋体" w:cs="Times New Roman"/>
      <w:sz w:val="32"/>
      <w:lang w:eastAsia="en-US"/>
    </w:rPr>
  </w:style>
  <w:style w:type="character" w:customStyle="1" w:styleId="396">
    <w:name w:val="要点1"/>
    <w:qFormat/>
    <w:uiPriority w:val="0"/>
    <w:rPr>
      <w:b/>
      <w:bCs/>
    </w:rPr>
  </w:style>
  <w:style w:type="character" w:customStyle="1" w:styleId="397">
    <w:name w:val="页码1"/>
    <w:qFormat/>
    <w:uiPriority w:val="0"/>
  </w:style>
  <w:style w:type="character" w:customStyle="1" w:styleId="398">
    <w:name w:val="已访问的超链接1"/>
    <w:qFormat/>
    <w:uiPriority w:val="0"/>
    <w:rPr>
      <w:color w:val="800080"/>
      <w:u w:val="single"/>
    </w:rPr>
  </w:style>
  <w:style w:type="character" w:customStyle="1" w:styleId="399">
    <w:name w:val="HTML 打字机1"/>
    <w:qFormat/>
    <w:uiPriority w:val="99"/>
    <w:rPr>
      <w:rFonts w:ascii="宋体" w:hAnsi="宋体" w:eastAsia="宋体" w:cs="宋体"/>
      <w:sz w:val="24"/>
      <w:szCs w:val="24"/>
    </w:rPr>
  </w:style>
  <w:style w:type="character" w:customStyle="1" w:styleId="400">
    <w:name w:val="超链接1"/>
    <w:qFormat/>
    <w:uiPriority w:val="0"/>
    <w:rPr>
      <w:color w:val="0000FF"/>
      <w:u w:val="single"/>
    </w:rPr>
  </w:style>
  <w:style w:type="character" w:customStyle="1" w:styleId="401">
    <w:name w:val="二级目录 Char"/>
    <w:link w:val="402"/>
    <w:qFormat/>
    <w:uiPriority w:val="0"/>
    <w:rPr>
      <w:b/>
      <w:sz w:val="30"/>
      <w:szCs w:val="28"/>
    </w:rPr>
  </w:style>
  <w:style w:type="paragraph" w:customStyle="1" w:styleId="402">
    <w:name w:val="二级目录"/>
    <w:next w:val="1"/>
    <w:link w:val="401"/>
    <w:qFormat/>
    <w:uiPriority w:val="0"/>
    <w:pPr>
      <w:numPr>
        <w:ilvl w:val="0"/>
        <w:numId w:val="4"/>
      </w:numPr>
      <w:tabs>
        <w:tab w:val="left" w:pos="1145"/>
      </w:tabs>
      <w:outlineLvl w:val="1"/>
    </w:pPr>
    <w:rPr>
      <w:rFonts w:hint="default" w:ascii="Calibri" w:hAnsi="Calibri" w:eastAsia="Arial" w:cs="Times New Roman"/>
      <w:b/>
      <w:sz w:val="30"/>
      <w:szCs w:val="28"/>
      <w:lang w:val="en-US" w:eastAsia="zh-CN" w:bidi="ar-SA"/>
    </w:rPr>
  </w:style>
  <w:style w:type="paragraph" w:customStyle="1" w:styleId="403">
    <w:name w:val="Body Text(ch)"/>
    <w:basedOn w:val="1"/>
    <w:next w:val="357"/>
    <w:qFormat/>
    <w:uiPriority w:val="0"/>
    <w:pPr>
      <w:spacing w:after="120"/>
    </w:pPr>
    <w:rPr>
      <w:rFonts w:ascii="宋体" w:hAnsi="Arial" w:eastAsia="宋体"/>
      <w:bCs/>
      <w:iCs/>
      <w:szCs w:val="24"/>
    </w:rPr>
  </w:style>
  <w:style w:type="paragraph" w:customStyle="1" w:styleId="404">
    <w:name w:val="Char"/>
    <w:basedOn w:val="1"/>
    <w:qFormat/>
    <w:uiPriority w:val="0"/>
    <w:pPr>
      <w:tabs>
        <w:tab w:val="left" w:pos="360"/>
      </w:tabs>
      <w:ind w:firstLine="200"/>
    </w:pPr>
    <w:rPr>
      <w:rFonts w:ascii="Times New Roman" w:hAnsi="Times New Roman" w:eastAsia="宋体"/>
      <w:sz w:val="28"/>
      <w:szCs w:val="30"/>
    </w:rPr>
  </w:style>
  <w:style w:type="paragraph" w:customStyle="1" w:styleId="405">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06">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07">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08">
    <w:name w:val="列出段落21"/>
    <w:basedOn w:val="1"/>
    <w:qFormat/>
    <w:uiPriority w:val="99"/>
    <w:pPr>
      <w:widowControl/>
      <w:ind w:left="720"/>
      <w:contextualSpacing/>
      <w:jc w:val="left"/>
    </w:pPr>
    <w:rPr>
      <w:rFonts w:eastAsia="宋体"/>
      <w:sz w:val="24"/>
      <w:szCs w:val="24"/>
      <w:lang w:eastAsia="en-US" w:bidi="en-US"/>
    </w:rPr>
  </w:style>
  <w:style w:type="paragraph" w:customStyle="1" w:styleId="409">
    <w:name w:val="4"/>
    <w:basedOn w:val="1"/>
    <w:next w:val="381"/>
    <w:qFormat/>
    <w:uiPriority w:val="0"/>
    <w:pPr>
      <w:spacing w:line="360" w:lineRule="auto"/>
      <w:ind w:firstLine="420"/>
    </w:pPr>
    <w:rPr>
      <w:rFonts w:ascii="Times New Roman" w:hAnsi="Times New Roman" w:eastAsia="宋体"/>
      <w:color w:val="FF0000"/>
      <w:sz w:val="24"/>
      <w:szCs w:val="24"/>
    </w:rPr>
  </w:style>
  <w:style w:type="paragraph" w:customStyle="1" w:styleId="410">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11">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12">
    <w:name w:val="样式1"/>
    <w:basedOn w:val="1"/>
    <w:qFormat/>
    <w:uiPriority w:val="0"/>
    <w:pPr>
      <w:numPr>
        <w:ilvl w:val="0"/>
        <w:numId w:val="5"/>
      </w:numPr>
    </w:pPr>
    <w:rPr>
      <w:rFonts w:ascii="宋体" w:hAnsi="宋体" w:eastAsia="宋体"/>
      <w:szCs w:val="21"/>
    </w:rPr>
  </w:style>
  <w:style w:type="paragraph" w:customStyle="1" w:styleId="41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1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15">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16">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1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18">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19">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20">
    <w:name w:val="目录 111"/>
    <w:basedOn w:val="1"/>
    <w:next w:val="1"/>
    <w:unhideWhenUsed/>
    <w:qFormat/>
    <w:uiPriority w:val="39"/>
    <w:pPr>
      <w:widowControl/>
      <w:spacing w:after="100" w:line="259" w:lineRule="auto"/>
      <w:jc w:val="left"/>
    </w:pPr>
    <w:rPr>
      <w:rFonts w:eastAsia="宋体"/>
      <w:sz w:val="22"/>
    </w:rPr>
  </w:style>
  <w:style w:type="table" w:customStyle="1" w:styleId="421">
    <w:name w:val="网格型5"/>
    <w:basedOn w:val="46"/>
    <w:qFormat/>
    <w:uiPriority w:val="0"/>
    <w:pPr>
      <w:widowControl w:val="0"/>
      <w:jc w:val="both"/>
    </w:pPr>
  </w:style>
  <w:style w:type="paragraph" w:customStyle="1" w:styleId="422">
    <w:name w:val="a0"/>
    <w:basedOn w:val="1"/>
    <w:qFormat/>
    <w:uiPriority w:val="0"/>
    <w:pPr>
      <w:widowControl/>
      <w:spacing w:before="100" w:beforeAutospacing="1" w:after="100" w:afterAutospacing="1"/>
      <w:jc w:val="left"/>
    </w:pPr>
    <w:rPr>
      <w:rFonts w:ascii="宋体" w:hAnsi="宋体" w:cs="宋体"/>
    </w:rPr>
  </w:style>
  <w:style w:type="character" w:customStyle="1" w:styleId="423">
    <w:name w:val="NormalCharacter1"/>
    <w:qFormat/>
    <w:uiPriority w:val="0"/>
  </w:style>
  <w:style w:type="paragraph" w:customStyle="1" w:styleId="424">
    <w:name w:val="_Style 1"/>
    <w:basedOn w:val="1"/>
    <w:qFormat/>
    <w:uiPriority w:val="34"/>
    <w:pPr>
      <w:ind w:firstLine="420"/>
    </w:pPr>
  </w:style>
  <w:style w:type="paragraph" w:customStyle="1" w:styleId="425">
    <w:name w:val="UserStyle_0"/>
    <w:basedOn w:val="1"/>
    <w:qFormat/>
    <w:uiPriority w:val="0"/>
    <w:pPr>
      <w:widowControl/>
      <w:spacing w:after="120"/>
      <w:ind w:left="420" w:firstLine="420"/>
    </w:pPr>
    <w:rPr>
      <w:rFonts w:ascii="Times New Roman" w:hAnsi="Times New Roman"/>
      <w:szCs w:val="20"/>
    </w:rPr>
  </w:style>
  <w:style w:type="paragraph" w:customStyle="1" w:styleId="426">
    <w:name w:val="UserStyle_87"/>
    <w:basedOn w:val="1"/>
    <w:qFormat/>
    <w:uiPriority w:val="0"/>
    <w:pPr>
      <w:widowControl/>
      <w:ind w:firstLine="420"/>
    </w:pPr>
  </w:style>
  <w:style w:type="character" w:customStyle="1" w:styleId="427">
    <w:name w:val="UserStyle_88"/>
    <w:qFormat/>
    <w:uiPriority w:val="0"/>
  </w:style>
  <w:style w:type="paragraph" w:customStyle="1" w:styleId="428">
    <w:name w:val="BodyText1I21"/>
    <w:basedOn w:val="1"/>
    <w:qFormat/>
    <w:uiPriority w:val="0"/>
    <w:pPr>
      <w:spacing w:after="120"/>
      <w:ind w:left="420" w:firstLine="420"/>
    </w:pPr>
    <w:rPr>
      <w:rFonts w:ascii="Times New Roman" w:hAnsi="Times New Roman"/>
      <w:szCs w:val="20"/>
    </w:rPr>
  </w:style>
  <w:style w:type="paragraph" w:customStyle="1" w:styleId="429">
    <w:name w:val="Table Text"/>
    <w:basedOn w:val="1"/>
    <w:semiHidden/>
    <w:qFormat/>
    <w:uiPriority w:val="0"/>
    <w:rPr>
      <w:rFonts w:ascii="宋体" w:hAnsi="宋体" w:eastAsia="宋体" w:cs="宋体"/>
      <w:sz w:val="24"/>
      <w:szCs w:val="24"/>
      <w:lang w:eastAsia="en-US"/>
    </w:rPr>
  </w:style>
  <w:style w:type="paragraph" w:customStyle="1" w:styleId="430">
    <w:name w:val="_Style 3"/>
    <w:qFormat/>
    <w:uiPriority w:val="1"/>
    <w:pPr>
      <w:widowControl w:val="0"/>
      <w:jc w:val="both"/>
    </w:pPr>
    <w:rPr>
      <w:rFonts w:ascii="Times New Roman" w:hAnsi="Times New Roman" w:eastAsia="Arial" w:cs="Times New Roman"/>
      <w:kern w:val="2"/>
      <w:sz w:val="21"/>
      <w:szCs w:val="22"/>
      <w:lang w:val="en-US" w:eastAsia="zh-CN" w:bidi="ar-SA"/>
    </w:rPr>
  </w:style>
  <w:style w:type="paragraph" w:customStyle="1" w:styleId="431">
    <w:name w:val="Body text|2"/>
    <w:basedOn w:val="1"/>
    <w:qFormat/>
    <w:uiPriority w:val="0"/>
    <w:pPr>
      <w:spacing w:line="487" w:lineRule="exact"/>
      <w:ind w:firstLine="540"/>
    </w:pPr>
    <w:rPr>
      <w:rFonts w:ascii="宋体" w:hAnsi="宋体" w:cs="宋体"/>
      <w:lang w:val="zh-TW" w:eastAsia="zh-TW" w:bidi="zh-TW"/>
    </w:rPr>
  </w:style>
  <w:style w:type="paragraph" w:customStyle="1" w:styleId="432">
    <w:name w:val="BodyText1I"/>
    <w:basedOn w:val="433"/>
    <w:qFormat/>
    <w:uiPriority w:val="0"/>
    <w:pPr>
      <w:spacing w:after="120" w:line="440" w:lineRule="exact"/>
      <w:ind w:firstLine="420" w:firstLineChars="100"/>
    </w:pPr>
    <w:rPr>
      <w:rFonts w:ascii="宋体"/>
      <w:kern w:val="2"/>
      <w:sz w:val="24"/>
      <w:szCs w:val="28"/>
    </w:rPr>
  </w:style>
  <w:style w:type="paragraph" w:customStyle="1" w:styleId="433">
    <w:name w:val="BodyText"/>
    <w:basedOn w:val="1"/>
    <w:qFormat/>
    <w:uiPriority w:val="0"/>
    <w:rPr>
      <w:kern w:val="0"/>
      <w:sz w:val="20"/>
    </w:rPr>
  </w:style>
  <w:style w:type="character" w:customStyle="1" w:styleId="434">
    <w:name w:val="font61"/>
    <w:basedOn w:val="48"/>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0e23815f-e8c6-4b32-a8e7-36a18601b49c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54541086</paraID>
      <start>11</start>
      <end>14</end>
      <status>unmodified</status>
      <modifiedWord/>
      <trackRevisions>false</trackRevisions>
    </reviewItem>
    <reviewItem>
      <errorID>23a75c70-9167-46f9-bce0-bf8c2dc97dd6</errorID>
      <errorWord>卫计委</errorWord>
      <group>L1_Knowledge</group>
      <groupName>知识性问题</groupName>
      <ability>L2_Knowledge</ability>
      <abilityName>其他知识</abilityName>
      <candidateList>
        <item>卫健委</item>
      </candidateList>
      <explain/>
      <paraID>54541086</paraID>
      <start>15</start>
      <end>18</end>
      <status>unmodified</status>
      <modifiedWord/>
      <trackRevisions>false</trackRevisions>
    </reviewItem>
    <reviewItem>
      <errorID>6b96fab9-4462-4d38-ab0a-a29aae61af03</errorID>
      <errorWord>做</errorWord>
      <group>L1_Word</group>
      <groupName>字词问题</groupName>
      <ability>L2_Typo</ability>
      <abilityName>字词错误</abilityName>
      <candidateList>
        <item>作</item>
      </candidateList>
      <explain>存在发音相同字词的误用。</explain>
      <paraID>60057AB5</paraID>
      <start>70</start>
      <end>71</end>
      <status>unmodified</status>
      <modifiedWord/>
      <trackRevisions>false</trackRevisions>
    </reviewItem>
    <reviewItem>
      <errorID>0a49d959-5ed4-4dde-be5e-cd618b96715c</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2e2e612a-5c48-4c77-8b8d-01044513a4d5</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5d4f150c-7014-4c8b-8dfd-f48804000402</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f19e4e96-ced6-41f2-980c-aacdb677837e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77FB4598</paraID>
      <start>0</start>
      <end>2</end>
      <status>unmodified</status>
      <modifiedWord/>
      <trackRevisions>false</trackRevisions>
    </reviewItem>
    <reviewItem>
      <errorID>46c895d6-bb18-4f1d-8898-42ebca29f249</errorID>
      <errorWord>增强</errorWord>
      <group>L1_Grammar</group>
      <groupName>语法问题</groupName>
      <ability>L2_Grammar</ability>
      <abilityName>语法错误</abilityName>
      <candidateList>
        <item>提升</item>
      </candidateList>
      <explain>“增强～水平”搭配不当，建议修改为“提升～水平”。</explain>
      <paraID>77FB4598</paraID>
      <start>43</start>
      <end>45</end>
      <status>unmodified</status>
      <modifiedWord/>
      <trackRevisions>false</trackRevisions>
    </reviewItem>
    <reviewItem>
      <errorID>52676e63-e826-417f-96c4-e5e95983227d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5F07B8E5</paraID>
      <start>0</start>
      <end>2</end>
      <status>unmodified</status>
      <modifiedWord/>
      <trackRevisions>false</trackRevisions>
    </reviewItem>
    <reviewItem>
      <errorID>5e8a2115-d671-4055-92f5-eefef72e3f79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2414B5A3</paraID>
      <start>0</start>
      <end>2</end>
      <status>unmodified</status>
      <modifiedWord/>
      <trackRevisions>false</trackRevisions>
    </reviewItem>
    <reviewItem>
      <errorID>c07173fa-c37f-4e5e-93d3-4b81ceaf15a7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2F16D75E</paraID>
      <start>0</start>
      <end>2</end>
      <status>unmodified</status>
      <modifiedWord/>
      <trackRevisions>false</trackRevisions>
    </reviewItem>
    <reviewItem>
      <errorID>32ab710f-28db-41e7-a278-75d11e32f686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6A082267</paraID>
      <start>0</start>
      <end>2</end>
      <status>unmodified</status>
      <modifiedWord/>
      <trackRevisions>false</trackRevisions>
    </reviewItem>
    <reviewItem>
      <errorID>c9d8e89d-8a3c-435a-9f01-f047fc4f29bb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1BD43524</paraID>
      <start>0</start>
      <end>2</end>
      <status>unmodified</status>
      <modifiedWord/>
      <trackRevisions>false</trackRevisions>
    </reviewItem>
    <reviewItem>
      <errorID>4ae6617a-4a56-4078-97c0-210bfa3048a1</errorID>
      <errorWord>详实</errorWord>
      <group>L1_Word</group>
      <groupName>字词问题</groupName>
      <ability>L2_Typo</ability>
      <abilityName>字词错误</abilityName>
      <candidateList>
        <item>翔实</item>
      </candidateList>
      <explain>存在发音相同字词的误用。</explain>
      <paraID>1BD43524</paraID>
      <start>21</start>
      <end>23</end>
      <status>unmodified</status>
      <modifiedWord/>
      <trackRevisions>false</trackRevisions>
    </reviewItem>
    <reviewItem>
      <errorID>1f98d5a0-f2ec-4a93-ac97-682e12a0dfed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459DC7BA</paraID>
      <start>0</start>
      <end>2</end>
      <status>unmodified</status>
      <modifiedWord/>
      <trackRevisions>false</trackRevisions>
    </reviewItem>
    <reviewItem>
      <errorID>6d81e390-5b64-4360-ac1d-802874a504a0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6FD6EB3B</paraID>
      <start>0</start>
      <end>2</end>
      <status>unmodified</status>
      <modifiedWord/>
      <trackRevisions>false</trackRevisions>
    </reviewItem>
    <reviewItem>
      <errorID>4846990c-47dd-4906-9646-026335f38983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74641B30</paraID>
      <start>0</start>
      <end>2</end>
      <status>unmodified</status>
      <modifiedWord/>
      <trackRevisions>false</trackRevisions>
    </reviewItem>
    <reviewItem>
      <errorID>f6834199-cd52-458c-8f30-73f2e4586f4b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19C403B6</paraID>
      <start>0</start>
      <end>2</end>
      <status>unmodified</status>
      <modifiedWord/>
      <trackRevisions>false</trackRevisions>
    </reviewItem>
    <reviewItem>
      <errorID>eea93407-f610-48c6-9cb0-b32a5d4176b8</errorID>
      <errorWord>日</errorWord>
      <group>L1_Word</group>
      <groupName>字词问题</groupName>
      <ability>L2_Typo</ability>
      <abilityName>字词错误</abilityName>
      <candidateList>
        <item>日内</item>
      </candidateList>
      <explain/>
      <paraID>19C403B6</paraID>
      <start>32</start>
      <end>33</end>
      <status>unmodified</status>
      <modifiedWord/>
      <trackRevisions>false</trackRevisions>
    </reviewItem>
    <reviewItem>
      <errorID>08d21399-d863-4a97-95f7-1b3cfb67ae7d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6875E5A7</paraID>
      <start>0</start>
      <end>2</end>
      <status>unmodified</status>
      <modifiedWord/>
      <trackRevisions>false</trackRevisions>
    </reviewItem>
    <reviewItem>
      <errorID>1c22ca75-381a-42dd-bb7f-70e614721958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641DFD91</paraID>
      <start>0</start>
      <end>2</end>
      <status>unmodified</status>
      <modifiedWord/>
      <trackRevisions>false</trackRevisions>
    </reviewItem>
    <reviewItem>
      <errorID>35b3f91f-ceff-4863-898f-49efab9ea87e</errorID>
      <errorWord>方</errorWord>
      <group>L1_Word</group>
      <groupName>字词问题</groupName>
      <ability>L2_Typo</ability>
      <abilityName>字词错误</abilityName>
      <candidateList>
        <item>方对</item>
      </candidateList>
      <explain/>
      <paraID>641DFD91</paraID>
      <start>21</start>
      <end>22</end>
      <status>unmodified</status>
      <modifiedWord/>
      <trackRevisions>false</trackRevisions>
    </reviewItem>
    <reviewItem>
      <errorID>ff8cf53e-3d2d-403d-91b1-0df8e45730a5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5997502D</paraID>
      <start>0</start>
      <end>2</end>
      <status>unmodified</status>
      <modifiedWord/>
      <trackRevisions>false</trackRevisions>
    </reviewItem>
    <reviewItem>
      <errorID>3acd7e9a-80cf-40db-9ace-fecda9a3fefd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55F2E4A3</paraID>
      <start>0</start>
      <end>2</end>
      <status>unmodified</status>
      <modifiedWord/>
      <trackRevisions>false</trackRevisions>
    </reviewItem>
    <reviewItem>
      <errorID>3a628e04-aa09-4e61-95dc-890d09df3999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51BBA9A</paraID>
      <start>0</start>
      <end>2</end>
      <status>unmodified</status>
      <modifiedWord/>
      <trackRevisions>false</trackRevisions>
    </reviewItem>
    <reviewItem>
      <errorID>0d02e560-2c67-44b2-81d0-222961cdb746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5F74AF0A</paraID>
      <start>0</start>
      <end>2</end>
      <status>unmodified</status>
      <modifiedWord/>
      <trackRevisions>false</trackRevisions>
    </reviewItem>
    <reviewItem>
      <errorID>5037b5f3-efa9-4e47-a4cb-7b6cf3d06f6c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5284DBD6</paraID>
      <start>0</start>
      <end>2</end>
      <status>unmodified</status>
      <modifiedWord/>
      <trackRevisions>false</trackRevisions>
    </reviewItem>
    <reviewItem>
      <errorID>9e426c7f-2481-41b6-b159-fa7568cc863b</errorID>
      <errorWord>(</errorWord>
      <group>L1_Format</group>
      <groupName>格式问题</groupName>
      <ability>L2_HalfPunc</ability>
      <abilityName>全半角检查</abilityName>
      <candidateList>
        <item>（</item>
      </candidateList>
      <explain>文本全半角错误。</explain>
      <paraID>5938B26D</paraID>
      <start>10</start>
      <end>11</end>
      <status>modified</status>
      <modifiedWord>（</modifiedWord>
      <trackRevisions>false</trackRevisions>
    </reviewItem>
    <reviewItem>
      <errorID>4e489d4e-14e4-4240-a226-d85a198992c8</errorID>
      <errorWord>)</errorWord>
      <group>L1_Format</group>
      <groupName>格式问题</groupName>
      <ability>L2_HalfPunc</ability>
      <abilityName>全半角检查</abilityName>
      <candidateList>
        <item>）</item>
      </candidateList>
      <explain>文本全半角错误。</explain>
      <paraID>5938B26D</paraID>
      <start>13</start>
      <end>14</end>
      <status>modified</status>
      <modifiedWord>）</modifiedWord>
      <trackRevisions>false</trackRevisions>
    </reviewItem>
    <reviewItem>
      <errorID>48206fe7-1ebd-489d-b99a-8d9b539cb12e</errorID>
      <errorWord>(</errorWord>
      <group>L1_Format</group>
      <groupName>格式问题</groupName>
      <ability>L2_HalfPunc</ability>
      <abilityName>全半角检查</abilityName>
      <candidateList>
        <item>（</item>
      </candidateList>
      <explain>文本全半角错误。</explain>
      <paraID>5938B26D</paraID>
      <start>19</start>
      <end>20</end>
      <status>modified</status>
      <modifiedWord>（</modifiedWord>
      <trackRevisions>false</trackRevisions>
    </reviewItem>
    <reviewItem>
      <errorID>d7c6a4d1-9b11-42ab-b248-50dc421b0e8c</errorID>
      <errorWord>)</errorWord>
      <group>L1_Format</group>
      <groupName>格式问题</groupName>
      <ability>L2_HalfPunc</ability>
      <abilityName>全半角检查</abilityName>
      <candidateList>
        <item>）</item>
      </candidateList>
      <explain>文本全半角错误。</explain>
      <paraID>5938B26D</paraID>
      <start>24</start>
      <end>25</end>
      <status>modified</status>
      <modifiedWord>）</modifiedWord>
      <trackRevisions>false</trackRevisions>
    </reviewItem>
    <reviewItem>
      <errorID>534fba83-48f0-4f82-a210-7ab3c0e8e0ea</errorID>
      <errorWord>(</errorWord>
      <group>L1_Format</group>
      <groupName>格式问题</groupName>
      <ability>L2_HalfPunc</ability>
      <abilityName>全半角检查</abilityName>
      <candidateList>
        <item>（</item>
      </candidateList>
      <explain>文本全半角错误。</explain>
      <paraID>5938B26D</paraID>
      <start>29</start>
      <end>30</end>
      <status>modified</status>
      <modifiedWord>（</modifiedWord>
      <trackRevisions>false</trackRevisions>
    </reviewItem>
    <reviewItem>
      <errorID>a0e7246d-8c10-4505-9ce6-70a0b60c0148</errorID>
      <errorWord>)</errorWord>
      <group>L1_Format</group>
      <groupName>格式问题</groupName>
      <ability>L2_HalfPunc</ability>
      <abilityName>全半角检查</abilityName>
      <candidateList>
        <item>）</item>
      </candidateList>
      <explain>文本全半角错误。</explain>
      <paraID>5938B26D</paraID>
      <start>34</start>
      <end>35</end>
      <status>modified</status>
      <modifiedWord>）</modifiedWord>
      <trackRevisions>false</trackRevisions>
    </reviewItem>
    <reviewItem>
      <errorID>7878c8eb-dde6-4c2e-8759-4e9f2f446379</errorID>
      <errorWord>(</errorWord>
      <group>L1_Format</group>
      <groupName>格式问题</groupName>
      <ability>L2_HalfPunc</ability>
      <abilityName>全半角检查</abilityName>
      <candidateList>
        <item>（</item>
      </candidateList>
      <explain>文本全半角错误。</explain>
      <paraID>5938B26D</paraID>
      <start>40</start>
      <end>41</end>
      <status>modified</status>
      <modifiedWord>（</modifiedWord>
      <trackRevisions>false</trackRevisions>
    </reviewItem>
    <reviewItem>
      <errorID>ff540e20-2814-484d-9d80-8c812780dcd1</errorID>
      <errorWord>)</errorWord>
      <group>L1_Format</group>
      <groupName>格式问题</groupName>
      <ability>L2_HalfPunc</ability>
      <abilityName>全半角检查</abilityName>
      <candidateList>
        <item>）</item>
      </candidateList>
      <explain>文本全半角错误。</explain>
      <paraID>5938B26D</paraID>
      <start>43</start>
      <end>44</end>
      <status>modified</status>
      <modifiedWord>）</modifiedWord>
      <trackRevisions>false</trackRevisions>
    </reviewItem>
    <reviewItem>
      <errorID>fb9e33e2-c2d9-4850-8dd7-10bc13ee9a2c</errorID>
      <errorWord>(</errorWord>
      <group>L1_Format</group>
      <groupName>格式问题</groupName>
      <ability>L2_HalfPunc</ability>
      <abilityName>全半角检查</abilityName>
      <candidateList>
        <item>（</item>
      </candidateList>
      <explain>文本全半角错误。</explain>
      <paraID>47FED950</paraID>
      <start>12</start>
      <end>13</end>
      <status>modified</status>
      <modifiedWord>（</modifiedWord>
      <trackRevisions>false</trackRevisions>
    </reviewItem>
    <reviewItem>
      <errorID>ee6e7745-bdbf-41d6-8062-a5bb8dca89a8</errorID>
      <errorWord>)</errorWord>
      <group>L1_Format</group>
      <groupName>格式问题</groupName>
      <ability>L2_HalfPunc</ability>
      <abilityName>全半角检查</abilityName>
      <candidateList>
        <item>）</item>
      </candidateList>
      <explain>文本全半角错误。</explain>
      <paraID>47FED950</paraID>
      <start>18</start>
      <end>19</end>
      <status>modified</status>
      <modifiedWord>）</modifiedWord>
      <trackRevisions>false</trackRevisions>
    </reviewItem>
    <reviewItem>
      <errorID>303fe2d7-73f5-4478-9be2-8602d69bb53c</errorID>
      <errorWord>(</errorWord>
      <group>L1_Format</group>
      <groupName>格式问题</groupName>
      <ability>L2_HalfPunc</ability>
      <abilityName>全半角检查</abilityName>
      <candidateList>
        <item>（</item>
      </candidateList>
      <explain>文本全半角错误。</explain>
      <paraID>4A21F911</paraID>
      <start>15</start>
      <end>16</end>
      <status>modified</status>
      <modifiedWord>（</modifiedWord>
      <trackRevisions>false</trackRevisions>
    </reviewItem>
    <reviewItem>
      <errorID>38980ec5-0810-4517-a621-ec76a1a70a36</errorID>
      <errorWord>)</errorWord>
      <group>L1_Format</group>
      <groupName>格式问题</groupName>
      <ability>L2_HalfPunc</ability>
      <abilityName>全半角检查</abilityName>
      <candidateList>
        <item>）</item>
      </candidateList>
      <explain>文本全半角错误。</explain>
      <paraID>4A21F911</paraID>
      <start>23</start>
      <end>24</end>
      <status>modified</status>
      <modifiedWord>）</modifiedWord>
      <trackRevisions>false</trackRevisions>
    </reviewItem>
    <reviewItem>
      <errorID>e240abce-8feb-4482-8c42-2a5eb9705f46</errorID>
      <errorWord>(</errorWord>
      <group>L1_Format</group>
      <groupName>格式问题</groupName>
      <ability>L2_HalfPunc</ability>
      <abilityName>全半角检查</abilityName>
      <candidateList>
        <item>（</item>
      </candidateList>
      <explain>文本全半角错误。</explain>
      <paraID>13C56E91</paraID>
      <start>8</start>
      <end>9</end>
      <status>modified</status>
      <modifiedWord>（</modifiedWord>
      <trackRevisions>false</trackRevisions>
    </reviewItem>
    <reviewItem>
      <errorID>2649db66-95dc-4d69-b09f-1899bd331613</errorID>
      <errorWord>)</errorWord>
      <group>L1_Format</group>
      <groupName>格式问题</groupName>
      <ability>L2_HalfPunc</ability>
      <abilityName>全半角检查</abilityName>
      <candidateList>
        <item>）</item>
      </candidateList>
      <explain>文本全半角错误。</explain>
      <paraID>13C56E91</paraID>
      <start>16</start>
      <end>17</end>
      <status>modified</status>
      <modifiedWord>）</modifiedWord>
      <trackRevisions>false</trackRevisions>
    </reviewItem>
    <reviewItem>
      <errorID>51788dd3-b377-420c-8d13-e8eed2f630a4</errorID>
      <errorWord>(</errorWord>
      <group>L1_Format</group>
      <groupName>格式问题</groupName>
      <ability>L2_HalfPunc</ability>
      <abilityName>全半角检查</abilityName>
      <candidateList>
        <item>（</item>
      </candidateList>
      <explain>文本全半角错误。</explain>
      <paraID>235D8513</paraID>
      <start>8</start>
      <end>9</end>
      <status>modified</status>
      <modifiedWord>（</modifiedWord>
      <trackRevisions>false</trackRevisions>
    </reviewItem>
    <reviewItem>
      <errorID>60abeb85-7784-4190-83a0-9db18d0e7441</errorID>
      <errorWord>)</errorWord>
      <group>L1_Format</group>
      <groupName>格式问题</groupName>
      <ability>L2_HalfPunc</ability>
      <abilityName>全半角检查</abilityName>
      <candidateList>
        <item>）</item>
      </candidateList>
      <explain>文本全半角错误。</explain>
      <paraID>235D8513</paraID>
      <start>16</start>
      <end>17</end>
      <status>modified</status>
      <modifiedWord>）</modifiedWord>
      <trackRevisions>false</trackRevisions>
    </reviewItem>
    <reviewItem>
      <errorID>d79cea22-79a5-4b8c-b1c5-290ef25c1035</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 FA62D61</paraID>
      <start>0</start>
      <end>4</end>
      <status>unmodified</status>
      <modifiedWord/>
      <trackRevisions>false</trackRevisions>
    </reviewItem>
    <reviewItem>
      <errorID>08bb39db-1e73-4047-852c-5c5313ef7a32</errorID>
      <errorWord>(</errorWord>
      <group>L1_Format</group>
      <groupName>格式问题</groupName>
      <ability>L2_HalfPunc</ability>
      <abilityName>全半角检查</abilityName>
      <candidateList>
        <item>（</item>
      </candidateList>
      <explain>文本全半角错误。</explain>
      <paraID> FA62D61</paraID>
      <start>6</start>
      <end>7</end>
      <status>modified</status>
      <modifiedWord>（</modifiedWord>
      <trackRevisions>false</trackRevisions>
    </reviewItem>
    <reviewItem>
      <errorID>e82c6486-dbfe-4fd3-a2a2-473027f62e09</errorID>
      <errorWord>)</errorWord>
      <group>L1_Format</group>
      <groupName>格式问题</groupName>
      <ability>L2_HalfPunc</ability>
      <abilityName>全半角检查</abilityName>
      <candidateList>
        <item>）</item>
      </candidateList>
      <explain>文本全半角错误。</explain>
      <paraID> FA62D61</paraID>
      <start>12</start>
      <end>13</end>
      <status>modified</status>
      <modifiedWord>）</modifiedWord>
      <trackRevisions>false</trackRevisions>
    </reviewItem>
    <reviewItem>
      <errorID>234ddc50-7a4b-416e-9023-0dde86b66f82</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286F76CF</paraID>
      <start>11</start>
      <end>15</end>
      <status>unmodified</status>
      <modifiedWord/>
      <trackRevisions>false</trackRevisions>
    </reviewItem>
    <reviewItem>
      <errorID>145bd21a-f2d3-45b0-989a-b53e1390c2c4</errorID>
      <errorWord>(</errorWord>
      <group>L1_Format</group>
      <groupName>格式问题</groupName>
      <ability>L2_HalfPunc</ability>
      <abilityName>全半角检查</abilityName>
      <candidateList>
        <item>（</item>
      </candidateList>
      <explain>文本全半角错误。</explain>
      <paraID>286F76CF</paraID>
      <start>17</start>
      <end>18</end>
      <status>modified</status>
      <modifiedWord>（</modifiedWord>
      <trackRevisions>false</trackRevisions>
    </reviewItem>
    <reviewItem>
      <errorID>82d68e81-532d-47d1-aa99-8f16600ca3ca</errorID>
      <errorWord>)</errorWord>
      <group>L1_Format</group>
      <groupName>格式问题</groupName>
      <ability>L2_HalfPunc</ability>
      <abilityName>全半角检查</abilityName>
      <candidateList>
        <item>）</item>
      </candidateList>
      <explain>文本全半角错误。</explain>
      <paraID>286F76CF</paraID>
      <start>24</start>
      <end>25</end>
      <status>modified</status>
      <modifiedWord>）</modifiedWord>
      <trackRevisions>false</trackRevisions>
    </reviewItem>
    <reviewItem>
      <errorID>3dc60323-8b1c-4c21-883e-527157c19acc</errorID>
      <errorWord>(</errorWord>
      <group>L1_Format</group>
      <groupName>格式问题</groupName>
      <ability>L2_HalfPunc</ability>
      <abilityName>全半角检查</abilityName>
      <candidateList>
        <item>（</item>
      </candidateList>
      <explain>文本全半角错误。</explain>
      <paraID>3C6AC7A4</paraID>
      <start>10</start>
      <end>11</end>
      <status>modified</status>
      <modifiedWord>（</modifiedWord>
      <trackRevisions>false</trackRevisions>
    </reviewItem>
    <reviewItem>
      <errorID>e54596c6-92c6-4f23-916e-b267bab2fd83</errorID>
      <errorWord>(</errorWord>
      <group>L1_Format</group>
      <groupName>格式问题</groupName>
      <ability>L2_HalfPunc</ability>
      <abilityName>全半角检查</abilityName>
      <candidateList>
        <item>（</item>
      </candidateList>
      <explain>文本全半角错误。</explain>
      <paraID>3843098E</paraID>
      <start>10</start>
      <end>11</end>
      <status>modified</status>
      <modifiedWord>（</modifiedWord>
      <trackRevisions>false</trackRevisions>
    </reviewItem>
    <reviewItem>
      <errorID>08d2d928-30b5-4a91-b286-4b51f2d75627</errorID>
      <errorWord>(</errorWord>
      <group>L1_Format</group>
      <groupName>格式问题</groupName>
      <ability>L2_HalfPunc</ability>
      <abilityName>全半角检查</abilityName>
      <candidateList>
        <item>（</item>
      </candidateList>
      <explain>文本全半角错误。</explain>
      <paraID> D6D96A7</paraID>
      <start>9</start>
      <end>10</end>
      <status>modified</status>
      <modifiedWord>（</modifiedWord>
      <trackRevisions>false</trackRevisions>
    </reviewItem>
    <reviewItem>
      <errorID>0a4daf4b-ea89-40a3-be09-5c41aed6cd6b</errorID>
      <errorWord>)</errorWord>
      <group>L1_Format</group>
      <groupName>格式问题</groupName>
      <ability>L2_HalfPunc</ability>
      <abilityName>全半角检查</abilityName>
      <candidateList>
        <item>）</item>
      </candidateList>
      <explain>文本全半角错误。</explain>
      <paraID> D6D96A7</paraID>
      <start>14</start>
      <end>15</end>
      <status>modified</status>
      <modifiedWord>）</modifiedWord>
      <trackRevisions>false</trackRevisions>
    </reviewItem>
    <reviewItem>
      <errorID>6afbd7d4-b0b8-4e9a-8d74-f2ad14de65d4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4D2D8717</paraID>
      <start>0</start>
      <end>2</end>
      <status>unmodified</status>
      <modifiedWord/>
      <trackRevisions>false</trackRevisions>
    </reviewItem>
    <reviewItem>
      <errorID>8e8ec250-576d-4009-8d0d-d2f02b8c2c85</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14BB6B98</paraID>
      <start>32</start>
      <end>44</end>
      <status>unmodified</status>
      <modifiedWord/>
      <trackRevisions>false</trackRevisions>
    </reviewItem>
    <reviewItem>
      <errorID>9cb28c9a-986a-4c72-af74-7c8e0b879b06</errorID>
      <errorWord>的冷链运送</errorWord>
      <group>L1_Word</group>
      <groupName>字词问题</groupName>
      <ability>L2_Typo</ability>
      <abilityName>字词错误</abilityName>
      <candidateList>
        <item>的冷链运输</item>
      </candidateList>
      <explain/>
      <paraID> 9C8ED89</paraID>
      <start>31</start>
      <end>36</end>
      <status>unmodified</status>
      <modifiedWord/>
      <trackRevisions>false</trackRevisions>
    </reviewItem>
    <reviewItem>
      <errorID>8bc1cf98-3648-4333-8f40-14ddc42eec44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1167D827</paraID>
      <start>0</start>
      <end>2</end>
      <status>unmodified</status>
      <modifiedWord/>
      <trackRevisions>false</trackRevisions>
    </reviewItem>
    <reviewItem>
      <errorID>cdbcda6c-8b05-481d-8377-4b66e1cbbaa9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5FF79187</paraID>
      <start>97</start>
      <end>100</end>
      <status>unmodified</status>
      <modifiedWord/>
      <trackRevisions>false</trackRevisions>
    </reviewItem>
    <reviewItem>
      <errorID>3fa8cb69-01fd-4dd9-b524-9ebde9ba00c6</errorID>
      <errorWord>疑义</errorWord>
      <group>L1_Word</group>
      <groupName>字词问题</groupName>
      <ability>L2_Typo</ability>
      <abilityName>字词错误</abilityName>
      <candidateList>
        <item>异义</item>
      </candidateList>
      <explain/>
      <paraID>65EA3769</paraID>
      <start>163</start>
      <end>165</end>
      <status>unmodified</status>
      <modifiedWord/>
      <trackRevisions>false</trackRevisions>
    </reviewItem>
    <reviewItem>
      <errorID>dbc0b8c2-d97f-471c-a8ed-ecaaaceef5ee</errorID>
      <errorWord>（</errorWord>
      <group>L1_Punc</group>
      <groupName>标点问题</groupName>
      <ability>L2_Punc</ability>
      <abilityName>标点符号检查</abilityName>
      <candidateList/>
      <explain>同一形式括号套用。</explain>
      <paraID>658F45D6</paraID>
      <start>7</start>
      <end>8</end>
      <status>unmodified</status>
      <modifiedWord/>
      <trackRevisions>false</trackRevisions>
    </reviewItem>
    <reviewItem>
      <errorID>f3504845-292c-407c-82bc-d0082bfd1fa4</errorID>
      <errorWord>(</errorWord>
      <group>L1_Punc</group>
      <groupName>标点问题</groupName>
      <ability>L2_Punc</ability>
      <abilityName>标点符号检查</abilityName>
      <candidateList/>
      <explain>同一形式括号套用。</explain>
      <paraID>658F45D6</paraID>
      <start>33</start>
      <end>34</end>
      <status>unmodified</status>
      <modifiedWord/>
      <trackRevisions>false</trackRevisions>
    </reviewItem>
    <reviewItem>
      <errorID>fbf9a8ee-4fd5-47b8-9979-59d4e8a39fbc</errorID>
      <errorWord>)</errorWord>
      <group>L1_Punc</group>
      <groupName>标点问题</groupName>
      <ability>L2_Punc</ability>
      <abilityName>标点符号检查</abilityName>
      <candidateList/>
      <explain>同一形式括号套用。</explain>
      <paraID>658F45D6</paraID>
      <start>36</start>
      <end>37</end>
      <status>unmodified</status>
      <modifiedWord/>
      <trackRevisions>false</trackRevisions>
    </reviewItem>
    <reviewItem>
      <errorID>292392c0-8d48-46bb-aa1c-6d4bcb1869ea</errorID>
      <errorWord>(</errorWord>
      <group>L1_Punc</group>
      <groupName>标点问题</groupName>
      <ability>L2_Punc</ability>
      <abilityName>标点符号检查</abilityName>
      <candidateList/>
      <explain>同一形式括号套用。</explain>
      <paraID>658F45D6</paraID>
      <start>40</start>
      <end>41</end>
      <status>unmodified</status>
      <modifiedWord/>
      <trackRevisions>false</trackRevisions>
    </reviewItem>
    <reviewItem>
      <errorID>99319b19-e0b0-423e-8438-28b846710d9d</errorID>
      <errorWord>)</errorWord>
      <group>L1_Punc</group>
      <groupName>标点问题</groupName>
      <ability>L2_Punc</ability>
      <abilityName>标点符号检查</abilityName>
      <candidateList/>
      <explain>同一形式括号套用。</explain>
      <paraID>658F45D6</paraID>
      <start>43</start>
      <end>44</end>
      <status>unmodified</status>
      <modifiedWord/>
      <trackRevisions>false</trackRevisions>
    </reviewItem>
    <reviewItem>
      <errorID>1da71a1b-d644-47f4-9f51-b04b849cb7ab</errorID>
      <errorWord>(</errorWord>
      <group>L1_Punc</group>
      <groupName>标点问题</groupName>
      <ability>L2_Punc</ability>
      <abilityName>标点符号检查</abilityName>
      <candidateList/>
      <explain>同一形式括号套用。</explain>
      <paraID>658F45D6</paraID>
      <start>47</start>
      <end>48</end>
      <status>unmodified</status>
      <modifiedWord/>
      <trackRevisions>false</trackRevisions>
    </reviewItem>
    <reviewItem>
      <errorID>0ce22be0-67f8-48a7-ae79-a41b6bc99b41</errorID>
      <errorWord>)</errorWord>
      <group>L1_Punc</group>
      <groupName>标点问题</groupName>
      <ability>L2_Punc</ability>
      <abilityName>标点符号检查</abilityName>
      <candidateList/>
      <explain>同一形式括号套用。</explain>
      <paraID>658F45D6</paraID>
      <start>50</start>
      <end>51</end>
      <status>unmodified</status>
      <modifiedWord/>
      <trackRevisions>false</trackRevisions>
    </reviewItem>
    <reviewItem>
      <errorID>9505b94b-b6db-444c-b3fd-ab0929062fba</errorID>
      <errorWord>(</errorWord>
      <group>L1_Punc</group>
      <groupName>标点问题</groupName>
      <ability>L2_Punc</ability>
      <abilityName>标点符号检查</abilityName>
      <candidateList/>
      <explain>同一形式括号套用。</explain>
      <paraID>658F45D6</paraID>
      <start>55</start>
      <end>56</end>
      <status>unmodified</status>
      <modifiedWord/>
      <trackRevisions>false</trackRevisions>
    </reviewItem>
    <reviewItem>
      <errorID>8fd289e8-fd2a-4895-96cb-67f6e52dde6e</errorID>
      <errorWord>)</errorWord>
      <group>L1_Punc</group>
      <groupName>标点问题</groupName>
      <ability>L2_Punc</ability>
      <abilityName>标点符号检查</abilityName>
      <candidateList/>
      <explain>同一形式括号套用。</explain>
      <paraID>658F45D6</paraID>
      <start>61</start>
      <end>62</end>
      <status>unmodified</status>
      <modifiedWord/>
      <trackRevisions>false</trackRevisions>
    </reviewItem>
    <reviewItem>
      <errorID>4cd7831f-e8d4-4996-943e-bb9b24676330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7A69235C</paraID>
      <start>0</start>
      <end>2</end>
      <status>unmodified</status>
      <modifiedWord/>
      <trackRevisions>false</trackRevisions>
    </reviewItem>
    <reviewItem>
      <errorID>65e1c59e-2c7c-48ba-bc36-9b76cb777e4c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3574839</paraID>
      <start>0</start>
      <end>2</end>
      <status>unmodified</status>
      <modifiedWord/>
      <trackRevisions>false</trackRevisions>
    </reviewItem>
    <reviewItem>
      <errorID>41ee430d-47ca-4ec1-afda-29c43fadc9e5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6D3A28C7</paraID>
      <start>0</start>
      <end>2</end>
      <status>unmodified</status>
      <modifiedWord/>
      <trackRevisions>false</trackRevisions>
    </reviewItem>
    <reviewItem>
      <errorID>47ed0ddd-0e2f-4445-8083-7b28e25b6e66</errorID>
      <errorWord>详实</errorWord>
      <group>L1_Word</group>
      <groupName>字词问题</groupName>
      <ability>L2_Typo</ability>
      <abilityName>字词错误</abilityName>
      <candidateList>
        <item>翔实</item>
      </candidateList>
      <explain>存在发音相同字词的误用。</explain>
      <paraID>35FC3A79</paraID>
      <start>6</start>
      <end>8</end>
      <status>unmodified</status>
      <modifiedWord/>
      <trackRevisions>false</trackRevisions>
    </reviewItem>
    <reviewItem>
      <errorID>18ffe29a-1ec4-4222-a6f2-9bee388c4991</errorID>
      <errorWord>详实</errorWord>
      <group>L1_Word</group>
      <groupName>字词问题</groupName>
      <ability>L2_Typo</ability>
      <abilityName>字词错误</abilityName>
      <candidateList>
        <item>翔实</item>
      </candidateList>
      <explain>存在发音相同字词的误用。</explain>
      <paraID>1FE40C13</paraID>
      <start>6</start>
      <end>8</end>
      <status>unmodified</status>
      <modifiedWord/>
      <trackRevisions>false</trackRevisions>
    </reviewItem>
    <reviewItem>
      <errorID>057098dc-6a3a-4e94-8c7b-7f3cde5e0bec</errorID>
      <errorWord>详实</errorWord>
      <group>L1_Word</group>
      <groupName>字词问题</groupName>
      <ability>L2_Typo</ability>
      <abilityName>字词错误</abilityName>
      <candidateList>
        <item>翔实</item>
      </candidateList>
      <explain>存在发音相同字词的误用。</explain>
      <paraID>370D3E54</paraID>
      <start>6</start>
      <end>8</end>
      <status>unmodified</status>
      <modifiedWord/>
      <trackRevisions>false</trackRevisions>
    </reviewItem>
    <reviewItem>
      <errorID>781e8de5-9c33-4f71-b068-6af18897c438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70A947AF</paraID>
      <start>11</start>
      <end>14</end>
      <status>unmodified</status>
      <modifiedWord/>
      <trackRevisions>false</trackRevisions>
    </reviewItem>
    <reviewItem>
      <errorID>0e814454-9283-46af-9de5-4a915c689b22</errorID>
      <errorWord>卫计委</errorWord>
      <group>L1_Knowledge</group>
      <groupName>知识性问题</groupName>
      <ability>L2_Knowledge</ability>
      <abilityName>其他知识</abilityName>
      <candidateList>
        <item>卫健委</item>
      </candidateList>
      <explain/>
      <paraID>70A947AF</paraID>
      <start>15</start>
      <end>18</end>
      <status>unmodified</status>
      <modifiedWord/>
      <trackRevisions>false</trackRevisions>
    </reviewItem>
    <reviewItem>
      <errorID>6fcb708b-df7c-489a-8125-78d3f76d83c5</errorID>
      <errorWord>（</errorWord>
      <group>L1_Punc</group>
      <groupName>标点问题</groupName>
      <ability>L2_Punc</ability>
      <abilityName>标点符号检查</abilityName>
      <candidateList/>
      <explain>同一形式括号套用。</explain>
      <paraID>7303EB3A</paraID>
      <start>5</start>
      <end>6</end>
      <status>unmodified</status>
      <modifiedWord/>
      <trackRevisions>false</trackRevisions>
    </reviewItem>
    <reviewItem>
      <errorID>d0ae256f-d6da-4c5a-800a-8642d7f3028d</errorID>
      <errorWord>(</errorWord>
      <group>L1_Punc</group>
      <groupName>标点问题</groupName>
      <ability>L2_Punc</ability>
      <abilityName>标点符号检查</abilityName>
      <candidateList/>
      <explain>同一形式括号套用。</explain>
      <paraID>7303EB3A</paraID>
      <start>10</start>
      <end>11</end>
      <status>unmodified</status>
      <modifiedWord/>
      <trackRevisions>false</trackRevisions>
    </reviewItem>
    <reviewItem>
      <errorID>1ccb000e-c87c-4abf-8b53-a4e80e7ce49e</errorID>
      <errorWord>)</errorWord>
      <group>L1_Punc</group>
      <groupName>标点问题</groupName>
      <ability>L2_Punc</ability>
      <abilityName>标点符号检查</abilityName>
      <candidateList/>
      <explain>同一形式括号套用。</explain>
      <paraID>7303EB3A</paraID>
      <start>13</start>
      <end>14</end>
      <status>unmodified</status>
      <modifiedWord/>
      <trackRevisions>false</trackRevisions>
    </reviewItem>
    <reviewItem>
      <errorID>e2f682f0-ae0e-4854-9e2d-41af7d424c27</errorID>
      <errorWord>(</errorWord>
      <group>L1_Punc</group>
      <groupName>标点问题</groupName>
      <ability>L2_Punc</ability>
      <abilityName>标点符号检查</abilityName>
      <candidateList/>
      <explain>同一形式括号套用。</explain>
      <paraID>7303EB3A</paraID>
      <start>19</start>
      <end>20</end>
      <status>unmodified</status>
      <modifiedWord/>
      <trackRevisions>false</trackRevisions>
    </reviewItem>
    <reviewItem>
      <errorID>24504be2-474a-4fa5-86ea-ec3fe0a37516</errorID>
      <errorWord>)</errorWord>
      <group>L1_Punc</group>
      <groupName>标点问题</groupName>
      <ability>L2_Punc</ability>
      <abilityName>标点符号检查</abilityName>
      <candidateList/>
      <explain>同一形式括号套用。</explain>
      <paraID>7303EB3A</paraID>
      <start>24</start>
      <end>25</end>
      <status>unmodified</status>
      <modifiedWord/>
      <trackRevisions>false</trackRevisions>
    </reviewItem>
    <reviewItem>
      <errorID>6759157d-62c4-4d1e-a7c4-cfe0393b621e</errorID>
      <errorWord>(</errorWord>
      <group>L1_Punc</group>
      <groupName>标点问题</groupName>
      <ability>L2_Punc</ability>
      <abilityName>标点符号检查</abilityName>
      <candidateList/>
      <explain>同一形式括号套用。</explain>
      <paraID>7303EB3A</paraID>
      <start>29</start>
      <end>30</end>
      <status>unmodified</status>
      <modifiedWord/>
      <trackRevisions>false</trackRevisions>
    </reviewItem>
    <reviewItem>
      <errorID>bd2b61f3-a5ae-4461-9142-657fd306b06d</errorID>
      <errorWord>)</errorWord>
      <group>L1_Punc</group>
      <groupName>标点问题</groupName>
      <ability>L2_Punc</ability>
      <abilityName>标点符号检查</abilityName>
      <candidateList/>
      <explain>同一形式括号套用。</explain>
      <paraID>7303EB3A</paraID>
      <start>34</start>
      <end>35</end>
      <status>unmodified</status>
      <modifiedWord/>
      <trackRevisions>false</trackRevisions>
    </reviewItem>
    <reviewItem>
      <errorID>0a8df5f4-f618-4bd4-a4fe-dac4f1f27f36</errorID>
      <errorWord>(</errorWord>
      <group>L1_Punc</group>
      <groupName>标点问题</groupName>
      <ability>L2_Punc</ability>
      <abilityName>标点符号检查</abilityName>
      <candidateList/>
      <explain>同一形式括号套用。</explain>
      <paraID>7303EB3A</paraID>
      <start>40</start>
      <end>41</end>
      <status>unmodified</status>
      <modifiedWord/>
      <trackRevisions>false</trackRevisions>
    </reviewItem>
    <reviewItem>
      <errorID>fad586a5-ba71-442d-966a-b624be1ac026</errorID>
      <errorWord>)</errorWord>
      <group>L1_Punc</group>
      <groupName>标点问题</groupName>
      <ability>L2_Punc</ability>
      <abilityName>标点符号检查</abilityName>
      <candidateList/>
      <explain>同一形式括号套用。</explain>
      <paraID>7303EB3A</paraID>
      <start>43</start>
      <end>44</end>
      <status>unmodified</status>
      <modifiedWord/>
      <trackRevisions>false</trackRevisions>
    </reviewItem>
    <reviewItem>
      <errorID>f7827814-ddb3-4475-a5bc-7deaf4780c5b</errorID>
      <errorWord>(</errorWord>
      <group>L1_Format</group>
      <groupName>格式问题</groupName>
      <ability>L2_HalfPunc</ability>
      <abilityName>全半角检查</abilityName>
      <candidateList>
        <item>（</item>
      </candidateList>
      <explain>文本全半角错误。</explain>
      <paraID>11D5C7F5</paraID>
      <start>12</start>
      <end>13</end>
      <status>modified</status>
      <modifiedWord>（</modifiedWord>
      <trackRevisions>false</trackRevisions>
    </reviewItem>
    <reviewItem>
      <errorID>9a4fb279-6957-4107-8a20-b9dad0f30380</errorID>
      <errorWord>)</errorWord>
      <group>L1_Format</group>
      <groupName>格式问题</groupName>
      <ability>L2_HalfPunc</ability>
      <abilityName>全半角检查</abilityName>
      <candidateList>
        <item>）</item>
      </candidateList>
      <explain>文本全半角错误。</explain>
      <paraID>11D5C7F5</paraID>
      <start>18</start>
      <end>19</end>
      <status>modified</status>
      <modifiedWord>）</modifiedWord>
      <trackRevisions>false</trackRevisions>
    </reviewItem>
    <reviewItem>
      <errorID>c690446c-1dc5-41fa-aad2-ebdad6858507</errorID>
      <errorWord>(</errorWord>
      <group>L1_Format</group>
      <groupName>格式问题</groupName>
      <ability>L2_HalfPunc</ability>
      <abilityName>全半角检查</abilityName>
      <candidateList>
        <item>（</item>
      </candidateList>
      <explain>文本全半角错误。</explain>
      <paraID> 19ABE6B</paraID>
      <start>15</start>
      <end>16</end>
      <status>modified</status>
      <modifiedWord>（</modifiedWord>
      <trackRevisions>false</trackRevisions>
    </reviewItem>
    <reviewItem>
      <errorID>b3fedf02-b733-4b82-be19-eb6c5b4c11a6</errorID>
      <errorWord>)</errorWord>
      <group>L1_Format</group>
      <groupName>格式问题</groupName>
      <ability>L2_HalfPunc</ability>
      <abilityName>全半角检查</abilityName>
      <candidateList>
        <item>）</item>
      </candidateList>
      <explain>文本全半角错误。</explain>
      <paraID> 19ABE6B</paraID>
      <start>23</start>
      <end>24</end>
      <status>modified</status>
      <modifiedWord>）</modifiedWord>
      <trackRevisions>false</trackRevisions>
    </reviewItem>
    <reviewItem>
      <errorID>057b32ba-147d-459f-8f2c-9763d2fab8b5</errorID>
      <errorWord>(</errorWord>
      <group>L1_Format</group>
      <groupName>格式问题</groupName>
      <ability>L2_HalfPunc</ability>
      <abilityName>全半角检查</abilityName>
      <candidateList>
        <item>（</item>
      </candidateList>
      <explain>文本全半角错误。</explain>
      <paraID>52E82425</paraID>
      <start>8</start>
      <end>9</end>
      <status>modified</status>
      <modifiedWord>（</modifiedWord>
      <trackRevisions>false</trackRevisions>
    </reviewItem>
    <reviewItem>
      <errorID>51d6e6fc-6dd9-4f64-8bc4-4a5681257c30</errorID>
      <errorWord>)</errorWord>
      <group>L1_Format</group>
      <groupName>格式问题</groupName>
      <ability>L2_HalfPunc</ability>
      <abilityName>全半角检查</abilityName>
      <candidateList>
        <item>）</item>
      </candidateList>
      <explain>文本全半角错误。</explain>
      <paraID>52E82425</paraID>
      <start>16</start>
      <end>17</end>
      <status>modified</status>
      <modifiedWord>）</modifiedWord>
      <trackRevisions>false</trackRevisions>
    </reviewItem>
    <reviewItem>
      <errorID>c4df10b5-efa4-47df-b1a0-583d6629fd70</errorID>
      <errorWord>(</errorWord>
      <group>L1_Format</group>
      <groupName>格式问题</groupName>
      <ability>L2_HalfPunc</ability>
      <abilityName>全半角检查</abilityName>
      <candidateList>
        <item>（</item>
      </candidateList>
      <explain>文本全半角错误。</explain>
      <paraID>7F7FAD17</paraID>
      <start>8</start>
      <end>9</end>
      <status>modified</status>
      <modifiedWord>（</modifiedWord>
      <trackRevisions>false</trackRevisions>
    </reviewItem>
    <reviewItem>
      <errorID>8e954b0f-9f03-4add-a537-bde4b60fe1d2</errorID>
      <errorWord>)</errorWord>
      <group>L1_Format</group>
      <groupName>格式问题</groupName>
      <ability>L2_HalfPunc</ability>
      <abilityName>全半角检查</abilityName>
      <candidateList>
        <item>）</item>
      </candidateList>
      <explain>文本全半角错误。</explain>
      <paraID>7F7FAD17</paraID>
      <start>16</start>
      <end>17</end>
      <status>modified</status>
      <modifiedWord>）</modifiedWord>
      <trackRevisions>false</trackRevisions>
    </reviewItem>
    <reviewItem>
      <errorID>36314745-ac33-4452-a546-1ff1ab3ecbfa</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66B5176E</paraID>
      <start>0</start>
      <end>4</end>
      <status>unmodified</status>
      <modifiedWord/>
      <trackRevisions>false</trackRevisions>
    </reviewItem>
    <reviewItem>
      <errorID>99ff8381-0f22-4775-b7af-e2ad72fb92b3</errorID>
      <errorWord>(</errorWord>
      <group>L1_Format</group>
      <groupName>格式问题</groupName>
      <ability>L2_HalfPunc</ability>
      <abilityName>全半角检查</abilityName>
      <candidateList>
        <item>（</item>
      </candidateList>
      <explain>文本全半角错误。</explain>
      <paraID>66B5176E</paraID>
      <start>6</start>
      <end>7</end>
      <status>modified</status>
      <modifiedWord>（</modifiedWord>
      <trackRevisions>false</trackRevisions>
    </reviewItem>
    <reviewItem>
      <errorID>7ba37c53-2fad-47f0-b93c-fda373d1e636</errorID>
      <errorWord>)</errorWord>
      <group>L1_Format</group>
      <groupName>格式问题</groupName>
      <ability>L2_HalfPunc</ability>
      <abilityName>全半角检查</abilityName>
      <candidateList>
        <item>）</item>
      </candidateList>
      <explain>文本全半角错误。</explain>
      <paraID>66B5176E</paraID>
      <start>12</start>
      <end>13</end>
      <status>modified</status>
      <modifiedWord>）</modifiedWord>
      <trackRevisions>false</trackRevisions>
    </reviewItem>
    <reviewItem>
      <errorID>50612861-df8a-47eb-8e5c-178bc51b4c24</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43809EC5</paraID>
      <start>11</start>
      <end>15</end>
      <status>unmodified</status>
      <modifiedWord/>
      <trackRevisions>false</trackRevisions>
    </reviewItem>
    <reviewItem>
      <errorID>bea46a83-60ac-426c-98be-30625663ecf2</errorID>
      <errorWord>(</errorWord>
      <group>L1_Format</group>
      <groupName>格式问题</groupName>
      <ability>L2_HalfPunc</ability>
      <abilityName>全半角检查</abilityName>
      <candidateList>
        <item>（</item>
      </candidateList>
      <explain>文本全半角错误。</explain>
      <paraID>43809EC5</paraID>
      <start>17</start>
      <end>18</end>
      <status>modified</status>
      <modifiedWord>（</modifiedWord>
      <trackRevisions>false</trackRevisions>
    </reviewItem>
    <reviewItem>
      <errorID>7843c396-f971-4d19-bbf6-28d3bf82d3da</errorID>
      <errorWord>)</errorWord>
      <group>L1_Format</group>
      <groupName>格式问题</groupName>
      <ability>L2_HalfPunc</ability>
      <abilityName>全半角检查</abilityName>
      <candidateList>
        <item>）</item>
      </candidateList>
      <explain>文本全半角错误。</explain>
      <paraID>43809EC5</paraID>
      <start>24</start>
      <end>25</end>
      <status>modified</status>
      <modifiedWord>）</modifiedWord>
      <trackRevisions>false</trackRevisions>
    </reviewItem>
    <reviewItem>
      <errorID>a49ba0ec-2b32-4943-a759-c20bc6fb43d8</errorID>
      <errorWord>(</errorWord>
      <group>L1_Format</group>
      <groupName>格式问题</groupName>
      <ability>L2_HalfPunc</ability>
      <abilityName>全半角检查</abilityName>
      <candidateList>
        <item>（</item>
      </candidateList>
      <explain>文本全半角错误。</explain>
      <paraID>145AD5AC</paraID>
      <start>10</start>
      <end>11</end>
      <status>modified</status>
      <modifiedWord>（</modifiedWord>
      <trackRevisions>false</trackRevisions>
    </reviewItem>
    <reviewItem>
      <errorID>ee920b65-b193-4369-84e3-c4486097181a</errorID>
      <errorWord>(</errorWord>
      <group>L1_Format</group>
      <groupName>格式问题</groupName>
      <ability>L2_HalfPunc</ability>
      <abilityName>全半角检查</abilityName>
      <candidateList>
        <item>（</item>
      </candidateList>
      <explain>文本全半角错误。</explain>
      <paraID> 1256487</paraID>
      <start>10</start>
      <end>11</end>
      <status>modified</status>
      <modifiedWord>（</modifiedWord>
      <trackRevisions>false</trackRevisions>
    </reviewItem>
    <reviewItem>
      <errorID>cf9a9f19-d4c4-4f5c-84ce-273a045db4be</errorID>
      <errorWord>(</errorWord>
      <group>L1_Format</group>
      <groupName>格式问题</groupName>
      <ability>L2_HalfPunc</ability>
      <abilityName>全半角检查</abilityName>
      <candidateList>
        <item>（</item>
      </candidateList>
      <explain>文本全半角错误。</explain>
      <paraID>728AAC47</paraID>
      <start>9</start>
      <end>10</end>
      <status>modified</status>
      <modifiedWord>（</modifiedWord>
      <trackRevisions>false</trackRevisions>
    </reviewItem>
    <reviewItem>
      <errorID>635dfa2b-ac17-4e2f-b40c-f77ca668215b</errorID>
      <errorWord>)</errorWord>
      <group>L1_Format</group>
      <groupName>格式问题</groupName>
      <ability>L2_HalfPunc</ability>
      <abilityName>全半角检查</abilityName>
      <candidateList>
        <item>）</item>
      </candidateList>
      <explain>文本全半角错误。</explain>
      <paraID>728AAC47</paraID>
      <start>14</start>
      <end>15</end>
      <status>modified</status>
      <modifiedWord>）</modifiedWord>
      <trackRevisions>false</trackRevisions>
    </reviewItem>
    <reviewItem>
      <errorID>36df91d9-830b-4448-b67a-d18bae0e6204</errorID>
      <errorWord>“/</errorWord>
      <group>L1_Punc</group>
      <groupName>标点问题</groupName>
      <ability>L2_Punc</ability>
      <abilityName>标点符号检查</abilityName>
      <candidateList>
        <item>“</item>
      </candidateList>
      <explain/>
      <paraID>7CEFF6BA</paraID>
      <start>27</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8e7b2a-28b8-462f-b60b-d178045da9e7}">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54</Pages>
  <Words>1452</Words>
  <Characters>1609</Characters>
  <TotalTime>13</TotalTime>
  <ScaleCrop>false</ScaleCrop>
  <LinksUpToDate>false</LinksUpToDate>
  <CharactersWithSpaces>1623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2025-02-06T06:18:00Z</dcterms:created>
  <dc:creator>黄</dc:creator>
  <cp:lastModifiedBy>普信国际</cp:lastModifiedBy>
  <cp:lastPrinted>2026-06-16T08:00:00Z</cp:lastPrinted>
  <dcterms:modified xsi:type="dcterms:W3CDTF">2026-06-22T06:06:04Z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EB00D4CC696744E6AC8876329389A521_13</vt:lpwstr>
  </property>
</Properties>
</file>