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30"/>
        <w:ind w:firstLine="300"/>
        <w:spacing w:line="360" w:lineRule="auto"/>
        <w:rPr>
          <w:sz w:val="60"/>
          <w:szCs w:val="60"/>
          <w:highlight w:val="none"/>
        </w:rPr>
      </w:pPr>
      <w:r>
        <w:rPr>
          <w:sz w:val="60"/>
          <w:szCs w:val="60"/>
          <w:highlight w:val="none"/>
        </w:rPr>
      </w:r>
      <w:r/>
    </w:p>
    <w:p>
      <w:pPr>
        <w:pStyle w:val="1030"/>
        <w:jc w:val="center"/>
        <w:rPr>
          <w:b/>
          <w:bCs/>
          <w:sz w:val="60"/>
          <w:szCs w:val="60"/>
          <w:highlight w:val="none"/>
        </w:rPr>
      </w:pPr>
      <w:r>
        <w:rPr>
          <w:b/>
          <w:bCs/>
          <w:sz w:val="44"/>
          <w:szCs w:val="44"/>
          <w:highlight w:val="none"/>
        </w:rPr>
        <w:t xml:space="preserve">常州市政府采购项目</w:t>
      </w:r>
      <w:r>
        <w:rPr>
          <w:rFonts w:hint="eastAsia"/>
          <w:b/>
          <w:bCs/>
          <w:sz w:val="44"/>
          <w:szCs w:val="44"/>
          <w:highlight w:val="none"/>
        </w:rPr>
        <w:t xml:space="preserve">公开</w:t>
      </w:r>
      <w:r>
        <w:rPr>
          <w:b/>
          <w:bCs/>
          <w:sz w:val="44"/>
          <w:szCs w:val="44"/>
          <w:highlight w:val="none"/>
        </w:rPr>
        <w:t xml:space="preserve">招标文件示范文本</w:t>
      </w:r>
      <w:r>
        <w:rPr>
          <w:b/>
          <w:bCs/>
          <w:sz w:val="60"/>
          <w:szCs w:val="60"/>
          <w:highlight w:val="none"/>
        </w:rPr>
      </w:r>
      <w:r/>
    </w:p>
    <w:p>
      <w:pPr>
        <w:pStyle w:val="1030"/>
        <w:jc w:val="center"/>
        <w:rPr>
          <w:b/>
          <w:bCs/>
          <w:sz w:val="60"/>
          <w:szCs w:val="60"/>
          <w:highlight w:val="none"/>
        </w:rPr>
      </w:pPr>
      <w:r>
        <w:rPr>
          <w:rFonts w:hint="eastAsia" w:ascii="宋体" w:hAnsi="宋体" w:cs="宋体"/>
          <w:b/>
          <w:bCs/>
          <w:sz w:val="44"/>
          <w:szCs w:val="44"/>
          <w:highlight w:val="none"/>
        </w:rPr>
        <w:t xml:space="preserve">（试行）（2022年版）</w:t>
      </w:r>
      <w:r>
        <w:rPr>
          <w:b/>
          <w:bCs/>
          <w:sz w:val="60"/>
          <w:szCs w:val="60"/>
          <w:highlight w:val="none"/>
        </w:rPr>
      </w:r>
      <w:r/>
    </w:p>
    <w:p>
      <w:pPr>
        <w:pStyle w:val="1030"/>
        <w:jc w:val="center"/>
        <w:rPr>
          <w:b/>
          <w:bCs/>
          <w:sz w:val="60"/>
          <w:szCs w:val="60"/>
          <w:highlight w:val="none"/>
        </w:rPr>
      </w:pPr>
      <w:r>
        <w:rPr>
          <w:b/>
          <w:bCs/>
          <w:sz w:val="60"/>
          <w:szCs w:val="60"/>
          <w:highlight w:val="none"/>
        </w:rPr>
      </w:r>
      <w:r/>
    </w:p>
    <w:p>
      <w:pPr>
        <w:pStyle w:val="1030"/>
        <w:jc w:val="center"/>
        <w:spacing w:line="360" w:lineRule="auto"/>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highlight w:val="none"/>
        </w:rPr>
      </w:pPr>
      <w:r>
        <w:rPr>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2026年尧塘街道照明设施养护项目</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rFonts w:ascii="宋体" w:hAnsi="宋体" w:cs="宋体"/>
          <w:bCs/>
          <w:sz w:val="32"/>
          <w:szCs w:val="32"/>
          <w:highlight w:val="none"/>
        </w:rPr>
      </w:pPr>
      <w:r>
        <w:rPr>
          <w:rFonts w:hint="eastAsia" w:ascii="宋体" w:hAnsi="宋体" w:cs="宋体"/>
          <w:bCs/>
          <w:sz w:val="32"/>
          <w:szCs w:val="32"/>
          <w:highlight w:val="none"/>
        </w:rPr>
        <w:t xml:space="preserve">项目编号/包号：JSZC-320413036-JTHY-G2026-0007</w:t>
      </w:r>
      <w:r>
        <w:rPr>
          <w:rFonts w:ascii="宋体" w:hAnsi="宋体" w:cs="宋体"/>
          <w:bCs/>
          <w:sz w:val="32"/>
          <w:szCs w:val="32"/>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采 购 人：</w:t>
      </w:r>
      <w:r>
        <w:rPr>
          <w:rFonts w:hint="eastAsia" w:ascii="宋体" w:hAnsi="宋体" w:cs="宋体"/>
          <w:bCs/>
          <w:sz w:val="32"/>
          <w:szCs w:val="32"/>
          <w:highlight w:val="none"/>
          <w:lang w:eastAsia="zh-CN"/>
        </w:rPr>
        <w:t xml:space="preserve">常州市金坛区尧塘街道办事处</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b/>
          <w:sz w:val="44"/>
          <w:szCs w:val="44"/>
          <w:highlight w:val="none"/>
        </w:rPr>
      </w:pPr>
      <w:r>
        <w:rPr>
          <w:rFonts w:hint="eastAsia" w:ascii="宋体" w:hAnsi="宋体" w:cs="宋体"/>
          <w:bCs/>
          <w:sz w:val="32"/>
          <w:szCs w:val="32"/>
          <w:highlight w:val="none"/>
        </w:rPr>
        <w:t xml:space="preserve">采购代理机构：江苏浩宇建设工程造价咨询有限公司</w:t>
      </w:r>
      <w:r>
        <w:rPr>
          <w:bCs/>
          <w:sz w:val="36"/>
          <w:szCs w:val="36"/>
          <w:highlight w:val="none"/>
        </w:rPr>
        <w:t xml:space="preserve"> </w:t>
      </w:r>
      <w:r>
        <w:rPr>
          <w:b/>
          <w:sz w:val="44"/>
          <w:szCs w:val="44"/>
          <w:highlight w:val="none"/>
        </w:rPr>
      </w:r>
      <w:r/>
    </w:p>
    <w:p>
      <w:pPr>
        <w:pStyle w:val="1030"/>
        <w:ind w:firstLine="7228"/>
        <w:spacing w:line="360" w:lineRule="auto"/>
        <w:rPr>
          <w:b/>
          <w:sz w:val="72"/>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cols w:num="1" w:sep="0" w:space="1701" w:equalWidth="1"/>
          <w:docGrid w:linePitch="360"/>
          <w:titlePg/>
        </w:sectPr>
      </w:pPr>
      <w:r>
        <w:rPr>
          <w:b/>
          <w:sz w:val="72"/>
          <w:highlight w:val="none"/>
        </w:rPr>
      </w:r>
      <w:r/>
    </w:p>
    <w:p>
      <w:pPr>
        <w:pStyle w:val="1030"/>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Pr>
          <w:b/>
          <w:sz w:val="36"/>
          <w:szCs w:val="36"/>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84"/>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08"/>
          <w:rFonts w:ascii="Times New Roman" w:hAnsi="Times New Roman"/>
          <w:highlight w:val="none"/>
        </w:rPr>
        <w:t xml:space="preserve">第一章   投标邀请</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08"/>
          <w:rFonts w:ascii="Times New Roman" w:hAnsi="Times New Roman"/>
          <w:highlight w:val="none"/>
        </w:rPr>
        <w:t xml:space="preserve">第二章   投标人须知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08"/>
          <w:rFonts w:ascii="Times New Roman" w:hAnsi="Times New Roman"/>
          <w:highlight w:val="none"/>
        </w:rPr>
        <w:t xml:space="preserve">第三章   资</w:t>
      </w:r>
      <w:bookmarkStart w:id="1" w:name="_Hlt100754117"/>
      <w:r>
        <w:rPr>
          <w:rStyle w:val="1108"/>
          <w:rFonts w:ascii="Times New Roman" w:hAnsi="Times New Roman"/>
          <w:highlight w:val="none"/>
        </w:rPr>
        <w:t xml:space="preserve">格</w:t>
      </w:r>
      <w:bookmarkEnd w:id="1"/>
      <w:r>
        <w:rPr>
          <w:rStyle w:val="1108"/>
          <w:rFonts w:ascii="Times New Roman" w:hAnsi="Times New Roman"/>
          <w:highlight w:val="none"/>
        </w:rPr>
        <w:t xml:space="preserve">审查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08"/>
          <w:rFonts w:ascii="Times New Roman" w:hAnsi="Times New Roman"/>
          <w:highlight w:val="none"/>
        </w:rPr>
        <w:t xml:space="preserve">第四章   评标程序、评标方法和评标标准</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08"/>
          <w:rFonts w:ascii="Times New Roman" w:hAnsi="Times New Roman"/>
          <w:highlight w:val="none"/>
        </w:rPr>
        <w:t xml:space="preserve">第五章   采购</w:t>
      </w:r>
      <w:bookmarkStart w:id="2" w:name="_Hlt100754103"/>
      <w:r/>
      <w:bookmarkStart w:id="3" w:name="_Hlt100754102"/>
      <w:r>
        <w:rPr>
          <w:rStyle w:val="1108"/>
          <w:rFonts w:ascii="Times New Roman" w:hAnsi="Times New Roman"/>
          <w:highlight w:val="none"/>
        </w:rPr>
        <w:t xml:space="preserve">需</w:t>
      </w:r>
      <w:bookmarkEnd w:id="2"/>
      <w:r/>
      <w:bookmarkEnd w:id="3"/>
      <w:r>
        <w:rPr>
          <w:rStyle w:val="1108"/>
          <w:rFonts w:ascii="Times New Roman" w:hAnsi="Times New Roman"/>
          <w:highlight w:val="none"/>
        </w:rPr>
        <w:t xml:space="preserve">求</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hint="eastAsia"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08"/>
          <w:rFonts w:ascii="Times New Roman" w:hAnsi="Times New Roman"/>
          <w:highlight w:val="none"/>
        </w:rPr>
        <w:t xml:space="preserve">第六章   拟签订的合同文本</w:t>
      </w:r>
      <w:r>
        <w:rPr>
          <w:rFonts w:ascii="Times New Roman" w:hAnsi="Times New Roman"/>
          <w:highlight w:val="none"/>
        </w:rPr>
        <w:fldChar w:fldCharType="end"/>
      </w:r>
      <w:r>
        <w:rPr>
          <w:rFonts w:hint="eastAsia"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08"/>
          <w:rFonts w:ascii="Times New Roman" w:hAnsi="Times New Roman"/>
          <w:highlight w:val="none"/>
        </w:rPr>
        <w:t xml:space="preserve">第七章   投标文件格式</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1030"/>
        <w:jc w:val="center"/>
        <w:spacing w:line="360" w:lineRule="auto"/>
        <w:rPr>
          <w:b/>
          <w:sz w:val="36"/>
          <w:szCs w:val="36"/>
          <w:highlight w:val="none"/>
        </w:rPr>
        <w:sectPr>
          <w:headerReference w:type="first" r:id="rId11"/>
          <w:footerReference w:type="default" r:id="rId20"/>
          <w:footerReference w:type="first" r:id="rId21"/>
          <w:footnotePr/>
          <w:endnotePr/>
          <w:type w:val="nextColumn"/>
          <w:pgSz w:w="11907" w:h="16838" w:orient="portrait"/>
          <w:pgMar w:top="1417" w:right="1134" w:bottom="1417" w:left="1701" w:header="850" w:footer="850" w:gutter="0"/>
          <w:pgNumType w:start="1"/>
          <w:cols w:num="1" w:sep="0" w:space="1701" w:equalWidth="1"/>
          <w:docGrid w:linePitch="360"/>
          <w:titlePg/>
        </w:sectPr>
        <w:outlineLvl w:val="0"/>
      </w:pPr>
      <w:r/>
      <w:bookmarkStart w:id="4" w:name="_Toc99301419"/>
      <w:r>
        <w:rPr>
          <w:b/>
          <w:sz w:val="36"/>
          <w:szCs w:val="36"/>
          <w:highlight w:val="none"/>
        </w:rPr>
      </w:r>
      <w:r/>
    </w:p>
    <w:p>
      <w:pPr>
        <w:pStyle w:val="1030"/>
        <w:jc w:val="center"/>
        <w:spacing w:line="360" w:lineRule="auto"/>
        <w:rPr>
          <w:sz w:val="32"/>
          <w:szCs w:val="32"/>
          <w:highlight w:val="none"/>
        </w:rPr>
        <w:outlineLvl w:val="0"/>
      </w:pPr>
      <w:r>
        <w:rPr>
          <w:b/>
          <w:sz w:val="36"/>
          <w:szCs w:val="36"/>
          <w:highlight w:val="none"/>
        </w:rPr>
        <w:t xml:space="preserve">第一章   投标邀请</w:t>
      </w:r>
      <w:bookmarkEnd w:id="4"/>
      <w:r>
        <w:rPr>
          <w:sz w:val="32"/>
          <w:szCs w:val="32"/>
          <w:highlight w:val="none"/>
        </w:rPr>
      </w:r>
      <w:r/>
    </w:p>
    <w:p>
      <w:pPr>
        <w:pStyle w:val="1032"/>
        <w:jc w:val="left"/>
        <w:spacing w:before="0" w:line="360" w:lineRule="auto"/>
        <w:rPr>
          <w:rFonts w:ascii="宋体" w:hAnsi="宋体" w:eastAsia="宋体"/>
          <w:sz w:val="21"/>
          <w:szCs w:val="21"/>
          <w:highlight w:val="none"/>
        </w:rPr>
      </w:pPr>
      <w:r/>
      <w:bookmarkStart w:id="5" w:name="_Toc28359079"/>
      <w:r/>
      <w:bookmarkStart w:id="6" w:name="_Toc35393621"/>
      <w:r/>
      <w:bookmarkStart w:id="7" w:name="_Toc28359002"/>
      <w:r/>
      <w:bookmarkStart w:id="8" w:name="_Toc35393790"/>
      <w:r/>
      <w:bookmarkStart w:id="9" w:name="_Hlk24379207"/>
      <w:r/>
      <w:bookmarkStart w:id="10" w:name="_Toc28359008"/>
      <w:r/>
      <w:bookmarkStart w:id="11" w:name="_Toc7145"/>
      <w:r/>
      <w:bookmarkStart w:id="12" w:name="_Toc28359085"/>
      <w:r/>
      <w:bookmarkStart w:id="13" w:name="_Toc35393627"/>
      <w:r/>
      <w:bookmarkStart w:id="14" w:name="_Toc35393796"/>
      <w:r>
        <w:rPr>
          <w:rFonts w:ascii="宋体" w:hAnsi="宋体" w:eastAsia="宋体"/>
          <w:sz w:val="21"/>
          <w:szCs w:val="21"/>
          <w:highlight w:val="none"/>
        </w:rPr>
        <w:t xml:space="preserve">一、项目基本情况</w:t>
      </w:r>
      <w:bookmarkEnd w:id="5"/>
      <w:r/>
      <w:bookmarkEnd w:id="6"/>
      <w:r/>
      <w:bookmarkEnd w:id="7"/>
      <w:r/>
      <w:bookmarkEnd w:id="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1.项目编号/包号：JSZC-320413036-JTHY-G2026-0007</w:t>
      </w:r>
      <w:r>
        <w:rPr>
          <w:rFonts w:ascii="宋体" w:hAnsi="宋体"/>
          <w:szCs w:val="21"/>
          <w:highlight w:val="none"/>
        </w:rPr>
      </w:r>
      <w:r/>
    </w:p>
    <w:p>
      <w:pPr>
        <w:pStyle w:val="1030"/>
        <w:ind w:firstLine="420"/>
        <w:spacing w:line="360" w:lineRule="auto"/>
        <w:rPr>
          <w:rFonts w:hint="eastAsia" w:ascii="宋体" w:hAnsi="宋体" w:eastAsia="宋体"/>
          <w:szCs w:val="21"/>
          <w:highlight w:val="none"/>
          <w:lang w:eastAsia="zh-CN"/>
        </w:rPr>
      </w:pPr>
      <w:r>
        <w:rPr>
          <w:rFonts w:ascii="宋体" w:hAnsi="宋体"/>
          <w:szCs w:val="21"/>
          <w:highlight w:val="none"/>
        </w:rPr>
        <w:t xml:space="preserve">2.项目名称：</w:t>
      </w:r>
      <w:r>
        <w:rPr>
          <w:rFonts w:hint="eastAsia" w:ascii="宋体" w:hAnsi="宋体"/>
          <w:szCs w:val="21"/>
          <w:highlight w:val="none"/>
          <w:lang w:eastAsia="zh-CN"/>
        </w:rPr>
        <w:t xml:space="preserve">2026年尧塘街道照明设施养护项目</w:t>
      </w:r>
      <w:r>
        <w:rPr>
          <w:rFonts w:hint="eastAsia" w:ascii="宋体" w:hAnsi="宋体" w:eastAsia="宋体"/>
          <w:szCs w:val="21"/>
          <w:highlight w:val="none"/>
          <w:lang w:eastAsia="zh-CN"/>
        </w:rPr>
      </w:r>
      <w:r/>
    </w:p>
    <w:p>
      <w:pPr>
        <w:pStyle w:val="1030"/>
        <w:ind w:firstLine="420"/>
        <w:spacing w:line="360" w:lineRule="auto"/>
        <w:rPr>
          <w:rFonts w:hint="eastAsia" w:ascii="宋体" w:hAnsi="宋体" w:cs="宋体"/>
          <w:highlight w:val="none"/>
        </w:rPr>
      </w:pPr>
      <w:r/>
      <w:bookmarkEnd w:id="9"/>
      <w:r>
        <w:rPr>
          <w:rFonts w:ascii="宋体" w:hAnsi="宋体"/>
          <w:szCs w:val="21"/>
          <w:highlight w:val="none"/>
        </w:rPr>
        <w:t xml:space="preserve">3.项目预算金额：</w:t>
      </w:r>
      <w:r>
        <w:rPr>
          <w:rFonts w:hint="eastAsia" w:ascii="宋体" w:hAnsi="宋体"/>
          <w:szCs w:val="21"/>
          <w:highlight w:val="none"/>
          <w:lang w:val="en-US" w:eastAsia="zh-CN"/>
        </w:rPr>
        <w:t xml:space="preserve">120万元</w:t>
      </w:r>
      <w:r>
        <w:rPr>
          <w:rFonts w:hint="eastAsia" w:ascii="宋体" w:hAnsi="宋体" w:cs="宋体"/>
          <w:highlight w:val="none"/>
        </w:rPr>
        <w:t xml:space="preserve">。</w:t>
      </w:r>
      <w:r>
        <w:rPr>
          <w:rFonts w:hint="eastAsia" w:ascii="宋体" w:hAnsi="宋体" w:cs="宋体"/>
          <w:highlight w:val="none"/>
        </w:rPr>
      </w:r>
      <w:r/>
    </w:p>
    <w:p>
      <w:pPr>
        <w:pStyle w:val="1030"/>
        <w:ind w:firstLine="420"/>
        <w:spacing w:line="360" w:lineRule="auto"/>
        <w:rPr>
          <w:rFonts w:hint="eastAsia" w:ascii="宋体" w:hAnsi="宋体"/>
          <w:szCs w:val="21"/>
          <w:highlight w:val="none"/>
        </w:rPr>
      </w:pPr>
      <w:r>
        <w:rPr>
          <w:rFonts w:hint="eastAsia" w:ascii="宋体" w:hAnsi="宋体" w:cs="宋体"/>
          <w:highlight w:val="none"/>
        </w:rPr>
        <w:t xml:space="preserve">4.最高限价：</w:t>
      </w:r>
      <w:r>
        <w:rPr>
          <w:rFonts w:hint="eastAsia" w:ascii="宋体" w:hAnsi="宋体" w:cs="宋体"/>
          <w:highlight w:val="none"/>
          <w:lang w:val="en-US" w:eastAsia="zh-CN"/>
        </w:rPr>
        <w:t xml:space="preserve">120万元，本项目按优惠率报价，0≤投标优惠率＜100%，包含维护费用和照明零星任务费用，其中维护费用73.503万元，照明零星任务结算费用累计不超46.497万元。</w:t>
      </w:r>
      <w:r>
        <w:rPr>
          <w:rFonts w:hint="eastAsia" w:ascii="宋体" w:hAnsi="宋体"/>
          <w:szCs w:val="21"/>
          <w:highlight w:val="none"/>
        </w:rPr>
      </w:r>
      <w:r/>
    </w:p>
    <w:p>
      <w:pPr>
        <w:pStyle w:val="1030"/>
        <w:ind w:firstLine="420"/>
        <w:spacing w:line="360" w:lineRule="auto"/>
        <w:rPr>
          <w:rFonts w:ascii="宋体" w:hAnsi="宋体" w:cs="宋体"/>
          <w:spacing w:val="2"/>
          <w:highlight w:val="none"/>
          <w:lang w:val="en-US"/>
        </w:rPr>
      </w:pPr>
      <w:r>
        <w:rPr>
          <w:rFonts w:hint="eastAsia" w:ascii="宋体" w:hAnsi="宋体"/>
          <w:color w:val="000000"/>
          <w:highlight w:val="none"/>
          <w:shd w:val="clear" w:color="auto" w:fill="ffffff"/>
        </w:rPr>
        <w:t xml:space="preserve">5.</w:t>
      </w:r>
      <w:r>
        <w:rPr>
          <w:rFonts w:hint="eastAsia" w:ascii="宋体" w:hAnsi="宋体" w:cs="宋体"/>
          <w:spacing w:val="2"/>
          <w:highlight w:val="none"/>
        </w:rPr>
        <w:t xml:space="preserve">采购需求：</w:t>
      </w:r>
      <w:r>
        <w:rPr>
          <w:rFonts w:hint="eastAsia" w:ascii="宋体" w:hAnsi="宋体"/>
          <w:szCs w:val="21"/>
          <w:highlight w:val="none"/>
          <w:lang w:eastAsia="zh-CN"/>
        </w:rPr>
        <w:t xml:space="preserve">按照江苏省城市道路照明技术规范 DGJ32/TC06-2011等标准、办法对管辖范围照明设施进行维护。照明设施包括但不限于用于照明的照明器具、电器、灯杆以及管线、线缆、配电、监控、节能等系统的设备和附属设施等。维护范围内的高灯、中杆灯的光源不论功率大小均按一个光源计算；紧凑型荧光灯、LED 光源、大功率气体放电灯光源均按一个光源计算，其他钠灯光源不论功率大小均按一个光源计算。</w:t>
      </w:r>
      <w:r>
        <w:rPr>
          <w:rFonts w:ascii="宋体" w:hAnsi="宋体" w:cs="宋体"/>
          <w:spacing w:val="2"/>
          <w:highlight w:val="none"/>
          <w:lang w:val="en-US"/>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.合同履行</w:t>
      </w:r>
      <w:r>
        <w:rPr>
          <w:rFonts w:ascii="宋体" w:hAnsi="宋体"/>
          <w:color w:val="000000"/>
          <w:highlight w:val="none"/>
          <w:shd w:val="clear" w:color="auto" w:fill="ffffff"/>
        </w:rPr>
        <w:t xml:space="preserve">期限：</w:t>
      </w:r>
      <w:r>
        <w:rPr>
          <w:rFonts w:hint="eastAsia" w:ascii="宋体" w:hAnsi="宋体" w:eastAsia="宋体" w:cs="宋体"/>
          <w:sz w:val="21"/>
          <w:szCs w:val="21"/>
          <w:highlight w:val="none"/>
          <w:lang w:eastAsia="zh-CN"/>
        </w:rPr>
        <w:t xml:space="preserve">自合同签订之日起一年（照明零星任务结算金额不超46.497万元）</w:t>
      </w:r>
      <w:r>
        <w:rPr>
          <w:rFonts w:hint="eastAsia" w:ascii="宋体" w:hAnsi="宋体" w:cs="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.本项目是否接受联合体投标：■否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本项目是否接受</w:t>
      </w:r>
      <w:r>
        <w:rPr>
          <w:rFonts w:hint="eastAsia" w:ascii="宋体" w:hAnsi="宋体"/>
          <w:szCs w:val="21"/>
          <w:highlight w:val="none"/>
        </w:rPr>
        <w:t xml:space="preserve">进口产品</w:t>
      </w:r>
      <w:r>
        <w:rPr>
          <w:rFonts w:ascii="宋体" w:hAnsi="宋体"/>
          <w:szCs w:val="21"/>
          <w:highlight w:val="none"/>
        </w:rPr>
        <w:t xml:space="preserve">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15" w:name="_Toc35393622"/>
      <w:r/>
      <w:bookmarkStart w:id="16" w:name="_Toc28359003"/>
      <w:r/>
      <w:bookmarkStart w:id="17" w:name="_Toc35393791"/>
      <w:r/>
      <w:bookmarkStart w:id="18" w:name="_Toc28359080"/>
      <w:r>
        <w:rPr>
          <w:rFonts w:ascii="宋体" w:hAnsi="宋体" w:eastAsia="宋体"/>
          <w:sz w:val="21"/>
          <w:szCs w:val="21"/>
          <w:highlight w:val="none"/>
        </w:rPr>
        <w:t xml:space="preserve">二、申请人的资格要求（须同时满足）</w:t>
      </w:r>
      <w:bookmarkEnd w:id="15"/>
      <w:r/>
      <w:bookmarkEnd w:id="16"/>
      <w:r/>
      <w:bookmarkEnd w:id="17"/>
      <w:r/>
      <w:bookmarkEnd w:id="1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30"/>
        <w:ind w:firstLine="420"/>
        <w:spacing w:line="360" w:lineRule="auto"/>
        <w:rPr>
          <w:rFonts w:ascii="宋体" w:hAnsi="宋体"/>
          <w:szCs w:val="21"/>
          <w:highlight w:val="none"/>
        </w:rPr>
      </w:pPr>
      <w:r/>
      <w:bookmarkStart w:id="19" w:name="_Toc28359081"/>
      <w:r/>
      <w:bookmarkStart w:id="20" w:name="_Toc28359004"/>
      <w:r>
        <w:rPr>
          <w:rFonts w:ascii="宋体" w:hAnsi="宋体"/>
          <w:szCs w:val="21"/>
          <w:highlight w:val="none"/>
        </w:rPr>
        <w:t xml:space="preserve">2.落实政府采购政策需满足的资格要求：</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eastAsia="宋体" w:cs="宋体"/>
          <w:sz w:val="21"/>
          <w:szCs w:val="21"/>
          <w:highlight w:val="none"/>
        </w:rPr>
        <w:t xml:space="preserve">本项目专门面向中小企业采购。</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lang w:eastAsia="zh-CN"/>
        </w:rPr>
      </w:pPr>
      <w:r>
        <w:rPr>
          <w:rFonts w:ascii="宋体" w:hAnsi="宋体"/>
          <w:szCs w:val="21"/>
          <w:highlight w:val="none"/>
        </w:rPr>
        <w:t xml:space="preserve">3.2本项目是否属于政府购买服务：■是，公益一类事业单位、使用事业编制且由财政拨款保障的群团组织，不得作为承接主体</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lang w:val="en-US" w:eastAsia="zh-CN"/>
        </w:rPr>
      </w:pPr>
      <w:r>
        <w:rPr>
          <w:rFonts w:ascii="宋体" w:hAnsi="宋体"/>
          <w:szCs w:val="21"/>
        </w:rPr>
        <w:t xml:space="preserve">3.3其他特定资格要求：</w:t>
      </w:r>
      <w:r>
        <w:rPr>
          <w:rFonts w:hint="eastAsia" w:ascii="宋体" w:hAnsi="宋体"/>
          <w:szCs w:val="21"/>
          <w:lang w:val="en-US" w:eastAsia="zh-CN"/>
        </w:rPr>
        <w:t xml:space="preserve">无。</w:t>
      </w:r>
      <w:r>
        <w:rPr>
          <w:rFonts w:hint="eastAsia" w:ascii="宋体" w:hAnsi="宋体" w:eastAsia="宋体" w:cs="宋体"/>
          <w:sz w:val="21"/>
          <w:szCs w:val="21"/>
          <w:highlight w:val="none"/>
          <w:lang w:val="en-US" w:eastAsia="zh-CN"/>
        </w:rPr>
      </w:r>
      <w:r/>
    </w:p>
    <w:p>
      <w:pPr>
        <w:pStyle w:val="1032"/>
        <w:jc w:val="left"/>
        <w:spacing w:before="0" w:line="360" w:lineRule="auto"/>
        <w:widowControl/>
        <w:rPr>
          <w:rFonts w:ascii="宋体" w:hAnsi="宋体" w:eastAsia="宋体"/>
          <w:sz w:val="21"/>
          <w:szCs w:val="21"/>
          <w:highlight w:val="none"/>
        </w:rPr>
      </w:pPr>
      <w:r/>
      <w:bookmarkEnd w:id="19"/>
      <w:r/>
      <w:bookmarkEnd w:id="20"/>
      <w:r/>
      <w:bookmarkStart w:id="21" w:name="_Toc35393792"/>
      <w:r/>
      <w:bookmarkStart w:id="22" w:name="_Toc35393623"/>
      <w:r>
        <w:rPr>
          <w:rFonts w:ascii="宋体" w:hAnsi="宋体" w:eastAsia="宋体"/>
          <w:sz w:val="21"/>
          <w:szCs w:val="21"/>
          <w:highlight w:val="none"/>
        </w:rPr>
        <w:t xml:space="preserve">三、获取招标文件</w:t>
      </w:r>
      <w:bookmarkEnd w:id="21"/>
      <w:r/>
      <w:bookmarkEnd w:id="22"/>
      <w:r>
        <w:rPr>
          <w:rFonts w:ascii="宋体" w:hAnsi="宋体" w:eastAsia="宋体"/>
          <w:sz w:val="21"/>
          <w:szCs w:val="21"/>
          <w:highlight w:val="none"/>
        </w:rPr>
      </w:r>
      <w:r/>
    </w:p>
    <w:p>
      <w:pPr>
        <w:pStyle w:val="1030"/>
        <w:ind w:firstLine="42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日（北京时间，法定节假日除外）</w:t>
      </w:r>
      <w:r>
        <w:rPr>
          <w:rFonts w:ascii="宋体" w:hAnsi="宋体"/>
          <w:szCs w:val="21"/>
          <w:highlight w:val="none"/>
          <w:lang w:bidi="ar"/>
        </w:rPr>
        <w:t xml:space="preserve">。</w:t>
      </w:r>
      <w:bookmarkStart w:id="23" w:name="_Toc35393624"/>
      <w:r/>
      <w:bookmarkStart w:id="24" w:name="_Toc28359005"/>
      <w:r/>
      <w:bookmarkStart w:id="25" w:name="_Toc35393793"/>
      <w:r/>
      <w:bookmarkStart w:id="26" w:name="_Toc28359082"/>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2.地点：“苏采云”政府采购一体化平台；</w:t>
      </w:r>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3.</w:t>
      </w:r>
      <w:r>
        <w:rPr>
          <w:rFonts w:hint="eastAsia" w:cs="宋体"/>
          <w:szCs w:val="21"/>
          <w:highlight w:val="none"/>
        </w:rPr>
        <w:t xml:space="preserve">方式：</w:t>
      </w:r>
      <w:r>
        <w:rPr>
          <w:rFonts w:hint="eastAsia" w:ascii="宋体" w:hAnsi="宋体" w:cs="宋体"/>
          <w:szCs w:val="21"/>
          <w:highlight w:val="none"/>
        </w:rPr>
        <w:t xml:space="preserve">供应商持政务CA数字认证证书登录“苏采云”政府采购一体化平台获取电子版招标文件。</w:t>
      </w:r>
      <w:r>
        <w:rPr>
          <w:rFonts w:hint="eastAsia" w:ascii="宋体" w:hAnsi="宋体"/>
          <w:szCs w:val="21"/>
          <w:highlight w:val="none"/>
          <w:lang w:bidi="ar"/>
        </w:rPr>
      </w:r>
      <w:r/>
    </w:p>
    <w:p>
      <w:pPr>
        <w:pStyle w:val="1030"/>
        <w:ind w:firstLine="420"/>
        <w:spacing w:line="360" w:lineRule="auto"/>
        <w:rPr>
          <w:rFonts w:ascii="宋体" w:hAnsi="宋体"/>
          <w:szCs w:val="21"/>
          <w:highlight w:val="none"/>
          <w:lang w:bidi="ar"/>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szCs w:val="21"/>
          <w:highlight w:val="none"/>
          <w:lang w:bidi="ar"/>
        </w:rPr>
      </w:r>
      <w:r/>
    </w:p>
    <w:p>
      <w:pPr>
        <w:pStyle w:val="1032"/>
        <w:jc w:val="left"/>
        <w:spacing w:before="0" w:line="360" w:lineRule="auto"/>
        <w:widowControl/>
        <w:rPr>
          <w:rFonts w:ascii="宋体" w:hAnsi="宋体" w:eastAsia="宋体"/>
          <w:sz w:val="21"/>
          <w:szCs w:val="21"/>
          <w:highlight w:val="none"/>
        </w:rPr>
      </w:pPr>
      <w:r>
        <w:rPr>
          <w:rFonts w:ascii="宋体" w:hAnsi="宋体" w:eastAsia="宋体"/>
          <w:sz w:val="21"/>
          <w:szCs w:val="21"/>
          <w:highlight w:val="none"/>
        </w:rPr>
        <w:t xml:space="preserve">四、</w:t>
      </w:r>
      <w:bookmarkEnd w:id="23"/>
      <w:r/>
      <w:bookmarkEnd w:id="24"/>
      <w:r/>
      <w:bookmarkEnd w:id="25"/>
      <w:r/>
      <w:bookmarkEnd w:id="26"/>
      <w:r>
        <w:rPr>
          <w:rFonts w:ascii="宋体" w:hAnsi="宋体" w:eastAsia="宋体"/>
          <w:sz w:val="21"/>
          <w:szCs w:val="21"/>
          <w:highlight w:val="none"/>
        </w:rPr>
        <w:t xml:space="preserve">提交投标文件截止时间、开标时间和地点</w:t>
      </w:r>
      <w:r>
        <w:rPr>
          <w:rFonts w:ascii="宋体" w:hAnsi="宋体" w:eastAsia="宋体"/>
          <w:sz w:val="21"/>
          <w:szCs w:val="21"/>
          <w:highlight w:val="none"/>
        </w:rPr>
      </w:r>
      <w:r/>
    </w:p>
    <w:p>
      <w:pPr>
        <w:pStyle w:val="1030"/>
        <w:ind w:firstLine="420"/>
        <w:spacing w:line="360" w:lineRule="auto"/>
        <w:rPr>
          <w:rFonts w:ascii="宋体" w:hAnsi="宋体"/>
          <w:bCs/>
          <w:szCs w:val="21"/>
          <w:highlight w:val="none"/>
          <w:u w:val="single"/>
        </w:rPr>
      </w:pPr>
      <w:r>
        <w:rPr>
          <w:rFonts w:hint="eastAsia" w:ascii="宋体" w:hAnsi="宋体"/>
          <w:szCs w:val="21"/>
          <w:highlight w:val="none"/>
          <w:lang w:bidi="ar"/>
        </w:rPr>
        <w:t xml:space="preserve">截止</w:t>
      </w:r>
      <w:r>
        <w:rPr>
          <w:rFonts w:ascii="宋体" w:hAnsi="宋体"/>
          <w:szCs w:val="21"/>
          <w:highlight w:val="none"/>
          <w:lang w:bidi="ar"/>
        </w:rPr>
        <w:t xml:space="preserve">时间：</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26</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下午14</w:t>
      </w:r>
      <w:r>
        <w:rPr>
          <w:rFonts w:hint="eastAsia" w:ascii="宋体" w:hAnsi="宋体"/>
          <w:szCs w:val="21"/>
          <w:highlight w:val="none"/>
          <w:lang w:bidi="ar"/>
        </w:rPr>
        <w:t xml:space="preserve">:</w:t>
      </w:r>
      <w:r>
        <w:rPr>
          <w:rFonts w:hint="eastAsia" w:ascii="宋体" w:hAnsi="宋体"/>
          <w:szCs w:val="21"/>
          <w:highlight w:val="none"/>
          <w:lang w:val="en-US" w:eastAsia="zh-CN" w:bidi="ar"/>
        </w:rPr>
        <w:t xml:space="preserve">3</w:t>
      </w:r>
      <w:r>
        <w:rPr>
          <w:rFonts w:hint="eastAsia" w:ascii="宋体" w:hAnsi="宋体"/>
          <w:szCs w:val="21"/>
          <w:highlight w:val="none"/>
          <w:lang w:bidi="ar"/>
        </w:rPr>
        <w:t xml:space="preserve">0</w:t>
      </w:r>
      <w:r>
        <w:rPr>
          <w:rFonts w:ascii="宋体" w:hAnsi="宋体"/>
          <w:bCs/>
          <w:szCs w:val="21"/>
          <w:highlight w:val="none"/>
          <w:lang w:bidi="ar"/>
        </w:rPr>
        <w:t xml:space="preserve">（北京时间）</w:t>
      </w:r>
      <w:r>
        <w:rPr>
          <w:rFonts w:ascii="宋体" w:hAnsi="宋体"/>
          <w:iCs/>
          <w:szCs w:val="21"/>
          <w:highlight w:val="none"/>
          <w:lang w:bidi="ar"/>
        </w:rPr>
        <w:t xml:space="preserve">。</w:t>
      </w:r>
      <w:r>
        <w:rPr>
          <w:rFonts w:ascii="宋体" w:hAnsi="宋体"/>
          <w:bCs/>
          <w:szCs w:val="21"/>
          <w:highlight w:val="none"/>
          <w:u w:val="single"/>
        </w:rPr>
      </w:r>
      <w:r/>
    </w:p>
    <w:p>
      <w:pPr>
        <w:pStyle w:val="1030"/>
        <w:ind w:firstLine="420"/>
        <w:spacing w:line="360" w:lineRule="auto"/>
        <w:rPr>
          <w:rFonts w:hint="eastAsia" w:ascii="宋体" w:hAnsi="宋体" w:cs="宋体"/>
          <w:highlight w:val="none"/>
        </w:rPr>
      </w:pPr>
      <w:r>
        <w:rPr>
          <w:rFonts w:ascii="宋体" w:hAnsi="宋体"/>
          <w:szCs w:val="21"/>
          <w:highlight w:val="none"/>
          <w:lang w:bidi="ar"/>
        </w:rPr>
        <w:t xml:space="preserve">地点：</w:t>
      </w:r>
      <w:bookmarkStart w:id="27" w:name="_Toc35393625"/>
      <w:r/>
      <w:bookmarkStart w:id="28" w:name="_Toc28359007"/>
      <w:r/>
      <w:bookmarkStart w:id="29" w:name="_Toc28359084"/>
      <w:r/>
      <w:bookmarkStart w:id="30" w:name="_Toc35393794"/>
      <w:r>
        <w:rPr>
          <w:rFonts w:hint="eastAsia" w:ascii="宋体" w:hAnsi="宋体" w:cs="宋体"/>
          <w:highlight w:val="none"/>
          <w:u w:val="single"/>
        </w:rPr>
        <w:t xml:space="preserve">本项目采用不见面交易方式，无需到现场提交，</w:t>
      </w:r>
      <w:r>
        <w:rPr>
          <w:rFonts w:hint="eastAsia" w:ascii="宋体" w:hAnsi="宋体" w:cs="宋体"/>
          <w:highlight w:val="none"/>
          <w:u w:val="single"/>
          <w:lang w:eastAsia="zh-CN"/>
        </w:rPr>
        <w:t xml:space="preserve">投标人</w:t>
      </w:r>
      <w:r>
        <w:rPr>
          <w:rFonts w:hint="eastAsia" w:ascii="宋体" w:hAnsi="宋体" w:cs="宋体"/>
          <w:highlight w:val="none"/>
          <w:u w:val="single"/>
        </w:rPr>
        <w:t xml:space="preserve">登录“苏采云”政府采购一体化平台供应商端，通过系统在线提交电子投标文件</w:t>
      </w:r>
      <w:r>
        <w:rPr>
          <w:rFonts w:hint="eastAsia" w:ascii="宋体" w:hAnsi="宋体" w:cs="宋体"/>
          <w:highlight w:val="none"/>
        </w:rPr>
        <w:t xml:space="preserve">。</w:t>
      </w:r>
      <w:r>
        <w:rPr>
          <w:rFonts w:hint="eastAsia" w:ascii="宋体" w:hAnsi="宋体" w:cs="宋体"/>
          <w:highlight w:val="none"/>
        </w:rPr>
      </w:r>
      <w:r/>
    </w:p>
    <w:p>
      <w:pPr>
        <w:pStyle w:val="1030"/>
        <w:spacing w:line="360" w:lineRule="auto"/>
        <w:rPr>
          <w:rFonts w:ascii="宋体" w:hAnsi="宋体"/>
          <w:szCs w:val="21"/>
          <w:highlight w:val="none"/>
        </w:rPr>
      </w:pPr>
      <w:r>
        <w:rPr>
          <w:rFonts w:ascii="宋体" w:hAnsi="宋体"/>
          <w:b/>
          <w:bCs/>
          <w:szCs w:val="21"/>
          <w:highlight w:val="none"/>
        </w:rPr>
        <w:t xml:space="preserve">五、公告期限</w:t>
      </w:r>
      <w:bookmarkEnd w:id="27"/>
      <w:r/>
      <w:bookmarkEnd w:id="28"/>
      <w:r/>
      <w:bookmarkEnd w:id="29"/>
      <w:r/>
      <w:bookmarkEnd w:id="30"/>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自本公告发布之日起5个工作日。</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31" w:name="_Toc35393795"/>
      <w:r/>
      <w:bookmarkStart w:id="32" w:name="_Toc35393626"/>
      <w:r>
        <w:rPr>
          <w:rFonts w:ascii="宋体" w:hAnsi="宋体" w:eastAsia="宋体"/>
          <w:sz w:val="21"/>
          <w:szCs w:val="21"/>
          <w:highlight w:val="none"/>
        </w:rPr>
        <w:t xml:space="preserve">六、其他补充事宜</w:t>
      </w:r>
      <w:bookmarkEnd w:id="31"/>
      <w:r/>
      <w:bookmarkEnd w:id="32"/>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1.本项目需要落实的政府采购政策：</w:t>
      </w:r>
      <w:r>
        <w:rPr>
          <w:rFonts w:hint="eastAsia" w:ascii="宋体" w:hAnsi="宋体"/>
          <w:szCs w:val="21"/>
          <w:highlight w:val="none"/>
          <w:lang w:bidi="ar"/>
        </w:rPr>
        <w:t xml:space="preserve">/</w:t>
      </w:r>
      <w:r>
        <w:rPr>
          <w:rFonts w:ascii="宋体" w:hAnsi="宋体"/>
          <w:szCs w:val="21"/>
          <w:highlight w:val="none"/>
          <w:lang w:bidi="ar"/>
        </w:rPr>
        <w:t xml:space="preserve">。</w:t>
      </w:r>
      <w:r>
        <w:rPr>
          <w:rFonts w:ascii="宋体" w:hAnsi="宋体"/>
          <w:szCs w:val="21"/>
          <w:highlight w:val="none"/>
        </w:rPr>
        <w:t xml:space="preserve"> </w:t>
      </w:r>
      <w:r>
        <w:rPr>
          <w:rFonts w:ascii="宋体" w:hAnsi="宋体"/>
          <w:szCs w:val="21"/>
          <w:highlight w:val="none"/>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szCs w:val="21"/>
          <w:highlight w:val="none"/>
          <w:lang w:val="zh-TW" w:bidi="ar"/>
        </w:rPr>
      </w:r>
      <w:r/>
    </w:p>
    <w:p>
      <w:pPr>
        <w:pStyle w:val="1030"/>
        <w:ind w:firstLine="420"/>
        <w:spacing w:line="360" w:lineRule="auto"/>
        <w:rPr>
          <w:rFonts w:ascii="宋体" w:hAnsi="宋体"/>
          <w:szCs w:val="21"/>
          <w:highlight w:val="none"/>
          <w:lang w:bidi="ar"/>
        </w:rPr>
      </w:pPr>
      <w:r>
        <w:rPr>
          <w:rFonts w:hint="eastAsia" w:ascii="宋体" w:hAnsi="宋体"/>
          <w:szCs w:val="21"/>
          <w:highlight w:val="none"/>
          <w:lang w:val="zh-TW" w:bidi="ar"/>
        </w:rPr>
        <w:t xml:space="preserve">技术支持服务热线    0519-85588210、0519-85588</w:t>
      </w:r>
      <w:r>
        <w:rPr>
          <w:rFonts w:hint="eastAsia" w:ascii="宋体" w:hAnsi="宋体"/>
          <w:szCs w:val="21"/>
          <w:highlight w:val="none"/>
          <w:lang w:bidi="ar"/>
        </w:rPr>
        <w:t xml:space="preserve">163</w:t>
      </w:r>
      <w:r>
        <w:rPr>
          <w:rFonts w:ascii="宋体" w:hAnsi="宋体"/>
          <w:szCs w:val="21"/>
          <w:highlight w:val="none"/>
          <w:lang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CA认证证书办理（可邮寄）联系电话   0519-85588120</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2.1办理CA认证证书</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供应商登录常州市政府采购网“下载中心”下载并查阅 “江苏省政府采购数字证书CA及电子签章办理指南”，按照程序要求办理。</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2.2注册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供应商登录常州市政府采购网“下载中心”-““苏采云”系统供应商操作手册”下载相关操作手册、操作视频等，查阅后进行自助注册。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2.3控件、客户端下载</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供应商登录常州市政府采购网“下载中心”-“政府采购管理交易系统（苏采云）CA及签章控件驱动”下载相关控件和客户端。</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2.4 获取电子招标文件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2.5编制电子投标文件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2.6提交电子投标文件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供应商应于投标截止时间前在“苏采云”政府采购一体化平台提交电子投标文件，上传电子投标文件过程中请保持与互联网的连接畅通。</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2.7电子开标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供应商使用CA认证证书登录“苏采云”政府采购一体化平台进行电子化不见面开标。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2.8注意事项</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outlineLvl w:val="1"/>
      </w:pPr>
      <w:r>
        <w:rPr>
          <w:rFonts w:hint="eastAsia" w:ascii="宋体" w:hAnsi="宋体"/>
          <w:szCs w:val="21"/>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szCs w:val="21"/>
          <w:highlight w:val="none"/>
          <w:lang w:val="zh-TW" w:eastAsia="zh-CN" w:bidi="ar"/>
        </w:rPr>
        <w:t xml:space="preserve">投标人</w:t>
      </w:r>
      <w:r>
        <w:rPr>
          <w:rFonts w:hint="eastAsia" w:ascii="宋体" w:hAnsi="宋体"/>
          <w:szCs w:val="21"/>
          <w:highlight w:val="none"/>
          <w:lang w:val="zh-TW" w:bidi="ar"/>
        </w:rPr>
        <w:t xml:space="preserve">自行承担。</w:t>
      </w:r>
      <w:r>
        <w:rPr>
          <w:rFonts w:hint="eastAsia" w:ascii="宋体" w:hAnsi="宋体"/>
          <w:szCs w:val="21"/>
          <w:highlight w:val="none"/>
          <w:lang w:val="zh-TW" w:bidi="ar"/>
        </w:rPr>
      </w:r>
      <w:r/>
    </w:p>
    <w:p>
      <w:pPr>
        <w:pStyle w:val="1030"/>
        <w:ind w:firstLine="420"/>
        <w:spacing w:line="360" w:lineRule="auto"/>
        <w:rPr>
          <w:rFonts w:hint="eastAsia" w:ascii="宋体" w:hAnsi="宋体" w:cs="宋体"/>
          <w:b/>
          <w:bCs/>
          <w:szCs w:val="21"/>
          <w:highlight w:val="none"/>
        </w:rPr>
        <w:outlineLvl w:val="1"/>
      </w:pPr>
      <w:r>
        <w:rPr>
          <w:rFonts w:hint="eastAsia" w:ascii="宋体" w:hAnsi="宋体" w:cs="宋体"/>
          <w:szCs w:val="21"/>
          <w:highlight w:val="none"/>
        </w:rPr>
        <w:t xml:space="preserve">3.关于常州市中小企业政府采购信用融资</w:t>
      </w:r>
      <w:r>
        <w:rPr>
          <w:rFonts w:hint="eastAsia" w:ascii="宋体" w:hAnsi="宋体" w:cs="宋体"/>
          <w:b/>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申请条件及操作流程等事项详见《常州市财政局中国人民银行常州市中心支行关于进一步推进政府采购信用融资工作的通知》。</w:t>
      </w:r>
      <w:r>
        <w:rPr>
          <w:rFonts w:hint="eastAsia" w:ascii="宋体" w:hAnsi="宋体" w:cs="宋体"/>
          <w:bCs/>
          <w:szCs w:val="21"/>
          <w:highlight w:val="none"/>
        </w:rPr>
      </w:r>
      <w:r/>
    </w:p>
    <w:p>
      <w:pPr>
        <w:pStyle w:val="1030"/>
        <w:ind w:firstLine="422"/>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七、对本次招标提出询问，请按以下方式联系</w:t>
      </w:r>
      <w:bookmarkEnd w:id="10"/>
      <w:r/>
      <w:bookmarkEnd w:id="11"/>
      <w:r/>
      <w:bookmarkEnd w:id="12"/>
      <w:r/>
      <w:bookmarkEnd w:id="13"/>
      <w:r/>
      <w:bookmarkEnd w:id="14"/>
      <w:r>
        <w:rPr>
          <w:rFonts w:hint="eastAsia" w:ascii="宋体" w:hAnsi="宋体" w:cs="宋体"/>
          <w:b/>
          <w:bCs/>
          <w:szCs w:val="21"/>
          <w:highlight w:val="none"/>
        </w:rPr>
      </w:r>
      <w:r/>
    </w:p>
    <w:p>
      <w:pPr>
        <w:pStyle w:val="1030"/>
        <w:ind w:firstLine="420"/>
        <w:spacing w:line="360" w:lineRule="auto"/>
        <w:rPr>
          <w:rFonts w:hint="eastAsia" w:ascii="宋体" w:hAnsi="宋体" w:cs="宋体"/>
          <w:szCs w:val="21"/>
          <w:highlight w:val="none"/>
        </w:rPr>
      </w:pPr>
      <w:r/>
      <w:bookmarkStart w:id="33" w:name="_Toc28358998"/>
      <w:r/>
      <w:bookmarkStart w:id="34" w:name="_Toc35393786"/>
      <w:r/>
      <w:bookmarkStart w:id="35" w:name="_Toc28359075"/>
      <w:r/>
      <w:bookmarkStart w:id="36" w:name="_Toc35393617"/>
      <w:r>
        <w:rPr>
          <w:rFonts w:hint="eastAsia" w:ascii="宋体" w:hAnsi="宋体" w:cs="宋体"/>
          <w:szCs w:val="21"/>
          <w:highlight w:val="none"/>
        </w:rPr>
        <w:t xml:space="preserve">1.采购人信息</w:t>
      </w:r>
      <w:bookmarkEnd w:id="33"/>
      <w:r/>
      <w:bookmarkEnd w:id="34"/>
      <w:r/>
      <w:bookmarkEnd w:id="35"/>
      <w:r/>
      <w:bookmarkEnd w:id="36"/>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常州市金坛区尧塘街道办事处</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常州市金坛区尧汤路8号</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朱</w:t>
      </w:r>
      <w:r>
        <w:rPr>
          <w:rFonts w:hint="eastAsia" w:ascii="宋体" w:hAnsi="宋体" w:cs="宋体"/>
          <w:szCs w:val="21"/>
          <w:highlight w:val="none"/>
          <w:lang w:eastAsia="zh-CN"/>
        </w:rPr>
        <w:t xml:space="preserve">先生</w:t>
      </w:r>
      <w:r>
        <w:rPr>
          <w:rFonts w:hint="eastAsia" w:ascii="宋体" w:hAnsi="宋体" w:cs="宋体"/>
          <w:szCs w:val="21"/>
          <w:highlight w:val="none"/>
        </w:rPr>
      </w:r>
      <w:r/>
    </w:p>
    <w:p>
      <w:pPr>
        <w:pStyle w:val="1030"/>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电　话：0519-82595251</w:t>
      </w:r>
      <w:r>
        <w:rPr>
          <w:rFonts w:ascii="宋体" w:hAnsi="宋体" w:eastAsia="宋体" w:cs="宋体"/>
          <w:szCs w:val="21"/>
          <w:highlight w:val="none"/>
          <w:lang w:val="en-US" w:eastAsia="zh-CN"/>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称：江苏浩宇建设工程造价咨询有限公司</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址：常州市金坛区南环二路106号四楼</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bookmarkStart w:id="37" w:name="_Toc35393619"/>
      <w:r/>
      <w:bookmarkStart w:id="38" w:name="_Toc35393788"/>
      <w:r/>
      <w:bookmarkStart w:id="39" w:name="_Toc28359000"/>
      <w:r/>
      <w:bookmarkStart w:id="40" w:name="_Toc28359077"/>
      <w:r>
        <w:rPr>
          <w:rFonts w:hint="eastAsia" w:ascii="宋体" w:hAnsi="宋体" w:cs="宋体"/>
          <w:szCs w:val="21"/>
          <w:highlight w:val="none"/>
        </w:rPr>
        <w:t xml:space="preserve">3.项目联系方式</w:t>
      </w:r>
      <w:bookmarkEnd w:id="37"/>
      <w:r/>
      <w:bookmarkEnd w:id="38"/>
      <w:r/>
      <w:bookmarkEnd w:id="39"/>
      <w:r/>
      <w:bookmarkEnd w:id="40"/>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采购文件相关联系人：钱女士</w:t>
      </w:r>
      <w:r>
        <w:rPr>
          <w:rFonts w:hint="eastAsia" w:ascii="宋体" w:hAnsi="宋体" w:cs="宋体"/>
          <w:szCs w:val="21"/>
          <w:highlight w:val="none"/>
        </w:rPr>
      </w:r>
      <w:r/>
    </w:p>
    <w:p>
      <w:pPr>
        <w:pStyle w:val="1030"/>
        <w:ind w:firstLine="420"/>
        <w:spacing w:line="360" w:lineRule="auto"/>
        <w:rPr>
          <w:rFonts w:hint="eastAsia" w:ascii="宋体" w:hAnsi="宋体" w:cs="宋体"/>
          <w:b/>
          <w:sz w:val="24"/>
          <w:highlight w:val="none"/>
        </w:rPr>
      </w:pPr>
      <w:r>
        <w:rPr>
          <w:rFonts w:hint="eastAsia" w:ascii="宋体" w:hAnsi="宋体" w:cs="宋体"/>
          <w:szCs w:val="21"/>
          <w:highlight w:val="none"/>
        </w:rPr>
        <w:t xml:space="preserve">电　话：</w:t>
      </w:r>
      <w:r>
        <w:rPr>
          <w:rFonts w:hint="eastAsia" w:ascii="宋体" w:hAnsi="宋体" w:cs="宋体"/>
          <w:szCs w:val="21"/>
          <w:highlight w:val="none"/>
          <w:lang w:val="zh-TW" w:eastAsia="zh-TW"/>
        </w:rPr>
        <w:t xml:space="preserve">0519-82660686</w:t>
      </w:r>
      <w:r>
        <w:rPr>
          <w:rFonts w:hint="eastAsia" w:ascii="宋体" w:hAnsi="宋体" w:cs="宋体"/>
          <w:b/>
          <w:sz w:val="24"/>
          <w:highlight w:val="none"/>
        </w:rPr>
      </w:r>
      <w:r/>
    </w:p>
    <w:p>
      <w:pPr>
        <w:pStyle w:val="1030"/>
        <w:jc w:val="both"/>
        <w:spacing w:line="360" w:lineRule="auto"/>
        <w:rPr>
          <w:b/>
          <w:sz w:val="36"/>
          <w:szCs w:val="36"/>
          <w:highlight w:val="none"/>
        </w:rPr>
        <w:outlineLvl w:val="0"/>
      </w:pPr>
      <w:r/>
      <w:bookmarkStart w:id="41" w:name="_Toc195842950"/>
      <w:r/>
      <w:bookmarkStart w:id="42" w:name="_Toc226965856"/>
      <w:r/>
      <w:bookmarkStart w:id="43" w:name="_Toc353825548"/>
      <w:r/>
      <w:bookmarkStart w:id="44" w:name="_Toc353873938"/>
      <w:r/>
      <w:bookmarkStart w:id="45" w:name="_Toc265228423"/>
      <w:r/>
      <w:bookmarkStart w:id="46" w:name="_Toc127161488"/>
      <w:r/>
      <w:bookmarkStart w:id="47" w:name="_Toc264969275"/>
      <w:r/>
      <w:bookmarkStart w:id="48" w:name="_Toc150774783"/>
      <w:r/>
      <w:bookmarkStart w:id="49" w:name="_Toc512937850"/>
      <w:r/>
      <w:bookmarkStart w:id="50" w:name="_Toc99301420"/>
      <w:r/>
      <w:bookmarkStart w:id="51" w:name="_Toc305158854"/>
      <w:r/>
      <w:bookmarkStart w:id="52" w:name="_Toc305158928"/>
      <w:r/>
      <w:bookmarkStart w:id="53" w:name="_Toc127151777"/>
      <w:r>
        <w:rPr>
          <w:b/>
          <w:sz w:val="36"/>
          <w:szCs w:val="36"/>
          <w:highlight w:val="none"/>
        </w:rPr>
      </w:r>
      <w:r/>
    </w:p>
    <w:p>
      <w:pPr>
        <w:pStyle w:val="1030"/>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highlight w:val="none"/>
        </w:rPr>
      </w:r>
      <w:r/>
    </w:p>
    <w:p>
      <w:pPr>
        <w:pStyle w:val="1032"/>
        <w:spacing w:before="0" w:line="360" w:lineRule="auto"/>
        <w:tabs>
          <w:tab w:val="center" w:pos="4592" w:leader="none"/>
          <w:tab w:val="left" w:pos="7860" w:leader="none"/>
        </w:tabs>
        <w:rPr>
          <w:rFonts w:ascii="Times New Roman" w:hAnsi="Times New Roman" w:eastAsia="宋体"/>
          <w:sz w:val="28"/>
          <w:highlight w:val="none"/>
        </w:rPr>
      </w:pPr>
      <w:r/>
      <w:bookmarkStart w:id="54" w:name="_Toc151193907"/>
      <w:r/>
      <w:bookmarkStart w:id="55" w:name="_Toc164608633"/>
      <w:r/>
      <w:bookmarkStart w:id="56" w:name="_Toc151193833"/>
      <w:r/>
      <w:bookmarkStart w:id="57" w:name="_Toc151193689"/>
      <w:r/>
      <w:bookmarkStart w:id="58" w:name="_Toc226965709"/>
      <w:r/>
      <w:bookmarkStart w:id="59" w:name="_Toc150480757"/>
      <w:r/>
      <w:bookmarkStart w:id="60" w:name="_Toc151193617"/>
      <w:r/>
      <w:bookmarkStart w:id="61" w:name="_Toc226309763"/>
      <w:r/>
      <w:bookmarkStart w:id="62" w:name="_Toc127151519"/>
      <w:r/>
      <w:bookmarkStart w:id="63" w:name="_Toc151190146"/>
      <w:r/>
      <w:bookmarkStart w:id="64" w:name="_Toc195842884"/>
      <w:r/>
      <w:bookmarkStart w:id="65" w:name="_Toc164608788"/>
      <w:r/>
      <w:bookmarkStart w:id="66" w:name="_Toc164229214"/>
      <w:r/>
      <w:bookmarkStart w:id="67" w:name="_Toc520356144"/>
      <w:r/>
      <w:bookmarkStart w:id="68" w:name="_Toc127151720"/>
      <w:r/>
      <w:bookmarkStart w:id="69" w:name="_Toc164351613"/>
      <w:r/>
      <w:bookmarkStart w:id="70" w:name="_Toc149720812"/>
      <w:r/>
      <w:bookmarkStart w:id="71" w:name="_Toc150509270"/>
      <w:r/>
      <w:bookmarkStart w:id="72" w:name="_Toc142311021"/>
      <w:r/>
      <w:bookmarkStart w:id="73" w:name="_Toc150774724"/>
      <w:r/>
      <w:bookmarkStart w:id="74" w:name="_Toc151193761"/>
      <w:r/>
      <w:bookmarkStart w:id="75" w:name="_Toc226337215"/>
      <w:r/>
      <w:bookmarkStart w:id="76" w:name="_Toc150774619"/>
      <w:r/>
      <w:bookmarkStart w:id="77" w:name="_Toc226965792"/>
      <w:r/>
      <w:bookmarkStart w:id="78" w:name="_Toc127161433"/>
      <w:r/>
      <w:bookmarkStart w:id="79" w:name="_Toc164229360"/>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30"/>
        <w:jc w:val="center"/>
        <w:rPr>
          <w:b/>
          <w:sz w:val="28"/>
          <w:szCs w:val="28"/>
          <w:highlight w:val="none"/>
        </w:rPr>
      </w:pPr>
      <w:r>
        <w:rPr>
          <w:b/>
          <w:sz w:val="28"/>
          <w:szCs w:val="28"/>
          <w:highlight w:val="none"/>
        </w:rPr>
      </w:r>
      <w:r/>
    </w:p>
    <w:p>
      <w:pPr>
        <w:pStyle w:val="1030"/>
        <w:ind w:firstLine="480"/>
        <w:spacing w:line="360" w:lineRule="auto"/>
        <w:rPr>
          <w:rFonts w:hint="eastAsia"/>
          <w:sz w:val="24"/>
          <w:highlight w:val="none"/>
        </w:rPr>
      </w:pPr>
      <w:r>
        <w:rPr>
          <w:rFonts w:hint="eastAsia" w:ascii="宋体" w:hAnsi="宋体" w:cs="宋体"/>
          <w:szCs w:val="21"/>
          <w:highlight w:val="none"/>
        </w:rPr>
        <w:t xml:space="preserve">本表是对供应商须知的具体补充和修改，如有矛盾，均以本资料表为准。标记</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szCs w:val="21"/>
          <w:highlight w:val="none"/>
        </w:rPr>
        <w:t xml:space="preserve">的选项意为适用于本项目，标记“□”的选项意为不适用于本项目。</w:t>
      </w:r>
      <w:r>
        <w:rPr>
          <w:rFonts w:hint="eastAsia"/>
          <w:sz w:val="24"/>
          <w:highlight w:val="none"/>
        </w:rPr>
      </w:r>
      <w:r/>
    </w:p>
    <w:tbl>
      <w:tblPr>
        <w:tblW w:w="10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4"/>
        <w:gridCol w:w="7551"/>
      </w:tblGrid>
      <w:tr>
        <w:trPr>
          <w:trHeight w:val="519"/>
          <w:tblHeader/>
        </w:trPr>
        <w:tc>
          <w:tcPr>
            <w:tcW w:w="758"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序号</w:t>
            </w:r>
            <w:r>
              <w:rPr>
                <w:rFonts w:hint="eastAsia" w:ascii="宋体" w:hAnsi="宋体" w:cs="宋体"/>
                <w:b/>
                <w:bCs/>
                <w:szCs w:val="21"/>
                <w:highlight w:val="none"/>
              </w:rPr>
            </w:r>
            <w:r/>
          </w:p>
        </w:tc>
        <w:tc>
          <w:tcPr>
            <w:tcW w:w="1704"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51"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  服务</w:t>
            </w:r>
            <w:r>
              <w:rPr>
                <w:rFonts w:hint="eastAsia" w:ascii="宋体" w:hAnsi="宋体" w:cs="宋体"/>
                <w:szCs w:val="21"/>
                <w:highlight w:val="none"/>
                <w:u w:val="singl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417"/>
        </w:trPr>
        <w:tc>
          <w:tcPr>
            <w:tcW w:w="758" w:type="dxa"/>
            <w:vAlign w:val="center"/>
            <w:vMerge w:val="restart"/>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不组织</w:t>
            </w:r>
            <w:r>
              <w:rPr>
                <w:rFonts w:hint="eastAsia" w:ascii="宋体" w:hAnsi="宋体" w:cs="宋体"/>
                <w:szCs w:val="21"/>
                <w:highlight w:val="none"/>
              </w:rPr>
            </w:r>
            <w:r/>
          </w:p>
        </w:tc>
      </w:tr>
      <w:tr>
        <w:trPr>
          <w:trHeight w:val="439"/>
        </w:trPr>
        <w:tc>
          <w:tcPr>
            <w:tcW w:w="758" w:type="dxa"/>
            <w:vAlign w:val="center"/>
            <w:vMerge w:val="continue"/>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不召开</w:t>
            </w:r>
            <w:r>
              <w:rPr>
                <w:rFonts w:hint="eastAsia" w:ascii="宋体" w:hAnsi="宋体" w:cs="宋体"/>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不需要</w:t>
            </w:r>
            <w:r>
              <w:rPr>
                <w:rFonts w:hint="eastAsia" w:ascii="宋体" w:hAnsi="宋体" w:cs="宋体"/>
                <w:szCs w:val="21"/>
                <w:highlight w:val="none"/>
              </w:rPr>
            </w:r>
            <w:r/>
          </w:p>
        </w:tc>
      </w:tr>
      <w:tr>
        <w:trPr>
          <w:trHeight w:val="388"/>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5</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本项目采购标的对应的中小企业划分标准所属行业：</w:t>
            </w:r>
            <w:r>
              <w:rPr>
                <w:rFonts w:hint="eastAsia" w:ascii="宋体" w:hAnsi="宋体" w:eastAsia="宋体" w:cs="宋体"/>
                <w:b/>
                <w:bCs/>
                <w:szCs w:val="21"/>
                <w:highlight w:val="none"/>
              </w:rPr>
              <w:t xml:space="preserve">其他未列明行业</w:t>
            </w:r>
            <w:r>
              <w:rPr>
                <w:rFonts w:hint="eastAsia" w:ascii="宋体" w:hAnsi="宋体" w:eastAsia="宋体" w:cs="宋体"/>
                <w:szCs w:val="21"/>
                <w:highlight w:val="none"/>
              </w:rPr>
              <w:t xml:space="preserve">。</w:t>
            </w:r>
            <w:r>
              <w:rPr>
                <w:rFonts w:hint="eastAsia" w:ascii="宋体" w:hAnsi="宋体" w:cs="宋体"/>
                <w:szCs w:val="21"/>
                <w:highlight w:val="none"/>
              </w:rPr>
            </w:r>
            <w:r/>
          </w:p>
        </w:tc>
      </w:tr>
      <w:tr>
        <w:trPr>
          <w:trHeight w:val="388"/>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6</w:t>
            </w:r>
            <w:r>
              <w:rPr>
                <w:rFonts w:hAnsi="宋体" w:cs="宋体"/>
                <w:szCs w:val="21"/>
                <w:highlight w:val="none"/>
                <w:lang w:val="en-US" w:eastAsia="zh-CN"/>
              </w:rPr>
            </w:r>
            <w:r/>
          </w:p>
        </w:tc>
        <w:tc>
          <w:tcPr>
            <w:tcW w:w="1704"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cs="宋体"/>
                <w:sz w:val="21"/>
                <w:szCs w:val="21"/>
                <w:highlight w:val="none"/>
              </w:rPr>
            </w:pPr>
            <w:r>
              <w:rPr>
                <w:rFonts w:hint="eastAsia"/>
                <w:sz w:val="21"/>
                <w:szCs w:val="21"/>
              </w:rPr>
              <w:t xml:space="preserve">本国产品政策支持</w:t>
            </w:r>
            <w:r>
              <w:rPr>
                <w:rFonts w:hint="eastAsia" w:ascii="宋体" w:hAnsi="宋体" w:cs="宋体"/>
                <w:sz w:val="21"/>
                <w:szCs w:val="21"/>
                <w:highlight w:val="none"/>
              </w:rPr>
            </w:r>
            <w:r/>
          </w:p>
        </w:tc>
        <w:tc>
          <w:tcPr>
            <w:tcW w:w="7551" w:type="dxa"/>
            <w:vAlign w:val="center"/>
            <w:textDirection w:val="lrTb"/>
            <w:noWrap w:val="false"/>
          </w:tcPr>
          <w:p>
            <w:pPr>
              <w:pStyle w:val="1030"/>
              <w:jc w:val="left"/>
              <w:keepLines w:val="0"/>
              <w:keepNext w:val="0"/>
              <w:pageBreakBefore w:val="0"/>
              <w:spacing w:line="360" w:lineRule="auto"/>
              <w:widowControl w:val="off"/>
              <w:rPr>
                <w:sz w:val="21"/>
                <w:szCs w:val="21"/>
              </w:rPr>
            </w:pPr>
            <w:r>
              <w:rPr>
                <w:rFonts w:hint="eastAsia"/>
                <w:sz w:val="21"/>
                <w:szCs w:val="21"/>
              </w:rPr>
              <w:t xml:space="preserve">关于对采购本国产品给予政策支持，本项目：</w:t>
            </w:r>
            <w:r>
              <w:rPr>
                <w:rFonts w:hint="eastAsia" w:ascii="宋体" w:hAnsi="宋体"/>
                <w:sz w:val="21"/>
                <w:szCs w:val="21"/>
              </w:rPr>
              <w:t xml:space="preserve">□</w:t>
            </w:r>
            <w:r>
              <w:rPr>
                <w:rFonts w:hint="eastAsia"/>
                <w:sz w:val="21"/>
                <w:szCs w:val="21"/>
              </w:rPr>
              <w:t xml:space="preserve">适用 </w:t>
            </w:r>
            <w:r>
              <w:rPr>
                <w:rFonts w:hint="eastAsia" w:ascii="宋体" w:hAnsi="宋体"/>
                <w:sz w:val="21"/>
                <w:szCs w:val="21"/>
              </w:rPr>
              <w:t xml:space="preserve">■</w:t>
            </w:r>
            <w:r>
              <w:rPr>
                <w:rFonts w:hint="eastAsia"/>
                <w:sz w:val="21"/>
                <w:szCs w:val="21"/>
              </w:rPr>
              <w:t xml:space="preserve">不适用。</w:t>
            </w:r>
            <w:r>
              <w:rPr>
                <w:sz w:val="21"/>
                <w:szCs w:val="21"/>
              </w:rPr>
            </w:r>
            <w:r/>
          </w:p>
          <w:p>
            <w:pPr>
              <w:pStyle w:val="103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sz w:val="21"/>
                <w:szCs w:val="21"/>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sz w:val="21"/>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7</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b w:val="0"/>
                <w:bCs/>
                <w:color w:val="000000"/>
                <w:szCs w:val="21"/>
                <w:highlight w:val="none"/>
                <w:lang w:val="en-US" w:eastAsia="zh-CN"/>
              </w:rPr>
              <w:t xml:space="preserve">本项目按优惠率报价，0≤投标优惠率＜100%</w:t>
            </w:r>
            <w:r>
              <w:rPr>
                <w:rFonts w:hint="eastAsia" w:ascii="宋体" w:hAnsi="宋体" w:cs="宋体"/>
                <w:b w:val="0"/>
                <w:bCs/>
                <w:color w:val="000000"/>
                <w:szCs w:val="21"/>
                <w:highlight w:val="none"/>
              </w:rPr>
              <w:t xml:space="preserve">，否则作无效</w:t>
            </w:r>
            <w:r>
              <w:rPr>
                <w:rFonts w:hint="eastAsia" w:ascii="宋体" w:hAnsi="宋体" w:cs="宋体"/>
                <w:b w:val="0"/>
                <w:bCs/>
                <w:color w:val="000000"/>
                <w:szCs w:val="21"/>
                <w:highlight w:val="none"/>
                <w:lang w:val="en-US" w:eastAsia="zh-CN"/>
              </w:rPr>
              <w:t xml:space="preserve">标</w:t>
            </w:r>
            <w:r>
              <w:rPr>
                <w:rFonts w:hint="eastAsia" w:ascii="宋体" w:hAnsi="宋体" w:cs="宋体"/>
                <w:b w:val="0"/>
                <w:bCs/>
                <w:color w:val="000000"/>
                <w:szCs w:val="21"/>
                <w:highlight w:val="none"/>
              </w:rPr>
              <w:t xml:space="preserve">处理。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8</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9</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自提交投标文件的截止之日起算60日历天。</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10</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不允许</w:t>
            </w:r>
            <w:r>
              <w:rPr>
                <w:rFonts w:hint="eastAsia" w:ascii="宋体" w:hAnsi="宋体" w:cs="宋体"/>
                <w:szCs w:val="21"/>
                <w:highlight w:val="none"/>
                <w:u w:val="singl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询问送达形式：投标人如对采购文件有疑问，须在202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日上午11：00时前，各投标单位将疑问以书面形式并加盖投标单位公章，以邮件传至江苏浩宇建设工程造价咨询有限公司247220171@qq.com并电话0519-82660686联系，并将疑问书面原件送至江苏浩宇建设工程造价咨询有限公司，逾期不予受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联系部门：江苏浩宇建设工程造价咨询有限公司；</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联系电话：0519-82660686；</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通讯地址：常州市金坛区南环二路106号四楼。</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中标人</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收费标准：</w:t>
            </w:r>
            <w:r>
              <w:rPr>
                <w:rFonts w:hint="eastAsia" w:ascii="宋体" w:hAnsi="宋体" w:cs="宋体"/>
                <w:szCs w:val="21"/>
                <w:highlight w:val="none"/>
                <w:lang w:val="en-US" w:eastAsia="zh-CN"/>
              </w:rPr>
              <w:t xml:space="preserve">10000元</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rPr>
              <w:t xml:space="preserve">请</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人在报价时综合考虑</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缴纳时间：中标单位在领取中标通知书时一次性支付给招标代理单位。</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是否允许联合体投标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 </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采购人对招标文件澄清、修改时间</w:t>
            </w:r>
            <w:r>
              <w:rPr>
                <w:rFonts w:hint="eastAsia" w:ascii="宋体" w:hAnsi="宋体" w:cs="宋体"/>
                <w:color w:val="000000"/>
                <w:szCs w:val="21"/>
                <w:highlight w:val="none"/>
              </w:rPr>
            </w:r>
            <w:r/>
          </w:p>
        </w:tc>
        <w:tc>
          <w:tcPr>
            <w:tcW w:w="7551" w:type="dxa"/>
            <w:vAlign w:val="center"/>
            <w:textDirection w:val="lrTb"/>
            <w:noWrap w:val="false"/>
          </w:tcPr>
          <w:p>
            <w:pPr>
              <w:pStyle w:val="1074"/>
              <w:ind w:left="0"/>
              <w:jc w:val="left"/>
              <w:spacing w:line="360" w:lineRule="auto"/>
              <w:rPr>
                <w:rFonts w:hint="eastAsia" w:ascii="宋体" w:eastAsia="宋体" w:cs="宋体"/>
                <w:sz w:val="21"/>
                <w:szCs w:val="21"/>
                <w:highlight w:val="none"/>
                <w:lang w:val="en-US" w:eastAsia="zh-CN"/>
              </w:rPr>
            </w:pPr>
            <w:r>
              <w:rPr>
                <w:rFonts w:hint="eastAsia" w:ascii="宋体" w:eastAsia="宋体" w:cs="宋体"/>
                <w:color w:val="000000"/>
                <w:sz w:val="21"/>
                <w:szCs w:val="21"/>
                <w:highlight w:val="none"/>
                <w:lang w:val="en-US" w:eastAsia="zh-CN"/>
              </w:rPr>
              <w:t xml:space="preserve">2026年6月2日至投标截止时间15日前</w:t>
            </w:r>
            <w:r>
              <w:rPr>
                <w:rFonts w:hint="eastAsia" w:ascii="宋体" w:eastAsia="宋体" w:cs="宋体"/>
                <w:sz w:val="21"/>
                <w:szCs w:val="21"/>
                <w:highlight w:val="none"/>
                <w:lang w:val="en-US" w:eastAsia="zh-CN"/>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是否收取履约保证金</w:t>
            </w:r>
            <w:r>
              <w:rPr>
                <w:rFonts w:hint="eastAsia" w:ascii="宋体" w:hAnsi="宋体" w:cs="宋体"/>
                <w:color w:val="000000"/>
                <w:szCs w:val="21"/>
                <w:highlight w:val="none"/>
              </w:rPr>
            </w:r>
            <w:r/>
          </w:p>
        </w:tc>
        <w:tc>
          <w:tcPr>
            <w:tcW w:w="7551" w:type="dxa"/>
            <w:vAlign w:val="center"/>
            <w:textDirection w:val="lrTb"/>
            <w:noWrap w:val="false"/>
          </w:tcPr>
          <w:p>
            <w:pPr>
              <w:pStyle w:val="1030"/>
              <w:spacing w:line="360" w:lineRule="auto"/>
              <w:rPr>
                <w:rFonts w:hint="eastAsia" w:ascii="宋体" w:hAnsi="宋体" w:eastAsia="宋体" w:cs="宋体"/>
                <w:bCs/>
                <w:color w:val="000000"/>
                <w:szCs w:val="21"/>
                <w:highlight w:val="none"/>
                <w:lang w:eastAsia="zh-CN"/>
              </w:rPr>
            </w:pP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bCs/>
                <w:szCs w:val="21"/>
                <w:highlight w:val="none"/>
                <w:lang w:val="en-US" w:eastAsia="zh-CN"/>
              </w:rPr>
              <w:t xml:space="preserve">是，</w:t>
            </w:r>
            <w:r>
              <w:rPr>
                <w:rFonts w:hint="eastAsia" w:ascii="宋体" w:hAnsi="宋体" w:cs="宋体"/>
                <w:bCs/>
                <w:szCs w:val="21"/>
                <w:highlight w:val="none"/>
                <w:lang w:val="en-US" w:eastAsia="zh-CN"/>
              </w:rPr>
              <w:t xml:space="preserve">中标人</w:t>
            </w:r>
            <w:r>
              <w:rPr>
                <w:rFonts w:hint="eastAsia" w:ascii="宋体" w:hAnsi="宋体" w:cs="宋体"/>
                <w:bCs/>
                <w:szCs w:val="21"/>
                <w:highlight w:val="none"/>
                <w:lang w:val="en-US" w:eastAsia="zh-CN"/>
              </w:rPr>
              <w:t xml:space="preserve">在合同签订前，向采购人提供</w:t>
            </w:r>
            <w:r>
              <w:rPr>
                <w:rFonts w:hint="eastAsia" w:ascii="宋体" w:hAnsi="宋体" w:cs="宋体"/>
                <w:b/>
                <w:bCs w:val="0"/>
                <w:szCs w:val="21"/>
                <w:highlight w:val="none"/>
                <w:lang w:val="en-US" w:eastAsia="zh-CN"/>
              </w:rPr>
              <w:t xml:space="preserve">5万元</w:t>
            </w:r>
            <w:r>
              <w:rPr>
                <w:rFonts w:hint="eastAsia" w:ascii="宋体" w:hAnsi="宋体" w:cs="宋体"/>
                <w:bCs/>
                <w:szCs w:val="21"/>
                <w:highlight w:val="none"/>
                <w:lang w:val="en-US" w:eastAsia="zh-CN"/>
              </w:rPr>
              <w:t xml:space="preserve">的履约保证金（成交供应商自主选择以支票、汇票、本票、保函等非现金形式缴纳或递交），合同期满后采购人一次性返还成交供应商的履约保证金（不计息）。</w:t>
            </w:r>
            <w:r>
              <w:rPr>
                <w:rFonts w:hint="eastAsia" w:ascii="宋体" w:hAnsi="宋体" w:eastAsia="宋体" w:cs="宋体"/>
                <w:bCs/>
                <w:color w:val="000000"/>
                <w:szCs w:val="21"/>
                <w:highlight w:val="none"/>
                <w:lang w:eastAsia="zh-CN"/>
              </w:rPr>
            </w:r>
            <w:r/>
          </w:p>
        </w:tc>
      </w:tr>
    </w:tbl>
    <w:p>
      <w:pPr>
        <w:pStyle w:val="1030"/>
        <w:jc w:val="both"/>
        <w:spacing w:line="360" w:lineRule="auto"/>
        <w:tabs>
          <w:tab w:val="left" w:pos="5580" w:leader="none"/>
        </w:tabs>
        <w:rPr>
          <w:sz w:val="24"/>
          <w:highlight w:val="none"/>
        </w:rPr>
        <w:sectPr>
          <w:footerReference w:type="default" r:id="rId22"/>
          <w:footerReference w:type="first" r:id="rId23"/>
          <w:footnotePr/>
          <w:endnotePr/>
          <w:type w:val="nextPage"/>
          <w:pgSz w:w="11907" w:h="16838" w:orient="portrait"/>
          <w:pgMar w:top="1417" w:right="1134" w:bottom="1417" w:left="1701" w:header="850" w:footer="850" w:gutter="0"/>
          <w:pgNumType w:start="1"/>
          <w:cols w:num="1" w:sep="0" w:space="1701" w:equalWidth="1"/>
          <w:docGrid w:linePitch="360"/>
        </w:sectPr>
      </w:pPr>
      <w:r>
        <w:rPr>
          <w:sz w:val="24"/>
          <w:highlight w:val="none"/>
        </w:rPr>
      </w:r>
      <w:r/>
    </w:p>
    <w:p>
      <w:pPr>
        <w:pStyle w:val="1030"/>
        <w:jc w:val="center"/>
        <w:spacing w:before="240" w:after="240"/>
        <w:rPr>
          <w:b/>
          <w:sz w:val="28"/>
          <w:szCs w:val="28"/>
          <w:highlight w:val="none"/>
        </w:rPr>
      </w:pPr>
      <w:r/>
      <w:bookmarkStart w:id="80" w:name="_Toc353873662"/>
      <w:r/>
      <w:bookmarkStart w:id="81" w:name="_Toc264969207"/>
      <w:r/>
      <w:bookmarkStart w:id="82" w:name="_Toc353873932"/>
      <w:r/>
      <w:bookmarkStart w:id="83" w:name="_Toc305158785"/>
      <w:r/>
      <w:bookmarkStart w:id="84" w:name="_Toc353825542"/>
      <w:r/>
      <w:bookmarkStart w:id="85" w:name="_Toc226337213"/>
      <w:r/>
      <w:bookmarkStart w:id="86" w:name="_Toc127151517"/>
      <w:r/>
      <w:bookmarkStart w:id="87" w:name="_Toc195842882"/>
      <w:r/>
      <w:bookmarkStart w:id="88" w:name="_Toc265228355"/>
      <w:r/>
      <w:bookmarkStart w:id="89" w:name="_Toc305158859"/>
      <w:r/>
      <w:bookmarkStart w:id="90" w:name="_Toc150480755"/>
      <w:r/>
      <w:bookmarkStart w:id="91" w:name="_Toc226965790"/>
      <w:r/>
      <w:bookmarkStart w:id="92" w:name="_Toc150774722"/>
      <w:r/>
      <w:bookmarkStart w:id="93" w:name="_Toc142311019"/>
      <w:r>
        <w:rPr>
          <w:b/>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b/>
          <w:sz w:val="28"/>
          <w:szCs w:val="28"/>
          <w:highlight w:val="none"/>
        </w:rPr>
      </w:r>
      <w:r/>
    </w:p>
    <w:p>
      <w:pPr>
        <w:pStyle w:val="1032"/>
        <w:jc w:val="left"/>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94" w:name="_Toc127151518"/>
      <w:r/>
      <w:bookmarkStart w:id="95" w:name="_Toc520356143"/>
      <w:r>
        <w:rPr>
          <w:rFonts w:ascii="Times New Roman" w:hAnsi="Times New Roman" w:eastAsia="宋体"/>
          <w:sz w:val="28"/>
          <w:highlight w:val="none"/>
        </w:rPr>
        <w:tab/>
      </w:r>
      <w:bookmarkEnd w:id="94"/>
      <w:r/>
      <w:bookmarkEnd w:id="95"/>
      <w:r/>
      <w:bookmarkStart w:id="96" w:name="_Toc264969208"/>
      <w:r/>
      <w:bookmarkStart w:id="97" w:name="_Toc195842883"/>
      <w:r/>
      <w:bookmarkStart w:id="98" w:name="_Toc226965791"/>
      <w:r/>
      <w:bookmarkStart w:id="99" w:name="_Toc305158786"/>
      <w:r/>
      <w:bookmarkStart w:id="100" w:name="_Toc151193688"/>
      <w:r/>
      <w:bookmarkStart w:id="101" w:name="_Toc150480756"/>
      <w:r/>
      <w:bookmarkStart w:id="102" w:name="_Toc150774618"/>
      <w:r/>
      <w:bookmarkStart w:id="103" w:name="_Toc151190145"/>
      <w:r/>
      <w:bookmarkStart w:id="104" w:name="_Toc151193760"/>
      <w:r/>
      <w:bookmarkStart w:id="105" w:name="_Toc150774723"/>
      <w:r/>
      <w:bookmarkStart w:id="106" w:name="_Toc151193616"/>
      <w:r/>
      <w:bookmarkStart w:id="107" w:name="_Toc142311020"/>
      <w:r/>
      <w:bookmarkStart w:id="108" w:name="_Toc226309762"/>
      <w:r/>
      <w:bookmarkStart w:id="109" w:name="_Toc305158860"/>
      <w:r/>
      <w:bookmarkStart w:id="110" w:name="_Toc150509269"/>
      <w:r/>
      <w:bookmarkStart w:id="111" w:name="_Toc151193906"/>
      <w:r/>
      <w:bookmarkStart w:id="112" w:name="_Toc226337214"/>
      <w:r/>
      <w:bookmarkStart w:id="113" w:name="_Toc226965708"/>
      <w:r/>
      <w:bookmarkStart w:id="114" w:name="_Toc151193832"/>
      <w:r/>
      <w:bookmarkStart w:id="115" w:name="_Toc265228356"/>
      <w:r>
        <w:rPr>
          <w:rFonts w:hint="eastAsia" w:ascii="宋体" w:hAnsi="宋体" w:eastAsia="宋体" w:cs="宋体"/>
          <w:sz w:val="21"/>
          <w:szCs w:val="21"/>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bookmarkStart w:id="116" w:name="_Toc264969209"/>
      <w:r/>
      <w:bookmarkStart w:id="117" w:name="_Toc305158787"/>
      <w:r/>
      <w:bookmarkStart w:id="118" w:name="_Toc305158861"/>
      <w:r/>
      <w:bookmarkStart w:id="119" w:name="_Toc265228357"/>
      <w:r>
        <w:rPr>
          <w:rFonts w:hint="eastAsia" w:ascii="宋体" w:hAnsi="宋体" w:cs="宋体"/>
          <w:szCs w:val="21"/>
          <w:highlight w:val="none"/>
        </w:rPr>
        <w:t xml:space="preserve">采购人、采购代理机构、投标人</w:t>
      </w:r>
      <w:bookmarkEnd w:id="116"/>
      <w:r/>
      <w:bookmarkEnd w:id="117"/>
      <w:r/>
      <w:bookmarkEnd w:id="118"/>
      <w:r/>
      <w:bookmarkEnd w:id="119"/>
      <w:r>
        <w:rPr>
          <w:rFonts w:hint="eastAsia" w:ascii="宋体" w:hAnsi="宋体" w:cs="宋体"/>
          <w:szCs w:val="21"/>
          <w:highlight w:val="none"/>
        </w:rPr>
        <w:t xml:space="preserve">、联合体</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投标人（也称“供应商”、“申请人”）：指向采购人提供货物、工程或者服务的法人、其他组织或者自然人。</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联合体：指两个以上的自然人、法人或者其他组织组成一个联合体，以一个供应商的身份共同参加政府采购。</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bookmarkStart w:id="120" w:name="_Toc151193690"/>
      <w:r/>
      <w:bookmarkStart w:id="121" w:name="_Toc164608789"/>
      <w:r/>
      <w:bookmarkStart w:id="122" w:name="_Toc151193762"/>
      <w:r/>
      <w:bookmarkStart w:id="123" w:name="_Toc226965793"/>
      <w:r/>
      <w:bookmarkStart w:id="124" w:name="_Toc265228358"/>
      <w:r/>
      <w:bookmarkStart w:id="125" w:name="_Toc164608634"/>
      <w:r/>
      <w:bookmarkStart w:id="126" w:name="_Toc150509271"/>
      <w:r/>
      <w:bookmarkStart w:id="127" w:name="_Toc151193908"/>
      <w:r/>
      <w:bookmarkStart w:id="128" w:name="_Toc164351614"/>
      <w:r/>
      <w:bookmarkStart w:id="129" w:name="_Toc127151721"/>
      <w:r/>
      <w:bookmarkStart w:id="130" w:name="_Toc305158788"/>
      <w:r/>
      <w:bookmarkStart w:id="131" w:name="_Toc151193834"/>
      <w:r/>
      <w:bookmarkStart w:id="132" w:name="_Toc151190147"/>
      <w:r/>
      <w:bookmarkStart w:id="133" w:name="_Toc164229215"/>
      <w:r/>
      <w:bookmarkStart w:id="134" w:name="_Toc151193618"/>
      <w:r/>
      <w:bookmarkStart w:id="135" w:name="_Toc226309764"/>
      <w:r/>
      <w:bookmarkStart w:id="136" w:name="_Toc127151520"/>
      <w:r/>
      <w:bookmarkStart w:id="137" w:name="_Toc195842885"/>
      <w:r/>
      <w:bookmarkStart w:id="138" w:name="_Toc142311022"/>
      <w:r/>
      <w:bookmarkStart w:id="139" w:name="_Toc164229361"/>
      <w:r/>
      <w:bookmarkStart w:id="140" w:name="_Toc150774725"/>
      <w:r/>
      <w:bookmarkStart w:id="141" w:name="_Toc127161434"/>
      <w:r/>
      <w:bookmarkStart w:id="142" w:name="_Toc264969210"/>
      <w:r/>
      <w:bookmarkStart w:id="143" w:name="_Toc149720813"/>
      <w:r/>
      <w:bookmarkStart w:id="144" w:name="_Toc150480758"/>
      <w:r/>
      <w:bookmarkStart w:id="145" w:name="_Toc150774620"/>
      <w:r/>
      <w:bookmarkStart w:id="146" w:name="_Toc226337216"/>
      <w:r/>
      <w:bookmarkStart w:id="147" w:name="_Toc305158862"/>
      <w:r/>
      <w:bookmarkStart w:id="148" w:name="_Toc226965710"/>
      <w:r>
        <w:rPr>
          <w:rFonts w:hint="eastAsia" w:ascii="宋体" w:hAnsi="宋体" w:cs="宋体"/>
          <w:szCs w:val="21"/>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szCs w:val="21"/>
          <w:highlight w:val="none"/>
        </w:rPr>
        <w:t xml:space="preserve">、项目属性、科研仪器设备采购、核心产品</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资金来源为财政性资金和/或本项目采购中无法与财政性资金分割的非财政性资金。</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项目属性见《投标人须知资料表》。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是否属于科研仪器设备采购见《投标人须知资料表》。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核心产品见《投标人须知资料表》。</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现场考察、开标前答疑会</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若《投标人须知资料表》中规定了组织现场考察、召开开标前答疑会，则投标人应按要求在规定的时间和地点参加。</w:t>
      </w:r>
      <w:bookmarkStart w:id="149" w:name="_Toc264969212"/>
      <w:r/>
      <w:bookmarkStart w:id="150" w:name="_Toc265228360"/>
      <w:r/>
      <w:bookmarkStart w:id="151" w:name="_Toc226965712"/>
      <w:r/>
      <w:bookmarkStart w:id="152" w:name="_Toc520356146"/>
      <w:r/>
      <w:bookmarkStart w:id="153" w:name="_Toc226309766"/>
      <w:r/>
      <w:bookmarkStart w:id="154" w:name="_Toc150774622"/>
      <w:r/>
      <w:bookmarkStart w:id="155" w:name="_Toc151193692"/>
      <w:r/>
      <w:bookmarkStart w:id="156" w:name="_Toc151193620"/>
      <w:r/>
      <w:bookmarkStart w:id="157" w:name="_Toc142311024"/>
      <w:r/>
      <w:bookmarkStart w:id="158" w:name="_Toc151193910"/>
      <w:r/>
      <w:bookmarkStart w:id="159" w:name="_Toc151193836"/>
      <w:r/>
      <w:bookmarkStart w:id="160" w:name="_Toc305158864"/>
      <w:r/>
      <w:bookmarkStart w:id="161" w:name="_Toc150480760"/>
      <w:r/>
      <w:bookmarkStart w:id="162" w:name="_Toc150774727"/>
      <w:r/>
      <w:bookmarkStart w:id="163" w:name="_Toc151190149"/>
      <w:r/>
      <w:bookmarkStart w:id="164" w:name="_Toc305158790"/>
      <w:r/>
      <w:bookmarkStart w:id="165" w:name="_Toc151193764"/>
      <w:r/>
      <w:bookmarkStart w:id="166" w:name="_Toc226337218"/>
      <w:r/>
      <w:bookmarkStart w:id="167" w:name="_Toc127151522"/>
      <w:r/>
      <w:bookmarkStart w:id="168" w:name="_Toc226965795"/>
      <w:r/>
      <w:bookmarkStart w:id="169" w:name="_Toc195842887"/>
      <w:r/>
      <w:bookmarkStart w:id="170" w:name="_Toc150509273"/>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样品</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样品的评审方法以及评审标准等内容见第四章《评标方法和评标标准》。</w:t>
      </w:r>
      <w:r>
        <w:rPr>
          <w:rFonts w:hint="eastAsia" w:ascii="宋体" w:hAnsi="宋体" w:cs="宋体"/>
          <w:szCs w:val="21"/>
          <w:highlight w:val="none"/>
        </w:rPr>
      </w:r>
      <w:r/>
    </w:p>
    <w:p>
      <w:pPr>
        <w:pStyle w:val="1030"/>
        <w:numPr>
          <w:ilvl w:val="0"/>
          <w:numId w:val="8"/>
        </w:numPr>
        <w:ind w:left="357" w:hanging="357"/>
        <w:keepLines w:val="0"/>
        <w:keepNext w:val="0"/>
        <w:pageBreakBefore w:val="0"/>
        <w:spacing w:line="480" w:lineRule="exact"/>
        <w:widowControl w:val="off"/>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政府采购政策（包括但不限于下列具体政策要求）</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进口产品</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中小企业、监狱企业及残疾人福利性单位</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中小企业定义：</w:t>
      </w:r>
      <w:r>
        <w:rPr>
          <w:rFonts w:hint="eastAsia" w:ascii="宋体" w:hAnsi="宋体" w:cs="宋体"/>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keepLines w:val="0"/>
        <w:keepNext w:val="0"/>
        <w:pageBreakBefore w:val="0"/>
        <w:spacing w:line="480" w:lineRule="exact"/>
        <w:widowControl w:val="off"/>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keepLines w:val="0"/>
        <w:keepNext w:val="0"/>
        <w:pageBreakBefore w:val="0"/>
        <w:spacing w:line="480" w:lineRule="exact"/>
        <w:widowControl w:val="off"/>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keepLines w:val="0"/>
        <w:keepNext w:val="0"/>
        <w:pageBreakBefore w:val="0"/>
        <w:spacing w:line="480" w:lineRule="exact"/>
        <w:widowControl w:val="off"/>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供应商提供的货物、工程或者服务符合下列情形的，享受中小企业扶持政策：</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030"/>
        <w:ind w:left="2835"/>
        <w:keepLines w:val="0"/>
        <w:keepNext w:val="0"/>
        <w:pageBreakBefore w:val="0"/>
        <w:spacing w:line="480" w:lineRule="exact"/>
        <w:widowControl w:val="off"/>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残疾人福利单位定义：享受政府采购支持政策的残疾人福利性单位应当同时满足以下条件：</w:t>
      </w:r>
      <w:r>
        <w:rPr>
          <w:rFonts w:hint="eastAsia" w:ascii="宋体" w:hAnsi="宋体" w:cs="宋体"/>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keepLines w:val="0"/>
        <w:keepNext w:val="0"/>
        <w:pageBreakBefore w:val="0"/>
        <w:spacing w:line="480" w:lineRule="exact"/>
        <w:widowControl w:val="off"/>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安置的残疾人占本单位在职职工人数的比例不低于25%（含25%），并且安置的残疾人人数不少于10 人（含10 人）；</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依法与安置的每位残疾人签订了一年以上（含一年）的劳动合同或服务协议；</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030"/>
        <w:numPr>
          <w:ilvl w:val="3"/>
          <w:numId w:val="9"/>
        </w:numPr>
        <w:ind w:left="2885"/>
        <w:keepLines w:val="0"/>
        <w:keepNext w:val="0"/>
        <w:pageBreakBefore w:val="0"/>
        <w:spacing w:line="480" w:lineRule="exact"/>
        <w:widowControl w:val="off"/>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本项目是否专门面向中小企业预留采购份额见第一章《投标邀请》。</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采购标的对应的中小企业划分标准所属行业见《投标人须知资料表》。</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小微企业价格评审优惠的政策调整：见第四章《评标方法和评标标准》。</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支持乡村产业振兴管理</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正版软件</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highlight w:val="none"/>
        </w:rPr>
      </w:r>
      <w:r/>
    </w:p>
    <w:p>
      <w:pPr>
        <w:pStyle w:val="1030"/>
        <w:numPr>
          <w:ilvl w:val="1"/>
          <w:numId w:val="8"/>
        </w:numPr>
        <w:ind w:left="1080" w:hanging="720"/>
        <w:keepLines w:val="0"/>
        <w:keepNext w:val="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政府采购创新产品政策</w:t>
      </w:r>
      <w:r>
        <w:rPr>
          <w:rFonts w:hint="eastAsia" w:ascii="宋体" w:hAnsi="宋体" w:cs="宋体"/>
          <w:szCs w:val="21"/>
          <w:highlight w:val="none"/>
        </w:rPr>
      </w:r>
      <w:r/>
    </w:p>
    <w:p>
      <w:pPr>
        <w:pStyle w:val="1030"/>
        <w:numPr>
          <w:ilvl w:val="2"/>
          <w:numId w:val="8"/>
        </w:numPr>
        <w:keepLines w:val="0"/>
        <w:keepNext w:val="0"/>
        <w:pageBreakBefore w:val="0"/>
        <w:spacing w:line="480" w:lineRule="exact"/>
        <w:widowControl w:val="off"/>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highlight w:val="none"/>
        </w:rPr>
      </w:r>
      <w:r/>
    </w:p>
    <w:p>
      <w:pPr>
        <w:pStyle w:val="1030"/>
        <w:ind w:firstLine="105"/>
        <w:spacing w:line="480" w:lineRule="exact"/>
        <w:rPr>
          <w:rFonts w:hint="eastAsia" w:ascii="宋体" w:hAnsi="宋体" w:cs="宋体"/>
          <w:szCs w:val="21"/>
          <w:highlight w:val="none"/>
        </w:rPr>
      </w:pPr>
      <w:r>
        <w:rPr>
          <w:rFonts w:hint="eastAsia" w:ascii="宋体" w:hAnsi="宋体" w:cs="宋体"/>
          <w:szCs w:val="21"/>
          <w:highlight w:val="none"/>
        </w:rPr>
        <w:t xml:space="preserve"> 5.7     绿色采购政策</w:t>
      </w:r>
      <w:r>
        <w:rPr>
          <w:rFonts w:hint="eastAsia" w:ascii="宋体" w:hAnsi="宋体" w:cs="宋体"/>
          <w:szCs w:val="21"/>
          <w:highlight w:val="none"/>
        </w:rPr>
      </w:r>
      <w:r/>
    </w:p>
    <w:p>
      <w:pPr>
        <w:pStyle w:val="1030"/>
        <w:ind w:firstLine="1050"/>
        <w:spacing w:line="480" w:lineRule="exact"/>
        <w:rPr>
          <w:rFonts w:hint="eastAsia" w:ascii="宋体" w:hAnsi="宋体" w:cs="宋体"/>
          <w:b/>
          <w:szCs w:val="21"/>
          <w:highlight w:val="none"/>
        </w:rPr>
      </w:pPr>
      <w:r>
        <w:rPr>
          <w:rFonts w:hint="eastAsia" w:ascii="宋体" w:hAnsi="宋体" w:cs="宋体"/>
          <w:szCs w:val="21"/>
          <w:highlight w:val="none"/>
        </w:rPr>
        <w:t xml:space="preserve">5.7.1  </w:t>
      </w:r>
      <w:r>
        <w:rPr>
          <w:rFonts w:hint="eastAsia" w:ascii="宋体" w:hAnsi="宋体" w:cs="宋体"/>
          <w:b/>
          <w:szCs w:val="21"/>
          <w:highlight w:val="none"/>
        </w:rPr>
        <w:t xml:space="preserve">绿色数据中心政策 </w:t>
      </w:r>
      <w:r>
        <w:rPr>
          <w:rFonts w:hint="eastAsia" w:ascii="宋体" w:hAnsi="宋体" w:cs="宋体"/>
          <w:b/>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依据《绿色数据中心政府采购需求标准（试行）》（财办库〔2023〕7 号）文件精神，采购</w:t>
      </w:r>
      <w:r>
        <w:rPr>
          <w:rFonts w:hint="eastAsia" w:ascii="宋体" w:hAnsi="宋体" w:cs="宋体"/>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highlight w:val="none"/>
        </w:rPr>
      </w:r>
      <w:r/>
    </w:p>
    <w:p>
      <w:pPr>
        <w:pStyle w:val="1030"/>
        <w:ind w:firstLine="1050"/>
        <w:spacing w:line="480" w:lineRule="exact"/>
        <w:rPr>
          <w:rFonts w:hint="eastAsia" w:ascii="宋体" w:hAnsi="宋体" w:cs="宋体"/>
          <w:szCs w:val="21"/>
          <w:highlight w:val="none"/>
        </w:rPr>
      </w:pPr>
      <w:r>
        <w:rPr>
          <w:rFonts w:hint="eastAsia" w:ascii="宋体" w:hAnsi="宋体" w:cs="宋体"/>
          <w:szCs w:val="21"/>
          <w:highlight w:val="none"/>
        </w:rPr>
        <w:t xml:space="preserve">5.7.2 推广应用绿色建材</w:t>
      </w:r>
      <w:r>
        <w:rPr>
          <w:rFonts w:hint="eastAsia" w:ascii="宋体" w:hAnsi="宋体" w:cs="宋体"/>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Cs w:val="21"/>
          <w:highlight w:val="none"/>
        </w:rPr>
      </w:r>
      <w:r/>
    </w:p>
    <w:p>
      <w:pPr>
        <w:pStyle w:val="1030"/>
        <w:ind w:firstLine="945"/>
        <w:spacing w:line="480" w:lineRule="exact"/>
        <w:rPr>
          <w:rFonts w:hint="eastAsia" w:ascii="宋体" w:hAnsi="宋体" w:cs="宋体"/>
          <w:szCs w:val="21"/>
          <w:highlight w:val="none"/>
        </w:rPr>
      </w:pPr>
      <w:r>
        <w:rPr>
          <w:rFonts w:hint="eastAsia" w:ascii="宋体" w:hAnsi="宋体" w:cs="宋体"/>
          <w:szCs w:val="21"/>
          <w:highlight w:val="none"/>
        </w:rPr>
        <w:t xml:space="preserve">5.7.3 优先使用低挥发性有机化合物产品</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     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hint="eastAsia" w:ascii="宋体" w:hAnsi="宋体" w:cs="宋体"/>
          <w:szCs w:val="21"/>
          <w:highlight w:val="none"/>
        </w:rPr>
      </w:r>
      <w:r/>
    </w:p>
    <w:p>
      <w:pPr>
        <w:pStyle w:val="1030"/>
        <w:spacing w:line="480" w:lineRule="exact"/>
        <w:rPr>
          <w:rFonts w:hint="eastAsia" w:ascii="宋体" w:hAnsi="宋体" w:cs="宋体"/>
          <w:szCs w:val="21"/>
          <w:highlight w:val="none"/>
        </w:rPr>
      </w:pPr>
      <w:r>
        <w:rPr>
          <w:rFonts w:hint="eastAsia" w:ascii="宋体" w:hAnsi="宋体" w:eastAsia="宋体" w:cs="宋体"/>
          <w:szCs w:val="21"/>
          <w:highlight w:val="none"/>
          <w:lang w:val="en-US" w:eastAsia="zh-CN"/>
        </w:rPr>
        <w:t xml:space="preserve">5.8     </w:t>
      </w:r>
      <w:r>
        <w:rPr>
          <w:rFonts w:hint="eastAsia" w:ascii="宋体" w:hAnsi="宋体" w:eastAsia="宋体" w:cs="宋体"/>
          <w:szCs w:val="21"/>
          <w:highlight w:val="none"/>
        </w:rPr>
        <w:t xml:space="preserve">政府采购中实施本国产品标准及相关政策</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5.8.1本项目对采购本国产品给予政策支持，具体内容见招标文件“第四章 评标程序、评标方法与评标标准”。</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投标费用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highlight w:val="none"/>
        </w:rPr>
      </w:r>
      <w:r/>
    </w:p>
    <w:p>
      <w:pPr>
        <w:pStyle w:val="1030"/>
        <w:ind w:left="1080"/>
        <w:spacing w:line="360" w:lineRule="auto"/>
        <w:tabs>
          <w:tab w:val="left" w:pos="1080" w:leader="none"/>
        </w:tabs>
        <w:rPr>
          <w:rFonts w:hint="eastAsia" w:ascii="宋体" w:hAnsi="宋体" w:cs="宋体"/>
          <w:szCs w:val="21"/>
          <w:highlight w:val="none"/>
        </w:rPr>
      </w:pPr>
      <w:r/>
      <w:bookmarkStart w:id="171" w:name="_1.8_计量单位"/>
      <w:r/>
      <w:bookmarkEnd w:id="171"/>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172" w:name="_Toc164229218"/>
      <w:r/>
      <w:bookmarkStart w:id="173" w:name="_Toc164229364"/>
      <w:r/>
      <w:bookmarkStart w:id="174" w:name="_Toc265228361"/>
      <w:r/>
      <w:bookmarkStart w:id="175" w:name="_Toc151193693"/>
      <w:r/>
      <w:bookmarkStart w:id="176" w:name="_Toc127161437"/>
      <w:r/>
      <w:bookmarkStart w:id="177" w:name="_Toc150774728"/>
      <w:r/>
      <w:bookmarkStart w:id="178" w:name="_Toc305158791"/>
      <w:r/>
      <w:bookmarkStart w:id="179" w:name="_Toc150509274"/>
      <w:r/>
      <w:bookmarkStart w:id="180" w:name="_Toc226337219"/>
      <w:r/>
      <w:bookmarkStart w:id="181" w:name="_Toc150774623"/>
      <w:r/>
      <w:bookmarkStart w:id="182" w:name="_Toc151193765"/>
      <w:r/>
      <w:bookmarkStart w:id="183" w:name="_Toc150480761"/>
      <w:r/>
      <w:bookmarkStart w:id="184" w:name="_Toc151190150"/>
      <w:r/>
      <w:bookmarkStart w:id="185" w:name="_Toc142311025"/>
      <w:r/>
      <w:bookmarkStart w:id="186" w:name="_Toc127151523"/>
      <w:r/>
      <w:bookmarkStart w:id="187" w:name="_Toc151193911"/>
      <w:r/>
      <w:bookmarkStart w:id="188" w:name="_Toc226965796"/>
      <w:r/>
      <w:bookmarkStart w:id="189" w:name="_Toc127151724"/>
      <w:r/>
      <w:bookmarkStart w:id="190" w:name="_Toc164608637"/>
      <w:r/>
      <w:bookmarkStart w:id="191" w:name="_Toc195842888"/>
      <w:r/>
      <w:bookmarkStart w:id="192" w:name="_Toc151193621"/>
      <w:r/>
      <w:bookmarkStart w:id="193" w:name="_Toc164608792"/>
      <w:r/>
      <w:bookmarkStart w:id="194" w:name="_Toc226965713"/>
      <w:r/>
      <w:bookmarkStart w:id="195" w:name="_Toc164351617"/>
      <w:r/>
      <w:bookmarkStart w:id="196" w:name="_Toc226309767"/>
      <w:r/>
      <w:bookmarkStart w:id="197" w:name="_Toc520356147"/>
      <w:r/>
      <w:bookmarkStart w:id="198" w:name="_Toc264969213"/>
      <w:r/>
      <w:bookmarkStart w:id="199" w:name="_Toc149720816"/>
      <w:r/>
      <w:bookmarkStart w:id="200" w:name="_Toc151193837"/>
      <w:r/>
      <w:bookmarkStart w:id="201" w:name="_Toc305158865"/>
      <w:r>
        <w:rPr>
          <w:rFonts w:hint="eastAsia" w:ascii="宋体" w:hAnsi="宋体" w:cs="宋体"/>
          <w:szCs w:val="21"/>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cs="宋体"/>
          <w:szCs w:val="21"/>
          <w:highlight w:val="none"/>
        </w:rPr>
        <w:t xml:space="preserve">成</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招标文件包括以下部分：</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投标邀请</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投标人须知</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拟签订的合同文本</w:t>
      </w:r>
      <w:r>
        <w:rPr>
          <w:rFonts w:hint="eastAsia" w:ascii="宋体" w:hAnsi="宋体" w:cs="宋体"/>
          <w:szCs w:val="21"/>
          <w:highlight w:val="none"/>
        </w:rPr>
      </w:r>
      <w:r/>
    </w:p>
    <w:p>
      <w:pPr>
        <w:pStyle w:val="1030"/>
        <w:numPr>
          <w:ilvl w:val="0"/>
          <w:numId w:val="10"/>
        </w:numPr>
        <w:ind w:left="1440" w:firstLine="5"/>
        <w:pageBreakBefore w:val="0"/>
        <w:spacing w:line="480" w:lineRule="exact"/>
        <w:widowControl w:val="off"/>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投标文件格式</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900" w:leader="none"/>
          <w:tab w:val="left" w:pos="1080" w:leader="none"/>
          <w:tab w:val="left" w:pos="2014" w:leader="none"/>
        </w:tabs>
        <w:rPr>
          <w:rFonts w:hint="eastAsia" w:ascii="宋体" w:hAnsi="宋体" w:cs="宋体"/>
          <w:szCs w:val="21"/>
          <w:highlight w:val="none"/>
        </w:rPr>
        <w:outlineLvl w:val="1"/>
      </w:pPr>
      <w:r>
        <w:rPr>
          <w:rFonts w:hint="eastAsia" w:ascii="宋体" w:hAnsi="宋体" w:cs="宋体"/>
          <w:szCs w:val="21"/>
          <w:highlight w:val="none"/>
        </w:rPr>
        <w:t xml:space="preserve">对招标文件的澄清或修改</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highlight w:val="none"/>
        </w:rPr>
      </w:r>
      <w:r/>
    </w:p>
    <w:p>
      <w:pPr>
        <w:pStyle w:val="1030"/>
        <w:ind w:left="1080"/>
        <w:pageBreakBefore w:val="0"/>
        <w:spacing w:line="480" w:lineRule="exact"/>
        <w:widowControl w:val="off"/>
        <w:tabs>
          <w:tab w:val="left" w:pos="1080" w:leader="none"/>
          <w:tab w:val="left" w:pos="1561" w:leader="none"/>
        </w:tabs>
        <w:rPr>
          <w:rFonts w:hint="eastAsia" w:ascii="宋体" w:hAnsi="宋体" w:cs="宋体"/>
          <w:szCs w:val="21"/>
          <w:highlight w:val="none"/>
        </w:rPr>
      </w:pPr>
      <w:r/>
      <w:bookmarkStart w:id="202" w:name="_Toc151193696"/>
      <w:r/>
      <w:bookmarkStart w:id="203" w:name="_Toc151193914"/>
      <w:r/>
      <w:bookmarkStart w:id="204" w:name="_Toc151193624"/>
      <w:r/>
      <w:bookmarkStart w:id="205" w:name="_Toc226337222"/>
      <w:r/>
      <w:bookmarkStart w:id="206" w:name="_Toc264969216"/>
      <w:r/>
      <w:bookmarkStart w:id="207" w:name="_Toc150774731"/>
      <w:r/>
      <w:bookmarkStart w:id="208" w:name="_Toc516367020"/>
      <w:r/>
      <w:bookmarkStart w:id="209" w:name="_Toc226309770"/>
      <w:r/>
      <w:bookmarkStart w:id="210" w:name="_Toc142311028"/>
      <w:r/>
      <w:bookmarkStart w:id="211" w:name="_Toc305158794"/>
      <w:r/>
      <w:bookmarkStart w:id="212" w:name="_Toc151190153"/>
      <w:r/>
      <w:bookmarkStart w:id="213" w:name="_Toc150509277"/>
      <w:r/>
      <w:bookmarkStart w:id="214" w:name="_Toc127151526"/>
      <w:r/>
      <w:bookmarkStart w:id="215" w:name="_Toc226965716"/>
      <w:r/>
      <w:bookmarkStart w:id="216" w:name="_Toc305158868"/>
      <w:r/>
      <w:bookmarkStart w:id="217" w:name="_Toc150774626"/>
      <w:r/>
      <w:bookmarkStart w:id="218" w:name="_Toc150480764"/>
      <w:r/>
      <w:bookmarkStart w:id="219" w:name="_Toc195842891"/>
      <w:r/>
      <w:bookmarkStart w:id="220" w:name="_Toc151193768"/>
      <w:r/>
      <w:bookmarkStart w:id="221" w:name="_Toc226965799"/>
      <w:r/>
      <w:bookmarkStart w:id="222" w:name="_Toc151193840"/>
      <w:r/>
      <w:bookmarkStart w:id="223" w:name="_Toc265228364"/>
      <w:r/>
      <w:bookmarkStart w:id="224" w:name="_Toc520356150"/>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   投标文件</w:t>
      </w:r>
      <w:bookmarkEnd w:id="208"/>
      <w:r>
        <w:rPr>
          <w:rFonts w:hint="eastAsia" w:ascii="宋体" w:hAnsi="宋体" w:eastAsia="宋体" w:cs="宋体"/>
          <w:sz w:val="21"/>
          <w:szCs w:val="21"/>
          <w:highlight w:val="none"/>
        </w:rPr>
        <w:t xml:space="preserve">的编制</w:t>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25" w:name="_Toc150774732"/>
      <w:r/>
      <w:bookmarkStart w:id="226" w:name="_Toc195842892"/>
      <w:r/>
      <w:bookmarkStart w:id="227" w:name="_Toc226965800"/>
      <w:r/>
      <w:bookmarkStart w:id="228" w:name="_Toc127151527"/>
      <w:r/>
      <w:bookmarkStart w:id="229" w:name="_Toc520356151"/>
      <w:r/>
      <w:bookmarkStart w:id="230" w:name="_Toc151190154"/>
      <w:r/>
      <w:bookmarkStart w:id="231" w:name="_Toc149720820"/>
      <w:r/>
      <w:bookmarkStart w:id="232" w:name="_Toc164351621"/>
      <w:r/>
      <w:bookmarkStart w:id="233" w:name="_Toc151193697"/>
      <w:r/>
      <w:bookmarkStart w:id="234" w:name="_Toc142311029"/>
      <w:r/>
      <w:bookmarkStart w:id="235" w:name="_Toc151193841"/>
      <w:r/>
      <w:bookmarkStart w:id="236" w:name="_Toc164608796"/>
      <w:r/>
      <w:bookmarkStart w:id="237" w:name="_Toc151193625"/>
      <w:r/>
      <w:bookmarkStart w:id="238" w:name="_Toc305158795"/>
      <w:r/>
      <w:bookmarkStart w:id="239" w:name="_Toc264969217"/>
      <w:r/>
      <w:bookmarkStart w:id="240" w:name="_Toc127151728"/>
      <w:r/>
      <w:bookmarkStart w:id="241" w:name="_Toc151193769"/>
      <w:r/>
      <w:bookmarkStart w:id="242" w:name="_Toc265228365"/>
      <w:r/>
      <w:bookmarkStart w:id="243" w:name="_Toc150774627"/>
      <w:r/>
      <w:bookmarkStart w:id="244" w:name="_Toc164229368"/>
      <w:r/>
      <w:bookmarkStart w:id="245" w:name="_Toc226965717"/>
      <w:r/>
      <w:bookmarkStart w:id="246" w:name="_Toc226337223"/>
      <w:r/>
      <w:bookmarkStart w:id="247" w:name="_Toc164608641"/>
      <w:r/>
      <w:bookmarkStart w:id="248" w:name="_Toc226309771"/>
      <w:r/>
      <w:bookmarkStart w:id="249" w:name="_Toc151193915"/>
      <w:r/>
      <w:bookmarkStart w:id="250" w:name="_Toc150509278"/>
      <w:r/>
      <w:bookmarkStart w:id="251" w:name="_Toc164229222"/>
      <w:r/>
      <w:bookmarkStart w:id="252" w:name="_Toc150480765"/>
      <w:r/>
      <w:bookmarkStart w:id="253" w:name="_Toc516367021"/>
      <w:r/>
      <w:bookmarkStart w:id="254" w:name="_Toc127161441"/>
      <w:r/>
      <w:bookmarkStart w:id="255" w:name="_Toc305158869"/>
      <w:r>
        <w:rPr>
          <w:rFonts w:hint="eastAsia" w:ascii="宋体" w:hAnsi="宋体" w:cs="宋体"/>
          <w:szCs w:val="21"/>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cs="宋体"/>
          <w:szCs w:val="21"/>
          <w:highlight w:val="none"/>
        </w:rPr>
        <w:t xml:space="preserve">及投标语言</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highlight w:val="none"/>
        </w:rPr>
        <w:t xml:space="preserve">无效投标</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除招标文件有特殊要求外，本项目投标所使用的计量单位，应采用中华人民共和国法定计量单位。</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56" w:name="_Toc164608642"/>
      <w:r/>
      <w:bookmarkStart w:id="257" w:name="_Toc520356152"/>
      <w:r/>
      <w:bookmarkStart w:id="258" w:name="_Toc150774628"/>
      <w:r/>
      <w:bookmarkStart w:id="259" w:name="_Toc195842893"/>
      <w:r/>
      <w:bookmarkStart w:id="260" w:name="_Toc151193770"/>
      <w:r/>
      <w:bookmarkStart w:id="261" w:name="_Toc127161442"/>
      <w:r/>
      <w:bookmarkStart w:id="262" w:name="_Toc151193842"/>
      <w:r/>
      <w:bookmarkStart w:id="263" w:name="_Toc164608797"/>
      <w:r/>
      <w:bookmarkStart w:id="264" w:name="_Toc150509279"/>
      <w:r/>
      <w:bookmarkStart w:id="265" w:name="_Toc226965801"/>
      <w:r/>
      <w:bookmarkStart w:id="266" w:name="_Toc305158796"/>
      <w:r/>
      <w:bookmarkStart w:id="267" w:name="_Toc127151528"/>
      <w:r/>
      <w:bookmarkStart w:id="268" w:name="_Toc151193916"/>
      <w:r/>
      <w:bookmarkStart w:id="269" w:name="_Toc264969218"/>
      <w:r/>
      <w:bookmarkStart w:id="270" w:name="_Toc151193698"/>
      <w:r/>
      <w:bookmarkStart w:id="271" w:name="_Toc164351622"/>
      <w:r/>
      <w:bookmarkStart w:id="272" w:name="_Toc149720821"/>
      <w:r/>
      <w:bookmarkStart w:id="273" w:name="_Toc142311030"/>
      <w:r/>
      <w:bookmarkStart w:id="274" w:name="_Toc150480766"/>
      <w:r/>
      <w:bookmarkStart w:id="275" w:name="_Toc226309772"/>
      <w:r/>
      <w:bookmarkStart w:id="276" w:name="_Toc151190155"/>
      <w:r/>
      <w:bookmarkStart w:id="277" w:name="_Toc151193626"/>
      <w:r/>
      <w:bookmarkStart w:id="278" w:name="_Toc226965718"/>
      <w:r/>
      <w:bookmarkStart w:id="279" w:name="_Toc164229223"/>
      <w:r/>
      <w:bookmarkStart w:id="280" w:name="_Toc164229369"/>
      <w:r/>
      <w:bookmarkStart w:id="281" w:name="_Toc265228366"/>
      <w:r/>
      <w:bookmarkStart w:id="282" w:name="_Toc305158870"/>
      <w:r/>
      <w:bookmarkStart w:id="283" w:name="_Toc226337224"/>
      <w:r/>
      <w:bookmarkStart w:id="284" w:name="_Toc127151729"/>
      <w:r/>
      <w:bookmarkStart w:id="285" w:name="_Ref467306195"/>
      <w:r/>
      <w:bookmarkStart w:id="286" w:name="_Toc516367022"/>
      <w:r/>
      <w:bookmarkStart w:id="287" w:name="_Toc150774733"/>
      <w:r/>
      <w:bookmarkStart w:id="288" w:name="_Ref467306676"/>
      <w:r>
        <w:rPr>
          <w:rFonts w:hint="eastAsia" w:ascii="宋体" w:hAnsi="宋体" w:cs="宋体"/>
          <w:szCs w:val="21"/>
          <w:highlight w:val="none"/>
        </w:rPr>
        <w:t xml:space="preserve">投标文件</w:t>
      </w:r>
      <w:bookmarkEnd w:id="285"/>
      <w:r/>
      <w:bookmarkEnd w:id="286"/>
      <w:r/>
      <w:bookmarkEnd w:id="288"/>
      <w:r>
        <w:rPr>
          <w:rFonts w:hint="eastAsia" w:ascii="宋体" w:hAnsi="宋体" w:cs="宋体"/>
          <w:szCs w:val="21"/>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bookmarkStart w:id="289" w:name="_Ref467052588"/>
      <w:r>
        <w:rPr>
          <w:rFonts w:hint="eastAsia" w:ascii="宋体" w:hAnsi="宋体" w:cs="宋体"/>
          <w:szCs w:val="21"/>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对于招标文件中标记了“实质性格式”文件的，</w:t>
      </w:r>
      <w:r>
        <w:rPr>
          <w:rFonts w:hint="eastAsia" w:ascii="宋体" w:hAnsi="宋体" w:cs="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。未标记“实质性格式”的文件和招标文件未提供格式的内容，可由投标人自行编写。</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第四章《评标程序、评标方法和评标标准》中涉及的证明文件。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投标人认为应附的其他材料。</w:t>
      </w:r>
      <w:bookmarkEnd w:id="289"/>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290" w:name="_Toc520356155"/>
      <w:r/>
      <w:bookmarkStart w:id="291" w:name="_Toc164608799"/>
      <w:r/>
      <w:bookmarkStart w:id="292" w:name="_Toc127151731"/>
      <w:r/>
      <w:bookmarkStart w:id="293" w:name="_Toc195842895"/>
      <w:r/>
      <w:bookmarkStart w:id="294" w:name="_Toc151193772"/>
      <w:r/>
      <w:bookmarkStart w:id="295" w:name="_Toc150509281"/>
      <w:r/>
      <w:bookmarkStart w:id="296" w:name="_Toc150774630"/>
      <w:r/>
      <w:bookmarkStart w:id="297" w:name="_Toc142311032"/>
      <w:r/>
      <w:bookmarkStart w:id="298" w:name="_Toc151193918"/>
      <w:r/>
      <w:bookmarkStart w:id="299" w:name="_Toc150480768"/>
      <w:r/>
      <w:bookmarkStart w:id="300" w:name="_Toc164229225"/>
      <w:r/>
      <w:bookmarkStart w:id="301" w:name="_Toc164351624"/>
      <w:r/>
      <w:bookmarkStart w:id="302" w:name="_Toc151193628"/>
      <w:r/>
      <w:bookmarkStart w:id="303" w:name="_Toc164608644"/>
      <w:r/>
      <w:bookmarkStart w:id="304" w:name="_Toc151193700"/>
      <w:r/>
      <w:bookmarkStart w:id="305" w:name="_Toc150774735"/>
      <w:r/>
      <w:bookmarkStart w:id="306" w:name="_Toc164229371"/>
      <w:r/>
      <w:bookmarkStart w:id="307" w:name="_Toc149720823"/>
      <w:r/>
      <w:bookmarkStart w:id="308" w:name="_Toc127151530"/>
      <w:r/>
      <w:bookmarkStart w:id="309" w:name="_Toc151190157"/>
      <w:r/>
      <w:bookmarkStart w:id="310" w:name="_Toc127161444"/>
      <w:r/>
      <w:bookmarkStart w:id="311" w:name="_Toc151193844"/>
      <w:r>
        <w:rPr>
          <w:rFonts w:hint="eastAsia" w:ascii="宋体" w:hAnsi="宋体" w:cs="宋体"/>
          <w:szCs w:val="21"/>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所有投标均以人民币报价。</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按照招标文件要求完成本项目的全部相关服务费用。 </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采购人不得向供应商索要或者接受其给予的赠品、回扣或者与采购无关的其他商品、服务。</w:t>
      </w:r>
      <w:r>
        <w:rPr>
          <w:rFonts w:hint="eastAsia" w:ascii="宋体" w:hAnsi="宋体" w:cs="宋体"/>
          <w:szCs w:val="21"/>
          <w:highlight w:val="none"/>
        </w:rPr>
      </w:r>
      <w:r/>
    </w:p>
    <w:p>
      <w:pPr>
        <w:pStyle w:val="1030"/>
        <w:numPr>
          <w:ilvl w:val="1"/>
          <w:numId w:val="8"/>
        </w:numPr>
        <w:ind w:left="1080"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12" w:name="_Toc150774631"/>
      <w:r/>
      <w:bookmarkStart w:id="313" w:name="_Toc226965804"/>
      <w:r/>
      <w:bookmarkStart w:id="314" w:name="_Toc151190158"/>
      <w:r/>
      <w:bookmarkStart w:id="315" w:name="_Toc164608800"/>
      <w:r/>
      <w:bookmarkStart w:id="316" w:name="_Toc150509282"/>
      <w:r/>
      <w:bookmarkStart w:id="317" w:name="_Toc150480769"/>
      <w:r/>
      <w:bookmarkStart w:id="318" w:name="_Toc164229226"/>
      <w:r/>
      <w:bookmarkStart w:id="319" w:name="_Toc164351625"/>
      <w:r/>
      <w:bookmarkStart w:id="320" w:name="_Toc150774736"/>
      <w:r/>
      <w:bookmarkStart w:id="321" w:name="_Toc226309775"/>
      <w:r/>
      <w:bookmarkStart w:id="322" w:name="_Toc142311033"/>
      <w:r/>
      <w:bookmarkStart w:id="323" w:name="_Toc127151531"/>
      <w:r/>
      <w:bookmarkStart w:id="324" w:name="_Toc149720824"/>
      <w:r/>
      <w:bookmarkStart w:id="325" w:name="_Toc164229372"/>
      <w:r/>
      <w:bookmarkStart w:id="326" w:name="_Toc265228369"/>
      <w:r/>
      <w:bookmarkStart w:id="327" w:name="_Toc195842896"/>
      <w:r/>
      <w:bookmarkStart w:id="328" w:name="_Toc520356156"/>
      <w:r/>
      <w:bookmarkStart w:id="329" w:name="_Toc164608645"/>
      <w:r/>
      <w:bookmarkStart w:id="330" w:name="_Toc305158799"/>
      <w:r/>
      <w:bookmarkStart w:id="331" w:name="_Toc226965721"/>
      <w:r/>
      <w:bookmarkStart w:id="332" w:name="_Toc226337227"/>
      <w:r/>
      <w:bookmarkStart w:id="333" w:name="_Toc151193629"/>
      <w:r/>
      <w:bookmarkStart w:id="334" w:name="_Toc151193701"/>
      <w:r/>
      <w:bookmarkStart w:id="335" w:name="_Toc151193773"/>
      <w:r/>
      <w:bookmarkStart w:id="336" w:name="_Toc305158873"/>
      <w:r/>
      <w:bookmarkStart w:id="337" w:name="_Toc151193919"/>
      <w:r/>
      <w:bookmarkStart w:id="338" w:name="_Toc264969221"/>
      <w:r/>
      <w:bookmarkStart w:id="339" w:name="_Toc151193845"/>
      <w:r/>
      <w:bookmarkStart w:id="340" w:name="_Toc127151732"/>
      <w:r/>
      <w:bookmarkStart w:id="341" w:name="_Toc127161445"/>
      <w:r/>
      <w:bookmarkStart w:id="342" w:name="_Ref467306513"/>
      <w:r>
        <w:rPr>
          <w:rFonts w:hint="eastAsia" w:ascii="宋体" w:hAnsi="宋体" w:cs="宋体"/>
          <w:szCs w:val="21"/>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highlight w:val="none"/>
        </w:rPr>
      </w:r>
      <w:r/>
    </w:p>
    <w:p>
      <w:pPr>
        <w:pStyle w:val="1030"/>
        <w:ind w:left="357"/>
        <w:pageBreakBefore w:val="0"/>
        <w:spacing w:line="480" w:lineRule="exact"/>
        <w:widowControl w:val="off"/>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根据江苏省和常州市的相关文件规定，免收投标保证金。</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43" w:name="_Toc164608801"/>
      <w:r/>
      <w:bookmarkStart w:id="344" w:name="_Toc164351626"/>
      <w:r/>
      <w:bookmarkStart w:id="345" w:name="_Toc520356157"/>
      <w:r/>
      <w:bookmarkStart w:id="346" w:name="_Toc151190159"/>
      <w:r/>
      <w:bookmarkStart w:id="347" w:name="_Toc151193846"/>
      <w:r/>
      <w:bookmarkStart w:id="348" w:name="_Toc226965722"/>
      <w:r/>
      <w:bookmarkStart w:id="349" w:name="_Toc226337228"/>
      <w:r/>
      <w:bookmarkStart w:id="350" w:name="_Toc150509283"/>
      <w:r/>
      <w:bookmarkStart w:id="351" w:name="_Toc142311034"/>
      <w:r/>
      <w:bookmarkStart w:id="352" w:name="_Toc149720825"/>
      <w:r/>
      <w:bookmarkStart w:id="353" w:name="_Toc127161446"/>
      <w:r/>
      <w:bookmarkStart w:id="354" w:name="_Toc226309776"/>
      <w:r/>
      <w:bookmarkStart w:id="355" w:name="_Toc226965805"/>
      <w:r/>
      <w:bookmarkStart w:id="356" w:name="_Toc305158800"/>
      <w:r/>
      <w:bookmarkStart w:id="357" w:name="_Toc164229373"/>
      <w:r/>
      <w:bookmarkStart w:id="358" w:name="_Toc127151733"/>
      <w:r/>
      <w:bookmarkStart w:id="359" w:name="_Toc151193630"/>
      <w:r/>
      <w:bookmarkStart w:id="360" w:name="_Toc127151532"/>
      <w:r/>
      <w:bookmarkStart w:id="361" w:name="_Toc151193702"/>
      <w:r/>
      <w:bookmarkStart w:id="362" w:name="_Toc264969222"/>
      <w:r/>
      <w:bookmarkStart w:id="363" w:name="_Toc151193774"/>
      <w:r/>
      <w:bookmarkStart w:id="364" w:name="_Toc195842897"/>
      <w:r/>
      <w:bookmarkStart w:id="365" w:name="_Toc150480770"/>
      <w:r/>
      <w:bookmarkStart w:id="366" w:name="_Toc150774632"/>
      <w:r/>
      <w:bookmarkStart w:id="367" w:name="_Toc150774737"/>
      <w:r/>
      <w:bookmarkStart w:id="368" w:name="_Toc164608646"/>
      <w:r/>
      <w:bookmarkStart w:id="369" w:name="_Toc265228370"/>
      <w:r/>
      <w:bookmarkStart w:id="370" w:name="_Toc164229227"/>
      <w:r/>
      <w:bookmarkStart w:id="371" w:name="_Toc305158874"/>
      <w:r/>
      <w:bookmarkStart w:id="372" w:name="_Toc151193920"/>
      <w:r>
        <w:rPr>
          <w:rFonts w:hint="eastAsia" w:ascii="宋体" w:hAnsi="宋体" w:cs="宋体"/>
          <w:szCs w:val="21"/>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373" w:name="_Toc305158801"/>
      <w:r/>
      <w:bookmarkStart w:id="374" w:name="_Toc151193921"/>
      <w:r/>
      <w:bookmarkStart w:id="375" w:name="_Toc127161447"/>
      <w:r/>
      <w:bookmarkStart w:id="376" w:name="_Toc127151533"/>
      <w:r/>
      <w:bookmarkStart w:id="377" w:name="_Toc151193631"/>
      <w:r/>
      <w:bookmarkStart w:id="378" w:name="_Toc195842898"/>
      <w:r/>
      <w:bookmarkStart w:id="379" w:name="_Toc305158875"/>
      <w:r/>
      <w:bookmarkStart w:id="380" w:name="_Toc164229228"/>
      <w:r/>
      <w:bookmarkStart w:id="381" w:name="_Toc164229374"/>
      <w:r/>
      <w:bookmarkStart w:id="382" w:name="_Toc226965806"/>
      <w:r/>
      <w:bookmarkStart w:id="383" w:name="_Toc150774738"/>
      <w:r/>
      <w:bookmarkStart w:id="384" w:name="_Toc164351627"/>
      <w:r/>
      <w:bookmarkStart w:id="385" w:name="_Toc150480771"/>
      <w:r/>
      <w:bookmarkStart w:id="386" w:name="_Toc265228371"/>
      <w:r/>
      <w:bookmarkStart w:id="387" w:name="_Toc127151734"/>
      <w:r/>
      <w:bookmarkStart w:id="388" w:name="_Toc520356158"/>
      <w:r/>
      <w:bookmarkStart w:id="389" w:name="_Toc164608647"/>
      <w:r/>
      <w:bookmarkStart w:id="390" w:name="_Toc150509284"/>
      <w:r/>
      <w:bookmarkStart w:id="391" w:name="_Toc226337229"/>
      <w:r/>
      <w:bookmarkStart w:id="392" w:name="_Toc149720826"/>
      <w:r/>
      <w:bookmarkStart w:id="393" w:name="_Toc226309777"/>
      <w:r/>
      <w:bookmarkStart w:id="394" w:name="_Toc150774633"/>
      <w:r/>
      <w:bookmarkStart w:id="395" w:name="_Toc151190160"/>
      <w:r/>
      <w:bookmarkStart w:id="396" w:name="_Toc164608802"/>
      <w:r/>
      <w:bookmarkStart w:id="397" w:name="_Toc151193703"/>
      <w:r/>
      <w:bookmarkStart w:id="398" w:name="_Toc264969223"/>
      <w:r/>
      <w:bookmarkStart w:id="399" w:name="_Toc151193775"/>
      <w:r/>
      <w:bookmarkStart w:id="400" w:name="_Toc142311035"/>
      <w:r/>
      <w:bookmarkStart w:id="401" w:name="_Toc226965723"/>
      <w:r/>
      <w:bookmarkStart w:id="402" w:name="_Toc151193847"/>
      <w:r>
        <w:rPr>
          <w:rFonts w:hint="eastAsia" w:ascii="宋体" w:hAnsi="宋体" w:cs="宋体"/>
          <w:szCs w:val="21"/>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szCs w:val="21"/>
          <w:highlight w:val="none"/>
        </w:rPr>
        <w:t xml:space="preserve">、加盖公章</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bookmarkStart w:id="403" w:name="_Toc195842899"/>
      <w:r/>
      <w:bookmarkStart w:id="404" w:name="_Toc226965807"/>
      <w:r/>
      <w:bookmarkStart w:id="405" w:name="_Toc127151534"/>
      <w:r/>
      <w:bookmarkStart w:id="406" w:name="_Toc150480772"/>
      <w:r/>
      <w:bookmarkStart w:id="407" w:name="_Toc520356159"/>
      <w:r/>
      <w:bookmarkStart w:id="408" w:name="_Toc151190161"/>
      <w:r/>
      <w:bookmarkStart w:id="409" w:name="_Toc305158876"/>
      <w:r/>
      <w:bookmarkStart w:id="410" w:name="_Toc150774739"/>
      <w:r/>
      <w:bookmarkStart w:id="411" w:name="_Toc150509285"/>
      <w:r/>
      <w:bookmarkStart w:id="412" w:name="_Toc226965724"/>
      <w:r/>
      <w:bookmarkStart w:id="413" w:name="_Toc151193776"/>
      <w:r/>
      <w:bookmarkStart w:id="414" w:name="_Toc151193848"/>
      <w:r/>
      <w:bookmarkStart w:id="415" w:name="_Toc151193632"/>
      <w:r/>
      <w:bookmarkStart w:id="416" w:name="_Toc142311036"/>
      <w:r/>
      <w:bookmarkStart w:id="417" w:name="_Toc265228372"/>
      <w:r/>
      <w:bookmarkStart w:id="418" w:name="_Toc151193922"/>
      <w:r/>
      <w:bookmarkStart w:id="419" w:name="_Toc151193704"/>
      <w:r/>
      <w:bookmarkStart w:id="420" w:name="_Toc226337230"/>
      <w:r/>
      <w:bookmarkStart w:id="421" w:name="_Toc150774634"/>
      <w:r/>
      <w:bookmarkStart w:id="422" w:name="_Toc305158802"/>
      <w:r/>
      <w:bookmarkStart w:id="423" w:name="_Toc226309778"/>
      <w:r/>
      <w:bookmarkStart w:id="424" w:name="_Toc264969224"/>
      <w:r>
        <w:rPr>
          <w:rFonts w:hint="eastAsia" w:ascii="宋体" w:hAnsi="宋体" w:cs="宋体"/>
          <w:szCs w:val="21"/>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招标文件要求加盖公章的内容，一般通过投标文件编制工具加盖电子签章。</w:t>
      </w:r>
      <w:r>
        <w:rPr>
          <w:rFonts w:hint="eastAsia" w:ascii="宋体" w:hAnsi="宋体" w:cs="宋体"/>
          <w:szCs w:val="21"/>
          <w:highlight w:val="none"/>
        </w:rPr>
      </w:r>
      <w:r/>
    </w:p>
    <w:p>
      <w:pPr>
        <w:pStyle w:val="1030"/>
        <w:ind w:left="357"/>
        <w:pageBreakBefore w:val="0"/>
        <w:spacing w:line="480" w:lineRule="exact"/>
        <w:widowControl w:val="off"/>
        <w:tabs>
          <w:tab w:val="left" w:pos="90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25" w:name="_Toc151190162"/>
      <w:r/>
      <w:bookmarkStart w:id="426" w:name="_Toc226309779"/>
      <w:r/>
      <w:bookmarkStart w:id="427" w:name="_Toc127151736"/>
      <w:r/>
      <w:bookmarkStart w:id="428" w:name="_Toc164351629"/>
      <w:r/>
      <w:bookmarkStart w:id="429" w:name="_Toc151193633"/>
      <w:r/>
      <w:bookmarkStart w:id="430" w:name="_Toc151193923"/>
      <w:r/>
      <w:bookmarkStart w:id="431" w:name="_Toc164608649"/>
      <w:r/>
      <w:bookmarkStart w:id="432" w:name="_Toc150774740"/>
      <w:r/>
      <w:bookmarkStart w:id="433" w:name="_Toc151193849"/>
      <w:r/>
      <w:bookmarkStart w:id="434" w:name="_Toc305158803"/>
      <w:r/>
      <w:bookmarkStart w:id="435" w:name="_Toc305158877"/>
      <w:r/>
      <w:bookmarkStart w:id="436" w:name="_Toc520356160"/>
      <w:r/>
      <w:bookmarkStart w:id="437" w:name="_Toc164229376"/>
      <w:r/>
      <w:bookmarkStart w:id="438" w:name="_Toc127151535"/>
      <w:r/>
      <w:bookmarkStart w:id="439" w:name="_Toc150774635"/>
      <w:r/>
      <w:bookmarkStart w:id="440" w:name="_Toc226337231"/>
      <w:r/>
      <w:bookmarkStart w:id="441" w:name="_Toc164608804"/>
      <w:r/>
      <w:bookmarkStart w:id="442" w:name="_Toc226965808"/>
      <w:r/>
      <w:bookmarkStart w:id="443" w:name="_Toc195842900"/>
      <w:r/>
      <w:bookmarkStart w:id="444" w:name="_Toc142311037"/>
      <w:r/>
      <w:bookmarkStart w:id="445" w:name="_Toc151193777"/>
      <w:r/>
      <w:bookmarkStart w:id="446" w:name="_Toc149720828"/>
      <w:r/>
      <w:bookmarkStart w:id="447" w:name="_Toc151193705"/>
      <w:r/>
      <w:bookmarkStart w:id="448" w:name="_Toc226965725"/>
      <w:r/>
      <w:bookmarkStart w:id="449" w:name="_Toc164229230"/>
      <w:r/>
      <w:bookmarkStart w:id="450" w:name="_Toc150480773"/>
      <w:r/>
      <w:bookmarkStart w:id="451" w:name="_Toc265228373"/>
      <w:r/>
      <w:bookmarkStart w:id="452" w:name="_Toc127161449"/>
      <w:r/>
      <w:bookmarkStart w:id="453" w:name="_Toc150509286"/>
      <w:r/>
      <w:bookmarkStart w:id="454" w:name="_Toc264969225"/>
      <w:r>
        <w:rPr>
          <w:rFonts w:hint="eastAsia" w:ascii="宋体" w:hAnsi="宋体" w:cs="宋体"/>
          <w:szCs w:val="21"/>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szCs w:val="21"/>
          <w:highlight w:val="none"/>
        </w:rPr>
        <w:t xml:space="preserve">提交</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本项目使用</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。投标人根据招标文件及</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供应商操作手册要求编制、生成并提交电子投标文件。</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采购人及采购代理机构拒绝接受通过常州市政府采购业务管理平台以外任何形式提交的投标文件。</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55" w:name="_Toc164229231"/>
      <w:r/>
      <w:bookmarkStart w:id="456" w:name="_Toc305158878"/>
      <w:r/>
      <w:bookmarkStart w:id="457" w:name="_Toc150480774"/>
      <w:r/>
      <w:bookmarkStart w:id="458" w:name="_Toc151193924"/>
      <w:r/>
      <w:bookmarkStart w:id="459" w:name="_Toc164608805"/>
      <w:r/>
      <w:bookmarkStart w:id="460" w:name="_Toc149720829"/>
      <w:r/>
      <w:bookmarkStart w:id="461" w:name="_Toc151193706"/>
      <w:r/>
      <w:bookmarkStart w:id="462" w:name="_Toc226337232"/>
      <w:r/>
      <w:bookmarkStart w:id="463" w:name="_Toc151193850"/>
      <w:r/>
      <w:bookmarkStart w:id="464" w:name="_Toc226309780"/>
      <w:r/>
      <w:bookmarkStart w:id="465" w:name="_Toc151193778"/>
      <w:r/>
      <w:bookmarkStart w:id="466" w:name="_Toc150774741"/>
      <w:r/>
      <w:bookmarkStart w:id="467" w:name="_Toc226965726"/>
      <w:r/>
      <w:bookmarkStart w:id="468" w:name="_Toc164608650"/>
      <w:r/>
      <w:bookmarkStart w:id="469" w:name="_Toc265228374"/>
      <w:r/>
      <w:bookmarkStart w:id="470" w:name="_Toc150509287"/>
      <w:r/>
      <w:bookmarkStart w:id="471" w:name="_Toc264969226"/>
      <w:r/>
      <w:bookmarkStart w:id="472" w:name="_Toc127151737"/>
      <w:r/>
      <w:bookmarkStart w:id="473" w:name="_Toc151193634"/>
      <w:r/>
      <w:bookmarkStart w:id="474" w:name="_Toc142311038"/>
      <w:r/>
      <w:bookmarkStart w:id="475" w:name="_Toc195842901"/>
      <w:r/>
      <w:bookmarkStart w:id="476" w:name="_Toc164229377"/>
      <w:r/>
      <w:bookmarkStart w:id="477" w:name="_Toc305158804"/>
      <w:r/>
      <w:bookmarkStart w:id="478" w:name="_Toc520356161"/>
      <w:r/>
      <w:bookmarkStart w:id="479" w:name="_Toc127161450"/>
      <w:r/>
      <w:bookmarkStart w:id="480" w:name="_Toc151190163"/>
      <w:r/>
      <w:bookmarkStart w:id="481" w:name="_Toc150774636"/>
      <w:r/>
      <w:bookmarkStart w:id="482" w:name="_Toc226965809"/>
      <w:r/>
      <w:bookmarkStart w:id="483" w:name="_Toc164351630"/>
      <w:r/>
      <w:bookmarkStart w:id="484" w:name="_Toc127151536"/>
      <w:r>
        <w:rPr>
          <w:rFonts w:hint="eastAsia" w:ascii="宋体" w:hAnsi="宋体" w:cs="宋体"/>
          <w:szCs w:val="21"/>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s="宋体"/>
          <w:szCs w:val="21"/>
          <w:highlight w:val="none"/>
        </w:rPr>
        <w:t xml:space="preserve">时间</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投标人应在招标文件要求提交投标文件截止时间前，将电子投标文件提交至常州市政府采购业务管理平台。</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485" w:name="_Toc150480775"/>
      <w:r/>
      <w:bookmarkStart w:id="486" w:name="_Toc226309781"/>
      <w:r/>
      <w:bookmarkStart w:id="487" w:name="_Toc226965727"/>
      <w:r/>
      <w:bookmarkStart w:id="488" w:name="_Toc226965810"/>
      <w:r/>
      <w:bookmarkStart w:id="489" w:name="_Toc164608651"/>
      <w:r/>
      <w:bookmarkStart w:id="490" w:name="_Toc164608806"/>
      <w:r/>
      <w:bookmarkStart w:id="491" w:name="_Toc164351631"/>
      <w:r/>
      <w:bookmarkStart w:id="492" w:name="_Toc305158879"/>
      <w:r/>
      <w:bookmarkStart w:id="493" w:name="_Toc520356162"/>
      <w:r/>
      <w:bookmarkStart w:id="494" w:name="_Toc150774637"/>
      <w:r/>
      <w:bookmarkStart w:id="495" w:name="_Toc151193635"/>
      <w:r/>
      <w:bookmarkStart w:id="496" w:name="_Toc149720830"/>
      <w:r/>
      <w:bookmarkStart w:id="497" w:name="_Toc151193707"/>
      <w:r/>
      <w:bookmarkStart w:id="498" w:name="_Toc150774742"/>
      <w:r/>
      <w:bookmarkStart w:id="499" w:name="_Toc127151738"/>
      <w:r/>
      <w:bookmarkStart w:id="500" w:name="_Toc195842902"/>
      <w:r/>
      <w:bookmarkStart w:id="501" w:name="_Toc264969227"/>
      <w:r/>
      <w:bookmarkStart w:id="502" w:name="_Toc226337233"/>
      <w:r/>
      <w:bookmarkStart w:id="503" w:name="_Toc151193851"/>
      <w:r/>
      <w:bookmarkStart w:id="504" w:name="_Toc164229232"/>
      <w:r/>
      <w:bookmarkStart w:id="505" w:name="_Toc142311039"/>
      <w:r/>
      <w:bookmarkStart w:id="506" w:name="_Toc305158805"/>
      <w:r/>
      <w:bookmarkStart w:id="507" w:name="_Toc164229378"/>
      <w:r/>
      <w:bookmarkStart w:id="508" w:name="_Toc151193779"/>
      <w:r/>
      <w:bookmarkStart w:id="509" w:name="_Toc265228375"/>
      <w:r/>
      <w:bookmarkStart w:id="510" w:name="_Toc151193925"/>
      <w:r/>
      <w:bookmarkStart w:id="511" w:name="_Toc127151537"/>
      <w:r/>
      <w:bookmarkStart w:id="512" w:name="_Toc151190164"/>
      <w:r/>
      <w:bookmarkStart w:id="513" w:name="_Toc127161451"/>
      <w:r/>
      <w:bookmarkStart w:id="514" w:name="_Toc150509288"/>
      <w:r>
        <w:rPr>
          <w:rFonts w:hint="eastAsia" w:ascii="宋体" w:hAnsi="宋体" w:cs="宋体"/>
          <w:szCs w:val="21"/>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投标截止时间前，投标人可以通过常州市政府采购业务管理平台对所提交的投标文件进行补充、修改或者撤回。</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投标人对投标文件的补充、修改的内容应当按照招标文件要求签署、加盖公章，作为投标文件的组成部分。</w:t>
      </w:r>
      <w:r>
        <w:rPr>
          <w:rFonts w:hint="eastAsia" w:ascii="宋体" w:hAnsi="宋体" w:cs="宋体"/>
          <w:szCs w:val="21"/>
          <w:highlight w:val="none"/>
        </w:rPr>
      </w:r>
      <w:r/>
    </w:p>
    <w:p>
      <w:pPr>
        <w:pStyle w:val="1030"/>
        <w:pageBreakBefore w:val="0"/>
        <w:spacing w:line="480" w:lineRule="exact"/>
        <w:widowControl w:val="off"/>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bookmarkStart w:id="515" w:name="_Toc305158806"/>
      <w:r/>
      <w:bookmarkStart w:id="516" w:name="_Toc151193852"/>
      <w:r/>
      <w:bookmarkStart w:id="517" w:name="_Toc265228376"/>
      <w:r/>
      <w:bookmarkStart w:id="518" w:name="_Toc150774743"/>
      <w:r/>
      <w:bookmarkStart w:id="519" w:name="_Toc150480776"/>
      <w:r/>
      <w:bookmarkStart w:id="520" w:name="_Toc226965728"/>
      <w:r/>
      <w:bookmarkStart w:id="521" w:name="_Toc226309782"/>
      <w:r/>
      <w:bookmarkStart w:id="522" w:name="_Toc151193926"/>
      <w:r/>
      <w:bookmarkStart w:id="523" w:name="_Toc195842903"/>
      <w:r/>
      <w:bookmarkStart w:id="524" w:name="_Toc151193708"/>
      <w:r/>
      <w:bookmarkStart w:id="525" w:name="_Toc151190165"/>
      <w:r/>
      <w:bookmarkStart w:id="526" w:name="_Toc151193636"/>
      <w:r/>
      <w:bookmarkStart w:id="527" w:name="_Toc150774638"/>
      <w:r/>
      <w:bookmarkStart w:id="528" w:name="_Toc127151538"/>
      <w:r/>
      <w:bookmarkStart w:id="529" w:name="_Toc520356163"/>
      <w:r/>
      <w:bookmarkStart w:id="530" w:name="_Toc264969228"/>
      <w:r/>
      <w:bookmarkStart w:id="531" w:name="_Toc142311040"/>
      <w:r/>
      <w:bookmarkStart w:id="532" w:name="_Toc305158880"/>
      <w:r/>
      <w:bookmarkStart w:id="533" w:name="_Toc226965811"/>
      <w:r/>
      <w:bookmarkStart w:id="534" w:name="_Toc226337234"/>
      <w:r/>
      <w:bookmarkStart w:id="535" w:name="_Toc150509289"/>
      <w:r/>
      <w:bookmarkStart w:id="536" w:name="_Toc151193780"/>
      <w:r>
        <w:rPr>
          <w:rFonts w:hint="eastAsia" w:ascii="宋体" w:hAnsi="宋体" w:eastAsia="宋体" w:cs="宋体"/>
          <w:sz w:val="21"/>
          <w:szCs w:val="21"/>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537" w:name="_Toc305158881"/>
      <w:r/>
      <w:bookmarkStart w:id="538" w:name="_Toc151193637"/>
      <w:r/>
      <w:bookmarkStart w:id="539" w:name="_Toc164229380"/>
      <w:r/>
      <w:bookmarkStart w:id="540" w:name="_Toc150480777"/>
      <w:r/>
      <w:bookmarkStart w:id="541" w:name="_Toc149720832"/>
      <w:r/>
      <w:bookmarkStart w:id="542" w:name="_Toc150774744"/>
      <w:r/>
      <w:bookmarkStart w:id="543" w:name="_Toc195842904"/>
      <w:r/>
      <w:bookmarkStart w:id="544" w:name="_Toc164351633"/>
      <w:r/>
      <w:bookmarkStart w:id="545" w:name="_Toc305158807"/>
      <w:r/>
      <w:bookmarkStart w:id="546" w:name="_Toc226309783"/>
      <w:r/>
      <w:bookmarkStart w:id="547" w:name="_Toc265228377"/>
      <w:r/>
      <w:bookmarkStart w:id="548" w:name="_Toc151193853"/>
      <w:r/>
      <w:bookmarkStart w:id="549" w:name="_Toc150774639"/>
      <w:r/>
      <w:bookmarkStart w:id="550" w:name="_Toc164608808"/>
      <w:r/>
      <w:bookmarkStart w:id="551" w:name="_Toc264969229"/>
      <w:r/>
      <w:bookmarkStart w:id="552" w:name="_Toc142311041"/>
      <w:r/>
      <w:bookmarkStart w:id="553" w:name="_Toc127151740"/>
      <w:r/>
      <w:bookmarkStart w:id="554" w:name="_Toc151193781"/>
      <w:r/>
      <w:bookmarkStart w:id="555" w:name="_Toc151190166"/>
      <w:r/>
      <w:bookmarkStart w:id="556" w:name="_Toc151193927"/>
      <w:r/>
      <w:bookmarkStart w:id="557" w:name="_Toc127151539"/>
      <w:r/>
      <w:bookmarkStart w:id="558" w:name="_Toc150509290"/>
      <w:r/>
      <w:bookmarkStart w:id="559" w:name="_Toc226965812"/>
      <w:r/>
      <w:bookmarkStart w:id="560" w:name="_Toc226965729"/>
      <w:r/>
      <w:bookmarkStart w:id="561" w:name="_Toc164229234"/>
      <w:r/>
      <w:bookmarkStart w:id="562" w:name="_Toc127161453"/>
      <w:r/>
      <w:bookmarkStart w:id="563" w:name="_Toc226337235"/>
      <w:r/>
      <w:bookmarkStart w:id="564" w:name="_Toc164608653"/>
      <w:r/>
      <w:bookmarkStart w:id="565" w:name="_Toc151193709"/>
      <w:r/>
      <w:bookmarkStart w:id="566" w:name="_Toc520356164"/>
      <w:r>
        <w:rPr>
          <w:rFonts w:hint="eastAsia" w:ascii="宋体" w:hAnsi="宋体" w:cs="宋体"/>
          <w:szCs w:val="21"/>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采购人或采购代理机构将按招标文件的规定，在投标截止时间的同一时间和招标文件预先确定的地点组织开标。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本项目开标采用不见面招投标模式，使用常州市政府采购业务管理平台在线进行开标。投标人应在规定的时间内对投标文件进行解密，因非系统原因导致的解密失败，视为</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开标过程将使用常州市政府采购业务管理平台公布投标人名称、投标价格和招标文件规定的需要宣布的其他内容并进行记录，并由参加开标的各投标人代表在规定时间内确认</w:t>
      </w:r>
      <w:bookmarkStart w:id="567" w:name="_Toc520356165"/>
      <w:r>
        <w:rPr>
          <w:rFonts w:hint="eastAsia" w:ascii="宋体" w:hAnsi="宋体" w:cs="宋体"/>
          <w:szCs w:val="21"/>
          <w:highlight w:val="none"/>
        </w:rPr>
        <w:t xml:space="preserve">。投标人超过规定时间未确认但是未提出疑义的，系统将视同已确认。</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投标人不足3家的，不予开标。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如果在采购活动过程中出现以下情形，导致“</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szCs w:val="21"/>
          <w:highlight w:val="none"/>
        </w:rPr>
        <w:br w:type="textWrapping" w:clear="all"/>
      </w:r>
      <w:r>
        <w:rPr>
          <w:rFonts w:hint="eastAsia" w:ascii="宋体" w:hAnsi="宋体" w:cs="宋体"/>
          <w:szCs w:val="21"/>
          <w:highlight w:val="none"/>
        </w:rPr>
        <w:t xml:space="preserve">1)平台系统发生故障而无法登录访问的；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2)平台系统应用或数据库出现错误，不能进行正常操作的；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3)平台系统发现严重安全漏洞，有潜在泄密危险的；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4)病毒发作导致平台系统不能进行正常操作的；</w:t>
      </w:r>
      <w:r>
        <w:rPr>
          <w:rFonts w:hint="eastAsia" w:ascii="宋体" w:hAnsi="宋体" w:cs="宋体"/>
          <w:szCs w:val="21"/>
          <w:highlight w:val="none"/>
        </w:rPr>
      </w:r>
      <w:r/>
    </w:p>
    <w:p>
      <w:pPr>
        <w:pStyle w:val="1030"/>
        <w:ind w:left="357" w:firstLine="735"/>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5)其他无法保证本次采购活动的公平、公正和安全的情况。</w:t>
      </w:r>
      <w:r>
        <w:rPr>
          <w:rFonts w:hint="eastAsia" w:ascii="宋体" w:hAnsi="宋体" w:cs="宋体"/>
          <w:szCs w:val="21"/>
          <w:highlight w:val="none"/>
        </w:rPr>
      </w:r>
      <w:r/>
    </w:p>
    <w:p>
      <w:pPr>
        <w:pStyle w:val="1030"/>
        <w:ind w:left="1134"/>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见第三章《资格审查》。</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567"/>
      <w:r/>
      <w:bookmarkStart w:id="568" w:name="_Toc127161454"/>
      <w:r/>
      <w:bookmarkStart w:id="569" w:name="_Toc226309784"/>
      <w:r/>
      <w:bookmarkStart w:id="570" w:name="_Toc151190167"/>
      <w:r/>
      <w:bookmarkStart w:id="571" w:name="_Toc150509291"/>
      <w:r/>
      <w:bookmarkStart w:id="572" w:name="_Toc151193782"/>
      <w:r/>
      <w:bookmarkStart w:id="573" w:name="_Toc127151741"/>
      <w:r/>
      <w:bookmarkStart w:id="574" w:name="_Toc164608654"/>
      <w:r/>
      <w:bookmarkStart w:id="575" w:name="_Toc127151540"/>
      <w:r/>
      <w:bookmarkStart w:id="576" w:name="_Toc265228378"/>
      <w:r/>
      <w:bookmarkStart w:id="577" w:name="_Toc164229381"/>
      <w:r/>
      <w:bookmarkStart w:id="578" w:name="_Toc150774640"/>
      <w:r/>
      <w:bookmarkStart w:id="579" w:name="_Toc150774745"/>
      <w:r/>
      <w:bookmarkStart w:id="580" w:name="_Toc264969230"/>
      <w:r/>
      <w:bookmarkStart w:id="581" w:name="_Toc195842905"/>
      <w:r/>
      <w:bookmarkStart w:id="582" w:name="_Toc164351634"/>
      <w:r/>
      <w:bookmarkStart w:id="583" w:name="_Toc142311042"/>
      <w:r/>
      <w:bookmarkStart w:id="584" w:name="_Toc151193710"/>
      <w:r/>
      <w:bookmarkStart w:id="585" w:name="_Toc226965730"/>
      <w:r/>
      <w:bookmarkStart w:id="586" w:name="_Toc151193928"/>
      <w:r/>
      <w:bookmarkStart w:id="587" w:name="_Toc164608809"/>
      <w:r/>
      <w:bookmarkStart w:id="588" w:name="_Toc149720833"/>
      <w:r/>
      <w:bookmarkStart w:id="589" w:name="_Toc164229235"/>
      <w:r/>
      <w:bookmarkStart w:id="590" w:name="_Toc305158808"/>
      <w:r/>
      <w:bookmarkStart w:id="591" w:name="_Toc150480778"/>
      <w:r/>
      <w:bookmarkStart w:id="592" w:name="_Toc151193638"/>
      <w:r/>
      <w:bookmarkStart w:id="593" w:name="_Toc226965813"/>
      <w:r/>
      <w:bookmarkStart w:id="594" w:name="_Toc151193854"/>
      <w:r/>
      <w:bookmarkStart w:id="595" w:name="_Toc226337236"/>
      <w:r/>
      <w:bookmarkStart w:id="596" w:name="_Toc305158882"/>
      <w:r>
        <w:rPr>
          <w:rFonts w:hint="eastAsia" w:ascii="宋体" w:hAnsi="宋体" w:cs="宋体"/>
          <w:szCs w:val="21"/>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评标委员会根据政府采购有关规定和本次招标采购项目的特点进行组建，并负责具体评标事务，独立履行职责。</w:t>
      </w:r>
      <w:bookmarkStart w:id="597" w:name="_Toc520356166"/>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7"/>
      <w:r/>
      <w:bookmarkStart w:id="598" w:name="_Toc520356169"/>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见第四章《评标程序、评标方法和评标标准》。</w:t>
      </w:r>
      <w:r>
        <w:rPr>
          <w:rFonts w:hint="eastAsia" w:ascii="宋体" w:hAnsi="宋体" w:cs="宋体"/>
          <w:szCs w:val="21"/>
          <w:highlight w:val="none"/>
        </w:rPr>
      </w:r>
      <w:r/>
    </w:p>
    <w:p>
      <w:pPr>
        <w:pStyle w:val="1030"/>
        <w:ind w:left="1080"/>
        <w:pageBreakBefore w:val="0"/>
        <w:spacing w:line="480" w:lineRule="exact"/>
        <w:widowControl w:val="off"/>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pageBreakBefore w:val="0"/>
        <w:spacing w:before="0" w:line="480" w:lineRule="exact"/>
        <w:widowControl w:val="off"/>
        <w:rPr>
          <w:rFonts w:hint="eastAsia" w:ascii="宋体" w:hAnsi="宋体" w:eastAsia="宋体" w:cs="宋体"/>
          <w:sz w:val="21"/>
          <w:szCs w:val="21"/>
          <w:highlight w:val="none"/>
        </w:rPr>
      </w:pPr>
      <w:r/>
      <w:bookmarkStart w:id="599" w:name="_Toc265228383"/>
      <w:r/>
      <w:bookmarkStart w:id="600" w:name="_Toc195842910"/>
      <w:r/>
      <w:bookmarkStart w:id="601" w:name="_Toc305158887"/>
      <w:r/>
      <w:bookmarkStart w:id="602" w:name="_Toc264969235"/>
      <w:r/>
      <w:bookmarkStart w:id="603" w:name="_Toc151190172"/>
      <w:r/>
      <w:bookmarkStart w:id="604" w:name="_Toc226965735"/>
      <w:r/>
      <w:bookmarkStart w:id="605" w:name="_Toc151193715"/>
      <w:r/>
      <w:bookmarkStart w:id="606" w:name="_Toc305158813"/>
      <w:r/>
      <w:bookmarkStart w:id="607" w:name="_Toc151193859"/>
      <w:r/>
      <w:bookmarkStart w:id="608" w:name="_Toc226965818"/>
      <w:r/>
      <w:bookmarkStart w:id="609" w:name="_Toc127151545"/>
      <w:r/>
      <w:bookmarkStart w:id="610" w:name="_Toc150480783"/>
      <w:r/>
      <w:bookmarkStart w:id="611" w:name="_Toc151193933"/>
      <w:r/>
      <w:bookmarkStart w:id="612" w:name="_Toc151193643"/>
      <w:r/>
      <w:bookmarkStart w:id="613" w:name="_Toc226309789"/>
      <w:r/>
      <w:bookmarkStart w:id="614" w:name="_Toc151193787"/>
      <w:r/>
      <w:bookmarkStart w:id="615" w:name="_Toc150774750"/>
      <w:r/>
      <w:bookmarkStart w:id="616" w:name="_Toc142311047"/>
      <w:r/>
      <w:bookmarkStart w:id="617" w:name="_Toc150509296"/>
      <w:r/>
      <w:bookmarkStart w:id="618" w:name="_Toc226337241"/>
      <w:r/>
      <w:bookmarkStart w:id="619" w:name="_Toc150774645"/>
      <w:r>
        <w:rPr>
          <w:rFonts w:hint="eastAsia" w:ascii="宋体" w:hAnsi="宋体" w:eastAsia="宋体" w:cs="宋体"/>
          <w:sz w:val="21"/>
          <w:szCs w:val="21"/>
          <w:highlight w:val="none"/>
        </w:rPr>
        <w:t xml:space="preserve">六   </w:t>
      </w:r>
      <w:bookmarkEnd w:id="598"/>
      <w:r>
        <w:rPr>
          <w:rFonts w:hint="eastAsia" w:ascii="宋体" w:hAnsi="宋体" w:eastAsia="宋体" w:cs="宋体"/>
          <w:sz w:val="21"/>
          <w:szCs w:val="21"/>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150480785"/>
      <w:r/>
      <w:bookmarkStart w:id="621" w:name="_Toc264969237"/>
      <w:r/>
      <w:bookmarkStart w:id="622" w:name="_Toc164229242"/>
      <w:r/>
      <w:bookmarkStart w:id="623" w:name="_Toc151193935"/>
      <w:r/>
      <w:bookmarkStart w:id="624" w:name="_Toc150774647"/>
      <w:r/>
      <w:bookmarkStart w:id="625" w:name="_Toc226309791"/>
      <w:r/>
      <w:bookmarkStart w:id="626" w:name="_Toc164229388"/>
      <w:r/>
      <w:bookmarkStart w:id="627" w:name="_Toc226965737"/>
      <w:r/>
      <w:bookmarkStart w:id="628" w:name="_Toc305158815"/>
      <w:r/>
      <w:bookmarkStart w:id="629" w:name="_Toc305158889"/>
      <w:r/>
      <w:bookmarkStart w:id="630" w:name="_Toc149720840"/>
      <w:r/>
      <w:bookmarkStart w:id="631" w:name="_Toc164608661"/>
      <w:r/>
      <w:bookmarkStart w:id="632" w:name="_Toc226337243"/>
      <w:r/>
      <w:bookmarkStart w:id="633" w:name="_Toc164351641"/>
      <w:r/>
      <w:bookmarkStart w:id="634" w:name="_Toc151193717"/>
      <w:r/>
      <w:bookmarkStart w:id="635" w:name="_Toc265228385"/>
      <w:r/>
      <w:bookmarkStart w:id="636" w:name="_Toc127151547"/>
      <w:r/>
      <w:bookmarkStart w:id="637" w:name="_Toc195842912"/>
      <w:r/>
      <w:bookmarkStart w:id="638" w:name="_Toc226965820"/>
      <w:r/>
      <w:bookmarkStart w:id="639" w:name="_Toc151193645"/>
      <w:r/>
      <w:bookmarkStart w:id="640" w:name="_Toc151193861"/>
      <w:r/>
      <w:bookmarkStart w:id="641" w:name="_Toc127161461"/>
      <w:r/>
      <w:bookmarkStart w:id="642" w:name="_Toc150509298"/>
      <w:r/>
      <w:bookmarkStart w:id="643" w:name="_Toc151190174"/>
      <w:r/>
      <w:bookmarkStart w:id="644" w:name="_Toc164608816"/>
      <w:r/>
      <w:bookmarkStart w:id="645" w:name="_Toc142311049"/>
      <w:r/>
      <w:bookmarkStart w:id="646" w:name="_Toc150774752"/>
      <w:r/>
      <w:bookmarkStart w:id="647" w:name="_Toc127151748"/>
      <w:r/>
      <w:bookmarkStart w:id="648" w:name="_Toc151193789"/>
      <w:r>
        <w:rPr>
          <w:rFonts w:hint="eastAsia" w:ascii="宋体" w:hAnsi="宋体" w:eastAsia="宋体" w:cs="宋体"/>
          <w:sz w:val="21"/>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采购人将在评标报告确定的中标候选人名单中按顺序确定中标人，中标候选人并列的，由采购人依法确定。</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Start w:id="649" w:name="_Toc226965822"/>
      <w:r/>
      <w:bookmarkStart w:id="650" w:name="_Toc151193719"/>
      <w:r/>
      <w:bookmarkStart w:id="651" w:name="_Toc226965739"/>
      <w:r/>
      <w:bookmarkStart w:id="652" w:name="_Toc305158817"/>
      <w:r/>
      <w:bookmarkStart w:id="653" w:name="_Toc151193937"/>
      <w:r/>
      <w:bookmarkStart w:id="654" w:name="_Ref467307090"/>
      <w:r/>
      <w:bookmarkStart w:id="655" w:name="_Ref467306425"/>
      <w:r/>
      <w:bookmarkStart w:id="656" w:name="_Toc520356176"/>
      <w:r/>
      <w:bookmarkStart w:id="657" w:name="_Toc305158891"/>
      <w:r/>
      <w:bookmarkStart w:id="658" w:name="_Toc151193791"/>
      <w:r/>
      <w:bookmarkStart w:id="659" w:name="_Toc150509300"/>
      <w:r/>
      <w:bookmarkStart w:id="660" w:name="_Toc150480787"/>
      <w:r/>
      <w:bookmarkStart w:id="661" w:name="_Toc164229244"/>
      <w:r/>
      <w:bookmarkStart w:id="662" w:name="_Toc127151549"/>
      <w:r/>
      <w:bookmarkStart w:id="663" w:name="_Toc195842914"/>
      <w:r/>
      <w:bookmarkStart w:id="664" w:name="_Toc164351643"/>
      <w:r/>
      <w:bookmarkStart w:id="665" w:name="_Toc151193647"/>
      <w:r/>
      <w:bookmarkStart w:id="666" w:name="_Toc264969239"/>
      <w:r/>
      <w:bookmarkStart w:id="667" w:name="_Toc164608663"/>
      <w:r/>
      <w:bookmarkStart w:id="668" w:name="_Toc164229390"/>
      <w:r/>
      <w:bookmarkStart w:id="669" w:name="_Toc151193863"/>
      <w:r/>
      <w:bookmarkStart w:id="670" w:name="_Toc226309793"/>
      <w:r/>
      <w:bookmarkStart w:id="671" w:name="_Toc150774649"/>
      <w:r/>
      <w:bookmarkStart w:id="672" w:name="_Toc142311051"/>
      <w:r/>
      <w:bookmarkStart w:id="673" w:name="_Toc149720842"/>
      <w:r/>
      <w:bookmarkStart w:id="674" w:name="_Toc265228387"/>
      <w:r/>
      <w:bookmarkStart w:id="675" w:name="_Toc127151750"/>
      <w:r/>
      <w:bookmarkStart w:id="676" w:name="_Toc226337245"/>
      <w:r/>
      <w:bookmarkStart w:id="677" w:name="_Toc151190176"/>
      <w:r/>
      <w:bookmarkStart w:id="678" w:name="_Toc164608818"/>
      <w:r/>
      <w:bookmarkStart w:id="679" w:name="_Toc127161463"/>
      <w:r/>
      <w:bookmarkStart w:id="680" w:name="_Toc150774754"/>
      <w:r>
        <w:rPr>
          <w:rFonts w:hint="eastAsia" w:ascii="宋体" w:hAnsi="宋体" w:cs="宋体"/>
          <w:szCs w:val="21"/>
          <w:highlight w:val="none"/>
        </w:rPr>
        <w:t xml:space="preserve">中标公告与中标通知书</w:t>
      </w:r>
      <w:bookmarkEnd w:id="652"/>
      <w:r/>
      <w:bookmarkEnd w:id="657"/>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采购人或采购代理机构自中标人确定之日起2个工作日内，</w:t>
      </w:r>
      <w:r>
        <w:rPr>
          <w:rFonts w:hint="eastAsia" w:ascii="宋体" w:hAnsi="宋体" w:cs="宋体"/>
          <w:color w:val="000000"/>
          <w:szCs w:val="21"/>
          <w:highlight w:val="none"/>
        </w:rPr>
        <w:t xml:space="preserve">在常州市政府采购网公告中标结果</w:t>
      </w:r>
      <w:r>
        <w:rPr>
          <w:rFonts w:hint="eastAsia" w:ascii="宋体" w:hAnsi="宋体" w:cs="宋体"/>
          <w:szCs w:val="21"/>
          <w:highlight w:val="none"/>
        </w:rPr>
        <w:t xml:space="preserve">，同时向中标人发出中标通知书，中标公告期限为1个工作日。</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废标</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在招标采购中，出现下列情形之一的，应予废标：</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符合专业条件的供应商或者对招标文件作实质响应的供应商不足三家的；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出现影响采购公正的违法、违规行为的；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投标人的报价均超过了采购预算，采购人不能支付的；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因重大变故，采购任务取消的。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pacing w:val="2"/>
          <w:szCs w:val="21"/>
          <w:highlight w:val="none"/>
        </w:rPr>
        <w:t xml:space="preserve">平台系统</w:t>
      </w:r>
      <w:r>
        <w:rPr>
          <w:rFonts w:hint="eastAsia" w:ascii="宋体" w:hAnsi="宋体" w:cs="宋体"/>
          <w:szCs w:val="21"/>
          <w:highlight w:val="none"/>
        </w:rPr>
        <w:t xml:space="preserve">出现序号18.8的所述情形，情况严重且影响采购活动公平、公正性的。</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废标后，采购人将废标理由通知所有投标人。</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649"/>
      <w:r/>
      <w:bookmarkEnd w:id="650"/>
      <w:r/>
      <w:bookmarkEnd w:id="651"/>
      <w:r/>
      <w:bookmarkEnd w:id="653"/>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Start w:id="681" w:name="_Toc164229245"/>
      <w:r/>
      <w:bookmarkStart w:id="682" w:name="_Toc265228388"/>
      <w:r/>
      <w:bookmarkStart w:id="683" w:name="_Toc164608819"/>
      <w:r/>
      <w:bookmarkStart w:id="684" w:name="_Ref467306978"/>
      <w:r/>
      <w:bookmarkStart w:id="685" w:name="_Ref467307204"/>
      <w:r/>
      <w:bookmarkStart w:id="686" w:name="_Toc150509301"/>
      <w:r/>
      <w:bookmarkStart w:id="687" w:name="_Toc127151751"/>
      <w:r/>
      <w:bookmarkStart w:id="688" w:name="_Toc226965740"/>
      <w:r/>
      <w:bookmarkStart w:id="689" w:name="_Toc151193938"/>
      <w:r/>
      <w:bookmarkStart w:id="690" w:name="_Toc226337246"/>
      <w:r/>
      <w:bookmarkStart w:id="691" w:name="_Toc151193792"/>
      <w:r/>
      <w:bookmarkStart w:id="692" w:name="_Toc164608664"/>
      <w:r/>
      <w:bookmarkStart w:id="693" w:name="_Toc226309794"/>
      <w:r/>
      <w:bookmarkStart w:id="694" w:name="_Toc151190177"/>
      <w:r/>
      <w:bookmarkStart w:id="695" w:name="_Ref467306377"/>
      <w:r/>
      <w:bookmarkStart w:id="696" w:name="_Toc150774650"/>
      <w:r/>
      <w:bookmarkStart w:id="697" w:name="_Ref467307062"/>
      <w:r/>
      <w:bookmarkStart w:id="698" w:name="_Toc264969240"/>
      <w:r/>
      <w:bookmarkStart w:id="699" w:name="_Toc305158892"/>
      <w:r/>
      <w:bookmarkStart w:id="700" w:name="_Toc127151550"/>
      <w:r/>
      <w:bookmarkStart w:id="701" w:name="_Toc151193864"/>
      <w:r/>
      <w:bookmarkStart w:id="702" w:name="_Toc520356175"/>
      <w:r/>
      <w:bookmarkStart w:id="703" w:name="_Toc195842915"/>
      <w:r/>
      <w:bookmarkStart w:id="704" w:name="_Toc164351644"/>
      <w:r/>
      <w:bookmarkStart w:id="705" w:name="_Toc142311052"/>
      <w:r/>
      <w:bookmarkStart w:id="706" w:name="_Toc151193648"/>
      <w:r/>
      <w:bookmarkStart w:id="707" w:name="_Toc226965823"/>
      <w:r/>
      <w:bookmarkStart w:id="708" w:name="_Toc151193720"/>
      <w:r/>
      <w:bookmarkStart w:id="709" w:name="_Toc149720843"/>
      <w:r/>
      <w:bookmarkStart w:id="710" w:name="_Toc164229391"/>
      <w:r/>
      <w:bookmarkStart w:id="711" w:name="_Toc150774755"/>
      <w:r/>
      <w:bookmarkStart w:id="712" w:name="_Toc150480788"/>
      <w:r/>
      <w:bookmarkStart w:id="713" w:name="_Toc127161464"/>
      <w:r/>
      <w:bookmarkStart w:id="714" w:name="_Toc305158818"/>
      <w:r>
        <w:rPr>
          <w:rFonts w:hint="eastAsia" w:ascii="宋体" w:hAnsi="宋体" w:cs="宋体"/>
          <w:szCs w:val="21"/>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联合体中标的，联合体各方应当共同与采购人签订合同，就中标项目向采购人承担连带责任。</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政府采购合同不能转包。</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highlight w:val="none"/>
        </w:rPr>
        <w:t xml:space="preserve">，</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。中标人就采购项目和分包项目向采购人负责，分包供应商就分包项目承担责任。</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bookmarkEnd w:id="654"/>
      <w:r/>
      <w:bookmarkEnd w:id="655"/>
      <w:r/>
      <w:bookmarkEnd w:id="656"/>
      <w:r>
        <w:rPr>
          <w:rFonts w:hint="eastAsia" w:ascii="宋体" w:hAnsi="宋体" w:cs="宋体"/>
          <w:szCs w:val="21"/>
          <w:highlight w:val="none"/>
        </w:rPr>
        <w:t xml:space="preserve">询问与质疑</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投标人对政府采购活动事项有疑问的，可依法提出询问，并按《投标人须知资料表》载明的形式送达采购人或采购代理机构。</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采购人或采购代理机构对供应商依法提出的询问，在3个工作日内作出答复，但答复的内容不得涉及商业秘密。</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质疑</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b/>
          <w:szCs w:val="21"/>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质疑函须使用财政部制定的范本文件。（下载网址：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"http://gks.mof.gov.cn/ztztz/zhengfucaigouguanli/201802/t20180201_2804589.htm" </w:instrText>
      </w:r>
      <w:r>
        <w:rPr>
          <w:rFonts w:hint="eastAsia" w:ascii="宋体" w:hAnsi="宋体" w:cs="宋体"/>
          <w:szCs w:val="21"/>
          <w:highlight w:val="none"/>
        </w:rPr>
        <w:fldChar w:fldCharType="separate"/>
      </w:r>
      <w:r>
        <w:rPr>
          <w:rStyle w:val="1108"/>
          <w:rFonts w:hint="eastAsia" w:ascii="宋体" w:hAnsi="宋体" w:cs="宋体"/>
          <w:szCs w:val="21"/>
          <w:highlight w:val="none"/>
        </w:rPr>
        <w:t xml:space="preserve">http://gk</w:t>
      </w:r>
      <w:bookmarkStart w:id="715" w:name="_Hlt100654014"/>
      <w:r>
        <w:rPr>
          <w:rStyle w:val="1108"/>
          <w:rFonts w:hint="eastAsia" w:ascii="宋体" w:hAnsi="宋体" w:cs="宋体"/>
          <w:szCs w:val="21"/>
          <w:highlight w:val="none"/>
        </w:rPr>
        <w:t xml:space="preserve">s</w:t>
      </w:r>
      <w:bookmarkEnd w:id="715"/>
      <w:r>
        <w:rPr>
          <w:rStyle w:val="1108"/>
          <w:rFonts w:hint="eastAsia" w:ascii="宋体" w:hAnsi="宋体" w:cs="宋体"/>
          <w:szCs w:val="21"/>
          <w:highlight w:val="none"/>
        </w:rPr>
        <w:t xml:space="preserve">.m</w:t>
      </w:r>
      <w:bookmarkStart w:id="716" w:name="_Hlt100653994"/>
      <w:r/>
      <w:bookmarkStart w:id="717" w:name="_Hlt100653993"/>
      <w:r>
        <w:rPr>
          <w:rStyle w:val="1108"/>
          <w:rFonts w:hint="eastAsia" w:ascii="宋体" w:hAnsi="宋体" w:cs="宋体"/>
          <w:szCs w:val="21"/>
          <w:highlight w:val="none"/>
        </w:rPr>
        <w:t xml:space="preserve">o</w:t>
      </w:r>
      <w:bookmarkEnd w:id="716"/>
      <w:r/>
      <w:bookmarkEnd w:id="717"/>
      <w:r>
        <w:rPr>
          <w:rStyle w:val="1108"/>
          <w:rFonts w:hint="eastAsia" w:ascii="宋体" w:hAnsi="宋体" w:cs="宋体"/>
          <w:szCs w:val="21"/>
          <w:highlight w:val="none"/>
        </w:rPr>
        <w:t xml:space="preserve">f.gov.cn/ztztz/zhengfucaigouguanli/201802/t20180201_2804589.htm</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highlight w:val="none"/>
        </w:rPr>
      </w:r>
      <w:r/>
    </w:p>
    <w:p>
      <w:pPr>
        <w:pStyle w:val="1030"/>
        <w:numPr>
          <w:ilvl w:val="2"/>
          <w:numId w:val="8"/>
        </w:numPr>
        <w:pageBreakBefore w:val="0"/>
        <w:spacing w:line="480" w:lineRule="exact"/>
        <w:widowControl w:val="off"/>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接收询问和质疑的联系部门、联系电话和通讯地址见《投标人须知资料表》。</w:t>
      </w:r>
      <w:r>
        <w:rPr>
          <w:rFonts w:hint="eastAsia" w:ascii="宋体" w:hAnsi="宋体" w:cs="宋体"/>
          <w:szCs w:val="21"/>
          <w:highlight w:val="none"/>
        </w:rPr>
      </w:r>
      <w:r/>
    </w:p>
    <w:p>
      <w:pPr>
        <w:pStyle w:val="1030"/>
        <w:numPr>
          <w:ilvl w:val="0"/>
          <w:numId w:val="8"/>
        </w:numPr>
        <w:ind w:left="357" w:hanging="357"/>
        <w:pageBreakBefore w:val="0"/>
        <w:spacing w:line="480" w:lineRule="exact"/>
        <w:widowControl w:val="off"/>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代理费</w:t>
      </w:r>
      <w:r>
        <w:rPr>
          <w:rFonts w:hint="eastAsia" w:ascii="宋体" w:hAnsi="宋体" w:cs="宋体"/>
          <w:szCs w:val="21"/>
          <w:highlight w:val="none"/>
        </w:rPr>
      </w:r>
      <w:r/>
    </w:p>
    <w:p>
      <w:pPr>
        <w:pStyle w:val="1030"/>
        <w:numPr>
          <w:ilvl w:val="1"/>
          <w:numId w:val="8"/>
        </w:numPr>
        <w:ind w:left="1077" w:hanging="720"/>
        <w:pageBreakBefore w:val="0"/>
        <w:spacing w:line="480" w:lineRule="exact"/>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highlight w:val="none"/>
        </w:rPr>
      </w:r>
      <w:r/>
    </w:p>
    <w:p>
      <w:pPr>
        <w:pStyle w:val="1030"/>
        <w:jc w:val="center"/>
        <w:spacing w:line="360" w:lineRule="auto"/>
        <w:rPr>
          <w:b/>
          <w:sz w:val="36"/>
          <w:szCs w:val="36"/>
          <w:highlight w:val="none"/>
        </w:rPr>
        <w:outlineLvl w:val="0"/>
      </w:pPr>
      <w:r/>
      <w:bookmarkStart w:id="718" w:name="_Toc305158896"/>
      <w:r/>
      <w:bookmarkStart w:id="719" w:name="_Toc353825544"/>
      <w:r/>
      <w:bookmarkStart w:id="720" w:name="_Toc264969244"/>
      <w:r/>
      <w:bookmarkStart w:id="721" w:name="_Toc353873934"/>
      <w:r/>
      <w:bookmarkStart w:id="722" w:name="_Toc142311056"/>
      <w:r/>
      <w:bookmarkStart w:id="723" w:name="_Toc150480792"/>
      <w:r/>
      <w:bookmarkStart w:id="724" w:name="_Toc127151554"/>
      <w:r/>
      <w:bookmarkStart w:id="725" w:name="_Toc353873664"/>
      <w:r/>
      <w:bookmarkStart w:id="726" w:name="_Toc265228392"/>
      <w:r/>
      <w:bookmarkStart w:id="727" w:name="_Toc150774759"/>
      <w:r/>
      <w:bookmarkStart w:id="728" w:name="_Toc226965827"/>
      <w:r/>
      <w:bookmarkStart w:id="729" w:name="_Toc305158822"/>
      <w:r/>
      <w:bookmarkStart w:id="730" w:name="_Toc226337250"/>
      <w:r>
        <w:rPr>
          <w:sz w:val="24"/>
          <w:highlight w:val="none"/>
        </w:rPr>
        <w:br w:type="page" w:clear="all"/>
      </w:r>
      <w:bookmarkStart w:id="731" w:name="_Toc99301421"/>
      <w:r>
        <w:rPr>
          <w:b/>
          <w:sz w:val="36"/>
          <w:szCs w:val="36"/>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highlight w:val="none"/>
        </w:rPr>
        <w:t xml:space="preserve">资格审查</w:t>
      </w:r>
      <w:bookmarkEnd w:id="731"/>
      <w:r/>
      <w:bookmarkStart w:id="732" w:name="_Toc487900382"/>
      <w:r>
        <w:rPr>
          <w:b/>
          <w:sz w:val="36"/>
          <w:szCs w:val="36"/>
          <w:highlight w:val="none"/>
        </w:rPr>
      </w:r>
      <w:r/>
    </w:p>
    <w:p>
      <w:pPr>
        <w:pStyle w:val="1030"/>
        <w:jc w:val="center"/>
        <w:spacing w:line="360" w:lineRule="auto"/>
        <w:tabs>
          <w:tab w:val="left" w:pos="360" w:leader="none"/>
          <w:tab w:val="left" w:pos="900" w:leader="none"/>
        </w:tabs>
        <w:rPr>
          <w:b/>
          <w:sz w:val="24"/>
          <w:highlight w:val="none"/>
        </w:rPr>
        <w:outlineLvl w:val="1"/>
      </w:pPr>
      <w:r/>
      <w:bookmarkStart w:id="733" w:name="_Toc99301422"/>
      <w:r>
        <w:rPr>
          <w:b/>
          <w:sz w:val="24"/>
          <w:highlight w:val="none"/>
        </w:rPr>
        <w:t xml:space="preserve">一、资格审查程序</w:t>
      </w:r>
      <w:bookmarkEnd w:id="733"/>
      <w:r>
        <w:rPr>
          <w:b/>
          <w:sz w:val="24"/>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开标结束后，采购人将根据《资格审查要求》中的规定，对投标人进行资格审查，并形成资格审查结果。</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《资格审查要求》中对格式有要求的，除招标文件另有规定外，均为“实质性格式”文件。</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投标人《资格证明文件》有任何一项不符合《资格审查要求》的，资格审查不合格，其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资格审查合格的投标人不足3家的，不进行评标。</w:t>
      </w:r>
      <w:r>
        <w:rPr>
          <w:rFonts w:hint="eastAsia" w:ascii="宋体" w:hAnsi="宋体" w:cs="宋体"/>
          <w:szCs w:val="21"/>
          <w:highlight w:val="none"/>
        </w:rPr>
      </w:r>
      <w:r/>
    </w:p>
    <w:p>
      <w:pPr>
        <w:pStyle w:val="1030"/>
        <w:jc w:val="left"/>
        <w:widowControl/>
        <w:rPr>
          <w:sz w:val="24"/>
          <w:highlight w:val="none"/>
        </w:rPr>
      </w:pPr>
      <w:r>
        <w:rPr>
          <w:sz w:val="24"/>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2"/>
            <w:r/>
            <w:bookmarkStart w:id="734" w:name="_Hlt487972895"/>
            <w:r/>
            <w:bookmarkEnd w:id="734"/>
            <w:r/>
            <w:bookmarkStart w:id="735" w:name="_Toc127151779"/>
            <w:r/>
            <w:bookmarkStart w:id="736" w:name="_Toc226965858"/>
            <w:r/>
            <w:bookmarkStart w:id="737" w:name="_Toc127161490"/>
            <w:r/>
            <w:bookmarkStart w:id="738" w:name="_Toc353825550"/>
            <w:r/>
            <w:bookmarkStart w:id="739" w:name="_Toc353873940"/>
            <w:r>
              <w:rPr>
                <w:rFonts w:hint="eastAsia" w:ascii="宋体" w:hAnsi="宋体" w:cs="宋体"/>
                <w:b/>
                <w:szCs w:val="21"/>
              </w:rPr>
              <w:t xml:space="preserve">序号</w:t>
            </w:r>
            <w:r>
              <w:rPr>
                <w:rFonts w:hint="eastAsia" w:ascii="宋体" w:hAnsi="宋体" w:cs="宋体"/>
                <w:b/>
                <w:szCs w:val="21"/>
              </w:rPr>
            </w:r>
            <w:r/>
          </w:p>
        </w:tc>
        <w:tc>
          <w:tcPr>
            <w:tcW w:w="1066"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1030"/>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103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1030"/>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无须投标人提供，由采购人或采购代理机构查询。</w:t>
            </w:r>
            <w:r>
              <w:rPr>
                <w:rFonts w:hint="eastAsia" w:ascii="宋体" w:hAnsi="宋体" w:cs="宋体"/>
                <w:szCs w:val="21"/>
              </w:rPr>
            </w:r>
            <w:r/>
          </w:p>
        </w:tc>
      </w:tr>
      <w:tr>
        <w:trPr>
          <w:cantSplit/>
          <w:trHeight w:val="468"/>
        </w:trPr>
        <w:tc>
          <w:tcPr>
            <w:tcW w:w="454" w:type="dxa"/>
            <w:vAlign w:val="center"/>
            <w:textDirection w:val="lrTb"/>
            <w:noWrap w:val="false"/>
          </w:tcPr>
          <w:p>
            <w:pPr>
              <w:pStyle w:val="1030"/>
              <w:jc w:val="center"/>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1030"/>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881" w:type="dxa"/>
            <w:vAlign w:val="center"/>
            <w:textDirection w:val="lrTb"/>
            <w:noWrap w:val="false"/>
          </w:tcPr>
          <w:p>
            <w:pPr>
              <w:pStyle w:val="1030"/>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844"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r>
            <w:r/>
          </w:p>
        </w:tc>
        <w:tc>
          <w:tcPr>
            <w:tcW w:w="1982"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中小企业声明函</w:t>
            </w:r>
            <w:r>
              <w:rPr>
                <w:rFonts w:hint="eastAsia" w:ascii="宋体" w:hAnsi="宋体" w:eastAsia="宋体" w:cs="宋体"/>
                <w:szCs w:val="21"/>
              </w:rPr>
            </w:r>
            <w:r/>
          </w:p>
        </w:tc>
        <w:tc>
          <w:tcPr>
            <w:tcW w:w="4824"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szCs w:val="21"/>
              </w:rPr>
            </w:r>
            <w:r/>
          </w:p>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Cs w:val="21"/>
              </w:rPr>
            </w:r>
            <w:r/>
          </w:p>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Cs w:val="21"/>
              </w:rPr>
            </w:r>
            <w:r/>
          </w:p>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注2：残疾人福利性单位须按招标文件要求提供《残疾人福利性单位声明函》。</w:t>
            </w:r>
            <w:r>
              <w:rPr>
                <w:rFonts w:hint="eastAsia" w:ascii="宋体" w:hAnsi="宋体" w:eastAsia="宋体" w:cs="宋体"/>
                <w:szCs w:val="21"/>
              </w:rPr>
            </w:r>
            <w:r/>
          </w:p>
        </w:tc>
        <w:tc>
          <w:tcPr>
            <w:tcW w:w="1638" w:type="dxa"/>
            <w:vAlign w:val="center"/>
            <w:textDirection w:val="lrTb"/>
            <w:noWrap w:val="false"/>
          </w:tcPr>
          <w:p>
            <w:pPr>
              <w:pStyle w:val="1030"/>
              <w:spacing w:line="360"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格式见《投标文件格式》</w:t>
            </w:r>
            <w:r>
              <w:rPr>
                <w:rFonts w:hint="eastAsia" w:ascii="宋体" w:hAnsi="宋体" w:eastAsia="宋体" w:cs="宋体"/>
                <w:szCs w:val="21"/>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595"/>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596" w:type="dxa"/>
            <w:vAlign w:val="center"/>
            <w:textDirection w:val="lrTb"/>
            <w:noWrap w:val="false"/>
          </w:tcPr>
          <w:p>
            <w:pPr>
              <w:pStyle w:val="1030"/>
              <w:numPr>
                <w:ilvl w:val="0"/>
                <w:numId w:val="0"/>
              </w:numPr>
              <w:spacing w:line="360" w:lineRule="auto"/>
              <w:rPr>
                <w:rFonts w:hint="eastAsia" w:ascii="宋体" w:hAnsi="宋体" w:eastAsia="宋体" w:cs="宋体"/>
                <w:szCs w:val="21"/>
                <w:highlight w:val="none"/>
                <w:lang w:eastAsia="zh-CN"/>
              </w:rPr>
            </w:pPr>
            <w:r>
              <w:rPr>
                <w:rFonts w:hint="eastAsia" w:ascii="宋体" w:hAnsi="宋体" w:eastAsia="宋体" w:cs="宋体"/>
                <w:sz w:val="21"/>
                <w:szCs w:val="21"/>
                <w:highlight w:val="none"/>
                <w:lang w:val="en-US" w:eastAsia="zh-CN"/>
              </w:rPr>
              <w:t xml:space="preserve">无</w:t>
            </w:r>
            <w:r>
              <w:rPr>
                <w:rFonts w:hint="eastAsia" w:ascii="宋体" w:hAnsi="宋体" w:eastAsia="宋体" w:cs="宋体"/>
                <w:szCs w:val="21"/>
                <w:highlight w:val="none"/>
                <w:lang w:eastAsia="zh-CN"/>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bl>
    <w:p>
      <w:pPr>
        <w:pStyle w:val="1030"/>
        <w:jc w:val="left"/>
        <w:widowControl/>
        <w:rPr>
          <w:rFonts w:hint="eastAsia"/>
          <w:b/>
          <w:bCs/>
          <w:szCs w:val="21"/>
          <w:highlight w:val="none"/>
        </w:rPr>
      </w:pPr>
      <w:r>
        <w:rPr>
          <w:rFonts w:hint="eastAsia"/>
          <w:b/>
          <w:bCs/>
          <w:szCs w:val="21"/>
          <w:highlight w:val="none"/>
        </w:rPr>
      </w:r>
      <w:r/>
    </w:p>
    <w:p>
      <w:pPr>
        <w:pStyle w:val="1030"/>
        <w:jc w:val="left"/>
        <w:spacing w:line="360" w:lineRule="auto"/>
        <w:widowControl/>
        <w:rPr>
          <w:sz w:val="24"/>
          <w:highlight w:val="none"/>
        </w:rPr>
      </w:pPr>
      <w:r>
        <w:rPr>
          <w:rFonts w:hint="eastAsia"/>
          <w:b/>
          <w:bCs/>
          <w:szCs w:val="21"/>
          <w:highlight w:val="none"/>
        </w:rPr>
        <w:t xml:space="preserve">注：</w:t>
      </w:r>
      <w:r>
        <w:rPr>
          <w:rFonts w:hint="eastAsia"/>
          <w:szCs w:val="21"/>
          <w:highlight w:val="none"/>
        </w:rPr>
        <w:t xml:space="preserve">上述资料为投标人资格后审审查材料的必要材料，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，否则视作无效响应，资料不全或不符合要求的作资格审查不合格处理，资格审查不合格的投标人不再进入后续评审。</w:t>
      </w:r>
      <w:r>
        <w:rPr>
          <w:sz w:val="24"/>
          <w:highlight w:val="none"/>
        </w:rPr>
      </w:r>
      <w:r/>
    </w:p>
    <w:p>
      <w:pPr>
        <w:pStyle w:val="1030"/>
        <w:jc w:val="center"/>
        <w:spacing w:line="360" w:lineRule="auto"/>
        <w:rPr>
          <w:b/>
          <w:sz w:val="36"/>
          <w:szCs w:val="36"/>
          <w:highlight w:val="none"/>
        </w:rPr>
        <w:outlineLvl w:val="0"/>
      </w:pPr>
      <w:r/>
      <w:bookmarkStart w:id="740" w:name="_Toc99301423"/>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w:t>
      </w:r>
      <w:bookmarkEnd w:id="735"/>
      <w:r/>
      <w:bookmarkEnd w:id="736"/>
      <w:r/>
      <w:bookmarkEnd w:id="737"/>
      <w:r/>
      <w:bookmarkEnd w:id="738"/>
      <w:r/>
      <w:bookmarkEnd w:id="739"/>
      <w:r/>
      <w:bookmarkStart w:id="741" w:name="_Hlt164229061"/>
      <w:r/>
      <w:bookmarkEnd w:id="741"/>
      <w:r>
        <w:rPr>
          <w:b/>
          <w:sz w:val="36"/>
          <w:szCs w:val="36"/>
          <w:highlight w:val="none"/>
        </w:rPr>
        <w:t xml:space="preserve">评标程序、评标方法和评标标准</w:t>
      </w:r>
      <w:bookmarkEnd w:id="740"/>
      <w:r>
        <w:rPr>
          <w:b/>
          <w:sz w:val="36"/>
          <w:szCs w:val="36"/>
          <w:highlight w:val="none"/>
        </w:rPr>
      </w:r>
      <w:r/>
    </w:p>
    <w:p>
      <w:pPr>
        <w:pStyle w:val="1030"/>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030"/>
        <w:numPr>
          <w:ilvl w:val="0"/>
          <w:numId w:val="12"/>
        </w:numPr>
        <w:spacing w:line="360" w:lineRule="auto"/>
        <w:tabs>
          <w:tab w:val="left" w:pos="360" w:leader="none"/>
          <w:tab w:val="left" w:pos="900" w:leader="none"/>
        </w:tabs>
        <w:rPr>
          <w:szCs w:val="21"/>
          <w:highlight w:val="none"/>
        </w:rPr>
        <w:outlineLvl w:val="1"/>
      </w:pPr>
      <w:r/>
      <w:bookmarkStart w:id="742" w:name="_Toc305158883"/>
      <w:r/>
      <w:bookmarkStart w:id="743" w:name="_Toc151193639"/>
      <w:r/>
      <w:bookmarkStart w:id="744" w:name="_Toc151193855"/>
      <w:r/>
      <w:bookmarkStart w:id="745" w:name="_Toc151190168"/>
      <w:r/>
      <w:bookmarkStart w:id="746" w:name="_Toc127151541"/>
      <w:r/>
      <w:bookmarkStart w:id="747" w:name="_Toc164351635"/>
      <w:r/>
      <w:bookmarkStart w:id="748" w:name="_Toc164608655"/>
      <w:r/>
      <w:bookmarkStart w:id="749" w:name="_Toc226309785"/>
      <w:r/>
      <w:bookmarkStart w:id="750" w:name="_Toc164229236"/>
      <w:r/>
      <w:bookmarkStart w:id="751" w:name="_Toc150480779"/>
      <w:r/>
      <w:bookmarkStart w:id="752" w:name="_Toc226337237"/>
      <w:r/>
      <w:bookmarkStart w:id="753" w:name="_Toc195842906"/>
      <w:r/>
      <w:bookmarkStart w:id="754" w:name="_Toc142311043"/>
      <w:r/>
      <w:bookmarkStart w:id="755" w:name="_Toc127161455"/>
      <w:r/>
      <w:bookmarkStart w:id="756" w:name="_Toc127151742"/>
      <w:r/>
      <w:bookmarkStart w:id="757" w:name="_Toc164229382"/>
      <w:r/>
      <w:bookmarkStart w:id="758" w:name="_Toc151193783"/>
      <w:r/>
      <w:bookmarkStart w:id="759" w:name="_Toc305158809"/>
      <w:r/>
      <w:bookmarkStart w:id="760" w:name="_Toc150774641"/>
      <w:r/>
      <w:bookmarkStart w:id="761" w:name="_Toc226965731"/>
      <w:r/>
      <w:bookmarkStart w:id="762" w:name="_Toc264969231"/>
      <w:r/>
      <w:bookmarkStart w:id="763" w:name="_Toc151193711"/>
      <w:r/>
      <w:bookmarkStart w:id="764" w:name="_Toc150509292"/>
      <w:r/>
      <w:bookmarkStart w:id="765" w:name="_Toc164608810"/>
      <w:r/>
      <w:bookmarkStart w:id="766" w:name="_Toc151193929"/>
      <w:r/>
      <w:bookmarkStart w:id="767" w:name="_Toc149720834"/>
      <w:r/>
      <w:bookmarkStart w:id="768" w:name="_Toc150774746"/>
      <w:r/>
      <w:bookmarkStart w:id="769" w:name="_Toc226965814"/>
      <w:r/>
      <w:bookmarkStart w:id="770" w:name="_Toc265228379"/>
      <w:r/>
      <w:bookmarkStart w:id="771" w:name="_Toc353873941"/>
      <w:r/>
      <w:bookmarkStart w:id="772" w:name="_Toc353825551"/>
      <w:r/>
      <w:bookmarkStart w:id="773" w:name="_Toc150774760"/>
      <w:r/>
      <w:bookmarkStart w:id="774" w:name="_Toc353873665"/>
      <w:r/>
      <w:bookmarkStart w:id="775" w:name="_Toc305158897"/>
      <w:r/>
      <w:bookmarkStart w:id="776" w:name="_Toc195842920"/>
      <w:r/>
      <w:bookmarkStart w:id="777" w:name="_Toc353873935"/>
      <w:r/>
      <w:bookmarkStart w:id="778" w:name="_Toc305158823"/>
      <w:r/>
      <w:bookmarkStart w:id="779" w:name="_Toc142311057"/>
      <w:r/>
      <w:bookmarkStart w:id="780" w:name="_Toc226965828"/>
      <w:r/>
      <w:bookmarkStart w:id="781" w:name="_Toc127151555"/>
      <w:r/>
      <w:bookmarkStart w:id="782" w:name="_Toc226337251"/>
      <w:r/>
      <w:bookmarkStart w:id="783" w:name="_Toc265228393"/>
      <w:r/>
      <w:bookmarkStart w:id="784" w:name="_Toc353825545"/>
      <w:r/>
      <w:bookmarkStart w:id="785" w:name="_Toc150480793"/>
      <w:r/>
      <w:bookmarkStart w:id="786" w:name="_Toc264969245"/>
      <w:r>
        <w:rPr>
          <w:szCs w:val="21"/>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评标委员会对资格审查合格的投标人的投标文件进行符合性审查，以确定其是否满足招标文件的实质性要求。</w:t>
      </w:r>
      <w:bookmarkStart w:id="787" w:name="_Toc520356167"/>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评标委员会根据《符合性审查</w:t>
      </w:r>
      <w:r>
        <w:rPr>
          <w:rFonts w:hint="eastAsia"/>
          <w:szCs w:val="21"/>
          <w:highlight w:val="none"/>
        </w:rPr>
        <w:t xml:space="preserve">要求</w:t>
      </w:r>
      <w:r>
        <w:rPr>
          <w:szCs w:val="21"/>
          <w:highlight w:val="none"/>
        </w:rPr>
        <w:t xml:space="preserve">》中规定的审查因素和审查内容，对投标人的投标文件是否实质上响应招标文件进行符合性审查，并形成符合性审查评审结果。</w:t>
      </w:r>
      <w:r>
        <w:rPr>
          <w:rFonts w:hint="eastAsia"/>
          <w:szCs w:val="21"/>
          <w:highlight w:val="none"/>
        </w:rPr>
        <w:t xml:space="preserve">投标人《商务技术文件》有任何一项不符合</w:t>
      </w:r>
      <w:r>
        <w:rPr>
          <w:szCs w:val="21"/>
          <w:highlight w:val="none"/>
        </w:rPr>
        <w:t xml:space="preserve">《符合性审查</w:t>
      </w:r>
      <w:r>
        <w:rPr>
          <w:rFonts w:hint="eastAsia"/>
          <w:szCs w:val="21"/>
          <w:highlight w:val="none"/>
        </w:rPr>
        <w:t xml:space="preserve">要求</w:t>
      </w:r>
      <w:r>
        <w:rPr>
          <w:szCs w:val="21"/>
          <w:highlight w:val="none"/>
        </w:rPr>
        <w:t xml:space="preserve">》</w:t>
      </w:r>
      <w:bookmarkEnd w:id="787"/>
      <w:r>
        <w:rPr>
          <w:rFonts w:hint="eastAsia"/>
          <w:szCs w:val="21"/>
          <w:highlight w:val="none"/>
        </w:rPr>
        <w:t xml:space="preserve">要求的，</w:t>
      </w:r>
      <w:r>
        <w:rPr>
          <w:rFonts w:hint="eastAsia"/>
          <w:b/>
          <w:szCs w:val="21"/>
          <w:highlight w:val="none"/>
        </w:rPr>
        <w:t xml:space="preserve">投标无效</w:t>
      </w:r>
      <w:r>
        <w:rPr>
          <w:rFonts w:hint="eastAsia"/>
          <w:szCs w:val="21"/>
          <w:highlight w:val="none"/>
        </w:rPr>
        <w:t xml:space="preserve">。</w:t>
      </w:r>
      <w:r>
        <w:rPr>
          <w:szCs w:val="21"/>
          <w:highlight w:val="none"/>
        </w:rPr>
      </w:r>
      <w:r/>
    </w:p>
    <w:p>
      <w:pPr>
        <w:pStyle w:val="1030"/>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76"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3620"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分包承担主体资质（如有）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分包承担主体具备《投标人须知资料表》载明的资质条件且提供了资质证书电子件（如有）；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分包意向协议</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按招标文件规定签订并提供分包意向协议原件的电子件的；</w:t>
            </w:r>
            <w:r>
              <w:rPr>
                <w:rFonts w:hint="eastAsia" w:ascii="宋体" w:hAnsi="宋体" w:cs="宋体"/>
                <w:szCs w:val="21"/>
                <w:highlight w:val="none"/>
              </w:rPr>
              <w:t xml:space="preserve">（如有）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报价合理，或</w:t>
            </w:r>
            <w:r>
              <w:rPr>
                <w:rFonts w:hint="eastAsia" w:ascii="宋体" w:hAnsi="宋体" w:cs="宋体"/>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招标文件不接受进口产品投标的内容时，投标人所投产品非进口产品的；（如有）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w:t>
            </w:r>
            <w:r>
              <w:rPr>
                <w:rFonts w:hint="eastAsia" w:ascii="宋体" w:hAnsi="宋体" w:cs="宋体"/>
                <w:szCs w:val="21"/>
                <w:highlight w:val="none"/>
              </w:rPr>
              <w:t xml:space="preserve">（包含使用同一MAC地址的计算机制作电子响应文件的情形）</w:t>
            </w:r>
            <w:r>
              <w:rPr>
                <w:rFonts w:hint="eastAsia" w:ascii="宋体" w:hAnsi="宋体" w:cs="宋体"/>
                <w:color w:val="000000"/>
                <w:szCs w:val="21"/>
                <w:highlight w:val="none"/>
              </w:rPr>
              <w:t xml:space="preserve">；（二）不同投标人委托同一单位或者个人办理投标事宜</w:t>
            </w:r>
            <w:r>
              <w:rPr>
                <w:rFonts w:hint="eastAsia" w:ascii="宋体" w:hAnsi="宋体" w:cs="宋体"/>
                <w:szCs w:val="21"/>
                <w:highlight w:val="none"/>
              </w:rPr>
              <w:t xml:space="preserve">（包含使用同一MAC地址的计算机提交或者解密电子响应文件的情形）</w:t>
            </w:r>
            <w:r>
              <w:rPr>
                <w:rFonts w:hint="eastAsia" w:ascii="宋体" w:hAnsi="宋体" w:cs="宋体"/>
                <w:color w:val="000000"/>
                <w:szCs w:val="21"/>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附加条件</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rPr>
                <w:rFonts w:hint="eastAsia" w:ascii="宋体" w:hAnsi="宋体" w:cs="宋体"/>
                <w:color w:val="000000"/>
                <w:szCs w:val="21"/>
                <w:highlight w:val="none"/>
              </w:rPr>
            </w:r>
            <w:r/>
          </w:p>
        </w:tc>
      </w:tr>
    </w:tbl>
    <w:p>
      <w:pPr>
        <w:pStyle w:val="1030"/>
        <w:numPr>
          <w:ilvl w:val="0"/>
          <w:numId w:val="13"/>
        </w:numPr>
        <w:spacing w:line="360" w:lineRule="auto"/>
        <w:tabs>
          <w:tab w:val="left" w:pos="900" w:leader="none"/>
          <w:tab w:val="left" w:pos="1080" w:leader="none"/>
          <w:tab w:val="left" w:pos="1589" w:leader="none"/>
        </w:tabs>
        <w:rPr>
          <w:sz w:val="24"/>
          <w:highlight w:val="none"/>
        </w:rPr>
        <w:sectPr>
          <w:headerReference w:type="even" r:id="rId12"/>
          <w:headerReference w:type="first" r:id="rId13"/>
          <w:footerReference w:type="even" r:id="rId24"/>
          <w:footerReference w:type="first" r:id="rId25"/>
          <w:footnotePr/>
          <w:endnotePr/>
          <w:type w:val="nextPage"/>
          <w:pgSz w:w="11907" w:h="16838" w:orient="portrait"/>
          <w:pgMar w:top="1417" w:right="1134" w:bottom="1417" w:left="1701" w:header="850" w:footer="850" w:gutter="0"/>
          <w:cols w:num="1" w:sep="0" w:space="1701" w:equalWidth="1"/>
          <w:docGrid w:linePitch="360"/>
        </w:sectPr>
      </w:pPr>
      <w:r>
        <w:rPr>
          <w:sz w:val="24"/>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bookmarkEnd w:id="771"/>
      <w:r/>
      <w:bookmarkEnd w:id="772"/>
      <w:r>
        <w:rPr>
          <w:rFonts w:hint="eastAsia" w:ascii="宋体" w:hAnsi="宋体" w:cs="宋体"/>
          <w:szCs w:val="21"/>
          <w:highlight w:val="none"/>
        </w:rPr>
        <w:t xml:space="preserve">投标文件有关事项的澄清或者说明</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highlight w:val="none"/>
        </w:rPr>
        <w:t xml:space="preserve">无效投标处理</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投标文件报价出现前后不一致的，按照下列规定修正：</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招标文件对于报价修正是否另有规定：</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u w:val="single"/>
        </w:rPr>
      </w:pPr>
      <w:r>
        <w:rPr>
          <w:rFonts w:hint="eastAsia" w:ascii="宋体" w:hAnsi="宋体" w:cs="宋体"/>
          <w:szCs w:val="21"/>
          <w:highlight w:val="none"/>
        </w:rPr>
        <w:t xml:space="preserve">□有，具体规定为：______________</w:t>
      </w:r>
      <w:r>
        <w:rPr>
          <w:rFonts w:hint="eastAsia" w:ascii="宋体" w:hAnsi="宋体" w:cs="宋体"/>
          <w:szCs w:val="21"/>
          <w:highlight w:val="none"/>
          <w:u w:val="singl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无，按下述2.4.2-2.4.7项规定修正。</w:t>
      </w:r>
      <w:r>
        <w:rPr>
          <w:rFonts w:hint="eastAsia" w:ascii="宋体" w:hAnsi="宋体" w:cs="宋体"/>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投标文件中开标一览表（报价表）内容与投标文件中相应内容不一致的，以开标一览表（报价表）为准；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大写金额和小写金额不一致的，以大写金额为准；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单价金额小数点或者百分比有明显错位的，以开标一览表的总价为准，并修改单价；</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总价金额与按单价汇总金额不一致的，以单价金额计算结果为准。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同时出现两种以上不一致的，按照前款规定的顺序修正。修正后的报价经投标人书面确认后产生约束力，投标人不确认的，其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对于未预留份额专门面向中小企业采购的采购项目，以及预留份额项目中的非预留部分采购包，对</w:t>
      </w:r>
      <w:r>
        <w:rPr>
          <w:rFonts w:hint="eastAsia" w:ascii="宋体" w:hAnsi="宋体" w:cs="宋体"/>
          <w:b/>
          <w:szCs w:val="21"/>
          <w:highlight w:val="none"/>
        </w:rPr>
        <w:t xml:space="preserve">小微企业</w:t>
      </w:r>
      <w:r>
        <w:rPr>
          <w:rFonts w:hint="eastAsia" w:ascii="宋体" w:hAnsi="宋体" w:cs="宋体"/>
          <w:szCs w:val="21"/>
          <w:highlight w:val="none"/>
        </w:rPr>
        <w:t xml:space="preserve">报价给予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对于未预留份额专门面向中小企业采购的采购项目，以及预留份额项目中的非预留部分采购包，且接受大中型企业与</w:t>
      </w:r>
      <w:r>
        <w:rPr>
          <w:rFonts w:hint="eastAsia" w:ascii="宋体" w:hAnsi="宋体" w:cs="宋体"/>
          <w:b/>
          <w:szCs w:val="21"/>
          <w:highlight w:val="none"/>
        </w:rPr>
        <w:t xml:space="preserve">小微企业</w:t>
      </w:r>
      <w:r>
        <w:rPr>
          <w:rFonts w:hint="eastAsia" w:ascii="宋体" w:hAnsi="宋体" w:cs="宋体"/>
          <w:szCs w:val="21"/>
          <w:highlight w:val="none"/>
        </w:rPr>
        <w:t xml:space="preserve">组成联合体或者允许大中型企业向一家或者多家</w:t>
      </w:r>
      <w:r>
        <w:rPr>
          <w:rFonts w:hint="eastAsia" w:ascii="宋体" w:hAnsi="宋体" w:cs="宋体"/>
          <w:b/>
          <w:szCs w:val="21"/>
          <w:highlight w:val="none"/>
        </w:rPr>
        <w:t xml:space="preserve">小微企业</w:t>
      </w:r>
      <w:r>
        <w:rPr>
          <w:rFonts w:hint="eastAsia" w:ascii="宋体" w:hAnsi="宋体" w:cs="宋体"/>
          <w:szCs w:val="21"/>
          <w:highlight w:val="none"/>
        </w:rPr>
        <w:t xml:space="preserve">分包的采购项目，对于联合协议或者分包意向协议约定</w:t>
      </w:r>
      <w:r>
        <w:rPr>
          <w:rFonts w:hint="eastAsia" w:ascii="宋体" w:hAnsi="宋体" w:cs="宋体"/>
          <w:b/>
          <w:szCs w:val="21"/>
          <w:highlight w:val="none"/>
        </w:rPr>
        <w:t xml:space="preserve">小微企业</w:t>
      </w:r>
      <w:r>
        <w:rPr>
          <w:rFonts w:hint="eastAsia" w:ascii="宋体" w:hAnsi="宋体" w:cs="宋体"/>
          <w:szCs w:val="21"/>
          <w:highlight w:val="none"/>
        </w:rPr>
        <w:t xml:space="preserve">的合同份额占到合同总金额 30%以上的联合体或者大中型企业的报价给予</w:t>
      </w:r>
      <w:r>
        <w:rPr>
          <w:rFonts w:hint="eastAsia" w:ascii="宋体" w:hAnsi="宋体" w:cs="宋体"/>
          <w:szCs w:val="21"/>
          <w:highlight w:val="none"/>
          <w:u w:val="single"/>
        </w:rPr>
        <w:t xml:space="preserve">3</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价格扣除比例对小型企业和微型企业同等对待，不作区分。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color w:val="000000"/>
          <w:szCs w:val="21"/>
          <w:highlight w:val="none"/>
        </w:rPr>
        <w:t xml:space="preserve">中小企业参加政府采购活动，应当按照招标文件给定的格式出具《中小企业声明函》，否则不得享受相关中小企业扶持政策。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残疾人福利性单位按招标文件要求提供了《残疾人福利性单位声明函》（见附件）的，视同小微企业。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若投标人同时属于小型或微型企业、监狱企业、残疾人福利性单位中的两种及以上，将不重复享受小微企业价格扣减的优惠政策。</w:t>
      </w:r>
      <w:r>
        <w:rPr>
          <w:rFonts w:hint="eastAsia" w:ascii="宋体" w:hAnsi="宋体" w:cs="宋体"/>
          <w:szCs w:val="21"/>
          <w:highlight w:val="none"/>
        </w:rPr>
      </w:r>
      <w:r/>
    </w:p>
    <w:p>
      <w:pPr>
        <w:pStyle w:val="1030"/>
        <w:numPr>
          <w:ilvl w:val="1"/>
          <w:numId w:val="12"/>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落实政府采购政策（采购本国产品的支持政策）的价格调整： </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sz w:val="21"/>
          <w:szCs w:val="21"/>
        </w:rPr>
        <w:t xml:space="preserve">七</w:t>
      </w:r>
      <w:r>
        <w:rPr>
          <w:rFonts w:hint="eastAsia" w:ascii="宋体" w:hAnsi="宋体" w:eastAsia="宋体" w:cs="宋体"/>
          <w:sz w:val="21"/>
          <w:szCs w:val="21"/>
        </w:rPr>
        <w:t xml:space="preserve">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w:t>
      </w:r>
      <w:r>
        <w:rPr>
          <w:rFonts w:hint="eastAsia" w:ascii="宋体" w:hAnsi="宋体" w:eastAsia="宋体" w:cs="宋体"/>
          <w:sz w:val="21"/>
          <w:szCs w:val="21"/>
        </w:rPr>
        <w:t xml:space="preserve">惠。</w:t>
      </w:r>
      <w:r>
        <w:rPr>
          <w:rFonts w:hint="eastAsia" w:ascii="宋体" w:hAnsi="宋体" w:eastAsia="宋体" w:cs="宋体"/>
          <w:sz w:val="21"/>
          <w:szCs w:val="21"/>
        </w:rPr>
      </w:r>
      <w:r/>
    </w:p>
    <w:p>
      <w:pPr>
        <w:pStyle w:val="1030"/>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rPr>
      </w:r>
      <w:r/>
    </w:p>
    <w:p>
      <w:pPr>
        <w:pStyle w:val="1030"/>
        <w:numPr>
          <w:ilvl w:val="1"/>
          <w:numId w:val="12"/>
        </w:numPr>
        <w:ind w:left="1077" w:hanging="720"/>
        <w:keepLines w:val="0"/>
        <w:keepNext w:val="0"/>
        <w:pageBreakBefore w:val="0"/>
        <w:spacing w:line="440" w:lineRule="exact"/>
        <w:widowControl w:val="off"/>
        <w:tabs>
          <w:tab w:val="left" w:pos="1080" w:leader="none"/>
          <w:tab w:val="left" w:pos="1589"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评审过程中出现下列情形之一的，</w:t>
      </w:r>
      <w:r>
        <w:rPr>
          <w:rFonts w:hint="eastAsia" w:ascii="宋体" w:hAnsi="宋体" w:eastAsia="宋体" w:cs="宋体"/>
          <w:color w:val="0000ff"/>
          <w:szCs w:val="21"/>
          <w:lang w:eastAsia="zh-CN"/>
        </w:rPr>
        <w:t xml:space="preserve">评标委员会</w:t>
      </w:r>
      <w:r>
        <w:rPr>
          <w:rFonts w:hint="eastAsia" w:ascii="宋体" w:hAnsi="宋体" w:eastAsia="宋体" w:cs="宋体"/>
          <w:color w:val="0000ff"/>
          <w:szCs w:val="21"/>
          <w:lang w:val="en-US" w:eastAsia="zh-CN"/>
        </w:rPr>
        <w:t xml:space="preserve">应当启动异常低价响应审查程序：</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（1）(1-投标优惠率报价)低于全部通过符合性审查投标人(1-投标优惠率报价)平均值50%的，即</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&lt;全部通过符合性审查投标人</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平均值×50%；</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（2）</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低于通过符合性审查的次低报价投标人</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50%的，即</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&lt;通过符合性审查的次低报价投标人</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×50%；</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（3）</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低于45%的，即</w:t>
      </w:r>
      <w:r>
        <w:rPr>
          <w:rFonts w:hint="eastAsia" w:ascii="宋体" w:hAnsi="宋体" w:eastAsia="宋体" w:cs="宋体"/>
          <w:color w:val="0000ff"/>
          <w:szCs w:val="21"/>
          <w:lang w:val="en-US" w:eastAsia="zh-CN"/>
        </w:rPr>
        <w:t xml:space="preserve">(1-投标优惠率报价)</w:t>
      </w:r>
      <w:r>
        <w:rPr>
          <w:rFonts w:hint="eastAsia" w:ascii="宋体" w:hAnsi="宋体" w:eastAsia="宋体" w:cs="宋体"/>
          <w:color w:val="0000ff"/>
          <w:szCs w:val="21"/>
          <w:lang w:val="en-US" w:eastAsia="zh-CN"/>
        </w:rPr>
        <w:t xml:space="preserve">&lt;45%；</w:t>
      </w:r>
      <w:r>
        <w:rPr>
          <w:rFonts w:hint="eastAsia" w:ascii="宋体" w:hAnsi="宋体" w:eastAsia="宋体" w:cs="宋体"/>
          <w:color w:val="0000ff"/>
          <w:szCs w:val="21"/>
          <w:lang w:val="en-US" w:eastAsia="zh-CN"/>
        </w:rPr>
      </w:r>
      <w:r/>
    </w:p>
    <w:p>
      <w:pPr>
        <w:pStyle w:val="1030"/>
        <w:numPr>
          <w:ilvl w:val="0"/>
          <w:numId w:val="0"/>
        </w:numPr>
        <w:ind w:left="1195" w:hanging="210"/>
        <w:keepLines w:val="0"/>
        <w:keepNext w:val="0"/>
        <w:pageBreakBefore w:val="0"/>
        <w:spacing w:line="440" w:lineRule="exact"/>
        <w:widowControl w:val="off"/>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（4）评标委员会基于专业判断，认为投标人报价过低，有可能影响产品质量或者不能诚信履约的其他情形。</w:t>
      </w:r>
      <w:r>
        <w:rPr>
          <w:rFonts w:hint="eastAsia" w:ascii="宋体" w:hAnsi="宋体" w:eastAsia="宋体" w:cs="宋体"/>
          <w:color w:val="0000ff"/>
          <w:szCs w:val="21"/>
          <w:lang w:val="en-US" w:eastAsia="zh-CN"/>
        </w:rPr>
      </w:r>
      <w:r/>
    </w:p>
    <w:p>
      <w:pPr>
        <w:pStyle w:val="1030"/>
        <w:numPr>
          <w:ilvl w:val="1"/>
          <w:numId w:val="12"/>
        </w:numPr>
        <w:ind w:left="1077" w:hanging="720"/>
        <w:keepLines w:val="0"/>
        <w:keepNext w:val="0"/>
        <w:pageBreakBefore w:val="0"/>
        <w:spacing w:line="440" w:lineRule="exact"/>
        <w:widowControl w:val="off"/>
        <w:tabs>
          <w:tab w:val="left" w:pos="1080" w:leader="none"/>
          <w:tab w:val="left" w:pos="1589" w:leader="none"/>
        </w:tabs>
        <w:rPr>
          <w:rFonts w:hint="eastAsia" w:ascii="宋体" w:hAnsi="宋体" w:eastAsia="宋体" w:cs="宋体"/>
          <w:szCs w:val="21"/>
          <w:highlight w:val="none"/>
        </w:rPr>
      </w:pPr>
      <w:r>
        <w:rPr>
          <w:rFonts w:hint="eastAsia" w:ascii="宋体" w:hAnsi="宋体" w:eastAsia="宋体" w:cs="宋体"/>
          <w:color w:val="0000ff"/>
          <w:szCs w:val="21"/>
          <w:lang w:val="en-US" w:eastAsia="zh-CN"/>
        </w:rPr>
        <w:t xml:space="preserve">启动异常低价响应审查后，评标委员会应当要求相关投标人在评标现场合理的时间（30分钟）内，提供项目具体成本测算等与报价合理性相关的书面说明及相关证明材</w:t>
      </w:r>
      <w:r>
        <w:rPr>
          <w:rFonts w:hint="eastAsia" w:ascii="宋体" w:hAnsi="宋体" w:eastAsia="宋体" w:cs="宋体"/>
          <w:color w:val="0000ff"/>
          <w:szCs w:val="21"/>
          <w:lang w:val="en-US" w:eastAsia="zh-CN"/>
        </w:rPr>
        <w:t xml:space="preserve">料（包括但不限于原材料成本、人工成本、制造费用等），对投标价格作出解释，由评标委员会依据专业经验，参考同类项目中标（成交）价格、类似产品市场价格水平、行业人工费用标准、国家有关部门指导行业协会发布的行业平均成本等情况，对投标人报价合理性进行判断。其中，属于第（3）项情形，投标人已随投标文件一并提交相关书面说明及必要的证明材料的，在评审时可不再重复提交。投标人不提供书面说明、证明材料，或者提供的书面说明、证明材料不能证明其报价合理性的，评标委员会应当将其作为无效响应处理。审查相关情况应当在评审报告中进行记录。</w:t>
      </w:r>
      <w:r>
        <w:rPr>
          <w:rFonts w:hint="eastAsia" w:ascii="宋体" w:hAnsi="宋体" w:eastAsia="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投标文件的比较和评价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评标方法和评标标准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本项目采用的评标方法为：</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u w:val="single"/>
        </w:rPr>
      </w:pPr>
      <w:r>
        <w:rPr>
          <w:rFonts w:hint="eastAsia" w:ascii="宋体" w:hAnsi="宋体" w:cs="宋体"/>
          <w:szCs w:val="21"/>
          <w:highlight w:val="none"/>
        </w:rPr>
        <w:t xml:space="preserve">□其他方式，具体要求：_____</w:t>
      </w:r>
      <w:r>
        <w:rPr>
          <w:rFonts w:hint="eastAsia" w:ascii="宋体" w:hAnsi="宋体" w:cs="宋体"/>
          <w:szCs w:val="21"/>
          <w:highlight w:val="none"/>
          <w:u w:val="singl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非政府强制采购的节能产品或环境标志产品，依据品目清单和认证证书实施政府优先采购。优先采购的具体规定（如涉及）/。</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关于无线局域网认证产品政府采购清单中的产品，优先采购的具体规定（如涉及）/。</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w:t>
      </w:r>
      <w:bookmarkStart w:id="788" w:name="_Toc265228384"/>
      <w:r/>
      <w:bookmarkStart w:id="789" w:name="_Toc127151546"/>
      <w:r/>
      <w:bookmarkStart w:id="790" w:name="_Toc195842911"/>
      <w:r/>
      <w:bookmarkStart w:id="791" w:name="_Toc264969236"/>
      <w:r/>
      <w:bookmarkStart w:id="792" w:name="_Toc305158888"/>
      <w:r/>
      <w:bookmarkStart w:id="793" w:name="_Toc226965819"/>
      <w:r/>
      <w:bookmarkStart w:id="794" w:name="_Toc164608660"/>
      <w:r/>
      <w:bookmarkStart w:id="795" w:name="_Toc151190173"/>
      <w:r/>
      <w:bookmarkStart w:id="796" w:name="_Toc164608815"/>
      <w:r/>
      <w:bookmarkStart w:id="797" w:name="_Toc127151747"/>
      <w:r/>
      <w:bookmarkStart w:id="798" w:name="_Toc151193788"/>
      <w:r/>
      <w:bookmarkStart w:id="799" w:name="_Toc150774751"/>
      <w:r/>
      <w:bookmarkStart w:id="800" w:name="_Toc142311048"/>
      <w:r/>
      <w:bookmarkStart w:id="801" w:name="_Toc226337242"/>
      <w:r/>
      <w:bookmarkStart w:id="802" w:name="_Toc164351640"/>
      <w:r/>
      <w:bookmarkStart w:id="803" w:name="_Toc150480784"/>
      <w:r/>
      <w:bookmarkStart w:id="804" w:name="_Toc151193716"/>
      <w:r/>
      <w:bookmarkStart w:id="805" w:name="_Toc164229241"/>
      <w:r/>
      <w:bookmarkStart w:id="806" w:name="_Toc127161460"/>
      <w:r/>
      <w:bookmarkStart w:id="807" w:name="_Toc150774646"/>
      <w:r/>
      <w:bookmarkStart w:id="808" w:name="_Ref467307010"/>
      <w:r/>
      <w:bookmarkStart w:id="809" w:name="_Toc305158814"/>
      <w:r/>
      <w:bookmarkStart w:id="810" w:name="_Toc150509297"/>
      <w:r/>
      <w:bookmarkStart w:id="811" w:name="_Toc226309790"/>
      <w:r/>
      <w:bookmarkStart w:id="812" w:name="_Toc226965736"/>
      <w:r/>
      <w:bookmarkStart w:id="813" w:name="_Toc151193934"/>
      <w:r/>
      <w:bookmarkStart w:id="814" w:name="_Toc151193644"/>
      <w:r/>
      <w:bookmarkStart w:id="815" w:name="_Toc164229387"/>
      <w:r/>
      <w:bookmarkStart w:id="816" w:name="_Toc520356170"/>
      <w:r/>
      <w:bookmarkStart w:id="817" w:name="_Toc149720839"/>
      <w:r/>
      <w:bookmarkStart w:id="818" w:name="_Toc151193860"/>
      <w:r>
        <w:rPr>
          <w:rFonts w:hint="eastAsia" w:ascii="宋体" w:hAnsi="宋体" w:cs="宋体"/>
          <w:szCs w:val="21"/>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szCs w:val="21"/>
          <w:highlight w:val="none"/>
        </w:rPr>
        <w:t xml:space="preserve">■</w:t>
      </w:r>
      <w:r>
        <w:rPr>
          <w:rFonts w:hAnsi="宋体" w:cs="宋体"/>
          <w:szCs w:val="21"/>
          <w:highlight w:val="none"/>
        </w:rPr>
        <w:t xml:space="preserve">随机抽取</w:t>
      </w:r>
      <w:r>
        <w:rPr>
          <w:rFonts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cs="宋体"/>
          <w:szCs w:val="21"/>
          <w:highlight w:val="none"/>
        </w:rPr>
        <w:t xml:space="preserve">□其他方式，具体要求：_____</w:t>
      </w:r>
      <w:r>
        <w:rPr>
          <w:rFonts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若有多个投标人得分最高且报价相同，则由采购人随机抽取确定中标人。评分分值计算保留小数点后两位，第三位四舍五入。</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评标委员会要对评分汇总情况进行复核，特别是对排名第一的、报价最低的、投标或响应文件被认定为无效的情形进行重点复核。</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rPr>
          <w:b/>
          <w:sz w:val="24"/>
          <w:highlight w:val="none"/>
        </w:rPr>
      </w:r>
      <w:r/>
    </w:p>
    <w:tbl>
      <w:tblPr>
        <w:tblpPr w:horzAnchor="page" w:tblpXSpec="center" w:vertAnchor="text" w:tblpY="394" w:leftFromText="180" w:topFromText="0" w:rightFromText="180" w:bottomFromText="0"/>
        <w:tblW w:w="99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26"/>
        <w:gridCol w:w="700"/>
        <w:gridCol w:w="4523"/>
        <w:gridCol w:w="702"/>
        <w:gridCol w:w="702"/>
        <w:gridCol w:w="702"/>
        <w:gridCol w:w="702"/>
      </w:tblGrid>
      <w:tr>
        <w:trPr/>
        <w:tc>
          <w:tcPr>
            <w:tcW w:w="835"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序号</w:t>
            </w:r>
            <w:r>
              <w:rPr>
                <w:rFonts w:hint="eastAsia"/>
                <w:b/>
                <w:bCs/>
                <w:szCs w:val="21"/>
                <w:highlight w:val="none"/>
                <w:lang w:bidi="ar"/>
              </w:rPr>
            </w:r>
            <w:r/>
          </w:p>
        </w:tc>
        <w:tc>
          <w:tcPr>
            <w:tcW w:w="1126"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评分因素</w:t>
            </w:r>
            <w:r>
              <w:rPr>
                <w:rFonts w:hint="eastAsia"/>
                <w:b/>
                <w:bCs/>
                <w:szCs w:val="21"/>
                <w:highlight w:val="none"/>
                <w:lang w:bidi="ar"/>
              </w:rPr>
            </w:r>
            <w:r/>
          </w:p>
        </w:tc>
        <w:tc>
          <w:tcPr>
            <w:tcW w:w="700"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分值</w:t>
            </w:r>
            <w:r>
              <w:rPr>
                <w:rFonts w:hint="eastAsia"/>
                <w:b/>
                <w:bCs/>
                <w:szCs w:val="21"/>
                <w:highlight w:val="none"/>
                <w:lang w:bidi="ar"/>
              </w:rPr>
            </w:r>
            <w:r/>
          </w:p>
        </w:tc>
        <w:tc>
          <w:tcPr>
            <w:tcW w:w="4523"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ascii="宋体" w:hAnsi="宋体" w:cs="宋体"/>
                <w:b/>
                <w:bCs/>
                <w:szCs w:val="21"/>
              </w:rPr>
              <w:t xml:space="preserve">评分标准和评审材料</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最低分值</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最高分值</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是否暗标评审</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rPr>
              <w:t xml:space="preserve">是否客观分</w:t>
            </w:r>
            <w:r>
              <w:rPr>
                <w:rFonts w:hint="eastAsia"/>
                <w:b/>
                <w:bCs/>
                <w:szCs w:val="21"/>
                <w:highlight w:val="none"/>
                <w:lang w:bidi="ar"/>
              </w:rPr>
            </w:r>
            <w:r/>
          </w:p>
        </w:tc>
      </w:tr>
      <w:tr>
        <w:trPr>
          <w:trHeight w:val="90"/>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1</w:t>
            </w:r>
            <w:r>
              <w:rPr>
                <w:rFonts w:hint="eastAsia"/>
                <w:szCs w:val="21"/>
                <w:highlight w:val="none"/>
              </w:rPr>
            </w:r>
            <w:r/>
          </w:p>
        </w:tc>
        <w:tc>
          <w:tcPr>
            <w:tcW w:w="1126" w:type="dxa"/>
            <w:vAlign w:val="center"/>
            <w:textDirection w:val="lrTb"/>
            <w:noWrap w:val="false"/>
          </w:tcPr>
          <w:p>
            <w:pPr>
              <w:pStyle w:val="1030"/>
              <w:jc w:val="center"/>
              <w:widowControl/>
              <w:rPr>
                <w:rFonts w:hint="eastAsia"/>
                <w:szCs w:val="21"/>
                <w:highlight w:val="none"/>
                <w:lang w:bidi="ar"/>
              </w:rPr>
              <w:framePr w:vAnchor="text" w:hAnchor="page" w:xAlign="center" w:y="394"/>
            </w:pPr>
            <w:r>
              <w:rPr>
                <w:rFonts w:hint="eastAsia"/>
                <w:szCs w:val="21"/>
                <w:highlight w:val="none"/>
                <w:lang w:bidi="ar"/>
              </w:rPr>
              <w:t xml:space="preserve">价格分</w:t>
            </w:r>
            <w:r>
              <w:rPr>
                <w:rFonts w:hint="eastAsia"/>
                <w:szCs w:val="21"/>
                <w:highlight w:val="none"/>
                <w:lang w:bidi="ar"/>
              </w:rPr>
            </w:r>
            <w:r/>
          </w:p>
        </w:tc>
        <w:tc>
          <w:tcPr>
            <w:tcW w:w="700" w:type="dxa"/>
            <w:vAlign w:val="center"/>
            <w:textDirection w:val="lrTb"/>
            <w:noWrap w:val="false"/>
          </w:tcPr>
          <w:p>
            <w:pPr>
              <w:pStyle w:val="1030"/>
              <w:jc w:val="center"/>
              <w:widowControl/>
              <w:rPr>
                <w:rFonts w:hint="eastAsia" w:eastAsia="宋体"/>
                <w:szCs w:val="21"/>
                <w:highlight w:val="none"/>
                <w:lang w:eastAsia="zh-CN" w:bidi="ar"/>
              </w:rPr>
              <w:framePr w:vAnchor="text" w:hAnchor="page" w:xAlign="center" w:y="394"/>
            </w:pPr>
            <w:r>
              <w:rPr>
                <w:rFonts w:hint="eastAsia"/>
                <w:szCs w:val="21"/>
                <w:highlight w:val="none"/>
                <w:lang w:val="en-US" w:eastAsia="zh-CN" w:bidi="ar"/>
              </w:rPr>
              <w:t xml:space="preserve">20</w:t>
            </w:r>
            <w:r>
              <w:rPr>
                <w:rFonts w:hint="eastAsia" w:eastAsia="宋体"/>
                <w:szCs w:val="21"/>
                <w:highlight w:val="none"/>
                <w:lang w:eastAsia="zh-CN" w:bidi="ar"/>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满足招标文件要求且投标优惠率最高的投标优惠率为评标基准优惠率，其价格分为满分。其他投标人的价格分统一按照下列公式计算：</w:t>
            </w:r>
            <w:r>
              <w:rPr>
                <w:rFonts w:hint="eastAsia" w:ascii="宋体" w:hAnsi="宋体" w:eastAsia="宋体" w:cs="宋体"/>
                <w:color w:val="000000"/>
                <w:sz w:val="21"/>
                <w:szCs w:val="21"/>
                <w:lang w:val="en-US" w:eastAsia="zh-CN"/>
              </w:rPr>
            </w:r>
            <w:r/>
          </w:p>
          <w:p>
            <w:pPr>
              <w:pStyle w:val="1030"/>
              <w:spacing w:line="360" w:lineRule="exact"/>
              <w:widowControl/>
              <w:rPr>
                <w:rFonts w:hint="eastAsia"/>
                <w:szCs w:val="21"/>
                <w:highlight w:val="none"/>
                <w:lang w:bidi="ar"/>
              </w:rPr>
              <w:framePr w:vAnchor="text" w:hAnchor="page" w:xAlign="center" w:y="394"/>
            </w:pPr>
            <w:r>
              <w:rPr>
                <w:rFonts w:hint="eastAsia" w:ascii="宋体" w:hAnsi="宋体" w:eastAsia="宋体" w:cs="宋体"/>
                <w:color w:val="000000"/>
                <w:sz w:val="21"/>
                <w:szCs w:val="21"/>
                <w:lang w:val="en-US" w:eastAsia="zh-CN"/>
              </w:rPr>
              <w:t xml:space="preserve">投标报价得分＝（1-评标基准优惠率）/（1-投标优惠率）×20。</w:t>
            </w:r>
            <w:r>
              <w:rPr>
                <w:rFonts w:hint="eastAsia"/>
                <w:szCs w:val="21"/>
                <w:highlight w:val="none"/>
                <w:lang w:bidi="ar"/>
              </w:rPr>
            </w:r>
            <w:r/>
          </w:p>
        </w:tc>
        <w:tc>
          <w:tcPr>
            <w:tcW w:w="702" w:type="dxa"/>
            <w:vAlign w:val="center"/>
            <w:textDirection w:val="lrTb"/>
            <w:noWrap w:val="false"/>
          </w:tcPr>
          <w:p>
            <w:pPr>
              <w:pStyle w:val="1030"/>
              <w:jc w:val="center"/>
              <w:rPr>
                <w:rFonts w:hint="eastAsia" w:eastAsia="宋体"/>
                <w:szCs w:val="21"/>
                <w:highlight w:val="none"/>
                <w:lang w:val="en-US" w:eastAsia="zh-CN" w:bidi="ar"/>
              </w:rPr>
              <w:framePr w:vAnchor="text" w:hAnchor="page" w:xAlign="center" w:y="394"/>
            </w:pPr>
            <w:r>
              <w:rPr>
                <w:rFonts w:hint="eastAsia"/>
                <w:szCs w:val="21"/>
                <w:highlight w:val="none"/>
                <w:lang w:val="en-US" w:eastAsia="zh-CN" w:bidi="ar"/>
              </w:rPr>
              <w:t xml:space="preserve">0</w:t>
            </w:r>
            <w:r>
              <w:rPr>
                <w:rFonts w:hint="eastAsia" w:eastAsia="宋体"/>
                <w:szCs w:val="21"/>
                <w:highlight w:val="none"/>
                <w:lang w:val="en-US" w:eastAsia="zh-CN" w:bidi="ar"/>
              </w:rPr>
            </w:r>
            <w:r/>
          </w:p>
        </w:tc>
        <w:tc>
          <w:tcPr>
            <w:tcW w:w="702" w:type="dxa"/>
            <w:vAlign w:val="center"/>
            <w:textDirection w:val="lrTb"/>
            <w:noWrap w:val="false"/>
          </w:tcPr>
          <w:p>
            <w:pPr>
              <w:pStyle w:val="1030"/>
              <w:jc w:val="center"/>
              <w:rPr>
                <w:rFonts w:eastAsia="宋体"/>
                <w:szCs w:val="21"/>
                <w:highlight w:val="none"/>
                <w:lang w:val="en-US" w:eastAsia="zh-CN" w:bidi="ar"/>
              </w:rPr>
              <w:framePr w:vAnchor="text" w:hAnchor="page" w:xAlign="center" w:y="394"/>
            </w:pPr>
            <w:r>
              <w:rPr>
                <w:rFonts w:hint="eastAsia"/>
                <w:szCs w:val="21"/>
                <w:highlight w:val="none"/>
                <w:lang w:val="en-US" w:eastAsia="zh-CN" w:bidi="ar"/>
              </w:rPr>
              <w:t xml:space="preserve">20</w:t>
            </w:r>
            <w:r>
              <w:rPr>
                <w:rFonts w:eastAsia="宋体"/>
                <w:szCs w:val="21"/>
                <w:highlight w:val="none"/>
                <w:lang w:val="en-US" w:eastAsia="zh-CN" w:bidi="ar"/>
              </w:rPr>
            </w:r>
            <w:r/>
          </w:p>
        </w:tc>
        <w:tc>
          <w:tcPr>
            <w:tcW w:w="702" w:type="dxa"/>
            <w:vAlign w:val="center"/>
            <w:textDirection w:val="lrTb"/>
            <w:noWrap w:val="false"/>
          </w:tcPr>
          <w:p>
            <w:pPr>
              <w:pStyle w:val="1030"/>
              <w:jc w:val="center"/>
              <w:rPr>
                <w:rFonts w:hint="eastAsia" w:eastAsia="宋体"/>
                <w:szCs w:val="21"/>
                <w:highlight w:val="none"/>
                <w:lang w:eastAsia="zh-CN" w:bidi="ar"/>
              </w:rPr>
              <w:framePr w:vAnchor="text" w:hAnchor="page" w:xAlign="center" w:y="394"/>
            </w:pPr>
            <w:r>
              <w:rPr>
                <w:rFonts w:hint="eastAsia"/>
                <w:szCs w:val="21"/>
                <w:highlight w:val="none"/>
                <w:lang w:eastAsia="zh-CN" w:bidi="ar"/>
              </w:rPr>
              <w:t xml:space="preserve">否</w:t>
            </w:r>
            <w:r>
              <w:rPr>
                <w:rFonts w:hint="eastAsia" w:eastAsia="宋体"/>
                <w:szCs w:val="21"/>
                <w:highlight w:val="none"/>
                <w:lang w:eastAsia="zh-CN" w:bidi="ar"/>
              </w:rPr>
            </w:r>
            <w:r/>
          </w:p>
        </w:tc>
        <w:tc>
          <w:tcPr>
            <w:tcW w:w="702" w:type="dxa"/>
            <w:vAlign w:val="center"/>
            <w:textDirection w:val="lrTb"/>
            <w:noWrap w:val="false"/>
          </w:tcPr>
          <w:p>
            <w:pPr>
              <w:pStyle w:val="1030"/>
              <w:jc w:val="center"/>
              <w:rPr>
                <w:rFonts w:hint="eastAsia" w:eastAsia="宋体"/>
                <w:szCs w:val="21"/>
                <w:highlight w:val="none"/>
                <w:lang w:eastAsia="zh-CN" w:bidi="ar"/>
              </w:rPr>
              <w:framePr w:vAnchor="text" w:hAnchor="page" w:xAlign="center" w:y="394"/>
            </w:pPr>
            <w:r>
              <w:rPr>
                <w:rFonts w:hint="eastAsia"/>
                <w:szCs w:val="21"/>
                <w:highlight w:val="none"/>
                <w:lang w:eastAsia="zh-CN" w:bidi="ar"/>
              </w:rPr>
              <w:t xml:space="preserve">是</w:t>
            </w:r>
            <w:r>
              <w:rPr>
                <w:rFonts w:hint="eastAsia" w:eastAsia="宋体"/>
                <w:szCs w:val="21"/>
                <w:highlight w:val="none"/>
                <w:lang w:eastAsia="zh-CN" w:bidi="ar"/>
              </w:rPr>
            </w:r>
            <w:r/>
          </w:p>
        </w:tc>
      </w:tr>
      <w:tr>
        <w:trPr>
          <w:trHeight w:val="676"/>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2</w:t>
            </w:r>
            <w:r>
              <w:rPr>
                <w:rFonts w:hint="eastAsia"/>
                <w:szCs w:val="21"/>
                <w:highlight w:val="none"/>
              </w:rPr>
            </w:r>
            <w:r/>
          </w:p>
        </w:tc>
        <w:tc>
          <w:tcPr>
            <w:tcW w:w="1126" w:type="dxa"/>
            <w:vAlign w:val="center"/>
            <w:textDirection w:val="lrTb"/>
            <w:noWrap w:val="false"/>
          </w:tcPr>
          <w:p>
            <w:pPr>
              <w:pStyle w:val="1030"/>
              <w:jc w:val="center"/>
              <w:widowControl/>
              <w:rPr>
                <w:rFonts w:hint="eastAsia"/>
                <w:szCs w:val="21"/>
                <w:highlight w:val="none"/>
                <w:lang w:bidi="ar"/>
              </w:rPr>
              <w:framePr w:vAnchor="text" w:hAnchor="page" w:xAlign="center" w:y="394"/>
            </w:pPr>
            <w:r>
              <w:rPr>
                <w:rFonts w:hint="eastAsia"/>
                <w:szCs w:val="21"/>
                <w:highlight w:val="none"/>
                <w:lang w:bidi="ar"/>
              </w:rPr>
              <w:t xml:space="preserve">主观分</w:t>
            </w:r>
            <w:r>
              <w:rPr>
                <w:rFonts w:hint="eastAsia"/>
                <w:szCs w:val="21"/>
                <w:highlight w:val="none"/>
                <w:lang w:bidi="ar"/>
              </w:rPr>
            </w:r>
            <w:r/>
          </w:p>
        </w:tc>
        <w:tc>
          <w:tcPr>
            <w:tcW w:w="700" w:type="dxa"/>
            <w:vAlign w:val="center"/>
            <w:textDirection w:val="lrTb"/>
            <w:noWrap w:val="false"/>
          </w:tcPr>
          <w:p>
            <w:pPr>
              <w:pStyle w:val="1030"/>
              <w:jc w:val="center"/>
              <w:widowControl/>
              <w:rPr>
                <w:rFonts w:eastAsia="宋体"/>
                <w:szCs w:val="21"/>
                <w:highlight w:val="none"/>
                <w:lang w:val="en-US" w:eastAsia="zh-CN" w:bidi="ar"/>
              </w:rPr>
              <w:framePr w:vAnchor="text" w:hAnchor="page" w:xAlign="center" w:y="394"/>
            </w:pPr>
            <w:r>
              <w:rPr>
                <w:rFonts w:hint="eastAsia"/>
                <w:szCs w:val="21"/>
                <w:highlight w:val="none"/>
                <w:lang w:val="en-US" w:eastAsia="zh-CN" w:bidi="ar"/>
              </w:rPr>
              <w:t xml:space="preserve">36</w:t>
            </w:r>
            <w:r>
              <w:rPr>
                <w:rFonts w:eastAsia="宋体"/>
                <w:szCs w:val="21"/>
                <w:highlight w:val="none"/>
                <w:lang w:val="en-US" w:eastAsia="zh-CN" w:bidi="ar"/>
              </w:rPr>
            </w:r>
            <w:r/>
          </w:p>
        </w:tc>
        <w:tc>
          <w:tcPr>
            <w:tcW w:w="4523" w:type="dxa"/>
            <w:vAlign w:val="center"/>
            <w:textDirection w:val="lrTb"/>
            <w:noWrap w:val="false"/>
          </w:tcPr>
          <w:p>
            <w:pPr>
              <w:pStyle w:val="1030"/>
              <w:ind w:firstLine="28"/>
              <w:jc w:val="center"/>
              <w:spacing w:line="360" w:lineRule="auto"/>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r>
      <w:tr>
        <w:trPr>
          <w:trHeight w:val="90"/>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2.1</w:t>
            </w:r>
            <w:r>
              <w:rPr>
                <w:szCs w:val="21"/>
                <w:highlight w:val="none"/>
              </w:rPr>
            </w:r>
            <w:r/>
          </w:p>
        </w:tc>
        <w:tc>
          <w:tcPr>
            <w:tcW w:w="1126" w:type="dxa"/>
            <w:vAlign w:val="center"/>
            <w:textDirection w:val="lrTb"/>
            <w:noWrap w:val="false"/>
          </w:tcPr>
          <w:p>
            <w:pPr>
              <w:pStyle w:val="1030"/>
              <w:jc w:val="center"/>
              <w:spacing w:line="360" w:lineRule="auto"/>
              <w:rPr>
                <w:rFonts w:ascii="宋体" w:hAnsi="宋体" w:eastAsia="宋体" w:cs="宋体"/>
                <w:szCs w:val="21"/>
                <w:highlight w:val="none"/>
                <w:lang w:val="en-US" w:eastAsia="zh-CN"/>
              </w:rPr>
              <w:framePr w:vAnchor="text" w:hAnchor="page" w:xAlign="center" w:y="394"/>
            </w:pPr>
            <w:r>
              <w:rPr>
                <w:rFonts w:ascii="宋体" w:hAnsi="宋体" w:eastAsia="宋体" w:cs="宋体"/>
                <w:szCs w:val="21"/>
                <w:highlight w:val="none"/>
                <w:lang w:val="en-US" w:eastAsia="zh-CN"/>
              </w:rPr>
              <w:t xml:space="preserve">总体概述</w:t>
            </w:r>
            <w:r>
              <w:rPr>
                <w:rFonts w:ascii="宋体" w:hAnsi="宋体" w:eastAsia="宋体" w:cs="宋体"/>
                <w:szCs w:val="21"/>
                <w:highlight w:val="none"/>
                <w:lang w:val="en-US" w:eastAsia="zh-CN"/>
              </w:rPr>
            </w:r>
            <w:r/>
          </w:p>
        </w:tc>
        <w:tc>
          <w:tcPr>
            <w:tcW w:w="700" w:type="dxa"/>
            <w:vAlign w:val="center"/>
            <w:textDirection w:val="lrTb"/>
            <w:noWrap w:val="false"/>
          </w:tcPr>
          <w:p>
            <w:pPr>
              <w:pStyle w:val="1030"/>
              <w:jc w:val="center"/>
              <w:spacing w:line="360" w:lineRule="auto"/>
              <w:rPr>
                <w:rFonts w:hint="eastAsia" w:eastAsia="宋体"/>
                <w:szCs w:val="21"/>
                <w:highlight w:val="none"/>
                <w:lang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w:t>
            </w:r>
            <w:r>
              <w:rPr>
                <w:rFonts w:hint="eastAsia" w:ascii="宋体" w:hAnsi="宋体" w:eastAsia="宋体" w:cs="宋体"/>
                <w:sz w:val="21"/>
                <w:szCs w:val="21"/>
              </w:rPr>
              <w:t xml:space="preserve">总体目标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计划与维护质量保证</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rPr>
              <w:t xml:space="preserve">维保组织与部署、维保现场布置</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eastAsia="宋体" w:cs="宋体"/>
                <w:szCs w:val="21"/>
                <w:lang w:val="zh-CN"/>
              </w:rPr>
              <w:t xml:space="preserve">否</w:t>
            </w:r>
            <w:r>
              <w:rPr>
                <w:rFonts w:hint="eastAsia" w:eastAsia="宋体"/>
                <w:szCs w:val="21"/>
                <w:highlight w:val="none"/>
                <w:lang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eastAsia="宋体" w:cs="宋体"/>
                <w:szCs w:val="21"/>
                <w:lang w:val="zh-CN"/>
              </w:rPr>
              <w:t xml:space="preserve">否</w:t>
            </w:r>
            <w:r>
              <w:rPr>
                <w:rFonts w:hint="eastAsia" w:eastAsia="宋体"/>
                <w:szCs w:val="21"/>
                <w:highlight w:val="none"/>
                <w:lang w:eastAsia="zh-CN"/>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2.2</w:t>
            </w:r>
            <w:r>
              <w:rPr>
                <w:szCs w:val="21"/>
                <w:highlight w:val="none"/>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维保方案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030"/>
              <w:jc w:val="center"/>
              <w:spacing w:line="360" w:lineRule="exact"/>
              <w:widowControl/>
              <w:rPr>
                <w:rFonts w:eastAsia="宋体"/>
                <w:szCs w:val="21"/>
                <w:highlight w:val="none"/>
                <w:lang w:val="en-US" w:eastAsia="zh-CN"/>
              </w:rPr>
              <w:framePr w:vAnchor="text" w:hAnchor="page" w:xAlign="center" w:y="394"/>
            </w:pPr>
            <w:r>
              <w:rPr>
                <w:rFonts w:hint="eastAsia" w:ascii="宋体" w:hAnsi="宋体" w:eastAsia="宋体" w:cs="宋体"/>
                <w:bCs/>
                <w:szCs w:val="21"/>
                <w:lang w:val="en-US" w:eastAsia="zh-CN"/>
              </w:rPr>
              <w:t xml:space="preserve">6</w:t>
            </w:r>
            <w:r>
              <w:rPr>
                <w:rFonts w:eastAsia="宋体"/>
                <w:szCs w:val="21"/>
                <w:highlight w:val="none"/>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w:t>
            </w:r>
            <w:r>
              <w:rPr>
                <w:rFonts w:hint="eastAsia" w:ascii="宋体" w:hAnsi="宋体" w:eastAsia="宋体" w:cs="宋体"/>
                <w:sz w:val="21"/>
                <w:szCs w:val="21"/>
                <w:highlight w:val="none"/>
                <w:lang w:val="en-US" w:eastAsia="zh-CN"/>
              </w:rPr>
              <w:t xml:space="preserve">维护修理方案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highlight w:val="none"/>
                <w:lang w:val="en-US" w:eastAsia="zh-CN"/>
              </w:rPr>
              <w:t xml:space="preserve">日常巡检方案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2.3</w:t>
            </w:r>
            <w:r>
              <w:rPr>
                <w:szCs w:val="21"/>
                <w:highlight w:val="none"/>
              </w:rPr>
            </w:r>
            <w:r/>
          </w:p>
        </w:tc>
        <w:tc>
          <w:tcPr>
            <w:tcW w:w="1126" w:type="dxa"/>
            <w:vAlign w:val="center"/>
            <w:textDirection w:val="lrTb"/>
            <w:noWrap w:val="false"/>
          </w:tcPr>
          <w:p>
            <w:pPr>
              <w:pStyle w:val="1030"/>
              <w:jc w:val="center"/>
              <w:spacing w:line="360" w:lineRule="exact"/>
              <w:widowControl/>
              <w:rPr>
                <w:rFonts w:ascii="宋体" w:hAnsi="宋体" w:cs="宋体"/>
                <w:szCs w:val="21"/>
                <w:highlight w:val="none"/>
                <w:lang w:bidi="ar"/>
              </w:rPr>
              <w:framePr w:vAnchor="text" w:hAnchor="page" w:xAlign="center" w:y="394"/>
            </w:pPr>
            <w:r>
              <w:rPr>
                <w:rFonts w:hint="eastAsia" w:ascii="宋体" w:hAnsi="宋体" w:cs="宋体"/>
                <w:szCs w:val="21"/>
                <w:highlight w:val="none"/>
                <w:lang w:bidi="ar"/>
              </w:rPr>
              <w:t xml:space="preserve">安全</w:t>
            </w:r>
            <w:r>
              <w:rPr>
                <w:rFonts w:hint="eastAsia" w:ascii="宋体" w:hAnsi="宋体" w:cs="宋体"/>
                <w:szCs w:val="21"/>
                <w:highlight w:val="none"/>
                <w:lang w:val="en-US" w:eastAsia="zh-CN" w:bidi="ar"/>
              </w:rPr>
              <w:t xml:space="preserve">文明</w:t>
            </w:r>
            <w:r>
              <w:rPr>
                <w:rFonts w:hint="eastAsia" w:ascii="宋体" w:hAnsi="宋体" w:cs="宋体"/>
                <w:szCs w:val="21"/>
                <w:highlight w:val="none"/>
                <w:lang w:bidi="ar"/>
              </w:rPr>
              <w:t xml:space="preserve">生产</w:t>
            </w:r>
            <w:r>
              <w:rPr>
                <w:rFonts w:hint="eastAsia" w:ascii="宋体" w:hAnsi="宋体" w:cs="宋体"/>
                <w:szCs w:val="21"/>
                <w:highlight w:val="none"/>
                <w:lang w:val="en-US" w:eastAsia="zh-CN" w:bidi="ar"/>
              </w:rPr>
              <w:t xml:space="preserve">及环境</w:t>
            </w:r>
            <w:r>
              <w:rPr>
                <w:rFonts w:hint="eastAsia" w:ascii="宋体" w:hAnsi="宋体" w:cs="宋体"/>
                <w:szCs w:val="21"/>
                <w:highlight w:val="none"/>
                <w:lang w:bidi="ar"/>
              </w:rPr>
              <w:t xml:space="preserve">保证措施</w:t>
            </w:r>
            <w:r>
              <w:rPr>
                <w:rFonts w:ascii="宋体" w:hAnsi="宋体" w:cs="宋体"/>
                <w:szCs w:val="21"/>
                <w:highlight w:val="none"/>
                <w:lang w:bidi="ar"/>
              </w:rPr>
            </w:r>
            <w:r/>
          </w:p>
        </w:tc>
        <w:tc>
          <w:tcPr>
            <w:tcW w:w="700"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1.安全文明生产保证措施；</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szCs w:val="21"/>
                <w:lang w:val="en-US" w:eastAsia="zh-CN"/>
              </w:rPr>
              <w:t xml:space="preserve">环境保证措施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2.4</w:t>
            </w:r>
            <w:r>
              <w:rPr>
                <w:szCs w:val="21"/>
                <w:highlight w:val="none"/>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重点、难点分析</w:t>
            </w:r>
            <w:r>
              <w:rPr>
                <w:rFonts w:hint="eastAsia" w:ascii="宋体" w:hAnsi="宋体" w:eastAsia="宋体" w:cs="宋体"/>
                <w:szCs w:val="21"/>
                <w:highlight w:val="none"/>
                <w:lang w:eastAsia="zh-CN"/>
              </w:rPr>
            </w:r>
            <w:r/>
          </w:p>
        </w:tc>
        <w:tc>
          <w:tcPr>
            <w:tcW w:w="700" w:type="dxa"/>
            <w:vAlign w:val="center"/>
            <w:textDirection w:val="lrTb"/>
            <w:noWrap w:val="false"/>
          </w:tcPr>
          <w:p>
            <w:pPr>
              <w:pStyle w:val="1030"/>
              <w:jc w:val="center"/>
              <w:spacing w:line="360" w:lineRule="exact"/>
              <w:widowControl/>
              <w:rPr>
                <w:rFonts w:hint="eastAsia" w:eastAsia="宋体"/>
                <w:szCs w:val="21"/>
                <w:highlight w:val="none"/>
                <w:lang w:eastAsia="zh-CN"/>
              </w:rPr>
              <w:framePr w:vAnchor="text" w:hAnchor="page" w:xAlign="center" w:y="394"/>
            </w:pPr>
            <w:r>
              <w:rPr>
                <w:rFonts w:hint="eastAsia" w:ascii="宋体" w:hAnsi="宋体" w:cs="宋体"/>
                <w:szCs w:val="21"/>
                <w:lang w:val="en-US" w:eastAsia="zh-CN"/>
              </w:rPr>
              <w:t xml:space="preserve">6</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1.项目实施的重点、难点；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针对重点、难点的解决措施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sz w:val="24"/>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sz w:val="24"/>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szCs w:val="21"/>
                <w:highlight w:val="none"/>
                <w:lang w:val="en-US" w:eastAsia="zh-CN"/>
              </w:rPr>
              <w:t xml:space="preserve">2.5</w:t>
            </w:r>
            <w:r>
              <w:rPr>
                <w:rFonts w:eastAsia="宋体"/>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ascii="宋体" w:hAnsi="宋体" w:eastAsia="宋体" w:cs="宋体"/>
                <w:szCs w:val="21"/>
                <w:highlight w:val="none"/>
                <w:lang w:val="en-US" w:eastAsia="zh-CN"/>
              </w:rPr>
              <w:framePr w:vAnchor="text" w:hAnchor="page" w:xAlign="center" w:y="394"/>
            </w:pPr>
            <w:r>
              <w:rPr>
                <w:rFonts w:hint="eastAsia" w:ascii="宋体" w:hAnsi="宋体" w:eastAsia="宋体" w:cs="宋体"/>
                <w:sz w:val="21"/>
                <w:szCs w:val="21"/>
              </w:rPr>
              <w:t xml:space="preserve">服务承诺及控制方案</w:t>
            </w:r>
            <w:r>
              <w:rPr>
                <w:rFonts w:hint="eastAsia" w:ascii="宋体" w:hAnsi="宋体" w:eastAsia="宋体" w:cs="宋体"/>
                <w:szCs w:val="21"/>
                <w:highlight w:val="none"/>
                <w:lang w:val="en-US" w:eastAsia="zh-CN"/>
              </w:rPr>
            </w:r>
            <w:r/>
          </w:p>
        </w:tc>
        <w:tc>
          <w:tcPr>
            <w:tcW w:w="700" w:type="dxa"/>
            <w:vAlign w:val="center"/>
            <w:textDirection w:val="lrTb"/>
            <w:noWrap w:val="false"/>
          </w:tcPr>
          <w:p>
            <w:pPr>
              <w:pStyle w:val="1030"/>
              <w:jc w:val="center"/>
              <w:spacing w:line="360" w:lineRule="exact"/>
              <w:widowControl/>
              <w:rPr>
                <w:szCs w:val="21"/>
                <w:highlight w:val="none"/>
                <w:lang w:val="en-US" w:eastAsia="zh-CN"/>
              </w:rPr>
              <w:framePr w:vAnchor="text" w:hAnchor="page" w:xAlign="center" w:y="394"/>
            </w:pPr>
            <w:r>
              <w:rPr>
                <w:rFonts w:hint="eastAsia" w:ascii="宋体" w:hAnsi="宋体" w:cs="宋体"/>
                <w:szCs w:val="21"/>
                <w:lang w:val="en-US" w:eastAsia="zh-CN"/>
              </w:rPr>
              <w:t xml:space="preserve">6</w:t>
            </w:r>
            <w:r>
              <w:rPr>
                <w:szCs w:val="21"/>
                <w:highlight w:val="none"/>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1.服务质量控制方案；</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rPr>
              <w:t xml:space="preserve">风险控制措施</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cs="宋体"/>
                <w:bCs/>
                <w:szCs w:val="21"/>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cs="宋体"/>
                <w:bCs/>
                <w:szCs w:val="21"/>
                <w:highlight w:val="none"/>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rFonts w:hint="eastAsia" w:eastAsia="宋体"/>
                <w:szCs w:val="21"/>
                <w:highlight w:val="none"/>
                <w:lang w:val="en-US" w:eastAsia="zh-CN"/>
              </w:rPr>
              <w:framePr w:vAnchor="text" w:hAnchor="page" w:xAlign="center" w:y="394"/>
            </w:pPr>
            <w:r>
              <w:rPr>
                <w:rFonts w:hint="eastAsia" w:ascii="宋体" w:hAnsi="宋体" w:eastAsia="宋体" w:cs="宋体"/>
                <w:szCs w:val="21"/>
                <w:lang w:val="en-US" w:eastAsia="zh-CN"/>
              </w:rPr>
              <w:t xml:space="preserve">6</w:t>
            </w:r>
            <w:r>
              <w:rPr>
                <w:rFonts w:hint="eastAsia" w:eastAsia="宋体"/>
                <w:szCs w:val="21"/>
                <w:highlight w:val="none"/>
                <w:lang w:val="en-US" w:eastAsia="zh-CN"/>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c>
          <w:tcPr>
            <w:tcW w:w="702" w:type="dxa"/>
            <w:vAlign w:val="center"/>
            <w:textDirection w:val="lrTb"/>
            <w:noWrap w:val="false"/>
          </w:tcPr>
          <w:p>
            <w:pPr>
              <w:pStyle w:val="1030"/>
              <w:jc w:val="center"/>
              <w:spacing w:line="360" w:lineRule="exact"/>
              <w:widowControl/>
              <w:rPr>
                <w:szCs w:val="21"/>
                <w:highlight w:val="none"/>
              </w:rPr>
              <w:framePr w:vAnchor="text" w:hAnchor="page" w:xAlign="center" w:y="394"/>
            </w:pPr>
            <w:r>
              <w:rPr>
                <w:rFonts w:hint="eastAsia" w:ascii="宋体" w:hAnsi="宋体" w:eastAsia="宋体" w:cs="宋体"/>
                <w:szCs w:val="21"/>
                <w:lang w:val="zh-CN"/>
              </w:rPr>
              <w:t xml:space="preserve">否</w:t>
            </w:r>
            <w:r>
              <w:rPr>
                <w:szCs w:val="21"/>
                <w:highlight w:val="none"/>
              </w:rPr>
            </w:r>
            <w:r/>
          </w:p>
        </w:tc>
      </w:tr>
      <w:tr>
        <w:trPr>
          <w:trHeight w:val="628"/>
        </w:trPr>
        <w:tc>
          <w:tcPr>
            <w:tcW w:w="835" w:type="dxa"/>
            <w:vAlign w:val="center"/>
            <w:textDirection w:val="lrTb"/>
            <w:noWrap w:val="false"/>
          </w:tcPr>
          <w:p>
            <w:pPr>
              <w:pStyle w:val="1030"/>
              <w:ind w:firstLine="28"/>
              <w:jc w:val="center"/>
              <w:rPr>
                <w:szCs w:val="21"/>
                <w:highlight w:val="none"/>
                <w:lang w:val="en-US" w:eastAsia="zh-CN"/>
              </w:rPr>
              <w:framePr w:vAnchor="text" w:hAnchor="page" w:xAlign="center" w:y="394"/>
            </w:pPr>
            <w:r>
              <w:rPr>
                <w:rFonts w:hint="eastAsia"/>
                <w:szCs w:val="21"/>
                <w:highlight w:val="none"/>
                <w:lang w:val="en-US" w:eastAsia="zh-CN"/>
              </w:rPr>
              <w:t xml:space="preserve">2.6</w:t>
            </w:r>
            <w:r>
              <w:rPr>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ascii="宋体" w:hAnsi="宋体" w:eastAsia="宋体"/>
              </w:rPr>
              <w:framePr w:vAnchor="text" w:hAnchor="page" w:xAlign="center" w:y="394"/>
            </w:pPr>
            <w:r>
              <w:rPr>
                <w:rFonts w:hint="eastAsia" w:ascii="宋体" w:hAnsi="宋体" w:eastAsia="宋体" w:cs="宋体"/>
                <w:sz w:val="21"/>
                <w:szCs w:val="21"/>
              </w:rPr>
              <w:t xml:space="preserve">应急事件处理预案</w:t>
            </w:r>
            <w:r>
              <w:rPr>
                <w:rFonts w:hint="eastAsia" w:ascii="宋体" w:hAnsi="宋体" w:eastAsia="宋体"/>
              </w:rPr>
            </w:r>
            <w:r/>
          </w:p>
        </w:tc>
        <w:tc>
          <w:tcPr>
            <w:tcW w:w="700" w:type="dxa"/>
            <w:vAlign w:val="center"/>
            <w:textDirection w:val="lrTb"/>
            <w:noWrap w:val="false"/>
          </w:tcPr>
          <w:p>
            <w:pPr>
              <w:pStyle w:val="1030"/>
              <w:jc w:val="center"/>
              <w:spacing w:line="360" w:lineRule="exact"/>
              <w:widowControl/>
              <w:rPr>
                <w:szCs w:val="21"/>
                <w:highlight w:val="none"/>
                <w:lang w:val="en-US" w:eastAsia="zh-CN"/>
              </w:rPr>
              <w:framePr w:vAnchor="text" w:hAnchor="page" w:xAlign="center" w:y="394"/>
            </w:pPr>
            <w:r>
              <w:rPr>
                <w:rFonts w:hint="eastAsia" w:ascii="宋体" w:hAnsi="宋体" w:cs="宋体"/>
                <w:szCs w:val="21"/>
                <w:lang w:val="en-US" w:eastAsia="zh-CN"/>
              </w:rPr>
              <w:t xml:space="preserve">6</w:t>
            </w:r>
            <w:r>
              <w:rPr>
                <w:szCs w:val="21"/>
                <w:highlight w:val="none"/>
                <w:lang w:val="en-US"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（一）评分内容：</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1.紧急抢修、应急处置方案；</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2.应急事件配合处理措施（包括但不限于火灾、安全消防等）；</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考察以上内容，每满足任意一项内容得1.5分，最高得3分。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（二）在上述基础上，专家根据各供应商的具体响应内容按照量化的评审因素指标进一步评审。</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1.方案整体科学合理、针对性强、可操作性强，评审为优加3分；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2.方案较合理、有一定针对性、一定可操作性，评审为良加2分；</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eastAsia="宋体" w:cs="宋体"/>
                <w:color w:val="000000"/>
                <w:sz w:val="21"/>
                <w:szCs w:val="21"/>
                <w:lang w:val="en-US" w:eastAsia="zh-CN"/>
              </w:rPr>
              <w:framePr w:vAnchor="text" w:hAnchor="page" w:xAlign="center" w:y="394"/>
            </w:pPr>
            <w:r>
              <w:rPr>
                <w:rFonts w:hint="eastAsia" w:ascii="宋体" w:hAnsi="宋体" w:eastAsia="宋体" w:cs="宋体"/>
                <w:color w:val="000000"/>
                <w:sz w:val="21"/>
                <w:szCs w:val="21"/>
                <w:lang w:val="en-US" w:eastAsia="zh-CN"/>
              </w:rPr>
              <w:t xml:space="preserve">3.方案不尽合理、针对性一般、可操作性一般，评审为中加1分； </w:t>
            </w:r>
            <w:r>
              <w:rPr>
                <w:rFonts w:hint="eastAsia" w:ascii="宋体" w:hAnsi="宋体" w:eastAsia="宋体" w:cs="宋体"/>
                <w:color w:val="000000"/>
                <w:sz w:val="21"/>
                <w:szCs w:val="21"/>
                <w:lang w:val="en-US" w:eastAsia="zh-CN"/>
              </w:rPr>
            </w:r>
            <w:r/>
          </w:p>
          <w:p>
            <w:pPr>
              <w:pStyle w:val="1030"/>
              <w:spacing w:line="360" w:lineRule="exact"/>
              <w:widowControl/>
              <w:rPr>
                <w:rFonts w:hint="eastAsia" w:ascii="宋体" w:hAnsi="宋体" w:cs="宋体"/>
                <w:bCs/>
                <w:szCs w:val="21"/>
                <w:highlight w:val="none"/>
              </w:rPr>
              <w:framePr w:vAnchor="text" w:hAnchor="page" w:xAlign="center" w:y="394"/>
            </w:pPr>
            <w:r>
              <w:rPr>
                <w:rFonts w:hint="eastAsia" w:ascii="宋体" w:hAnsi="宋体" w:eastAsia="宋体" w:cs="宋体"/>
                <w:color w:val="000000"/>
                <w:sz w:val="21"/>
                <w:szCs w:val="21"/>
                <w:lang w:val="en-US" w:eastAsia="zh-CN"/>
              </w:rPr>
              <w:t xml:space="preserve">4.方案不合理、无针对性、无可操作性，评审为差的，不加分。</w:t>
            </w:r>
            <w:r>
              <w:rPr>
                <w:rFonts w:hint="eastAsia" w:ascii="宋体" w:hAnsi="宋体" w:cs="宋体"/>
                <w:bCs/>
                <w:szCs w:val="21"/>
                <w:highlight w:val="none"/>
              </w:rPr>
            </w:r>
            <w:r/>
          </w:p>
        </w:tc>
        <w:tc>
          <w:tcPr>
            <w:tcW w:w="702" w:type="dxa"/>
            <w:vAlign w:val="center"/>
            <w:textDirection w:val="lrTb"/>
            <w:noWrap w:val="false"/>
          </w:tcPr>
          <w:p>
            <w:pPr>
              <w:pStyle w:val="1030"/>
              <w:jc w:val="center"/>
              <w:spacing w:line="360" w:lineRule="exact"/>
              <w:widowControl/>
              <w:rPr>
                <w:rFonts w:hint="eastAsia" w:eastAsia="宋体"/>
                <w:sz w:val="21"/>
                <w:szCs w:val="21"/>
                <w:highlight w:val="none"/>
                <w:lang w:val="en-US" w:eastAsia="zh-CN" w:bidi="ar-SA"/>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eastAsia="宋体"/>
                <w:sz w:val="21"/>
                <w:szCs w:val="21"/>
                <w:highlight w:val="none"/>
                <w:lang w:val="en-US" w:eastAsia="zh-CN" w:bidi="ar-SA"/>
              </w:rPr>
              <w:framePr w:vAnchor="text" w:hAnchor="page" w:xAlign="center" w:y="394"/>
            </w:pPr>
            <w:r>
              <w:rPr>
                <w:rFonts w:hint="eastAsia" w:ascii="宋体" w:hAnsi="宋体" w:eastAsia="宋体" w:cs="宋体"/>
                <w:szCs w:val="21"/>
                <w:lang w:val="en-US" w:eastAsia="zh-CN"/>
              </w:rPr>
              <w:t xml:space="preserve">6</w:t>
            </w:r>
            <w:r>
              <w:rPr>
                <w:rFonts w:hint="eastAsia" w:eastAsia="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sz w:val="21"/>
                <w:szCs w:val="21"/>
                <w:highlight w:val="none"/>
                <w:lang w:val="en-US" w:eastAsia="zh-CN" w:bidi="ar-SA"/>
              </w:rPr>
              <w:framePr w:vAnchor="text" w:hAnchor="page" w:xAlign="center" w:y="394"/>
            </w:pPr>
            <w:r>
              <w:rPr>
                <w:rFonts w:hint="eastAsia" w:ascii="宋体" w:hAnsi="宋体" w:eastAsia="宋体" w:cs="宋体"/>
                <w:szCs w:val="21"/>
                <w:lang w:val="zh-CN"/>
              </w:rPr>
              <w:t xml:space="preserve">否</w:t>
            </w:r>
            <w:r>
              <w:rPr>
                <w:rFonts w:hint="eastAsia"/>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sz w:val="21"/>
                <w:szCs w:val="21"/>
                <w:highlight w:val="none"/>
                <w:lang w:val="en-US" w:eastAsia="zh-CN" w:bidi="ar-SA"/>
              </w:rPr>
              <w:framePr w:vAnchor="text" w:hAnchor="page" w:xAlign="center" w:y="394"/>
            </w:pPr>
            <w:r>
              <w:rPr>
                <w:rFonts w:hint="eastAsia" w:ascii="宋体" w:hAnsi="宋体" w:eastAsia="宋体" w:cs="宋体"/>
                <w:szCs w:val="21"/>
                <w:lang w:val="zh-CN"/>
              </w:rPr>
              <w:t xml:space="preserve">否</w:t>
            </w:r>
            <w:r>
              <w:rPr>
                <w:rFonts w:hint="eastAsia"/>
                <w:sz w:val="21"/>
                <w:szCs w:val="21"/>
                <w:highlight w:val="none"/>
                <w:lang w:val="en-US" w:eastAsia="zh-CN" w:bidi="ar-SA"/>
              </w:rPr>
            </w:r>
            <w:r/>
          </w:p>
        </w:tc>
      </w:tr>
      <w:tr>
        <w:trPr>
          <w:trHeight w:val="454"/>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3</w:t>
            </w:r>
            <w:r>
              <w:rPr>
                <w:rFonts w:hint="eastAsia"/>
                <w:szCs w:val="21"/>
                <w:highlight w:val="none"/>
              </w:rPr>
            </w:r>
            <w:r/>
          </w:p>
        </w:tc>
        <w:tc>
          <w:tcPr>
            <w:tcW w:w="1126" w:type="dxa"/>
            <w:vAlign w:val="center"/>
            <w:textDirection w:val="lrTb"/>
            <w:noWrap w:val="false"/>
          </w:tcPr>
          <w:p>
            <w:pPr>
              <w:pStyle w:val="1030"/>
              <w:ind w:firstLine="28"/>
              <w:jc w:val="center"/>
              <w:rPr>
                <w:sz w:val="24"/>
                <w:highlight w:val="none"/>
              </w:rPr>
              <w:framePr w:vAnchor="text" w:hAnchor="page" w:xAlign="center" w:y="394"/>
            </w:pPr>
            <w:r>
              <w:rPr>
                <w:rFonts w:hint="eastAsia"/>
                <w:szCs w:val="21"/>
                <w:highlight w:val="none"/>
                <w:lang w:bidi="ar"/>
              </w:rPr>
              <w:t xml:space="preserve">客观分</w:t>
            </w:r>
            <w:r>
              <w:rPr>
                <w:sz w:val="24"/>
                <w:highlight w:val="none"/>
              </w:rPr>
            </w:r>
            <w:r/>
          </w:p>
        </w:tc>
        <w:tc>
          <w:tcPr>
            <w:tcW w:w="700"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eastAsia="宋体"/>
                <w:szCs w:val="21"/>
                <w:highlight w:val="none"/>
                <w:lang w:val="en-US" w:eastAsia="zh-CN"/>
              </w:rPr>
              <w:t xml:space="preserve">44</w:t>
            </w:r>
            <w:r>
              <w:rPr>
                <w:rFonts w:eastAsia="宋体"/>
                <w:szCs w:val="21"/>
                <w:highlight w:val="none"/>
                <w:lang w:val="en-US" w:eastAsia="zh-CN"/>
              </w:rPr>
            </w:r>
            <w:r/>
          </w:p>
        </w:tc>
        <w:tc>
          <w:tcPr>
            <w:tcW w:w="4523" w:type="dxa"/>
            <w:vAlign w:val="center"/>
            <w:textDirection w:val="lrTb"/>
            <w:noWrap w:val="false"/>
          </w:tcPr>
          <w:p>
            <w:pPr>
              <w:pStyle w:val="1030"/>
              <w:spacing w:line="360" w:lineRule="auto"/>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r>
      <w:tr>
        <w:trPr>
          <w:trHeight w:val="652"/>
        </w:trPr>
        <w:tc>
          <w:tcPr>
            <w:tcW w:w="835" w:type="dxa"/>
            <w:vAlign w:val="center"/>
            <w:textDirection w:val="lrTb"/>
            <w:noWrap w:val="false"/>
          </w:tcPr>
          <w:p>
            <w:pPr>
              <w:pStyle w:val="1030"/>
              <w:ind w:firstLine="28"/>
              <w:jc w:val="center"/>
              <w:rPr>
                <w:szCs w:val="21"/>
                <w:highlight w:val="none"/>
              </w:rPr>
              <w:framePr w:vAnchor="text" w:hAnchor="page" w:xAlign="center" w:y="394"/>
            </w:pPr>
            <w:r>
              <w:rPr>
                <w:rFonts w:hint="eastAsia"/>
                <w:szCs w:val="21"/>
                <w:highlight w:val="none"/>
              </w:rPr>
              <w:t xml:space="preserve">3.1</w:t>
            </w:r>
            <w:r>
              <w:rPr>
                <w:szCs w:val="21"/>
                <w:highlight w:val="none"/>
              </w:rPr>
            </w:r>
            <w:r/>
          </w:p>
        </w:tc>
        <w:tc>
          <w:tcPr>
            <w:tcW w:w="1126" w:type="dxa"/>
            <w:vAlign w:val="center"/>
            <w:textDirection w:val="lrTb"/>
            <w:noWrap w:val="false"/>
          </w:tcPr>
          <w:p>
            <w:pPr>
              <w:pStyle w:val="1030"/>
              <w:jc w:val="center"/>
              <w:spacing w:line="360" w:lineRule="exact"/>
              <w:widowControl/>
              <w:rPr>
                <w:rFonts w:hint="eastAsia"/>
                <w:szCs w:val="21"/>
                <w:highlight w:val="none"/>
                <w:lang w:bidi="ar"/>
              </w:rPr>
              <w:framePr w:vAnchor="text" w:hAnchor="page" w:xAlign="center" w:y="394"/>
            </w:pPr>
            <w:r>
              <w:rPr>
                <w:rFonts w:hint="eastAsia" w:ascii="宋体" w:hAnsi="宋体" w:cs="宋体"/>
                <w:bCs/>
                <w:szCs w:val="21"/>
                <w:highlight w:val="none"/>
              </w:rPr>
              <w:t xml:space="preserve">类似业绩</w:t>
            </w:r>
            <w:r>
              <w:rPr>
                <w:rFonts w:hint="eastAsia"/>
                <w:szCs w:val="21"/>
                <w:highlight w:val="none"/>
                <w:lang w:bidi="ar"/>
              </w:rPr>
            </w:r>
            <w:r/>
          </w:p>
        </w:tc>
        <w:tc>
          <w:tcPr>
            <w:tcW w:w="700" w:type="dxa"/>
            <w:vAlign w:val="center"/>
            <w:textDirection w:val="lrTb"/>
            <w:noWrap w:val="false"/>
          </w:tcPr>
          <w:p>
            <w:pPr>
              <w:pStyle w:val="1030"/>
              <w:jc w:val="center"/>
              <w:widowControl/>
              <w:rPr>
                <w:rFonts w:hint="eastAsia" w:eastAsia="宋体"/>
                <w:szCs w:val="21"/>
                <w:highlight w:val="none"/>
                <w:lang w:eastAsia="zh-CN"/>
              </w:rPr>
              <w:framePr w:vAnchor="text" w:hAnchor="page" w:xAlign="center" w:y="394"/>
            </w:pPr>
            <w:r>
              <w:rPr>
                <w:rFonts w:hint="eastAsia" w:ascii="宋体" w:hAnsi="宋体"/>
                <w:szCs w:val="21"/>
                <w:lang w:val="en-US" w:eastAsia="zh-CN"/>
              </w:rPr>
              <w:t xml:space="preserve">12   </w:t>
            </w:r>
            <w:r>
              <w:rPr>
                <w:rFonts w:hint="eastAsia" w:eastAsia="宋体"/>
                <w:szCs w:val="21"/>
                <w:highlight w:val="none"/>
                <w:lang w:eastAsia="zh-CN"/>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rPr>
              <w:framePr w:vAnchor="text" w:hAnchor="page" w:xAlign="center" w:y="394"/>
            </w:pPr>
            <w:r>
              <w:rPr>
                <w:rFonts w:hint="eastAsia" w:ascii="宋体" w:hAnsi="宋体" w:eastAsia="宋体" w:cs="宋体"/>
                <w:color w:val="000000"/>
                <w:sz w:val="21"/>
                <w:szCs w:val="21"/>
                <w:lang w:val="en-US" w:eastAsia="zh-CN"/>
              </w:rPr>
              <w:t xml:space="preserve">投标人近五年（投标截止时间往前推）承建过类似照明养护项目业绩的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每有一个得3分，</w:t>
            </w:r>
            <w:r>
              <w:rPr>
                <w:rFonts w:hint="eastAsia" w:ascii="宋体" w:hAnsi="宋体" w:eastAsia="宋体" w:cs="宋体"/>
                <w:color w:val="000000"/>
                <w:sz w:val="21"/>
                <w:szCs w:val="21"/>
                <w:lang w:eastAsia="zh-CN"/>
              </w:rPr>
              <w:t xml:space="preserve">最高得</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rPr>
            </w:r>
            <w:r/>
          </w:p>
          <w:p>
            <w:pPr>
              <w:pStyle w:val="1030"/>
              <w:spacing w:line="360" w:lineRule="exact"/>
              <w:widowControl/>
              <w:rPr>
                <w:rFonts w:hint="eastAsia"/>
                <w:highlight w:val="none"/>
              </w:rPr>
              <w:framePr w:vAnchor="text" w:hAnchor="page" w:xAlign="center" w:y="394"/>
            </w:pPr>
            <w:r>
              <w:rPr>
                <w:rFonts w:hint="eastAsia" w:ascii="宋体" w:hAnsi="宋体"/>
                <w:b/>
                <w:bCs/>
                <w:szCs w:val="21"/>
                <w:lang w:bidi="ar"/>
              </w:rPr>
              <w:t xml:space="preserve">注：</w:t>
            </w:r>
            <w:r>
              <w:rPr>
                <w:rFonts w:hint="eastAsia" w:ascii="宋体" w:hAnsi="宋体"/>
                <w:b/>
                <w:bCs/>
                <w:szCs w:val="21"/>
                <w:lang w:val="en-US" w:eastAsia="zh-CN" w:bidi="ar"/>
              </w:rPr>
              <w:t xml:space="preserve">时间以合同签订时间为准。同时</w:t>
            </w:r>
            <w:r>
              <w:rPr>
                <w:rFonts w:hint="eastAsia" w:ascii="宋体" w:hAnsi="宋体"/>
                <w:b/>
                <w:bCs/>
                <w:szCs w:val="21"/>
                <w:lang w:bidi="ar"/>
              </w:rPr>
              <w:t xml:space="preserve">提供业绩的合同</w:t>
            </w:r>
            <w:r>
              <w:rPr>
                <w:rFonts w:hint="eastAsia" w:ascii="宋体" w:hAnsi="宋体"/>
                <w:b/>
                <w:bCs/>
                <w:szCs w:val="21"/>
                <w:lang w:val="en-US" w:eastAsia="zh-CN" w:bidi="ar"/>
              </w:rPr>
              <w:t xml:space="preserve">及验收证明（经采购人、养护单位等相关单位签字盖章）</w:t>
            </w:r>
            <w:r>
              <w:rPr>
                <w:rFonts w:hint="eastAsia" w:ascii="宋体" w:hAnsi="宋体"/>
                <w:b/>
                <w:bCs/>
                <w:szCs w:val="21"/>
                <w:lang w:bidi="ar"/>
              </w:rPr>
              <w:t xml:space="preserve">扫描件</w:t>
            </w:r>
            <w:r>
              <w:rPr>
                <w:rFonts w:hint="eastAsia" w:ascii="宋体" w:hAnsi="宋体"/>
                <w:b/>
                <w:bCs/>
                <w:szCs w:val="21"/>
                <w:lang w:eastAsia="zh-CN" w:bidi="ar"/>
              </w:rPr>
              <w:t xml:space="preserve">（</w:t>
            </w:r>
            <w:r>
              <w:rPr>
                <w:rFonts w:hint="eastAsia" w:ascii="宋体" w:hAnsi="宋体"/>
                <w:b/>
                <w:bCs/>
                <w:szCs w:val="21"/>
                <w:lang w:val="en-US" w:eastAsia="zh-CN" w:bidi="ar"/>
              </w:rPr>
              <w:t xml:space="preserve">或照片）</w:t>
            </w:r>
            <w:r>
              <w:rPr>
                <w:rFonts w:hint="eastAsia" w:ascii="宋体" w:hAnsi="宋体"/>
                <w:b/>
                <w:bCs/>
                <w:szCs w:val="21"/>
                <w:lang w:bidi="ar"/>
              </w:rPr>
              <w:t xml:space="preserve">。不提供</w:t>
            </w:r>
            <w:r>
              <w:rPr>
                <w:rFonts w:hint="eastAsia" w:ascii="宋体" w:hAnsi="宋体"/>
                <w:b/>
                <w:bCs/>
                <w:szCs w:val="21"/>
                <w:lang w:val="en-US" w:eastAsia="zh-CN" w:bidi="ar"/>
              </w:rPr>
              <w:t xml:space="preserve">或提供不全</w:t>
            </w:r>
            <w:r>
              <w:rPr>
                <w:rFonts w:hint="eastAsia" w:ascii="宋体" w:hAnsi="宋体"/>
                <w:b/>
                <w:bCs/>
                <w:szCs w:val="21"/>
                <w:lang w:bidi="ar"/>
              </w:rPr>
              <w:t xml:space="preserve">不得分。</w:t>
            </w:r>
            <w:r>
              <w:rPr>
                <w:rFonts w:hint="eastAsia"/>
                <w:highlight w:val="none"/>
              </w:rPr>
            </w:r>
            <w:r/>
          </w:p>
        </w:tc>
        <w:tc>
          <w:tcPr>
            <w:tcW w:w="702" w:type="dxa"/>
            <w:vAlign w:val="center"/>
            <w:textDirection w:val="lrTb"/>
            <w:noWrap w:val="false"/>
          </w:tcPr>
          <w:p>
            <w:pPr>
              <w:pStyle w:val="1030"/>
              <w:jc w:val="center"/>
              <w:spacing w:line="360" w:lineRule="auto"/>
              <w:rPr>
                <w:rFonts w:hint="eastAsia"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rFonts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12</w:t>
            </w:r>
            <w:r>
              <w:rPr>
                <w:rFonts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val="zh-CN"/>
              </w:rPr>
              <w:t xml:space="preserve">否</w:t>
            </w:r>
            <w:r>
              <w:rPr>
                <w:sz w:val="21"/>
                <w:szCs w:val="21"/>
                <w:highlight w:val="none"/>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eastAsia="zh-CN"/>
              </w:rPr>
              <w:t xml:space="preserve">是</w:t>
            </w:r>
            <w:r>
              <w:rPr>
                <w:sz w:val="21"/>
                <w:szCs w:val="21"/>
                <w:highlight w:val="none"/>
              </w:rPr>
            </w:r>
            <w:r/>
          </w:p>
        </w:tc>
      </w:tr>
      <w:tr>
        <w:trPr>
          <w:trHeight w:val="417"/>
        </w:trPr>
        <w:tc>
          <w:tcPr>
            <w:tcW w:w="835"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szCs w:val="21"/>
                <w:highlight w:val="none"/>
                <w:lang w:val="en-US" w:eastAsia="zh-CN"/>
              </w:rPr>
              <w:t xml:space="preserve">3.2</w:t>
            </w:r>
            <w:r>
              <w:rPr>
                <w:rFonts w:eastAsia="宋体"/>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hint="eastAsia" w:eastAsia="宋体"/>
                <w:szCs w:val="21"/>
                <w:highlight w:val="none"/>
                <w:lang w:val="en-US" w:eastAsia="zh-CN" w:bidi="ar"/>
              </w:rPr>
              <w:framePr w:vAnchor="text" w:hAnchor="page" w:xAlign="center" w:y="394"/>
            </w:pPr>
            <w:r>
              <w:rPr>
                <w:rFonts w:hint="eastAsia" w:eastAsia="宋体" w:cs="宋体"/>
                <w:lang w:val="en-US" w:eastAsia="zh-CN"/>
              </w:rPr>
              <w:t xml:space="preserve">人员配置</w:t>
            </w:r>
            <w:r>
              <w:rPr>
                <w:rFonts w:hint="eastAsia" w:eastAsia="宋体"/>
                <w:szCs w:val="21"/>
                <w:highlight w:val="none"/>
                <w:lang w:val="en-US" w:eastAsia="zh-CN" w:bidi="ar"/>
              </w:rPr>
            </w:r>
            <w:r/>
          </w:p>
        </w:tc>
        <w:tc>
          <w:tcPr>
            <w:tcW w:w="700" w:type="dxa"/>
            <w:vAlign w:val="center"/>
            <w:textDirection w:val="lrTb"/>
            <w:noWrap w:val="false"/>
          </w:tcPr>
          <w:p>
            <w:pPr>
              <w:pStyle w:val="1030"/>
              <w:jc w:val="center"/>
              <w:widowControl/>
              <w:rPr>
                <w:rFonts w:eastAsia="宋体"/>
                <w:szCs w:val="21"/>
                <w:highlight w:val="none"/>
                <w:lang w:val="en-US" w:eastAsia="zh-CN"/>
              </w:rPr>
              <w:framePr w:vAnchor="text" w:hAnchor="page" w:xAlign="center" w:y="394"/>
            </w:pPr>
            <w:r>
              <w:rPr>
                <w:rFonts w:hint="eastAsia" w:ascii="宋体" w:hAnsi="宋体"/>
                <w:szCs w:val="21"/>
                <w:lang w:val="en-US" w:eastAsia="zh-CN"/>
              </w:rPr>
              <w:t xml:space="preserve">12</w:t>
            </w:r>
            <w:r>
              <w:rPr>
                <w:rFonts w:eastAsia="宋体"/>
                <w:szCs w:val="21"/>
                <w:highlight w:val="none"/>
                <w:lang w:val="en-US" w:eastAsia="zh-CN"/>
              </w:rPr>
            </w:r>
            <w:r/>
          </w:p>
        </w:tc>
        <w:tc>
          <w:tcPr>
            <w:tcW w:w="4523" w:type="dxa"/>
            <w:vAlign w:val="center"/>
            <w:textDirection w:val="lrTb"/>
            <w:noWrap w:val="false"/>
          </w:tcPr>
          <w:p>
            <w:pPr>
              <w:pStyle w:val="1030"/>
              <w:numPr>
                <w:ilvl w:val="0"/>
                <w:numId w:val="0"/>
              </w:numPr>
              <w:ind w:left="0" w:firstLine="0"/>
              <w:spacing w:line="360" w:lineRule="exact"/>
              <w:widowControl/>
              <w:rPr>
                <w:rFonts w:ascii="宋体" w:hAnsi="宋体"/>
                <w:szCs w:val="21"/>
                <w:lang w:val="en-US" w:eastAsia="zh-CN"/>
              </w:rPr>
              <w:framePr w:vAnchor="text" w:hAnchor="page" w:xAlign="center" w:y="394"/>
            </w:pPr>
            <w:r>
              <w:rPr>
                <w:rFonts w:hint="eastAsia" w:ascii="宋体" w:hAnsi="宋体"/>
                <w:szCs w:val="21"/>
                <w:lang w:val="en-US" w:eastAsia="zh-CN"/>
              </w:rPr>
              <w:t xml:space="preserve">1.投标人拟配备项目负责人同时具备二级及以上注册建造师（机电工程专业）证书及安全生产考核合格证（B证）的得3分；</w:t>
            </w:r>
            <w:r>
              <w:rPr>
                <w:rFonts w:ascii="宋体" w:hAnsi="宋体"/>
                <w:szCs w:val="21"/>
                <w:lang w:val="en-US" w:eastAsia="zh-CN"/>
              </w:rPr>
            </w:r>
            <w:r/>
          </w:p>
          <w:p>
            <w:pPr>
              <w:pStyle w:val="1030"/>
              <w:numPr>
                <w:ilvl w:val="0"/>
                <w:numId w:val="0"/>
              </w:numPr>
              <w:ind w:left="0" w:firstLine="0"/>
              <w:spacing w:line="360" w:lineRule="exact"/>
              <w:widowControl/>
              <w:rPr>
                <w:rFonts w:hint="eastAsia" w:ascii="宋体" w:hAnsi="宋体"/>
                <w:szCs w:val="21"/>
              </w:rPr>
              <w:framePr w:vAnchor="text" w:hAnchor="page" w:xAlign="center" w:y="394"/>
            </w:pPr>
            <w:r>
              <w:rPr>
                <w:rFonts w:hint="eastAsia" w:ascii="宋体" w:hAnsi="宋体"/>
                <w:szCs w:val="21"/>
                <w:lang w:val="en-US" w:eastAsia="zh-CN"/>
              </w:rPr>
              <w:t xml:space="preserve">2.在满足采购需求里的专业技术持证人员的基础上：每多一项电工作业证或特种作业操作证（操作项目：高处安装、维护、拆除作业）或B证及以上驾驶证加1分，最高得9分。</w:t>
            </w:r>
            <w:r>
              <w:rPr>
                <w:rFonts w:hint="eastAsia" w:ascii="宋体" w:hAnsi="宋体"/>
                <w:szCs w:val="21"/>
              </w:rPr>
            </w:r>
            <w:r/>
          </w:p>
          <w:p>
            <w:pPr>
              <w:pStyle w:val="1030"/>
              <w:numPr>
                <w:ilvl w:val="0"/>
                <w:numId w:val="0"/>
              </w:numPr>
              <w:ind w:left="0" w:firstLine="0"/>
              <w:spacing w:line="360" w:lineRule="exact"/>
              <w:widowControl/>
              <w:rPr>
                <w:rFonts w:ascii="宋体" w:hAnsi="宋体" w:eastAsia="宋体" w:cs="宋体"/>
                <w:b/>
                <w:szCs w:val="21"/>
                <w:highlight w:val="none"/>
                <w:lang w:val="en-US" w:eastAsia="zh-CN"/>
              </w:rPr>
              <w:framePr w:vAnchor="text" w:hAnchor="page" w:xAlign="center" w:y="394"/>
            </w:pPr>
            <w:r>
              <w:rPr>
                <w:rFonts w:hint="eastAsia" w:ascii="宋体" w:hAnsi="宋体" w:eastAsia="宋体" w:cs="Times New Roman"/>
                <w:b/>
                <w:bCs/>
                <w:szCs w:val="21"/>
                <w:lang w:eastAsia="zh-CN" w:bidi="ar"/>
              </w:rPr>
              <w:t xml:space="preserve">注：提供</w:t>
            </w:r>
            <w:r>
              <w:rPr>
                <w:rFonts w:hint="eastAsia" w:ascii="宋体" w:hAnsi="宋体" w:eastAsia="宋体" w:cs="Times New Roman"/>
                <w:b/>
                <w:bCs/>
                <w:szCs w:val="21"/>
                <w:lang w:val="en-US" w:eastAsia="zh-CN" w:bidi="ar"/>
              </w:rPr>
              <w:t xml:space="preserve">上述人员相关</w:t>
            </w:r>
            <w:r>
              <w:rPr>
                <w:rFonts w:hint="eastAsia" w:ascii="宋体" w:hAnsi="宋体" w:eastAsia="宋体" w:cs="Times New Roman"/>
                <w:b/>
                <w:bCs/>
                <w:szCs w:val="21"/>
                <w:lang w:eastAsia="zh-CN" w:bidi="ar"/>
              </w:rPr>
              <w:t xml:space="preserve">证书及</w:t>
            </w:r>
            <w:r>
              <w:rPr>
                <w:rFonts w:hint="eastAsia" w:ascii="宋体" w:hAnsi="宋体" w:eastAsia="宋体" w:cs="Times New Roman"/>
                <w:b/>
                <w:bCs/>
                <w:szCs w:val="21"/>
                <w:lang w:val="en-US" w:eastAsia="zh-CN" w:bidi="ar"/>
              </w:rPr>
              <w:t xml:space="preserve">投标</w:t>
            </w:r>
            <w:r>
              <w:rPr>
                <w:rFonts w:hint="eastAsia" w:ascii="宋体" w:hAnsi="宋体" w:eastAsia="宋体" w:cs="Times New Roman"/>
                <w:b/>
                <w:bCs/>
                <w:szCs w:val="21"/>
                <w:lang w:eastAsia="zh-CN" w:bidi="ar"/>
              </w:rPr>
              <w:t xml:space="preserve">截止日前半年内任意</w:t>
            </w:r>
            <w:r>
              <w:rPr>
                <w:rFonts w:hint="eastAsia" w:ascii="宋体" w:hAnsi="宋体" w:eastAsia="宋体" w:cs="Times New Roman"/>
                <w:b/>
                <w:bCs/>
                <w:szCs w:val="21"/>
                <w:lang w:val="en-US" w:eastAsia="zh-CN" w:bidi="ar"/>
              </w:rPr>
              <w:t xml:space="preserve">一</w:t>
            </w:r>
            <w:r>
              <w:rPr>
                <w:rFonts w:hint="eastAsia" w:ascii="宋体" w:hAnsi="宋体" w:eastAsia="宋体" w:cs="Times New Roman"/>
                <w:b/>
                <w:bCs/>
                <w:szCs w:val="21"/>
                <w:lang w:eastAsia="zh-CN" w:bidi="ar"/>
              </w:rPr>
              <w:t xml:space="preserve">个月</w:t>
            </w:r>
            <w:r>
              <w:rPr>
                <w:rFonts w:hint="eastAsia" w:ascii="宋体" w:hAnsi="宋体" w:eastAsia="宋体" w:cs="Times New Roman"/>
                <w:b/>
                <w:bCs/>
                <w:szCs w:val="21"/>
                <w:lang w:val="en-US" w:eastAsia="zh-CN" w:bidi="ar"/>
              </w:rPr>
              <w:t xml:space="preserve">投标人</w:t>
            </w:r>
            <w:r>
              <w:rPr>
                <w:rFonts w:hint="eastAsia" w:ascii="宋体" w:hAnsi="宋体" w:eastAsia="宋体" w:cs="Times New Roman"/>
                <w:b/>
                <w:bCs/>
                <w:szCs w:val="21"/>
                <w:lang w:eastAsia="zh-CN" w:bidi="ar"/>
              </w:rPr>
              <w:t xml:space="preserve">为</w:t>
            </w:r>
            <w:r>
              <w:rPr>
                <w:rFonts w:hint="eastAsia" w:ascii="宋体" w:hAnsi="宋体" w:eastAsia="宋体" w:cs="Times New Roman"/>
                <w:b/>
                <w:bCs/>
                <w:szCs w:val="21"/>
                <w:lang w:val="en-US" w:eastAsia="zh-CN" w:bidi="ar"/>
              </w:rPr>
              <w:t xml:space="preserve">其</w:t>
            </w:r>
            <w:r>
              <w:rPr>
                <w:rFonts w:hint="eastAsia" w:ascii="宋体" w:hAnsi="宋体" w:eastAsia="宋体" w:cs="Times New Roman"/>
                <w:b/>
                <w:bCs/>
                <w:szCs w:val="21"/>
                <w:lang w:eastAsia="zh-CN" w:bidi="ar"/>
              </w:rPr>
              <w:t xml:space="preserve">缴纳的社保证明材料扫描件（</w:t>
            </w:r>
            <w:r>
              <w:rPr>
                <w:rFonts w:hint="eastAsia" w:ascii="宋体" w:hAnsi="宋体" w:eastAsia="宋体" w:cs="Times New Roman"/>
                <w:b/>
                <w:bCs/>
                <w:szCs w:val="21"/>
                <w:lang w:val="en-US" w:eastAsia="zh-CN" w:bidi="ar"/>
              </w:rPr>
              <w:t xml:space="preserve">或照片）</w:t>
            </w:r>
            <w:r>
              <w:rPr>
                <w:rFonts w:hint="eastAsia" w:ascii="宋体" w:hAnsi="宋体" w:eastAsia="宋体" w:cs="Times New Roman"/>
                <w:b/>
                <w:bCs/>
                <w:szCs w:val="21"/>
                <w:lang w:eastAsia="zh-CN" w:bidi="ar"/>
              </w:rPr>
              <w:t xml:space="preserve">，不提供或提供不全不得分。</w:t>
            </w:r>
            <w:r>
              <w:rPr>
                <w:rFonts w:ascii="宋体" w:hAnsi="宋体" w:eastAsia="宋体" w:cs="宋体"/>
                <w:b/>
                <w:szCs w:val="21"/>
                <w:highlight w:val="none"/>
                <w:lang w:val="en-US" w:eastAsia="zh-CN"/>
              </w:rPr>
            </w:r>
            <w:r/>
          </w:p>
        </w:tc>
        <w:tc>
          <w:tcPr>
            <w:tcW w:w="702" w:type="dxa"/>
            <w:vAlign w:val="center"/>
            <w:textDirection w:val="lrTb"/>
            <w:noWrap w:val="false"/>
          </w:tcPr>
          <w:p>
            <w:pPr>
              <w:pStyle w:val="1030"/>
              <w:jc w:val="center"/>
              <w:spacing w:line="360" w:lineRule="auto"/>
              <w:rPr>
                <w:rFonts w:hint="eastAsia"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0</w:t>
            </w:r>
            <w:r>
              <w:rPr>
                <w:rFonts w:hint="eastAsia"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rFonts w:eastAsia="宋体"/>
                <w:sz w:val="21"/>
                <w:szCs w:val="21"/>
                <w:highlight w:val="none"/>
                <w:lang w:val="en-US" w:eastAsia="zh-CN"/>
              </w:rPr>
              <w:framePr w:vAnchor="text" w:hAnchor="page" w:xAlign="center" w:y="394"/>
            </w:pPr>
            <w:r>
              <w:rPr>
                <w:rFonts w:hint="eastAsia" w:ascii="宋体" w:hAnsi="宋体" w:eastAsia="宋体" w:cs="宋体"/>
                <w:szCs w:val="21"/>
                <w:lang w:val="en-US" w:eastAsia="zh-CN"/>
              </w:rPr>
              <w:t xml:space="preserve">12</w:t>
            </w:r>
            <w:r>
              <w:rPr>
                <w:rFonts w:eastAsia="宋体"/>
                <w:sz w:val="21"/>
                <w:szCs w:val="21"/>
                <w:highlight w:val="none"/>
                <w:lang w:val="en-US" w:eastAsia="zh-CN"/>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val="zh-CN"/>
              </w:rPr>
              <w:t xml:space="preserve">否</w:t>
            </w:r>
            <w:r>
              <w:rPr>
                <w:sz w:val="21"/>
                <w:szCs w:val="21"/>
                <w:highlight w:val="none"/>
              </w:rPr>
            </w:r>
            <w:r/>
          </w:p>
        </w:tc>
        <w:tc>
          <w:tcPr>
            <w:tcW w:w="702" w:type="dxa"/>
            <w:vAlign w:val="center"/>
            <w:textDirection w:val="lrTb"/>
            <w:noWrap w:val="false"/>
          </w:tcPr>
          <w:p>
            <w:pPr>
              <w:pStyle w:val="1030"/>
              <w:jc w:val="center"/>
              <w:spacing w:line="360" w:lineRule="auto"/>
              <w:rPr>
                <w:sz w:val="21"/>
                <w:szCs w:val="21"/>
                <w:highlight w:val="none"/>
              </w:rPr>
              <w:framePr w:vAnchor="text" w:hAnchor="page" w:xAlign="center" w:y="394"/>
            </w:pPr>
            <w:r>
              <w:rPr>
                <w:rFonts w:hint="eastAsia" w:ascii="宋体" w:hAnsi="宋体" w:eastAsia="宋体" w:cs="宋体"/>
                <w:szCs w:val="21"/>
                <w:lang w:eastAsia="zh-CN"/>
              </w:rPr>
              <w:t xml:space="preserve">是</w:t>
            </w:r>
            <w:r>
              <w:rPr>
                <w:sz w:val="21"/>
                <w:szCs w:val="21"/>
                <w:highlight w:val="none"/>
              </w:rPr>
            </w:r>
            <w:r/>
          </w:p>
        </w:tc>
      </w:tr>
      <w:tr>
        <w:trPr>
          <w:trHeight w:val="417"/>
        </w:trPr>
        <w:tc>
          <w:tcPr>
            <w:tcW w:w="835" w:type="dxa"/>
            <w:vAlign w:val="center"/>
            <w:textDirection w:val="lrTb"/>
            <w:noWrap w:val="false"/>
          </w:tcPr>
          <w:p>
            <w:pPr>
              <w:pStyle w:val="1030"/>
              <w:ind w:firstLine="28"/>
              <w:jc w:val="center"/>
              <w:rPr>
                <w:szCs w:val="21"/>
                <w:highlight w:val="none"/>
                <w:lang w:val="en-US" w:eastAsia="zh-CN"/>
              </w:rPr>
              <w:framePr w:vAnchor="text" w:hAnchor="page" w:xAlign="center" w:y="394"/>
            </w:pPr>
            <w:r>
              <w:rPr>
                <w:rFonts w:hint="eastAsia"/>
                <w:szCs w:val="21"/>
                <w:highlight w:val="none"/>
                <w:lang w:val="en-US" w:eastAsia="zh-CN"/>
              </w:rPr>
              <w:t xml:space="preserve">3.3</w:t>
            </w:r>
            <w:r>
              <w:rPr>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eastAsia="宋体" w:cs="宋体"/>
                <w:lang w:val="en-US" w:eastAsia="zh-CN"/>
              </w:rPr>
              <w:framePr w:vAnchor="text" w:hAnchor="page" w:xAlign="center" w:y="394"/>
            </w:pPr>
            <w:r>
              <w:rPr>
                <w:rFonts w:hint="eastAsia" w:eastAsia="宋体" w:cs="宋体"/>
                <w:lang w:val="en-US" w:eastAsia="zh-CN"/>
              </w:rPr>
              <w:t xml:space="preserve">车辆配置</w:t>
            </w:r>
            <w:r>
              <w:rPr>
                <w:rFonts w:eastAsia="宋体" w:cs="宋体"/>
                <w:lang w:val="en-US" w:eastAsia="zh-CN"/>
              </w:rPr>
            </w:r>
            <w:r/>
          </w:p>
        </w:tc>
        <w:tc>
          <w:tcPr>
            <w:tcW w:w="700" w:type="dxa"/>
            <w:vAlign w:val="center"/>
            <w:textDirection w:val="lrTb"/>
            <w:noWrap w:val="false"/>
          </w:tcPr>
          <w:p>
            <w:pPr>
              <w:pStyle w:val="1030"/>
              <w:jc w:val="center"/>
              <w:widowControl/>
              <w:rPr>
                <w:rFonts w:ascii="宋体" w:hAnsi="宋体"/>
                <w:szCs w:val="21"/>
                <w:lang w:val="en-US" w:eastAsia="zh-CN"/>
              </w:rPr>
              <w:framePr w:vAnchor="text" w:hAnchor="page" w:xAlign="center" w:y="394"/>
            </w:pPr>
            <w:r>
              <w:rPr>
                <w:rFonts w:hint="eastAsia" w:ascii="宋体" w:hAnsi="宋体"/>
                <w:szCs w:val="21"/>
                <w:lang w:val="en-US" w:eastAsia="zh-CN"/>
              </w:rPr>
              <w:t xml:space="preserve">15</w:t>
            </w:r>
            <w:r>
              <w:rPr>
                <w:rFonts w:ascii="宋体" w:hAnsi="宋体"/>
                <w:szCs w:val="21"/>
                <w:lang w:val="en-US" w:eastAsia="zh-CN"/>
              </w:rPr>
            </w:r>
            <w:r/>
          </w:p>
        </w:tc>
        <w:tc>
          <w:tcPr>
            <w:tcW w:w="4523" w:type="dxa"/>
            <w:vAlign w:val="center"/>
            <w:textDirection w:val="lrTb"/>
            <w:noWrap w:val="false"/>
          </w:tcPr>
          <w:p>
            <w:pPr>
              <w:pStyle w:val="1030"/>
              <w:numPr>
                <w:ilvl w:val="0"/>
                <w:numId w:val="0"/>
              </w:numPr>
              <w:ind w:left="0" w:firstLine="0"/>
              <w:spacing w:line="360" w:lineRule="exact"/>
              <w:widowControl/>
              <w:rPr>
                <w:rFonts w:hint="eastAsia" w:ascii="宋体" w:hAnsi="宋体" w:eastAsia="宋体" w:cs="Times New Roman"/>
                <w:b w:val="0"/>
                <w:bCs w:val="0"/>
                <w:szCs w:val="21"/>
                <w:lang w:eastAsia="zh-CN" w:bidi="ar"/>
              </w:rPr>
              <w:framePr w:vAnchor="text" w:hAnchor="page" w:xAlign="center" w:y="394"/>
            </w:pPr>
            <w:r>
              <w:rPr>
                <w:rFonts w:hint="eastAsia" w:ascii="宋体" w:hAnsi="宋体" w:eastAsia="宋体" w:cs="Times New Roman"/>
                <w:b w:val="0"/>
                <w:bCs w:val="0"/>
                <w:szCs w:val="21"/>
                <w:lang w:eastAsia="zh-CN" w:bidi="ar"/>
              </w:rPr>
              <w:t xml:space="preserve">1、</w:t>
            </w:r>
            <w:r>
              <w:rPr>
                <w:rFonts w:hint="eastAsia" w:ascii="宋体" w:hAnsi="宋体" w:eastAsia="宋体" w:cs="Times New Roman"/>
                <w:b w:val="0"/>
                <w:bCs w:val="0"/>
                <w:szCs w:val="21"/>
                <w:lang w:val="en-US" w:eastAsia="zh-CN" w:bidi="ar"/>
              </w:rPr>
              <w:t xml:space="preserve">投标人</w:t>
            </w:r>
            <w:r>
              <w:rPr>
                <w:rFonts w:hint="eastAsia" w:ascii="宋体" w:hAnsi="宋体" w:eastAsia="宋体" w:cs="Times New Roman"/>
                <w:b w:val="0"/>
                <w:bCs w:val="0"/>
                <w:szCs w:val="21"/>
                <w:lang w:eastAsia="zh-CN" w:bidi="ar"/>
              </w:rPr>
              <w:t xml:space="preserve">在满足采购需求中维修路灯专用高架车基本要求后：每多增加1辆16米及以上维修路灯专用高架车的得</w:t>
            </w:r>
            <w:r>
              <w:rPr>
                <w:rFonts w:hint="eastAsia" w:ascii="宋体" w:hAnsi="宋体" w:eastAsia="宋体" w:cs="Times New Roman"/>
                <w:b w:val="0"/>
                <w:bCs w:val="0"/>
                <w:szCs w:val="21"/>
                <w:lang w:val="en-US" w:eastAsia="zh-CN" w:bidi="ar"/>
              </w:rPr>
              <w:t xml:space="preserve">2</w:t>
            </w:r>
            <w:r>
              <w:rPr>
                <w:rFonts w:hint="eastAsia" w:ascii="宋体" w:hAnsi="宋体" w:eastAsia="宋体" w:cs="Times New Roman"/>
                <w:b w:val="0"/>
                <w:bCs w:val="0"/>
                <w:szCs w:val="21"/>
                <w:lang w:eastAsia="zh-CN" w:bidi="ar"/>
              </w:rPr>
              <w:t xml:space="preserve">分，最高得</w:t>
            </w:r>
            <w:r>
              <w:rPr>
                <w:rFonts w:hint="eastAsia" w:ascii="宋体" w:hAnsi="宋体" w:eastAsia="宋体" w:cs="Times New Roman"/>
                <w:b w:val="0"/>
                <w:bCs w:val="0"/>
                <w:szCs w:val="21"/>
                <w:lang w:val="en-US" w:eastAsia="zh-CN" w:bidi="ar"/>
              </w:rPr>
              <w:t xml:space="preserve">6</w:t>
            </w:r>
            <w:r>
              <w:rPr>
                <w:rFonts w:hint="eastAsia" w:ascii="宋体" w:hAnsi="宋体" w:eastAsia="宋体" w:cs="Times New Roman"/>
                <w:b w:val="0"/>
                <w:bCs w:val="0"/>
                <w:szCs w:val="21"/>
                <w:lang w:eastAsia="zh-CN" w:bidi="ar"/>
              </w:rPr>
              <w:t xml:space="preserve">分；</w:t>
            </w:r>
            <w:r>
              <w:rPr>
                <w:rFonts w:hint="eastAsia" w:ascii="宋体" w:hAnsi="宋体" w:eastAsia="宋体" w:cs="Times New Roman"/>
                <w:b w:val="0"/>
                <w:bCs w:val="0"/>
                <w:szCs w:val="21"/>
                <w:lang w:eastAsia="zh-CN" w:bidi="ar"/>
              </w:rPr>
            </w:r>
            <w:r/>
          </w:p>
          <w:p>
            <w:pPr>
              <w:pStyle w:val="1030"/>
              <w:numPr>
                <w:ilvl w:val="0"/>
                <w:numId w:val="0"/>
              </w:numPr>
              <w:ind w:left="0" w:firstLine="0"/>
              <w:spacing w:line="360" w:lineRule="exact"/>
              <w:widowControl/>
              <w:rPr>
                <w:rFonts w:hint="eastAsia" w:ascii="宋体" w:hAnsi="宋体" w:eastAsia="宋体" w:cs="Times New Roman"/>
                <w:b w:val="0"/>
                <w:bCs w:val="0"/>
                <w:szCs w:val="21"/>
                <w:lang w:eastAsia="zh-CN" w:bidi="ar"/>
              </w:rPr>
              <w:framePr w:vAnchor="text" w:hAnchor="page" w:xAlign="center" w:y="394"/>
            </w:pPr>
            <w:r>
              <w:rPr>
                <w:rFonts w:hint="eastAsia" w:ascii="宋体" w:hAnsi="宋体" w:eastAsia="宋体" w:cs="Times New Roman"/>
                <w:b w:val="0"/>
                <w:bCs w:val="0"/>
                <w:szCs w:val="21"/>
                <w:lang w:eastAsia="zh-CN" w:bidi="ar"/>
              </w:rPr>
              <w:t xml:space="preserve">2、</w:t>
            </w:r>
            <w:r>
              <w:rPr>
                <w:rFonts w:hint="eastAsia" w:ascii="宋体" w:hAnsi="宋体" w:eastAsia="宋体" w:cs="Times New Roman"/>
                <w:b w:val="0"/>
                <w:bCs w:val="0"/>
                <w:szCs w:val="21"/>
                <w:lang w:val="en-US" w:eastAsia="zh-CN" w:bidi="ar"/>
              </w:rPr>
              <w:t xml:space="preserve">投标</w:t>
            </w:r>
            <w:r>
              <w:rPr>
                <w:rFonts w:hint="eastAsia" w:ascii="宋体" w:hAnsi="宋体" w:eastAsia="宋体" w:cs="Times New Roman"/>
                <w:b w:val="0"/>
                <w:bCs w:val="0"/>
                <w:szCs w:val="21"/>
                <w:lang w:eastAsia="zh-CN" w:bidi="ar"/>
              </w:rPr>
              <w:t xml:space="preserve">人有防撞等级70K及以上防撞缓冲车的得</w:t>
            </w:r>
            <w:r>
              <w:rPr>
                <w:rFonts w:hint="eastAsia" w:ascii="宋体" w:hAnsi="宋体" w:eastAsia="宋体" w:cs="Times New Roman"/>
                <w:b w:val="0"/>
                <w:bCs w:val="0"/>
                <w:szCs w:val="21"/>
                <w:lang w:val="en-US" w:eastAsia="zh-CN" w:bidi="ar"/>
              </w:rPr>
              <w:t xml:space="preserve">5</w:t>
            </w:r>
            <w:r>
              <w:rPr>
                <w:rFonts w:hint="eastAsia" w:ascii="宋体" w:hAnsi="宋体" w:eastAsia="宋体" w:cs="Times New Roman"/>
                <w:b w:val="0"/>
                <w:bCs w:val="0"/>
                <w:szCs w:val="21"/>
                <w:lang w:eastAsia="zh-CN" w:bidi="ar"/>
              </w:rPr>
              <w:t xml:space="preserve">分，最高得</w:t>
            </w:r>
            <w:r>
              <w:rPr>
                <w:rFonts w:hint="eastAsia" w:ascii="宋体" w:hAnsi="宋体" w:eastAsia="宋体" w:cs="Times New Roman"/>
                <w:b w:val="0"/>
                <w:bCs w:val="0"/>
                <w:szCs w:val="21"/>
                <w:lang w:val="en-US" w:eastAsia="zh-CN" w:bidi="ar"/>
              </w:rPr>
              <w:t xml:space="preserve">5</w:t>
            </w:r>
            <w:r>
              <w:rPr>
                <w:rFonts w:hint="eastAsia" w:ascii="宋体" w:hAnsi="宋体" w:eastAsia="宋体" w:cs="Times New Roman"/>
                <w:b w:val="0"/>
                <w:bCs w:val="0"/>
                <w:szCs w:val="21"/>
                <w:lang w:eastAsia="zh-CN" w:bidi="ar"/>
              </w:rPr>
              <w:t xml:space="preserve">分。</w:t>
            </w:r>
            <w:r>
              <w:rPr>
                <w:rFonts w:hint="eastAsia" w:ascii="宋体" w:hAnsi="宋体" w:eastAsia="宋体" w:cs="Times New Roman"/>
                <w:b w:val="0"/>
                <w:bCs w:val="0"/>
                <w:szCs w:val="21"/>
                <w:lang w:eastAsia="zh-CN" w:bidi="ar"/>
              </w:rPr>
            </w:r>
            <w:r/>
          </w:p>
          <w:p>
            <w:pPr>
              <w:pStyle w:val="1030"/>
              <w:numPr>
                <w:ilvl w:val="0"/>
                <w:numId w:val="0"/>
              </w:numPr>
              <w:ind w:left="0" w:firstLine="0"/>
              <w:spacing w:line="360" w:lineRule="exact"/>
              <w:widowControl/>
              <w:rPr>
                <w:rFonts w:hint="eastAsia" w:ascii="宋体" w:hAnsi="宋体" w:eastAsia="宋体" w:cs="Times New Roman"/>
                <w:b w:val="0"/>
                <w:bCs w:val="0"/>
                <w:szCs w:val="21"/>
                <w:lang w:eastAsia="zh-CN" w:bidi="ar"/>
              </w:rPr>
              <w:framePr w:vAnchor="text" w:hAnchor="page" w:xAlign="center" w:y="394"/>
            </w:pPr>
            <w:r>
              <w:rPr>
                <w:rFonts w:hint="eastAsia" w:ascii="宋体" w:hAnsi="宋体" w:eastAsia="宋体" w:cs="Times New Roman"/>
                <w:b w:val="0"/>
                <w:bCs w:val="0"/>
                <w:szCs w:val="21"/>
                <w:lang w:eastAsia="zh-CN" w:bidi="ar"/>
              </w:rPr>
              <w:t xml:space="preserve">3、</w:t>
            </w:r>
            <w:r>
              <w:rPr>
                <w:rFonts w:hint="eastAsia" w:ascii="宋体" w:hAnsi="宋体" w:eastAsia="宋体" w:cs="Times New Roman"/>
                <w:b w:val="0"/>
                <w:bCs w:val="0"/>
                <w:szCs w:val="21"/>
                <w:lang w:val="en-US" w:eastAsia="zh-CN" w:bidi="ar"/>
              </w:rPr>
              <w:t xml:space="preserve">投标</w:t>
            </w:r>
            <w:r>
              <w:rPr>
                <w:rFonts w:hint="eastAsia" w:ascii="宋体" w:hAnsi="宋体" w:eastAsia="宋体" w:cs="Times New Roman"/>
                <w:b w:val="0"/>
                <w:bCs w:val="0"/>
                <w:szCs w:val="21"/>
                <w:lang w:eastAsia="zh-CN" w:bidi="ar"/>
              </w:rPr>
              <w:t xml:space="preserve">人在满足采购需求中巡检抢修车辆后：每多增加1辆巡检抢修车辆的得</w:t>
            </w:r>
            <w:r>
              <w:rPr>
                <w:rFonts w:hint="eastAsia" w:ascii="宋体" w:hAnsi="宋体" w:eastAsia="宋体" w:cs="Times New Roman"/>
                <w:b w:val="0"/>
                <w:bCs w:val="0"/>
                <w:szCs w:val="21"/>
                <w:lang w:val="en-US" w:eastAsia="zh-CN" w:bidi="ar"/>
              </w:rPr>
              <w:t xml:space="preserve">2</w:t>
            </w:r>
            <w:r>
              <w:rPr>
                <w:rFonts w:hint="eastAsia" w:ascii="宋体" w:hAnsi="宋体" w:eastAsia="宋体" w:cs="Times New Roman"/>
                <w:b w:val="0"/>
                <w:bCs w:val="0"/>
                <w:szCs w:val="21"/>
                <w:lang w:eastAsia="zh-CN" w:bidi="ar"/>
              </w:rPr>
              <w:t xml:space="preserve">分，最高得</w:t>
            </w:r>
            <w:r>
              <w:rPr>
                <w:rFonts w:hint="eastAsia" w:ascii="宋体" w:hAnsi="宋体" w:eastAsia="宋体" w:cs="Times New Roman"/>
                <w:b w:val="0"/>
                <w:bCs w:val="0"/>
                <w:szCs w:val="21"/>
                <w:lang w:val="en-US" w:eastAsia="zh-CN" w:bidi="ar"/>
              </w:rPr>
              <w:t xml:space="preserve">4</w:t>
            </w:r>
            <w:r>
              <w:rPr>
                <w:rFonts w:hint="eastAsia" w:ascii="宋体" w:hAnsi="宋体" w:eastAsia="宋体" w:cs="Times New Roman"/>
                <w:b w:val="0"/>
                <w:bCs w:val="0"/>
                <w:szCs w:val="21"/>
                <w:lang w:eastAsia="zh-CN" w:bidi="ar"/>
              </w:rPr>
              <w:t xml:space="preserve">分。</w:t>
            </w:r>
            <w:r>
              <w:rPr>
                <w:rFonts w:hint="eastAsia" w:ascii="宋体" w:hAnsi="宋体" w:eastAsia="宋体" w:cs="Times New Roman"/>
                <w:b w:val="0"/>
                <w:bCs w:val="0"/>
                <w:szCs w:val="21"/>
                <w:lang w:eastAsia="zh-CN" w:bidi="ar"/>
              </w:rPr>
            </w:r>
            <w:r/>
          </w:p>
          <w:p>
            <w:pPr>
              <w:pStyle w:val="1030"/>
              <w:numPr>
                <w:ilvl w:val="0"/>
                <w:numId w:val="0"/>
              </w:numPr>
              <w:ind w:left="0" w:firstLine="0"/>
              <w:spacing w:line="360" w:lineRule="exact"/>
              <w:widowControl/>
              <w:rPr>
                <w:rFonts w:hint="eastAsia" w:ascii="宋体" w:hAnsi="宋体" w:eastAsia="宋体" w:cs="Times New Roman"/>
                <w:b/>
                <w:bCs/>
                <w:szCs w:val="21"/>
                <w:lang w:eastAsia="zh-CN" w:bidi="ar"/>
              </w:rPr>
              <w:framePr w:vAnchor="text" w:hAnchor="page" w:xAlign="center" w:y="394"/>
            </w:pPr>
            <w:r>
              <w:rPr>
                <w:rFonts w:hint="eastAsia" w:ascii="宋体" w:hAnsi="宋体" w:eastAsia="宋体" w:cs="Times New Roman"/>
                <w:b/>
                <w:bCs/>
                <w:szCs w:val="21"/>
                <w:lang w:eastAsia="zh-CN" w:bidi="ar"/>
              </w:rPr>
              <w:t xml:space="preserve">注：</w:t>
            </w:r>
            <w:r>
              <w:rPr>
                <w:rFonts w:hint="eastAsia" w:ascii="宋体" w:hAnsi="宋体" w:eastAsia="宋体" w:cs="Times New Roman"/>
                <w:b/>
                <w:bCs/>
                <w:szCs w:val="21"/>
                <w:lang w:val="en-US" w:eastAsia="zh-CN" w:bidi="ar"/>
              </w:rPr>
              <w:t xml:space="preserve">1.</w:t>
            </w:r>
            <w:r>
              <w:rPr>
                <w:rFonts w:hint="eastAsia" w:ascii="宋体" w:hAnsi="宋体" w:eastAsia="宋体" w:cs="Times New Roman"/>
                <w:b/>
                <w:bCs/>
                <w:szCs w:val="21"/>
                <w:lang w:eastAsia="zh-CN" w:bidi="ar"/>
              </w:rPr>
              <w:t xml:space="preserve">如为自有车辆：需提供机动车登记证书、行驶证、购置发票。</w:t>
            </w:r>
            <w:r>
              <w:rPr>
                <w:rFonts w:hint="eastAsia" w:ascii="宋体" w:hAnsi="宋体" w:eastAsia="宋体" w:cs="Times New Roman"/>
                <w:b/>
                <w:bCs/>
                <w:szCs w:val="21"/>
                <w:lang w:eastAsia="zh-CN" w:bidi="ar"/>
              </w:rPr>
            </w:r>
            <w:r/>
          </w:p>
          <w:p>
            <w:pPr>
              <w:pStyle w:val="1030"/>
              <w:numPr>
                <w:ilvl w:val="0"/>
                <w:numId w:val="0"/>
              </w:numPr>
              <w:ind w:left="0" w:firstLine="0"/>
              <w:spacing w:line="360" w:lineRule="exact"/>
              <w:widowControl/>
              <w:rPr>
                <w:rFonts w:hint="eastAsia" w:ascii="宋体" w:hAnsi="宋体" w:eastAsia="宋体" w:cs="Times New Roman"/>
                <w:b/>
                <w:bCs/>
                <w:szCs w:val="21"/>
                <w:lang w:eastAsia="zh-CN" w:bidi="ar"/>
              </w:rPr>
              <w:framePr w:vAnchor="text" w:hAnchor="page" w:xAlign="center" w:y="394"/>
            </w:pPr>
            <w:r>
              <w:rPr>
                <w:rFonts w:hint="eastAsia" w:ascii="宋体" w:hAnsi="宋体" w:eastAsia="宋体" w:cs="Times New Roman"/>
                <w:b/>
                <w:bCs/>
                <w:szCs w:val="21"/>
                <w:lang w:eastAsia="zh-CN" w:bidi="ar"/>
              </w:rPr>
              <w:t xml:space="preserve">如为租赁车辆：除机动车登记证书、行驶证外，还须提供租赁合同及租赁发票。</w:t>
            </w:r>
            <w:r>
              <w:rPr>
                <w:rFonts w:hint="eastAsia" w:ascii="宋体" w:hAnsi="宋体" w:eastAsia="宋体" w:cs="Times New Roman"/>
                <w:b/>
                <w:bCs/>
                <w:szCs w:val="21"/>
                <w:lang w:eastAsia="zh-CN" w:bidi="ar"/>
              </w:rPr>
            </w:r>
            <w:r/>
          </w:p>
          <w:p>
            <w:pPr>
              <w:pStyle w:val="1030"/>
              <w:numPr>
                <w:ilvl w:val="0"/>
                <w:numId w:val="0"/>
              </w:numPr>
              <w:spacing w:line="360" w:lineRule="exact"/>
              <w:widowControl/>
              <w:rPr>
                <w:rFonts w:hint="eastAsia" w:ascii="宋体" w:hAnsi="宋体" w:eastAsia="宋体" w:cs="Times New Roman"/>
                <w:b/>
                <w:bCs/>
                <w:szCs w:val="21"/>
                <w:lang w:eastAsia="zh-CN" w:bidi="ar"/>
              </w:rPr>
              <w:framePr w:vAnchor="text" w:hAnchor="page" w:xAlign="center" w:y="394"/>
            </w:pPr>
            <w:r>
              <w:rPr>
                <w:rFonts w:hint="eastAsia" w:ascii="宋体" w:hAnsi="宋体" w:eastAsia="宋体" w:cs="Times New Roman"/>
                <w:b/>
                <w:bCs/>
                <w:szCs w:val="21"/>
                <w:lang w:val="en-US" w:eastAsia="zh-CN" w:bidi="ar"/>
              </w:rPr>
              <w:t xml:space="preserve">2.</w:t>
            </w:r>
            <w:r>
              <w:rPr>
                <w:rFonts w:hint="eastAsia" w:ascii="宋体" w:hAnsi="宋体" w:eastAsia="宋体" w:cs="Times New Roman"/>
                <w:b/>
                <w:bCs/>
                <w:szCs w:val="21"/>
                <w:lang w:eastAsia="zh-CN" w:bidi="ar"/>
              </w:rPr>
              <w:t xml:space="preserve">维修路灯专用高架车除提供以上材料，还需提供车辆信息（含最高作业高度）铭牌或提供高度证明材料。</w:t>
            </w:r>
            <w:r>
              <w:rPr>
                <w:rFonts w:hint="eastAsia" w:ascii="宋体" w:hAnsi="宋体" w:eastAsia="宋体" w:cs="Times New Roman"/>
                <w:b/>
                <w:bCs/>
                <w:szCs w:val="21"/>
                <w:lang w:eastAsia="zh-CN" w:bidi="ar"/>
              </w:rPr>
            </w:r>
            <w:r/>
          </w:p>
          <w:p>
            <w:pPr>
              <w:pStyle w:val="1030"/>
              <w:numPr>
                <w:ilvl w:val="0"/>
                <w:numId w:val="0"/>
              </w:numPr>
              <w:spacing w:line="360" w:lineRule="exact"/>
              <w:widowControl/>
              <w:rPr>
                <w:rFonts w:ascii="宋体" w:hAnsi="宋体" w:eastAsia="宋体" w:cs="Times New Roman"/>
                <w:b/>
                <w:bCs/>
                <w:szCs w:val="21"/>
                <w:lang w:val="en-US" w:eastAsia="zh-CN" w:bidi="ar"/>
              </w:rPr>
              <w:framePr w:vAnchor="text" w:hAnchor="page" w:xAlign="center" w:y="394"/>
            </w:pPr>
            <w:r>
              <w:rPr>
                <w:rFonts w:hint="eastAsia" w:ascii="宋体" w:hAnsi="宋体" w:eastAsia="宋体" w:cs="Times New Roman"/>
                <w:b/>
                <w:bCs/>
                <w:szCs w:val="21"/>
                <w:lang w:val="en-US" w:eastAsia="zh-CN" w:bidi="ar"/>
              </w:rPr>
              <w:t xml:space="preserve">3.上述所需材料均需提供</w:t>
            </w:r>
            <w:r>
              <w:rPr>
                <w:rFonts w:hint="eastAsia" w:ascii="宋体" w:hAnsi="宋体" w:eastAsia="宋体" w:cs="Times New Roman"/>
                <w:b/>
                <w:bCs/>
                <w:szCs w:val="21"/>
                <w:lang w:eastAsia="zh-CN" w:bidi="ar"/>
              </w:rPr>
              <w:t xml:space="preserve">扫描件（</w:t>
            </w:r>
            <w:r>
              <w:rPr>
                <w:rFonts w:hint="eastAsia" w:ascii="宋体" w:hAnsi="宋体" w:eastAsia="宋体" w:cs="Times New Roman"/>
                <w:b/>
                <w:bCs/>
                <w:szCs w:val="21"/>
                <w:lang w:val="en-US" w:eastAsia="zh-CN" w:bidi="ar"/>
              </w:rPr>
              <w:t xml:space="preserve">或照片）</w:t>
            </w:r>
            <w:r>
              <w:rPr>
                <w:rFonts w:hint="eastAsia" w:ascii="宋体" w:hAnsi="宋体" w:eastAsia="宋体" w:cs="Times New Roman"/>
                <w:b/>
                <w:bCs/>
                <w:szCs w:val="21"/>
                <w:lang w:eastAsia="zh-CN" w:bidi="ar"/>
              </w:rPr>
              <w:t xml:space="preserve">，不提供或提供不全不得分。</w:t>
            </w:r>
            <w:r>
              <w:rPr>
                <w:rFonts w:ascii="宋体" w:hAnsi="宋体" w:eastAsia="宋体" w:cs="Times New Roman"/>
                <w:b/>
                <w:bCs/>
                <w:szCs w:val="21"/>
                <w:lang w:val="en-US" w:eastAsia="zh-CN" w:bidi="ar"/>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0</w:t>
            </w:r>
            <w:r>
              <w:rPr>
                <w:rFonts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15</w:t>
            </w:r>
            <w:r>
              <w:rPr>
                <w:rFonts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hint="eastAsia"/>
                <w:sz w:val="21"/>
                <w:szCs w:val="21"/>
                <w:highlight w:val="none"/>
                <w:lang w:val="zh-CN" w:eastAsia="zh-CN" w:bidi="ar-SA"/>
              </w:rPr>
              <w:framePr w:vAnchor="text" w:hAnchor="page" w:xAlign="center" w:y="394"/>
            </w:pPr>
            <w:r>
              <w:rPr>
                <w:rFonts w:hint="eastAsia" w:ascii="宋体" w:hAnsi="宋体" w:eastAsia="宋体" w:cs="宋体"/>
                <w:szCs w:val="21"/>
                <w:lang w:val="zh-CN"/>
              </w:rPr>
              <w:t xml:space="preserve">否</w:t>
            </w:r>
            <w:r>
              <w:rPr>
                <w:rFonts w:hint="eastAsia"/>
                <w:sz w:val="21"/>
                <w:szCs w:val="21"/>
                <w:highlight w:val="none"/>
                <w:lang w:val="zh-CN" w:eastAsia="zh-CN" w:bidi="ar-SA"/>
              </w:rPr>
            </w:r>
            <w:r/>
          </w:p>
        </w:tc>
        <w:tc>
          <w:tcPr>
            <w:tcW w:w="702" w:type="dxa"/>
            <w:vAlign w:val="center"/>
            <w:textDirection w:val="lrTb"/>
            <w:noWrap w:val="false"/>
          </w:tcPr>
          <w:p>
            <w:pPr>
              <w:pStyle w:val="1030"/>
              <w:jc w:val="center"/>
              <w:spacing w:line="360" w:lineRule="auto"/>
              <w:rPr>
                <w:rFonts w:hint="eastAsia"/>
                <w:sz w:val="21"/>
                <w:szCs w:val="21"/>
                <w:highlight w:val="none"/>
                <w:lang w:val="en-US" w:eastAsia="zh-CN" w:bidi="ar-SA"/>
              </w:rPr>
              <w:framePr w:vAnchor="text" w:hAnchor="page" w:xAlign="center" w:y="394"/>
            </w:pPr>
            <w:r>
              <w:rPr>
                <w:rFonts w:hint="eastAsia" w:ascii="宋体" w:hAnsi="宋体" w:eastAsia="宋体" w:cs="宋体"/>
                <w:szCs w:val="21"/>
                <w:lang w:eastAsia="zh-CN"/>
              </w:rPr>
              <w:t xml:space="preserve">是</w:t>
            </w:r>
            <w:r>
              <w:rPr>
                <w:rFonts w:hint="eastAsia"/>
                <w:sz w:val="21"/>
                <w:szCs w:val="21"/>
                <w:highlight w:val="none"/>
                <w:lang w:val="en-US" w:eastAsia="zh-CN" w:bidi="ar-SA"/>
              </w:rPr>
            </w:r>
            <w:r/>
          </w:p>
        </w:tc>
      </w:tr>
      <w:tr>
        <w:trPr>
          <w:trHeight w:val="417"/>
        </w:trPr>
        <w:tc>
          <w:tcPr>
            <w:tcW w:w="835" w:type="dxa"/>
            <w:vAlign w:val="center"/>
            <w:textDirection w:val="lrTb"/>
            <w:noWrap w:val="false"/>
          </w:tcPr>
          <w:p>
            <w:pPr>
              <w:pStyle w:val="1030"/>
              <w:ind w:firstLine="28"/>
              <w:jc w:val="center"/>
              <w:rPr>
                <w:szCs w:val="21"/>
                <w:highlight w:val="none"/>
                <w:lang w:val="en-US" w:eastAsia="zh-CN"/>
              </w:rPr>
              <w:framePr w:vAnchor="text" w:hAnchor="page" w:xAlign="center" w:y="394"/>
            </w:pPr>
            <w:r>
              <w:rPr>
                <w:rFonts w:hint="eastAsia"/>
                <w:szCs w:val="21"/>
                <w:highlight w:val="none"/>
                <w:lang w:val="en-US" w:eastAsia="zh-CN"/>
              </w:rPr>
              <w:t xml:space="preserve">3.4</w:t>
            </w:r>
            <w:r>
              <w:rPr>
                <w:szCs w:val="21"/>
                <w:highlight w:val="none"/>
                <w:lang w:val="en-US" w:eastAsia="zh-CN"/>
              </w:rPr>
            </w:r>
            <w:r/>
          </w:p>
        </w:tc>
        <w:tc>
          <w:tcPr>
            <w:tcW w:w="1126" w:type="dxa"/>
            <w:vAlign w:val="center"/>
            <w:textDirection w:val="lrTb"/>
            <w:noWrap w:val="false"/>
          </w:tcPr>
          <w:p>
            <w:pPr>
              <w:pStyle w:val="1030"/>
              <w:jc w:val="center"/>
              <w:spacing w:line="360" w:lineRule="exact"/>
              <w:widowControl/>
              <w:rPr>
                <w:rFonts w:eastAsia="宋体" w:cs="宋体"/>
                <w:lang w:val="en-US" w:eastAsia="zh-CN"/>
              </w:rPr>
              <w:framePr w:vAnchor="text" w:hAnchor="page" w:xAlign="center" w:y="394"/>
            </w:pPr>
            <w:r>
              <w:rPr>
                <w:rFonts w:hint="eastAsia" w:eastAsia="宋体" w:cs="宋体"/>
                <w:lang w:val="en-US" w:eastAsia="zh-CN"/>
              </w:rPr>
              <w:t xml:space="preserve">服务承诺</w:t>
            </w:r>
            <w:r>
              <w:rPr>
                <w:rFonts w:eastAsia="宋体" w:cs="宋体"/>
                <w:lang w:val="en-US" w:eastAsia="zh-CN"/>
              </w:rPr>
            </w:r>
            <w:r/>
          </w:p>
        </w:tc>
        <w:tc>
          <w:tcPr>
            <w:tcW w:w="700" w:type="dxa"/>
            <w:vAlign w:val="center"/>
            <w:textDirection w:val="lrTb"/>
            <w:noWrap w:val="false"/>
          </w:tcPr>
          <w:p>
            <w:pPr>
              <w:pStyle w:val="1030"/>
              <w:jc w:val="center"/>
              <w:widowControl/>
              <w:rPr>
                <w:rFonts w:ascii="宋体" w:hAnsi="宋体"/>
                <w:szCs w:val="21"/>
                <w:lang w:val="en-US" w:eastAsia="zh-CN"/>
              </w:rPr>
              <w:framePr w:vAnchor="text" w:hAnchor="page" w:xAlign="center" w:y="394"/>
            </w:pPr>
            <w:r>
              <w:rPr>
                <w:rFonts w:hint="eastAsia" w:ascii="宋体" w:hAnsi="宋体"/>
                <w:szCs w:val="21"/>
                <w:lang w:val="en-US" w:eastAsia="zh-CN"/>
              </w:rPr>
              <w:t xml:space="preserve">5</w:t>
            </w:r>
            <w:r>
              <w:rPr>
                <w:rFonts w:ascii="宋体" w:hAnsi="宋体"/>
                <w:szCs w:val="21"/>
                <w:lang w:val="en-US" w:eastAsia="zh-CN"/>
              </w:rPr>
            </w:r>
            <w:r/>
          </w:p>
        </w:tc>
        <w:tc>
          <w:tcPr>
            <w:tcW w:w="4523" w:type="dxa"/>
            <w:vAlign w:val="center"/>
            <w:textDirection w:val="lrTb"/>
            <w:noWrap w:val="false"/>
          </w:tcPr>
          <w:p>
            <w:pPr>
              <w:pStyle w:val="1030"/>
              <w:numPr>
                <w:ilvl w:val="0"/>
                <w:numId w:val="0"/>
              </w:numPr>
              <w:ind w:left="0" w:firstLine="0"/>
              <w:spacing w:line="360" w:lineRule="exact"/>
              <w:widowControl/>
              <w:rPr>
                <w:rFonts w:hint="eastAsia" w:ascii="宋体" w:hAnsi="宋体" w:eastAsia="宋体" w:cs="Times New Roman"/>
                <w:b w:val="0"/>
                <w:bCs w:val="0"/>
                <w:szCs w:val="21"/>
                <w:lang w:eastAsia="zh-CN" w:bidi="ar"/>
              </w:rPr>
              <w:framePr w:vAnchor="text" w:hAnchor="page" w:xAlign="center" w:y="394"/>
            </w:pPr>
            <w:r>
              <w:rPr>
                <w:rFonts w:hint="eastAsia" w:ascii="宋体" w:hAnsi="宋体" w:eastAsia="宋体" w:cs="Times New Roman"/>
                <w:b w:val="0"/>
                <w:bCs w:val="0"/>
                <w:szCs w:val="21"/>
                <w:lang w:val="en-US" w:eastAsia="zh-CN" w:bidi="ar"/>
              </w:rPr>
              <w:t xml:space="preserve">投标</w:t>
            </w:r>
            <w:r>
              <w:rPr>
                <w:rFonts w:hint="eastAsia" w:ascii="宋体" w:hAnsi="宋体" w:eastAsia="宋体" w:cs="Times New Roman"/>
                <w:b w:val="0"/>
                <w:bCs w:val="0"/>
                <w:szCs w:val="21"/>
                <w:lang w:eastAsia="zh-CN" w:bidi="ar"/>
              </w:rPr>
              <w:t xml:space="preserve">人书面承诺（格式自拟）自收到报修通知后按要求到达故障现场处理的得</w:t>
            </w:r>
            <w:r>
              <w:rPr>
                <w:rFonts w:hint="eastAsia" w:ascii="宋体" w:hAnsi="宋体" w:eastAsia="宋体" w:cs="Times New Roman"/>
                <w:b w:val="0"/>
                <w:bCs w:val="0"/>
                <w:szCs w:val="21"/>
                <w:lang w:val="en-US" w:eastAsia="zh-CN" w:bidi="ar"/>
              </w:rPr>
              <w:t xml:space="preserve">5</w:t>
            </w:r>
            <w:r>
              <w:rPr>
                <w:rFonts w:hint="eastAsia" w:ascii="宋体" w:hAnsi="宋体" w:eastAsia="宋体" w:cs="Times New Roman"/>
                <w:b w:val="0"/>
                <w:bCs w:val="0"/>
                <w:szCs w:val="21"/>
                <w:lang w:eastAsia="zh-CN" w:bidi="ar"/>
              </w:rPr>
              <w:t xml:space="preserve">分。</w:t>
            </w:r>
            <w:r>
              <w:rPr>
                <w:rFonts w:hint="eastAsia" w:ascii="宋体" w:hAnsi="宋体" w:eastAsia="宋体" w:cs="Times New Roman"/>
                <w:b w:val="0"/>
                <w:bCs w:val="0"/>
                <w:szCs w:val="21"/>
                <w:lang w:eastAsia="zh-CN" w:bidi="ar"/>
              </w:rPr>
            </w:r>
            <w:r/>
          </w:p>
          <w:p>
            <w:pPr>
              <w:pStyle w:val="1030"/>
              <w:numPr>
                <w:ilvl w:val="0"/>
                <w:numId w:val="0"/>
              </w:numPr>
              <w:ind w:left="0" w:firstLine="0"/>
              <w:spacing w:line="360" w:lineRule="exact"/>
              <w:widowControl/>
              <w:rPr>
                <w:rFonts w:ascii="宋体" w:hAnsi="宋体" w:eastAsia="宋体" w:cs="Times New Roman"/>
                <w:b w:val="0"/>
                <w:bCs w:val="0"/>
                <w:szCs w:val="21"/>
                <w:lang w:val="en-US" w:eastAsia="zh-CN" w:bidi="ar"/>
              </w:rPr>
              <w:framePr w:vAnchor="text" w:hAnchor="page" w:xAlign="center" w:y="394"/>
            </w:pPr>
            <w:r>
              <w:rPr>
                <w:rFonts w:hint="eastAsia" w:ascii="宋体" w:hAnsi="宋体" w:eastAsia="宋体" w:cs="Times New Roman"/>
                <w:b/>
                <w:bCs/>
                <w:szCs w:val="21"/>
                <w:lang w:val="en-US" w:eastAsia="zh-CN" w:bidi="ar"/>
              </w:rPr>
              <w:t xml:space="preserve">注：提供承诺函（格式自拟），不提供不得分。</w:t>
            </w:r>
            <w:r>
              <w:rPr>
                <w:rFonts w:ascii="宋体" w:hAnsi="宋体" w:eastAsia="宋体" w:cs="Times New Roman"/>
                <w:b w:val="0"/>
                <w:bCs w:val="0"/>
                <w:szCs w:val="21"/>
                <w:lang w:val="en-US" w:eastAsia="zh-CN" w:bidi="ar"/>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0</w:t>
            </w:r>
            <w:r>
              <w:rPr>
                <w:rFonts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5</w:t>
            </w:r>
            <w:r>
              <w:rPr>
                <w:rFonts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hint="eastAsia"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否</w:t>
            </w:r>
            <w:r>
              <w:rPr>
                <w:rFonts w:hint="eastAsia" w:ascii="宋体" w:hAnsi="宋体" w:eastAsia="宋体" w:cs="宋体"/>
                <w:szCs w:val="21"/>
                <w:lang w:val="en-US" w:eastAsia="zh-CN"/>
              </w:rPr>
            </w:r>
            <w:r/>
          </w:p>
        </w:tc>
        <w:tc>
          <w:tcPr>
            <w:tcW w:w="702" w:type="dxa"/>
            <w:vAlign w:val="center"/>
            <w:textDirection w:val="lrTb"/>
            <w:noWrap w:val="false"/>
          </w:tcPr>
          <w:p>
            <w:pPr>
              <w:pStyle w:val="1030"/>
              <w:jc w:val="center"/>
              <w:spacing w:line="360" w:lineRule="auto"/>
              <w:rPr>
                <w:rFonts w:ascii="宋体" w:hAnsi="宋体" w:eastAsia="宋体" w:cs="宋体"/>
                <w:szCs w:val="21"/>
                <w:lang w:val="en-US" w:eastAsia="zh-CN"/>
              </w:rPr>
              <w:framePr w:vAnchor="text" w:hAnchor="page" w:xAlign="center" w:y="394"/>
            </w:pPr>
            <w:r>
              <w:rPr>
                <w:rFonts w:hint="eastAsia" w:ascii="宋体" w:hAnsi="宋体" w:eastAsia="宋体" w:cs="宋体"/>
                <w:szCs w:val="21"/>
                <w:lang w:val="en-US" w:eastAsia="zh-CN"/>
              </w:rPr>
              <w:t xml:space="preserve">是</w:t>
            </w:r>
            <w:r>
              <w:rPr>
                <w:rFonts w:ascii="宋体" w:hAnsi="宋体" w:eastAsia="宋体" w:cs="宋体"/>
                <w:szCs w:val="21"/>
                <w:lang w:val="en-US" w:eastAsia="zh-CN"/>
              </w:rPr>
            </w:r>
            <w:r/>
          </w:p>
        </w:tc>
      </w:tr>
      <w:tr>
        <w:trPr>
          <w:trHeight w:val="495"/>
        </w:trPr>
        <w:tc>
          <w:tcPr>
            <w:tcW w:w="835"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1126" w:type="dxa"/>
            <w:vAlign w:val="center"/>
            <w:textDirection w:val="lrTb"/>
            <w:noWrap w:val="false"/>
          </w:tcPr>
          <w:p>
            <w:pPr>
              <w:pStyle w:val="1030"/>
              <w:ind w:firstLine="28"/>
              <w:jc w:val="center"/>
              <w:rPr>
                <w:rFonts w:hint="eastAsia"/>
                <w:szCs w:val="21"/>
                <w:highlight w:val="none"/>
                <w:lang w:bidi="ar"/>
              </w:rPr>
              <w:framePr w:vAnchor="text" w:hAnchor="page" w:xAlign="center" w:y="394"/>
            </w:pPr>
            <w:r>
              <w:rPr>
                <w:rFonts w:hint="eastAsia"/>
                <w:szCs w:val="21"/>
                <w:highlight w:val="none"/>
                <w:lang w:bidi="ar"/>
              </w:rPr>
              <w:t xml:space="preserve">合计</w:t>
            </w:r>
            <w:r>
              <w:rPr>
                <w:rFonts w:hint="eastAsia"/>
                <w:szCs w:val="21"/>
                <w:highlight w:val="none"/>
                <w:lang w:bidi="ar"/>
              </w:rPr>
            </w:r>
            <w:r/>
          </w:p>
        </w:tc>
        <w:tc>
          <w:tcPr>
            <w:tcW w:w="700" w:type="dxa"/>
            <w:vAlign w:val="center"/>
            <w:textDirection w:val="lrTb"/>
            <w:noWrap w:val="false"/>
          </w:tcPr>
          <w:p>
            <w:pPr>
              <w:pStyle w:val="1030"/>
              <w:ind w:firstLine="28"/>
              <w:jc w:val="center"/>
              <w:rPr>
                <w:sz w:val="24"/>
                <w:highlight w:val="none"/>
              </w:rPr>
              <w:framePr w:vAnchor="text" w:hAnchor="page" w:xAlign="center" w:y="394"/>
            </w:pPr>
            <w:r>
              <w:rPr>
                <w:rFonts w:hint="eastAsia"/>
                <w:sz w:val="21"/>
                <w:szCs w:val="21"/>
                <w:highlight w:val="none"/>
              </w:rPr>
              <w:t xml:space="preserve">100</w:t>
            </w:r>
            <w:r>
              <w:rPr>
                <w:sz w:val="24"/>
                <w:highlight w:val="none"/>
              </w:rPr>
            </w:r>
            <w:r/>
          </w:p>
        </w:tc>
        <w:tc>
          <w:tcPr>
            <w:tcW w:w="4523" w:type="dxa"/>
            <w:vAlign w:val="center"/>
            <w:textDirection w:val="lrTb"/>
            <w:noWrap w:val="false"/>
          </w:tcPr>
          <w:p>
            <w:pPr>
              <w:pStyle w:val="1030"/>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r>
    </w:tbl>
    <w:p>
      <w:pPr>
        <w:pStyle w:val="1030"/>
        <w:ind w:firstLine="420"/>
        <w:spacing w:line="560" w:lineRule="exact"/>
        <w:rPr>
          <w:rFonts w:ascii="宋体" w:hAnsi="宋体"/>
          <w:szCs w:val="21"/>
          <w:highlight w:val="none"/>
        </w:rPr>
      </w:pPr>
      <w:r>
        <w:rPr>
          <w:rFonts w:hint="eastAsia" w:ascii="宋体" w:hAnsi="宋体"/>
          <w:szCs w:val="21"/>
          <w:highlight w:val="none"/>
        </w:rPr>
        <w:t xml:space="preserve">注：1）评标标准中要求提供的证明文件及资料等在响应文件中提供扫描件</w:t>
      </w:r>
      <w:r>
        <w:rPr>
          <w:rFonts w:hint="eastAsia" w:ascii="宋体" w:hAnsi="宋体"/>
          <w:szCs w:val="21"/>
          <w:highlight w:val="none"/>
          <w:lang w:eastAsia="zh-CN"/>
        </w:rPr>
        <w:t xml:space="preserve">（或照片）</w:t>
      </w:r>
      <w:r>
        <w:rPr>
          <w:rFonts w:hint="eastAsia" w:ascii="宋体" w:hAnsi="宋体"/>
          <w:szCs w:val="21"/>
          <w:highlight w:val="none"/>
        </w:rPr>
        <w:t xml:space="preserve">，材料内容、印章必须完整、清晰可辨且在有效期内。采购小组成员半数以上认定模糊无法辨认的不得分；</w:t>
      </w:r>
      <w:r>
        <w:rPr>
          <w:rFonts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）评标时，未能按以上要求提供相应证明的，不作为评标依据，不得分。</w:t>
      </w:r>
      <w:r>
        <w:rPr>
          <w:rFonts w:hint="eastAsia"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）扫描件</w:t>
      </w:r>
      <w:r>
        <w:rPr>
          <w:rFonts w:hint="eastAsia" w:ascii="宋体" w:hAnsi="宋体"/>
          <w:szCs w:val="21"/>
          <w:highlight w:val="none"/>
          <w:lang w:eastAsia="zh-CN"/>
        </w:rPr>
        <w:t xml:space="preserve">（或照片）</w:t>
      </w:r>
      <w:r>
        <w:rPr>
          <w:rFonts w:hint="eastAsia" w:ascii="宋体" w:hAnsi="宋体"/>
          <w:szCs w:val="21"/>
          <w:highlight w:val="none"/>
        </w:rPr>
        <w:t xml:space="preserve">要求字迹清晰，确保文字内容能看清无变形；</w:t>
      </w:r>
      <w:r>
        <w:rPr>
          <w:rFonts w:hint="eastAsia" w:ascii="宋体" w:hAnsi="宋体"/>
          <w:szCs w:val="21"/>
          <w:highlight w:val="none"/>
        </w:rPr>
      </w:r>
      <w:r/>
    </w:p>
    <w:p>
      <w:pPr>
        <w:pStyle w:val="1030"/>
        <w:ind w:firstLine="420"/>
        <w:spacing w:line="560" w:lineRule="exact"/>
        <w:rPr>
          <w:b/>
          <w:sz w:val="36"/>
          <w:szCs w:val="36"/>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w:t>
      </w:r>
      <w:r>
        <w:rPr>
          <w:rFonts w:hint="eastAsia" w:ascii="宋体" w:hAnsi="宋体"/>
          <w:szCs w:val="21"/>
          <w:highlight w:val="none"/>
          <w:lang w:val="en-US" w:eastAsia="zh-CN"/>
        </w:rPr>
        <w:t xml:space="preserve">投标</w:t>
      </w:r>
      <w:r>
        <w:rPr>
          <w:rFonts w:hint="eastAsia" w:ascii="宋体" w:hAnsi="宋体"/>
          <w:szCs w:val="21"/>
          <w:highlight w:val="none"/>
        </w:rPr>
        <w:t xml:space="preserve">人按评分细则所有得分项目均视为对本次招标的承诺，成交后均作为合同的组成部分。</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Start w:id="819" w:name="_Toc99301424"/>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采购需求</w:t>
      </w:r>
      <w:bookmarkEnd w:id="819"/>
      <w:r>
        <w:rPr>
          <w:b/>
          <w:sz w:val="36"/>
          <w:szCs w:val="36"/>
          <w:highlight w:val="none"/>
        </w:rPr>
      </w:r>
      <w:r/>
    </w:p>
    <w:p>
      <w:pPr>
        <w:pStyle w:val="1301"/>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1．项目名称：</w:t>
      </w:r>
      <w:r>
        <w:rPr>
          <w:rFonts w:hint="eastAsia" w:ascii="宋体" w:cs="宋体"/>
          <w:b w:val="0"/>
          <w:bCs/>
          <w:color w:val="000000"/>
          <w:sz w:val="21"/>
          <w:szCs w:val="21"/>
          <w:highlight w:val="none"/>
          <w:lang w:eastAsia="zh-CN"/>
        </w:rPr>
        <w:t xml:space="preserve">2026年尧塘街道照明设施养护项目</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2．预算金额：</w:t>
      </w:r>
      <w:r>
        <w:rPr>
          <w:rFonts w:hint="eastAsia" w:ascii="宋体" w:hAnsi="宋体" w:eastAsia="宋体" w:cs="宋体"/>
          <w:sz w:val="21"/>
          <w:szCs w:val="21"/>
          <w:highlight w:val="none"/>
          <w:lang w:val="en-US" w:eastAsia="zh-CN"/>
        </w:rPr>
        <w:t xml:space="preserve">120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3．最高限价：</w:t>
      </w:r>
      <w:r>
        <w:rPr>
          <w:rFonts w:hint="eastAsia" w:ascii="宋体" w:hAnsi="宋体" w:cs="宋体"/>
          <w:highlight w:val="none"/>
          <w:lang w:val="en-US" w:eastAsia="zh-CN"/>
        </w:rPr>
        <w:t xml:space="preserve">120万元，本项目按优惠率报价，0≤投标优惠率＜100%，包含维护费用和照明零星任务费用，其中维护费用73.503万元，照明零星任务结算费用累计不超46.497万元。</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4．采购项目概况：</w:t>
      </w:r>
      <w:r>
        <w:rPr>
          <w:rFonts w:hint="eastAsia" w:ascii="宋体" w:hAnsi="宋体" w:eastAsia="宋体" w:cs="宋体"/>
          <w:sz w:val="21"/>
          <w:szCs w:val="21"/>
          <w:highlight w:val="none"/>
          <w:lang w:eastAsia="zh-CN"/>
        </w:rPr>
        <w:t xml:space="preserve">按照江苏省城市道路照明技术规范 DGJ32/TC06-2011等标准、办法对管辖范围照明设施进行维护。照明设施包括但不限于用于照明的照明器具、电器、灯杆以及管线、线缆、配电、监控、节能等系统的设备和附属设施等。维护范围内的高灯、中杆灯的光源不论功率大小均按一个光源计算；紧凑型荧光灯、LED 光源、大功率气体放电灯光源均按一个光源计算，其他钠灯光源不论功率大小均按一个光源计算。</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养护目标：</w:t>
      </w:r>
      <w:r>
        <w:rPr>
          <w:rFonts w:hint="eastAsia" w:ascii="宋体" w:hAnsi="宋体" w:eastAsia="宋体" w:cs="宋体"/>
          <w:sz w:val="21"/>
          <w:szCs w:val="21"/>
          <w:highlight w:val="none"/>
          <w:lang w:eastAsia="zh-CN"/>
        </w:rPr>
        <w:t xml:space="preserve">功能照明设施完好率≥96%、亮灯率≥98%；故障修复及时率100%；交办事项办理及时率100%；零安全事故。</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6. </w:t>
      </w:r>
      <w:r>
        <w:rPr>
          <w:rFonts w:hint="eastAsia" w:ascii="宋体" w:hAnsi="宋体" w:eastAsia="宋体" w:cs="宋体"/>
          <w:sz w:val="21"/>
          <w:szCs w:val="21"/>
          <w:highlight w:val="none"/>
        </w:rPr>
        <w:t xml:space="preserve">合同履行期限：</w:t>
      </w:r>
      <w:r>
        <w:rPr>
          <w:rFonts w:hint="eastAsia" w:ascii="宋体" w:hAnsi="宋体" w:eastAsia="宋体" w:cs="宋体"/>
          <w:color w:val="000000"/>
          <w:szCs w:val="21"/>
          <w:highlight w:val="none"/>
          <w:lang w:eastAsia="zh-CN"/>
        </w:rPr>
        <w:t xml:space="preserve">自合同签订之日起一年（照明零星任务结算金额不超46.497万元）。</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．是/否接受联合体投标：</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．是/否属于政府购买服务：</w:t>
      </w:r>
      <w:r>
        <w:rPr>
          <w:rFonts w:hint="eastAsia" w:ascii="宋体" w:hAnsi="宋体" w:eastAsia="宋体" w:cs="宋体"/>
          <w:sz w:val="21"/>
          <w:szCs w:val="21"/>
          <w:highlight w:val="none"/>
          <w:lang w:val="en-US" w:eastAsia="zh-CN"/>
        </w:rPr>
        <w:t xml:space="preserve">是</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．是/否专门面向中小企业预留采购份额：</w:t>
      </w:r>
      <w:r>
        <w:rPr>
          <w:rFonts w:hint="eastAsia" w:ascii="宋体" w:hAnsi="宋体" w:eastAsia="宋体" w:cs="宋体"/>
          <w:sz w:val="21"/>
          <w:szCs w:val="21"/>
          <w:highlight w:val="none"/>
          <w:lang w:val="en-US" w:eastAsia="zh-CN"/>
        </w:rPr>
        <w:t xml:space="preserve">是</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eastAsia="宋体"/>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．本项目的特定资格要求：</w:t>
      </w:r>
      <w:r>
        <w:rPr>
          <w:rFonts w:hint="eastAsia" w:ascii="宋体" w:hAnsi="宋体" w:eastAsia="宋体" w:cs="宋体"/>
          <w:sz w:val="21"/>
          <w:szCs w:val="21"/>
          <w:highlight w:val="none"/>
          <w:lang w:val="en-US" w:eastAsia="zh-CN"/>
        </w:rPr>
        <w:t xml:space="preserve">无</w:t>
      </w:r>
      <w:r>
        <w:rPr>
          <w:rFonts w:hint="eastAsia" w:eastAsia="宋体"/>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．项目类别：服务类</w:t>
      </w:r>
      <w:r>
        <w:rPr>
          <w:rFonts w:hint="eastAsia" w:ascii="宋体" w:hAnsi="宋体" w:eastAsia="宋体" w:cs="宋体"/>
          <w:sz w:val="21"/>
          <w:szCs w:val="21"/>
          <w:highlight w:val="none"/>
        </w:rPr>
      </w:r>
      <w:r/>
    </w:p>
    <w:p>
      <w:pPr>
        <w:pStyle w:val="130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i/>
          <w:sz w:val="21"/>
          <w:szCs w:val="21"/>
          <w:highlight w:val="none"/>
          <w:lang w:eastAsia="zh-CN"/>
        </w:rPr>
      </w:pPr>
      <w:r>
        <w:rPr>
          <w:rFonts w:hint="eastAsia" w:ascii="宋体" w:hAnsi="宋体" w:eastAsia="宋体" w:cs="宋体"/>
          <w:sz w:val="21"/>
          <w:szCs w:val="21"/>
          <w:highlight w:val="none"/>
        </w:rPr>
        <w:t xml:space="preserve">1．实施期限</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Cs w:val="21"/>
          <w:highlight w:val="none"/>
          <w:lang w:eastAsia="zh-CN"/>
        </w:rPr>
        <w:t xml:space="preserve">自合同签订之日起一年（照明零星任务结算金额不超46.497万元）</w:t>
      </w:r>
      <w:r>
        <w:rPr>
          <w:rFonts w:hint="eastAsia" w:ascii="宋体" w:hAnsi="宋体" w:eastAsia="宋体" w:cs="宋体"/>
          <w:sz w:val="21"/>
          <w:szCs w:val="21"/>
          <w:highlight w:val="none"/>
          <w:lang w:eastAsia="zh-CN"/>
        </w:rPr>
        <w:t xml:space="preserve">。</w:t>
      </w:r>
      <w:r>
        <w:rPr>
          <w:rFonts w:hint="eastAsia" w:ascii="宋体" w:hAnsi="宋体" w:eastAsia="宋体" w:cs="宋体"/>
          <w:i/>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2．付款方式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w:t>
      </w:r>
      <w:r>
        <w:rPr>
          <w:rFonts w:ascii="宋体" w:hAnsi="宋体" w:eastAsia="宋体" w:cs="宋体"/>
          <w:sz w:val="21"/>
          <w:szCs w:val="21"/>
          <w:highlight w:val="none"/>
          <w:lang w:val="en-US" w:eastAsia="zh-CN"/>
        </w:rPr>
        <w:t xml:space="preserve">结算及付款方式：按实计量。</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（1）维护款：维护期到期后一次性支付。实际支付养护费用=实际养护数量</w:t>
      </w:r>
      <w:r>
        <w:rPr>
          <w:rFonts w:hint="eastAsia" w:ascii="宋体" w:hAnsi="宋体" w:eastAsia="宋体" w:cs="宋体"/>
          <w:sz w:val="21"/>
          <w:szCs w:val="21"/>
          <w:highlight w:val="none"/>
          <w:lang w:val="en-US" w:eastAsia="zh-CN"/>
        </w:rPr>
        <w:t xml:space="preserve">（经甲乙双方确认的）</w:t>
      </w:r>
      <w:r>
        <w:rPr>
          <w:rFonts w:ascii="宋体" w:hAnsi="宋体" w:eastAsia="宋体" w:cs="宋体"/>
          <w:sz w:val="21"/>
          <w:szCs w:val="21"/>
          <w:highlight w:val="none"/>
          <w:lang w:val="en-US" w:eastAsia="zh-CN"/>
        </w:rPr>
        <w:t xml:space="preserve">*养护单价*（1-优惠率）-相应违约金。</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（2）照明零星任务费用：</w:t>
      </w:r>
      <w:r>
        <w:rPr>
          <w:rFonts w:hint="eastAsia" w:ascii="宋体" w:hAnsi="宋体" w:eastAsia="宋体" w:cs="宋体"/>
          <w:sz w:val="21"/>
          <w:szCs w:val="21"/>
          <w:highlight w:val="none"/>
          <w:lang w:val="en-US" w:eastAsia="zh-CN"/>
        </w:rPr>
        <w:t xml:space="preserve">零星维修类项目审计后付至审定价的70%，余款两年后按审定价付清</w:t>
      </w:r>
      <w:r>
        <w:rPr>
          <w:rFonts w:ascii="宋体" w:hAnsi="宋体" w:eastAsia="宋体" w:cs="宋体"/>
          <w:sz w:val="21"/>
          <w:szCs w:val="21"/>
          <w:highlight w:val="none"/>
          <w:lang w:val="en-US" w:eastAsia="zh-CN"/>
        </w:rPr>
        <w:t xml:space="preserve">。照明零星任务结算价不得超过</w:t>
      </w:r>
      <w:r>
        <w:rPr>
          <w:rFonts w:hint="eastAsia" w:ascii="宋体" w:hAnsi="宋体" w:eastAsia="宋体" w:cs="宋体"/>
          <w:sz w:val="21"/>
          <w:szCs w:val="21"/>
          <w:highlight w:val="none"/>
          <w:lang w:val="en-US" w:eastAsia="zh-CN"/>
        </w:rPr>
        <w:t xml:space="preserve">46.497</w:t>
      </w:r>
      <w:r>
        <w:rPr>
          <w:rFonts w:ascii="宋体" w:hAnsi="宋体" w:eastAsia="宋体" w:cs="宋体"/>
          <w:sz w:val="21"/>
          <w:szCs w:val="21"/>
          <w:highlight w:val="none"/>
          <w:lang w:val="en-US" w:eastAsia="zh-CN"/>
        </w:rPr>
        <w:t xml:space="preserve">万元。</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（3）乙方须根据甲方要求开具相应金额的增值税发票。</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w:t>
      </w:r>
      <w:r>
        <w:rPr>
          <w:rFonts w:ascii="宋体" w:hAnsi="宋体" w:eastAsia="宋体" w:cs="宋体"/>
          <w:sz w:val="21"/>
          <w:szCs w:val="21"/>
          <w:highlight w:val="none"/>
          <w:lang w:val="en-US" w:eastAsia="zh-CN"/>
        </w:rPr>
        <w:t xml:space="preserve">照明零星任务费用结算依据：</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（1）结算时</w:t>
      </w:r>
      <w:r>
        <w:rPr>
          <w:rFonts w:hint="eastAsia" w:ascii="宋体" w:hAnsi="宋体" w:eastAsia="宋体" w:cs="宋体"/>
          <w:sz w:val="21"/>
          <w:szCs w:val="21"/>
          <w:highlight w:val="none"/>
          <w:lang w:val="en-US" w:eastAsia="zh-CN"/>
        </w:rPr>
        <w:t xml:space="preserve">参照《建设工程工程量清单计价标准》（GB/T50500-2024）</w:t>
      </w:r>
      <w:r>
        <w:rPr>
          <w:rFonts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《江苏省市政工程消耗量（2026）》</w:t>
      </w:r>
      <w:r>
        <w:rPr>
          <w:rFonts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《江苏省建筑与装饰工程消耗量（2026）》</w:t>
      </w:r>
      <w:r>
        <w:rPr>
          <w:rFonts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《江苏省通用安装工程消耗量（2026）》</w:t>
      </w:r>
      <w:r>
        <w:rPr>
          <w:rFonts w:hint="eastAsia" w:ascii="宋体" w:hAnsi="宋体" w:eastAsia="宋体" w:cs="宋体"/>
          <w:highlight w:val="none"/>
          <w:lang w:val="en-US" w:eastAsia="zh-CN"/>
        </w:rPr>
        <w:t xml:space="preserve">、《江苏省建设工程费用参考》（2026）</w:t>
      </w:r>
      <w:r>
        <w:rPr>
          <w:rFonts w:ascii="宋体" w:hAnsi="宋体" w:eastAsia="宋体" w:cs="宋体"/>
          <w:sz w:val="21"/>
          <w:szCs w:val="21"/>
          <w:highlight w:val="none"/>
          <w:lang w:val="en-US" w:eastAsia="zh-CN"/>
        </w:rPr>
        <w:t xml:space="preserve">等相关计价规范中的标准进行组价，根据中标</w:t>
      </w:r>
      <w:r>
        <w:rPr>
          <w:rFonts w:hint="eastAsia" w:ascii="宋体" w:hAnsi="宋体" w:eastAsia="宋体" w:cs="宋体"/>
          <w:sz w:val="21"/>
          <w:szCs w:val="21"/>
          <w:highlight w:val="none"/>
          <w:lang w:val="en-US" w:eastAsia="zh-CN"/>
        </w:rPr>
        <w:t xml:space="preserve">优惠率</w:t>
      </w:r>
      <w:r>
        <w:rPr>
          <w:rFonts w:ascii="宋体" w:hAnsi="宋体" w:eastAsia="宋体" w:cs="宋体"/>
          <w:sz w:val="21"/>
          <w:szCs w:val="21"/>
          <w:highlight w:val="none"/>
          <w:lang w:val="en-US" w:eastAsia="zh-CN"/>
        </w:rPr>
        <w:t xml:space="preserve">同比让利；</w:t>
      </w:r>
      <w:r>
        <w:rPr>
          <w:rFonts w:hint="eastAsia" w:ascii="宋体" w:hAnsi="宋体" w:eastAsia="宋体" w:cs="宋体"/>
          <w:sz w:val="21"/>
          <w:szCs w:val="21"/>
          <w:highlight w:val="none"/>
          <w:lang w:val="en-US" w:eastAsia="zh-CN"/>
        </w:rPr>
        <w:t xml:space="preserve">作业实施</w:t>
      </w:r>
      <w:r>
        <w:rPr>
          <w:rFonts w:ascii="宋体" w:hAnsi="宋体" w:eastAsia="宋体" w:cs="宋体"/>
          <w:sz w:val="21"/>
          <w:szCs w:val="21"/>
          <w:highlight w:val="none"/>
          <w:lang w:val="en-US" w:eastAsia="zh-CN"/>
        </w:rPr>
        <w:t xml:space="preserve">中的零星点工按苏建函价执行，零星点工不让利。</w:t>
      </w:r>
      <w:r>
        <w:rPr>
          <w:rFonts w:hint="eastAsia" w:ascii="宋体" w:hAnsi="宋体" w:eastAsia="宋体" w:cs="宋体"/>
          <w:sz w:val="21"/>
          <w:szCs w:val="21"/>
          <w:highlight w:val="none"/>
          <w:lang w:val="en-US" w:eastAsia="zh-CN"/>
        </w:rPr>
        <w:t xml:space="preserve">如有新的计价定额，则按新的计价定额执行。</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（2）</w:t>
      </w:r>
      <w:r>
        <w:rPr>
          <w:rFonts w:hint="eastAsia" w:ascii="宋体" w:hAnsi="宋体" w:eastAsia="宋体" w:cs="宋体"/>
          <w:highlight w:val="none"/>
          <w:lang w:val="en-US" w:eastAsia="zh-CN"/>
        </w:rPr>
        <w:t xml:space="preserve">现场安全生产、文明施工措施费按江苏省、常州市相关文件执行</w:t>
      </w:r>
      <w:r>
        <w:rPr>
          <w:rFonts w:ascii="宋体" w:hAnsi="宋体" w:eastAsia="宋体" w:cs="宋体"/>
          <w:sz w:val="21"/>
          <w:szCs w:val="21"/>
          <w:highlight w:val="none"/>
          <w:lang w:val="en-US" w:eastAsia="zh-CN"/>
        </w:rPr>
        <w:t xml:space="preserve">。</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（3）所有涉及</w:t>
      </w:r>
      <w:r>
        <w:rPr>
          <w:rFonts w:hint="eastAsia" w:ascii="宋体" w:hAnsi="宋体" w:eastAsia="宋体" w:cs="宋体"/>
          <w:sz w:val="21"/>
          <w:szCs w:val="21"/>
          <w:highlight w:val="none"/>
          <w:lang w:val="en-US" w:eastAsia="zh-CN"/>
        </w:rPr>
        <w:t xml:space="preserve">任务</w:t>
      </w:r>
      <w:r>
        <w:rPr>
          <w:rFonts w:ascii="宋体" w:hAnsi="宋体" w:eastAsia="宋体" w:cs="宋体"/>
          <w:sz w:val="21"/>
          <w:szCs w:val="21"/>
          <w:highlight w:val="none"/>
          <w:lang w:val="en-US" w:eastAsia="zh-CN"/>
        </w:rPr>
        <w:t xml:space="preserve">结算的签证单上必须有</w:t>
      </w:r>
      <w:r>
        <w:rPr>
          <w:rFonts w:hint="eastAsia" w:ascii="宋体" w:hAnsi="宋体" w:eastAsia="宋体" w:cs="宋体"/>
          <w:sz w:val="21"/>
          <w:szCs w:val="21"/>
          <w:highlight w:val="none"/>
          <w:lang w:val="en-US" w:eastAsia="zh-CN"/>
        </w:rPr>
        <w:t xml:space="preserve">采购人</w:t>
      </w:r>
      <w:r>
        <w:rPr>
          <w:rFonts w:ascii="宋体" w:hAnsi="宋体" w:eastAsia="宋体" w:cs="宋体"/>
          <w:sz w:val="21"/>
          <w:szCs w:val="21"/>
          <w:highlight w:val="none"/>
          <w:lang w:val="en-US" w:eastAsia="zh-CN"/>
        </w:rPr>
        <w:t xml:space="preserve">代表、监理工程师、</w:t>
      </w:r>
      <w:r>
        <w:rPr>
          <w:rFonts w:hint="eastAsia" w:ascii="宋体" w:hAnsi="宋体" w:eastAsia="宋体" w:cs="宋体"/>
          <w:sz w:val="21"/>
          <w:szCs w:val="21"/>
          <w:highlight w:val="none"/>
          <w:lang w:val="en-US" w:eastAsia="zh-CN"/>
        </w:rPr>
        <w:t xml:space="preserve">中标</w:t>
      </w:r>
      <w:r>
        <w:rPr>
          <w:rFonts w:ascii="宋体" w:hAnsi="宋体" w:eastAsia="宋体" w:cs="宋体"/>
          <w:sz w:val="21"/>
          <w:szCs w:val="21"/>
          <w:highlight w:val="none"/>
          <w:lang w:val="en-US" w:eastAsia="zh-CN"/>
        </w:rPr>
        <w:t xml:space="preserve">人等相关单位的签字，方可作为竣工结算的依据。</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w:t>
      </w:r>
      <w:r>
        <w:rPr>
          <w:rFonts w:ascii="宋体" w:hAnsi="宋体" w:eastAsia="宋体" w:cs="宋体"/>
          <w:sz w:val="21"/>
          <w:szCs w:val="21"/>
          <w:highlight w:val="none"/>
          <w:lang w:val="en-US" w:eastAsia="zh-CN"/>
        </w:rPr>
        <w:t xml:space="preserve">结算审核费：零星任务结算审核的核减率在8%以内(含8%)的由甲方支付全部审计费：12%&gt;核减率&gt;8%时，该</w:t>
      </w:r>
      <w:r>
        <w:rPr>
          <w:rFonts w:hint="eastAsia" w:ascii="宋体" w:hAnsi="宋体" w:eastAsia="宋体" w:cs="宋体"/>
          <w:sz w:val="21"/>
          <w:szCs w:val="21"/>
          <w:highlight w:val="none"/>
          <w:lang w:val="en-US" w:eastAsia="zh-CN"/>
        </w:rPr>
        <w:t xml:space="preserve">项目</w:t>
      </w:r>
      <w:r>
        <w:rPr>
          <w:rFonts w:ascii="宋体" w:hAnsi="宋体" w:eastAsia="宋体" w:cs="宋体"/>
          <w:sz w:val="21"/>
          <w:szCs w:val="21"/>
          <w:highlight w:val="none"/>
          <w:lang w:val="en-US" w:eastAsia="zh-CN"/>
        </w:rPr>
        <w:t xml:space="preserve">所有审核费用甲乙双方各承担50%；核减率&gt;12%时，该</w:t>
      </w:r>
      <w:r>
        <w:rPr>
          <w:rFonts w:hint="eastAsia" w:ascii="宋体" w:hAnsi="宋体" w:eastAsia="宋体" w:cs="宋体"/>
          <w:sz w:val="21"/>
          <w:szCs w:val="21"/>
          <w:highlight w:val="none"/>
          <w:lang w:val="en-US" w:eastAsia="zh-CN"/>
        </w:rPr>
        <w:t xml:space="preserve">项目</w:t>
      </w:r>
      <w:r>
        <w:rPr>
          <w:rFonts w:ascii="宋体" w:hAnsi="宋体" w:eastAsia="宋体" w:cs="宋体"/>
          <w:sz w:val="21"/>
          <w:szCs w:val="21"/>
          <w:highlight w:val="none"/>
          <w:lang w:val="en-US" w:eastAsia="zh-CN"/>
        </w:rPr>
        <w:t xml:space="preserve">所有审核费用均由乙方承担。上述费用不为累进制。</w:t>
      </w:r>
      <w:r>
        <w:rPr>
          <w:rFonts w:ascii="宋体" w:hAnsi="宋体" w:eastAsia="宋体" w:cs="宋体"/>
          <w:sz w:val="21"/>
          <w:szCs w:val="21"/>
          <w:highlight w:val="none"/>
          <w:lang w:val="en-US" w:eastAsia="zh-CN"/>
        </w:rPr>
      </w:r>
      <w:r/>
    </w:p>
    <w:p>
      <w:pPr>
        <w:pStyle w:val="130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三、技术要求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1.项目内容：</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（一）维护单位项目部人员、值班人员、维修人员要求：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（1）项目负责人需常驻金坛。养护期间要保持现场值班人员、养护队伍的稳定，投标文件中所承诺的项目部常驻现场人员：项目经理、技术工人，不征得采购人同意不得变更。</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（2）该项目承担众多重大保障任务，且关系民生，维护单位值班人员的技能水平、个人素养、工作着装、责任意识、服务态度等均要符合采购人要求。基本要求如下：</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1）统一服装、配戴胸卡、具备良好的精神风貌。</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highlight w:val="none"/>
          <w:lang w:val="en-US" w:eastAsia="zh-CN"/>
        </w:rPr>
        <w:t xml:space="preserve">项目部常驻现场人员至少配有特种作业操作资格证的专业技术人员电工2名、特种作业操作证（操作项目：高处安装、维护、拆除作业）人员2名，B证及以上的专职驾驶员2名。（待中标公示无异议后，合同签订前采购人按投标文件人员及车辆信息进行核查，如不符合要求，采购人取消其中标资格；给采购人造成的损失应予以赔偿。采购人可以按照评标委员会提出的中标候选人名单排序依次确定其他中标候选人为中标人，依次确定其他中标候选人与采购人预期差距较大，或者对采购人明显不利的，采购人可以重新招标。）</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3）24小时应急抢修人员不得少于3人，报修电话24小时必须确保有1人值班。</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4）具有良好的语言沟通能力，在涉及民生问题，能圆满处理问题。</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5）维护单位必须配合采购人参加上级组织的各类活动，比如技能竞赛、绿色照明评价、数据收集上报等。</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（二）管理及台账要求：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维护单位需结合现场设施情况有针对性的建立完善的维护管理制度及工作台账，按照《江苏省城市照明设施优质养护片》要求，至少包括以下内容：人员岗位管理、考勤值班、日常巡修、施工质量管理、服务承诺、安全生产管理、抢修应急预案、技术人员管理培训、设备材料管理、内部资料档案管理、财务管理等各项制度，台账格式需经采购人确认后实施。</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highlight w:val="none"/>
          <w:lang w:val="en-US" w:eastAsia="zh-CN"/>
        </w:rPr>
        <w:t xml:space="preserve">.车辆、机械等设备要求：</w:t>
      </w:r>
      <w:r>
        <w:rPr>
          <w:rFonts w:hint="eastAsia"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维护单位必须配备维修路灯专用高架车12米及以上至少1辆、16米及以上至少1辆、巡检抢修车辆至少1辆、运输车辆至少1辆；</w:t>
      </w:r>
      <w:r>
        <w:rPr>
          <w:rFonts w:hint="eastAsia"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电缆、灯杆灯具、电器元器件等易损易耗件、以及常用维修检测工具、电工工具、安全防护工具等（以上养护设施、备品备件需在投标文件中列清单反映并常备于养护现场，使用后应及时补充，采购人将定期检查考核）。</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（三）维护基地要求：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（1）必须在金坛城区范围内设置维护基地，确保城区范围发生故障均能在60分钟内到达现场。</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（2）维护基地需分别设置办公区、值班区（24小时值班）、车辆停放区、器材堆放区等区域。</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（3）为便于维护管理，配备专人24小时电话值班。</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（4）维护基地必须设置采购人材料临时堆放专用区域（免费堆放），做好进库出库台账记录，移交时必须做好移交记录。</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（5）有车辆能够保障维护现场的安全。</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（四）照明设施的维护内容、日常操作和维护管理</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（1）维护主要内容：</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1)负责照明设施更换维修，确保亮灯效果，亮灯率达到98%；</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2）负责路灯灯杆、灯具、管线、控制箱（含遥控终端)及其他相关设备安装牢固情况、运行情况的检查及维修更换；</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3)负责所有路灯电气元件更换、箱变低压室、计量箱、控制箱（含遥控终端)的检查调试维修；</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4)负责所有电缆的检测、维修、更换；</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5)负责配合协助照明管理部门三遥控制系统的正常运行和保障；</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6)运行值班：每天24小时安排抢修人员、车辆，做好大面积熄灯、夜间来电报修等情况的应急处理工作。夜间来电报修、交通肇事城区范围内必须在60分钟内赶到现场进行紧急处理；</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7）做好防盗和防止人为破坏等管理工作：</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8）配置人员配合采购人三遥控制系统的升级改造。配合采购人做好转供电等交办事项工作；</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9）维护单位除正常维护外，还必须做好各项文明城市检查、重大活动及节日保障活动；</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10)负责路灯箱变低压室、计量箱、控制箱及灯杆、灯具的清洁工作。</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（2）日常巡检、抢修、维修：</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1)维护巡检人员定期对管辖内设施进行巡视检查，管理人员要保持24小时通信畅通；</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2）定期进行电气元件、电气设备、电缆、灯具等运行参数检测、漏电安全检测、灵敏度检测、绝缘检测、老化检测：</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3)巡查设施运行情况、观察有无异常振动及噪声，检查电气控制柜中元件有无发黑的触点，电缆、电线是否有过热、变色、烧焦等现象；</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4)养护期限内发生偷盗等行为必须在第一时间内向采购人反映，同时向辖区内派出所报案；</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5)每天安排专门抢修人员配合路灯大面积熄灯抢修，中心城区30分钟内必须赶到现场处理，第一时间在照明施工通讯群发布相关抢修信息，做好台账记录。</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6)巡查、维修频率及台账要求：维护单位必须及时报送相关台账资料，每月初前三个工作日内报送上月巡查台账；每周上报上周的维修台账。</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设施巡查，快速路、主干路每半月全部巡查一次；次干路、支路每月全部巡查一次；小区、背街小巷、公园及楼宇景观等每月全部巡查一次。巡查台账资料包括但不限于灭灯明细数据、灯杆歪斜、灯门缺失、灯具破损等。</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b设施维修必须两周维修一遍，维修做好台账记录。</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c若遇不可抗拒的自然灾害，应增加设施巡查次数。</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d遇特殊情况或重大活动时，快速路、主干路应增加设施巡修次数。 </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（五）故障维修说明：</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（1)制定相关应急预案，如有意外事故发生应采取紧急处理措施，防止事故扩大化；</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（2）维护单位进行维修更换作业时，应尊重原设计，尽可能原样恢复。特殊情况下，经采购人许可，方可使用替代品，但造价、品牌、质量不得低于原设计的材料设备质量标准：</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（3）现场须有足够的备品备件，备品备件使用后要立即补足；</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（4）维护单位人员均须服从采购人的管理，采购人负责对维护单位日常维护工作进行监督、检查、维修工作量审核确定等工作。</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（六）纪律约束：</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（1）采购人有权对路灯设施进行改造，维护单位须配合采购人工作，并对变更设施质量继续承担养护责任；</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（2）维护单位须确保路灯设施正常运行，确保现场维护人员的安全作业，“无论何种原因”，发生人身安全等责任事故，均由维护单位全部承担。</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（七）长效管理：</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维护区域发生长效管理案卷、居民投诉、来电报修等应急情况，维护单位必须按照时限要求完成。</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（八）其他维护说明：</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（2）文明施工：施工应注意保护建筑物及周围环境，以免造成损坏引起漏水、影响市容环境等情况；安装、维修结束后，做好现场卫生清洁工作。因不文明施工引起的后果由维护单位负全部责任。</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（3）对于维护内容、维护要求、台账记录等要求未明细列出的，采购人有权根据《江苏省城市照明设施优质养护片》、江苏省城市道路照明设施养护规程DB/T 3699-2019等相关行业规范、标准提出新的要求，中标单位需无条件响应采购人的要求。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3.报价要求：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（1）本项目按优惠率报价，0≤投标优惠率＜100%，包含维护费用和照明零星任务费用，其中维护费用73.503万元，照明零星任务结算费用累计不超46.497万元</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投标报价包括但用于照明的照明器具、电器、灯杆以及管线、线缆、智能控制设备、变配电设备（低压部分）、配电线路、监控、节能、接地等系统的设备等设施养护维修及养护、维修所涉及的路面、绿地的拆除恢复、牵引等工作及包含的井、基础、附属设施等。</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全费用综合单价包括但不限于人工（包括工资和补贴）、材料（主材、辅材、配件）、安装维修调试费、办公场所及设施、车辆机械费、保险、劳保、仓储、运费、管理费、利润、相关措施费、规费、税金、安全费、风险等一切全部费用。</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（4）照明设施养护、维修时所涉及到的路面、绿地拆除恢复、井、基础、附属设施等相关费用投标人综合考虑中投标报价中，结算时不另外结算。</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4.服务要求</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验收要求：养护维修项目质量需达到规范验收标准，若不符合规范验收标准，由中标人无偿返工。若因中标人原因不能按时保质完成，则采购人有权另外安排单位维修，其相应养护维修费用将从应付中标人的费用中扣除并由采购人安排。</w:t>
      </w:r>
      <w:r>
        <w:rPr>
          <w:rFonts w:hint="eastAsia" w:ascii="宋体" w:hAnsi="宋体" w:eastAsia="宋体" w:cs="宋体"/>
          <w:sz w:val="21"/>
          <w:szCs w:val="21"/>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．采购标的对应的中小企业划分标准所属行业一览表</w:t>
      </w:r>
      <w:r>
        <w:rPr>
          <w:rFonts w:hint="eastAsia" w:ascii="宋体" w:hAnsi="宋体" w:eastAsia="宋体" w:cs="宋体"/>
          <w:sz w:val="21"/>
          <w:szCs w:val="21"/>
        </w:rPr>
      </w:r>
      <w:r/>
    </w:p>
    <w:tbl>
      <w:tblPr>
        <w:tblW w:w="0" w:type="auto"/>
        <w:jc w:val="center"/>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5233"/>
        <w:gridCol w:w="3309"/>
      </w:tblGrid>
      <w:tr>
        <w:trPr>
          <w:cantSplit/>
          <w:trHeight w:val="595"/>
        </w:trPr>
        <w:tc>
          <w:tcPr>
            <w:tcW w:w="736"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233"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30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616"/>
        </w:trPr>
        <w:tc>
          <w:tcPr>
            <w:tcW w:w="736"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233" w:type="dxa"/>
            <w:vAlign w:val="center"/>
            <w:textDirection w:val="lrTb"/>
            <w:noWrap w:val="false"/>
          </w:tcPr>
          <w:p>
            <w:pPr>
              <w:pStyle w:val="103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Times New Roman"/>
                <w:szCs w:val="21"/>
                <w:lang w:eastAsia="zh-CN"/>
              </w:rPr>
              <w:t xml:space="preserve">2026年尧塘街道照明设施养护项目</w:t>
            </w:r>
            <w:r>
              <w:rPr>
                <w:rFonts w:hint="eastAsia" w:ascii="宋体" w:hAnsi="宋体" w:eastAsia="宋体" w:cs="宋体"/>
                <w:sz w:val="21"/>
                <w:szCs w:val="21"/>
                <w:lang w:eastAsia="zh-CN"/>
              </w:rPr>
            </w:r>
            <w:r/>
          </w:p>
        </w:tc>
        <w:tc>
          <w:tcPr>
            <w:tcW w:w="330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其他未列明行业</w:t>
            </w:r>
            <w:r>
              <w:rPr>
                <w:rFonts w:hint="eastAsia" w:ascii="宋体" w:hAnsi="宋体" w:eastAsia="宋体" w:cs="宋体"/>
                <w:sz w:val="21"/>
                <w:szCs w:val="21"/>
                <w:lang w:eastAsia="zh-CN"/>
              </w:rPr>
            </w:r>
            <w:r/>
          </w:p>
        </w:tc>
      </w:tr>
    </w:tbl>
    <w:p>
      <w:pPr>
        <w:pStyle w:val="1287"/>
        <w:numPr>
          <w:ilvl w:val="0"/>
          <w:numId w:val="0"/>
        </w:numPr>
        <w:ind w:firstLine="630"/>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b w:val="0"/>
          <w:bCs/>
          <w:sz w:val="21"/>
          <w:szCs w:val="21"/>
          <w:lang w:val="en-US" w:eastAsia="zh-CN"/>
        </w:rPr>
        <w:t xml:space="preserve">服务类产品清单</w:t>
      </w:r>
      <w:r>
        <w:rPr>
          <w:rFonts w:hint="eastAsia" w:ascii="宋体" w:hAnsi="宋体" w:eastAsia="宋体" w:cs="宋体"/>
          <w:b w:val="0"/>
          <w:bCs/>
          <w:sz w:val="21"/>
          <w:szCs w:val="21"/>
          <w:lang w:val="en-US" w:eastAsia="zh-CN"/>
        </w:rPr>
      </w:r>
      <w:r/>
    </w:p>
    <w:tbl>
      <w:tblPr>
        <w:tblW w:w="9856"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95"/>
        <w:gridCol w:w="533"/>
        <w:gridCol w:w="1512"/>
        <w:gridCol w:w="2177"/>
        <w:gridCol w:w="1556"/>
        <w:gridCol w:w="698"/>
        <w:gridCol w:w="1387"/>
        <w:gridCol w:w="1598"/>
      </w:tblGrid>
      <w:tr>
        <w:trPr>
          <w:trHeight w:val="880"/>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103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项目特征描述</w:t>
            </w: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单价（元）</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合计（元）</w:t>
            </w:r>
            <w:r>
              <w:rPr>
                <w:rFonts w:hint="eastAsia" w:ascii="宋体" w:hAnsi="宋体" w:eastAsia="宋体" w:cs="宋体"/>
                <w:b/>
                <w:bCs/>
                <w:i w:val="0"/>
                <w:iCs w:val="0"/>
                <w:color w:val="000000"/>
                <w:sz w:val="22"/>
                <w:szCs w:val="22"/>
                <w:u w:val="none"/>
              </w:rPr>
            </w:r>
            <w:r/>
          </w:p>
        </w:tc>
      </w:tr>
      <w:tr>
        <w:trPr>
          <w:trHeight w:val="840"/>
        </w:trPr>
        <w:tc>
          <w:tcPr>
            <w:tcBorders>
              <w:top w:val="single" w:color="000000" w:sz="4" w:space="0"/>
              <w:left w:val="single" w:color="000000" w:sz="4" w:space="0"/>
              <w:bottom w:val="single" w:color="000000" w:sz="4" w:space="0"/>
              <w:right w:val="single" w:color="000000" w:sz="4" w:space="0"/>
            </w:tcBorders>
            <w:tcW w:w="395"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原华高新片区功能照明设施养护维修</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钱资湖大道-云湖路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照明的照明器具、电器、灯杆以及管线、线缆、配电线路、节能、接地等系统的设备及照明设施养护。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云湖路-月湖路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科文路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金武路-科教路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汇福路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科教路-迎春路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542</w:t>
            </w:r>
            <w:r>
              <w:rPr>
                <w:rFonts w:hint="eastAsia" w:ascii="宋体" w:hAnsi="宋体" w:eastAsia="宋体" w:cs="宋体"/>
                <w:i w:val="0"/>
                <w:iCs w:val="0"/>
                <w:color w:val="ff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59,620.00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中兴路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金武路-长龙山路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9,460.00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金武路-江东大道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53,350.00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云湖路（南段）</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金龙大道-江东大道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金武路-钱资湖大道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10,450.00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科教路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金湖路-月湖路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49,500.00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科教路-月湖路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19,800.00</w:t>
            </w:r>
            <w:r>
              <w:rPr>
                <w:rFonts w:hint="eastAsia" w:ascii="宋体" w:hAnsi="宋体" w:eastAsia="宋体" w:cs="宋体"/>
                <w:i w:val="0"/>
                <w:iCs w:val="0"/>
                <w:color w:val="000000"/>
                <w:sz w:val="21"/>
                <w:szCs w:val="21"/>
                <w:u w:val="none"/>
              </w:rPr>
            </w:r>
            <w:r/>
          </w:p>
        </w:tc>
      </w:tr>
      <w:tr>
        <w:trPr>
          <w:trHeight w:val="335"/>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金龙大道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S240-明湖路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明湖路-复兴南路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复兴南路-云湖路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九龙山路-江东大道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33,880.00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明湖路-复兴南路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咏湖路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金龙大道-华业路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3,410.00</w:t>
            </w: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华业路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明湖路-复兴南路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复兴路-水北路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水北路-云湖路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5,720.00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明湖路-复兴南路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迎春路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金湖路-水北路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16,940.00</w:t>
            </w:r>
            <w:r>
              <w:rPr>
                <w:rFonts w:hint="eastAsia" w:ascii="宋体" w:hAnsi="宋体" w:eastAsia="宋体" w:cs="宋体"/>
                <w:i w:val="0"/>
                <w:iCs w:val="0"/>
                <w:color w:val="000000"/>
                <w:sz w:val="21"/>
                <w:szCs w:val="21"/>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新春路</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金湖路-水北路</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rFonts w:hint="eastAsia" w:ascii="宋体" w:hAnsi="宋体" w:eastAsia="宋体" w:cs="宋体"/>
                <w:i w:val="0"/>
                <w:iCs w:val="0"/>
                <w:color w:val="000000"/>
                <w:sz w:val="21"/>
                <w:szCs w:val="21"/>
                <w:highlight w:val="none"/>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云湖路（北段）</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金武路-钱资湖大道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萍湖路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九龙山路-金龙大道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8,140.00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金博路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汇福路-240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3689"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钱资东湖公园</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35,310.00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3689"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杜鹃园</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17,050.00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3689"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玉兰园</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14,520.00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3689"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瑞香园</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17,270.00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vMerge w:val="restart"/>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尧塘片区功能照明设施养护维修</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金武路-金龙大道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25,080.00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星湖路-月湖路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14,520.00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府南路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亿晶大街-星湖路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晴湖路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钱资湖大道-育才路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6,930.00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尧汤路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金龙大道（规划）-北大街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11,440.00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育才路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亿晶大街-晴湖路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亿晶大街-许段桥</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尧汤路-老小学停车场（含横街）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星湖路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尧夏路-钱资湖大道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7,590.00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尧夏路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亿晶大街–星湖路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亿晶大街-健康路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健康路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育才路-钱资湖大道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尧徐线</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许段桥-月湖路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沿河西路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X308-江东大道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镇前路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X308-长塘线</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长塘线</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G233-尧汤路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水镜路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新春路-水北大街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水北大街</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X306-S240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6,710.00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X201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钱资湖大道-S240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16,060.00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X308</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G233-X201</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x306</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武进界-汇福路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14,630.00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尧夏路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亿晶大街–星湖路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明湖路-复兴路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创智湖路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文山路-白龙山路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白龙山路-金龙大道</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华山路（下头村）</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尧汤路-月湖路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晴湖路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钱资湖大道-华信路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白龙山路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明湖路-S240</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0.00</w:t>
            </w:r>
            <w:r>
              <w:rPr>
                <w:rFonts w:hint="eastAsia" w:ascii="宋体" w:hAnsi="宋体" w:eastAsia="宋体" w:cs="宋体"/>
                <w:i w:val="0"/>
                <w:iCs w:val="0"/>
                <w:color w:val="000000"/>
                <w:sz w:val="21"/>
                <w:szCs w:val="21"/>
                <w:u w:val="none"/>
              </w:rPr>
            </w:r>
            <w:r/>
          </w:p>
        </w:tc>
      </w:tr>
      <w:tr>
        <w:trPr>
          <w:trHeight w:val="336"/>
        </w:trPr>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华信路（华创路）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萍湖路-尧汤路</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vMerge w:val="continue"/>
            <w:textDirection w:val="lrTb"/>
            <w:noWrap w:val="false"/>
          </w:tcPr>
          <w:p>
            <w:pPr>
              <w:pStyle w:val="103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8,140.00</w:t>
            </w:r>
            <w:r>
              <w:rPr>
                <w:rFonts w:hint="eastAsia" w:ascii="宋体" w:hAnsi="宋体" w:eastAsia="宋体" w:cs="宋体"/>
                <w:i w:val="0"/>
                <w:iCs w:val="0"/>
                <w:color w:val="000000"/>
                <w:sz w:val="21"/>
                <w:szCs w:val="21"/>
                <w:u w:val="none"/>
              </w:rPr>
            </w:r>
            <w:r/>
          </w:p>
        </w:tc>
      </w:tr>
      <w:tr>
        <w:trPr>
          <w:trHeight w:val="1448"/>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低压配电柜</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道路控制箱（含遥控终端)内的电气元件、电气设备等检测、维修、更换等养护工作。</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49,350.00</w:t>
            </w:r>
            <w:r>
              <w:rPr>
                <w:rFonts w:hint="eastAsia" w:ascii="宋体" w:hAnsi="宋体" w:eastAsia="宋体" w:cs="宋体"/>
                <w:i w:val="0"/>
                <w:iCs w:val="0"/>
                <w:color w:val="000000"/>
                <w:sz w:val="21"/>
                <w:szCs w:val="21"/>
                <w:u w:val="none"/>
              </w:rPr>
            </w:r>
            <w:r/>
          </w:p>
        </w:tc>
      </w:tr>
      <w:tr>
        <w:trPr>
          <w:trHeight w:val="1447"/>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箱式变压器（低压部分）</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箱变低压室（含遥控终端)内的电气元件、电气设备等检测、维修、更换等养护工作。</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3,750.00</w:t>
            </w: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60,000.00</w:t>
            </w:r>
            <w:r>
              <w:rPr>
                <w:rFonts w:hint="eastAsia" w:ascii="宋体" w:hAnsi="宋体" w:eastAsia="宋体" w:cs="宋体"/>
                <w:i w:val="0"/>
                <w:iCs w:val="0"/>
                <w:color w:val="000000"/>
                <w:sz w:val="21"/>
                <w:szCs w:val="21"/>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03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6"/>
            <w:tcBorders>
              <w:top w:val="single" w:color="000000" w:sz="4" w:space="0"/>
              <w:left w:val="single" w:color="000000" w:sz="4" w:space="0"/>
              <w:bottom w:val="single" w:color="000000" w:sz="4" w:space="0"/>
              <w:right w:val="single" w:color="000000" w:sz="4" w:space="0"/>
            </w:tcBorders>
            <w:tcW w:w="7863"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103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735,030.00</w:t>
            </w:r>
            <w:r>
              <w:rPr>
                <w:rFonts w:hint="eastAsia" w:ascii="宋体" w:hAnsi="宋体" w:eastAsia="宋体" w:cs="宋体"/>
                <w:b/>
                <w:bCs/>
                <w:i w:val="0"/>
                <w:iCs w:val="0"/>
                <w:color w:val="000000"/>
                <w:sz w:val="21"/>
                <w:szCs w:val="21"/>
                <w:u w:val="none"/>
              </w:rPr>
            </w:r>
            <w:r/>
          </w:p>
        </w:tc>
      </w:tr>
      <w:tr>
        <w:trPr>
          <w:trHeight w:val="3380"/>
        </w:trPr>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single" w:color="000000" w:sz="4" w:space="0"/>
            </w:tcBorders>
            <w:tcW w:w="4222" w:type="dxa"/>
            <w:vAlign w:val="center"/>
            <w:textDirection w:val="lrTb"/>
            <w:noWrap/>
          </w:tcPr>
          <w:p>
            <w:pPr>
              <w:pStyle w:val="1030"/>
              <w:jc w:val="center"/>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照明零星任务</w:t>
            </w:r>
            <w:r>
              <w:rPr>
                <w:rFonts w:ascii="宋体" w:hAnsi="宋体" w:eastAsia="宋体" w:cs="宋体"/>
                <w:i w:val="0"/>
                <w:iCs w:val="0"/>
                <w:color w:val="000000"/>
                <w:sz w:val="22"/>
                <w:szCs w:val="22"/>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pStyle w:val="103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涉及撞杆修复、照明设施迁改、成套的照明设施更换、被盗电缆恢复、不可抗力因素导致的设施损毁的修复等零星任务及</w:t>
            </w:r>
            <w:r>
              <w:rPr>
                <w:rFonts w:hint="eastAsia" w:ascii="宋体" w:hAnsi="宋体" w:eastAsia="宋体" w:cs="宋体"/>
                <w:i w:val="0"/>
                <w:iCs w:val="0"/>
                <w:color w:val="000000"/>
                <w:sz w:val="22"/>
                <w:szCs w:val="22"/>
                <w:highlight w:val="none"/>
                <w:u w:val="none"/>
                <w:lang w:val="en-US" w:eastAsia="zh-CN" w:bidi="ar"/>
              </w:rPr>
              <w:t xml:space="preserve">农村和采购人指定的任务</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464,970.00</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pStyle w:val="103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464,970.00</w:t>
            </w:r>
            <w:r>
              <w:rPr>
                <w:rFonts w:hint="eastAsia" w:ascii="宋体" w:hAnsi="宋体" w:eastAsia="宋体" w:cs="宋体"/>
                <w:i w:val="0"/>
                <w:iCs w:val="0"/>
                <w:color w:val="000000"/>
                <w:sz w:val="21"/>
                <w:szCs w:val="21"/>
                <w:highlight w:val="none"/>
                <w:u w:val="none"/>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W w:w="8258"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tcPr>
          <w:p>
            <w:pPr>
              <w:pStyle w:val="103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1,200,000.00</w:t>
            </w:r>
            <w:r>
              <w:rPr>
                <w:rFonts w:hint="eastAsia" w:ascii="宋体" w:hAnsi="宋体" w:eastAsia="宋体" w:cs="宋体"/>
                <w:b/>
                <w:bCs/>
                <w:i w:val="0"/>
                <w:iCs w:val="0"/>
                <w:color w:val="000000"/>
                <w:sz w:val="21"/>
                <w:szCs w:val="21"/>
                <w:u w:val="none"/>
              </w:rPr>
            </w:r>
            <w:r/>
          </w:p>
        </w:tc>
      </w:tr>
      <w:tr>
        <w:trPr>
          <w:trHeight w:val="1203"/>
        </w:trPr>
        <w:tc>
          <w:tcPr>
            <w:gridSpan w:val="8"/>
            <w:tcBorders>
              <w:top w:val="single" w:color="000000" w:sz="4" w:space="0"/>
              <w:left w:val="single" w:color="000000" w:sz="4" w:space="0"/>
              <w:bottom w:val="single" w:color="000000" w:sz="4" w:space="0"/>
              <w:right w:val="single" w:color="000000" w:sz="4" w:space="0"/>
            </w:tcBorders>
            <w:tcW w:w="9856" w:type="dxa"/>
            <w:vAlign w:val="center"/>
            <w:textDirection w:val="lrTb"/>
            <w:noWrap/>
          </w:tcPr>
          <w:p>
            <w:pPr>
              <w:pStyle w:val="1030"/>
              <w:jc w:val="left"/>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注：</w:t>
            </w:r>
            <w:r>
              <w:rPr>
                <w:rFonts w:hint="eastAsia" w:ascii="宋体" w:hAnsi="宋体" w:eastAsia="宋体" w:cs="宋体"/>
                <w:sz w:val="21"/>
                <w:szCs w:val="21"/>
                <w:lang w:val="en-US" w:eastAsia="zh-CN"/>
              </w:rPr>
              <w:t xml:space="preserve">全费用综合单价包括但不限于人工（包括工资和补贴）、材料（主材、辅材、配件）、安装维修调试费、办公场所及设施、车辆机械费、保险、劳保、仓储、运费、管理费、利润、相关措施费、规费、税金、安全费、风险等一切全部费用。</w:t>
            </w:r>
            <w:r>
              <w:rPr>
                <w:rFonts w:ascii="宋体" w:hAnsi="宋体" w:eastAsia="宋体" w:cs="宋体"/>
                <w:b/>
                <w:bCs/>
                <w:i w:val="0"/>
                <w:iCs w:val="0"/>
                <w:color w:val="000000"/>
                <w:sz w:val="21"/>
                <w:szCs w:val="21"/>
                <w:u w:val="none"/>
                <w:lang w:val="en-US" w:eastAsia="zh-CN" w:bidi="ar"/>
              </w:rPr>
            </w:r>
            <w:r/>
          </w:p>
        </w:tc>
      </w:tr>
    </w:tbl>
    <w:p>
      <w:pPr>
        <w:pStyle w:val="1030"/>
        <w:jc w:val="both"/>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拟签订的合同文本</w:t>
      </w:r>
      <w:r>
        <w:rPr>
          <w:b/>
          <w:sz w:val="36"/>
          <w:szCs w:val="36"/>
          <w:highlight w:val="none"/>
        </w:rPr>
      </w:r>
      <w:r/>
    </w:p>
    <w:p>
      <w:pPr>
        <w:pStyle w:val="1030"/>
        <w:spacing w:before="120"/>
        <w:rPr>
          <w:rFonts w:hint="eastAsia" w:ascii="宋体" w:hAnsi="宋体" w:eastAsia="宋体" w:cs="宋体"/>
          <w:b/>
          <w:sz w:val="52"/>
          <w:szCs w:val="72"/>
        </w:rPr>
      </w:pPr>
      <w:r/>
      <w:bookmarkStart w:id="820" w:name="_Toc99301426"/>
      <w:r>
        <w:rPr>
          <w:rFonts w:hint="eastAsia" w:ascii="宋体" w:hAnsi="宋体" w:eastAsia="宋体" w:cs="宋体"/>
          <w:b/>
          <w:sz w:val="52"/>
          <w:szCs w:val="72"/>
        </w:rPr>
      </w:r>
      <w:r/>
    </w:p>
    <w:p>
      <w:pPr>
        <w:pStyle w:val="1030"/>
        <w:ind w:right="-517"/>
        <w:jc w:val="center"/>
        <w:spacing w:line="360" w:lineRule="auto"/>
        <w:rPr>
          <w:rFonts w:hint="eastAsia" w:ascii="宋体" w:hAnsi="宋体" w:eastAsia="宋体" w:cs="宋体"/>
          <w:bCs/>
          <w:spacing w:val="-34"/>
          <w:sz w:val="84"/>
        </w:rPr>
      </w:pPr>
      <w:r>
        <w:rPr>
          <w:rFonts w:hint="eastAsia" w:ascii="宋体" w:hAnsi="宋体" w:eastAsia="宋体" w:cs="宋体"/>
          <w:b/>
          <w:sz w:val="52"/>
          <w:szCs w:val="72"/>
        </w:rPr>
        <w:t xml:space="preserve">服务合同</w:t>
      </w:r>
      <w:r>
        <w:rPr>
          <w:rFonts w:hint="eastAsia" w:ascii="宋体" w:hAnsi="宋体" w:eastAsia="宋体" w:cs="宋体"/>
          <w:bCs/>
          <w:spacing w:val="-34"/>
          <w:sz w:val="84"/>
        </w:rPr>
      </w:r>
      <w:r/>
    </w:p>
    <w:p>
      <w:pPr>
        <w:pStyle w:val="1030"/>
        <w:spacing w:line="360" w:lineRule="auto"/>
        <w:rPr>
          <w:rFonts w:hint="eastAsia" w:ascii="宋体" w:hAnsi="宋体" w:eastAsia="宋体" w:cs="宋体"/>
        </w:rPr>
      </w:pPr>
      <w:r>
        <w:rPr>
          <w:rFonts w:hint="eastAsia" w:ascii="宋体" w:hAnsi="宋体" w:eastAsia="宋体" w:cs="宋体"/>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rPr>
          <w:rFonts w:hint="eastAsia" w:ascii="宋体" w:hAnsi="宋体" w:eastAsia="宋体" w:cs="宋体"/>
          <w:sz w:val="32"/>
        </w:rPr>
      </w:r>
      <w:r/>
    </w:p>
    <w:p>
      <w:pPr>
        <w:pStyle w:val="1030"/>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0"/>
        <w:ind w:firstLine="640"/>
        <w:keepLines w:val="0"/>
        <w:keepNext w:val="0"/>
        <w:pageBreakBefore w:val="0"/>
        <w:spacing w:line="1000" w:lineRule="exact"/>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lang w:eastAsia="zh-CN"/>
        </w:rPr>
        <w:t xml:space="preserve">项目</w:t>
      </w:r>
      <w:r>
        <w:rPr>
          <w:rFonts w:hint="eastAsia" w:ascii="宋体" w:hAnsi="宋体" w:eastAsia="宋体" w:cs="宋体"/>
          <w:sz w:val="32"/>
        </w:rPr>
        <w:t xml:space="preserve">编号：</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lang w:val="en-US" w:eastAsia="zh-CN"/>
        </w:rPr>
        <w:t xml:space="preserve"> </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030"/>
        <w:ind w:firstLine="640"/>
        <w:keepLines w:val="0"/>
        <w:keepNext w:val="0"/>
        <w:pageBreakBefore w:val="0"/>
        <w:spacing w:line="1000" w:lineRule="exact"/>
        <w:tabs>
          <w:tab w:val="left" w:pos="3045" w:leader="none"/>
          <w:tab w:val="left" w:pos="7140" w:leader="none"/>
          <w:tab w:val="left" w:pos="7350" w:leader="none"/>
        </w:tabs>
        <w:rPr>
          <w:rFonts w:hint="eastAsia" w:ascii="宋体" w:hAnsi="宋体" w:eastAsia="宋体" w:cs="宋体"/>
          <w:sz w:val="44"/>
        </w:rPr>
      </w:pPr>
      <w:r>
        <w:rPr>
          <w:rFonts w:hint="eastAsia" w:ascii="宋体" w:hAnsi="宋体" w:eastAsia="宋体" w:cs="宋体"/>
          <w:sz w:val="32"/>
        </w:rPr>
        <w:t xml:space="preserve">项目名称：</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lang w:val="en-US" w:eastAsia="zh-CN"/>
        </w:rPr>
        <w:t xml:space="preserve"> </w:t>
      </w:r>
      <w:r>
        <w:rPr>
          <w:rFonts w:hint="eastAsia" w:ascii="宋体" w:hAnsi="宋体" w:eastAsia="宋体" w:cs="宋体"/>
          <w:b/>
          <w:sz w:val="32"/>
          <w:szCs w:val="32"/>
          <w:u w:val="single"/>
        </w:rPr>
        <w:t xml:space="preserve">    </w:t>
      </w:r>
      <w:r>
        <w:rPr>
          <w:rFonts w:hint="eastAsia" w:ascii="宋体" w:hAnsi="宋体" w:eastAsia="宋体" w:cs="宋体"/>
          <w:sz w:val="32"/>
        </w:rPr>
        <w:t xml:space="preserve">     </w:t>
      </w:r>
      <w:r>
        <w:rPr>
          <w:rFonts w:hint="eastAsia" w:ascii="宋体" w:hAnsi="宋体" w:eastAsia="宋体" w:cs="宋体"/>
          <w:sz w:val="44"/>
        </w:rPr>
        <w:t xml:space="preserve">    </w:t>
      </w:r>
      <w:r>
        <w:rPr>
          <w:rFonts w:hint="eastAsia" w:ascii="宋体" w:hAnsi="宋体" w:eastAsia="宋体" w:cs="宋体"/>
          <w:sz w:val="44"/>
        </w:rPr>
      </w:r>
      <w:r/>
    </w:p>
    <w:p>
      <w:pPr>
        <w:pStyle w:val="1030"/>
        <w:ind w:firstLine="640"/>
        <w:jc w:val="left"/>
        <w:keepLines w:val="0"/>
        <w:keepNext w:val="0"/>
        <w:pageBreakBefore w:val="0"/>
        <w:spacing w:line="1000" w:lineRule="exact"/>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甲方（采购人）：</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r>
      <w:r/>
    </w:p>
    <w:p>
      <w:pPr>
        <w:pStyle w:val="1030"/>
        <w:ind w:firstLine="640"/>
        <w:keepLines w:val="0"/>
        <w:keepNext w:val="0"/>
        <w:pageBreakBefore w:val="0"/>
        <w:spacing w:line="1000" w:lineRule="exact"/>
        <w:rPr>
          <w:rFonts w:hint="eastAsia" w:ascii="宋体" w:hAnsi="宋体" w:eastAsia="宋体" w:cs="宋体"/>
          <w:b/>
          <w:sz w:val="32"/>
          <w:szCs w:val="32"/>
          <w:u w:val="single"/>
        </w:rPr>
      </w:pPr>
      <w:r>
        <w:rPr>
          <w:rFonts w:hint="eastAsia" w:ascii="宋体" w:hAnsi="宋体" w:eastAsia="宋体" w:cs="宋体"/>
          <w:sz w:val="32"/>
          <w:szCs w:val="32"/>
          <w:highlight w:val="none"/>
        </w:rPr>
        <w:t xml:space="preserve">乙方（</w:t>
      </w:r>
      <w:r>
        <w:rPr>
          <w:rFonts w:hint="eastAsia" w:ascii="宋体" w:hAnsi="宋体" w:eastAsia="宋体" w:cs="宋体"/>
          <w:sz w:val="32"/>
          <w:szCs w:val="32"/>
          <w:highlight w:val="none"/>
          <w:lang w:val="en-US" w:eastAsia="zh-CN"/>
        </w:rPr>
        <w:t xml:space="preserve">供应商</w:t>
      </w:r>
      <w:r>
        <w:rPr>
          <w:rFonts w:hint="eastAsia" w:ascii="宋体" w:hAnsi="宋体" w:eastAsia="宋体" w:cs="宋体"/>
          <w:sz w:val="32"/>
          <w:szCs w:val="32"/>
          <w:highlight w:val="none"/>
        </w:rPr>
        <w:t xml:space="preserve">）：</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u w:val="single"/>
        </w:rPr>
        <w:t xml:space="preserve">                   </w:t>
      </w:r>
      <w:r>
        <w:rPr>
          <w:rFonts w:hint="eastAsia" w:ascii="宋体" w:hAnsi="宋体" w:eastAsia="宋体" w:cs="宋体"/>
          <w:b/>
          <w:sz w:val="32"/>
          <w:szCs w:val="32"/>
          <w:u w:val="single"/>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spacing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0"/>
        <w:jc w:val="center"/>
        <w:spacing w:line="360" w:lineRule="auto"/>
        <w:tabs>
          <w:tab w:val="left" w:pos="3045" w:leader="none"/>
          <w:tab w:val="left" w:pos="7140" w:leader="none"/>
          <w:tab w:val="left" w:pos="7350" w:leader="none"/>
        </w:tabs>
        <w:rPr>
          <w:rFonts w:ascii="宋体" w:hAnsi="宋体" w:eastAsia="宋体" w:cs="Times New Roman"/>
          <w:sz w:val="32"/>
          <w:szCs w:val="32"/>
        </w:rPr>
      </w:pPr>
      <w:r>
        <w:rPr>
          <w:rFonts w:hint="eastAsia" w:ascii="宋体" w:hAnsi="宋体" w:eastAsia="宋体" w:cs="宋体"/>
          <w:bCs/>
          <w:sz w:val="32"/>
          <w:szCs w:val="32"/>
        </w:rPr>
        <w:t xml:space="preserve">签订日期：</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年</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月</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日</w:t>
      </w:r>
      <w:r>
        <w:rPr>
          <w:rFonts w:ascii="宋体" w:hAnsi="宋体" w:eastAsia="宋体" w:cs="Times New Roman"/>
          <w:sz w:val="32"/>
          <w:szCs w:val="32"/>
        </w:rPr>
      </w:r>
      <w:r/>
    </w:p>
    <w:p>
      <w:pPr>
        <w:pStyle w:val="1030"/>
        <w:jc w:val="both"/>
        <w:spacing w:line="360" w:lineRule="auto"/>
        <w:widowControl w:val="off"/>
        <w:rPr>
          <w:rFonts w:hint="eastAsia" w:ascii="宋体" w:hAnsi="宋体" w:eastAsia="宋体" w:cs="宋体"/>
          <w:b/>
          <w:color w:val="000000"/>
          <w:sz w:val="21"/>
          <w:szCs w:val="21"/>
          <w:lang w:val="zh-CN" w:eastAsia="zh-CN" w:bidi="ar-SA"/>
        </w:rPr>
      </w:pPr>
      <w:r>
        <w:rPr>
          <w:rFonts w:hint="eastAsia" w:ascii="宋体" w:hAnsi="宋体" w:eastAsia="宋体" w:cs="宋体"/>
          <w:b/>
          <w:color w:val="000000"/>
          <w:sz w:val="21"/>
          <w:szCs w:val="21"/>
          <w:lang w:val="zh-CN" w:eastAsia="zh-CN" w:bidi="ar-SA"/>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pStyle w:val="1030"/>
        <w:ind w:firstLine="640"/>
        <w:keepLines w:val="0"/>
        <w:keepNext w:val="0"/>
        <w:pageBreakBefore w:val="0"/>
        <w:spacing w:line="480" w:lineRule="exact"/>
        <w:rPr>
          <w:rFonts w:hint="eastAsia" w:ascii="宋体" w:hAnsi="宋体" w:eastAsia="宋体" w:cs="宋体"/>
          <w:b/>
          <w:bCs/>
        </w:rPr>
      </w:pPr>
      <w:r>
        <w:rPr>
          <w:rFonts w:hint="eastAsia" w:ascii="宋体" w:hAnsi="宋体" w:eastAsia="宋体" w:cs="宋体"/>
          <w:b/>
          <w:bCs/>
        </w:rPr>
      </w:r>
      <w:r/>
    </w:p>
    <w:p>
      <w:pPr>
        <w:shd w:val="nil"/>
        <w:rPr>
          <w:rFonts w:hint="eastAsia" w:ascii="宋体" w:hAnsi="宋体" w:eastAsia="宋体" w:cs="宋体"/>
        </w:rPr>
      </w:pPr>
      <w:r>
        <w:rPr>
          <w:rFonts w:hint="eastAsia" w:ascii="宋体" w:hAnsi="宋体" w:eastAsia="宋体" w:cs="宋体"/>
          <w:highlight w:val="none"/>
        </w:rPr>
        <w:br w:type="page" w:clear="all"/>
      </w:r>
      <w:r>
        <w:rPr>
          <w:rFonts w:hint="eastAsia" w:ascii="宋体" w:hAnsi="宋体" w:eastAsia="宋体" w:cs="宋体"/>
          <w:highlight w:val="none"/>
        </w:rP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rPr>
        <w:t xml:space="preserve">甲方（</w:t>
      </w:r>
      <w:r>
        <w:rPr>
          <w:rFonts w:hint="eastAsia" w:ascii="宋体" w:hAnsi="宋体" w:eastAsia="宋体" w:cs="宋体"/>
          <w:b/>
          <w:bCs/>
          <w:lang w:eastAsia="zh-CN"/>
        </w:rPr>
        <w:t xml:space="preserve">采购人</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b/>
          <w:bCs/>
        </w:rPr>
        <w:t xml:space="preserve">乙方（</w:t>
      </w:r>
      <w:r>
        <w:rPr>
          <w:rFonts w:hint="eastAsia" w:ascii="宋体" w:hAnsi="宋体" w:eastAsia="宋体" w:cs="宋体"/>
          <w:b/>
          <w:bCs/>
          <w:lang w:eastAsia="zh-CN"/>
        </w:rPr>
        <w:t xml:space="preserve">供应商</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甲、乙双方根据</w:t>
      </w:r>
      <w:r>
        <w:rPr>
          <w:rFonts w:hint="eastAsia" w:ascii="宋体" w:hAnsi="宋体" w:eastAsia="宋体" w:cs="宋体"/>
          <w:lang w:eastAsia="zh-CN"/>
        </w:rPr>
        <w:t xml:space="preserve">2026年尧塘街道照明设施养护项目</w:t>
      </w:r>
      <w:r>
        <w:rPr>
          <w:rFonts w:hint="eastAsia" w:ascii="宋体" w:hAnsi="宋体" w:eastAsia="宋体" w:cs="宋体"/>
          <w:lang w:val="en-US" w:eastAsia="zh-CN"/>
        </w:rPr>
        <w:t xml:space="preserve">采购</w:t>
      </w:r>
      <w:r>
        <w:rPr>
          <w:rFonts w:hint="eastAsia" w:ascii="宋体" w:hAnsi="宋体" w:eastAsia="宋体" w:cs="宋体"/>
        </w:rPr>
        <w:t xml:space="preserve">的结果，签署本合同。</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一、合同内容</w:t>
      </w:r>
      <w:r>
        <w:rPr>
          <w:rFonts w:hint="eastAsia" w:ascii="宋体" w:hAnsi="宋体" w:eastAsia="宋体" w:cs="宋体"/>
          <w:b/>
          <w:bCs/>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1.1 标的名称：</w:t>
      </w:r>
      <w:r>
        <w:rPr>
          <w:rFonts w:hint="eastAsia" w:ascii="宋体" w:hAnsi="宋体" w:eastAsia="宋体" w:cs="宋体"/>
          <w:lang w:eastAsia="zh-CN"/>
        </w:rPr>
      </w:r>
      <w:r/>
    </w:p>
    <w:p>
      <w:pPr>
        <w:pStyle w:val="1030"/>
        <w:ind w:firstLine="640"/>
        <w:keepLines w:val="0"/>
        <w:keepNext w:val="0"/>
        <w:pageBreakBefore w:val="0"/>
        <w:spacing w:line="480" w:lineRule="exact"/>
        <w:rPr>
          <w:rFonts w:ascii="宋体" w:hAnsi="宋体" w:eastAsia="宋体" w:cs="宋体"/>
          <w:lang w:val="en-US" w:eastAsia="zh-CN"/>
        </w:rPr>
      </w:pPr>
      <w:r>
        <w:rPr>
          <w:rFonts w:hint="eastAsia" w:ascii="宋体" w:hAnsi="宋体" w:eastAsia="宋体" w:cs="宋体"/>
        </w:rPr>
        <w:t xml:space="preserve">1.2标的质量：</w:t>
      </w:r>
      <w:r>
        <w:rPr>
          <w:rFonts w:hint="eastAsia" w:ascii="宋体" w:hAnsi="宋体" w:eastAsia="宋体" w:cs="宋体"/>
          <w:lang w:val="en-US" w:eastAsia="zh-CN"/>
        </w:rPr>
        <w:t xml:space="preserve">按相关国家规范标准及采购人的要求执行</w:t>
      </w:r>
      <w:r>
        <w:rPr>
          <w:rFonts w:ascii="宋体" w:hAnsi="宋体" w:eastAsia="宋体" w:cs="宋体"/>
          <w:lang w:val="en-US" w:eastAsia="zh-CN"/>
        </w:rPr>
      </w:r>
      <w:r/>
    </w:p>
    <w:p>
      <w:pPr>
        <w:pStyle w:val="1030"/>
        <w:ind w:firstLine="640"/>
        <w:keepLines w:val="0"/>
        <w:keepNext w:val="0"/>
        <w:pageBreakBefore w:val="0"/>
        <w:spacing w:line="480" w:lineRule="exact"/>
        <w:rPr>
          <w:rFonts w:ascii="宋体" w:hAnsi="宋体" w:eastAsia="宋体" w:cs="宋体"/>
          <w:lang w:val="en-US" w:eastAsia="zh-CN"/>
        </w:rPr>
      </w:pPr>
      <w:r>
        <w:rPr>
          <w:rFonts w:hint="eastAsia" w:ascii="宋体" w:hAnsi="宋体" w:eastAsia="宋体" w:cs="宋体"/>
        </w:rPr>
        <w:t xml:space="preserve">1.3 标的数量（规模）：</w:t>
      </w:r>
      <w:r>
        <w:rPr>
          <w:rFonts w:hint="eastAsia" w:ascii="宋体" w:hAnsi="宋体" w:eastAsia="宋体" w:cs="宋体"/>
          <w:lang w:val="en-US" w:eastAsia="zh-CN"/>
        </w:rPr>
        <w:t xml:space="preserve">1项。</w:t>
      </w:r>
      <w:r>
        <w:rPr>
          <w:rFonts w:ascii="宋体" w:hAnsi="宋体" w:eastAsia="宋体" w:cs="宋体"/>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rPr>
        <w:t xml:space="preserve">1.4 履行期</w:t>
      </w:r>
      <w:r>
        <w:rPr>
          <w:rFonts w:hint="eastAsia" w:ascii="宋体" w:hAnsi="宋体" w:eastAsia="宋体" w:cs="宋体"/>
          <w:highlight w:val="none"/>
        </w:rPr>
        <w:t xml:space="preserve">限：</w:t>
      </w:r>
      <w:r>
        <w:rPr>
          <w:rFonts w:hint="eastAsia" w:ascii="宋体" w:hAnsi="宋体" w:eastAsia="宋体" w:cs="宋体"/>
          <w:highlight w:val="none"/>
          <w:lang w:val="en-US" w:eastAsia="zh-CN"/>
        </w:rPr>
        <w:t xml:space="preserve">自合同签订之日起一年（照明零星任务结算金额不超46.497万元）</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highlight w:val="none"/>
        </w:rPr>
        <w:t xml:space="preserve">1.5 履行方式：</w:t>
      </w:r>
      <w:r>
        <w:rPr>
          <w:rFonts w:hint="eastAsia" w:ascii="宋体" w:hAnsi="宋体" w:eastAsia="宋体" w:cs="宋体"/>
          <w:highlight w:val="none"/>
          <w:lang w:eastAsia="zh-CN"/>
        </w:rPr>
        <w:t xml:space="preserve">提供服务、完成服务合同要求的全部内容。</w:t>
      </w:r>
      <w:r>
        <w:rPr>
          <w:rFonts w:hint="eastAsia" w:ascii="宋体" w:hAnsi="宋体" w:eastAsia="宋体" w:cs="宋体"/>
          <w:highlight w:val="none"/>
          <w:lang w:eastAsia="zh-CN"/>
        </w:rPr>
      </w:r>
      <w:r/>
    </w:p>
    <w:p>
      <w:pPr>
        <w:pStyle w:val="1030"/>
        <w:ind w:firstLine="640"/>
        <w:jc w:val="both"/>
        <w:keepLines w:val="0"/>
        <w:keepNext w:val="0"/>
        <w:pageBreakBefore w:val="0"/>
        <w:spacing w:line="480" w:lineRule="exact"/>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1.6 维护目标：功能照明设施完好率≥96%、亮灯率≥98%；故障修复及时率100%；交办事项办理及时率100%；零安全事故。</w:t>
      </w:r>
      <w:r>
        <w:rPr>
          <w:rFonts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1.7 服务内容：</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（一）维护对象</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1、配电设施：包括箱式变电站（低压部分）、配电箱、转接箱、电源电缆（根据供电部门资产划分而定）、电源电缆保护管等。</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2、照明设施：包括高杆灯、中杆灯、单（双）挑灯、水泥杆灯、庭院灯等。</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3、电缆线路设施：包括钢管保护电缆、塑料管保护电缆、其他管线电缆、直埋电缆、架空线路及其保护管、接线井，配电柜基础等。</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4、照明控制系统：包括照明监控系统、楼宇亮化控制系统、单灯控制系统。</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（二）维护主要内容</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1、负责照明设施巡查、维修，确保亮灯效果、亮灯率和设施完好率。</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2、负责照明控制系统正常运行。</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3、负责路灯灯杆、灯具、管线、控制箱（含遥控终端）及其他相关设备安装牢固情况、运行情况的检查及维修更换。</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4、负责所有路灯箱变低压室、计量箱、控制箱（含遥控终端）的检查调试维修、电气元件更换。</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5、负责所有电缆的检测、维修、更换。</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6、维护单位除正常维护外，还必须做好各项迎检、创建、重大活动及节日保障工作，适当增加巡查的频次。</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备注：以上维护内容涉及到更换主要材料（灯杆、灯具、基础、PE管、电线电缆、手孔井、箱变（低压部分）、配电柜、接线箱、照明控制设备，配电柜、接线箱内的电器元器件）的，需单独签证结算。</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（三）养护巡查</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1、乙方应组织专人进行设施巡查，建立巡修分离机制。小区内照明设施每月巡查一遍，在自然灾害天气后对设施进行全面巡查维修、重大节日前进行全面巡查维修。</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2、乙方在巡查期间发现设施故障应立即处理，不能立即处理的，应及时告知甲方并说明原因。</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3、乙方应当做好巡查检修的相关资料及台账，每月定期报送甲方。</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（四）安全文明管理</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1、乙方应确保照明设施正常运行，确保现场维护人员的安全，制定企业安全体系，完善企业安全机制，落实企业安全责任。</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2、乙方应当做好照明设施的养护及维修预案，如有意外事故发生应采取紧急处理措施，防止事故扩大化。</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3、乙方应当做好作业期间的文明施工，并承担相应责任。</w:t>
      </w:r>
      <w:r>
        <w:rPr>
          <w:rFonts w:hint="eastAsia" w:ascii="宋体" w:hAnsi="宋体" w:eastAsia="宋体" w:cs="宋体"/>
          <w:highlight w:val="none"/>
          <w:lang w:val="en-US" w:eastAsia="zh-CN"/>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二、合同金额</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2.1 本合同</w:t>
      </w:r>
      <w:r>
        <w:rPr>
          <w:rFonts w:hint="eastAsia" w:ascii="宋体" w:hAnsi="宋体" w:eastAsia="宋体" w:cs="宋体"/>
          <w:highlight w:val="none"/>
          <w:lang w:val="en-US" w:eastAsia="zh-CN"/>
        </w:rPr>
        <w:t xml:space="preserve">签约优惠率</w:t>
      </w:r>
      <w:r>
        <w:rPr>
          <w:rFonts w:hint="eastAsia" w:ascii="宋体" w:hAnsi="宋体" w:eastAsia="宋体" w:cs="宋体"/>
          <w:highlight w:val="none"/>
        </w:rPr>
        <w:t xml:space="preserve">为：_____________</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三、技术资料</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3.1乙方应按</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规定的时间向甲方提供服务（包含与服务相关的货物）的有关技术资料。</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四、知识产权</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4.1本项目从征集至最终成果提交过程中的各类成果（含初步技术路线）及知识产权均归采购人所有而不被视为侵权，研究单位须无条件提供。</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对编制过程中的阶段性成果和方案享有版权和使用权，并可以进行展览、印刷、出版等。</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i/>
          <w:highlight w:val="none"/>
        </w:rPr>
      </w:pPr>
      <w:r>
        <w:rPr>
          <w:rFonts w:hint="eastAsia" w:ascii="宋体" w:hAnsi="宋体" w:eastAsia="宋体" w:cs="宋体"/>
          <w:highlight w:val="none"/>
          <w:lang w:val="en-US" w:eastAsia="zh-CN"/>
        </w:rPr>
        <w:t xml:space="preserve">4.2</w:t>
      </w:r>
      <w:r>
        <w:rPr>
          <w:rFonts w:hint="eastAsia" w:ascii="宋体" w:hAnsi="宋体" w:eastAsia="宋体" w:cs="宋体"/>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i/>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u w:val="single"/>
          <w:lang w:val="en-US" w:eastAsia="zh-CN" w:bidi="ar-SA"/>
        </w:rPr>
      </w:pPr>
      <w:r>
        <w:rPr>
          <w:rFonts w:hint="eastAsia" w:ascii="宋体" w:hAnsi="宋体" w:eastAsia="宋体" w:cs="宋体"/>
          <w:b/>
          <w:bCs/>
          <w:sz w:val="21"/>
          <w:szCs w:val="32"/>
          <w:highlight w:val="none"/>
          <w:lang w:val="en-US" w:eastAsia="zh-CN" w:bidi="ar-SA"/>
        </w:rPr>
        <w:t xml:space="preserve">五、产权担保</w:t>
      </w:r>
      <w:r>
        <w:rPr>
          <w:rFonts w:hint="eastAsia" w:ascii="宋体" w:hAnsi="宋体" w:eastAsia="宋体" w:cs="宋体"/>
          <w:sz w:val="21"/>
          <w:szCs w:val="32"/>
          <w:highlight w:val="none"/>
          <w:u w:val="singl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u w:val="single"/>
        </w:rPr>
      </w:pPr>
      <w:r>
        <w:rPr>
          <w:rFonts w:hint="eastAsia" w:ascii="宋体" w:hAnsi="宋体" w:eastAsia="宋体" w:cs="宋体"/>
          <w:highlight w:val="none"/>
        </w:rPr>
        <w:t xml:space="preserve">5.1 乙方保证所交付的服务（包含与服务相关的货物）的所有权完全属于乙方且无任何抵押、查封等产权瑕疵。</w:t>
      </w:r>
      <w:r>
        <w:rPr>
          <w:rFonts w:hint="eastAsia" w:ascii="宋体" w:hAnsi="宋体" w:eastAsia="宋体" w:cs="宋体"/>
          <w:highlight w:val="none"/>
          <w:u w:val="singl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六、履约保证金</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本项目</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收取</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履约保证金。</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6.1 乙方交纳人民币</w:t>
      </w:r>
      <w:r>
        <w:rPr>
          <w:rFonts w:hint="eastAsia" w:ascii="宋体" w:hAnsi="宋体" w:eastAsia="宋体" w:cs="宋体"/>
          <w:b w:val="0"/>
          <w:bCs w:val="0"/>
          <w:sz w:val="21"/>
          <w:szCs w:val="32"/>
          <w:highlight w:val="none"/>
          <w:u w:val="single"/>
          <w:lang w:val="en-US" w:eastAsia="zh-CN" w:bidi="ar-SA"/>
        </w:rPr>
        <w:t xml:space="preserve"> 50000 </w:t>
      </w:r>
      <w:r>
        <w:rPr>
          <w:rFonts w:hint="eastAsia" w:ascii="宋体" w:hAnsi="宋体" w:eastAsia="宋体" w:cs="宋体"/>
          <w:b w:val="0"/>
          <w:bCs w:val="0"/>
          <w:sz w:val="21"/>
          <w:szCs w:val="32"/>
          <w:highlight w:val="none"/>
          <w:lang w:val="en-US" w:eastAsia="zh-CN" w:bidi="ar-SA"/>
        </w:rPr>
        <w:t xml:space="preserve">元作为本合同的履约保证金。乙方可以自主选择以支票、汇票、本票、保函（保险）等非现金形式交纳或提交，按照省市有关文件精神，鼓励优先采用电子履约保函（保险）形式。</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6.2 合同履行结束后，甲方应及时退还交纳的履约保证金。</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6.2.1履约保证金退还方式：一次性返还。</w:t>
      </w:r>
      <w:r>
        <w:rPr>
          <w:rFonts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6.2.2履约保证金退还时间：</w:t>
      </w:r>
      <w:r>
        <w:rPr>
          <w:rFonts w:hint="eastAsia" w:ascii="宋体" w:hAnsi="宋体" w:cs="宋体"/>
          <w:bCs/>
          <w:szCs w:val="21"/>
          <w:highlight w:val="none"/>
          <w:lang w:val="en-US" w:eastAsia="zh-CN"/>
        </w:rPr>
        <w:t xml:space="preserve">合同期满后</w:t>
      </w:r>
      <w:r>
        <w:rPr>
          <w:rFonts w:hint="eastAsia" w:ascii="宋体" w:hAnsi="宋体" w:eastAsia="宋体" w:cs="宋体"/>
          <w:b w:val="0"/>
          <w:bCs w:val="0"/>
          <w:sz w:val="21"/>
          <w:szCs w:val="32"/>
          <w:highlight w:val="none"/>
          <w:lang w:val="en-US" w:eastAsia="zh-CN" w:bidi="ar-SA"/>
        </w:rPr>
        <w:t xml:space="preserve">。</w:t>
      </w:r>
      <w:r>
        <w:rPr>
          <w:rFonts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6.2.3履约保证金退还条件：合同期满后一次性返还</w:t>
      </w:r>
      <w:r>
        <w:rPr>
          <w:rFonts w:hint="eastAsia" w:ascii="宋体" w:hAnsi="宋体" w:cs="宋体"/>
          <w:bCs/>
          <w:szCs w:val="21"/>
          <w:highlight w:val="none"/>
          <w:lang w:val="en-US" w:eastAsia="zh-CN"/>
        </w:rPr>
        <w:t xml:space="preserve">（不计息）</w:t>
      </w:r>
      <w:r>
        <w:rPr>
          <w:rFonts w:hint="eastAsia" w:ascii="宋体" w:hAnsi="宋体" w:eastAsia="宋体" w:cs="宋体"/>
          <w:b w:val="0"/>
          <w:bCs w:val="0"/>
          <w:sz w:val="21"/>
          <w:szCs w:val="32"/>
          <w:highlight w:val="none"/>
          <w:lang w:val="en-US" w:eastAsia="zh-CN" w:bidi="ar-SA"/>
        </w:rPr>
        <w:t xml:space="preserve">。</w:t>
      </w:r>
      <w:r>
        <w:rPr>
          <w:rFonts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七、合同转包或分包</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7.1 乙方不得将合同标的转包给他人履行。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7.2 乙方不得将合同标的分包给他人履行。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7.3 乙方如有转包或未经甲方同意的分包行为，甲方有权解除合同。</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八、合同款项支付</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1.结算及付款方式：按实计量。</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（1）维护款：维护期到期后一次性支付。实际支付养护费用=实际养护数量</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经甲乙双方确认的</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*养护单价*（1-优惠率）-相应违约金。</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（2）照明零星任务费用：</w:t>
      </w:r>
      <w:r>
        <w:rPr>
          <w:rFonts w:hint="eastAsia" w:ascii="宋体" w:hAnsi="宋体" w:eastAsia="宋体" w:cs="宋体"/>
          <w:highlight w:val="none"/>
          <w:lang w:eastAsia="zh-CN"/>
        </w:rPr>
        <w:t xml:space="preserve">零星维修类项目审计后付至</w:t>
      </w:r>
      <w:r>
        <w:rPr>
          <w:rFonts w:hint="eastAsia" w:ascii="宋体" w:hAnsi="宋体" w:eastAsia="宋体" w:cs="宋体"/>
          <w:highlight w:val="none"/>
          <w:lang w:val="en-US" w:eastAsia="zh-CN"/>
        </w:rPr>
        <w:t xml:space="preserve">审定价的</w:t>
      </w:r>
      <w:r>
        <w:rPr>
          <w:rFonts w:hint="eastAsia" w:ascii="宋体" w:hAnsi="宋体" w:eastAsia="宋体" w:cs="宋体"/>
          <w:highlight w:val="none"/>
          <w:lang w:eastAsia="zh-CN"/>
        </w:rPr>
        <w:t xml:space="preserve">70%，余款两年后按审定价付清</w:t>
      </w:r>
      <w:r>
        <w:rPr>
          <w:rFonts w:hint="eastAsia" w:ascii="宋体" w:hAnsi="宋体" w:eastAsia="宋体" w:cs="宋体"/>
          <w:highlight w:val="none"/>
        </w:rPr>
        <w:t xml:space="preserve">。照明零星任务结算价不得超过</w:t>
      </w:r>
      <w:r>
        <w:rPr>
          <w:rFonts w:hint="eastAsia" w:ascii="宋体" w:hAnsi="宋体" w:eastAsia="宋体" w:cs="宋体"/>
          <w:highlight w:val="none"/>
          <w:lang w:val="en-US" w:eastAsia="zh-CN"/>
        </w:rPr>
        <w:t xml:space="preserve">46.497</w:t>
      </w:r>
      <w:r>
        <w:rPr>
          <w:rFonts w:hint="eastAsia" w:ascii="宋体" w:hAnsi="宋体" w:eastAsia="宋体" w:cs="宋体"/>
          <w:highlight w:val="none"/>
        </w:rPr>
        <w:t xml:space="preserve">万元。</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（3）乙方须根据甲方要求开具相应金额的增值税发票。</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2.照明零星任务费用结算依据：</w:t>
      </w:r>
      <w:r>
        <w:rPr>
          <w:rFonts w:hint="eastAsia"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结算时参照《建设工程工程量清单计价标准》（GB/T50500-2024）、《江苏省市政工程消耗量（2026）》、《江苏省建筑与装饰工程消耗量（2026）》、《江苏省通用安装工程消耗量（2026）》、《江苏省建设工程费用参考》（2026）</w:t>
      </w:r>
      <w:r>
        <w:rPr>
          <w:rFonts w:hint="eastAsia" w:ascii="宋体" w:hAnsi="宋体" w:eastAsia="宋体" w:cs="宋体"/>
          <w:highlight w:val="none"/>
          <w:lang w:val="en-US" w:eastAsia="zh-CN"/>
        </w:rPr>
        <w:t xml:space="preserve">等相关计价规范中的标准进行组价，根据中标优惠率同比让利；作业实施中的零星点工按苏建函价执行，零星点工不让利。</w:t>
      </w:r>
      <w:r>
        <w:rPr>
          <w:rFonts w:hint="eastAsia" w:ascii="宋体" w:hAnsi="宋体" w:eastAsia="宋体" w:cs="宋体"/>
          <w:sz w:val="21"/>
          <w:szCs w:val="21"/>
          <w:highlight w:val="none"/>
          <w:lang w:val="en-US" w:eastAsia="zh-CN"/>
        </w:rPr>
        <w:t xml:space="preserve">如有新的计价定额，则按新的计价定额执行。</w:t>
      </w:r>
      <w:r>
        <w:rPr>
          <w:rFonts w:hint="eastAsia"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（2）现场安全生产、文明施工措施费按江苏省、常州市相关文件执行。</w:t>
      </w:r>
      <w:r>
        <w:rPr>
          <w:rFonts w:hint="eastAsia"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（3）所有涉及任务结算的签证单上必须有甲方代表、监理工程师、乙方等相关单位的签字，方可作为竣工结算的依据。</w:t>
      </w:r>
      <w:r>
        <w:rPr>
          <w:rFonts w:hint="eastAsia"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3.结算审核费：零星任务结算审核的核减率在8%以内(含8%)的由甲方支付全部审计费：12%&gt;核减率&gt;8%时，该项目所有审核费用甲乙双方各承担50%；核减率&gt;12%时，该项目所有审核费用均由乙方承担。上述费用不为累进制。</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九、税费</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9.1 </w:t>
      </w:r>
      <w:r>
        <w:rPr>
          <w:rFonts w:hint="eastAsia" w:ascii="宋体" w:hAnsi="宋体" w:eastAsia="宋体" w:cs="宋体"/>
          <w:highlight w:val="none"/>
          <w:lang w:val="en-US" w:eastAsia="zh-CN"/>
        </w:rPr>
        <w:t xml:space="preserve">合同价中已含税，</w:t>
      </w:r>
      <w:r>
        <w:rPr>
          <w:rFonts w:hint="eastAsia" w:ascii="宋体" w:hAnsi="宋体" w:eastAsia="宋体" w:cs="宋体"/>
          <w:highlight w:val="none"/>
        </w:rPr>
        <w:t xml:space="preserve">本合同执行中相关的一切税费均由乙方负担。</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十、项目验收</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10.1 甲方依法组织履约验收工作。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10.3 对于实际使用人和甲方分离的项目，甲方邀请实际使用人参与验收。</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十一、违约责任</w:t>
      </w:r>
      <w:r>
        <w:rPr>
          <w:rFonts w:hint="eastAsia" w:ascii="宋体" w:hAnsi="宋体" w:eastAsia="宋体" w:cs="宋体"/>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rPr>
        <w:t xml:space="preserve">.</w:t>
      </w:r>
      <w:r>
        <w:rPr>
          <w:rFonts w:hint="eastAsia" w:ascii="宋体" w:hAnsi="宋体" w:eastAsia="宋体" w:cs="宋体"/>
          <w:highlight w:val="none"/>
          <w:lang w:val="zh-CN"/>
        </w:rPr>
        <w:t xml:space="preserve">乙方无法完成项目的，应向甲方支付合同总价10％的违约金，同时甲方有权解除合同。</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w:t>
      </w:r>
      <w:r>
        <w:rPr>
          <w:rFonts w:hint="eastAsia" w:ascii="宋体" w:hAnsi="宋体" w:eastAsia="宋体" w:cs="宋体"/>
          <w:highlight w:val="none"/>
          <w:lang w:val="zh-CN"/>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w:t>
      </w:r>
      <w:r>
        <w:rPr>
          <w:rFonts w:hint="eastAsia" w:ascii="宋体" w:hAnsi="宋体" w:eastAsia="宋体" w:cs="宋体"/>
          <w:highlight w:val="none"/>
          <w:lang w:val="zh-CN"/>
        </w:rPr>
        <w:t xml:space="preserve">乙方完成的项目不符合要求的，应按照甲方选择的下列一种或多种方式承担赔偿责任：</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1</w:t>
      </w:r>
      <w:r>
        <w:rPr>
          <w:rFonts w:hint="eastAsia" w:ascii="宋体" w:hAnsi="宋体" w:eastAsia="宋体" w:cs="宋体"/>
          <w:highlight w:val="none"/>
          <w:lang w:val="zh-CN"/>
        </w:rPr>
        <w:t xml:space="preserve">）在甲方同意延长的期限内交付符合要求的提供服务并承担由此给甲方造成的一切损失；逾期未完成或完成的项目仍不符合要求，乙方应向甲方支付合同总价10％的违约金，同时甲方有权解除合同。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2</w:t>
      </w:r>
      <w:r>
        <w:rPr>
          <w:rFonts w:hint="eastAsia" w:ascii="宋体" w:hAnsi="宋体" w:eastAsia="宋体" w:cs="宋体"/>
          <w:highlight w:val="none"/>
          <w:lang w:val="zh-CN"/>
        </w:rPr>
        <w:t xml:space="preserve">）在甲方规定时间内，修正有缺陷的部分以达到合同规定的要求并承担一切费用和风险，同时承担甲方因此所遭受的全部损失；</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）按合同规定同种货币退还甲方已付款项，同时承担由此发生的一切损失和费用，包括但不限于利息、银行手续费及所需的其他必要费用。</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w:t>
      </w:r>
      <w:r>
        <w:rPr>
          <w:rFonts w:hint="eastAsia" w:ascii="宋体" w:hAnsi="宋体" w:eastAsia="宋体" w:cs="宋体"/>
          <w:highlight w:val="none"/>
          <w:lang w:val="zh-CN"/>
        </w:rPr>
        <w:t xml:space="preserve">乙方未按规定和承诺提供伴随服务、售后服务的，应向甲方支付合同总价5％的违约金。</w:t>
      </w:r>
      <w:r>
        <w:rPr>
          <w:rFonts w:hint="eastAsia" w:ascii="宋体" w:hAnsi="宋体" w:eastAsia="宋体" w:cs="宋体"/>
          <w:highlight w:val="none"/>
          <w:lang w:val="zh-CN"/>
        </w:rPr>
      </w:r>
      <w:r/>
    </w:p>
    <w:p>
      <w:pPr>
        <w:pStyle w:val="1030"/>
        <w:ind w:firstLine="640"/>
        <w:keepLines w:val="0"/>
        <w:keepNext w:val="0"/>
        <w:pageBreakBefore w:val="0"/>
        <w:spacing w:line="480" w:lineRule="exact"/>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接到甲方通知后，乙方项目负责人须到场，若乙方项目负责人未到场，则按1000元/次承担违约金。服务周期内，</w:t>
      </w:r>
      <w:r>
        <w:rPr>
          <w:rFonts w:hint="eastAsia" w:ascii="宋体" w:hAnsi="宋体" w:eastAsia="宋体" w:cs="宋体"/>
          <w:highlight w:val="none"/>
          <w:lang w:val="en-US" w:eastAsia="zh-CN"/>
        </w:rPr>
        <w:t xml:space="preserve">乙方项目负责人未到场</w:t>
      </w:r>
      <w:r>
        <w:rPr>
          <w:rFonts w:hint="eastAsia" w:ascii="宋体" w:hAnsi="宋体" w:eastAsia="宋体" w:cs="宋体"/>
          <w:highlight w:val="none"/>
          <w:lang w:val="en-US" w:eastAsia="zh-CN"/>
        </w:rPr>
        <w:t xml:space="preserve">累计超过3次的，甲方有权解除合同。</w:t>
      </w:r>
      <w:r>
        <w:rPr>
          <w:rFonts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违约方承担违约责任并不影响其合同项下的义务(合同解除的除外)。</w:t>
      </w:r>
      <w:r>
        <w:rPr>
          <w:rFonts w:hint="eastAsia" w:ascii="宋体" w:hAnsi="宋体" w:eastAsia="宋体" w:cs="宋体"/>
          <w:highlight w:val="none"/>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十二、特别约定</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1. 乙方应当按照操作规程进行施工并对项目的作业安全负全责，承担由此产生的一切费用和后果。</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2. 作业过程中涉及的线路通道、停电计划等情况，由双方共同协调处理。</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十三、合同的变更和终止</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1. 除《中华人民共和国政府采购法》第五十条规定的情形外，本合同一经签订，甲乙双方不得擅自变更、中止或终止合同。</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2. 除发生法律规定的不能预见、不能避免并不能克服的客观情况外，甲乙双方不得放弃或拒绝履行合同。</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十四、合同的终止</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本合同因下列原因而终止：</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（1）本合同正常履行完毕；</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（2）因不可抗力导致本合同无法履行或履行不必要；</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（3）任何一方行使解除权解除本合同；</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val="0"/>
          <w:bCs w:val="0"/>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（4）合同的继续履行将损害国家利益和社会公共利益。</w:t>
      </w:r>
      <w:r>
        <w:rPr>
          <w:rFonts w:hint="eastAsia" w:ascii="宋体" w:hAnsi="宋体" w:eastAsia="宋体" w:cs="宋体"/>
          <w:b w:val="0"/>
          <w:bCs w:val="0"/>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val="0"/>
          <w:bCs w:val="0"/>
          <w:sz w:val="21"/>
          <w:szCs w:val="32"/>
          <w:highlight w:val="none"/>
          <w:lang w:val="en-US" w:eastAsia="zh-CN" w:bidi="ar-SA"/>
        </w:rPr>
        <w:t xml:space="preserve">除上述情形外，甲乙双方不得擅自终止合同。</w:t>
      </w:r>
      <w:r>
        <w:rPr>
          <w:rFonts w:hint="eastAsia" w:ascii="宋体" w:hAnsi="宋体" w:eastAsia="宋体" w:cs="宋体"/>
          <w:b/>
          <w:bCs/>
          <w:sz w:val="21"/>
          <w:szCs w:val="32"/>
          <w:highlight w:val="none"/>
          <w:lang w:val="en-US" w:eastAsia="zh-CN" w:bidi="ar-SA"/>
        </w:rPr>
      </w:r>
      <w:r/>
    </w:p>
    <w:p>
      <w:pPr>
        <w:pStyle w:val="1030"/>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十五、不可抗力事件处理</w:t>
      </w:r>
      <w:r>
        <w:rPr>
          <w:rFonts w:hint="eastAsia" w:ascii="宋体" w:hAnsi="宋体" w:eastAsia="宋体" w:cs="宋体"/>
          <w:b/>
          <w:bCs/>
          <w:sz w:val="21"/>
          <w:szCs w:val="32"/>
          <w:highlight w:val="none"/>
          <w:lang w:val="en-US" w:eastAsia="zh-CN" w:bidi="ar-SA"/>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 在合同有效期内，任何一方因不可抗力事件导致不能履行合同，则合同履行期可延长，其延长期与不可抗力影响期相同。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 不可抗力事件发生后，应立即通知对方，并寄送有关权威机构出具的证明。</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highlight w:val="none"/>
          <w:lang w:val="en-US" w:eastAsia="zh-CN"/>
        </w:rPr>
        <w:t xml:space="preserve">3.</w:t>
      </w:r>
      <w:r>
        <w:rPr>
          <w:rFonts w:hint="eastAsia" w:ascii="宋体" w:hAnsi="宋体" w:eastAsia="宋体" w:cs="宋体"/>
        </w:rPr>
        <w:t xml:space="preserve"> 不可抗力事件延续120天以上，双方应通过友好协商，确定是否继续履行合同。</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十六、解决争议的方法</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双方在签订、履行合同中所发生的一切争议，应通过友好协商解决。如协商不成，</w:t>
      </w:r>
      <w:r>
        <w:rPr>
          <w:rFonts w:hint="eastAsia" w:ascii="宋体" w:hAnsi="宋体" w:eastAsia="宋体" w:cs="宋体"/>
          <w:lang w:val="en-US" w:eastAsia="zh-CN"/>
        </w:rPr>
        <w:t xml:space="preserve">则向常州市金坛区</w:t>
      </w:r>
      <w:r>
        <w:rPr>
          <w:rFonts w:hint="eastAsia" w:ascii="宋体" w:hAnsi="宋体" w:eastAsia="宋体" w:cs="宋体"/>
        </w:rPr>
        <w:t xml:space="preserve">人民法院</w:t>
      </w:r>
      <w:r>
        <w:rPr>
          <w:rFonts w:hint="eastAsia" w:ascii="宋体" w:hAnsi="宋体" w:eastAsia="宋体" w:cs="宋体"/>
          <w:lang w:val="en-US" w:eastAsia="zh-CN"/>
        </w:rPr>
        <w:t xml:space="preserve">提起诉讼</w:t>
      </w:r>
      <w:r>
        <w:rPr>
          <w:rFonts w:hint="eastAsia" w:ascii="宋体" w:hAnsi="宋体" w:eastAsia="宋体" w:cs="宋体"/>
        </w:rPr>
        <w:t xml:space="preserve">。</w:t>
      </w:r>
      <w:r>
        <w:rPr>
          <w:rFonts w:hint="eastAsia" w:ascii="宋体" w:hAnsi="宋体" w:eastAsia="宋体" w:cs="宋体"/>
        </w:rPr>
      </w:r>
      <w:r/>
    </w:p>
    <w:p>
      <w:pPr>
        <w:pStyle w:val="1030"/>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十七、合同生效及其他</w:t>
      </w:r>
      <w:r>
        <w:rPr>
          <w:rFonts w:hint="eastAsia" w:ascii="宋体" w:hAnsi="宋体" w:eastAsia="宋体" w:cs="宋体"/>
          <w:sz w:val="21"/>
          <w:szCs w:val="32"/>
          <w:lang w:val="en-US" w:eastAsia="zh-CN" w:bidi="ar-SA"/>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 合同经双方法定代表人或授权委托代表人签字并加盖单位公章后生效。</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 本合同未尽事宜，遵照《中华人民共和国民法典》《中华人民共和国政府采购法》有关条文执行。</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 本合同一式</w:t>
      </w:r>
      <w:r>
        <w:rPr>
          <w:rFonts w:hint="eastAsia" w:ascii="宋体" w:hAnsi="宋体" w:eastAsia="宋体" w:cs="宋体"/>
          <w:lang w:val="en-US" w:eastAsia="zh-CN"/>
        </w:rPr>
        <w:t xml:space="preserve">六</w:t>
      </w:r>
      <w:r>
        <w:rPr>
          <w:rFonts w:hint="eastAsia" w:ascii="宋体" w:hAnsi="宋体" w:eastAsia="宋体" w:cs="宋体"/>
        </w:rPr>
        <w:t xml:space="preserve">份，具有同等法律效力，</w:t>
      </w:r>
      <w:r>
        <w:rPr>
          <w:rFonts w:hint="eastAsia" w:ascii="宋体" w:hAnsi="宋体" w:cs="宋体"/>
          <w:b w:val="0"/>
          <w:bCs w:val="0"/>
          <w:szCs w:val="21"/>
        </w:rPr>
        <w:t xml:space="preserve">甲方</w:t>
      </w:r>
      <w:r>
        <w:rPr>
          <w:rFonts w:hint="eastAsia" w:ascii="宋体" w:hAnsi="宋体" w:eastAsia="宋体" w:cs="宋体"/>
          <w:lang w:eastAsia="zh-CN"/>
        </w:rPr>
        <w:t xml:space="preserve">、</w:t>
      </w:r>
      <w:r>
        <w:rPr>
          <w:rFonts w:hint="eastAsia" w:ascii="宋体" w:hAnsi="宋体" w:eastAsia="宋体" w:cs="宋体"/>
        </w:rPr>
        <w:t xml:space="preserve">乙方</w:t>
      </w:r>
      <w:r>
        <w:rPr>
          <w:rFonts w:hint="eastAsia" w:ascii="宋体" w:hAnsi="宋体" w:eastAsia="宋体" w:cs="宋体"/>
          <w:lang w:eastAsia="zh-CN"/>
        </w:rPr>
        <w:t xml:space="preserve">、采购代理</w:t>
      </w:r>
      <w:r>
        <w:rPr>
          <w:rFonts w:hint="eastAsia" w:ascii="宋体" w:hAnsi="宋体" w:eastAsia="宋体" w:cs="宋体"/>
        </w:rPr>
        <w:t xml:space="preserve">各执</w:t>
      </w:r>
      <w:r>
        <w:rPr>
          <w:rFonts w:hint="eastAsia" w:ascii="宋体" w:hAnsi="宋体" w:eastAsia="宋体" w:cs="宋体"/>
          <w:lang w:eastAsia="zh-CN"/>
        </w:rPr>
        <w:t xml:space="preserve">二</w:t>
      </w:r>
      <w:r>
        <w:rPr>
          <w:rFonts w:hint="eastAsia" w:ascii="宋体" w:hAnsi="宋体" w:eastAsia="宋体" w:cs="宋体"/>
        </w:rPr>
        <w:t xml:space="preserve">份。</w:t>
      </w:r>
      <w:r>
        <w:rPr>
          <w:rFonts w:hint="eastAsia" w:ascii="宋体" w:hAnsi="宋体" w:eastAsia="宋体" w:cs="宋体"/>
        </w:rPr>
      </w:r>
      <w:r/>
    </w:p>
    <w:p>
      <w:pPr>
        <w:pStyle w:val="1030"/>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tbl>
      <w:tblPr>
        <w:tblW w:w="9354" w:type="dxa"/>
        <w:tblInd w:w="-108" w:type="dxa"/>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617"/>
        </w:trPr>
        <w:tc>
          <w:tcPr>
            <w:tcBorders>
              <w:top w:val="none" w:color="000000" w:sz="0" w:space="0"/>
              <w:left w:val="none" w:color="000000" w:sz="0" w:space="0"/>
              <w:bottom w:val="none" w:color="000000" w:sz="0" w:space="0"/>
              <w:right w:val="none" w:color="000000" w:sz="0" w:space="0"/>
            </w:tcBorders>
            <w:tcW w:w="4679" w:type="dxa"/>
            <w:vAlign w:val="top"/>
            <w:textDirection w:val="lrTb"/>
            <w:noWrap w:val="false"/>
          </w:tcPr>
          <w:p>
            <w:pPr>
              <w:pStyle w:val="1030"/>
              <w:jc w:val="left"/>
              <w:spacing w:line="480" w:lineRule="exact"/>
              <w:tabs>
                <w:tab w:val="center" w:pos="4153" w:leader="none"/>
                <w:tab w:val="right" w:pos="8306" w:leader="none"/>
              </w:tabs>
              <w:rPr>
                <w:rFonts w:hint="eastAsia" w:ascii="宋体" w:hAnsi="宋体" w:eastAsia="宋体" w:cs="宋体"/>
                <w:szCs w:val="21"/>
              </w:rPr>
            </w:pPr>
            <w:r>
              <w:rPr>
                <w:rFonts w:hint="eastAsia" w:ascii="宋体" w:hAnsi="宋体" w:cs="宋体"/>
                <w:b w:val="0"/>
                <w:bCs w:val="0"/>
                <w:szCs w:val="21"/>
              </w:rPr>
              <w:t xml:space="preserve">甲方</w:t>
            </w:r>
            <w:r>
              <w:rPr>
                <w:rFonts w:hint="eastAsia" w:ascii="宋体" w:hAnsi="宋体" w:eastAsia="宋体" w:cs="宋体"/>
                <w:szCs w:val="21"/>
              </w:rPr>
              <w:t xml:space="preserve">名称：（盖章）</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top"/>
            <w:textDirection w:val="lrTb"/>
            <w:noWrap w:val="false"/>
          </w:tcPr>
          <w:p>
            <w:pPr>
              <w:pStyle w:val="1030"/>
              <w:jc w:val="left"/>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b w:val="0"/>
                <w:bCs w:val="0"/>
                <w:szCs w:val="21"/>
                <w:lang w:val="en-US" w:eastAsia="zh-CN"/>
              </w:rPr>
              <w:t xml:space="preserve">乙方</w:t>
            </w:r>
            <w:r>
              <w:rPr>
                <w:rFonts w:hint="eastAsia" w:ascii="宋体" w:hAnsi="宋体" w:eastAsia="宋体" w:cs="宋体"/>
                <w:szCs w:val="21"/>
              </w:rPr>
              <w:t xml:space="preserve">名称：（盖章）</w:t>
            </w:r>
            <w:r>
              <w:rPr>
                <w:rFonts w:hint="eastAsia" w:ascii="宋体" w:hAnsi="宋体" w:eastAsia="宋体" w:cs="宋体"/>
                <w:szCs w:val="21"/>
              </w:rPr>
            </w:r>
            <w:r/>
          </w:p>
        </w:tc>
      </w:tr>
      <w:tr>
        <w:trPr>
          <w:trHeight w:val="651"/>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rPr>
              <w:t xml:space="preserve">法定代表人：（签字或盖章）</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rPr>
              <w:t xml:space="preserve">法定代表人：（签字或盖章）</w:t>
            </w:r>
            <w:r>
              <w:rPr>
                <w:rFonts w:hint="eastAsia" w:ascii="宋体" w:hAnsi="宋体" w:eastAsia="宋体" w:cs="宋体"/>
                <w:szCs w:val="21"/>
              </w:rPr>
            </w:r>
            <w:r/>
          </w:p>
        </w:tc>
      </w:tr>
      <w:tr>
        <w:trPr>
          <w:trHeight w:val="713"/>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lang w:val="en-US" w:eastAsia="zh-CN"/>
              </w:rPr>
              <w:t xml:space="preserve">或</w:t>
            </w:r>
            <w:r>
              <w:rPr>
                <w:rFonts w:hint="eastAsia" w:ascii="宋体" w:hAnsi="宋体" w:eastAsia="宋体" w:cs="宋体"/>
                <w:szCs w:val="21"/>
              </w:rPr>
              <w:t xml:space="preserve">委托代理人：（签字）</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1030"/>
              <w:spacing w:line="480" w:lineRule="exact"/>
              <w:tabs>
                <w:tab w:val="center" w:pos="4153" w:leader="none"/>
                <w:tab w:val="right" w:pos="8306" w:leader="none"/>
              </w:tabs>
              <w:rPr>
                <w:rFonts w:hint="eastAsia" w:ascii="宋体" w:hAnsi="宋体" w:eastAsia="宋体" w:cs="宋体"/>
                <w:szCs w:val="21"/>
              </w:rPr>
            </w:pPr>
            <w:r>
              <w:rPr>
                <w:rFonts w:hint="eastAsia" w:ascii="宋体" w:hAnsi="宋体" w:eastAsia="宋体" w:cs="宋体"/>
                <w:szCs w:val="21"/>
                <w:lang w:val="en-US" w:eastAsia="zh-CN"/>
              </w:rPr>
              <w:t xml:space="preserve">或</w:t>
            </w:r>
            <w:r>
              <w:rPr>
                <w:rFonts w:hint="eastAsia" w:ascii="宋体" w:hAnsi="宋体" w:eastAsia="宋体" w:cs="宋体"/>
                <w:szCs w:val="21"/>
              </w:rPr>
              <w:t xml:space="preserve">委托代理人：（签字）</w:t>
            </w:r>
            <w:r>
              <w:rPr>
                <w:rFonts w:hint="eastAsia" w:ascii="宋体" w:hAnsi="宋体" w:eastAsia="宋体" w:cs="宋体"/>
                <w:szCs w:val="21"/>
              </w:rPr>
            </w:r>
            <w:r/>
          </w:p>
        </w:tc>
      </w:tr>
    </w:tbl>
    <w:p>
      <w:pPr>
        <w:pStyle w:val="1030"/>
        <w:jc w:val="both"/>
        <w:spacing w:line="360" w:lineRule="auto"/>
        <w:rPr>
          <w:rFonts w:hint="eastAsia" w:ascii="宋体" w:hAnsi="宋体" w:eastAsia="宋体" w:cs="宋体"/>
        </w:rPr>
        <w:outlineLvl w:val="0"/>
      </w:pPr>
      <w:r>
        <w:rPr>
          <w:rFonts w:hint="eastAsia" w:ascii="宋体" w:hAnsi="宋体" w:eastAsia="宋体" w:cs="宋体"/>
        </w:rPr>
      </w:r>
      <w:r/>
    </w:p>
    <w:p>
      <w:pPr>
        <w:pStyle w:val="1030"/>
        <w:jc w:val="both"/>
        <w:spacing w:line="360" w:lineRule="auto"/>
        <w:rPr>
          <w:rFonts w:hint="eastAsia" w:ascii="宋体" w:hAnsi="宋体" w:eastAsia="宋体" w:cs="宋体"/>
        </w:rPr>
        <w:outlineLvl w:val="0"/>
      </w:pPr>
      <w:r>
        <w:rPr>
          <w:rFonts w:hint="eastAsia" w:ascii="宋体" w:hAnsi="宋体" w:eastAsia="宋体" w:cs="宋体"/>
        </w:rPr>
        <w:t xml:space="preserve">签订日期：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rPr>
          <w:rFonts w:hint="eastAsia" w:ascii="宋体" w:hAnsi="宋体" w:eastAsia="宋体" w:cs="宋体"/>
        </w:rPr>
      </w:r>
      <w:r/>
    </w:p>
    <w:p>
      <w:pPr>
        <w:pStyle w:val="1030"/>
        <w:jc w:val="center"/>
        <w:spacing w:line="560" w:lineRule="exact"/>
        <w:rPr>
          <w:rFonts w:ascii="宋体" w:hAnsi="宋体" w:eastAsia="宋体" w:cs="宋体"/>
          <w:sz w:val="24"/>
        </w:rPr>
      </w:pPr>
      <w:r>
        <w:rPr>
          <w:rFonts w:hint="eastAsia" w:ascii="宋体" w:hAnsi="宋体" w:eastAsia="宋体" w:cs="宋体"/>
        </w:rPr>
        <w:br w:type="page" w:clear="all"/>
      </w:r>
      <w:r>
        <w:rPr>
          <w:rFonts w:hint="eastAsia" w:ascii="黑体" w:hAnsi="黑体" w:eastAsia="黑体" w:cs="黑体"/>
          <w:bCs/>
          <w:sz w:val="32"/>
          <w:szCs w:val="32"/>
        </w:rPr>
        <w:t xml:space="preserve">安全生产及环境管理协议</w:t>
      </w:r>
      <w:r>
        <w:rPr>
          <w:rFonts w:ascii="宋体" w:hAnsi="宋体" w:eastAsia="宋体" w:cs="宋体"/>
          <w:sz w:val="24"/>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甲方：</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乙方：</w:t>
      </w:r>
      <w:r>
        <w:rPr>
          <w:rFonts w:ascii="宋体" w:hAnsi="宋体" w:eastAsia="宋体" w:cs="宋体"/>
          <w:szCs w:val="21"/>
        </w:rPr>
      </w:r>
      <w:r/>
    </w:p>
    <w:p>
      <w:pPr>
        <w:pStyle w:val="1030"/>
        <w:ind w:firstLine="420"/>
        <w:spacing w:line="560" w:lineRule="exact"/>
        <w:rPr>
          <w:rFonts w:ascii="宋体" w:hAnsi="宋体" w:eastAsia="宋体" w:cs="宋体"/>
          <w:szCs w:val="21"/>
        </w:rPr>
      </w:pPr>
      <w:r>
        <w:rPr>
          <w:rFonts w:hint="eastAsia" w:ascii="宋体" w:hAnsi="宋体" w:eastAsia="宋体" w:cs="宋体"/>
          <w:szCs w:val="21"/>
        </w:rPr>
        <w:t xml:space="preserve">鉴于乙方需在甲方归属地或合同约定的实施地点从事相关施工或服务项目，为贯彻“安全第一，预防为主，综合治理”的方针，根据国家《中华人民共和国安全生产法》、《中华人民共和国消防法》等有关法规以及《工贸企业有限空间作业安全规定》等相关规定要求，明确双方的安全生产责任，确保作业安全，双方在签订项目合同的同时，必须签订本协议。</w:t>
      </w:r>
      <w:r>
        <w:rPr>
          <w:rFonts w:ascii="宋体" w:hAnsi="宋体" w:eastAsia="宋体" w:cs="宋体"/>
          <w:szCs w:val="21"/>
        </w:rPr>
      </w:r>
      <w:r/>
    </w:p>
    <w:p>
      <w:pPr>
        <w:pStyle w:val="1030"/>
        <w:spacing w:line="560" w:lineRule="exact"/>
        <w:rPr>
          <w:rFonts w:ascii="宋体" w:hAnsi="宋体" w:eastAsia="宋体" w:cs="宋体"/>
          <w:b/>
          <w:bCs/>
          <w:szCs w:val="21"/>
        </w:rPr>
      </w:pPr>
      <w:r>
        <w:rPr>
          <w:rFonts w:hint="eastAsia" w:ascii="宋体" w:hAnsi="宋体" w:eastAsia="宋体" w:cs="宋体"/>
          <w:b/>
          <w:bCs/>
          <w:szCs w:val="21"/>
        </w:rPr>
        <w:t xml:space="preserve">一、甲方权利义务</w:t>
      </w:r>
      <w:r>
        <w:rPr>
          <w:rFonts w:ascii="宋体" w:hAnsi="宋体" w:eastAsia="宋体" w:cs="宋体"/>
          <w:b/>
          <w:bCs/>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1.甲方有权对乙方相关管理资质进行审核并留下记录。有权要求乙方编制相关施工或服务安全措施方案，并在作业实施前报甲方安全部门审查及备案，其中重点安全风险点须在实施前分别编制报批审查。</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2.甲方有权监督乙方执行本协议规定的情况，有权根据本协议对乙方不符合安全及环境作业的人员进行处理、纠正、制止，并发出安全通知书、停止作业通知书，直至清退出场。</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3.甲方有权随时对乙方作业活动、机械设备、材料、作业人员持证情况进行安全检查，有权制止无证、违规操作等行为。</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4.甲方需在作业实施地进行相关工作可能影响乙方施工或服务的，甲方会提前通知乙方做好相应的应变准备。</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5.甲方对乙方在生产作业中发生的任何事故，须提供便利条件，协助抢救，但其责任及费用由乙方全部负责。</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6.甲方有因乙方不良行为导致的不良后果及影响的追溯权利，并要求乙方承担全部损失。</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7.合同签订后，乙方作业前，甲方负责对乙方进行相关的施工或服务安全技术交底，并应有书面记录或资料。</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8.甲方指派专人负责与乙方联系安全生产及作业环境方面工作。</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9.甲方有权对乙方参与作业的人员进行安全技术知识和安全工作规程的抽查。</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、包括不限于以下情况停工整顿，因停工造成的违约责任由乙方承担：  </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（1）发生严重损坏甲方设备事故的；  </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（2）发生违章作业、冒险作业不听劝告的； </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（3）施工或服务现场脏、乱、差，不能满足安全施工和环境管理要求的。</w:t>
      </w:r>
      <w:r>
        <w:rPr>
          <w:rFonts w:ascii="宋体" w:hAnsi="宋体" w:eastAsia="宋体" w:cs="宋体"/>
          <w:szCs w:val="21"/>
        </w:rPr>
      </w:r>
      <w:r/>
    </w:p>
    <w:p>
      <w:pPr>
        <w:pStyle w:val="1030"/>
        <w:spacing w:line="560" w:lineRule="exact"/>
        <w:rPr>
          <w:rFonts w:ascii="宋体" w:hAnsi="宋体" w:eastAsia="宋体" w:cs="宋体"/>
          <w:b/>
          <w:bCs/>
          <w:szCs w:val="21"/>
        </w:rPr>
      </w:pPr>
      <w:r>
        <w:rPr>
          <w:rFonts w:hint="eastAsia" w:ascii="宋体" w:hAnsi="宋体" w:eastAsia="宋体" w:cs="宋体"/>
          <w:b/>
          <w:bCs/>
          <w:szCs w:val="21"/>
        </w:rPr>
        <w:t xml:space="preserve">二、乙方权利义务</w:t>
      </w:r>
      <w:r>
        <w:rPr>
          <w:rFonts w:ascii="宋体" w:hAnsi="宋体" w:eastAsia="宋体" w:cs="宋体"/>
          <w:b/>
          <w:bCs/>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1.乙方人员须遵守甲方相关人员的安全管理，服从监督，严禁违章作业；同时应遵守国家有关治安保卫、生产安全、交通安全、消防管理、职业卫生、环境保护等方面的法律法规及相关规定。</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2.乙方应主动配合、支持甲方对安全及环境管理工作的统一协调、管理，乙方对其所负责的工作区域所发生的事故和违法行为负全责，承担全部经济损失。</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3.乙方人员应在甲方指定的工作区域内从事生产活动，未经授权不得进入其他区域。</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4.乙方要对进入甲方归属地或合同约定的实施地点的员工进行治安保卫、生产安全、交通安全、消防管理、职业卫生、环境保护等培训，未经教育培训，乙方人员不得作业，如有违反规定，则按甲方相关制度要求处理。</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5.乙方对乙方员工的生产安全负有全部责任，必须提供必要的安全资源，包括安全管理人员、现场监督、安全培训、急救物品与急救设施，须配备符合国家规定的合格劳动保护用品等，保证员工的生产作业安全。为员工提供相应的安全防护措施，确保员工劳保用品配备齐全且正确穿戴。</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6.乙方必须熟悉甲方的应急预案并积极参加、配合甲方组织的应急演练。在发生火灾等紧急情况时，所有乙方人员必须服从指令有序疏散。乙方人员不得堵塞消防通道、消防设备、安全出口等消防、应急设备设施。</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7.乙方进入甲方归属地或合同约定实施地点的车辆，必须到甲方指定地点办理手续，并停放至甲方指定区域，服从甲方交通疏导人员的管理。</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8.乙方应确保乙方所有车辆出入</w:t>
      </w:r>
      <w:r>
        <w:rPr>
          <w:rFonts w:hint="eastAsia" w:ascii="宋体" w:hAnsi="宋体" w:eastAsia="宋体" w:cs="宋体"/>
          <w:szCs w:val="21"/>
          <w:lang w:val="en-US" w:eastAsia="zh-CN"/>
        </w:rPr>
        <w:t xml:space="preserve">作业现场</w:t>
      </w:r>
      <w:r>
        <w:rPr>
          <w:rFonts w:hint="eastAsia" w:ascii="宋体" w:hAnsi="宋体" w:eastAsia="宋体" w:cs="宋体"/>
          <w:szCs w:val="21"/>
        </w:rPr>
        <w:t xml:space="preserve">时速不得超过5 km，严禁危险驾车、无照驾车、酒后驾车。</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9.乙方应加强其机动车辆管理，督促、检查机动车保养情况，确保车辆状况良好、符合安全驾驶的要求，严禁驾驶故障车辆、不安全车辆。</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10.乙方必须为所有从事作业的劳动者或员工购买相关保险。</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11.乙方必须按甲方规定在合同签订后一周内提供相关涉及安全专项的资料、相关方案、相关保险凭证等资料。</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12.合同签订后，乙方作业前，乙方须按照甲方要求全员参加甲方组织的安全技术交底会。特殊情况未能参加人员由乙方相关负责人交底，交底资料一份交甲方留存。</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13.合同签订后必须编制安全技术措施，对于起重吊装</w:t>
      </w:r>
      <w:r>
        <w:rPr>
          <w:rFonts w:hint="eastAsia" w:ascii="宋体" w:hAnsi="宋体" w:eastAsia="宋体" w:cs="宋体"/>
          <w:szCs w:val="21"/>
          <w:lang w:val="en-US" w:eastAsia="zh-CN"/>
        </w:rPr>
        <w:t xml:space="preserve">作业</w:t>
      </w:r>
      <w:r>
        <w:rPr>
          <w:rFonts w:hint="eastAsia" w:ascii="宋体" w:hAnsi="宋体" w:eastAsia="宋体" w:cs="宋体"/>
          <w:szCs w:val="21"/>
        </w:rPr>
        <w:t xml:space="preserve">、脚手架</w:t>
      </w:r>
      <w:r>
        <w:rPr>
          <w:rFonts w:hint="eastAsia" w:ascii="宋体" w:hAnsi="宋体" w:eastAsia="宋体" w:cs="宋体"/>
          <w:szCs w:val="21"/>
          <w:lang w:val="en-US" w:eastAsia="zh-CN"/>
        </w:rPr>
        <w:t xml:space="preserve">作业</w:t>
      </w:r>
      <w:r>
        <w:rPr>
          <w:rFonts w:hint="eastAsia" w:ascii="宋体" w:hAnsi="宋体" w:eastAsia="宋体" w:cs="宋体"/>
          <w:szCs w:val="21"/>
        </w:rPr>
        <w:t xml:space="preserve">、拆除作业、有限空间作业等其他危险性较大的</w:t>
      </w:r>
      <w:r>
        <w:rPr>
          <w:rFonts w:hint="eastAsia" w:ascii="宋体" w:hAnsi="宋体" w:eastAsia="宋体" w:cs="宋体"/>
          <w:szCs w:val="21"/>
          <w:lang w:val="en-US" w:eastAsia="zh-CN"/>
        </w:rPr>
        <w:t xml:space="preserve">作业项目</w:t>
      </w:r>
      <w:r>
        <w:rPr>
          <w:rFonts w:hint="eastAsia" w:ascii="宋体" w:hAnsi="宋体" w:eastAsia="宋体" w:cs="宋体"/>
          <w:szCs w:val="21"/>
        </w:rPr>
        <w:t xml:space="preserve">，应当编制专项安全施工方案，并报甲方审查批准后方可</w:t>
      </w:r>
      <w:r>
        <w:rPr>
          <w:rFonts w:hint="eastAsia" w:ascii="宋体" w:hAnsi="宋体" w:eastAsia="宋体" w:cs="宋体"/>
          <w:szCs w:val="21"/>
          <w:lang w:val="en-US" w:eastAsia="zh-CN"/>
        </w:rPr>
        <w:t xml:space="preserve">实施</w:t>
      </w:r>
      <w:r>
        <w:rPr>
          <w:rFonts w:hint="eastAsia" w:ascii="宋体" w:hAnsi="宋体" w:eastAsia="宋体" w:cs="宋体"/>
          <w:szCs w:val="21"/>
        </w:rPr>
        <w:t xml:space="preserve">。</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14.在甲方归属地或合同约定实施地点从事施工或服务作业需用电接电、用水接水时，须报甲方审批，由甲方专人到场指导后方能进行，否则均视为违规违章行为。作业实施地的用电线路、用电设施的安装和使用必须符合安装规范和安全操作规程，并按照安全方案的要求进行架设，严禁任意拉线接电。夜间施工现场必须设有保证施工安全要求的夜间照明；危险潮湿场所的照明以及手持照明灯具，必须采用符合安全要求的电压。</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15.乙方应向甲方提供特殊工种的员工名单(包括不限于电工、焊工、架子工、机械操作工、起重工、潜水员等)，保证特种作业人员持证上岗。乙方所使用的特种设备或机械，必须经国家有关部门检验合格并符合相关规范规定要求。 </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16.作业实施前，乙方应组织人员对施工区域、作业环境进行安全风险辨识排查，落实相关作业制度，对相关设施设备、工器具等进行检查，确认符合安全要求。一经开工，就表示乙方已确认施工现场安全、作业环境、设施设备、工器具符合安全要求并处于安全状态。 </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17.乙方在甲方归属地或合同约定实施地点进行相关特殊作业时，必须提供的检、维修所要求的相关资质（营业执照、资质证书等）证明材料应真实、合法、有效。</w:t>
      </w:r>
      <w:r>
        <w:rPr>
          <w:rFonts w:ascii="宋体" w:hAnsi="宋体" w:eastAsia="宋体" w:cs="宋体"/>
          <w:szCs w:val="21"/>
        </w:rPr>
      </w:r>
      <w:r/>
    </w:p>
    <w:p>
      <w:pPr>
        <w:pStyle w:val="1030"/>
        <w:spacing w:line="560" w:lineRule="exact"/>
        <w:rPr>
          <w:rFonts w:ascii="宋体" w:hAnsi="宋体" w:eastAsia="宋体" w:cs="宋体"/>
          <w:b/>
          <w:bCs/>
          <w:szCs w:val="21"/>
        </w:rPr>
      </w:pPr>
      <w:r>
        <w:rPr>
          <w:rFonts w:hint="eastAsia" w:ascii="宋体" w:hAnsi="宋体" w:eastAsia="宋体" w:cs="宋体"/>
          <w:b/>
          <w:bCs/>
          <w:szCs w:val="21"/>
        </w:rPr>
        <w:t xml:space="preserve">三、其他内容</w:t>
      </w:r>
      <w:r>
        <w:rPr>
          <w:rFonts w:ascii="宋体" w:hAnsi="宋体" w:eastAsia="宋体" w:cs="宋体"/>
          <w:b/>
          <w:bCs/>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1.本协议未尽事宜，参照法律法规以及行业标准执行。</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2.甲、乙双方必须严格执行本协议，主合同或协议对安全方面的责任未约定或约定与本协议不一致的，以本协议为准。</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3.如发生争议或纠纷，甲、乙双方应协商解决，协商不一致时，任何一方均有权向甲方所在地人民法院起诉。</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4.本协议经双方法定代表人或委托代理人签字盖章后生效，履行期限至双方的主合同或协议履行完毕止。</w:t>
      </w:r>
      <w:r>
        <w:rPr>
          <w:rFonts w:ascii="宋体" w:hAnsi="宋体" w:eastAsia="宋体" w:cs="宋体"/>
          <w:szCs w:val="21"/>
        </w:rPr>
      </w:r>
      <w:r/>
    </w:p>
    <w:p>
      <w:pPr>
        <w:pStyle w:val="1030"/>
        <w:spacing w:line="560" w:lineRule="exact"/>
        <w:rPr>
          <w:rFonts w:ascii="宋体" w:hAnsi="宋体" w:eastAsia="宋体" w:cs="宋体"/>
          <w:szCs w:val="21"/>
        </w:rPr>
      </w:pPr>
      <w:r>
        <w:rPr>
          <w:rFonts w:hint="eastAsia" w:ascii="宋体" w:hAnsi="宋体" w:eastAsia="宋体" w:cs="宋体"/>
          <w:szCs w:val="21"/>
        </w:rPr>
        <w:t xml:space="preserve">5.本协议一式陆份，甲方执贰份，乙方执贰份，招标代理机构执贰份，具有同等法律效力。</w:t>
      </w:r>
      <w:r>
        <w:rPr>
          <w:rFonts w:ascii="宋体" w:hAnsi="宋体" w:eastAsia="宋体" w:cs="宋体"/>
          <w:szCs w:val="21"/>
        </w:rPr>
      </w:r>
      <w:r/>
    </w:p>
    <w:p>
      <w:pPr>
        <w:pStyle w:val="1030"/>
        <w:rPr>
          <w:rFonts w:ascii="宋体" w:hAnsi="宋体" w:eastAsia="宋体" w:cs="宋体"/>
          <w:szCs w:val="21"/>
        </w:rPr>
      </w:pPr>
      <w:r>
        <w:rPr>
          <w:rFonts w:ascii="宋体" w:hAnsi="宋体" w:eastAsia="宋体" w:cs="宋体"/>
          <w:szCs w:val="21"/>
        </w:rPr>
      </w:r>
      <w:r/>
    </w:p>
    <w:p>
      <w:pPr>
        <w:pStyle w:val="1030"/>
        <w:rPr>
          <w:rFonts w:hint="eastAsia" w:ascii="宋体" w:hAnsi="宋体" w:eastAsia="宋体" w:cs="宋体"/>
          <w:szCs w:val="21"/>
        </w:rPr>
      </w:pPr>
      <w:r>
        <w:rPr>
          <w:rFonts w:hint="eastAsia" w:ascii="宋体" w:hAnsi="宋体" w:eastAsia="宋体" w:cs="宋体"/>
          <w:szCs w:val="21"/>
        </w:rPr>
      </w:r>
      <w:r/>
    </w:p>
    <w:p>
      <w:pPr>
        <w:pStyle w:val="1030"/>
        <w:rPr>
          <w:rFonts w:ascii="宋体" w:hAnsi="宋体" w:eastAsia="宋体" w:cs="宋体"/>
          <w:szCs w:val="21"/>
        </w:rPr>
      </w:pPr>
      <w:r>
        <w:rPr>
          <w:rFonts w:hint="eastAsia" w:ascii="宋体" w:hAnsi="宋体" w:eastAsia="宋体" w:cs="宋体"/>
          <w:szCs w:val="21"/>
        </w:rPr>
        <w:t xml:space="preserve">甲 方：                         乙 方：</w:t>
      </w:r>
      <w:r>
        <w:rPr>
          <w:rFonts w:ascii="宋体" w:hAnsi="宋体" w:eastAsia="宋体" w:cs="宋体"/>
          <w:szCs w:val="21"/>
        </w:rPr>
      </w:r>
      <w:r/>
    </w:p>
    <w:p>
      <w:pPr>
        <w:pStyle w:val="1030"/>
        <w:rPr>
          <w:rFonts w:ascii="宋体" w:hAnsi="宋体" w:eastAsia="宋体" w:cs="宋体"/>
          <w:szCs w:val="21"/>
        </w:rPr>
      </w:pPr>
      <w:r>
        <w:rPr>
          <w:rFonts w:ascii="宋体" w:hAnsi="宋体" w:eastAsia="宋体" w:cs="宋体"/>
          <w:szCs w:val="21"/>
        </w:rPr>
      </w:r>
      <w:r/>
    </w:p>
    <w:p>
      <w:pPr>
        <w:pStyle w:val="1030"/>
        <w:rPr>
          <w:rFonts w:ascii="宋体" w:hAnsi="宋体" w:eastAsia="宋体" w:cs="宋体"/>
          <w:szCs w:val="21"/>
        </w:rPr>
      </w:pPr>
      <w:r>
        <w:rPr>
          <w:rFonts w:hint="eastAsia" w:ascii="宋体" w:hAnsi="宋体" w:eastAsia="宋体" w:cs="宋体"/>
          <w:szCs w:val="21"/>
        </w:rPr>
        <w:t xml:space="preserve">法人或授权委托人：              法人或授权委托人：</w:t>
      </w:r>
      <w:r>
        <w:rPr>
          <w:rFonts w:ascii="宋体" w:hAnsi="宋体" w:eastAsia="宋体" w:cs="宋体"/>
          <w:szCs w:val="21"/>
        </w:rPr>
      </w:r>
      <w:r/>
    </w:p>
    <w:p>
      <w:pPr>
        <w:pStyle w:val="1030"/>
        <w:rPr>
          <w:rFonts w:ascii="宋体" w:hAnsi="宋体" w:eastAsia="宋体" w:cs="宋体"/>
          <w:szCs w:val="21"/>
        </w:rPr>
      </w:pPr>
      <w:r>
        <w:rPr>
          <w:rFonts w:ascii="宋体" w:hAnsi="宋体" w:eastAsia="宋体" w:cs="宋体"/>
          <w:szCs w:val="21"/>
        </w:rPr>
      </w:r>
      <w:r/>
    </w:p>
    <w:p>
      <w:pPr>
        <w:pStyle w:val="1030"/>
        <w:rPr>
          <w:rFonts w:ascii="宋体" w:hAnsi="宋体" w:eastAsia="宋体" w:cs="宋体"/>
          <w:szCs w:val="21"/>
        </w:rPr>
      </w:pPr>
      <w:r>
        <w:rPr>
          <w:rFonts w:hint="eastAsia" w:ascii="宋体" w:hAnsi="宋体" w:eastAsia="宋体" w:cs="宋体"/>
          <w:szCs w:val="21"/>
        </w:rPr>
        <w:t xml:space="preserve">联系电话：                      联系电话： </w:t>
      </w:r>
      <w:r>
        <w:rPr>
          <w:rFonts w:ascii="宋体" w:hAnsi="宋体" w:eastAsia="宋体" w:cs="宋体"/>
          <w:szCs w:val="21"/>
        </w:rPr>
      </w:r>
      <w:r/>
    </w:p>
    <w:p>
      <w:pPr>
        <w:pStyle w:val="1030"/>
        <w:rPr>
          <w:rFonts w:ascii="宋体" w:hAnsi="宋体" w:eastAsia="宋体" w:cs="宋体"/>
          <w:szCs w:val="21"/>
        </w:rPr>
      </w:pPr>
      <w:r>
        <w:rPr>
          <w:rFonts w:ascii="宋体" w:hAnsi="宋体" w:eastAsia="宋体" w:cs="宋体"/>
          <w:szCs w:val="21"/>
        </w:rPr>
      </w:r>
      <w:r/>
    </w:p>
    <w:p>
      <w:pPr>
        <w:pStyle w:val="1030"/>
        <w:jc w:val="both"/>
        <w:spacing w:line="360" w:lineRule="auto"/>
        <w:rPr>
          <w:rFonts w:hint="eastAsia" w:ascii="宋体" w:hAnsi="宋体" w:eastAsia="宋体" w:cs="宋体"/>
        </w:rPr>
        <w:outlineLvl w:val="0"/>
      </w:pPr>
      <w:r>
        <w:rPr>
          <w:rFonts w:hint="eastAsia" w:ascii="宋体" w:hAnsi="宋体" w:eastAsia="宋体" w:cs="宋体"/>
          <w:szCs w:val="21"/>
        </w:rPr>
        <w:t xml:space="preserve">日期：    年    月     日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日期：   年    月    日</w:t>
      </w:r>
      <w:r>
        <w:rPr>
          <w:rFonts w:hint="eastAsia" w:ascii="宋体" w:hAnsi="宋体" w:eastAsia="宋体" w:cs="宋体"/>
        </w:rPr>
      </w:r>
      <w:r/>
    </w:p>
    <w:p>
      <w:pPr>
        <w:pStyle w:val="1030"/>
        <w:jc w:val="center"/>
        <w:spacing w:line="360" w:lineRule="auto"/>
        <w:rPr>
          <w:b/>
          <w:sz w:val="36"/>
          <w:szCs w:val="36"/>
          <w:highlight w:val="none"/>
        </w:rPr>
        <w:outlineLvl w:val="0"/>
      </w:pPr>
      <w:r>
        <w:rPr>
          <w:rFonts w:hint="eastAsia" w:ascii="宋体" w:hAnsi="宋体" w:eastAsia="宋体" w:cs="宋体"/>
        </w:rPr>
        <w:br w:type="page" w:clear="all"/>
      </w:r>
      <w:r>
        <w:rPr>
          <w:b/>
          <w:sz w:val="36"/>
          <w:szCs w:val="36"/>
          <w:highlight w:val="none"/>
        </w:rPr>
        <w:t xml:space="preserve">第七章   投标文件格式</w:t>
      </w:r>
      <w:bookmarkEnd w:id="820"/>
      <w:r>
        <w:rPr>
          <w:b/>
          <w:sz w:val="36"/>
          <w:szCs w:val="36"/>
          <w:highlight w:val="none"/>
        </w:rPr>
      </w:r>
      <w:r/>
    </w:p>
    <w:p>
      <w:pPr>
        <w:pStyle w:val="1030"/>
        <w:spacing w:line="360" w:lineRule="auto"/>
        <w:tabs>
          <w:tab w:val="left" w:pos="900" w:leader="none"/>
          <w:tab w:val="left" w:pos="1980" w:leader="none"/>
        </w:tabs>
        <w:rPr>
          <w:b/>
          <w:sz w:val="24"/>
          <w:highlight w:val="none"/>
        </w:rPr>
      </w:pPr>
      <w:r>
        <w:rPr>
          <w:b/>
          <w:sz w:val="24"/>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b/>
          <w:szCs w:val="21"/>
          <w:highlight w:val="none"/>
        </w:rPr>
        <w:t xml:space="preserve">投标人编制文件须知</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rPr>
        <w:t xml:space="preserve">对于招标文件中标记了“实质性格式”文件的，</w:t>
      </w:r>
      <w:r>
        <w:rPr>
          <w:rFonts w:ascii="宋体" w:hAnsi="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Cs w:val="21"/>
          <w:highlight w:val="none"/>
        </w:rPr>
        <w:t xml:space="preserve">否则</w:t>
      </w:r>
      <w:r>
        <w:rPr>
          <w:rFonts w:ascii="宋体" w:hAnsi="宋体"/>
          <w:b/>
          <w:szCs w:val="21"/>
          <w:highlight w:val="none"/>
        </w:rPr>
        <w:t xml:space="preserve">投标无效</w:t>
      </w:r>
      <w:r>
        <w:rPr>
          <w:rFonts w:ascii="宋体" w:hAnsi="宋体"/>
          <w:szCs w:val="21"/>
          <w:highlight w:val="none"/>
        </w:rPr>
        <w:t xml:space="preserve">。未标记“实质性格式”的文件和招标文件未提供格式的内容，可由投标人自行编写。</w:t>
      </w:r>
      <w:r>
        <w:rPr>
          <w:rFonts w:ascii="宋体" w:hAnsi="宋体"/>
          <w:szCs w:val="21"/>
          <w:highlight w:val="none"/>
        </w:rPr>
      </w:r>
      <w:r/>
    </w:p>
    <w:p>
      <w:pPr>
        <w:pStyle w:val="1030"/>
        <w:ind w:left="142"/>
        <w:spacing w:line="360" w:lineRule="auto"/>
        <w:tabs>
          <w:tab w:val="left" w:pos="900" w:leader="none"/>
          <w:tab w:val="left" w:pos="1980" w:leader="none"/>
        </w:tabs>
        <w:rPr>
          <w:rFonts w:hint="eastAsia" w:ascii="宋体" w:hAnsi="宋体"/>
          <w:szCs w:val="21"/>
          <w:highlight w:val="none"/>
        </w:rPr>
      </w:pPr>
      <w:r>
        <w:rPr>
          <w:rFonts w:ascii="宋体" w:hAnsi="宋体"/>
          <w:szCs w:val="21"/>
          <w:highlight w:val="none"/>
        </w:rPr>
        <w:t xml:space="preserve">3、全部声明和问题的回答及所附材料必须是真实的、准确的和完整的。</w:t>
      </w:r>
      <w:r>
        <w:rPr>
          <w:rFonts w:hint="eastAsia" w:ascii="宋体" w:hAnsi="宋体"/>
          <w:szCs w:val="21"/>
          <w:highlight w:val="none"/>
        </w:rPr>
      </w:r>
      <w:r/>
    </w:p>
    <w:p>
      <w:pPr>
        <w:pStyle w:val="1030"/>
        <w:ind w:left="142"/>
        <w:spacing w:line="360" w:lineRule="auto"/>
        <w:tabs>
          <w:tab w:val="left" w:pos="900" w:leader="none"/>
          <w:tab w:val="left" w:pos="1980" w:leader="none"/>
        </w:tabs>
        <w:rPr>
          <w:b/>
          <w:sz w:val="24"/>
          <w:highlight w:val="none"/>
        </w:rPr>
      </w:pPr>
      <w:r>
        <w:rPr>
          <w:rFonts w:hint="eastAsia" w:ascii="宋体" w:hAnsi="宋体"/>
          <w:szCs w:val="21"/>
          <w:highlight w:val="none"/>
        </w:rPr>
        <w:t xml:space="preserve">4、实行电子化不见面交易方式的，加盖公章、签名等均通过</w:t>
      </w:r>
      <w:r>
        <w:rPr>
          <w:rFonts w:ascii="宋体" w:hAnsi="宋体"/>
          <w:szCs w:val="21"/>
          <w:highlight w:val="none"/>
        </w:rPr>
        <w:t xml:space="preserve">投标文件编制工具</w:t>
      </w:r>
      <w:r>
        <w:rPr>
          <w:rFonts w:hint="eastAsia" w:ascii="宋体" w:hAnsi="宋体"/>
          <w:szCs w:val="21"/>
          <w:highlight w:val="none"/>
        </w:rPr>
        <w:t xml:space="preserve">加盖电子公章、</w:t>
      </w:r>
      <w:r>
        <w:rPr>
          <w:rFonts w:ascii="宋体" w:hAnsi="宋体"/>
          <w:szCs w:val="21"/>
          <w:highlight w:val="none"/>
        </w:rPr>
        <w:t xml:space="preserve">签字</w:t>
      </w:r>
      <w:r>
        <w:rPr>
          <w:rFonts w:hint="eastAsia" w:ascii="宋体" w:hAnsi="宋体"/>
          <w:szCs w:val="21"/>
          <w:highlight w:val="none"/>
        </w:rPr>
        <w:t xml:space="preserve">、签章</w:t>
      </w:r>
      <w:r>
        <w:rPr>
          <w:rFonts w:ascii="宋体" w:hAnsi="宋体"/>
          <w:szCs w:val="21"/>
          <w:highlight w:val="none"/>
        </w:rPr>
        <w:t xml:space="preserve">或</w:t>
      </w:r>
      <w:r>
        <w:rPr>
          <w:rFonts w:hint="eastAsia" w:ascii="宋体" w:hAnsi="宋体"/>
          <w:szCs w:val="21"/>
          <w:highlight w:val="none"/>
        </w:rPr>
        <w:t xml:space="preserve">印鉴。</w:t>
      </w:r>
      <w:r>
        <w:rPr>
          <w:sz w:val="24"/>
          <w:highlight w:val="none"/>
        </w:rPr>
        <w:br w:type="page" w:clear="all"/>
      </w:r>
      <w:r>
        <w:rPr>
          <w:b/>
          <w:spacing w:val="20"/>
          <w:sz w:val="24"/>
          <w:highlight w:val="none"/>
        </w:rPr>
        <w:t xml:space="preserve">投标文件</w:t>
      </w:r>
      <w:r>
        <w:rPr>
          <w:b/>
          <w:sz w:val="24"/>
          <w:highlight w:val="none"/>
        </w:rPr>
        <w:t xml:space="preserve">封面（非实质性格式）</w:t>
      </w:r>
      <w:r>
        <w:rPr>
          <w:b/>
          <w:sz w:val="24"/>
          <w:highlight w:val="none"/>
        </w:rPr>
      </w:r>
      <w:r/>
    </w:p>
    <w:p>
      <w:pPr>
        <w:pStyle w:val="1030"/>
        <w:jc w:val="center"/>
        <w:rPr>
          <w:szCs w:val="21"/>
          <w:highlight w:val="none"/>
        </w:rPr>
      </w:pPr>
      <w:r>
        <w:rPr>
          <w:szCs w:val="21"/>
          <w:highlight w:val="none"/>
        </w:rPr>
      </w:r>
      <w:r/>
    </w:p>
    <w:p>
      <w:pPr>
        <w:pStyle w:val="1030"/>
        <w:jc w:val="center"/>
        <w:rPr>
          <w:b/>
          <w:spacing w:val="60"/>
          <w:sz w:val="84"/>
          <w:szCs w:val="84"/>
          <w:highlight w:val="none"/>
        </w:rPr>
      </w:pPr>
      <w:r>
        <w:rPr>
          <w:b/>
          <w:spacing w:val="60"/>
          <w:sz w:val="84"/>
          <w:szCs w:val="84"/>
          <w:highlight w:val="none"/>
        </w:rPr>
      </w:r>
      <w:r/>
    </w:p>
    <w:p>
      <w:pPr>
        <w:pStyle w:val="1030"/>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30"/>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30"/>
        <w:jc w:val="center"/>
        <w:rPr>
          <w:b/>
          <w:sz w:val="32"/>
          <w:szCs w:val="32"/>
          <w:highlight w:val="none"/>
        </w:rPr>
      </w:pPr>
      <w:r>
        <w:rPr>
          <w:b/>
          <w:sz w:val="32"/>
          <w:szCs w:val="32"/>
          <w:highlight w:val="none"/>
        </w:rPr>
      </w:r>
      <w:r/>
    </w:p>
    <w:p>
      <w:pPr>
        <w:pStyle w:val="1030"/>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30"/>
        <w:rPr>
          <w:b/>
          <w:highlight w:val="none"/>
        </w:rPr>
      </w:pPr>
      <w:r>
        <w:rPr>
          <w:b/>
          <w:highlight w:val="none"/>
        </w:rPr>
      </w:r>
      <w:r/>
    </w:p>
    <w:p>
      <w:pPr>
        <w:pStyle w:val="10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 </w:t>
      </w:r>
      <w:r>
        <w:rPr>
          <w:rFonts w:hint="eastAsia" w:ascii="宋体" w:hAnsi="宋体" w:cs="宋体"/>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p>
      <w:pPr>
        <w:pStyle w:val="1033"/>
        <w:rPr>
          <w:rFonts w:ascii="Times New Roman"/>
          <w:b w:val="0"/>
          <w:bCs/>
          <w:color w:val="000000"/>
          <w:highlight w:val="none"/>
          <w:u w:val="none"/>
        </w:rPr>
      </w:pPr>
      <w:r>
        <w:rPr>
          <w:rFonts w:hint="eastAsia" w:hAnsi="宋体" w:cs="宋体"/>
          <w:b w:val="0"/>
          <w:color w:val="000000"/>
          <w:sz w:val="21"/>
          <w:szCs w:val="21"/>
          <w:highlight w:val="none"/>
          <w:u w:val="none"/>
        </w:rPr>
        <w:t xml:space="preserve">1-1 投标人资格声明函（实质性格式）</w:t>
      </w:r>
      <w:r>
        <w:rPr>
          <w:rFonts w:ascii="Times New Roman"/>
          <w:b w:val="0"/>
          <w:bCs/>
          <w:color w:val="000000"/>
          <w:highlight w:val="none"/>
          <w:u w:val="none"/>
        </w:rPr>
      </w:r>
      <w:r/>
    </w:p>
    <w:p>
      <w:pPr>
        <w:pStyle w:val="1030"/>
        <w:jc w:val="center"/>
        <w:spacing w:before="16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0"/>
        <w:jc w:val="center"/>
        <w:spacing w:before="16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45"/>
        <w:ind w:firstLine="480"/>
        <w:spacing w:line="460" w:lineRule="exact"/>
        <w:rPr>
          <w:highlight w:val="none"/>
        </w:rPr>
      </w:pPr>
      <w:r>
        <w:rPr>
          <w:highlight w:val="none"/>
        </w:rPr>
      </w:r>
      <w:r/>
    </w:p>
    <w:p>
      <w:pPr>
        <w:pStyle w:val="1045"/>
        <w:ind w:firstLine="480"/>
        <w:spacing w:line="460" w:lineRule="exact"/>
        <w:rPr>
          <w:sz w:val="21"/>
          <w:szCs w:val="21"/>
          <w:highlight w:val="none"/>
          <w:u w:val="single"/>
        </w:rPr>
      </w:pPr>
      <w:r>
        <w:rPr>
          <w:rFonts w:hint="eastAsia"/>
          <w:sz w:val="21"/>
          <w:szCs w:val="21"/>
          <w:highlight w:val="none"/>
        </w:rPr>
        <w:t xml:space="preserve">致：</w:t>
      </w:r>
      <w:r>
        <w:rPr>
          <w:rFonts w:hint="eastAsia"/>
          <w:sz w:val="21"/>
          <w:szCs w:val="21"/>
          <w:highlight w:val="none"/>
          <w:u w:val="single"/>
        </w:rPr>
        <w:t xml:space="preserve">（采购人名称）</w:t>
      </w:r>
      <w:r>
        <w:rPr>
          <w:sz w:val="21"/>
          <w:szCs w:val="21"/>
          <w:highlight w:val="none"/>
          <w:u w:val="singl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按照《中华人民共和国政府采购法》第二十二条和招标文件的规定，我单位郑重声明如下：</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二、我单位具有良好的商业信誉（指投标人经营状况良好，无本资格声明第十条情形）和健全的财务会计制度。</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三、我单位依法进行纳税和社会保险申报并实际履行了义务。</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四、我单位具有履行本项目采购合同所必需的设备和专业技术能力，并具有履行合同的良好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六、我单位具备法律、行政法规规定的其他条件。</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七、与我单位存在“单位负责人为同一人或者存在直接控股、管理关系”的其他单位信息如下（如无此情形的，填写“无”）：</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八、</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不属于为本项目提供整体设计、规范编制或者项目管理、监理、检测等服务的投标人。</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我单位无以下不良信用记录情形：</w:t>
      </w:r>
      <w:r>
        <w:rPr>
          <w:sz w:val="21"/>
          <w:szCs w:val="21"/>
          <w:highlight w:val="none"/>
        </w:rPr>
      </w:r>
      <w:r/>
    </w:p>
    <w:p>
      <w:pPr>
        <w:pStyle w:val="1045"/>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045"/>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045"/>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w:t>
      </w:r>
      <w:r>
        <w:rPr>
          <w:rFonts w:hint="eastAsia"/>
          <w:sz w:val="21"/>
          <w:szCs w:val="21"/>
          <w:highlight w:val="none"/>
        </w:rPr>
        <w:t xml:space="preserve">中华人民共和国</w:t>
      </w:r>
      <w:r>
        <w:rPr>
          <w:sz w:val="21"/>
          <w:szCs w:val="21"/>
          <w:highlight w:val="none"/>
        </w:rPr>
        <w:t xml:space="preserve">政府采购法》第二十二条规定的条件。</w:t>
      </w:r>
      <w:r>
        <w:rPr>
          <w:sz w:val="21"/>
          <w:szCs w:val="21"/>
          <w:highlight w:val="non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                                            投标人：（加盖公章）</w:t>
      </w:r>
      <w:r>
        <w:rPr>
          <w:sz w:val="21"/>
          <w:szCs w:val="21"/>
          <w:highlight w:val="none"/>
        </w:rPr>
      </w:r>
      <w:r/>
    </w:p>
    <w:p>
      <w:pPr>
        <w:pStyle w:val="1045"/>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045"/>
        <w:ind w:firstLine="4305"/>
        <w:spacing w:line="460" w:lineRule="exact"/>
        <w:rPr>
          <w:rFonts w:hint="eastAsia"/>
          <w:sz w:val="21"/>
          <w:szCs w:val="21"/>
          <w:highlight w:val="none"/>
        </w:rPr>
      </w:pPr>
      <w:r>
        <w:rPr>
          <w:rFonts w:hint="eastAsia"/>
          <w:sz w:val="21"/>
          <w:szCs w:val="21"/>
          <w:highlight w:val="none"/>
        </w:rPr>
        <w:t xml:space="preserve">日期：    年    月    日</w:t>
      </w:r>
      <w:r>
        <w:rPr>
          <w:rFonts w:hint="eastAsia"/>
          <w:sz w:val="21"/>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eastAsia="宋体"/>
          <w:sz w:val="24"/>
          <w:highlight w:val="none"/>
          <w:lang w:val="en-US" w:eastAsia="zh-CN"/>
        </w:rPr>
        <w:sectPr>
          <w:headerReference w:type="default" r:id="rId14"/>
          <w:footerReference w:type="default" r:id="rId26"/>
          <w:footnotePr/>
          <w:endnotePr/>
          <w:type w:val="nextPage"/>
          <w:pgSz w:w="11905" w:h="16838" w:orient="portrait"/>
          <w:pgMar w:top="1440" w:right="1134" w:bottom="1440" w:left="1134" w:header="850" w:footer="992" w:gutter="0"/>
          <w:cols w:num="1" w:sep="0" w:space="1701" w:equalWidth="1"/>
          <w:docGrid w:linePitch="360"/>
        </w:sectPr>
      </w:pPr>
      <w:r>
        <w:rPr>
          <w:szCs w:val="21"/>
          <w:highlight w:val="none"/>
        </w:rPr>
        <w:t xml:space="preserve">说明：</w:t>
      </w:r>
      <w:r>
        <w:rPr>
          <w:rFonts w:hint="eastAsia"/>
          <w:szCs w:val="21"/>
          <w:highlight w:val="none"/>
        </w:rPr>
        <w:t xml:space="preserve">供应商承诺不实的，依据《中华人民共和国政府采购法》第七十七条“提供虚假材料谋取中标、成交的”有关规定予以处理</w:t>
      </w:r>
      <w:r>
        <w:rPr>
          <w:rFonts w:hint="eastAsia"/>
          <w:szCs w:val="21"/>
          <w:highlight w:val="none"/>
          <w:lang w:eastAsia="zh-CN"/>
        </w:rPr>
        <w:t xml:space="preserve">。</w:t>
      </w:r>
      <w:r>
        <w:rPr>
          <w:rFonts w:hint="eastAsia" w:eastAsia="宋体"/>
          <w:sz w:val="24"/>
          <w:highlight w:val="none"/>
          <w:lang w:val="en-US" w:eastAsia="zh-CN"/>
        </w:rPr>
      </w:r>
      <w:r/>
    </w:p>
    <w:p>
      <w:pPr>
        <w:pStyle w:val="1030"/>
        <w:spacing w:line="360" w:lineRule="auto"/>
        <w:rPr>
          <w:rFonts w:hint="eastAsia" w:ascii="宋体" w:hAnsi="宋体" w:eastAsia="宋体" w:cs="宋体"/>
          <w:color w:val="000000"/>
          <w:szCs w:val="21"/>
        </w:rPr>
        <w:outlineLvl w:val="2"/>
      </w:pPr>
      <w:r>
        <w:rPr>
          <w:rFonts w:hint="eastAsia" w:ascii="宋体" w:hAnsi="宋体" w:eastAsia="宋体" w:cs="宋体"/>
          <w:color w:val="000000"/>
          <w:szCs w:val="21"/>
        </w:rPr>
        <w:t xml:space="preserve">2 落实政府采购政策需满足的资格要求</w:t>
      </w:r>
      <w:r>
        <w:rPr>
          <w:rFonts w:hint="eastAsia" w:ascii="宋体" w:hAnsi="宋体" w:eastAsia="宋体" w:cs="宋体"/>
          <w:color w:val="000000"/>
          <w:szCs w:val="21"/>
        </w:rPr>
      </w:r>
      <w:r/>
    </w:p>
    <w:p>
      <w:pPr>
        <w:pStyle w:val="103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2-1 中小企业声明函</w:t>
      </w:r>
      <w:r>
        <w:rPr>
          <w:rFonts w:ascii="Times New Roman" w:hAnsi="Times New Roman" w:eastAsia="宋体" w:cs="Times New Roman"/>
          <w:color w:val="000000"/>
          <w:szCs w:val="21"/>
        </w:rPr>
        <w:t xml:space="preserve">（实质性格式）</w:t>
      </w:r>
      <w:r>
        <w:rPr>
          <w:rFonts w:hint="eastAsia" w:ascii="宋体" w:hAnsi="宋体" w:eastAsia="宋体" w:cs="宋体"/>
          <w:color w:val="000000"/>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说明：</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（1）如本项目（包）不专门面向中小企业预留采购份额，供应商非必须提供；当小微企业拟享受中小企业扶持政策时，仍应提供《中小企业声明函》，</w:t>
      </w:r>
      <w:r>
        <w:rPr>
          <w:rFonts w:hint="eastAsia" w:ascii="宋体" w:hAnsi="宋体" w:eastAsia="宋体" w:cs="宋体"/>
          <w:color w:val="000000"/>
          <w:szCs w:val="21"/>
        </w:rPr>
        <w:t xml:space="preserve">否则不得享受相关中小企业扶持政策</w:t>
      </w:r>
      <w:r>
        <w:rPr>
          <w:rFonts w:hint="eastAsia" w:ascii="宋体" w:hAnsi="宋体" w:eastAsia="宋体" w:cs="宋体"/>
          <w:szCs w:val="21"/>
        </w:rPr>
        <w:t xml:space="preserve">。</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（2）如本项目（包）专门面向中小/小微企业采购，须提供《中小企业声明函》</w:t>
      </w:r>
      <w:r>
        <w:rPr>
          <w:rFonts w:hint="eastAsia" w:ascii="宋体" w:hAnsi="宋体" w:eastAsia="宋体" w:cs="宋体"/>
          <w:color w:val="000000"/>
          <w:szCs w:val="21"/>
        </w:rPr>
        <w:t xml:space="preserve">（实质性格式）</w:t>
      </w:r>
      <w:r>
        <w:rPr>
          <w:rFonts w:hint="eastAsia" w:ascii="宋体" w:hAnsi="宋体" w:eastAsia="宋体" w:cs="宋体"/>
          <w:szCs w:val="21"/>
        </w:rPr>
        <w:t xml:space="preserve">。</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（4）其它</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3）对于多标的的采购项目，供应商应充分、准确地了解所投产品制造企业信息。对相关情况了解不清楚的，不建议填报本声明函。</w:t>
      </w:r>
      <w:r>
        <w:rPr>
          <w:rFonts w:hint="eastAsia" w:ascii="宋体" w:hAnsi="宋体" w:eastAsia="宋体" w:cs="宋体"/>
          <w:szCs w:val="21"/>
        </w:rPr>
      </w:r>
      <w:r/>
    </w:p>
    <w:p>
      <w:pPr>
        <w:pStyle w:val="1030"/>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szCs w:val="21"/>
        </w:rPr>
      </w:r>
      <w:r/>
    </w:p>
    <w:p>
      <w:pPr>
        <w:pStyle w:val="1030"/>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1030"/>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color w:val="000000"/>
          <w:sz w:val="24"/>
        </w:rPr>
        <w:br w:type="page" w:clear="all"/>
      </w:r>
      <w:r>
        <w:rPr>
          <w:rFonts w:hint="eastAsia" w:ascii="宋体" w:hAnsi="宋体" w:eastAsia="宋体" w:cs="宋体"/>
          <w:b/>
          <w:sz w:val="28"/>
          <w:szCs w:val="28"/>
        </w:rPr>
        <w:t xml:space="preserve">中小企业声明函（工程、服务）</w:t>
      </w:r>
      <w:r>
        <w:rPr>
          <w:rFonts w:ascii="Times New Roman" w:hAnsi="Times New Roman" w:eastAsia="宋体" w:cs="Times New Roman"/>
          <w:b/>
          <w:bCs/>
          <w:color w:val="000000"/>
          <w:sz w:val="36"/>
          <w:szCs w:val="36"/>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1.</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w:t>
      </w:r>
      <w:r>
        <w:rPr>
          <w:rFonts w:hint="eastAsia" w:ascii="宋体" w:hAnsi="宋体" w:eastAsia="宋体" w:cs="宋体"/>
          <w:spacing w:val="6"/>
          <w:szCs w:val="21"/>
          <w:vertAlign w:val="superscript"/>
        </w:rPr>
        <w:t xml:space="preserve">1</w:t>
      </w:r>
      <w:r>
        <w:rPr>
          <w:rFonts w:hint="eastAsia" w:ascii="宋体" w:hAnsi="宋体" w:eastAsia="宋体" w:cs="宋体"/>
          <w:spacing w:val="6"/>
          <w:szCs w:val="21"/>
        </w:rPr>
        <w:t xml:space="preserve">，属于（中型企业、小型企业、微型企业）；</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2.</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，从业人员______人，营业收入为______万元，资产总额为______万元，属于</w:t>
      </w:r>
      <w:r>
        <w:rPr>
          <w:rFonts w:hint="eastAsia" w:ascii="宋体" w:hAnsi="宋体" w:eastAsia="宋体" w:cs="宋体"/>
          <w:spacing w:val="6"/>
          <w:szCs w:val="21"/>
          <w:u w:val="single"/>
        </w:rPr>
        <w:t xml:space="preserve">（中型企业、小型企业、微型企业）</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Cs w:val="21"/>
        </w:rPr>
      </w:r>
      <w:r/>
    </w:p>
    <w:p>
      <w:pPr>
        <w:pStyle w:val="1030"/>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本企业对上述声明内容的真实性负责。如有虚假，将依法承担相应责任。</w:t>
      </w:r>
      <w:r>
        <w:rPr>
          <w:rFonts w:hint="eastAsia" w:ascii="宋体" w:hAnsi="宋体" w:eastAsia="宋体" w:cs="宋体"/>
          <w:spacing w:val="6"/>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企业名称（加盖公章）：________</w:t>
      </w:r>
      <w:r>
        <w:rPr>
          <w:rFonts w:hint="eastAsia" w:ascii="宋体" w:hAnsi="宋体" w:eastAsia="宋体" w:cs="宋体"/>
          <w:color w:val="000000"/>
          <w:szCs w:val="21"/>
        </w:rPr>
      </w:r>
      <w:r/>
    </w:p>
    <w:p>
      <w:pPr>
        <w:pStyle w:val="1030"/>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期：________</w:t>
      </w:r>
      <w:r>
        <w:rPr>
          <w:rFonts w:hint="eastAsia" w:ascii="宋体" w:hAnsi="宋体" w:eastAsia="宋体" w:cs="宋体"/>
          <w:color w:val="000000"/>
          <w:szCs w:val="21"/>
        </w:rPr>
      </w:r>
      <w:r/>
    </w:p>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30"/>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1030"/>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30"/>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1030"/>
        <w:jc w:val="both"/>
        <w:spacing w:before="240" w:after="240"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shd w:val="nil"/>
        <w:rPr>
          <w:rFonts w:ascii="Times New Roman" w:hAnsi="Times New Roman" w:eastAsia="宋体" w:cs="Times New Roman"/>
          <w:b/>
          <w:bCs/>
          <w:color w:val="000000"/>
          <w:sz w:val="36"/>
          <w:szCs w:val="36"/>
        </w:rPr>
      </w:pPr>
      <w:r>
        <w:rPr>
          <w:rFonts w:ascii="Times New Roman" w:hAnsi="Times New Roman" w:eastAsia="宋体" w:cs="Times New Roman"/>
          <w:b/>
          <w:color w:val="000000"/>
          <w:sz w:val="36"/>
          <w:szCs w:val="36"/>
          <w:highlight w:val="none"/>
        </w:rPr>
        <w:br w:type="page" w:clear="all"/>
      </w:r>
      <w:r>
        <w:rPr>
          <w:rFonts w:ascii="Times New Roman" w:hAnsi="Times New Roman" w:eastAsia="宋体" w:cs="Times New Roman"/>
          <w:b/>
          <w:color w:val="000000"/>
          <w:sz w:val="36"/>
          <w:szCs w:val="36"/>
          <w:highlight w:val="none"/>
        </w:rPr>
      </w:r>
    </w:p>
    <w:p>
      <w:pPr>
        <w:pStyle w:val="1030"/>
        <w:jc w:val="center"/>
        <w:rPr>
          <w:rFonts w:ascii="Times New Roman" w:hAnsi="Times New Roman" w:eastAsia="宋体" w:cs="Times New Roman"/>
          <w:b/>
          <w:bCs/>
          <w:color w:val="000000"/>
          <w:sz w:val="36"/>
          <w:szCs w:val="36"/>
          <w:highlight w:val="none"/>
        </w:rPr>
      </w:pPr>
      <w:r>
        <w:rPr>
          <w:rFonts w:hint="eastAsia" w:ascii="宋体" w:hAnsi="宋体" w:eastAsia="宋体" w:cs="宋体"/>
          <w:b/>
          <w:sz w:val="28"/>
          <w:szCs w:val="28"/>
        </w:rPr>
        <w:t xml:space="preserve">残疾人福利性单位声明函 </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1030"/>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030"/>
        <w:ind w:firstLine="504"/>
        <w:spacing w:line="588" w:lineRule="exact"/>
        <w:rPr>
          <w:rFonts w:hint="eastAsia" w:ascii="宋体" w:hAnsi="宋体" w:eastAsia="宋体" w:cs="宋体"/>
          <w:spacing w:val="6"/>
          <w:szCs w:val="21"/>
        </w:rPr>
      </w:pPr>
      <w:r>
        <w:rPr>
          <w:rFonts w:hint="eastAsia" w:ascii="宋体" w:hAnsi="宋体" w:eastAsia="宋体" w:cs="宋体"/>
          <w:spacing w:val="6"/>
          <w:szCs w:val="21"/>
        </w:rPr>
        <w:t xml:space="preserve">本单位郑重声明，根据《财政部 民政部 中国残疾人联合会关于促进残疾人就业政府采购政策的通知》（财库</w:t>
      </w:r>
      <w:r>
        <w:rPr>
          <w:rFonts w:hint="eastAsia" w:ascii="宋体" w:hAnsi="宋体" w:eastAsia="宋体" w:cs="宋体"/>
          <w:szCs w:val="21"/>
        </w:rPr>
        <w:t xml:space="preserve">〔2017〕 141</w:t>
      </w:r>
      <w:r>
        <w:rPr>
          <w:rFonts w:hint="eastAsia" w:ascii="宋体" w:hAnsi="宋体" w:eastAsia="宋体" w:cs="宋体"/>
          <w:spacing w:val="6"/>
          <w:szCs w:val="21"/>
        </w:rPr>
        <w:t xml:space="preserve">号）的规定，本单位</w:t>
      </w:r>
      <w:r>
        <w:rPr>
          <w:rFonts w:hint="eastAsia" w:ascii="宋体" w:hAnsi="宋体" w:eastAsia="宋体" w:cs="宋体"/>
          <w:b/>
          <w:szCs w:val="21"/>
        </w:rPr>
        <w:t xml:space="preserve">（请进行勾选）</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0"/>
        <w:ind w:firstLine="482"/>
        <w:spacing w:line="588" w:lineRule="exact"/>
        <w:rPr>
          <w:rFonts w:hint="eastAsia" w:ascii="宋体" w:hAnsi="宋体" w:eastAsia="宋体" w:cs="宋体"/>
          <w:b/>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不属于符合条件的残疾人福利性单位。</w:t>
      </w:r>
      <w:r>
        <w:rPr>
          <w:rFonts w:hint="eastAsia" w:ascii="宋体" w:hAnsi="宋体" w:eastAsia="宋体" w:cs="宋体"/>
          <w:b/>
          <w:spacing w:val="6"/>
          <w:szCs w:val="21"/>
        </w:rPr>
      </w:r>
      <w:r/>
    </w:p>
    <w:p>
      <w:pPr>
        <w:pStyle w:val="1030"/>
        <w:ind w:firstLine="482"/>
        <w:spacing w:line="588" w:lineRule="exact"/>
        <w:rPr>
          <w:rFonts w:hint="eastAsia" w:ascii="宋体" w:hAnsi="宋体" w:eastAsia="宋体" w:cs="宋体"/>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属于符合条件的残疾人福利性单位，</w:t>
      </w:r>
      <w:r>
        <w:rPr>
          <w:rFonts w:hint="eastAsia" w:ascii="宋体" w:hAnsi="宋体" w:eastAsia="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rPr>
      </w:r>
      <w:r/>
    </w:p>
    <w:p>
      <w:pPr>
        <w:pStyle w:val="1030"/>
        <w:ind w:firstLine="446"/>
        <w:spacing w:line="588" w:lineRule="exact"/>
        <w:rPr>
          <w:rFonts w:hint="eastAsia" w:ascii="宋体" w:hAnsi="宋体" w:eastAsia="宋体" w:cs="宋体"/>
          <w:spacing w:val="6"/>
          <w:szCs w:val="21"/>
        </w:rPr>
      </w:pPr>
      <w:r>
        <w:rPr>
          <w:rFonts w:hint="eastAsia" w:ascii="宋体" w:hAnsi="宋体" w:eastAsia="宋体" w:cs="宋体"/>
          <w:b/>
          <w:spacing w:val="6"/>
          <w:szCs w:val="21"/>
        </w:rPr>
        <w:t xml:space="preserve">本单位对上述声明的真实性负责。如有虚假，将依法承担相应责任。</w:t>
      </w:r>
      <w:r>
        <w:rPr>
          <w:rFonts w:hint="eastAsia" w:ascii="宋体" w:hAnsi="宋体" w:eastAsia="宋体" w:cs="宋体"/>
          <w:spacing w:val="6"/>
          <w:szCs w:val="21"/>
        </w:rPr>
      </w:r>
      <w:r/>
    </w:p>
    <w:p>
      <w:pPr>
        <w:pStyle w:val="1030"/>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0"/>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0"/>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单位名称（盖章）：</w:t>
      </w:r>
      <w:r>
        <w:rPr>
          <w:rFonts w:hint="eastAsia" w:ascii="宋体" w:hAnsi="宋体" w:eastAsia="宋体" w:cs="宋体"/>
          <w:spacing w:val="6"/>
          <w:szCs w:val="21"/>
        </w:rPr>
      </w:r>
      <w:r/>
    </w:p>
    <w:p>
      <w:pPr>
        <w:pStyle w:val="1030"/>
        <w:jc w:val="center"/>
        <w:keepLines w:val="0"/>
        <w:keepNext w:val="0"/>
        <w:pageBreakBefore w:val="0"/>
        <w:spacing w:line="360" w:lineRule="auto"/>
        <w:widowControl/>
        <w:rPr>
          <w:rFonts w:hint="eastAsia" w:ascii="宋体" w:hAnsi="宋体"/>
          <w:b/>
          <w:sz w:val="32"/>
          <w:szCs w:val="32"/>
          <w:highlight w:val="none"/>
        </w:rPr>
      </w:pPr>
      <w:r>
        <w:rPr>
          <w:rFonts w:hint="eastAsia" w:ascii="宋体" w:hAnsi="宋体" w:eastAsia="宋体" w:cs="宋体"/>
          <w:spacing w:val="6"/>
          <w:szCs w:val="21"/>
        </w:rPr>
        <w:t xml:space="preserve">日  期</w:t>
      </w:r>
      <w:r>
        <w:rPr>
          <w:rFonts w:hint="eastAsia" w:ascii="宋体" w:hAnsi="宋体" w:eastAsia="宋体" w:cs="宋体"/>
          <w:spacing w:val="6"/>
          <w:szCs w:val="21"/>
          <w:lang w:eastAsia="zh-CN"/>
        </w:rPr>
        <w:t xml:space="preserve">：</w:t>
      </w:r>
      <w:r>
        <w:rPr>
          <w:rFonts w:ascii="宋体" w:hAnsi="宋体"/>
          <w:b/>
          <w:sz w:val="32"/>
          <w:szCs w:val="32"/>
          <w:highlight w:val="none"/>
        </w:rPr>
        <w:br w:type="page" w:clear="all"/>
      </w:r>
      <w:r>
        <w:rPr>
          <w:rFonts w:ascii="宋体" w:hAnsi="宋体"/>
          <w:b/>
          <w:sz w:val="32"/>
          <w:szCs w:val="32"/>
          <w:highlight w:val="none"/>
        </w:rPr>
        <w:t xml:space="preserve">二、商务技术文件格式</w:t>
      </w:r>
      <w:bookmarkStart w:id="821" w:name="_Toc480942349"/>
      <w:r/>
      <w:bookmarkStart w:id="822" w:name="_Toc150774761"/>
      <w:r/>
      <w:bookmarkStart w:id="823" w:name="_Toc150480794"/>
      <w:r/>
      <w:bookmarkStart w:id="824" w:name="_Toc195842921"/>
      <w:r/>
      <w:bookmarkStart w:id="825" w:name="_Toc142311058"/>
      <w:r/>
      <w:bookmarkStart w:id="826" w:name="_Toc226337252"/>
      <w:r/>
      <w:bookmarkStart w:id="827" w:name="_Toc226965746"/>
      <w:r/>
      <w:bookmarkStart w:id="828" w:name="_Toc226309800"/>
      <w:r/>
      <w:bookmarkStart w:id="829" w:name="_Toc520356217"/>
      <w:r/>
      <w:bookmarkStart w:id="830" w:name="_Toc226965829"/>
      <w:r/>
      <w:bookmarkStart w:id="831" w:name="_Toc127151556"/>
      <w:r/>
      <w:bookmarkStart w:id="832" w:name="_Ref467988698"/>
      <w:r>
        <w:rPr>
          <w:rFonts w:hint="eastAsia" w:ascii="宋体" w:hAnsi="宋体"/>
          <w:b/>
          <w:sz w:val="32"/>
          <w:szCs w:val="32"/>
          <w:highlight w:val="none"/>
        </w:rPr>
      </w:r>
      <w:r/>
    </w:p>
    <w:p>
      <w:pPr>
        <w:pStyle w:val="1030"/>
        <w:jc w:val="center"/>
        <w:widowControl/>
        <w:rPr>
          <w:rFonts w:hint="eastAsia" w:ascii="宋体" w:hAnsi="宋体"/>
          <w:b/>
          <w:sz w:val="32"/>
          <w:szCs w:val="32"/>
          <w:highlight w:val="none"/>
        </w:rPr>
      </w:pPr>
      <w:r>
        <w:rPr>
          <w:rFonts w:hint="eastAsia" w:ascii="宋体" w:hAnsi="宋体"/>
          <w:b/>
          <w:sz w:val="32"/>
          <w:szCs w:val="32"/>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1  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ascii="宋体" w:hAnsi="宋体" w:cs="宋体"/>
          <w:color w:val="000000"/>
          <w:szCs w:val="21"/>
          <w:highlight w:val="none"/>
        </w:rPr>
        <w:t xml:space="preserve">函（实质性格式）</w:t>
      </w:r>
      <w:r>
        <w:rPr>
          <w:color w:val="000000"/>
          <w:sz w:val="24"/>
          <w:szCs w:val="20"/>
          <w:highlight w:val="none"/>
        </w:rPr>
      </w:r>
      <w:r/>
    </w:p>
    <w:p>
      <w:pPr>
        <w:pStyle w:val="1030"/>
        <w:spacing w:line="360" w:lineRule="auto"/>
        <w:tabs>
          <w:tab w:val="left" w:pos="5580" w:leader="none"/>
        </w:tabs>
        <w:rPr>
          <w:color w:val="000000"/>
          <w:sz w:val="24"/>
          <w:highlight w:val="none"/>
        </w:rPr>
      </w:pPr>
      <w:r>
        <w:rPr>
          <w:color w:val="000000"/>
          <w:sz w:val="24"/>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w:t>
      </w:r>
      <w:r>
        <w:rPr>
          <w:rFonts w:hint="eastAsia" w:ascii="宋体" w:hAnsi="宋体" w:cs="宋体"/>
          <w:szCs w:val="21"/>
          <w:highlight w:val="none"/>
        </w:rPr>
        <w:t xml:space="preserve">60</w:t>
      </w:r>
      <w:r>
        <w:rPr>
          <w:rFonts w:hint="eastAsia" w:ascii="宋体" w:hAnsi="宋体" w:cs="宋体"/>
          <w:color w:val="000000"/>
          <w:szCs w:val="21"/>
          <w:highlight w:val="none"/>
        </w:rPr>
        <w:t xml:space="preserve">个日历日。</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30"/>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3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30"/>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0"/>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30"/>
        <w:jc w:val="left"/>
        <w:widowControl/>
        <w:rPr>
          <w:rFonts w:hint="eastAsia"/>
          <w:color w:val="000000"/>
          <w:sz w:val="24"/>
          <w:highlight w:val="none"/>
        </w:rPr>
      </w:pPr>
      <w:r/>
      <w:bookmarkStart w:id="833" w:name="_Hlt520355938"/>
      <w:r/>
      <w:bookmarkEnd w:id="833"/>
      <w:r/>
      <w:bookmarkStart w:id="834" w:name="_Hlt520356243"/>
      <w:r/>
      <w:bookmarkEnd w:id="834"/>
      <w:r>
        <w:rPr>
          <w:color w:val="000000"/>
          <w:sz w:val="24"/>
          <w:highlight w:val="none"/>
        </w:rPr>
        <w:br w:type="page" w:clear="all"/>
      </w:r>
      <w:r>
        <w:rPr>
          <w:rFonts w:hint="eastAsia"/>
          <w:color w:val="000000"/>
          <w:sz w:val="24"/>
          <w:highlight w:val="none"/>
        </w:rPr>
      </w:r>
      <w:r/>
    </w:p>
    <w:p>
      <w:pPr>
        <w:pStyle w:val="1030"/>
        <w:jc w:val="left"/>
        <w:widowControl/>
        <w:rPr>
          <w:rFonts w:hint="eastAsia"/>
          <w:color w:val="000000"/>
          <w:sz w:val="24"/>
          <w:highlight w:val="none"/>
        </w:rPr>
      </w:pPr>
      <w:r>
        <w:rPr>
          <w:rFonts w:hint="eastAsia" w:ascii="宋体" w:hAnsi="宋体" w:cs="宋体"/>
          <w:color w:val="000000"/>
          <w:szCs w:val="21"/>
          <w:highlight w:val="none"/>
        </w:rPr>
        <w:t xml:space="preserve">2  法定代表人资格证明书（实质性格式）</w:t>
      </w:r>
      <w:r>
        <w:rPr>
          <w:rFonts w:hint="eastAsia"/>
          <w:color w:val="000000"/>
          <w:sz w:val="24"/>
          <w:highlight w:val="none"/>
        </w:rPr>
      </w:r>
      <w:r/>
    </w:p>
    <w:p>
      <w:pPr>
        <w:pStyle w:val="103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单位名称:</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姓名:     性别:       年龄:      职务: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系</w:t>
      </w:r>
      <w:r>
        <w:rPr>
          <w:rFonts w:hint="eastAsia" w:ascii="宋体" w:hAnsi="宋体"/>
          <w:szCs w:val="21"/>
          <w:highlight w:val="none"/>
          <w:u w:val="single"/>
        </w:rPr>
        <w:t xml:space="preserve">（投标单位名称）</w:t>
      </w:r>
      <w:r>
        <w:rPr>
          <w:rFonts w:hint="eastAsia" w:ascii="宋体" w:hAnsi="宋体"/>
          <w:szCs w:val="21"/>
          <w:highlight w:val="none"/>
        </w:rPr>
        <w:t xml:space="preserve">的法定代表人。为参与</w:t>
      </w:r>
      <w:r>
        <w:rPr>
          <w:rFonts w:hint="eastAsia" w:ascii="宋体" w:hAnsi="宋体"/>
          <w:szCs w:val="21"/>
          <w:highlight w:val="none"/>
          <w:u w:val="single"/>
        </w:rPr>
        <w:t xml:space="preserve">（项目名称）</w:t>
      </w:r>
      <w:r>
        <w:rPr>
          <w:rFonts w:hint="eastAsia" w:ascii="宋体" w:hAnsi="宋体"/>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szCs w:val="21"/>
          <w:highlight w:val="none"/>
        </w:rPr>
        <w:t xml:space="preserve">上述项目的投标文件、进行合同谈判、签署合同和处理与之有关的一切事务。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特此证明。</w:t>
      </w:r>
      <w:r>
        <w:rPr>
          <w:rFonts w:ascii="宋体" w:hAnsi="宋体"/>
          <w:szCs w:val="21"/>
          <w:highlight w:val="none"/>
        </w:rPr>
      </w:r>
      <w:r/>
    </w:p>
    <w:p>
      <w:pPr>
        <w:pStyle w:val="1030"/>
        <w:spacing w:line="560" w:lineRule="exact"/>
        <w:rPr>
          <w:rFonts w:ascii="宋体" w:hAnsi="宋体"/>
          <w:szCs w:val="21"/>
          <w:highlight w:val="none"/>
        </w:rPr>
      </w:pPr>
      <w:r>
        <w:rPr>
          <w:rFonts w:ascii="宋体" w:hAnsi="宋体"/>
          <w:szCs w:val="21"/>
          <w:highlight w:val="none"/>
        </w:rPr>
      </w:r>
      <w:r/>
    </w:p>
    <w:p>
      <w:pPr>
        <w:pStyle w:val="1062"/>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30"/>
        <w:spacing w:line="560" w:lineRule="exact"/>
        <w:rPr>
          <w:rFonts w:ascii="宋体" w:hAnsi="宋体"/>
          <w:szCs w:val="21"/>
          <w:highlight w:val="none"/>
        </w:rPr>
      </w:pPr>
      <w:r>
        <w:rPr>
          <w:rFonts w:hint="eastAsia" w:ascii="宋体" w:hAnsi="宋体"/>
          <w:szCs w:val="21"/>
          <w:highlight w:val="none"/>
        </w:rPr>
        <w:t xml:space="preserve">                     投标人：（加盖公章）</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hint="eastAsia" w:ascii="宋体" w:hAnsi="宋体"/>
          <w:szCs w:val="21"/>
          <w:highlight w:val="none"/>
        </w:rPr>
        <w:t xml:space="preserve">：</w:t>
      </w:r>
      <w:r>
        <w:rPr>
          <w:rFonts w:ascii="宋体" w:hAnsi="宋体"/>
          <w:szCs w:val="21"/>
          <w:highlight w:val="none"/>
        </w:rPr>
      </w:r>
      <w:r/>
    </w:p>
    <w:p>
      <w:pPr>
        <w:pStyle w:val="1030"/>
        <w:ind w:firstLine="3780"/>
        <w:spacing w:line="56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hint="eastAsia" w:ascii="宋体" w:hAnsi="宋体" w:cs="宋体"/>
          <w:iCs/>
          <w:color w:val="000000"/>
          <w:szCs w:val="21"/>
          <w:highlight w:val="none"/>
        </w:rPr>
        <w:t xml:space="preserve">若供应商为事业单位或其他组织或分支机构（仅当招标文件注明允许分支机构投标的），则法定代表人（单位负责人）处的签署人可为单位负责人。</w:t>
      </w:r>
      <w:r>
        <w:rPr>
          <w:rFonts w:hint="eastAsia" w:ascii="宋体" w:hAnsi="宋体" w:cs="宋体"/>
          <w:iCs/>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030"/>
        <w:jc w:val="left"/>
        <w:widowControl/>
        <w:rPr>
          <w:rFonts w:hint="eastAsia"/>
          <w:color w:val="000000"/>
          <w:sz w:val="24"/>
          <w:highlight w:val="none"/>
        </w:rPr>
      </w:pPr>
      <w:r>
        <w:rPr>
          <w:rFonts w:hint="eastAsia"/>
          <w:color w:val="000000"/>
          <w:sz w:val="24"/>
          <w:highlight w:val="none"/>
        </w:rPr>
      </w:r>
      <w:r/>
    </w:p>
    <w:p>
      <w:pPr>
        <w:pStyle w:val="1030"/>
        <w:jc w:val="left"/>
        <w:widowControl/>
        <w:rPr>
          <w:rFonts w:hint="eastAsia"/>
          <w:color w:val="000000"/>
          <w:sz w:val="24"/>
          <w:highlight w:val="none"/>
        </w:rPr>
      </w:pPr>
      <w:r>
        <w:rPr>
          <w:rFonts w:hint="eastAsia"/>
          <w:color w:val="000000"/>
          <w:sz w:val="24"/>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 法定代表人授权委托书（实质性格式）</w:t>
      </w:r>
      <w:r>
        <w:rPr>
          <w:rFonts w:hint="eastAsia" w:ascii="宋体" w:hAnsi="宋体" w:cs="宋体"/>
          <w:color w:val="000000"/>
          <w:szCs w:val="21"/>
          <w:highlight w:val="none"/>
        </w:rPr>
      </w:r>
      <w:r/>
    </w:p>
    <w:p>
      <w:pPr>
        <w:pStyle w:val="1030"/>
        <w:jc w:val="center"/>
        <w:spacing w:line="360" w:lineRule="exact"/>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exact"/>
        <w:rPr>
          <w:rFonts w:ascii="宋体" w:hAnsi="宋体" w:cs="宋体"/>
          <w:b/>
          <w:szCs w:val="21"/>
          <w:highlight w:val="none"/>
        </w:rPr>
      </w:pPr>
      <w:r>
        <w:rPr>
          <w:rFonts w:hint="eastAsia" w:ascii="宋体" w:hAnsi="宋体"/>
          <w:b/>
          <w:sz w:val="32"/>
          <w:szCs w:val="32"/>
          <w:highlight w:val="none"/>
        </w:rPr>
        <w:t xml:space="preserve">法定代表人授权委托书</w:t>
      </w:r>
      <w:r>
        <w:rPr>
          <w:rFonts w:ascii="宋体" w:hAnsi="宋体" w:cs="宋体"/>
          <w:b/>
          <w:szCs w:val="21"/>
          <w:highlight w:val="none"/>
        </w:rPr>
      </w:r>
      <w:r/>
    </w:p>
    <w:p>
      <w:pPr>
        <w:pStyle w:val="1030"/>
        <w:ind w:firstLine="420"/>
        <w:spacing w:line="360" w:lineRule="exact"/>
        <w:rPr>
          <w:rFonts w:ascii="宋体" w:hAnsi="宋体" w:cs="宋体"/>
          <w:szCs w:val="21"/>
          <w:highlight w:val="none"/>
        </w:rPr>
      </w:pP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szCs w:val="21"/>
          <w:highlight w:val="none"/>
          <w:u w:val="single"/>
        </w:rPr>
        <w:t xml:space="preserve">      号（项目编号）</w:t>
      </w:r>
      <w:r>
        <w:rPr>
          <w:rFonts w:hint="eastAsia" w:ascii="宋体" w:hAnsi="宋体" w:cs="宋体"/>
          <w:szCs w:val="21"/>
          <w:highlight w:val="none"/>
        </w:rPr>
        <w:t xml:space="preserve">项目投标的合法代理人，全权负责参加本次政府采购项目招标、签订合约以及与之相关的各项工作。本投标人对代理人的签名负全部责任。</w:t>
      </w: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本授权书于__________年_______月________日签字生效，特此声明。</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投标人章：</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代理人身份证</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（复印件）</w:t>
      </w:r>
      <w:r>
        <w:rPr>
          <w:rFonts w:ascii="宋体" w:hAnsi="宋体" w:cs="宋体"/>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shd w:val="nil"/>
        <w:rPr>
          <w:rFonts w:hint="eastAsia"/>
          <w:color w:val="000000"/>
          <w:sz w:val="24"/>
          <w:szCs w:val="24"/>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rPr>
        <w:t xml:space="preserve">4  政府采购供应商信用承诺书（实质性格式）</w:t>
      </w:r>
      <w:r>
        <w:rPr>
          <w:rFonts w:hint="eastAsia"/>
          <w:color w:val="000000"/>
          <w:sz w:val="24"/>
          <w:highlight w:val="none"/>
        </w:rPr>
      </w:r>
      <w:r/>
    </w:p>
    <w:p>
      <w:pPr>
        <w:pStyle w:val="1030"/>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0"/>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30"/>
        <w:ind w:firstLine="640"/>
        <w:rPr>
          <w:highlight w:val="none"/>
        </w:rPr>
      </w:pPr>
      <w:r>
        <w:rPr>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一、严格遵守国家法律、法规和规章，全面履行应尽的责任和义务，全面做到履约守信，具备《</w:t>
      </w:r>
      <w:r>
        <w:rPr>
          <w:rFonts w:hint="eastAsia"/>
          <w:szCs w:val="21"/>
          <w:highlight w:val="none"/>
        </w:rPr>
        <w:t xml:space="preserve">中华人民共和国</w:t>
      </w:r>
      <w:r>
        <w:rPr>
          <w:rFonts w:hint="eastAsia" w:ascii="宋体" w:hAnsi="宋体" w:cs="宋体"/>
          <w:szCs w:val="21"/>
          <w:highlight w:val="none"/>
        </w:rPr>
        <w:t xml:space="preserve">政府采购法》第二十二条第一款规定的条件。</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七、承诺本单位在信用中国网站中无重大违法违规、较重或严重失信记录。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八、承诺本单位提出政府采购质疑和投诉坚持依法依规、诚实信用原则。</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szCs w:val="21"/>
          <w:highlight w:val="none"/>
        </w:rPr>
      </w:r>
      <w:r/>
    </w:p>
    <w:p>
      <w:pPr>
        <w:pStyle w:val="1280"/>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jc w:val="left"/>
        <w:widowControl/>
        <w:rPr>
          <w:color w:val="000000"/>
          <w:sz w:val="24"/>
          <w:szCs w:val="20"/>
          <w:highlight w:val="none"/>
        </w:rPr>
      </w:pPr>
      <w:r/>
      <w:bookmarkStart w:id="835" w:name="_Hlt520273711"/>
      <w:r/>
      <w:bookmarkEnd w:id="835"/>
      <w:r/>
      <w:bookmarkStart w:id="836" w:name="_Hlt520274121"/>
      <w:r/>
      <w:bookmarkEnd w:id="836"/>
      <w:r/>
      <w:bookmarkStart w:id="837" w:name="_Hlt520350918"/>
      <w:r/>
      <w:bookmarkEnd w:id="837"/>
      <w:r/>
      <w:bookmarkStart w:id="838" w:name="_Hlt520343000"/>
      <w:r/>
      <w:bookmarkEnd w:id="838"/>
      <w:r/>
      <w:bookmarkStart w:id="839" w:name="_Hlt520271212"/>
      <w:r/>
      <w:bookmarkEnd w:id="839"/>
      <w:r/>
      <w:bookmarkStart w:id="840" w:name="_Hlt520343392"/>
      <w:r/>
      <w:bookmarkEnd w:id="840"/>
      <w:r/>
      <w:bookmarkStart w:id="841" w:name="_Hlt520274393"/>
      <w:r/>
      <w:bookmarkEnd w:id="841"/>
      <w:r/>
      <w:bookmarkStart w:id="842" w:name="_Hlt520274407"/>
      <w:r/>
      <w:bookmarkEnd w:id="842"/>
      <w:r/>
      <w:bookmarkStart w:id="843" w:name="_Hlt520274065"/>
      <w:r/>
      <w:bookmarkEnd w:id="843"/>
      <w:r/>
      <w:bookmarkStart w:id="844" w:name="_Hlt520355504"/>
      <w:r/>
      <w:bookmarkEnd w:id="844"/>
      <w:r/>
      <w:bookmarkStart w:id="845" w:name="_Toc150774762"/>
      <w:r/>
      <w:bookmarkStart w:id="846" w:name="_Toc305158825"/>
      <w:r/>
      <w:bookmarkStart w:id="847" w:name="_Toc305158899"/>
      <w:r/>
      <w:bookmarkStart w:id="848" w:name="_Toc226309801"/>
      <w:r/>
      <w:bookmarkStart w:id="849" w:name="_Toc195842922"/>
      <w:r/>
      <w:bookmarkStart w:id="850" w:name="_Toc127151557"/>
      <w:r/>
      <w:bookmarkStart w:id="851" w:name="_Toc520356218"/>
      <w:r/>
      <w:bookmarkStart w:id="852" w:name="_Ref467988705"/>
      <w:r/>
      <w:bookmarkStart w:id="853" w:name="_Toc150480795"/>
      <w:r/>
      <w:bookmarkStart w:id="854" w:name="_Toc480942350"/>
      <w:r/>
      <w:bookmarkStart w:id="855" w:name="_Toc142311059"/>
      <w:r/>
      <w:bookmarkStart w:id="856" w:name="_Toc226965747"/>
      <w:r/>
      <w:bookmarkStart w:id="857" w:name="_Toc265228395"/>
      <w:r/>
      <w:bookmarkStart w:id="858" w:name="_Toc226965830"/>
      <w:r/>
      <w:bookmarkStart w:id="859" w:name="_Toc264969247"/>
      <w:r/>
      <w:bookmarkStart w:id="860" w:name="_Toc226337253"/>
      <w:r>
        <w:rPr>
          <w:color w:val="000000"/>
          <w:sz w:val="24"/>
          <w:szCs w:val="20"/>
          <w:highlight w:val="none"/>
        </w:rPr>
        <w:br w:type="page" w:clear="all"/>
      </w:r>
      <w:r>
        <w:rPr>
          <w:color w:val="000000"/>
          <w:sz w:val="24"/>
          <w:szCs w:val="20"/>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5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cs="宋体"/>
          <w:color w:val="000000"/>
          <w:szCs w:val="21"/>
          <w:highlight w:val="none"/>
        </w:rPr>
        <w:t xml:space="preserve">（实质性格式）</w:t>
      </w:r>
      <w:r>
        <w:rPr>
          <w:color w:val="000000"/>
          <w:sz w:val="24"/>
          <w:szCs w:val="20"/>
          <w:highlight w:val="none"/>
        </w:rPr>
      </w:r>
      <w:r/>
    </w:p>
    <w:p>
      <w:pPr>
        <w:pStyle w:val="1030"/>
        <w:jc w:val="center"/>
        <w:spacing w:line="360" w:lineRule="exact"/>
        <w:rPr>
          <w:b/>
          <w:color w:val="000000"/>
          <w:sz w:val="36"/>
          <w:szCs w:val="36"/>
          <w:highlight w:val="none"/>
        </w:rPr>
      </w:pPr>
      <w:r/>
      <w:bookmarkStart w:id="861" w:name="_Toc226337254"/>
      <w:r/>
      <w:bookmarkStart w:id="862" w:name="_Toc164608827"/>
      <w:r/>
      <w:bookmarkStart w:id="863" w:name="_Toc164608672"/>
      <w:r/>
      <w:bookmarkStart w:id="864" w:name="_Toc305158900"/>
      <w:r/>
      <w:bookmarkStart w:id="865" w:name="_Toc226965831"/>
      <w:r/>
      <w:bookmarkStart w:id="866" w:name="_Toc226309802"/>
      <w:r/>
      <w:bookmarkStart w:id="867" w:name="_Toc195842923"/>
      <w:r/>
      <w:bookmarkStart w:id="868" w:name="_Toc264969248"/>
      <w:r/>
      <w:bookmarkStart w:id="869" w:name="_Toc226965748"/>
      <w:r/>
      <w:bookmarkStart w:id="870" w:name="_Toc265228396"/>
      <w:r/>
      <w:bookmarkStart w:id="871" w:name="_Toc305158826"/>
      <w:r>
        <w:rPr>
          <w:rFonts w:hint="eastAsia"/>
          <w:b/>
          <w:color w:val="000000"/>
          <w:sz w:val="36"/>
          <w:szCs w:val="36"/>
          <w:highlight w:val="none"/>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b/>
          <w:color w:val="000000"/>
          <w:sz w:val="36"/>
          <w:szCs w:val="36"/>
          <w:highlight w:val="none"/>
        </w:rPr>
      </w:r>
      <w:r/>
    </w:p>
    <w:p>
      <w:pPr>
        <w:pStyle w:val="1030"/>
        <w:jc w:val="left"/>
        <w:spacing w:line="360" w:lineRule="auto"/>
        <w:tabs>
          <w:tab w:val="left" w:pos="1800" w:leader="none"/>
          <w:tab w:val="left" w:pos="5580" w:leader="none"/>
        </w:tabs>
        <w:rPr>
          <w:i/>
          <w:color w:val="ff0000"/>
          <w:sz w:val="24"/>
          <w:highlight w:val="none"/>
        </w:rPr>
      </w:pPr>
      <w:r>
        <w:rPr>
          <w:i/>
          <w:color w:val="ff0000"/>
          <w:sz w:val="24"/>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800"/>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采购项目编号</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806"/>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采购项目名称</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925"/>
        </w:trPr>
        <w:tc>
          <w:tcPr>
            <w:tcW w:w="2130" w:type="dxa"/>
            <w:vAlign w:val="center"/>
            <w:textDirection w:val="lrTb"/>
            <w:noWrap w:val="false"/>
          </w:tcPr>
          <w:p>
            <w:pPr>
              <w:pStyle w:val="1030"/>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投标</w:t>
            </w:r>
            <w:r>
              <w:rPr>
                <w:rFonts w:hint="eastAsia" w:ascii="宋体" w:hAnsi="宋体" w:cs="宋体"/>
                <w:bCs/>
                <w:szCs w:val="21"/>
                <w:highlight w:val="none"/>
                <w:lang w:val="en-US" w:eastAsia="zh-CN"/>
              </w:rPr>
              <w:t xml:space="preserve">优惠率</w:t>
            </w:r>
            <w:r>
              <w:rPr>
                <w:rFonts w:hint="eastAsia" w:ascii="宋体" w:hAnsi="宋体" w:eastAsia="宋体" w:cs="宋体"/>
                <w:bCs/>
                <w:szCs w:val="21"/>
                <w:highlight w:val="none"/>
                <w:lang w:eastAsia="zh-CN"/>
              </w:rPr>
            </w:r>
            <w:r/>
          </w:p>
        </w:tc>
        <w:tc>
          <w:tcPr>
            <w:tcW w:w="4006" w:type="dxa"/>
            <w:vAlign w:val="center"/>
            <w:textDirection w:val="lrTb"/>
            <w:noWrap w:val="false"/>
          </w:tcPr>
          <w:p>
            <w:pPr>
              <w:pStyle w:val="1030"/>
              <w:spacing w:line="400" w:lineRule="exact"/>
              <w:rPr>
                <w:rFonts w:hint="eastAsia" w:ascii="宋体" w:hAnsi="宋体" w:eastAsia="宋体" w:cs="宋体"/>
                <w:szCs w:val="21"/>
                <w:highlight w:val="none"/>
                <w:lang w:val="en-US" w:eastAsia="zh-CN"/>
              </w:rPr>
            </w:pP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r>
            <w:r/>
          </w:p>
        </w:tc>
        <w:tc>
          <w:tcPr>
            <w:tcW w:w="1404" w:type="dxa"/>
            <w:vAlign w:val="center"/>
            <w:textDirection w:val="lrTb"/>
            <w:noWrap w:val="false"/>
          </w:tcPr>
          <w:p>
            <w:pPr>
              <w:pStyle w:val="1030"/>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bl>
    <w:p>
      <w:pPr>
        <w:pStyle w:val="1030"/>
        <w:spacing w:line="400" w:lineRule="exact"/>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1030"/>
        <w:spacing w:line="400" w:lineRule="exact"/>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103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0"/>
        <w:spacing w:line="400" w:lineRule="exact"/>
        <w:rPr>
          <w:rFonts w:hint="eastAsia"/>
          <w:highlight w:val="none"/>
        </w:rPr>
      </w:pPr>
      <w:r>
        <w:rPr>
          <w:rFonts w:hint="eastAsia" w:ascii="宋体" w:hAnsi="宋体" w:cs="宋体"/>
          <w:color w:val="000000"/>
          <w:highlight w:val="none"/>
        </w:rPr>
        <w:t xml:space="preserve">                                           </w:t>
      </w:r>
      <w:r>
        <w:rPr>
          <w:rFonts w:hint="eastAsia"/>
          <w:highlight w:val="none"/>
        </w:rPr>
      </w:r>
      <w:r/>
    </w:p>
    <w:p>
      <w:pPr>
        <w:pStyle w:val="103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3"/>
        <w:rPr>
          <w:color w:val="000000"/>
          <w:highlight w:val="none"/>
        </w:rPr>
      </w:pPr>
      <w:r>
        <w:rPr>
          <w:color w:val="000000"/>
          <w:highlight w:val="none"/>
        </w:rPr>
      </w:r>
      <w:r/>
    </w:p>
    <w:p>
      <w:pPr>
        <w:pStyle w:val="1033"/>
        <w:rPr>
          <w:color w:val="000000"/>
          <w:highlight w:val="none"/>
        </w:rPr>
      </w:pPr>
      <w:r>
        <w:rPr>
          <w:color w:val="000000"/>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30"/>
        <w:jc w:val="left"/>
        <w:widowControl/>
        <w:rPr>
          <w:rFonts w:hint="eastAsia" w:ascii="宋体" w:hAnsi="宋体" w:cs="宋体"/>
          <w:color w:val="000000"/>
          <w:szCs w:val="21"/>
          <w:highlight w:val="none"/>
        </w:rPr>
      </w:pPr>
      <w:r/>
      <w:bookmarkStart w:id="872" w:name="_Toc142311062"/>
      <w:r/>
      <w:bookmarkStart w:id="873" w:name="_Toc150774765"/>
      <w:r/>
      <w:bookmarkStart w:id="874" w:name="_Toc265228400"/>
      <w:r/>
      <w:bookmarkStart w:id="875" w:name="_Toc226965752"/>
      <w:r/>
      <w:bookmarkStart w:id="876" w:name="_Toc264969252"/>
      <w:r/>
      <w:bookmarkStart w:id="877" w:name="_Toc226309806"/>
      <w:r/>
      <w:bookmarkStart w:id="878" w:name="_Toc226965835"/>
      <w:r/>
      <w:bookmarkStart w:id="879" w:name="_Toc195842927"/>
      <w:r/>
      <w:bookmarkStart w:id="880" w:name="_Toc305158904"/>
      <w:r/>
      <w:bookmarkStart w:id="881" w:name="_Toc127151562"/>
      <w:r/>
      <w:bookmarkStart w:id="882" w:name="_Toc150480798"/>
      <w:r/>
      <w:bookmarkStart w:id="883" w:name="_Toc226337258"/>
      <w:r/>
      <w:bookmarkStart w:id="884" w:name="_Toc305158830"/>
      <w:r/>
      <w:bookmarkStart w:id="885" w:name="_Toc226965751"/>
      <w:r/>
      <w:bookmarkStart w:id="886" w:name="_Toc150774764"/>
      <w:r/>
      <w:bookmarkStart w:id="887" w:name="_Toc150480797"/>
      <w:r/>
      <w:bookmarkStart w:id="888" w:name="_Toc142311061"/>
      <w:r/>
      <w:bookmarkStart w:id="889" w:name="_Toc264969251"/>
      <w:r/>
      <w:bookmarkStart w:id="890" w:name="_Toc305158903"/>
      <w:r/>
      <w:bookmarkStart w:id="891" w:name="_Toc305158829"/>
      <w:r/>
      <w:bookmarkStart w:id="892" w:name="_Toc226309805"/>
      <w:r/>
      <w:bookmarkStart w:id="893" w:name="_Toc265228399"/>
      <w:r/>
      <w:bookmarkStart w:id="894" w:name="_Toc127151561"/>
      <w:r/>
      <w:bookmarkStart w:id="895" w:name="_Toc195842926"/>
      <w:r/>
      <w:bookmarkStart w:id="896" w:name="_Toc226965834"/>
      <w:r/>
      <w:bookmarkStart w:id="897" w:name="_Toc226337257"/>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shd w:val="nil"/>
        <w:rPr>
          <w:color w:val="000000"/>
          <w:sz w:val="24"/>
          <w:szCs w:val="24"/>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6  </w:t>
      </w:r>
      <w:r>
        <w:rPr>
          <w:rFonts w:hint="eastAsia" w:ascii="宋体" w:hAnsi="宋体" w:cs="宋体"/>
          <w:color w:val="000000"/>
          <w:szCs w:val="21"/>
          <w:highlight w:val="none"/>
        </w:rPr>
        <w:t xml:space="preserve">合同条款偏离表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cs="宋体"/>
          <w:color w:val="000000"/>
          <w:szCs w:val="21"/>
          <w:highlight w:val="none"/>
        </w:rPr>
        <w:t xml:space="preserve">（实质性格式）</w:t>
      </w:r>
      <w:r>
        <w:rPr>
          <w:color w:val="000000"/>
          <w:sz w:val="24"/>
          <w:szCs w:val="20"/>
          <w:highlight w:val="none"/>
        </w:rPr>
      </w:r>
      <w:r/>
    </w:p>
    <w:p>
      <w:pPr>
        <w:pStyle w:val="1030"/>
        <w:spacing w:line="360" w:lineRule="auto"/>
        <w:rPr>
          <w:color w:val="000000"/>
          <w:sz w:val="24"/>
          <w:szCs w:val="20"/>
          <w:highlight w:val="none"/>
        </w:rPr>
      </w:pPr>
      <w:r>
        <w:rPr>
          <w:color w:val="000000"/>
          <w:sz w:val="24"/>
          <w:szCs w:val="20"/>
          <w:highlight w:val="none"/>
        </w:rPr>
      </w:r>
      <w:r/>
    </w:p>
    <w:p>
      <w:pPr>
        <w:pStyle w:val="1030"/>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30"/>
        <w:spacing w:line="360" w:lineRule="auto"/>
        <w:rPr>
          <w:color w:val="000000"/>
          <w:sz w:val="24"/>
          <w:szCs w:val="20"/>
          <w:highlight w:val="none"/>
        </w:rPr>
      </w:pPr>
      <w:r>
        <w:rPr>
          <w:color w:val="000000"/>
          <w:sz w:val="24"/>
          <w:szCs w:val="20"/>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项目编号/包号：_____________________     项目名称：_____________</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对合同条款中的所有要求，除本表所列明的所有偏离外，均视作供应商已对之理解和响应。</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szCs w:val="21"/>
          <w:highlight w:val="none"/>
        </w:rPr>
        <w:t xml:space="preserve">2. “偏离情况”列应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w:t>
      </w:r>
      <w:r>
        <w:rPr>
          <w:rFonts w:hint="eastAsia" w:ascii="宋体" w:hAnsi="宋体" w:cs="宋体"/>
          <w:color w:val="000000"/>
          <w:szCs w:val="21"/>
          <w:highlight w:val="none"/>
        </w:rPr>
      </w:r>
      <w:r/>
    </w:p>
    <w:p>
      <w:pPr>
        <w:pStyle w:val="10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rPr>
          <w:color w:val="000000"/>
          <w:sz w:val="24"/>
          <w:szCs w:val="20"/>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  </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cs="宋体"/>
          <w:color w:val="000000"/>
          <w:szCs w:val="21"/>
          <w:highlight w:val="none"/>
        </w:rPr>
        <w:t xml:space="preserve">采购需求偏离表（实质性格式）</w:t>
      </w:r>
      <w:r>
        <w:rPr>
          <w:color w:val="000000"/>
          <w:sz w:val="24"/>
          <w:szCs w:val="20"/>
          <w:highlight w:val="none"/>
        </w:rPr>
      </w:r>
      <w:r/>
    </w:p>
    <w:p>
      <w:pPr>
        <w:pStyle w:val="1030"/>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742"/>
        <w:gridCol w:w="2446"/>
        <w:gridCol w:w="2157"/>
        <w:gridCol w:w="1160"/>
      </w:tblGrid>
      <w:tr>
        <w:trPr>
          <w:trHeight w:val="1053"/>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lang w:eastAsia="zh-CN"/>
              </w:rPr>
              <w:t xml:space="preserve">采购需求中的所有内容</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Cs w:val="21"/>
          <w:highlight w:val="none"/>
        </w:rPr>
        <w:t xml:space="preserve">投标无效。</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lang w:eastAsia="zh-CN"/>
        </w:rPr>
        <w:t xml:space="preserve">“响应内容”列填写“完全响应”或</w:t>
      </w:r>
      <w:bookmarkStart w:id="898" w:name="OLE_LINK4"/>
      <w:r>
        <w:rPr>
          <w:rFonts w:hint="eastAsia" w:ascii="宋体" w:hAnsi="宋体" w:cs="宋体"/>
          <w:szCs w:val="21"/>
          <w:lang w:eastAsia="zh-CN"/>
        </w:rPr>
        <w:t xml:space="preserve">“不完全响应”或“不响应”</w:t>
      </w:r>
      <w:bookmarkEnd w:id="898"/>
      <w:r>
        <w:rPr>
          <w:rFonts w:hint="eastAsia" w:ascii="宋体" w:hAnsi="宋体" w:cs="宋体"/>
          <w:szCs w:val="21"/>
          <w:lang w:eastAsia="zh-CN"/>
        </w:rPr>
        <w:t xml:space="preserve">，若“不完全响应”或“不响应”，则应在“说明”列进行说明。</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ascii="宋体" w:hAnsi="宋体" w:cs="宋体"/>
          <w:color w:val="000000"/>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填写“正偏离”或“负偏离”。若“无偏离”，则写明“无偏离”即可。</w:t>
      </w:r>
      <w:r>
        <w:rPr>
          <w:rFonts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rPr>
          <w:rFonts w:hint="eastAsia"/>
          <w:spacing w:val="6"/>
          <w:sz w:val="24"/>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  项目实施方案（格式自拟）</w:t>
      </w:r>
      <w:r>
        <w:rPr>
          <w:rFonts w:hint="eastAsia"/>
          <w:spacing w:val="6"/>
          <w:sz w:val="24"/>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rPr>
          <w:rFonts w:hint="eastAsia"/>
          <w:sz w:val="22"/>
          <w:highlight w:val="none"/>
        </w:rPr>
      </w:pPr>
      <w:r/>
      <w:bookmarkStart w:id="899" w:name="_Toc288738397"/>
      <w:r/>
      <w:bookmarkStart w:id="900" w:name="_Toc288738839"/>
      <w:r>
        <w:rPr>
          <w:rFonts w:hint="eastAsia"/>
          <w:sz w:val="22"/>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shd w:val="nil"/>
        <w:rPr>
          <w:rFonts w:hint="eastAsia" w:ascii="宋体" w:hAnsi="宋体" w:cs="宋体"/>
          <w:color w:val="000000"/>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p>
    <w:p>
      <w:pPr>
        <w:pStyle w:val="1030"/>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  相关业绩案例一览表</w:t>
      </w:r>
      <w:r>
        <w:rPr>
          <w:rFonts w:hint="eastAsia" w:ascii="宋体" w:hAnsi="宋体" w:cs="宋体"/>
          <w:color w:val="000000"/>
          <w:szCs w:val="21"/>
          <w:highlight w:val="none"/>
        </w:rPr>
      </w:r>
      <w:r/>
    </w:p>
    <w:p>
      <w:pPr>
        <w:pStyle w:val="1030"/>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center"/>
        <w:rPr>
          <w:rFonts w:hint="eastAsia" w:ascii="宋体" w:hAnsi="宋体" w:cs="宋体"/>
          <w:b/>
          <w:szCs w:val="21"/>
          <w:highlight w:val="none"/>
        </w:rPr>
      </w:pPr>
      <w:r>
        <w:rPr>
          <w:rFonts w:hint="eastAsia"/>
          <w:b/>
          <w:bCs/>
          <w:color w:val="000000"/>
          <w:sz w:val="36"/>
          <w:szCs w:val="36"/>
          <w:highlight w:val="none"/>
        </w:rPr>
        <w:t xml:space="preserve">相关业绩案例一览表</w:t>
      </w:r>
      <w:bookmarkEnd w:id="899"/>
      <w:r/>
      <w:bookmarkEnd w:id="900"/>
      <w:r>
        <w:rPr>
          <w:rFonts w:hint="eastAsia" w:ascii="宋体" w:hAnsi="宋体" w:cs="宋体"/>
          <w:b/>
          <w:szCs w:val="21"/>
          <w:highlight w:val="none"/>
        </w:rPr>
      </w:r>
      <w:r/>
    </w:p>
    <w:p>
      <w:pPr>
        <w:pStyle w:val="1030"/>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30"/>
        <w:spacing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hint="eastAsia" w:ascii="宋体" w:hAnsi="宋体" w:cs="宋体"/>
          <w:szCs w:val="21"/>
          <w:highlight w:val="none"/>
        </w:rPr>
      </w:r>
      <w:r/>
    </w:p>
    <w:tbl>
      <w:tblPr>
        <w:tblW w:w="95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64"/>
        <w:gridCol w:w="1787"/>
        <w:gridCol w:w="1616"/>
        <w:gridCol w:w="1273"/>
        <w:gridCol w:w="1839"/>
        <w:gridCol w:w="1697"/>
      </w:tblGrid>
      <w:tr>
        <w:trPr>
          <w:trHeight w:val="523"/>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项目时间</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项目甲方单位</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项目名称</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合同金额</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单位地址</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联系电话</w:t>
            </w:r>
            <w:r>
              <w:rPr>
                <w:rFonts w:hint="eastAsia" w:ascii="宋体" w:hAnsi="宋体" w:cs="宋体"/>
                <w:szCs w:val="21"/>
                <w:highlight w:val="none"/>
                <w:lang w:val="zh-CN"/>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pStyle w:val="1030"/>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pStyle w:val="1030"/>
              <w:ind w:hanging="523"/>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pStyle w:val="1030"/>
              <w:ind w:hanging="523"/>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47"/>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0"/>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bl>
    <w:p>
      <w:pPr>
        <w:pStyle w:val="1030"/>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r>
      <w:r/>
    </w:p>
    <w:p>
      <w:pPr>
        <w:pStyle w:val="1030"/>
        <w:spacing w:line="360" w:lineRule="auto"/>
        <w:rPr>
          <w:rFonts w:hint="eastAsia" w:ascii="宋体" w:hAnsi="宋体" w:cs="宋体"/>
          <w:szCs w:val="21"/>
          <w:highlight w:val="none"/>
        </w:rPr>
      </w:pPr>
      <w:r>
        <w:rPr>
          <w:rFonts w:hint="eastAsia" w:ascii="宋体" w:hAnsi="宋体" w:cs="宋体"/>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shd w:val="nil"/>
        <w:rPr>
          <w:rFonts w:ascii="Times New Roman" w:hAnsi="Times New Roman" w:eastAsia="宋体" w:cs="Times New Roman"/>
          <w:sz w:val="24"/>
          <w:szCs w:val="24"/>
        </w:rPr>
        <w:outlineLvl w:val="2"/>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p>
    <w:p>
      <w:pPr>
        <w:pStyle w:val="1030"/>
        <w:spacing w:line="360" w:lineRule="auto"/>
        <w:rPr>
          <w:rFonts w:hint="eastAsia" w:ascii="宋体" w:hAnsi="宋体" w:eastAsia="宋体" w:cs="宋体"/>
          <w:color w:val="000000"/>
          <w:highlight w:val="none"/>
        </w:rPr>
        <w:outlineLvl w:val="2"/>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关于符合本国产品标准的声明函</w:t>
      </w:r>
      <w:r>
        <w:rPr>
          <w:rFonts w:ascii="Times New Roman" w:hAnsi="Times New Roman" w:eastAsia="宋体" w:cs="Times New Roman"/>
          <w:sz w:val="24"/>
        </w:rPr>
      </w:r>
      <w:r/>
    </w:p>
    <w:p>
      <w:pPr>
        <w:pStyle w:val="1030"/>
        <w:jc w:val="center"/>
        <w:spacing w:line="480" w:lineRule="exact"/>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关于符合本国产品标准的声明函</w:t>
      </w:r>
      <w:r>
        <w:rPr>
          <w:rFonts w:ascii="Times New Roman" w:hAnsi="Times New Roman" w:eastAsia="宋体" w:cs="Times New Roman"/>
          <w:b/>
          <w:sz w:val="36"/>
          <w:szCs w:val="36"/>
        </w:rPr>
      </w:r>
      <w:r/>
    </w:p>
    <w:p>
      <w:pPr>
        <w:pStyle w:val="1030"/>
        <w:ind w:firstLine="480"/>
        <w:spacing w:before="25" w:after="25" w:line="360" w:lineRule="auto"/>
        <w:rPr>
          <w:rFonts w:ascii="Times New Roman" w:hAnsi="Times New Roman" w:eastAsia="宋体" w:cs="Times New Roman"/>
          <w:sz w:val="24"/>
        </w:rPr>
      </w:pPr>
      <w:r>
        <w:rPr>
          <w:rFonts w:ascii="Times New Roman" w:hAnsi="Times New Roman" w:eastAsia="宋体" w:cs="Times New Roman"/>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2323465</wp:posOffset>
                </wp:positionH>
                <wp:positionV relativeFrom="paragraph">
                  <wp:posOffset>663575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1156335</wp:posOffset>
                </wp:positionH>
                <wp:positionV relativeFrom="paragraph">
                  <wp:posOffset>663575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4685665</wp:posOffset>
                </wp:positionH>
                <wp:positionV relativeFrom="paragraph">
                  <wp:posOffset>349885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2323465</wp:posOffset>
                </wp:positionH>
                <wp:positionV relativeFrom="paragraph">
                  <wp:posOffset>377190</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3528060</wp:posOffset>
                </wp:positionH>
                <wp:positionV relativeFrom="paragraph">
                  <wp:posOffset>377190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w:t xml:space="preserve">1.（</w:t>
      </w:r>
      <w:r>
        <w:rPr>
          <w:rFonts w:hint="eastAsia" w:ascii="宋体" w:hAnsi="宋体" w:eastAsia="宋体" w:cs="宋体"/>
          <w:sz w:val="24"/>
          <w:u w:val="single"/>
        </w:rPr>
        <w:t xml:space="preserve">产品名称1</w:t>
      </w:r>
      <w:r>
        <w:rPr>
          <w:rFonts w:hint="eastAsia" w:ascii="宋体" w:hAnsi="宋体" w:eastAsia="宋体" w:cs="宋体"/>
          <w:sz w:val="24"/>
        </w:rPr>
        <w:t xml:space="preserve">）</w:t>
      </w:r>
      <w:r>
        <w:rPr>
          <w:rFonts w:hint="eastAsia" w:ascii="宋体" w:hAnsi="宋体" w:eastAsia="宋体" w:cs="宋体"/>
          <w:sz w:val="24"/>
          <w:vertAlign w:val="superscript"/>
        </w:rPr>
        <w:t xml:space="preserve">1</w:t>
      </w:r>
      <w:r>
        <w:rPr>
          <w:rFonts w:hint="eastAsia" w:ascii="宋体" w:hAnsi="宋体" w:eastAsia="宋体" w:cs="宋体"/>
          <w:sz w:val="24"/>
        </w:rPr>
        <w:t xml:space="preserve">，生产厂为（</w:t>
      </w:r>
      <w:r>
        <w:rPr>
          <w:rFonts w:hint="eastAsia" w:ascii="宋体" w:hAnsi="宋体" w:eastAsia="宋体" w:cs="宋体"/>
          <w:sz w:val="24"/>
          <w:u w:val="single"/>
        </w:rPr>
        <w:t xml:space="preserve">厂名</w:t>
      </w:r>
      <w:r>
        <w:rPr>
          <w:rFonts w:hint="eastAsia" w:ascii="宋体" w:hAnsi="宋体" w:eastAsia="宋体" w:cs="宋体"/>
          <w:sz w:val="24"/>
        </w:rPr>
        <w:t xml:space="preserve">）</w:t>
      </w:r>
      <w:r>
        <w:rPr>
          <w:rFonts w:hint="eastAsia" w:ascii="宋体" w:hAnsi="宋体" w:eastAsia="宋体" w:cs="宋体"/>
          <w:sz w:val="24"/>
          <w:vertAlign w:val="superscript"/>
        </w:rPr>
        <w:t xml:space="preserve">2</w:t>
      </w:r>
      <w:r>
        <w:rPr>
          <w:rFonts w:hint="eastAsia" w:ascii="宋体" w:hAnsi="宋体" w:eastAsia="宋体" w:cs="宋体"/>
          <w:sz w:val="24"/>
        </w:rPr>
        <w:t xml:space="preserve">，厂址为（</w:t>
      </w:r>
      <w:r>
        <w:rPr>
          <w:rFonts w:hint="eastAsia" w:ascii="宋体" w:hAnsi="宋体" w:eastAsia="宋体" w:cs="宋体"/>
          <w:sz w:val="24"/>
          <w:u w:val="single"/>
        </w:rPr>
        <w:t xml:space="preserve">生产厂址</w:t>
      </w:r>
      <w:r>
        <w:rPr>
          <w:rFonts w:hint="eastAsia" w:ascii="宋体" w:hAnsi="宋体" w:eastAsia="宋体" w:cs="宋体"/>
          <w:sz w:val="24"/>
        </w:rPr>
        <w:t xml:space="preserve">）。 （</w:t>
      </w:r>
      <w:r>
        <w:rPr>
          <w:rFonts w:hint="eastAsia" w:ascii="宋体" w:hAnsi="宋体" w:eastAsia="宋体" w:cs="宋体"/>
          <w:sz w:val="24"/>
          <w:u w:val="single"/>
        </w:rPr>
        <w:t xml:space="preserve">产品名称1</w:t>
      </w:r>
      <w:r>
        <w:rPr>
          <w:rFonts w:hint="eastAsia" w:ascii="宋体" w:hAnsi="宋体" w:eastAsia="宋体" w:cs="宋体"/>
          <w:sz w:val="24"/>
        </w:rPr>
        <w:t xml:space="preserve">） 的中国境内生产的组件成本占比≥（</w:t>
      </w:r>
      <w:r>
        <w:rPr>
          <w:rFonts w:hint="eastAsia" w:ascii="宋体" w:hAnsi="宋体" w:eastAsia="宋体" w:cs="宋体"/>
          <w:sz w:val="24"/>
          <w:u w:val="single"/>
        </w:rPr>
        <w:t xml:space="preserve">规定比例</w:t>
      </w:r>
      <w:r>
        <w:rPr>
          <w:rFonts w:hint="eastAsia" w:ascii="宋体" w:hAnsi="宋体" w:eastAsia="宋体" w:cs="宋体"/>
          <w:sz w:val="24"/>
        </w:rPr>
        <w:t xml:space="preserve">）</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rPr>
          <w:rFonts w:hint="eastAsia" w:ascii="宋体" w:hAnsi="宋体" w:eastAsia="宋体" w:cs="宋体"/>
          <w:sz w:val="24"/>
          <w:u w:val="single"/>
        </w:rPr>
        <w:t xml:space="preserve">产品名称1</w:t>
      </w:r>
      <w:r>
        <w:rPr>
          <w:rFonts w:hint="eastAsia" w:ascii="宋体" w:hAnsi="宋体" w:eastAsia="宋体" w:cs="宋体"/>
          <w:sz w:val="24"/>
        </w:rPr>
        <w:t xml:space="preserve">）的（</w:t>
      </w:r>
      <w:r>
        <w:rPr>
          <w:rFonts w:hint="eastAsia" w:ascii="宋体" w:hAnsi="宋体" w:eastAsia="宋体" w:cs="宋体"/>
          <w:sz w:val="24"/>
          <w:u w:val="single"/>
        </w:rPr>
        <w:t xml:space="preserve">关键组件</w:t>
      </w:r>
      <w:r>
        <w:rPr>
          <w:rFonts w:hint="eastAsia" w:ascii="宋体" w:hAnsi="宋体" w:eastAsia="宋体" w:cs="宋体"/>
          <w:sz w:val="24"/>
        </w:rPr>
        <w:t xml:space="preserve">）</w:t>
      </w:r>
      <w:r>
        <w:rPr>
          <w:rFonts w:hint="eastAsia" w:ascii="宋体" w:hAnsi="宋体" w:eastAsia="宋体" w:cs="宋体"/>
          <w:sz w:val="24"/>
          <w:vertAlign w:val="superscript"/>
        </w:rPr>
        <w:t xml:space="preserve">4</w:t>
      </w:r>
      <w:r>
        <w:rPr>
          <w:rFonts w:hint="eastAsia" w:ascii="宋体" w:hAnsi="宋体" w:eastAsia="宋体" w:cs="宋体"/>
          <w:sz w:val="24"/>
        </w:rPr>
        <w:t xml:space="preserve">在中国境内生产。（</w:t>
      </w:r>
      <w:r>
        <w:rPr>
          <w:rFonts w:hint="eastAsia" w:ascii="宋体" w:hAnsi="宋体" w:eastAsia="宋体" w:cs="宋体"/>
          <w:sz w:val="24"/>
          <w:u w:val="single"/>
        </w:rPr>
        <w:t xml:space="preserve">产品名称1</w:t>
      </w:r>
      <w:r>
        <w:rPr>
          <w:rFonts w:hint="eastAsia" w:ascii="宋体" w:hAnsi="宋体" w:eastAsia="宋体" w:cs="宋体"/>
          <w:sz w:val="24"/>
        </w:rPr>
        <w:t xml:space="preserve">）的（</w:t>
      </w:r>
      <w:r>
        <w:rPr>
          <w:rFonts w:hint="eastAsia" w:ascii="宋体" w:hAnsi="宋体" w:eastAsia="宋体" w:cs="宋体"/>
          <w:sz w:val="24"/>
          <w:u w:val="single"/>
        </w:rPr>
        <w:t xml:space="preserve">关键工序</w:t>
      </w:r>
      <w:r>
        <w:rPr>
          <w:rFonts w:hint="eastAsia" w:ascii="宋体" w:hAnsi="宋体" w:eastAsia="宋体" w:cs="宋体"/>
          <w:sz w:val="24"/>
        </w:rPr>
        <w:t xml:space="preserve">）</w:t>
      </w:r>
      <w:r>
        <w:rPr>
          <w:rFonts w:hint="eastAsia" w:ascii="宋体" w:hAnsi="宋体" w:eastAsia="宋体" w:cs="宋体"/>
          <w:sz w:val="24"/>
          <w:vertAlign w:val="superscript"/>
        </w:rPr>
        <w:t xml:space="preserve">5</w:t>
      </w:r>
      <w:r>
        <w:rPr>
          <w:rFonts w:hint="eastAsia" w:ascii="宋体" w:hAnsi="宋体" w:eastAsia="宋体" w:cs="宋体"/>
          <w:sz w:val="24"/>
        </w:rPr>
        <w:t xml:space="preserve">在中国境内完成。</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本公司（单位）对上述声明内容的真实性负责。如有虚假，愿承担相应法律责任。</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2171065</wp:posOffset>
                </wp:positionH>
                <wp:positionV relativeFrom="paragraph">
                  <wp:posOffset>663575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4819015</wp:posOffset>
                </wp:positionH>
                <wp:positionV relativeFrom="paragraph">
                  <wp:posOffset>61595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1156335</wp:posOffset>
                </wp:positionH>
                <wp:positionV relativeFrom="paragraph">
                  <wp:posOffset>663575</wp:posOffset>
                </wp:positionV>
                <wp:extent cx="816610" cy="762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4685665</wp:posOffset>
                </wp:positionH>
                <wp:positionV relativeFrom="paragraph">
                  <wp:posOffset>349885</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2323465</wp:posOffset>
                </wp:positionH>
                <wp:positionV relativeFrom="paragraph">
                  <wp:posOffset>377190</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3528060</wp:posOffset>
                </wp:positionH>
                <wp:positionV relativeFrom="paragraph">
                  <wp:posOffset>377190</wp:posOffset>
                </wp:positionV>
                <wp:extent cx="816610" cy="10350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rPr>
        <w:t xml:space="preserve">2.（</w:t>
      </w:r>
      <w:r>
        <w:rPr>
          <w:rFonts w:hint="eastAsia" w:ascii="宋体" w:hAnsi="宋体" w:eastAsia="宋体" w:cs="宋体"/>
          <w:sz w:val="24"/>
          <w:u w:val="single"/>
        </w:rPr>
        <w:t xml:space="preserve">产品名称2</w:t>
      </w:r>
      <w:r>
        <w:rPr>
          <w:rFonts w:hint="eastAsia" w:ascii="宋体" w:hAnsi="宋体" w:eastAsia="宋体" w:cs="宋体"/>
          <w:sz w:val="24"/>
        </w:rPr>
        <w:t xml:space="preserve">），生产厂为（</w:t>
      </w:r>
      <w:r>
        <w:rPr>
          <w:rFonts w:hint="eastAsia" w:ascii="宋体" w:hAnsi="宋体" w:eastAsia="宋体" w:cs="宋体"/>
          <w:sz w:val="24"/>
          <w:u w:val="single"/>
        </w:rPr>
        <w:t xml:space="preserve">厂名</w:t>
      </w:r>
      <w:r>
        <w:rPr>
          <w:rFonts w:hint="eastAsia" w:ascii="宋体" w:hAnsi="宋体" w:eastAsia="宋体" w:cs="宋体"/>
          <w:sz w:val="24"/>
        </w:rPr>
        <w:t xml:space="preserve">），厂址为（</w:t>
      </w:r>
      <w:r>
        <w:rPr>
          <w:rFonts w:hint="eastAsia" w:ascii="宋体" w:hAnsi="宋体" w:eastAsia="宋体" w:cs="宋体"/>
          <w:sz w:val="24"/>
          <w:u w:val="single"/>
        </w:rPr>
        <w:t xml:space="preserve">生产厂址</w:t>
      </w:r>
      <w:r>
        <w:rPr>
          <w:rFonts w:hint="eastAsia" w:ascii="宋体" w:hAnsi="宋体" w:eastAsia="宋体" w:cs="宋体"/>
          <w:sz w:val="24"/>
        </w:rPr>
        <w:t xml:space="preserve">）。 （</w:t>
      </w:r>
      <w:r>
        <w:rPr>
          <w:rFonts w:hint="eastAsia" w:ascii="宋体" w:hAnsi="宋体" w:eastAsia="宋体" w:cs="宋体"/>
          <w:sz w:val="24"/>
          <w:u w:val="single"/>
        </w:rPr>
        <w:t xml:space="preserve">产品名称2</w:t>
      </w:r>
      <w:r>
        <w:rPr>
          <w:rFonts w:hint="eastAsia" w:ascii="宋体" w:hAnsi="宋体" w:eastAsia="宋体" w:cs="宋体"/>
          <w:sz w:val="24"/>
        </w:rPr>
        <w:t xml:space="preserve">） 的中国境内生产的组件成本占比≥（</w:t>
      </w:r>
      <w:r>
        <w:rPr>
          <w:rFonts w:hint="eastAsia" w:ascii="宋体" w:hAnsi="宋体" w:eastAsia="宋体" w:cs="宋体"/>
          <w:sz w:val="24"/>
          <w:u w:val="single"/>
        </w:rPr>
        <w:t xml:space="preserve">规定比例</w:t>
      </w:r>
      <w:r>
        <w:rPr>
          <w:rFonts w:hint="eastAsia" w:ascii="宋体" w:hAnsi="宋体" w:eastAsia="宋体" w:cs="宋体"/>
          <w:sz w:val="24"/>
        </w:rPr>
        <w:t xml:space="preserve">）。（</w:t>
      </w:r>
      <w:r>
        <w:rPr>
          <w:rFonts w:hint="eastAsia" w:ascii="宋体" w:hAnsi="宋体" w:eastAsia="宋体" w:cs="宋体"/>
          <w:sz w:val="24"/>
          <w:u w:val="single"/>
        </w:rPr>
        <w:t xml:space="preserve">产品名称2</w:t>
      </w:r>
      <w:r>
        <w:rPr>
          <w:rFonts w:hint="eastAsia" w:ascii="宋体" w:hAnsi="宋体" w:eastAsia="宋体" w:cs="宋体"/>
          <w:sz w:val="24"/>
        </w:rPr>
        <w:t xml:space="preserve">）的（</w:t>
      </w:r>
      <w:r>
        <w:rPr>
          <w:rFonts w:hint="eastAsia" w:ascii="宋体" w:hAnsi="宋体" w:eastAsia="宋体" w:cs="宋体"/>
          <w:sz w:val="24"/>
          <w:u w:val="single"/>
        </w:rPr>
        <w:t xml:space="preserve">关键组件</w:t>
      </w:r>
      <w:r>
        <w:rPr>
          <w:rFonts w:hint="eastAsia" w:ascii="宋体" w:hAnsi="宋体" w:eastAsia="宋体" w:cs="宋体"/>
          <w:sz w:val="24"/>
        </w:rPr>
        <w:t xml:space="preserve">）在中国境内生产。（</w:t>
      </w:r>
      <w:r>
        <w:rPr>
          <w:rFonts w:hint="eastAsia" w:ascii="宋体" w:hAnsi="宋体" w:eastAsia="宋体" w:cs="宋体"/>
          <w:sz w:val="24"/>
          <w:u w:val="single"/>
        </w:rPr>
        <w:t xml:space="preserve">产品名称2</w:t>
      </w:r>
      <w:r>
        <w:rPr>
          <w:rFonts w:hint="eastAsia" w:ascii="宋体" w:hAnsi="宋体" w:eastAsia="宋体" w:cs="宋体"/>
          <w:sz w:val="24"/>
        </w:rPr>
        <w:t xml:space="preserve">）的（</w:t>
      </w:r>
      <w:r>
        <w:rPr>
          <w:rFonts w:hint="eastAsia" w:ascii="宋体" w:hAnsi="宋体" w:eastAsia="宋体" w:cs="宋体"/>
          <w:sz w:val="24"/>
          <w:u w:val="single"/>
        </w:rPr>
        <w:t xml:space="preserve">关键工序</w:t>
      </w:r>
      <w:r>
        <w:rPr>
          <w:rFonts w:hint="eastAsia" w:ascii="宋体" w:hAnsi="宋体" w:eastAsia="宋体" w:cs="宋体"/>
          <w:sz w:val="24"/>
        </w:rPr>
        <w:t xml:space="preserve">）在中国境内完成。</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030"/>
        <w:ind w:firstLine="480"/>
        <w:spacing w:before="25" w:after="25" w:line="360" w:lineRule="auto"/>
        <w:rPr>
          <w:rFonts w:hint="eastAsia" w:ascii="宋体" w:hAnsi="宋体" w:eastAsia="宋体" w:cs="宋体"/>
          <w:sz w:val="24"/>
        </w:rPr>
      </w:pPr>
      <w:r>
        <w:rPr>
          <w:rFonts w:hint="eastAsia" w:ascii="宋体" w:hAnsi="宋体" w:eastAsia="宋体" w:cs="宋体"/>
          <w:sz w:val="24"/>
        </w:rPr>
        <w:t xml:space="preserve">本公司（单位）对上述声明内容的真实性负责。如有虚假，愿承担相应法律责任。</w:t>
      </w:r>
      <w:r>
        <w:rPr>
          <w:rFonts w:hint="eastAsia" w:ascii="宋体" w:hAnsi="宋体" w:eastAsia="宋体" w:cs="宋体"/>
          <w:sz w:val="24"/>
        </w:rPr>
      </w:r>
      <w:r/>
    </w:p>
    <w:p>
      <w:pPr>
        <w:pStyle w:val="1030"/>
        <w:ind w:right="848"/>
        <w:jc w:val="lef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r>
      <w:r/>
    </w:p>
    <w:p>
      <w:pPr>
        <w:pStyle w:val="1030"/>
        <w:ind w:right="848" w:firstLine="3720"/>
        <w:jc w:val="lef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公司（单位）名称（盖章）：　        </w:t>
      </w:r>
      <w:r>
        <w:rPr>
          <w:rFonts w:hint="eastAsia" w:ascii="宋体" w:hAnsi="宋体" w:eastAsia="宋体" w:cs="宋体"/>
          <w:sz w:val="24"/>
          <w:szCs w:val="24"/>
        </w:rPr>
      </w:r>
      <w:r/>
    </w:p>
    <w:p>
      <w:pPr>
        <w:pStyle w:val="1030"/>
        <w:ind w:right="848"/>
        <w:jc w:val="right"/>
        <w:spacing w:before="30" w:beforeAutospacing="0" w:after="30" w:afterAutospacing="0" w:line="0" w:lineRule="atLeast"/>
        <w:widowControl/>
        <w:rPr>
          <w:rFonts w:hint="eastAsia" w:ascii="宋体" w:hAnsi="宋体" w:eastAsia="宋体" w:cs="宋体"/>
          <w:sz w:val="24"/>
          <w:szCs w:val="24"/>
        </w:rPr>
      </w:pPr>
      <w:r>
        <w:rPr>
          <w:rFonts w:hint="eastAsia" w:ascii="宋体" w:hAnsi="宋体" w:eastAsia="宋体" w:cs="宋体"/>
          <w:sz w:val="24"/>
          <w:szCs w:val="24"/>
        </w:rPr>
        <w:t xml:space="preserve">                                 日期：　   年　  月　  日</w:t>
      </w:r>
      <w:r>
        <w:rPr>
          <w:rFonts w:hint="eastAsia" w:ascii="宋体" w:hAnsi="宋体" w:eastAsia="宋体" w:cs="宋体"/>
          <w:sz w:val="24"/>
          <w:szCs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__________________</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1.产品如有型号，请在“产品名称”栏一并填写。</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2.生产厂名与厂址应与生产厂营业执照载明的相关信息保持一致。</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3.该产品的中国境内生产的组件成本占比相关要求实施前，“规定比例”栏可不填，下同。</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4.该产品的关键组件要求实施前，“关键组件”栏可不填，下同。</w:t>
      </w:r>
      <w:r>
        <w:rPr>
          <w:rFonts w:hint="eastAsia" w:ascii="宋体" w:hAnsi="宋体" w:eastAsia="宋体" w:cs="宋体"/>
          <w:sz w:val="24"/>
        </w:rPr>
      </w:r>
      <w:r/>
    </w:p>
    <w:p>
      <w:pPr>
        <w:pStyle w:val="1030"/>
        <w:spacing w:before="25" w:after="25" w:line="360" w:lineRule="auto"/>
        <w:rPr>
          <w:rFonts w:hint="eastAsia" w:ascii="宋体" w:hAnsi="宋体" w:eastAsia="宋体" w:cs="宋体"/>
          <w:sz w:val="24"/>
        </w:rPr>
      </w:pPr>
      <w:r>
        <w:rPr>
          <w:rFonts w:hint="eastAsia" w:ascii="宋体" w:hAnsi="宋体" w:eastAsia="宋体" w:cs="宋体"/>
          <w:sz w:val="24"/>
        </w:rPr>
        <w:t xml:space="preserve">5.该产品的关键工序要求实施前，“关键工序”栏可不填，下同。</w:t>
      </w:r>
      <w:r>
        <w:rPr>
          <w:rFonts w:hint="eastAsia" w:ascii="宋体" w:hAnsi="宋体" w:eastAsia="宋体" w:cs="宋体"/>
          <w:sz w:val="24"/>
        </w:rPr>
      </w:r>
      <w:r/>
    </w:p>
    <w:p>
      <w:pPr>
        <w:pStyle w:val="1030"/>
        <w:spacing w:line="360" w:lineRule="auto"/>
        <w:rPr>
          <w:rFonts w:hint="eastAsia" w:ascii="宋体" w:hAnsi="宋体" w:cs="宋体"/>
          <w:color w:val="000000"/>
          <w:szCs w:val="21"/>
          <w:highlight w:val="none"/>
          <w:lang w:val="en-US" w:eastAsia="zh-CN"/>
        </w:rPr>
        <w:outlineLvl w:val="2"/>
      </w:pPr>
      <w:r>
        <w:rPr>
          <w:rFonts w:hint="eastAsia" w:ascii="宋体" w:hAnsi="宋体" w:eastAsia="宋体" w:cs="宋体"/>
          <w:sz w:val="24"/>
        </w:rPr>
        <w:t xml:space="preserve">6.用斜线划除的地方无需填写。</w:t>
      </w:r>
      <w:r>
        <w:rPr>
          <w:rFonts w:hint="eastAsia" w:ascii="宋体" w:hAnsi="宋体" w:cs="宋体"/>
          <w:color w:val="000000"/>
          <w:szCs w:val="21"/>
          <w:highlight w:val="none"/>
          <w:lang w:val="en-US" w:eastAsia="zh-CN"/>
        </w:rPr>
      </w:r>
      <w:r/>
    </w:p>
    <w:p>
      <w:pPr>
        <w:pStyle w:val="1030"/>
        <w:spacing w:line="360" w:lineRule="auto"/>
        <w:rPr>
          <w:color w:val="000000"/>
          <w:sz w:val="24"/>
          <w:highlight w:val="none"/>
          <w:lang w:val="zh-CN"/>
        </w:rPr>
        <w:outlineLvl w:val="2"/>
      </w:pPr>
      <w:r>
        <w:rPr>
          <w:rFonts w:hint="eastAsia" w:ascii="宋体" w:hAnsi="宋体" w:cs="宋体"/>
          <w:color w:val="000000"/>
          <w:szCs w:val="21"/>
          <w:highlight w:val="none"/>
          <w:lang w:val="en-US" w:eastAsia="zh-CN"/>
        </w:rPr>
        <w:br w:type="page" w:clear="all"/>
      </w:r>
      <w:r>
        <w:rPr>
          <w:rFonts w:hint="eastAsia" w:ascii="宋体" w:hAnsi="宋体" w:cs="宋体"/>
          <w:color w:val="000000"/>
          <w:szCs w:val="21"/>
          <w:highlight w:val="none"/>
          <w:lang w:val="en-US" w:eastAsia="zh-CN"/>
        </w:rPr>
        <w:t xml:space="preserve">11    </w:t>
      </w:r>
      <w:r>
        <w:rPr>
          <w:rFonts w:hint="eastAsia"/>
          <w:color w:val="000000"/>
          <w:szCs w:val="21"/>
          <w:highlight w:val="none"/>
        </w:rPr>
        <w:t xml:space="preserve">投标人认为需要提供的其它说明和资料</w:t>
      </w:r>
      <w:r>
        <w:rPr>
          <w:color w:val="000000"/>
          <w:sz w:val="24"/>
          <w:highlight w:val="none"/>
          <w:lang w:val="zh-CN"/>
        </w:rPr>
      </w:r>
      <w:r/>
    </w:p>
    <w:p>
      <w:pPr>
        <w:pStyle w:val="1030"/>
        <w:jc w:val="center"/>
        <w:keepLines/>
        <w:keepNext/>
        <w:spacing w:before="100" w:beforeAutospacing="1" w:after="100" w:afterAutospacing="1" w:line="400" w:lineRule="exact"/>
        <w:rPr>
          <w:rFonts w:ascii="宋体" w:hAnsi="宋体" w:cs="宋体"/>
          <w:b/>
          <w:szCs w:val="21"/>
          <w:highlight w:val="none"/>
        </w:rPr>
        <w:outlineLvl w:val="0"/>
      </w:pPr>
      <w:r>
        <w:rPr>
          <w:rFonts w:hint="eastAsia" w:ascii="宋体" w:hAnsi="宋体" w:cs="宋体"/>
          <w:b/>
          <w:color w:val="000000"/>
          <w:szCs w:val="21"/>
          <w:highlight w:val="none"/>
        </w:rPr>
        <w:t xml:space="preserve">投标人认为需要提供的其它说明和资料</w:t>
      </w:r>
      <w:r>
        <w:rPr>
          <w:rFonts w:ascii="宋体" w:hAnsi="宋体" w:cs="宋体"/>
          <w:b/>
          <w:szCs w:val="21"/>
          <w:highlight w:val="none"/>
        </w:rPr>
      </w:r>
      <w:r/>
    </w:p>
    <w:p>
      <w:pPr>
        <w:pStyle w:val="1033"/>
        <w:rPr>
          <w:rFonts w:hint="eastAsia" w:hAnsi="宋体" w:cs="宋体"/>
          <w:sz w:val="21"/>
          <w:szCs w:val="21"/>
          <w:highlight w:val="none"/>
          <w:u w:val="none"/>
        </w:rPr>
      </w:pPr>
      <w:r>
        <w:rPr>
          <w:rFonts w:hint="eastAsia" w:hAnsi="宋体" w:cs="宋体"/>
          <w:sz w:val="21"/>
          <w:szCs w:val="21"/>
          <w:highlight w:val="none"/>
          <w:u w:val="none"/>
        </w:rPr>
        <w:t xml:space="preserve">内容：投标人认为需要提供的其它说明和资料（格式自拟）</w:t>
      </w:r>
      <w:r/>
    </w:p>
    <w:sectPr>
      <w:headerReference w:type="even" r:id="rId15"/>
      <w:headerReference w:type="first" r:id="rId16"/>
      <w:footerReference w:type="default" r:id="rId27"/>
      <w:footerReference w:type="even" r:id="rId28"/>
      <w:footerReference w:type="first" r:id="rId29"/>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right="360"/>
      <w:tabs>
        <w:tab w:val="center" w:pos="4153" w:leader="none"/>
        <w:tab w:val="right" w:pos="8306" w:leader="none"/>
      </w:tabs>
      <w:rPr>
        <w:rStyle w:val="1105"/>
      </w:rPr>
    </w:pPr>
    <w:r>
      <w:rPr>
        <w:rStyle w:val="1105"/>
      </w:rPr>
    </w:r>
    <w:r/>
  </w:p>
  <w:p>
    <w:pPr>
      <w:pStyle w:val="108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center" w:y="1"/>
    </w:pPr>
    <w:r>
      <w:fldChar w:fldCharType="begin"/>
    </w:r>
    <w:r>
      <w:rPr>
        <w:rStyle w:val="1105"/>
      </w:rPr>
      <w:instrText xml:space="preserve">PAGE  </w:instrText>
    </w:r>
    <w:r>
      <w:fldChar w:fldCharType="end"/>
    </w:r>
    <w:r>
      <w:rPr>
        <w:rStyle w:val="1105"/>
      </w:rPr>
    </w:r>
    <w:r/>
  </w:p>
  <w:p>
    <w:pPr>
      <w:pStyle w:val="108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pPr>
    <w:r>
      <w:rPr>
        <w:rStyle w:val="1105"/>
      </w:rPr>
    </w:r>
    <w:r/>
  </w:p>
  <w:p>
    <w:pPr>
      <w:pStyle w:val="108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v:textbox>
            </v:shape>
          </w:pict>
        </mc:Fallback>
      </mc:AlternateContent>
    </w: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v:textbox>
            </v:shape>
          </w:pict>
        </mc:Fallback>
      </mc:AlternateContent>
    </w: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v:textbox>
            </v:shape>
          </w:pict>
        </mc:Fallback>
      </mc:AlternateContent>
    </w:r>
    <w:r>
      <w:rPr>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p>
    <w:pPr>
      <w:pStyle w:val="103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rPr>
        <w:rFonts w:hint="eastAsia"/>
        <w:sz w:val="18"/>
        <w:szCs w:val="20"/>
      </w:rPr>
      <w:pBdr>
        <w:top w:val="none" w:color="000000" w:sz="0" w:space="1"/>
        <w:left w:val="none" w:color="000000" w:sz="0" w:space="4"/>
        <w:bottom w:val="single" w:color="000000" w:sz="4" w:space="1"/>
        <w:right w:val="none" w:color="000000" w:sz="0" w:space="4"/>
      </w:pBdr>
    </w:pPr>
    <w:r>
      <w:rPr>
        <w:rFonts w:hint="eastAsia"/>
      </w:rPr>
      <w:t xml:space="preserve">常州市政府</w:t>
    </w:r>
    <w:r>
      <w:t xml:space="preserve">采购</w:t>
    </w:r>
    <w:r>
      <w:rPr>
        <w:rFonts w:hint="eastAsia"/>
      </w:rPr>
      <w:t xml:space="preserve">项目公开招标文件示范文本</w:t>
    </w:r>
    <w:r>
      <w:rPr>
        <w:rFonts w:hint="eastAsia"/>
        <w:sz w:val="18"/>
        <w:szCs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p>
    <w:pPr>
      <w:pStyle w:val="103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0"/>
        <w:ind w:left="4941" w:hanging="1140"/>
        <w:tabs>
          <w:tab w:val="num" w:pos="4941" w:leader="none"/>
        </w:tabs>
      </w:pPr>
      <w:rPr>
        <w:rFonts w:hint="eastAsia"/>
      </w:rPr>
    </w:lvl>
    <w:lvl w:ilvl="1">
      <w:start w:val="1"/>
      <w:numFmt w:val="lowerLetter"/>
      <w:isLgl w:val="false"/>
      <w:suff w:val="tab"/>
      <w:lvlText w:val="%2)"/>
      <w:lvlJc w:val="left"/>
      <w:pPr>
        <w:pStyle w:val="1030"/>
        <w:ind w:left="4641" w:hanging="420"/>
        <w:tabs>
          <w:tab w:val="num" w:pos="4641" w:leader="none"/>
        </w:tabs>
      </w:pPr>
    </w:lvl>
    <w:lvl w:ilvl="2">
      <w:start w:val="1"/>
      <w:numFmt w:val="lowerRoman"/>
      <w:isLgl w:val="false"/>
      <w:suff w:val="tab"/>
      <w:lvlText w:val="%3."/>
      <w:lvlJc w:val="right"/>
      <w:pPr>
        <w:pStyle w:val="1030"/>
        <w:ind w:left="5061" w:hanging="420"/>
        <w:tabs>
          <w:tab w:val="num" w:pos="5061" w:leader="none"/>
        </w:tabs>
      </w:pPr>
    </w:lvl>
    <w:lvl w:ilvl="3">
      <w:start w:val="1"/>
      <w:numFmt w:val="decimal"/>
      <w:isLgl w:val="false"/>
      <w:suff w:val="tab"/>
      <w:lvlText w:val="%4."/>
      <w:lvlJc w:val="left"/>
      <w:pPr>
        <w:pStyle w:val="1030"/>
        <w:ind w:left="5481" w:hanging="420"/>
        <w:tabs>
          <w:tab w:val="num" w:pos="5481" w:leader="none"/>
        </w:tabs>
      </w:pPr>
    </w:lvl>
    <w:lvl w:ilvl="4">
      <w:start w:val="1"/>
      <w:numFmt w:val="lowerLetter"/>
      <w:isLgl w:val="false"/>
      <w:suff w:val="tab"/>
      <w:lvlText w:val="%5)"/>
      <w:lvlJc w:val="left"/>
      <w:pPr>
        <w:pStyle w:val="1030"/>
        <w:ind w:left="5901" w:hanging="420"/>
        <w:tabs>
          <w:tab w:val="num" w:pos="5901" w:leader="none"/>
        </w:tabs>
      </w:pPr>
    </w:lvl>
    <w:lvl w:ilvl="5">
      <w:start w:val="1"/>
      <w:numFmt w:val="lowerRoman"/>
      <w:isLgl w:val="false"/>
      <w:suff w:val="tab"/>
      <w:lvlText w:val="%6."/>
      <w:lvlJc w:val="right"/>
      <w:pPr>
        <w:pStyle w:val="1030"/>
        <w:ind w:left="6321" w:hanging="420"/>
        <w:tabs>
          <w:tab w:val="num" w:pos="6321" w:leader="none"/>
        </w:tabs>
      </w:pPr>
    </w:lvl>
    <w:lvl w:ilvl="6">
      <w:start w:val="1"/>
      <w:numFmt w:val="decimal"/>
      <w:isLgl w:val="false"/>
      <w:suff w:val="tab"/>
      <w:lvlText w:val="%7."/>
      <w:lvlJc w:val="left"/>
      <w:pPr>
        <w:pStyle w:val="1030"/>
        <w:ind w:left="6741" w:hanging="420"/>
        <w:tabs>
          <w:tab w:val="num" w:pos="6741" w:leader="none"/>
        </w:tabs>
      </w:pPr>
    </w:lvl>
    <w:lvl w:ilvl="7">
      <w:start w:val="1"/>
      <w:numFmt w:val="lowerLetter"/>
      <w:isLgl w:val="false"/>
      <w:suff w:val="tab"/>
      <w:lvlText w:val="%8)"/>
      <w:lvlJc w:val="left"/>
      <w:pPr>
        <w:pStyle w:val="1030"/>
        <w:ind w:left="7161" w:hanging="420"/>
        <w:tabs>
          <w:tab w:val="num" w:pos="7161" w:leader="none"/>
        </w:tabs>
      </w:pPr>
    </w:lvl>
    <w:lvl w:ilvl="8">
      <w:start w:val="1"/>
      <w:numFmt w:val="lowerRoman"/>
      <w:isLgl w:val="false"/>
      <w:suff w:val="tab"/>
      <w:lvlText w:val="%9."/>
      <w:lvlJc w:val="right"/>
      <w:pPr>
        <w:pStyle w:val="1030"/>
        <w:ind w:left="7581" w:hanging="420"/>
        <w:tabs>
          <w:tab w:val="num" w:pos="7581" w:leader="none"/>
        </w:tabs>
      </w:pPr>
    </w:lvl>
  </w:abstractNum>
  <w:abstractNum w:abstractNumId="1">
    <w:multiLevelType w:val="hybridMultilevel"/>
    <w:lvl w:ilvl="0">
      <w:start w:val="1"/>
      <w:numFmt w:val="decimal"/>
      <w:pStyle w:val="1142"/>
      <w:isLgl w:val="false"/>
      <w:suff w:val="tab"/>
      <w:lvlText w:val="%1."/>
      <w:lvlJc w:val="left"/>
      <w:pPr>
        <w:pStyle w:val="1030"/>
        <w:ind w:left="420" w:hanging="420"/>
      </w:pPr>
    </w:lvl>
    <w:lvl w:ilvl="1">
      <w:start w:val="1"/>
      <w:numFmt w:val="decimal"/>
      <w:isLgl w:val="false"/>
      <w:suff w:val="tab"/>
      <w:lvlText w:val="（%2）"/>
      <w:lvlJc w:val="left"/>
      <w:pPr>
        <w:pStyle w:val="1030"/>
        <w:ind w:left="1140" w:hanging="720"/>
        <w:tabs>
          <w:tab w:val="num" w:pos="1140" w:leader="none"/>
        </w:tabs>
      </w:pPr>
      <w:rPr>
        <w:rFonts w:hint="eastAsia"/>
      </w:r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2">
    <w:multiLevelType w:val="hybridMultilevel"/>
    <w:lvl w:ilvl="0">
      <w:start w:val="1"/>
      <w:numFmt w:val="lowerLetter"/>
      <w:pStyle w:val="1216"/>
      <w:isLgl w:val="false"/>
      <w:suff w:val="tab"/>
      <w:lvlText w:val="%1)"/>
      <w:lvlJc w:val="left"/>
      <w:pPr>
        <w:pStyle w:val="1030"/>
        <w:ind w:left="902" w:hanging="420"/>
      </w:pPr>
      <w:rPr>
        <w:color w:val="000000"/>
      </w:rPr>
    </w:lvl>
    <w:lvl w:ilvl="1">
      <w:start w:val="1"/>
      <w:numFmt w:val="lowerLetter"/>
      <w:isLgl w:val="false"/>
      <w:suff w:val="tab"/>
      <w:lvlText w:val="%2)"/>
      <w:lvlJc w:val="left"/>
      <w:pPr>
        <w:pStyle w:val="1030"/>
        <w:ind w:left="1322" w:hanging="420"/>
      </w:pPr>
    </w:lvl>
    <w:lvl w:ilvl="2">
      <w:start w:val="1"/>
      <w:numFmt w:val="lowerRoman"/>
      <w:isLgl w:val="false"/>
      <w:suff w:val="tab"/>
      <w:lvlText w:val="%3."/>
      <w:lvlJc w:val="right"/>
      <w:pPr>
        <w:pStyle w:val="1030"/>
        <w:ind w:left="1742" w:hanging="420"/>
      </w:pPr>
    </w:lvl>
    <w:lvl w:ilvl="3">
      <w:start w:val="1"/>
      <w:numFmt w:val="decimal"/>
      <w:isLgl w:val="false"/>
      <w:suff w:val="tab"/>
      <w:lvlText w:val="%4."/>
      <w:lvlJc w:val="left"/>
      <w:pPr>
        <w:pStyle w:val="1030"/>
        <w:ind w:left="2162" w:hanging="420"/>
      </w:pPr>
    </w:lvl>
    <w:lvl w:ilvl="4">
      <w:start w:val="1"/>
      <w:numFmt w:val="lowerLetter"/>
      <w:isLgl w:val="false"/>
      <w:suff w:val="tab"/>
      <w:lvlText w:val="%5)"/>
      <w:lvlJc w:val="left"/>
      <w:pPr>
        <w:pStyle w:val="1030"/>
        <w:ind w:left="2582" w:hanging="420"/>
      </w:pPr>
    </w:lvl>
    <w:lvl w:ilvl="5">
      <w:start w:val="1"/>
      <w:numFmt w:val="lowerRoman"/>
      <w:isLgl w:val="false"/>
      <w:suff w:val="tab"/>
      <w:lvlText w:val="%6."/>
      <w:lvlJc w:val="right"/>
      <w:pPr>
        <w:pStyle w:val="1030"/>
        <w:ind w:left="3002" w:hanging="420"/>
      </w:pPr>
    </w:lvl>
    <w:lvl w:ilvl="6">
      <w:start w:val="1"/>
      <w:numFmt w:val="decimal"/>
      <w:isLgl w:val="false"/>
      <w:suff w:val="tab"/>
      <w:lvlText w:val="%7."/>
      <w:lvlJc w:val="left"/>
      <w:pPr>
        <w:pStyle w:val="1030"/>
        <w:ind w:left="3422" w:hanging="420"/>
      </w:pPr>
    </w:lvl>
    <w:lvl w:ilvl="7">
      <w:start w:val="1"/>
      <w:numFmt w:val="lowerLetter"/>
      <w:isLgl w:val="false"/>
      <w:suff w:val="tab"/>
      <w:lvlText w:val="%8)"/>
      <w:lvlJc w:val="left"/>
      <w:pPr>
        <w:pStyle w:val="1030"/>
        <w:ind w:left="3842" w:hanging="420"/>
      </w:pPr>
    </w:lvl>
    <w:lvl w:ilvl="8">
      <w:start w:val="1"/>
      <w:numFmt w:val="lowerRoman"/>
      <w:isLgl w:val="false"/>
      <w:suff w:val="tab"/>
      <w:lvlText w:val="%9."/>
      <w:lvlJc w:val="right"/>
      <w:pPr>
        <w:pStyle w:val="1030"/>
        <w:ind w:left="4262" w:hanging="420"/>
      </w:pPr>
    </w:lvl>
  </w:abstractNum>
  <w:abstractNum w:abstractNumId="3">
    <w:multiLevelType w:val="hybridMultilevel"/>
    <w:lvl w:ilvl="0">
      <w:start w:val="1"/>
      <w:numFmt w:val="decimal"/>
      <w:pStyle w:val="1187"/>
      <w:isLgl w:val="false"/>
      <w:suff w:val="tab"/>
      <w:lvlText w:val="%1."/>
      <w:lvlJc w:val="left"/>
      <w:pPr>
        <w:pStyle w:val="103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6"/>
      <w:isLgl w:val="false"/>
      <w:suff w:val="nothing"/>
      <w:lvlText w:val="%1　"/>
      <w:lvlJc w:val="left"/>
      <w:pPr>
        <w:pStyle w:val="103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0"/>
        <w:ind w:left="-25" w:firstLine="0"/>
      </w:pPr>
      <w:rPr>
        <w:rFonts w:ascii="Times New Roman" w:hAnsi="Times New Roman" w:eastAsia="黑体"/>
        <w:b/>
        <w:i w:val="0"/>
        <w:sz w:val="28"/>
      </w:rPr>
    </w:lvl>
    <w:lvl w:ilvl="3">
      <w:start w:val="1"/>
      <w:numFmt w:val="decimal"/>
      <w:pStyle w:val="1172"/>
      <w:isLgl w:val="false"/>
      <w:suff w:val="nothing"/>
      <w:lvlText w:val="%1.%2.%3.%4　"/>
      <w:lvlJc w:val="left"/>
      <w:pPr>
        <w:pStyle w:val="103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0"/>
        <w:ind w:left="-25" w:firstLine="0"/>
      </w:pPr>
      <w:rPr>
        <w:rFonts w:ascii="Times New Roman" w:hAnsi="Times New Roman" w:eastAsia="宋体"/>
        <w:b/>
        <w:i w:val="0"/>
        <w:sz w:val="28"/>
      </w:rPr>
    </w:lvl>
    <w:lvl w:ilvl="6">
      <w:start w:val="1"/>
      <w:numFmt w:val="lowerLetter"/>
      <w:pStyle w:val="1193"/>
      <w:isLgl w:val="false"/>
      <w:suff w:val="tab"/>
      <w:lvlText w:val="%7) "/>
      <w:lvlJc w:val="left"/>
      <w:pPr>
        <w:pStyle w:val="1030"/>
        <w:ind w:left="-125" w:firstLine="400"/>
        <w:tabs>
          <w:tab w:val="num" w:pos="635" w:leader="none"/>
        </w:tabs>
      </w:pPr>
      <w:rPr>
        <w:rFonts w:ascii="Times New Roman" w:hAnsi="Times New Roman" w:eastAsia="宋体"/>
        <w:b/>
        <w:i w:val="0"/>
        <w:color w:val="000000"/>
        <w:sz w:val="28"/>
        <w:u w:val="none"/>
      </w:rPr>
    </w:lvl>
    <w:lvl w:ilvl="7">
      <w:start w:val="1"/>
      <w:numFmt w:val="decimal"/>
      <w:pStyle w:val="1156"/>
      <w:isLgl w:val="false"/>
      <w:suff w:val="tab"/>
      <w:lvlText w:val="%8) "/>
      <w:lvlJc w:val="left"/>
      <w:pPr>
        <w:pStyle w:val="103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0"/>
        <w:ind w:left="768" w:hanging="360"/>
        <w:tabs>
          <w:tab w:val="num" w:pos="768" w:leader="none"/>
        </w:tabs>
      </w:pPr>
      <w:rPr>
        <w:rFonts w:hint="eastAsia"/>
      </w:rPr>
    </w:lvl>
    <w:lvl w:ilvl="1">
      <w:start w:val="1"/>
      <w:numFmt w:val="decimal"/>
      <w:pStyle w:val="1174"/>
      <w:isLgl w:val="false"/>
      <w:suff w:val="tab"/>
      <w:lvlText w:val="%2、"/>
      <w:lvlJc w:val="left"/>
      <w:pPr>
        <w:pStyle w:val="1030"/>
        <w:ind w:left="1188" w:hanging="360"/>
        <w:tabs>
          <w:tab w:val="num" w:pos="1188" w:leader="none"/>
        </w:tabs>
      </w:pPr>
      <w:rPr>
        <w:rFonts w:hint="eastAsia"/>
      </w:rPr>
    </w:lvl>
    <w:lvl w:ilvl="2">
      <w:start w:val="1"/>
      <w:numFmt w:val="decimal"/>
      <w:isLgl w:val="false"/>
      <w:suff w:val="tab"/>
      <w:lvlText w:val="（%3）"/>
      <w:lvlJc w:val="left"/>
      <w:pPr>
        <w:pStyle w:val="1030"/>
        <w:ind w:left="1968" w:hanging="720"/>
        <w:tabs>
          <w:tab w:val="num" w:pos="1968" w:leader="none"/>
        </w:tabs>
      </w:pPr>
      <w:rPr>
        <w:rFonts w:hint="eastAsia"/>
        <w:u w:val="none"/>
      </w:rPr>
    </w:lvl>
    <w:lvl w:ilvl="3">
      <w:start w:val="1"/>
      <w:numFmt w:val="decimal"/>
      <w:isLgl w:val="false"/>
      <w:suff w:val="tab"/>
      <w:lvlText w:val="%4."/>
      <w:lvlJc w:val="left"/>
      <w:pPr>
        <w:pStyle w:val="1030"/>
        <w:ind w:left="2088" w:hanging="420"/>
        <w:tabs>
          <w:tab w:val="num" w:pos="2088" w:leader="none"/>
        </w:tabs>
      </w:pPr>
    </w:lvl>
    <w:lvl w:ilvl="4">
      <w:start w:val="1"/>
      <w:numFmt w:val="lowerLetter"/>
      <w:isLgl w:val="false"/>
      <w:suff w:val="tab"/>
      <w:lvlText w:val="%5)"/>
      <w:lvlJc w:val="left"/>
      <w:pPr>
        <w:pStyle w:val="1030"/>
        <w:ind w:left="2508" w:hanging="420"/>
        <w:tabs>
          <w:tab w:val="num" w:pos="2508" w:leader="none"/>
        </w:tabs>
      </w:pPr>
    </w:lvl>
    <w:lvl w:ilvl="5">
      <w:start w:val="1"/>
      <w:numFmt w:val="lowerRoman"/>
      <w:isLgl w:val="false"/>
      <w:suff w:val="tab"/>
      <w:lvlText w:val="%6."/>
      <w:lvlJc w:val="right"/>
      <w:pPr>
        <w:pStyle w:val="1030"/>
        <w:ind w:left="2928" w:hanging="420"/>
        <w:tabs>
          <w:tab w:val="num" w:pos="2928" w:leader="none"/>
        </w:tabs>
      </w:pPr>
    </w:lvl>
    <w:lvl w:ilvl="6">
      <w:start w:val="1"/>
      <w:numFmt w:val="decimal"/>
      <w:isLgl w:val="false"/>
      <w:suff w:val="tab"/>
      <w:lvlText w:val="%7."/>
      <w:lvlJc w:val="left"/>
      <w:pPr>
        <w:pStyle w:val="1030"/>
        <w:ind w:left="3348" w:hanging="420"/>
        <w:tabs>
          <w:tab w:val="num" w:pos="3348" w:leader="none"/>
        </w:tabs>
      </w:pPr>
    </w:lvl>
    <w:lvl w:ilvl="7">
      <w:start w:val="1"/>
      <w:numFmt w:val="lowerLetter"/>
      <w:isLgl w:val="false"/>
      <w:suff w:val="tab"/>
      <w:lvlText w:val="%8)"/>
      <w:lvlJc w:val="left"/>
      <w:pPr>
        <w:pStyle w:val="1030"/>
        <w:ind w:left="3768" w:hanging="420"/>
        <w:tabs>
          <w:tab w:val="num" w:pos="3768" w:leader="none"/>
        </w:tabs>
      </w:pPr>
    </w:lvl>
    <w:lvl w:ilvl="8">
      <w:start w:val="1"/>
      <w:numFmt w:val="lowerRoman"/>
      <w:isLgl w:val="false"/>
      <w:suff w:val="tab"/>
      <w:lvlText w:val="%9."/>
      <w:lvlJc w:val="right"/>
      <w:pPr>
        <w:pStyle w:val="103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7">
    <w:multiLevelType w:val="hybridMultilevel"/>
    <w:lvl w:ilvl="0">
      <w:start w:val="1"/>
      <w:numFmt w:val="decimal"/>
      <w:pStyle w:val="1141"/>
      <w:isLgl w:val="false"/>
      <w:suff w:val="tab"/>
      <w:lvlText w:val="%1)"/>
      <w:lvlJc w:val="left"/>
      <w:pPr>
        <w:pStyle w:val="1030"/>
        <w:ind w:left="420" w:hanging="420"/>
      </w:pPr>
    </w:lvl>
    <w:lvl w:ilvl="1">
      <w:start w:val="1"/>
      <w:numFmt w:val="lowerLetter"/>
      <w:isLgl w:val="false"/>
      <w:suff w:val="tab"/>
      <w:lvlText w:val="%2)"/>
      <w:lvlJc w:val="left"/>
      <w:pPr>
        <w:pStyle w:val="1030"/>
        <w:ind w:left="840" w:hanging="420"/>
      </w:p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8">
    <w:multiLevelType w:val="hybridMultilevel"/>
    <w:lvl w:ilvl="0">
      <w:start w:val="1"/>
      <w:numFmt w:val="decimal"/>
      <w:pStyle w:val="1241"/>
      <w:isLgl w:val="false"/>
      <w:suff w:val="tab"/>
      <w:lvlText w:val="%1"/>
      <w:lvlJc w:val="left"/>
      <w:pPr>
        <w:pStyle w:val="1030"/>
        <w:ind w:left="680" w:hanging="680"/>
      </w:pPr>
      <w:rPr>
        <w:rFonts w:hint="eastAsia" w:ascii="宋体" w:hAnsi="宋体" w:eastAsia="宋体"/>
      </w:rPr>
    </w:lvl>
    <w:lvl w:ilvl="1">
      <w:start w:val="1"/>
      <w:numFmt w:val="decimal"/>
      <w:pStyle w:val="1242"/>
      <w:isLgl w:val="false"/>
      <w:suff w:val="tab"/>
      <w:lvlText w:val="%1.%2"/>
      <w:lvlJc w:val="left"/>
      <w:pPr>
        <w:pStyle w:val="1030"/>
        <w:ind w:left="851" w:hanging="851"/>
      </w:pPr>
      <w:rPr>
        <w:rFonts w:hint="eastAsia" w:ascii="宋体" w:hAnsi="宋体" w:eastAsia="宋体"/>
        <w:color w:val="000000"/>
      </w:rPr>
    </w:lvl>
    <w:lvl w:ilvl="2">
      <w:start w:val="1"/>
      <w:numFmt w:val="decimal"/>
      <w:pStyle w:val="1243"/>
      <w:isLgl w:val="false"/>
      <w:suff w:val="tab"/>
      <w:lvlText w:val="%1.%2.%3"/>
      <w:lvlJc w:val="left"/>
      <w:pPr>
        <w:pStyle w:val="1030"/>
        <w:ind w:left="851" w:hanging="851"/>
      </w:pPr>
      <w:rPr>
        <w:rFonts w:hint="eastAsia"/>
      </w:rPr>
    </w:lvl>
    <w:lvl w:ilvl="3">
      <w:start w:val="1"/>
      <w:numFmt w:val="decimal"/>
      <w:isLgl w:val="false"/>
      <w:suff w:val="tab"/>
      <w:lvlText w:val="%1.%2.%3.%4"/>
      <w:lvlJc w:val="left"/>
      <w:pPr>
        <w:pStyle w:val="1030"/>
        <w:ind w:left="680" w:hanging="680"/>
      </w:pPr>
      <w:rPr>
        <w:rFonts w:hint="eastAsia"/>
      </w:rPr>
    </w:lvl>
    <w:lvl w:ilvl="4">
      <w:start w:val="1"/>
      <w:numFmt w:val="decimal"/>
      <w:isLgl w:val="false"/>
      <w:suff w:val="tab"/>
      <w:lvlText w:val="%1.%2.%3.%4.%5"/>
      <w:lvlJc w:val="left"/>
      <w:pPr>
        <w:pStyle w:val="1030"/>
        <w:ind w:left="680" w:hanging="680"/>
      </w:pPr>
      <w:rPr>
        <w:rFonts w:hint="eastAsia"/>
      </w:rPr>
    </w:lvl>
    <w:lvl w:ilvl="5">
      <w:start w:val="1"/>
      <w:numFmt w:val="decimal"/>
      <w:isLgl w:val="false"/>
      <w:suff w:val="tab"/>
      <w:lvlText w:val="%1.%2.%3.%4.%5.%6"/>
      <w:lvlJc w:val="left"/>
      <w:pPr>
        <w:pStyle w:val="1030"/>
        <w:ind w:left="680" w:hanging="680"/>
      </w:pPr>
      <w:rPr>
        <w:rFonts w:hint="eastAsia"/>
      </w:rPr>
    </w:lvl>
    <w:lvl w:ilvl="6">
      <w:start w:val="1"/>
      <w:numFmt w:val="decimal"/>
      <w:isLgl w:val="false"/>
      <w:suff w:val="tab"/>
      <w:lvlText w:val="%1.%2.%3.%4.%5.%6.%7"/>
      <w:lvlJc w:val="left"/>
      <w:pPr>
        <w:pStyle w:val="1030"/>
        <w:ind w:left="680" w:hanging="680"/>
      </w:pPr>
      <w:rPr>
        <w:rFonts w:hint="eastAsia"/>
      </w:rPr>
    </w:lvl>
    <w:lvl w:ilvl="7">
      <w:start w:val="1"/>
      <w:numFmt w:val="decimal"/>
      <w:isLgl w:val="false"/>
      <w:suff w:val="tab"/>
      <w:lvlText w:val="%1.%2.%3.%4.%5.%6.%7.%8"/>
      <w:lvlJc w:val="left"/>
      <w:pPr>
        <w:pStyle w:val="1030"/>
        <w:ind w:left="680" w:hanging="680"/>
      </w:pPr>
      <w:rPr>
        <w:rFonts w:hint="eastAsia"/>
      </w:rPr>
    </w:lvl>
    <w:lvl w:ilvl="8">
      <w:start w:val="1"/>
      <w:numFmt w:val="decimal"/>
      <w:isLgl w:val="false"/>
      <w:suff w:val="tab"/>
      <w:lvlText w:val="%1.%2.%3.%4.%5.%6.%7.%8.%9"/>
      <w:lvlJc w:val="left"/>
      <w:pPr>
        <w:pStyle w:val="1030"/>
        <w:ind w:left="680" w:hanging="680"/>
      </w:pPr>
      <w:rPr>
        <w:rFonts w:hint="eastAsia"/>
      </w:rPr>
    </w:lvl>
  </w:abstractNum>
  <w:abstractNum w:abstractNumId="9">
    <w:multiLevelType w:val="hybridMultilevel"/>
    <w:lvl w:ilvl="0">
      <w:start w:val="1"/>
      <w:numFmt w:val="decimal"/>
      <w:isLgl w:val="false"/>
      <w:suff w:val="tab"/>
      <w:lvlText w:val="%1"/>
      <w:lvlJc w:val="left"/>
      <w:pPr>
        <w:pStyle w:val="1030"/>
        <w:ind w:left="900" w:hanging="900"/>
        <w:tabs>
          <w:tab w:val="num" w:pos="900" w:leader="none"/>
        </w:tabs>
      </w:pPr>
      <w:rPr>
        <w:rFonts w:ascii="宋体" w:hAnsi="宋体" w:eastAsia="宋体" w:cs="宋体"/>
        <w:sz w:val="21"/>
        <w:szCs w:val="21"/>
      </w:rPr>
    </w:lvl>
    <w:lvl w:ilvl="1">
      <w:start w:val="1"/>
      <w:numFmt w:val="decimal"/>
      <w:isLgl w:val="false"/>
      <w:suff w:val="tab"/>
      <w:lvlText w:val="%1.%2"/>
      <w:lvlJc w:val="left"/>
      <w:pPr>
        <w:pStyle w:val="1030"/>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0"/>
    <w:next w:val="10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30"/>
    <w:next w:val="10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30"/>
    <w:next w:val="10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30"/>
    <w:next w:val="10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30"/>
    <w:next w:val="10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30"/>
    <w:next w:val="10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30"/>
    <w:next w:val="10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30"/>
    <w:next w:val="10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30"/>
    <w:next w:val="10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0"/>
    <w:next w:val="10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30"/>
    <w:next w:val="10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30"/>
    <w:next w:val="1030"/>
    <w:link w:val="38"/>
    <w:uiPriority w:val="29"/>
    <w:qFormat/>
    <w:pPr>
      <w:ind w:left="720" w:right="720"/>
    </w:pPr>
    <w:rPr>
      <w:i/>
    </w:rPr>
  </w:style>
  <w:style w:type="character" w:styleId="38">
    <w:name w:val="Quote Char"/>
    <w:link w:val="37"/>
    <w:uiPriority w:val="29"/>
    <w:rPr>
      <w:i/>
    </w:rPr>
  </w:style>
  <w:style w:type="paragraph" w:styleId="39">
    <w:name w:val="Intense Quote"/>
    <w:basedOn w:val="1030"/>
    <w:next w:val="10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30"/>
    <w:next w:val="10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30"/>
    <w:next w:val="1030"/>
    <w:uiPriority w:val="39"/>
    <w:unhideWhenUsed/>
    <w:pPr>
      <w:ind w:left="0" w:right="0" w:firstLine="0"/>
      <w:spacing w:after="57"/>
    </w:pPr>
  </w:style>
  <w:style w:type="paragraph" w:styleId="181">
    <w:name w:val="toc 2"/>
    <w:basedOn w:val="1030"/>
    <w:next w:val="1030"/>
    <w:uiPriority w:val="39"/>
    <w:unhideWhenUsed/>
    <w:pPr>
      <w:ind w:left="283" w:right="0" w:firstLine="0"/>
      <w:spacing w:after="57"/>
    </w:pPr>
  </w:style>
  <w:style w:type="paragraph" w:styleId="182">
    <w:name w:val="toc 3"/>
    <w:basedOn w:val="1030"/>
    <w:next w:val="1030"/>
    <w:uiPriority w:val="39"/>
    <w:unhideWhenUsed/>
    <w:pPr>
      <w:ind w:left="567" w:right="0" w:firstLine="0"/>
      <w:spacing w:after="57"/>
    </w:pPr>
  </w:style>
  <w:style w:type="paragraph" w:styleId="183">
    <w:name w:val="toc 4"/>
    <w:basedOn w:val="1030"/>
    <w:next w:val="1030"/>
    <w:uiPriority w:val="39"/>
    <w:unhideWhenUsed/>
    <w:pPr>
      <w:ind w:left="850" w:right="0" w:firstLine="0"/>
      <w:spacing w:after="57"/>
    </w:pPr>
  </w:style>
  <w:style w:type="paragraph" w:styleId="184">
    <w:name w:val="toc 5"/>
    <w:basedOn w:val="1030"/>
    <w:next w:val="1030"/>
    <w:uiPriority w:val="39"/>
    <w:unhideWhenUsed/>
    <w:pPr>
      <w:ind w:left="1134" w:right="0" w:firstLine="0"/>
      <w:spacing w:after="57"/>
    </w:pPr>
  </w:style>
  <w:style w:type="paragraph" w:styleId="185">
    <w:name w:val="toc 6"/>
    <w:basedOn w:val="1030"/>
    <w:next w:val="1030"/>
    <w:uiPriority w:val="39"/>
    <w:unhideWhenUsed/>
    <w:pPr>
      <w:ind w:left="1417" w:right="0" w:firstLine="0"/>
      <w:spacing w:after="57"/>
    </w:pPr>
  </w:style>
  <w:style w:type="paragraph" w:styleId="186">
    <w:name w:val="toc 7"/>
    <w:basedOn w:val="1030"/>
    <w:next w:val="1030"/>
    <w:uiPriority w:val="39"/>
    <w:unhideWhenUsed/>
    <w:pPr>
      <w:ind w:left="1701" w:right="0" w:firstLine="0"/>
      <w:spacing w:after="57"/>
    </w:pPr>
  </w:style>
  <w:style w:type="paragraph" w:styleId="187">
    <w:name w:val="toc 8"/>
    <w:basedOn w:val="1030"/>
    <w:next w:val="1030"/>
    <w:uiPriority w:val="39"/>
    <w:unhideWhenUsed/>
    <w:pPr>
      <w:ind w:left="1984" w:right="0" w:firstLine="0"/>
      <w:spacing w:after="57"/>
    </w:pPr>
  </w:style>
  <w:style w:type="paragraph" w:styleId="188">
    <w:name w:val="toc 9"/>
    <w:basedOn w:val="1030"/>
    <w:next w:val="10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0"/>
    <w:next w:val="1030"/>
    <w:uiPriority w:val="99"/>
    <w:unhideWhenUsed/>
    <w:pPr>
      <w:spacing w:after="0" w:afterAutospacing="0"/>
    </w:pPr>
  </w:style>
  <w:style w:type="paragraph" w:styleId="1030" w:default="1">
    <w:name w:val="Normal"/>
    <w:next w:val="1033"/>
    <w:link w:val="1030"/>
    <w:qFormat/>
    <w:pPr>
      <w:jc w:val="both"/>
      <w:widowControl w:val="off"/>
    </w:pPr>
    <w:rPr>
      <w:sz w:val="21"/>
      <w:szCs w:val="24"/>
      <w:lang w:val="en-US" w:eastAsia="zh-CN" w:bidi="ar-SA"/>
    </w:rPr>
  </w:style>
  <w:style w:type="paragraph" w:styleId="1031">
    <w:name w:val="标题 1"/>
    <w:basedOn w:val="1030"/>
    <w:next w:val="1030"/>
    <w:link w:val="1043"/>
    <w:qFormat/>
    <w:pPr>
      <w:jc w:val="center"/>
      <w:keepLines/>
      <w:keepNext/>
      <w:spacing w:before="240" w:after="120" w:line="300" w:lineRule="auto"/>
      <w:outlineLvl w:val="0"/>
    </w:pPr>
    <w:rPr>
      <w:rFonts w:ascii="宋体"/>
      <w:b/>
      <w:sz w:val="32"/>
      <w:szCs w:val="20"/>
    </w:rPr>
  </w:style>
  <w:style w:type="paragraph" w:styleId="1032">
    <w:name w:val="标题 2"/>
    <w:basedOn w:val="1030"/>
    <w:next w:val="1045"/>
    <w:link w:val="1044"/>
    <w:qFormat/>
    <w:pPr>
      <w:jc w:val="center"/>
      <w:keepLines/>
      <w:keepNext/>
      <w:spacing w:before="120" w:line="300" w:lineRule="auto"/>
      <w:outlineLvl w:val="1"/>
    </w:pPr>
    <w:rPr>
      <w:rFonts w:ascii="Arial" w:hAnsi="Arial" w:eastAsia="黑体"/>
      <w:b/>
      <w:sz w:val="30"/>
      <w:szCs w:val="20"/>
    </w:rPr>
  </w:style>
  <w:style w:type="paragraph" w:styleId="1033">
    <w:name w:val="标题 3"/>
    <w:basedOn w:val="1030"/>
    <w:next w:val="1030"/>
    <w:link w:val="1042"/>
    <w:qFormat/>
    <w:pPr>
      <w:jc w:val="left"/>
      <w:keepLines/>
      <w:keepNext/>
      <w:spacing w:before="360" w:after="120"/>
      <w:outlineLvl w:val="2"/>
    </w:pPr>
    <w:rPr>
      <w:rFonts w:ascii="宋体"/>
      <w:b/>
      <w:sz w:val="24"/>
      <w:szCs w:val="20"/>
      <w:u w:val="single"/>
    </w:rPr>
  </w:style>
  <w:style w:type="paragraph" w:styleId="1034">
    <w:name w:val="标题 4"/>
    <w:basedOn w:val="1030"/>
    <w:next w:val="1030"/>
    <w:link w:val="1047"/>
    <w:qFormat/>
    <w:pPr>
      <w:keepLines/>
      <w:keepNext/>
      <w:spacing w:before="280" w:after="290" w:line="376" w:lineRule="atLeast"/>
      <w:outlineLvl w:val="3"/>
    </w:pPr>
    <w:rPr>
      <w:rFonts w:ascii="Arial" w:hAnsi="Arial" w:eastAsia="黑体"/>
      <w:b/>
      <w:sz w:val="28"/>
      <w:szCs w:val="20"/>
    </w:rPr>
  </w:style>
  <w:style w:type="paragraph" w:styleId="1035">
    <w:name w:val="标题 5"/>
    <w:basedOn w:val="1030"/>
    <w:next w:val="1030"/>
    <w:link w:val="1048"/>
    <w:qFormat/>
    <w:pPr>
      <w:keepLines/>
      <w:keepNext/>
      <w:spacing w:before="280" w:after="290" w:line="376" w:lineRule="atLeast"/>
      <w:outlineLvl w:val="4"/>
    </w:pPr>
    <w:rPr>
      <w:b/>
      <w:sz w:val="28"/>
      <w:szCs w:val="20"/>
    </w:rPr>
  </w:style>
  <w:style w:type="paragraph" w:styleId="1036">
    <w:name w:val="标题 6"/>
    <w:basedOn w:val="1030"/>
    <w:next w:val="1030"/>
    <w:link w:val="1049"/>
    <w:qFormat/>
    <w:pPr>
      <w:keepLines/>
      <w:keepNext/>
      <w:spacing w:before="240" w:after="64" w:line="320" w:lineRule="atLeast"/>
      <w:outlineLvl w:val="5"/>
    </w:pPr>
    <w:rPr>
      <w:rFonts w:ascii="Arial" w:hAnsi="Arial" w:eastAsia="黑体"/>
      <w:b/>
      <w:sz w:val="24"/>
      <w:szCs w:val="20"/>
    </w:rPr>
  </w:style>
  <w:style w:type="paragraph" w:styleId="1037">
    <w:name w:val="标题 7"/>
    <w:basedOn w:val="1030"/>
    <w:next w:val="1030"/>
    <w:link w:val="1050"/>
    <w:qFormat/>
    <w:pPr>
      <w:keepLines/>
      <w:keepNext/>
      <w:spacing w:before="240" w:after="64" w:line="320" w:lineRule="atLeast"/>
      <w:outlineLvl w:val="6"/>
    </w:pPr>
    <w:rPr>
      <w:b/>
      <w:sz w:val="24"/>
      <w:szCs w:val="20"/>
    </w:rPr>
  </w:style>
  <w:style w:type="paragraph" w:styleId="1038">
    <w:name w:val="标题 8"/>
    <w:basedOn w:val="1030"/>
    <w:next w:val="1030"/>
    <w:link w:val="1051"/>
    <w:qFormat/>
    <w:pPr>
      <w:keepLines/>
      <w:keepNext/>
      <w:spacing w:before="240" w:after="64" w:line="320" w:lineRule="atLeast"/>
      <w:outlineLvl w:val="7"/>
    </w:pPr>
    <w:rPr>
      <w:rFonts w:ascii="Arial" w:hAnsi="Arial" w:eastAsia="黑体"/>
      <w:sz w:val="24"/>
      <w:szCs w:val="20"/>
    </w:rPr>
  </w:style>
  <w:style w:type="paragraph" w:styleId="1039">
    <w:name w:val="标题 9"/>
    <w:basedOn w:val="1030"/>
    <w:next w:val="1030"/>
    <w:link w:val="1052"/>
    <w:qFormat/>
    <w:pPr>
      <w:keepLines/>
      <w:keepNext/>
      <w:spacing w:before="240" w:after="64" w:line="320" w:lineRule="atLeast"/>
      <w:outlineLvl w:val="8"/>
    </w:pPr>
    <w:rPr>
      <w:rFonts w:ascii="Arial" w:hAnsi="Arial" w:eastAsia="黑体"/>
      <w:szCs w:val="20"/>
    </w:rPr>
  </w:style>
  <w:style w:type="character" w:styleId="1040">
    <w:name w:val="默认段落字体"/>
    <w:next w:val="1040"/>
    <w:link w:val="1030"/>
    <w:uiPriority w:val="1"/>
    <w:unhideWhenUsed/>
    <w:qFormat/>
  </w:style>
  <w:style w:type="table" w:styleId="1041">
    <w:name w:val="普通表格"/>
    <w:next w:val="1041"/>
    <w:link w:val="1030"/>
    <w:uiPriority w:val="99"/>
    <w:unhideWhenUsed/>
    <w:qFormat/>
    <w:tblPr/>
  </w:style>
  <w:style w:type="character" w:styleId="1042">
    <w:name w:val="标题 3 Char1"/>
    <w:next w:val="1042"/>
    <w:link w:val="1033"/>
    <w:qFormat/>
    <w:rPr>
      <w:rFonts w:ascii="宋体" w:eastAsia="宋体"/>
      <w:b/>
      <w:sz w:val="24"/>
      <w:u w:val="single"/>
      <w:lang w:val="en-US" w:eastAsia="zh-CN" w:bidi="ar-SA"/>
    </w:rPr>
  </w:style>
  <w:style w:type="character" w:styleId="1043">
    <w:name w:val="标题 1 Char"/>
    <w:next w:val="1043"/>
    <w:link w:val="1031"/>
    <w:qFormat/>
    <w:rPr>
      <w:rFonts w:ascii="宋体"/>
      <w:b/>
      <w:sz w:val="32"/>
    </w:rPr>
  </w:style>
  <w:style w:type="character" w:styleId="1044">
    <w:name w:val="标题 2 Char1"/>
    <w:next w:val="1044"/>
    <w:link w:val="1032"/>
    <w:qFormat/>
    <w:rPr>
      <w:rFonts w:ascii="Arial" w:hAnsi="Arial" w:eastAsia="黑体"/>
      <w:b/>
      <w:sz w:val="30"/>
      <w:lang w:val="en-US" w:eastAsia="zh-CN" w:bidi="ar-SA"/>
    </w:rPr>
  </w:style>
  <w:style w:type="paragraph" w:styleId="1045">
    <w:name w:val="正文缩进"/>
    <w:basedOn w:val="1030"/>
    <w:next w:val="1030"/>
    <w:link w:val="1046"/>
    <w:qFormat/>
    <w:pPr>
      <w:ind w:firstLine="420"/>
      <w:jc w:val="left"/>
    </w:pPr>
    <w:rPr>
      <w:rFonts w:ascii="宋体"/>
      <w:sz w:val="24"/>
    </w:rPr>
  </w:style>
  <w:style w:type="character" w:styleId="1046">
    <w:name w:val="正文缩进 Char1"/>
    <w:next w:val="1046"/>
    <w:link w:val="1045"/>
    <w:qFormat/>
    <w:rPr>
      <w:rFonts w:ascii="宋体" w:eastAsia="宋体"/>
      <w:sz w:val="24"/>
      <w:szCs w:val="24"/>
      <w:lang w:val="en-US" w:eastAsia="zh-CN" w:bidi="ar-SA"/>
    </w:rPr>
  </w:style>
  <w:style w:type="character" w:styleId="1047">
    <w:name w:val="标题 4 Char"/>
    <w:next w:val="1047"/>
    <w:link w:val="1034"/>
    <w:qFormat/>
    <w:rPr>
      <w:rFonts w:ascii="Arial" w:hAnsi="Arial" w:eastAsia="黑体"/>
      <w:b/>
      <w:sz w:val="28"/>
    </w:rPr>
  </w:style>
  <w:style w:type="character" w:styleId="1048">
    <w:name w:val="标题 5 Char"/>
    <w:next w:val="1048"/>
    <w:link w:val="1035"/>
    <w:qFormat/>
    <w:rPr>
      <w:b/>
      <w:sz w:val="28"/>
    </w:rPr>
  </w:style>
  <w:style w:type="character" w:styleId="1049">
    <w:name w:val="标题 6 Char"/>
    <w:next w:val="1049"/>
    <w:link w:val="1036"/>
    <w:qFormat/>
    <w:rPr>
      <w:rFonts w:ascii="Arial" w:hAnsi="Arial" w:eastAsia="黑体"/>
      <w:b/>
      <w:sz w:val="24"/>
    </w:rPr>
  </w:style>
  <w:style w:type="character" w:styleId="1050">
    <w:name w:val="标题 7 Char"/>
    <w:next w:val="1050"/>
    <w:link w:val="1037"/>
    <w:qFormat/>
    <w:rPr>
      <w:b/>
      <w:sz w:val="24"/>
    </w:rPr>
  </w:style>
  <w:style w:type="character" w:styleId="1051">
    <w:name w:val="标题 8 Char"/>
    <w:next w:val="1051"/>
    <w:link w:val="1038"/>
    <w:qFormat/>
    <w:rPr>
      <w:rFonts w:ascii="Arial" w:hAnsi="Arial" w:eastAsia="黑体"/>
      <w:sz w:val="24"/>
    </w:rPr>
  </w:style>
  <w:style w:type="character" w:styleId="1052">
    <w:name w:val="标题 9 Char"/>
    <w:next w:val="1052"/>
    <w:link w:val="1039"/>
    <w:qFormat/>
    <w:rPr>
      <w:rFonts w:ascii="Arial" w:hAnsi="Arial" w:eastAsia="黑体"/>
      <w:sz w:val="21"/>
    </w:rPr>
  </w:style>
  <w:style w:type="paragraph" w:styleId="1053">
    <w:name w:val="目录 7"/>
    <w:basedOn w:val="1030"/>
    <w:next w:val="1030"/>
    <w:link w:val="1030"/>
    <w:qFormat/>
    <w:pPr>
      <w:ind w:left="2520"/>
    </w:pPr>
  </w:style>
  <w:style w:type="paragraph" w:styleId="1054">
    <w:name w:val="引文目录"/>
    <w:basedOn w:val="1030"/>
    <w:next w:val="1030"/>
    <w:link w:val="1030"/>
    <w:qFormat/>
    <w:pPr>
      <w:ind w:left="420"/>
    </w:pPr>
  </w:style>
  <w:style w:type="paragraph" w:styleId="1055">
    <w:name w:val="题注"/>
    <w:basedOn w:val="1030"/>
    <w:next w:val="1030"/>
    <w:link w:val="1030"/>
    <w:qFormat/>
    <w:pPr>
      <w:spacing w:line="480" w:lineRule="auto"/>
    </w:pPr>
    <w:rPr>
      <w:rFonts w:ascii="华文中宋" w:hAnsi="华文中宋" w:eastAsia="华文中宋"/>
      <w:sz w:val="36"/>
      <w:szCs w:val="20"/>
    </w:rPr>
  </w:style>
  <w:style w:type="paragraph" w:styleId="1056">
    <w:name w:val="文档结构图"/>
    <w:basedOn w:val="1030"/>
    <w:next w:val="1030"/>
    <w:link w:val="1057"/>
    <w:qFormat/>
    <w:pPr>
      <w:shd w:val="clear" w:color="auto" w:fill="000080"/>
    </w:pPr>
  </w:style>
  <w:style w:type="character" w:styleId="1057">
    <w:name w:val="文档结构图 Char"/>
    <w:next w:val="1057"/>
    <w:link w:val="1056"/>
    <w:qFormat/>
    <w:rPr>
      <w:sz w:val="21"/>
      <w:szCs w:val="24"/>
      <w:shd w:val="clear" w:color="auto" w:fill="000080"/>
    </w:rPr>
  </w:style>
  <w:style w:type="paragraph" w:styleId="1058">
    <w:name w:val="批注文字"/>
    <w:basedOn w:val="1030"/>
    <w:next w:val="1058"/>
    <w:link w:val="1059"/>
    <w:uiPriority w:val="99"/>
    <w:qFormat/>
    <w:pPr>
      <w:jc w:val="left"/>
    </w:pPr>
  </w:style>
  <w:style w:type="character" w:styleId="1059">
    <w:name w:val="批注文字 Char1"/>
    <w:next w:val="1059"/>
    <w:link w:val="1058"/>
    <w:uiPriority w:val="99"/>
    <w:qFormat/>
    <w:rPr>
      <w:sz w:val="21"/>
      <w:szCs w:val="24"/>
    </w:rPr>
  </w:style>
  <w:style w:type="paragraph" w:styleId="1060">
    <w:name w:val="正文文本 3"/>
    <w:basedOn w:val="1030"/>
    <w:next w:val="1060"/>
    <w:link w:val="1061"/>
    <w:qFormat/>
    <w:pPr>
      <w:spacing w:after="120"/>
    </w:pPr>
    <w:rPr>
      <w:sz w:val="16"/>
      <w:szCs w:val="16"/>
    </w:rPr>
  </w:style>
  <w:style w:type="character" w:styleId="1061">
    <w:name w:val="正文文本 3 Char"/>
    <w:next w:val="1061"/>
    <w:link w:val="1060"/>
    <w:qFormat/>
    <w:rPr>
      <w:sz w:val="16"/>
      <w:szCs w:val="16"/>
    </w:rPr>
  </w:style>
  <w:style w:type="paragraph" w:styleId="1062">
    <w:name w:val="正文文本"/>
    <w:basedOn w:val="1030"/>
    <w:next w:val="1030"/>
    <w:link w:val="1063"/>
    <w:qFormat/>
    <w:pPr>
      <w:spacing w:before="120" w:line="22" w:lineRule="atLeast"/>
      <w:tabs>
        <w:tab w:val="left" w:pos="567" w:leader="none"/>
      </w:tabs>
    </w:pPr>
    <w:rPr>
      <w:rFonts w:ascii="宋体" w:hAnsi="宋体"/>
      <w:sz w:val="24"/>
    </w:rPr>
  </w:style>
  <w:style w:type="character" w:styleId="1063">
    <w:name w:val="正文文本 Char"/>
    <w:next w:val="1063"/>
    <w:link w:val="1062"/>
    <w:qFormat/>
    <w:rPr>
      <w:rFonts w:ascii="宋体" w:hAnsi="宋体"/>
      <w:sz w:val="24"/>
      <w:szCs w:val="24"/>
    </w:rPr>
  </w:style>
  <w:style w:type="paragraph" w:styleId="1064">
    <w:name w:val="正文文本缩进"/>
    <w:basedOn w:val="1030"/>
    <w:next w:val="1064"/>
    <w:link w:val="1065"/>
    <w:qFormat/>
    <w:pPr>
      <w:ind w:firstLine="570"/>
      <w:spacing w:line="360" w:lineRule="auto"/>
    </w:pPr>
    <w:rPr>
      <w:sz w:val="24"/>
    </w:rPr>
  </w:style>
  <w:style w:type="character" w:styleId="1065">
    <w:name w:val="正文文本缩进 Char2"/>
    <w:next w:val="1065"/>
    <w:link w:val="1064"/>
    <w:qFormat/>
    <w:rPr>
      <w:rFonts w:eastAsia="宋体"/>
      <w:sz w:val="24"/>
      <w:szCs w:val="24"/>
      <w:lang w:val="en-US" w:eastAsia="zh-CN" w:bidi="ar-SA"/>
    </w:rPr>
  </w:style>
  <w:style w:type="paragraph" w:styleId="1066">
    <w:name w:val="列表 2"/>
    <w:basedOn w:val="1030"/>
    <w:next w:val="1066"/>
    <w:link w:val="1030"/>
    <w:qFormat/>
    <w:pPr>
      <w:ind w:left="100" w:hanging="200"/>
    </w:pPr>
  </w:style>
  <w:style w:type="paragraph" w:styleId="1067">
    <w:name w:val="文本块"/>
    <w:basedOn w:val="1030"/>
    <w:next w:val="1067"/>
    <w:link w:val="1030"/>
    <w:qFormat/>
    <w:pPr>
      <w:ind w:left="480" w:right="-341" w:firstLine="513"/>
      <w:widowControl/>
    </w:pPr>
    <w:rPr>
      <w:sz w:val="24"/>
      <w:szCs w:val="20"/>
    </w:rPr>
  </w:style>
  <w:style w:type="paragraph" w:styleId="1068">
    <w:name w:val="索引 4"/>
    <w:basedOn w:val="1030"/>
    <w:next w:val="1030"/>
    <w:link w:val="1030"/>
    <w:uiPriority w:val="99"/>
    <w:unhideWhenUsed/>
    <w:qFormat/>
    <w:pPr>
      <w:ind w:left="600"/>
    </w:pPr>
  </w:style>
  <w:style w:type="paragraph" w:styleId="1069">
    <w:name w:val="目录 5"/>
    <w:basedOn w:val="1030"/>
    <w:next w:val="1030"/>
    <w:link w:val="1030"/>
    <w:qFormat/>
    <w:pPr>
      <w:ind w:left="1680"/>
    </w:pPr>
  </w:style>
  <w:style w:type="paragraph" w:styleId="1070">
    <w:name w:val="目录 3"/>
    <w:basedOn w:val="1030"/>
    <w:next w:val="1030"/>
    <w:link w:val="1030"/>
    <w:uiPriority w:val="39"/>
    <w:qFormat/>
    <w:pPr>
      <w:ind w:left="840"/>
    </w:pPr>
  </w:style>
  <w:style w:type="paragraph" w:styleId="1071">
    <w:name w:val="纯文本"/>
    <w:basedOn w:val="1030"/>
    <w:next w:val="1045"/>
    <w:link w:val="1072"/>
    <w:qFormat/>
    <w:rPr>
      <w:rFonts w:hint="eastAsia" w:ascii="宋体" w:hAnsi="Courier New"/>
      <w:szCs w:val="20"/>
    </w:rPr>
  </w:style>
  <w:style w:type="character" w:styleId="1072">
    <w:name w:val="纯文本 Char"/>
    <w:next w:val="1072"/>
    <w:link w:val="1071"/>
    <w:qFormat/>
    <w:rPr>
      <w:rFonts w:hint="eastAsia" w:ascii="宋体" w:hAnsi="Courier New" w:eastAsia="宋体" w:cs="宋体"/>
      <w:sz w:val="21"/>
    </w:rPr>
  </w:style>
  <w:style w:type="paragraph" w:styleId="1073">
    <w:name w:val="目录 8"/>
    <w:basedOn w:val="1030"/>
    <w:next w:val="1030"/>
    <w:link w:val="1030"/>
    <w:qFormat/>
    <w:pPr>
      <w:ind w:left="2940"/>
    </w:pPr>
  </w:style>
  <w:style w:type="paragraph" w:styleId="1074">
    <w:name w:val="日期"/>
    <w:basedOn w:val="1030"/>
    <w:next w:val="1030"/>
    <w:link w:val="1075"/>
    <w:qFormat/>
    <w:pPr>
      <w:ind w:left="100"/>
    </w:pPr>
    <w:rPr>
      <w:rFonts w:ascii="仿宋_GB2312" w:hAnsi="宋体" w:eastAsia="仿宋_GB2312"/>
      <w:color w:val="000000"/>
      <w:sz w:val="24"/>
    </w:rPr>
  </w:style>
  <w:style w:type="character" w:styleId="1075">
    <w:name w:val="日期 Char"/>
    <w:next w:val="1075"/>
    <w:link w:val="1074"/>
    <w:qFormat/>
    <w:rPr>
      <w:rFonts w:ascii="仿宋_GB2312" w:hAnsi="宋体" w:eastAsia="仿宋_GB2312"/>
      <w:color w:val="000000"/>
      <w:sz w:val="24"/>
      <w:szCs w:val="24"/>
    </w:rPr>
  </w:style>
  <w:style w:type="paragraph" w:styleId="1076">
    <w:name w:val="正文文本缩进 2"/>
    <w:basedOn w:val="1030"/>
    <w:next w:val="1076"/>
    <w:link w:val="1077"/>
    <w:qFormat/>
    <w:pPr>
      <w:ind w:firstLine="480"/>
    </w:pPr>
    <w:rPr>
      <w:rFonts w:ascii="仿宋_GB2312" w:eastAsia="仿宋_GB2312"/>
      <w:sz w:val="24"/>
    </w:rPr>
  </w:style>
  <w:style w:type="character" w:styleId="1077">
    <w:name w:val="正文文本缩进 2 Char"/>
    <w:next w:val="1077"/>
    <w:link w:val="1076"/>
    <w:qFormat/>
    <w:rPr>
      <w:rFonts w:ascii="仿宋_GB2312" w:eastAsia="仿宋_GB2312"/>
      <w:sz w:val="24"/>
      <w:szCs w:val="24"/>
    </w:rPr>
  </w:style>
  <w:style w:type="paragraph" w:styleId="1078">
    <w:name w:val="批注框文本"/>
    <w:basedOn w:val="1030"/>
    <w:next w:val="1078"/>
    <w:link w:val="1079"/>
    <w:qFormat/>
    <w:rPr>
      <w:sz w:val="18"/>
      <w:szCs w:val="18"/>
    </w:rPr>
  </w:style>
  <w:style w:type="character" w:styleId="1079">
    <w:name w:val="批注框文本 Char"/>
    <w:next w:val="1079"/>
    <w:link w:val="1078"/>
    <w:qFormat/>
    <w:rPr>
      <w:sz w:val="18"/>
      <w:szCs w:val="18"/>
    </w:rPr>
  </w:style>
  <w:style w:type="paragraph" w:styleId="1080">
    <w:name w:val="页脚"/>
    <w:basedOn w:val="1030"/>
    <w:next w:val="1080"/>
    <w:link w:val="1081"/>
    <w:uiPriority w:val="99"/>
    <w:qFormat/>
    <w:pPr>
      <w:jc w:val="left"/>
      <w:tabs>
        <w:tab w:val="center" w:pos="4153" w:leader="none"/>
        <w:tab w:val="right" w:pos="8306" w:leader="none"/>
      </w:tabs>
    </w:pPr>
    <w:rPr>
      <w:rFonts w:ascii="宋体"/>
      <w:sz w:val="18"/>
      <w:szCs w:val="20"/>
    </w:rPr>
  </w:style>
  <w:style w:type="character" w:styleId="1081">
    <w:name w:val="页脚 Char1"/>
    <w:next w:val="1081"/>
    <w:link w:val="1080"/>
    <w:uiPriority w:val="99"/>
    <w:qFormat/>
    <w:rPr>
      <w:rFonts w:ascii="宋体" w:eastAsia="宋体"/>
      <w:sz w:val="18"/>
      <w:lang w:val="en-US" w:eastAsia="zh-CN" w:bidi="ar-SA"/>
    </w:rPr>
  </w:style>
  <w:style w:type="paragraph" w:styleId="1082">
    <w:name w:val="页眉"/>
    <w:basedOn w:val="1030"/>
    <w:next w:val="1082"/>
    <w:link w:val="1083"/>
    <w:qFormat/>
    <w:pPr>
      <w:jc w:val="center"/>
      <w:tabs>
        <w:tab w:val="center" w:pos="4153" w:leader="none"/>
        <w:tab w:val="right" w:pos="8306" w:leader="none"/>
      </w:tabs>
      <w:pBdr>
        <w:bottom w:val="single" w:color="000000" w:sz="6" w:space="1"/>
      </w:pBdr>
    </w:pPr>
    <w:rPr>
      <w:sz w:val="18"/>
      <w:szCs w:val="18"/>
    </w:rPr>
  </w:style>
  <w:style w:type="character" w:styleId="1083">
    <w:name w:val="页眉 Char1"/>
    <w:next w:val="1083"/>
    <w:link w:val="1082"/>
    <w:qFormat/>
    <w:rPr>
      <w:rFonts w:eastAsia="宋体"/>
      <w:sz w:val="18"/>
      <w:szCs w:val="18"/>
      <w:lang w:val="en-US" w:eastAsia="zh-CN" w:bidi="ar-SA"/>
    </w:rPr>
  </w:style>
  <w:style w:type="paragraph" w:styleId="1084">
    <w:name w:val="目录 1"/>
    <w:basedOn w:val="1030"/>
    <w:next w:val="1030"/>
    <w:link w:val="1030"/>
    <w:uiPriority w:val="39"/>
    <w:qFormat/>
    <w:pPr>
      <w:spacing w:line="300" w:lineRule="auto"/>
      <w:tabs>
        <w:tab w:val="left" w:pos="1050" w:leader="none"/>
        <w:tab w:val="right" w:pos="8937" w:leader="dot"/>
      </w:tabs>
    </w:pPr>
    <w:rPr>
      <w:rFonts w:ascii="宋体" w:hAnsi="宋体"/>
      <w:b/>
      <w:sz w:val="24"/>
    </w:rPr>
  </w:style>
  <w:style w:type="paragraph" w:styleId="1085">
    <w:name w:val="目录 4"/>
    <w:basedOn w:val="1030"/>
    <w:next w:val="1030"/>
    <w:link w:val="1030"/>
    <w:qFormat/>
    <w:pPr>
      <w:ind w:left="1260"/>
    </w:pPr>
  </w:style>
  <w:style w:type="paragraph" w:styleId="1086">
    <w:name w:val="目录 6"/>
    <w:basedOn w:val="1030"/>
    <w:next w:val="1030"/>
    <w:link w:val="1030"/>
    <w:qFormat/>
    <w:pPr>
      <w:ind w:left="2100"/>
    </w:pPr>
  </w:style>
  <w:style w:type="paragraph" w:styleId="1087">
    <w:name w:val="正文文本缩进 3"/>
    <w:basedOn w:val="1030"/>
    <w:next w:val="1087"/>
    <w:link w:val="1088"/>
    <w:qFormat/>
    <w:pPr>
      <w:ind w:left="720" w:firstLine="480"/>
      <w:jc w:val="left"/>
      <w:spacing w:before="120" w:line="22" w:lineRule="atLeast"/>
    </w:pPr>
    <w:rPr>
      <w:rFonts w:ascii="宋体"/>
      <w:sz w:val="24"/>
      <w:szCs w:val="20"/>
    </w:rPr>
  </w:style>
  <w:style w:type="character" w:styleId="1088">
    <w:name w:val="正文文本缩进 3 Char"/>
    <w:next w:val="1088"/>
    <w:link w:val="1087"/>
    <w:qFormat/>
    <w:rPr>
      <w:rFonts w:ascii="宋体"/>
      <w:sz w:val="24"/>
    </w:rPr>
  </w:style>
  <w:style w:type="paragraph" w:styleId="1089">
    <w:name w:val="目录 2"/>
    <w:basedOn w:val="1030"/>
    <w:next w:val="1030"/>
    <w:link w:val="1030"/>
    <w:uiPriority w:val="39"/>
    <w:qFormat/>
    <w:pPr>
      <w:ind w:left="420"/>
      <w:spacing w:line="312" w:lineRule="auto"/>
      <w:tabs>
        <w:tab w:val="right" w:pos="8937" w:leader="dot"/>
      </w:tabs>
    </w:pPr>
  </w:style>
  <w:style w:type="paragraph" w:styleId="1090">
    <w:name w:val="目录 9"/>
    <w:basedOn w:val="1030"/>
    <w:next w:val="1030"/>
    <w:link w:val="1030"/>
    <w:qFormat/>
    <w:pPr>
      <w:ind w:left="3360"/>
    </w:pPr>
  </w:style>
  <w:style w:type="paragraph" w:styleId="1091">
    <w:name w:val="正文文本 2"/>
    <w:basedOn w:val="1030"/>
    <w:next w:val="1062"/>
    <w:link w:val="1030"/>
    <w:qFormat/>
    <w:pPr>
      <w:jc w:val="both"/>
      <w:spacing w:after="120" w:line="480" w:lineRule="auto"/>
      <w:widowControl w:val="off"/>
    </w:pPr>
    <w:rPr>
      <w:sz w:val="21"/>
    </w:rPr>
  </w:style>
  <w:style w:type="paragraph" w:styleId="1092">
    <w:name w:val="HTML 预设格式"/>
    <w:basedOn w:val="1030"/>
    <w:next w:val="1092"/>
    <w:link w:val="10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3">
    <w:name w:val="HTML 预设格式 Char"/>
    <w:next w:val="1093"/>
    <w:link w:val="1092"/>
    <w:qFormat/>
    <w:rPr>
      <w:rFonts w:ascii="宋体" w:hAnsi="宋体" w:cs="宋体"/>
      <w:sz w:val="24"/>
      <w:szCs w:val="24"/>
    </w:rPr>
  </w:style>
  <w:style w:type="paragraph" w:styleId="1094">
    <w:name w:val="普通(网站)"/>
    <w:basedOn w:val="1030"/>
    <w:next w:val="1094"/>
    <w:link w:val="1030"/>
    <w:uiPriority w:val="99"/>
    <w:unhideWhenUsed/>
    <w:qFormat/>
    <w:pPr>
      <w:jc w:val="left"/>
      <w:spacing w:before="100" w:beforeAutospacing="1" w:after="100" w:afterAutospacing="1"/>
      <w:widowControl/>
    </w:pPr>
    <w:rPr>
      <w:rFonts w:ascii="宋体" w:hAnsi="宋体" w:cs="宋体"/>
      <w:sz w:val="24"/>
    </w:rPr>
  </w:style>
  <w:style w:type="paragraph" w:styleId="1095">
    <w:name w:val="索引 1"/>
    <w:basedOn w:val="1030"/>
    <w:next w:val="1030"/>
    <w:link w:val="1030"/>
    <w:qFormat/>
    <w:rPr>
      <w:szCs w:val="20"/>
    </w:rPr>
  </w:style>
  <w:style w:type="paragraph" w:styleId="1096">
    <w:name w:val="标题"/>
    <w:basedOn w:val="1030"/>
    <w:next w:val="1030"/>
    <w:link w:val="1097"/>
    <w:qFormat/>
    <w:pPr>
      <w:jc w:val="center"/>
      <w:outlineLvl w:val="0"/>
    </w:pPr>
    <w:rPr>
      <w:b/>
      <w:sz w:val="32"/>
      <w:szCs w:val="20"/>
    </w:rPr>
  </w:style>
  <w:style w:type="character" w:styleId="1097">
    <w:name w:val="标题 Char1"/>
    <w:next w:val="1097"/>
    <w:link w:val="1096"/>
    <w:qFormat/>
    <w:rPr>
      <w:b/>
      <w:sz w:val="32"/>
    </w:rPr>
  </w:style>
  <w:style w:type="paragraph" w:styleId="1098">
    <w:name w:val="批注主题"/>
    <w:basedOn w:val="1058"/>
    <w:next w:val="1058"/>
    <w:link w:val="1099"/>
    <w:qFormat/>
    <w:rPr>
      <w:b/>
      <w:bCs/>
    </w:rPr>
  </w:style>
  <w:style w:type="character" w:styleId="1099">
    <w:name w:val="批注主题 Char"/>
    <w:next w:val="1099"/>
    <w:link w:val="1098"/>
    <w:qFormat/>
    <w:rPr>
      <w:rFonts w:ascii="Times New Roman" w:hAnsi="Times New Roman" w:eastAsia="宋体" w:cs="Times New Roman"/>
      <w:b/>
      <w:bCs/>
      <w:sz w:val="21"/>
      <w:szCs w:val="24"/>
      <w:lang w:val="en-US" w:eastAsia="zh-CN" w:bidi="ar-SA"/>
    </w:rPr>
  </w:style>
  <w:style w:type="paragraph" w:styleId="1100">
    <w:name w:val="正文首行缩进 2"/>
    <w:basedOn w:val="1030"/>
    <w:next w:val="1030"/>
    <w:link w:val="1101"/>
    <w:qFormat/>
    <w:pPr>
      <w:ind w:left="420" w:firstLine="420"/>
      <w:spacing w:after="120" w:line="480" w:lineRule="exact"/>
    </w:pPr>
    <w:rPr>
      <w:sz w:val="24"/>
    </w:rPr>
  </w:style>
  <w:style w:type="character" w:styleId="1101">
    <w:name w:val="正文首行缩进 2 Char"/>
    <w:next w:val="1101"/>
    <w:link w:val="1100"/>
    <w:qFormat/>
    <w:rPr>
      <w:rFonts w:eastAsia="宋体"/>
      <w:sz w:val="24"/>
      <w:szCs w:val="24"/>
      <w:lang w:val="en-US" w:eastAsia="zh-CN" w:bidi="ar-SA"/>
    </w:rPr>
  </w:style>
  <w:style w:type="table" w:styleId="1102">
    <w:name w:val="网格型"/>
    <w:basedOn w:val="1041"/>
    <w:next w:val="1102"/>
    <w:link w:val="1030"/>
    <w:qFormat/>
    <w:tblPr/>
  </w:style>
  <w:style w:type="table" w:styleId="1103">
    <w:name w:val="中等深浅网格 1 - 强调文字颜色 2"/>
    <w:basedOn w:val="1041"/>
    <w:next w:val="1103"/>
    <w:link w:val="1030"/>
    <w:qFormat/>
    <w:rPr>
      <w:sz w:val="21"/>
      <w:szCs w:val="24"/>
    </w:rPr>
    <w:tblPr/>
  </w:style>
  <w:style w:type="character" w:styleId="1104">
    <w:name w:val="要点"/>
    <w:next w:val="1104"/>
    <w:link w:val="1030"/>
    <w:qFormat/>
    <w:rPr>
      <w:b/>
      <w:bCs/>
    </w:rPr>
  </w:style>
  <w:style w:type="character" w:styleId="1105">
    <w:name w:val="页码"/>
    <w:next w:val="1105"/>
    <w:link w:val="1030"/>
    <w:qFormat/>
  </w:style>
  <w:style w:type="character" w:styleId="1106">
    <w:name w:val="已访问的超链接"/>
    <w:next w:val="1106"/>
    <w:link w:val="1030"/>
    <w:qFormat/>
    <w:rPr>
      <w:color w:val="800080"/>
      <w:u w:val="single"/>
    </w:rPr>
  </w:style>
  <w:style w:type="character" w:styleId="1107">
    <w:name w:val="强调"/>
    <w:next w:val="1107"/>
    <w:link w:val="1030"/>
    <w:qFormat/>
    <w:rPr>
      <w:color w:val="cc0033"/>
    </w:rPr>
  </w:style>
  <w:style w:type="character" w:styleId="1108">
    <w:name w:val="超链接"/>
    <w:next w:val="1108"/>
    <w:link w:val="1030"/>
    <w:uiPriority w:val="99"/>
    <w:qFormat/>
    <w:rPr>
      <w:color w:val="0000ff"/>
      <w:u w:val="single"/>
    </w:rPr>
  </w:style>
  <w:style w:type="character" w:styleId="1109">
    <w:name w:val="批注引用"/>
    <w:next w:val="1109"/>
    <w:link w:val="1030"/>
    <w:uiPriority w:val="99"/>
    <w:qFormat/>
    <w:rPr>
      <w:sz w:val="21"/>
      <w:szCs w:val="21"/>
    </w:rPr>
  </w:style>
  <w:style w:type="character" w:styleId="1110">
    <w:name w:val="HTML 引文"/>
    <w:next w:val="1110"/>
    <w:link w:val="1030"/>
    <w:qFormat/>
    <w:rPr>
      <w:i/>
      <w:iCs/>
    </w:rPr>
  </w:style>
  <w:style w:type="character" w:styleId="1111">
    <w:name w:val="批注文字 字符"/>
    <w:next w:val="1111"/>
    <w:link w:val="1030"/>
    <w:uiPriority w:val="99"/>
    <w:qFormat/>
    <w:rPr>
      <w:rFonts w:ascii="Times New Roman" w:hAnsi="Times New Roman" w:eastAsia="宋体" w:cs="Times New Roman"/>
      <w:sz w:val="24"/>
      <w:lang w:val="en-US" w:eastAsia="zh-CN" w:bidi="ar-SA"/>
    </w:rPr>
  </w:style>
  <w:style w:type="paragraph" w:styleId="1112">
    <w:name w:val="Default"/>
    <w:next w:val="1112"/>
    <w:link w:val="1030"/>
    <w:qFormat/>
    <w:pPr>
      <w:widowControl w:val="off"/>
    </w:pPr>
    <w:rPr>
      <w:rFonts w:ascii="Symbol" w:hAnsi="Symbol" w:cs="Symbol"/>
      <w:color w:val="000000"/>
      <w:sz w:val="24"/>
      <w:szCs w:val="24"/>
      <w:lang w:val="en-US" w:eastAsia="zh-CN" w:bidi="ar-SA"/>
    </w:rPr>
  </w:style>
  <w:style w:type="character" w:styleId="1113">
    <w:name w:val="c21"/>
    <w:next w:val="1113"/>
    <w:link w:val="1030"/>
    <w:qFormat/>
    <w:rPr>
      <w:rFonts w:ascii="ˎ̥" w:hAnsi="ˎ̥"/>
      <w:color w:val="000000"/>
      <w:sz w:val="20"/>
      <w:szCs w:val="20"/>
      <w:u w:val="none"/>
    </w:rPr>
  </w:style>
  <w:style w:type="character" w:styleId="1114">
    <w:name w:val="title4"/>
    <w:next w:val="1114"/>
    <w:link w:val="1030"/>
    <w:qFormat/>
    <w:rPr>
      <w:b/>
      <w:bCs/>
      <w:color w:val="1d87b3"/>
      <w:sz w:val="15"/>
      <w:szCs w:val="15"/>
    </w:rPr>
  </w:style>
  <w:style w:type="character" w:styleId="1115">
    <w:name w:val="标题 2 Char Char"/>
    <w:next w:val="1115"/>
    <w:link w:val="1030"/>
    <w:qFormat/>
    <w:rPr>
      <w:rFonts w:ascii="Arial" w:hAnsi="Arial" w:eastAsia="黑体"/>
      <w:b/>
      <w:bCs/>
      <w:sz w:val="32"/>
      <w:szCs w:val="32"/>
      <w:lang w:val="en-US" w:eastAsia="zh-CN" w:bidi="ar-SA"/>
    </w:rPr>
  </w:style>
  <w:style w:type="character" w:styleId="1116">
    <w:name w:val="black1"/>
    <w:next w:val="1116"/>
    <w:link w:val="1030"/>
    <w:qFormat/>
    <w:rPr>
      <w:color w:val="000000"/>
    </w:rPr>
  </w:style>
  <w:style w:type="character" w:styleId="1117">
    <w:name w:val="street-address"/>
    <w:next w:val="1117"/>
    <w:link w:val="1030"/>
    <w:qFormat/>
  </w:style>
  <w:style w:type="character" w:styleId="1118">
    <w:name w:val="locality"/>
    <w:next w:val="1118"/>
    <w:link w:val="1030"/>
    <w:qFormat/>
  </w:style>
  <w:style w:type="character" w:styleId="1119">
    <w:name w:val="正文文本缩进 Char1"/>
    <w:next w:val="1119"/>
    <w:link w:val="1120"/>
    <w:qFormat/>
    <w:rPr>
      <w:rFonts w:ascii="宋体" w:hAnsi="宋体" w:eastAsia="宋体"/>
      <w:sz w:val="24"/>
      <w:szCs w:val="24"/>
      <w:lang w:bidi="ar-SA"/>
    </w:rPr>
  </w:style>
  <w:style w:type="paragraph" w:styleId="1120">
    <w:name w:val="正文文本缩进1"/>
    <w:basedOn w:val="1030"/>
    <w:next w:val="1120"/>
    <w:link w:val="1119"/>
    <w:qFormat/>
    <w:pPr>
      <w:ind w:firstLine="480"/>
      <w:spacing w:line="480" w:lineRule="exact"/>
    </w:pPr>
    <w:rPr>
      <w:rFonts w:ascii="宋体" w:hAnsi="宋体"/>
      <w:sz w:val="24"/>
    </w:rPr>
  </w:style>
  <w:style w:type="character" w:styleId="1121">
    <w:name w:val="Char Char11"/>
    <w:next w:val="1121"/>
    <w:link w:val="1030"/>
    <w:qFormat/>
    <w:rPr>
      <w:rFonts w:ascii="宋体" w:eastAsia="宋体"/>
      <w:b/>
      <w:sz w:val="24"/>
      <w:u w:val="single"/>
      <w:lang w:val="en-US" w:eastAsia="zh-CN" w:bidi="ar-SA"/>
    </w:rPr>
  </w:style>
  <w:style w:type="character" w:styleId="1122">
    <w:name w:val="txt"/>
    <w:next w:val="1122"/>
    <w:link w:val="1030"/>
    <w:qFormat/>
  </w:style>
  <w:style w:type="character" w:styleId="1123">
    <w:name w:val="正文缩进 Char Char"/>
    <w:next w:val="1123"/>
    <w:link w:val="1124"/>
    <w:qFormat/>
    <w:rPr>
      <w:rFonts w:ascii="宋体" w:eastAsia="宋体"/>
      <w:color w:val="000000"/>
      <w:sz w:val="28"/>
      <w:lang w:bidi="ar-SA"/>
    </w:rPr>
  </w:style>
  <w:style w:type="paragraph" w:styleId="1124">
    <w:name w:val="正文缩进1"/>
    <w:basedOn w:val="1030"/>
    <w:next w:val="1124"/>
    <w:link w:val="1123"/>
    <w:qFormat/>
    <w:pPr>
      <w:ind w:firstLine="567"/>
      <w:spacing w:line="480" w:lineRule="exact"/>
      <w:widowControl/>
    </w:pPr>
    <w:rPr>
      <w:rFonts w:ascii="宋体"/>
      <w:color w:val="000000"/>
      <w:sz w:val="28"/>
      <w:szCs w:val="20"/>
    </w:rPr>
  </w:style>
  <w:style w:type="character" w:styleId="1125">
    <w:name w:val="普通文字1 Char1"/>
    <w:next w:val="1125"/>
    <w:link w:val="1030"/>
    <w:qFormat/>
    <w:rPr>
      <w:rFonts w:ascii="宋体" w:hAnsi="Courier New" w:eastAsia="宋体"/>
      <w:sz w:val="21"/>
      <w:lang w:val="en-US" w:eastAsia="zh-CN" w:bidi="ar-SA"/>
    </w:rPr>
  </w:style>
  <w:style w:type="character" w:styleId="1126">
    <w:name w:val="chanpin1"/>
    <w:next w:val="1126"/>
    <w:link w:val="1030"/>
    <w:qFormat/>
    <w:rPr>
      <w:rFonts w:ascii="ˎ̥" w:hAnsi="ˎ̥"/>
      <w:color w:val="000000"/>
      <w:sz w:val="20"/>
      <w:szCs w:val="20"/>
      <w:u w:val="none"/>
    </w:rPr>
  </w:style>
  <w:style w:type="character" w:styleId="1127">
    <w:name w:val="列出段落 Char1"/>
    <w:next w:val="1127"/>
    <w:link w:val="1128"/>
    <w:uiPriority w:val="34"/>
    <w:qFormat/>
    <w:rPr>
      <w:rFonts w:ascii="Calibri" w:hAnsi="Calibri" w:eastAsia="宋体"/>
      <w:sz w:val="21"/>
      <w:szCs w:val="22"/>
      <w:lang w:val="en-US" w:eastAsia="zh-CN" w:bidi="ar-SA"/>
    </w:rPr>
  </w:style>
  <w:style w:type="paragraph" w:styleId="1128">
    <w:name w:val="列出段落"/>
    <w:basedOn w:val="1030"/>
    <w:next w:val="1128"/>
    <w:link w:val="1127"/>
    <w:uiPriority w:val="34"/>
    <w:qFormat/>
    <w:pPr>
      <w:ind w:firstLine="420"/>
    </w:pPr>
    <w:rPr>
      <w:rFonts w:ascii="Calibri" w:hAnsi="Calibri"/>
      <w:szCs w:val="22"/>
    </w:rPr>
  </w:style>
  <w:style w:type="character" w:styleId="1129">
    <w:name w:val="标题 3 Char Char"/>
    <w:next w:val="1129"/>
    <w:link w:val="1030"/>
    <w:qFormat/>
    <w:rPr>
      <w:rFonts w:eastAsia="宋体"/>
      <w:b/>
      <w:bCs/>
      <w:sz w:val="32"/>
      <w:szCs w:val="32"/>
      <w:lang w:val="en-US" w:eastAsia="zh-CN" w:bidi="ar-SA"/>
    </w:rPr>
  </w:style>
  <w:style w:type="character" w:styleId="1130">
    <w:name w:val="段1 Char"/>
    <w:next w:val="1130"/>
    <w:link w:val="1030"/>
    <w:qFormat/>
    <w:rPr>
      <w:rFonts w:ascii="宋体" w:eastAsia="宋体"/>
      <w:sz w:val="24"/>
      <w:lang w:val="en-US" w:eastAsia="zh-CN" w:bidi="ar-SA"/>
    </w:rPr>
  </w:style>
  <w:style w:type="character" w:styleId="1131">
    <w:name w:val="chanpin拷贝"/>
    <w:next w:val="1131"/>
    <w:link w:val="1030"/>
    <w:qFormat/>
  </w:style>
  <w:style w:type="character" w:styleId="1132">
    <w:name w:val="纯文本 Char1"/>
    <w:next w:val="1132"/>
    <w:link w:val="1030"/>
    <w:qFormat/>
    <w:rPr>
      <w:rFonts w:ascii="宋体" w:hAnsi="Courier New" w:eastAsia="宋体"/>
      <w:sz w:val="21"/>
      <w:lang w:val="en-US" w:eastAsia="zh-CN" w:bidi="ar-SA"/>
    </w:rPr>
  </w:style>
  <w:style w:type="character" w:styleId="1133">
    <w:name w:val="apple-style-span"/>
    <w:next w:val="1133"/>
    <w:link w:val="1030"/>
    <w:qFormat/>
    <w:rPr>
      <w:rFonts w:cs="Times New Roman"/>
    </w:rPr>
  </w:style>
  <w:style w:type="paragraph" w:styleId="1134">
    <w:name w:val="二级条标题"/>
    <w:basedOn w:val="1135"/>
    <w:next w:val="1030"/>
    <w:link w:val="1030"/>
    <w:qFormat/>
    <w:pPr>
      <w:numPr>
        <w:ilvl w:val="0"/>
        <w:numId w:val="0"/>
      </w:numPr>
      <w:ind w:hanging="840"/>
      <w:tabs>
        <w:tab w:val="left" w:pos="360" w:leader="none"/>
        <w:tab w:val="left" w:pos="840" w:leader="none"/>
      </w:tabs>
      <w:outlineLvl w:val="2"/>
    </w:pPr>
    <w:rPr>
      <w:rFonts w:ascii="宋体" w:eastAsia="宋体"/>
      <w:b w:val="0"/>
    </w:rPr>
  </w:style>
  <w:style w:type="paragraph" w:styleId="1135">
    <w:name w:val="一级条标题"/>
    <w:basedOn w:val="1136"/>
    <w:next w:val="1030"/>
    <w:link w:val="1030"/>
    <w:qFormat/>
    <w:pPr>
      <w:numPr>
        <w:ilvl w:val="1"/>
      </w:numPr>
      <w:ind w:left="0" w:hanging="840"/>
      <w:tabs>
        <w:tab w:val="left" w:pos="360" w:leader="none"/>
        <w:tab w:val="left" w:pos="840" w:leader="none"/>
      </w:tabs>
      <w:outlineLvl w:val="1"/>
    </w:pPr>
  </w:style>
  <w:style w:type="paragraph" w:styleId="1136">
    <w:name w:val="章标题"/>
    <w:next w:val="1030"/>
    <w:link w:val="103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7">
    <w:name w:val="font7"/>
    <w:basedOn w:val="1030"/>
    <w:next w:val="1137"/>
    <w:link w:val="1030"/>
    <w:qFormat/>
    <w:pPr>
      <w:jc w:val="left"/>
      <w:spacing w:before="100" w:beforeAutospacing="1" w:after="100" w:afterAutospacing="1"/>
      <w:widowControl/>
    </w:pPr>
    <w:rPr>
      <w:rFonts w:eastAsia="Arial Unicode MS"/>
      <w:b/>
      <w:bCs/>
      <w:color w:val="000000"/>
      <w:sz w:val="20"/>
      <w:szCs w:val="20"/>
    </w:rPr>
  </w:style>
  <w:style w:type="paragraph" w:styleId="1138">
    <w:name w:val="字元 字元"/>
    <w:basedOn w:val="1030"/>
    <w:next w:val="1138"/>
    <w:link w:val="1030"/>
    <w:qFormat/>
    <w:rPr>
      <w:rFonts w:ascii="Tahoma" w:hAnsi="Tahoma"/>
      <w:sz w:val="24"/>
      <w:szCs w:val="20"/>
    </w:rPr>
  </w:style>
  <w:style w:type="paragraph" w:styleId="1139">
    <w:name w:val="Char3 Char Char Char"/>
    <w:basedOn w:val="1030"/>
    <w:next w:val="1139"/>
    <w:link w:val="1030"/>
    <w:qFormat/>
    <w:rPr>
      <w:rFonts w:ascii="Tahoma" w:hAnsi="Tahoma"/>
      <w:sz w:val="24"/>
      <w:szCs w:val="20"/>
    </w:rPr>
  </w:style>
  <w:style w:type="paragraph" w:styleId="1140">
    <w:name w:val="font6"/>
    <w:basedOn w:val="1030"/>
    <w:next w:val="1140"/>
    <w:link w:val="1030"/>
    <w:qFormat/>
    <w:pPr>
      <w:jc w:val="left"/>
      <w:spacing w:before="100" w:beforeAutospacing="1" w:after="100" w:afterAutospacing="1"/>
      <w:widowControl/>
    </w:pPr>
    <w:rPr>
      <w:rFonts w:ascii="宋体" w:hAnsi="宋体" w:cs="宋体"/>
      <w:sz w:val="20"/>
      <w:szCs w:val="20"/>
    </w:rPr>
  </w:style>
  <w:style w:type="paragraph" w:styleId="1141">
    <w:name w:val="项目编号2"/>
    <w:basedOn w:val="1142"/>
    <w:next w:val="1141"/>
    <w:link w:val="1030"/>
    <w:qFormat/>
    <w:pPr>
      <w:numPr>
        <w:numId w:val="3"/>
      </w:numPr>
    </w:pPr>
  </w:style>
  <w:style w:type="paragraph" w:styleId="1142">
    <w:name w:val="项目编号1"/>
    <w:basedOn w:val="1030"/>
    <w:next w:val="1142"/>
    <w:link w:val="1030"/>
    <w:qFormat/>
    <w:pPr>
      <w:numPr>
        <w:ilvl w:val="0"/>
        <w:numId w:val="2"/>
      </w:numPr>
      <w:spacing w:before="100" w:beforeAutospacing="1" w:after="100" w:afterAutospacing="1" w:line="360" w:lineRule="auto"/>
    </w:pPr>
    <w:rPr>
      <w:sz w:val="24"/>
    </w:rPr>
  </w:style>
  <w:style w:type="paragraph" w:styleId="1143">
    <w:name w:val="图中文字"/>
    <w:basedOn w:val="1030"/>
    <w:next w:val="1143"/>
    <w:link w:val="1030"/>
    <w:qFormat/>
    <w:pPr>
      <w:jc w:val="center"/>
      <w:spacing w:line="0" w:lineRule="atLeast"/>
    </w:pPr>
    <w:rPr>
      <w:sz w:val="24"/>
      <w:szCs w:val="20"/>
    </w:rPr>
  </w:style>
  <w:style w:type="paragraph" w:styleId="1144">
    <w:name w:val="xl46"/>
    <w:basedOn w:val="1030"/>
    <w:next w:val="1144"/>
    <w:link w:val="103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5">
    <w:name w:val="xl25"/>
    <w:basedOn w:val="1030"/>
    <w:next w:val="1145"/>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Char2"/>
    <w:basedOn w:val="1030"/>
    <w:next w:val="1146"/>
    <w:link w:val="1030"/>
    <w:qFormat/>
    <w:rPr>
      <w:rFonts w:ascii="Tahoma" w:hAnsi="Tahoma"/>
      <w:sz w:val="24"/>
      <w:szCs w:val="20"/>
    </w:rPr>
  </w:style>
  <w:style w:type="paragraph" w:styleId="1147">
    <w:name w:val="xl35"/>
    <w:basedOn w:val="1030"/>
    <w:next w:val="1147"/>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xl40"/>
    <w:basedOn w:val="1030"/>
    <w:next w:val="1148"/>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52"/>
    <w:basedOn w:val="1030"/>
    <w:next w:val="114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0">
    <w:name w:val="xl43"/>
    <w:basedOn w:val="1030"/>
    <w:next w:val="1150"/>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background1"/>
    <w:basedOn w:val="1030"/>
    <w:next w:val="1151"/>
    <w:link w:val="1030"/>
    <w:qFormat/>
    <w:pPr>
      <w:jc w:val="left"/>
      <w:spacing w:before="100" w:beforeAutospacing="1" w:after="100" w:afterAutospacing="1"/>
      <w:widowControl/>
    </w:pPr>
    <w:rPr>
      <w:rFonts w:ascii="宋体" w:hAnsi="宋体" w:cs="宋体"/>
      <w:sz w:val="24"/>
    </w:rPr>
  </w:style>
  <w:style w:type="paragraph" w:styleId="1152">
    <w:name w:val="Char Char Char Char Char Char Char"/>
    <w:basedOn w:val="1030"/>
    <w:next w:val="1152"/>
    <w:link w:val="1030"/>
    <w:qFormat/>
    <w:pPr>
      <w:ind w:firstLine="200"/>
      <w:spacing w:line="360" w:lineRule="auto"/>
    </w:pPr>
    <w:rPr>
      <w:rFonts w:eastAsia="仿宋_GB2312"/>
      <w:sz w:val="24"/>
    </w:rPr>
  </w:style>
  <w:style w:type="paragraph" w:styleId="1153">
    <w:name w:val="xl38"/>
    <w:basedOn w:val="1030"/>
    <w:next w:val="115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4">
    <w:name w:val="xl36"/>
    <w:basedOn w:val="1030"/>
    <w:next w:val="1154"/>
    <w:link w:val="103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name w:val="正文 + 宋体"/>
    <w:basedOn w:val="1030"/>
    <w:next w:val="1155"/>
    <w:link w:val="1030"/>
    <w:qFormat/>
    <w:pPr>
      <w:ind w:left="360" w:hanging="360"/>
      <w:jc w:val="left"/>
      <w:widowControl/>
    </w:pPr>
    <w:rPr>
      <w:rFonts w:ascii="宋体" w:hAnsi="宋体" w:cs="宋体"/>
      <w:b/>
      <w:bCs/>
      <w:color w:val="000000"/>
      <w:sz w:val="18"/>
      <w:szCs w:val="18"/>
    </w:rPr>
  </w:style>
  <w:style w:type="paragraph" w:styleId="1156">
    <w:name w:val="正文列项_数字"/>
    <w:basedOn w:val="1030"/>
    <w:next w:val="1156"/>
    <w:link w:val="1030"/>
    <w:qFormat/>
    <w:pPr>
      <w:numPr>
        <w:ilvl w:val="7"/>
        <w:numId w:val="1"/>
      </w:numPr>
      <w:ind w:left="680" w:hanging="150"/>
      <w:spacing w:line="460" w:lineRule="exact"/>
      <w:tabs>
        <w:tab w:val="clear" w:pos="860" w:leader="none"/>
      </w:tabs>
      <w:outlineLvl w:val="7"/>
    </w:pPr>
    <w:rPr>
      <w:rFonts w:ascii="宋体"/>
      <w:sz w:val="28"/>
      <w:szCs w:val="20"/>
    </w:rPr>
  </w:style>
  <w:style w:type="paragraph" w:styleId="1157">
    <w:name w:val="xl39"/>
    <w:basedOn w:val="1030"/>
    <w:next w:val="115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37"/>
    <w:basedOn w:val="1030"/>
    <w:next w:val="1158"/>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9">
    <w:name w:val="xl32"/>
    <w:basedOn w:val="1030"/>
    <w:next w:val="115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font8"/>
    <w:basedOn w:val="1030"/>
    <w:next w:val="1160"/>
    <w:link w:val="1030"/>
    <w:qFormat/>
    <w:pPr>
      <w:jc w:val="left"/>
      <w:spacing w:before="100" w:beforeAutospacing="1" w:after="100" w:afterAutospacing="1"/>
      <w:widowControl/>
    </w:pPr>
    <w:rPr>
      <w:sz w:val="36"/>
      <w:szCs w:val="36"/>
    </w:rPr>
  </w:style>
  <w:style w:type="paragraph" w:styleId="1161">
    <w:name w:val="Char"/>
    <w:basedOn w:val="1030"/>
    <w:next w:val="1161"/>
    <w:link w:val="1030"/>
    <w:qFormat/>
    <w:pPr>
      <w:tabs>
        <w:tab w:val="left" w:pos="360" w:leader="none"/>
      </w:tabs>
    </w:pPr>
    <w:rPr>
      <w:sz w:val="24"/>
    </w:rPr>
  </w:style>
  <w:style w:type="paragraph" w:styleId="1162">
    <w:name w:val="Char Char Char Char Char Char Char Char Char Char Char Char Char Char Char Char"/>
    <w:basedOn w:val="1030"/>
    <w:next w:val="1162"/>
    <w:link w:val="1030"/>
    <w:qFormat/>
    <w:pPr>
      <w:jc w:val="center"/>
      <w:spacing w:after="160" w:line="240" w:lineRule="exact"/>
      <w:widowControl/>
    </w:pPr>
    <w:rPr>
      <w:rFonts w:ascii="宋体" w:hAnsi="宋体"/>
      <w:b/>
      <w:sz w:val="30"/>
      <w:szCs w:val="30"/>
      <w:lang w:eastAsia="en-US"/>
    </w:rPr>
  </w:style>
  <w:style w:type="paragraph" w:styleId="1163">
    <w:name w:val="xl45"/>
    <w:basedOn w:val="1030"/>
    <w:next w:val="1163"/>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4">
    <w:name w:val="Char Char1 Char Char Char Char Char Char"/>
    <w:basedOn w:val="1030"/>
    <w:next w:val="1164"/>
    <w:link w:val="1030"/>
    <w:qFormat/>
    <w:pPr>
      <w:jc w:val="left"/>
      <w:spacing w:after="160" w:line="240" w:lineRule="exact"/>
      <w:widowControl/>
    </w:pPr>
    <w:rPr>
      <w:rFonts w:ascii="Verdana" w:hAnsi="Verdana" w:eastAsia="仿宋_GB2312"/>
      <w:sz w:val="24"/>
      <w:szCs w:val="20"/>
      <w:lang w:eastAsia="en-US"/>
    </w:rPr>
  </w:style>
  <w:style w:type="paragraph" w:styleId="1165">
    <w:name w:val="Char Char1"/>
    <w:basedOn w:val="1056"/>
    <w:next w:val="1165"/>
    <w:link w:val="1030"/>
    <w:qFormat/>
    <w:rPr>
      <w:rFonts w:ascii="Tahoma" w:hAnsi="Tahoma"/>
      <w:sz w:val="24"/>
    </w:rPr>
  </w:style>
  <w:style w:type="paragraph" w:styleId="1166">
    <w:name w:val="xl26"/>
    <w:basedOn w:val="1030"/>
    <w:next w:val="1166"/>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7">
    <w:name w:val="xl30"/>
    <w:basedOn w:val="1030"/>
    <w:next w:val="116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41"/>
    <w:basedOn w:val="1030"/>
    <w:next w:val="1168"/>
    <w:link w:val="10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9">
    <w:name w:val="样式 宋体 五号 行距: 单倍行距"/>
    <w:basedOn w:val="1030"/>
    <w:next w:val="1169"/>
    <w:link w:val="1030"/>
    <w:qFormat/>
    <w:pPr>
      <w:jc w:val="left"/>
    </w:pPr>
    <w:rPr>
      <w:rFonts w:ascii="宋体" w:hAnsi="宋体"/>
      <w:szCs w:val="20"/>
    </w:rPr>
  </w:style>
  <w:style w:type="paragraph" w:styleId="1170">
    <w:name w:val="Char1 Char Char Char1"/>
    <w:basedOn w:val="1030"/>
    <w:next w:val="1170"/>
    <w:link w:val="1030"/>
    <w:qFormat/>
    <w:rPr>
      <w:rFonts w:ascii="Tahoma" w:hAnsi="Tahoma" w:cs="仿宋_GB2312"/>
      <w:sz w:val="24"/>
      <w:szCs w:val="28"/>
    </w:rPr>
  </w:style>
  <w:style w:type="paragraph" w:styleId="1171">
    <w:name w:val="四级条标题"/>
    <w:basedOn w:val="1172"/>
    <w:next w:val="1030"/>
    <w:link w:val="1030"/>
    <w:qFormat/>
    <w:pPr>
      <w:numPr>
        <w:ilvl w:val="4"/>
      </w:numPr>
      <w:ind w:left="0" w:hanging="840"/>
      <w:tabs>
        <w:tab w:val="left" w:pos="360" w:leader="none"/>
        <w:tab w:val="left" w:pos="840" w:leader="none"/>
      </w:tabs>
      <w:outlineLvl w:val="4"/>
    </w:pPr>
  </w:style>
  <w:style w:type="paragraph" w:styleId="1172">
    <w:name w:val="三级条标题"/>
    <w:basedOn w:val="1134"/>
    <w:next w:val="1030"/>
    <w:link w:val="1030"/>
    <w:qFormat/>
    <w:pPr>
      <w:numPr>
        <w:ilvl w:val="3"/>
        <w:numId w:val="1"/>
      </w:numPr>
      <w:ind w:left="0" w:hanging="840"/>
      <w:tabs>
        <w:tab w:val="left" w:pos="360" w:leader="none"/>
        <w:tab w:val="left" w:pos="840" w:leader="none"/>
      </w:tabs>
      <w:outlineLvl w:val="3"/>
    </w:pPr>
  </w:style>
  <w:style w:type="paragraph" w:styleId="1173">
    <w:name w:val="??"/>
    <w:next w:val="1173"/>
    <w:link w:val="1030"/>
    <w:qFormat/>
    <w:pPr>
      <w:jc w:val="both"/>
      <w:widowControl w:val="off"/>
    </w:pPr>
    <w:rPr>
      <w:sz w:val="21"/>
      <w:lang w:val="en-US" w:eastAsia="en-US" w:bidi="ar-SA"/>
    </w:rPr>
  </w:style>
  <w:style w:type="paragraph" w:styleId="1174">
    <w:name w:val="样式 标题 2 + 宋体 五号 行距: 单倍行距"/>
    <w:basedOn w:val="1032"/>
    <w:next w:val="1174"/>
    <w:link w:val="103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5">
    <w:name w:val="List Paragraph1"/>
    <w:basedOn w:val="1030"/>
    <w:next w:val="1175"/>
    <w:link w:val="1030"/>
    <w:qFormat/>
    <w:pPr>
      <w:ind w:firstLine="420"/>
    </w:pPr>
    <w:rPr>
      <w:rFonts w:ascii="Calibri" w:hAnsi="Calibri"/>
      <w:szCs w:val="22"/>
    </w:rPr>
  </w:style>
  <w:style w:type="paragraph" w:styleId="1176">
    <w:name w:val="项目符号1"/>
    <w:basedOn w:val="1177"/>
    <w:next w:val="1176"/>
    <w:link w:val="1030"/>
    <w:qFormat/>
    <w:pPr>
      <w:ind w:left="-25" w:firstLine="0"/>
    </w:pPr>
  </w:style>
  <w:style w:type="paragraph" w:styleId="1177">
    <w:name w:val="正文文本样式"/>
    <w:basedOn w:val="1030"/>
    <w:next w:val="1177"/>
    <w:link w:val="1030"/>
    <w:qFormat/>
    <w:pPr>
      <w:ind w:firstLine="482"/>
      <w:spacing w:line="360" w:lineRule="auto"/>
    </w:pPr>
    <w:rPr>
      <w:rFonts w:cs="宋体"/>
      <w:sz w:val="24"/>
      <w:szCs w:val="20"/>
    </w:rPr>
  </w:style>
  <w:style w:type="paragraph" w:styleId="1178">
    <w:name w:val="xl27"/>
    <w:basedOn w:val="1030"/>
    <w:next w:val="117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font5"/>
    <w:basedOn w:val="1030"/>
    <w:next w:val="1179"/>
    <w:link w:val="1030"/>
    <w:qFormat/>
    <w:pPr>
      <w:jc w:val="left"/>
      <w:spacing w:before="100" w:beforeAutospacing="1" w:after="100" w:afterAutospacing="1"/>
      <w:widowControl/>
    </w:pPr>
    <w:rPr>
      <w:rFonts w:ascii="宋体" w:hAnsi="宋体" w:cs="宋体"/>
      <w:sz w:val="18"/>
      <w:szCs w:val="18"/>
    </w:rPr>
  </w:style>
  <w:style w:type="paragraph" w:styleId="1180">
    <w:name w:val="五级条标题"/>
    <w:basedOn w:val="1171"/>
    <w:next w:val="1030"/>
    <w:link w:val="1030"/>
    <w:qFormat/>
    <w:pPr>
      <w:numPr>
        <w:ilvl w:val="5"/>
      </w:numPr>
      <w:ind w:left="0" w:hanging="840"/>
      <w:tabs>
        <w:tab w:val="left" w:pos="360" w:leader="none"/>
        <w:tab w:val="left" w:pos="840" w:leader="none"/>
      </w:tabs>
      <w:outlineLvl w:val="5"/>
    </w:pPr>
  </w:style>
  <w:style w:type="paragraph" w:styleId="1181">
    <w:name w:val="xl49"/>
    <w:basedOn w:val="1030"/>
    <w:next w:val="1181"/>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2">
    <w:name w:val="文档正文"/>
    <w:basedOn w:val="1030"/>
    <w:next w:val="1182"/>
    <w:link w:val="1030"/>
    <w:qFormat/>
    <w:pPr>
      <w:spacing w:before="120" w:after="120" w:line="180" w:lineRule="auto"/>
    </w:pPr>
    <w:rPr>
      <w:rFonts w:ascii="Arial" w:hAnsi="Arial"/>
      <w:szCs w:val="20"/>
    </w:rPr>
  </w:style>
  <w:style w:type="paragraph" w:styleId="1183">
    <w:name w:val="xl33"/>
    <w:basedOn w:val="1030"/>
    <w:next w:val="118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4">
    <w:name w:val="xl42"/>
    <w:basedOn w:val="1030"/>
    <w:next w:val="118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5">
    <w:name w:val="Char Char Char1 Char"/>
    <w:basedOn w:val="1030"/>
    <w:next w:val="1185"/>
    <w:link w:val="1030"/>
    <w:qFormat/>
    <w:rPr>
      <w:rFonts w:ascii="Tahoma" w:hAnsi="Tahoma"/>
      <w:sz w:val="24"/>
      <w:szCs w:val="20"/>
    </w:rPr>
  </w:style>
  <w:style w:type="paragraph" w:styleId="1186">
    <w:name w:val="xl44"/>
    <w:basedOn w:val="1030"/>
    <w:next w:val="1186"/>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7">
    <w:name w:val="1名"/>
    <w:basedOn w:val="1030"/>
    <w:next w:val="1187"/>
    <w:link w:val="1030"/>
    <w:qFormat/>
    <w:pPr>
      <w:numPr>
        <w:ilvl w:val="0"/>
        <w:numId w:val="5"/>
      </w:numPr>
      <w:spacing w:before="120"/>
      <w:tabs>
        <w:tab w:val="left" w:pos="360" w:leader="none"/>
      </w:tabs>
    </w:pPr>
    <w:rPr>
      <w:rFonts w:ascii="宋体"/>
      <w:sz w:val="28"/>
      <w:szCs w:val="20"/>
    </w:rPr>
  </w:style>
  <w:style w:type="paragraph" w:styleId="1188">
    <w:name w:val="font9"/>
    <w:basedOn w:val="1030"/>
    <w:next w:val="1188"/>
    <w:link w:val="1030"/>
    <w:qFormat/>
    <w:pPr>
      <w:jc w:val="left"/>
      <w:spacing w:before="100" w:beforeAutospacing="1" w:after="100" w:afterAutospacing="1"/>
      <w:widowControl/>
    </w:pPr>
    <w:rPr>
      <w:rFonts w:hint="eastAsia" w:ascii="宋体" w:hAnsi="宋体" w:cs="Arial Unicode MS"/>
      <w:color w:val="000000"/>
      <w:sz w:val="20"/>
      <w:szCs w:val="20"/>
    </w:rPr>
  </w:style>
  <w:style w:type="paragraph" w:styleId="1189">
    <w:name w:val="Char Char Char1 Char1"/>
    <w:basedOn w:val="1030"/>
    <w:next w:val="1189"/>
    <w:link w:val="1030"/>
    <w:qFormat/>
    <w:rPr>
      <w:rFonts w:ascii="Tahoma" w:hAnsi="Tahoma"/>
      <w:sz w:val="24"/>
      <w:szCs w:val="20"/>
    </w:rPr>
  </w:style>
  <w:style w:type="paragraph" w:styleId="1190">
    <w:name w:val="Char Char Char Char Char Char Char Char Char Char"/>
    <w:basedOn w:val="1030"/>
    <w:next w:val="1190"/>
    <w:link w:val="1030"/>
    <w:qFormat/>
  </w:style>
  <w:style w:type="paragraph" w:styleId="1191">
    <w:name w:val="Char Char1 Char Char Char Char Char Char Char Char"/>
    <w:basedOn w:val="1030"/>
    <w:next w:val="1191"/>
    <w:link w:val="1030"/>
    <w:qFormat/>
    <w:pPr>
      <w:jc w:val="left"/>
      <w:spacing w:after="160" w:line="240" w:lineRule="exact"/>
      <w:widowControl/>
    </w:pPr>
    <w:rPr>
      <w:rFonts w:ascii="Verdana" w:hAnsi="Verdana"/>
      <w:sz w:val="20"/>
      <w:szCs w:val="20"/>
      <w:lang w:eastAsia="en-US"/>
    </w:rPr>
  </w:style>
  <w:style w:type="paragraph" w:styleId="1192">
    <w:name w:val="Char1"/>
    <w:basedOn w:val="1030"/>
    <w:next w:val="1192"/>
    <w:link w:val="1030"/>
    <w:qFormat/>
    <w:pPr>
      <w:tabs>
        <w:tab w:val="left" w:pos="360" w:leader="none"/>
      </w:tabs>
    </w:pPr>
    <w:rPr>
      <w:sz w:val="24"/>
    </w:rPr>
  </w:style>
  <w:style w:type="paragraph" w:styleId="1193">
    <w:name w:val="正文列项_字母"/>
    <w:basedOn w:val="1030"/>
    <w:next w:val="1193"/>
    <w:link w:val="1030"/>
    <w:qFormat/>
    <w:pPr>
      <w:numPr>
        <w:ilvl w:val="6"/>
        <w:numId w:val="1"/>
      </w:numPr>
      <w:ind w:left="480" w:hanging="180"/>
      <w:spacing w:line="460" w:lineRule="exact"/>
      <w:tabs>
        <w:tab w:val="clear" w:pos="635" w:leader="none"/>
      </w:tabs>
      <w:outlineLvl w:val="6"/>
    </w:pPr>
    <w:rPr>
      <w:rFonts w:ascii="宋体"/>
      <w:sz w:val="28"/>
      <w:szCs w:val="20"/>
    </w:rPr>
  </w:style>
  <w:style w:type="paragraph" w:styleId="1194">
    <w:name w:val="xl28"/>
    <w:basedOn w:val="1030"/>
    <w:next w:val="119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47"/>
    <w:basedOn w:val="1030"/>
    <w:next w:val="1195"/>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name w:val="默认段落字体 Para Char Char Char Char"/>
    <w:basedOn w:val="1030"/>
    <w:next w:val="1196"/>
    <w:link w:val="1030"/>
    <w:qFormat/>
    <w:rPr>
      <w:rFonts w:ascii="Arial" w:hAnsi="Arial" w:cs="Arial"/>
      <w:szCs w:val="21"/>
    </w:rPr>
  </w:style>
  <w:style w:type="paragraph" w:styleId="1197">
    <w:name w:val="xl48"/>
    <w:basedOn w:val="1030"/>
    <w:next w:val="119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8">
    <w:name w:val="xl31"/>
    <w:basedOn w:val="1030"/>
    <w:next w:val="1198"/>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9">
    <w:name w:val="xl53"/>
    <w:basedOn w:val="1030"/>
    <w:next w:val="1199"/>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 Char Char"/>
    <w:basedOn w:val="1030"/>
    <w:next w:val="1200"/>
    <w:link w:val="1030"/>
    <w:qFormat/>
    <w:rPr>
      <w:rFonts w:ascii="Tahoma" w:hAnsi="Tahoma"/>
      <w:sz w:val="24"/>
      <w:szCs w:val="20"/>
    </w:rPr>
  </w:style>
  <w:style w:type="paragraph" w:styleId="1201">
    <w:name w:val="xl50"/>
    <w:basedOn w:val="1030"/>
    <w:next w:val="1201"/>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2">
    <w:name w:val="缺省文本"/>
    <w:basedOn w:val="1030"/>
    <w:next w:val="1202"/>
    <w:link w:val="1030"/>
    <w:qFormat/>
    <w:pPr>
      <w:jc w:val="left"/>
    </w:pPr>
    <w:rPr>
      <w:sz w:val="24"/>
    </w:rPr>
  </w:style>
  <w:style w:type="paragraph" w:styleId="1203">
    <w:name w:val="Char Char Char1"/>
    <w:basedOn w:val="1030"/>
    <w:next w:val="1203"/>
    <w:link w:val="1030"/>
    <w:qFormat/>
    <w:rPr>
      <w:rFonts w:ascii="Tahoma" w:hAnsi="Tahoma"/>
      <w:sz w:val="24"/>
      <w:szCs w:val="20"/>
    </w:rPr>
  </w:style>
  <w:style w:type="paragraph" w:styleId="1204">
    <w:name w:val="Char Char Char Char Char Char Char1"/>
    <w:basedOn w:val="1030"/>
    <w:next w:val="1204"/>
    <w:link w:val="1030"/>
    <w:qFormat/>
    <w:pPr>
      <w:ind w:firstLine="200"/>
      <w:spacing w:line="360" w:lineRule="auto"/>
    </w:pPr>
    <w:rPr>
      <w:rFonts w:eastAsia="仿宋_GB2312"/>
      <w:sz w:val="24"/>
    </w:rPr>
  </w:style>
  <w:style w:type="paragraph" w:styleId="1205">
    <w:name w:val="xl51"/>
    <w:basedOn w:val="1030"/>
    <w:next w:val="1205"/>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样式2"/>
    <w:basedOn w:val="1095"/>
    <w:next w:val="1206"/>
    <w:link w:val="1030"/>
    <w:qFormat/>
    <w:pPr>
      <w:jc w:val="center"/>
      <w:spacing w:line="360" w:lineRule="auto"/>
    </w:pPr>
    <w:rPr>
      <w:sz w:val="24"/>
    </w:rPr>
  </w:style>
  <w:style w:type="paragraph" w:styleId="1207">
    <w:name w:val="xl24"/>
    <w:basedOn w:val="1030"/>
    <w:next w:val="120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xl29"/>
    <w:basedOn w:val="1030"/>
    <w:next w:val="120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9">
    <w:name w:val="正文 + 楷体_GB2312"/>
    <w:basedOn w:val="1030"/>
    <w:next w:val="1209"/>
    <w:link w:val="1030"/>
    <w:qFormat/>
    <w:pPr>
      <w:jc w:val="left"/>
      <w:widowControl/>
    </w:pPr>
    <w:rPr>
      <w:rFonts w:ascii="楷体_GB2312" w:eastAsia="楷体_GB2312" w:cs="Arial"/>
      <w:sz w:val="24"/>
    </w:rPr>
  </w:style>
  <w:style w:type="paragraph" w:styleId="1210">
    <w:name w:val="xl34"/>
    <w:basedOn w:val="1030"/>
    <w:next w:val="1210"/>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1">
    <w:name w:val="1 Char Char Char Char"/>
    <w:basedOn w:val="1030"/>
    <w:next w:val="1211"/>
    <w:link w:val="1030"/>
    <w:qFormat/>
    <w:rPr>
      <w:rFonts w:ascii="Tahoma" w:hAnsi="Tahoma"/>
      <w:sz w:val="24"/>
      <w:szCs w:val="20"/>
    </w:rPr>
  </w:style>
  <w:style w:type="paragraph" w:styleId="1212">
    <w:name w:val="列出段落1"/>
    <w:basedOn w:val="1030"/>
    <w:next w:val="1212"/>
    <w:link w:val="1030"/>
    <w:qFormat/>
    <w:pPr>
      <w:ind w:firstLine="420"/>
    </w:pPr>
    <w:rPr>
      <w:rFonts w:ascii="Calibri" w:hAnsi="Calibri"/>
      <w:szCs w:val="22"/>
    </w:rPr>
  </w:style>
  <w:style w:type="paragraph" w:styleId="1213">
    <w:name w:val="default"/>
    <w:basedOn w:val="1030"/>
    <w:next w:val="1213"/>
    <w:link w:val="1030"/>
    <w:qFormat/>
    <w:pPr>
      <w:jc w:val="left"/>
      <w:spacing w:before="100" w:beforeAutospacing="1" w:after="100" w:afterAutospacing="1"/>
      <w:widowControl/>
    </w:pPr>
    <w:rPr>
      <w:rFonts w:ascii="宋体" w:hAnsi="宋体" w:cs="宋体"/>
      <w:sz w:val="24"/>
    </w:rPr>
  </w:style>
  <w:style w:type="paragraph" w:styleId="1214">
    <w:name w:val="字元 字元1"/>
    <w:basedOn w:val="1030"/>
    <w:next w:val="1214"/>
    <w:link w:val="1030"/>
    <w:qFormat/>
    <w:rPr>
      <w:rFonts w:ascii="Tahoma" w:hAnsi="Tahoma"/>
      <w:sz w:val="24"/>
      <w:szCs w:val="20"/>
    </w:rPr>
  </w:style>
  <w:style w:type="paragraph" w:styleId="1215">
    <w:name w:val="_Style 160"/>
    <w:next w:val="1215"/>
    <w:link w:val="1030"/>
    <w:qFormat/>
    <w:rPr>
      <w:sz w:val="21"/>
      <w:szCs w:val="24"/>
      <w:lang w:val="en-US" w:eastAsia="zh-CN" w:bidi="ar-SA"/>
    </w:rPr>
  </w:style>
  <w:style w:type="paragraph" w:styleId="1216">
    <w:name w:val="项目编号3"/>
    <w:basedOn w:val="1177"/>
    <w:next w:val="1216"/>
    <w:link w:val="1030"/>
    <w:qFormat/>
    <w:pPr>
      <w:numPr>
        <w:ilvl w:val="0"/>
        <w:numId w:val="6"/>
      </w:numPr>
    </w:pPr>
  </w:style>
  <w:style w:type="paragraph" w:styleId="1217">
    <w:name w:val="Char21"/>
    <w:basedOn w:val="1030"/>
    <w:next w:val="1217"/>
    <w:link w:val="1030"/>
    <w:qFormat/>
    <w:rPr>
      <w:rFonts w:ascii="Tahoma" w:hAnsi="Tahoma"/>
      <w:sz w:val="24"/>
      <w:szCs w:val="20"/>
    </w:rPr>
  </w:style>
  <w:style w:type="paragraph" w:styleId="1218">
    <w:name w:val="表格文字"/>
    <w:basedOn w:val="1064"/>
    <w:next w:val="1218"/>
    <w:link w:val="1030"/>
    <w:qFormat/>
    <w:pPr>
      <w:ind w:firstLine="0"/>
      <w:spacing w:before="20" w:after="20" w:line="240" w:lineRule="auto"/>
    </w:pPr>
    <w:rPr>
      <w:rFonts w:ascii="Century Gothic" w:hAnsi="Century Gothic"/>
      <w:sz w:val="20"/>
      <w:szCs w:val="20"/>
    </w:rPr>
  </w:style>
  <w:style w:type="paragraph" w:styleId="1219">
    <w:name w:val="Char Char Char Char Char Char Char Char Char Char1"/>
    <w:basedOn w:val="1030"/>
    <w:next w:val="1219"/>
    <w:link w:val="1030"/>
    <w:qFormat/>
    <w:rPr>
      <w:rFonts w:ascii="宋体" w:hAnsi="宋体" w:cs="Courier New"/>
      <w:sz w:val="32"/>
      <w:szCs w:val="32"/>
    </w:rPr>
  </w:style>
  <w:style w:type="paragraph" w:styleId="1220">
    <w:name w:val="正文文本样式 加粗"/>
    <w:basedOn w:val="1177"/>
    <w:next w:val="1220"/>
    <w:link w:val="1030"/>
    <w:qFormat/>
    <w:rPr>
      <w:b/>
    </w:rPr>
  </w:style>
  <w:style w:type="paragraph" w:styleId="1221">
    <w:name w:val="Char2 Char Char Char Char Char Char"/>
    <w:basedOn w:val="1030"/>
    <w:next w:val="1221"/>
    <w:link w:val="1030"/>
    <w:qFormat/>
    <w:pPr>
      <w:jc w:val="center"/>
      <w:spacing w:line="400" w:lineRule="exact"/>
      <w:widowControl/>
    </w:pPr>
  </w:style>
  <w:style w:type="paragraph" w:styleId="1222">
    <w:name w:val="Char Char4"/>
    <w:basedOn w:val="1030"/>
    <w:next w:val="1222"/>
    <w:link w:val="1030"/>
    <w:qFormat/>
    <w:pPr>
      <w:jc w:val="center"/>
      <w:spacing w:line="400" w:lineRule="exact"/>
      <w:widowControl/>
    </w:pPr>
  </w:style>
  <w:style w:type="paragraph" w:styleId="1223">
    <w:name w:val="Char3 Char Char Char1"/>
    <w:basedOn w:val="1030"/>
    <w:next w:val="1223"/>
    <w:link w:val="1030"/>
    <w:qFormat/>
    <w:rPr>
      <w:rFonts w:ascii="Tahoma" w:hAnsi="Tahoma"/>
      <w:sz w:val="24"/>
      <w:szCs w:val="20"/>
    </w:rPr>
  </w:style>
  <w:style w:type="paragraph" w:styleId="1224">
    <w:name w:val="无间隔"/>
    <w:next w:val="1224"/>
    <w:link w:val="1030"/>
    <w:qFormat/>
    <w:pPr>
      <w:jc w:val="both"/>
      <w:widowControl w:val="off"/>
    </w:pPr>
    <w:rPr>
      <w:sz w:val="21"/>
      <w:szCs w:val="24"/>
      <w:lang w:val="en-US" w:eastAsia="zh-CN" w:bidi="ar-SA"/>
    </w:rPr>
  </w:style>
  <w:style w:type="paragraph" w:styleId="1225">
    <w:name w:val="22222222222222"/>
    <w:basedOn w:val="1030"/>
    <w:next w:val="1225"/>
    <w:link w:val="1030"/>
    <w:qFormat/>
    <w:pPr>
      <w:ind w:firstLine="480"/>
      <w:jc w:val="left"/>
      <w:spacing w:line="360" w:lineRule="auto"/>
      <w:widowControl/>
    </w:pPr>
    <w:rPr>
      <w:color w:val="ff0000"/>
      <w:sz w:val="24"/>
      <w:szCs w:val="20"/>
    </w:rPr>
  </w:style>
  <w:style w:type="character" w:styleId="1226">
    <w:name w:val="中等深浅网格 1 - 强调文字颜色 2 Char"/>
    <w:next w:val="1226"/>
    <w:link w:val="1227"/>
    <w:qFormat/>
    <w:rPr>
      <w:sz w:val="21"/>
      <w:szCs w:val="24"/>
      <w:lang w:val="zh-CN" w:eastAsia="zh-CN" w:bidi="ar-SA"/>
    </w:rPr>
  </w:style>
  <w:style w:type="paragraph" w:styleId="1227">
    <w:name w:val="1"/>
    <w:next w:val="1227"/>
    <w:link w:val="1226"/>
    <w:qFormat/>
    <w:rPr>
      <w:sz w:val="21"/>
      <w:szCs w:val="24"/>
      <w:lang w:val="zh-CN" w:eastAsia="zh-CN" w:bidi="ar-SA"/>
    </w:rPr>
  </w:style>
  <w:style w:type="paragraph" w:styleId="1228">
    <w:name w:val="图文"/>
    <w:basedOn w:val="1030"/>
    <w:next w:val="1228"/>
    <w:link w:val="1030"/>
    <w:qFormat/>
    <w:pPr>
      <w:spacing w:after="50" w:line="360" w:lineRule="auto"/>
    </w:pPr>
    <w:rPr>
      <w:sz w:val="24"/>
    </w:rPr>
  </w:style>
  <w:style w:type="paragraph" w:styleId="1229">
    <w:name w:val="xl23"/>
    <w:basedOn w:val="1030"/>
    <w:next w:val="1229"/>
    <w:link w:val="1030"/>
    <w:qFormat/>
    <w:pPr>
      <w:spacing w:before="100" w:beforeAutospacing="1" w:after="100" w:afterAutospacing="1" w:line="360" w:lineRule="auto"/>
      <w:widowControl/>
    </w:pPr>
    <w:rPr>
      <w:sz w:val="24"/>
      <w:szCs w:val="20"/>
    </w:rPr>
  </w:style>
  <w:style w:type="paragraph" w:styleId="1230">
    <w:name w:val="正文表格"/>
    <w:basedOn w:val="1030"/>
    <w:next w:val="1230"/>
    <w:link w:val="1231"/>
    <w:qFormat/>
    <w:pPr>
      <w:jc w:val="left"/>
    </w:pPr>
    <w:rPr>
      <w:rFonts w:ascii="宋体" w:hAnsi="宋体"/>
      <w:color w:val="000000"/>
      <w:szCs w:val="21"/>
    </w:rPr>
  </w:style>
  <w:style w:type="character" w:styleId="1231">
    <w:name w:val="正文表格 Char"/>
    <w:next w:val="1231"/>
    <w:link w:val="1230"/>
    <w:qFormat/>
    <w:rPr>
      <w:rFonts w:ascii="宋体" w:hAnsi="宋体"/>
      <w:color w:val="000000"/>
      <w:sz w:val="21"/>
      <w:szCs w:val="21"/>
    </w:rPr>
  </w:style>
  <w:style w:type="paragraph" w:styleId="1232">
    <w:name w:val="正文重点"/>
    <w:basedOn w:val="1030"/>
    <w:next w:val="1232"/>
    <w:link w:val="1233"/>
    <w:qFormat/>
    <w:pPr>
      <w:ind w:firstLine="482"/>
      <w:jc w:val="left"/>
      <w:spacing w:line="360" w:lineRule="auto"/>
    </w:pPr>
    <w:rPr>
      <w:b/>
      <w:sz w:val="24"/>
      <w:szCs w:val="20"/>
    </w:rPr>
  </w:style>
  <w:style w:type="character" w:styleId="1233">
    <w:name w:val="正文重点 Char"/>
    <w:next w:val="1233"/>
    <w:link w:val="1232"/>
    <w:qFormat/>
    <w:rPr>
      <w:b/>
      <w:sz w:val="24"/>
    </w:rPr>
  </w:style>
  <w:style w:type="paragraph" w:styleId="1234">
    <w:name w:val="标题1-附件"/>
    <w:basedOn w:val="1031"/>
    <w:next w:val="1234"/>
    <w:link w:val="1030"/>
    <w:qFormat/>
    <w:pPr>
      <w:jc w:val="left"/>
    </w:pPr>
    <w:rPr>
      <w:sz w:val="24"/>
      <w:szCs w:val="24"/>
    </w:rPr>
  </w:style>
  <w:style w:type="paragraph" w:styleId="1235">
    <w:name w:val="正文小标题"/>
    <w:basedOn w:val="1030"/>
    <w:next w:val="1045"/>
    <w:link w:val="1236"/>
    <w:qFormat/>
    <w:pPr>
      <w:ind w:firstLine="482"/>
      <w:jc w:val="left"/>
      <w:spacing w:before="312" w:after="312"/>
    </w:pPr>
    <w:rPr>
      <w:rFonts w:ascii="宋体" w:hAnsi="宋体"/>
      <w:b/>
      <w:i/>
      <w:color w:val="ff0000"/>
      <w:sz w:val="24"/>
      <w:szCs w:val="20"/>
    </w:rPr>
  </w:style>
  <w:style w:type="character" w:styleId="1236">
    <w:name w:val="正文小标题 Char"/>
    <w:next w:val="1236"/>
    <w:link w:val="1235"/>
    <w:qFormat/>
    <w:rPr>
      <w:rFonts w:ascii="宋体" w:hAnsi="宋体"/>
      <w:b/>
      <w:i/>
      <w:color w:val="ff0000"/>
      <w:sz w:val="24"/>
    </w:rPr>
  </w:style>
  <w:style w:type="paragraph" w:styleId="1237">
    <w:name w:val="正文大标题"/>
    <w:basedOn w:val="1235"/>
    <w:next w:val="1045"/>
    <w:link w:val="1238"/>
    <w:qFormat/>
    <w:pPr>
      <w:jc w:val="center"/>
    </w:pPr>
    <w:rPr>
      <w:i w:val="0"/>
      <w:color w:val="000000"/>
      <w:sz w:val="28"/>
      <w:szCs w:val="21"/>
    </w:rPr>
  </w:style>
  <w:style w:type="character" w:styleId="1238">
    <w:name w:val="正文大标题 Char"/>
    <w:next w:val="1238"/>
    <w:link w:val="1237"/>
    <w:qFormat/>
    <w:rPr>
      <w:rFonts w:ascii="宋体" w:hAnsi="宋体"/>
      <w:b/>
      <w:color w:val="000000"/>
      <w:sz w:val="28"/>
      <w:szCs w:val="21"/>
    </w:rPr>
  </w:style>
  <w:style w:type="paragraph" w:styleId="1239">
    <w:name w:val="注释"/>
    <w:basedOn w:val="1030"/>
    <w:next w:val="1239"/>
    <w:link w:val="1240"/>
    <w:qFormat/>
    <w:pPr>
      <w:ind w:left="420" w:hanging="420"/>
      <w:jc w:val="left"/>
    </w:pPr>
    <w:rPr>
      <w:rFonts w:ascii="宋体" w:hAnsi="宋体"/>
      <w:szCs w:val="21"/>
    </w:rPr>
  </w:style>
  <w:style w:type="character" w:styleId="1240">
    <w:name w:val="注释 Char"/>
    <w:next w:val="1240"/>
    <w:link w:val="1239"/>
    <w:qFormat/>
    <w:rPr>
      <w:rFonts w:ascii="宋体" w:hAnsi="宋体"/>
      <w:sz w:val="21"/>
      <w:szCs w:val="21"/>
    </w:rPr>
  </w:style>
  <w:style w:type="paragraph" w:styleId="1241">
    <w:name w:val="正文须知-1级"/>
    <w:basedOn w:val="1030"/>
    <w:next w:val="1030"/>
    <w:link w:val="1030"/>
    <w:qFormat/>
    <w:pPr>
      <w:numPr>
        <w:ilvl w:val="0"/>
        <w:numId w:val="7"/>
      </w:numPr>
      <w:spacing w:line="300" w:lineRule="auto"/>
    </w:pPr>
    <w:rPr>
      <w:rFonts w:ascii="宋体" w:hAnsi="Calibri"/>
      <w:sz w:val="24"/>
      <w:szCs w:val="21"/>
    </w:rPr>
  </w:style>
  <w:style w:type="paragraph" w:styleId="1242">
    <w:name w:val="正文须知-2级"/>
    <w:basedOn w:val="1030"/>
    <w:next w:val="1242"/>
    <w:link w:val="1030"/>
    <w:qFormat/>
    <w:pPr>
      <w:numPr>
        <w:ilvl w:val="1"/>
        <w:numId w:val="7"/>
      </w:numPr>
      <w:spacing w:line="300" w:lineRule="auto"/>
    </w:pPr>
    <w:rPr>
      <w:rFonts w:ascii="宋体" w:hAnsi="Calibri"/>
      <w:sz w:val="24"/>
      <w:szCs w:val="21"/>
    </w:rPr>
  </w:style>
  <w:style w:type="paragraph" w:styleId="1243">
    <w:name w:val="正文须知-3级"/>
    <w:basedOn w:val="1030"/>
    <w:next w:val="1243"/>
    <w:link w:val="1030"/>
    <w:qFormat/>
    <w:pPr>
      <w:numPr>
        <w:ilvl w:val="2"/>
        <w:numId w:val="7"/>
      </w:numPr>
      <w:ind w:hanging="355"/>
      <w:spacing w:line="300" w:lineRule="auto"/>
    </w:pPr>
    <w:rPr>
      <w:rFonts w:ascii="宋体" w:hAnsi="Calibri"/>
      <w:sz w:val="24"/>
      <w:szCs w:val="21"/>
    </w:rPr>
  </w:style>
  <w:style w:type="character" w:styleId="1244">
    <w:name w:val="纯文本 字符"/>
    <w:next w:val="1244"/>
    <w:link w:val="1030"/>
    <w:uiPriority w:val="99"/>
    <w:qFormat/>
    <w:rPr>
      <w:rFonts w:ascii="宋体" w:hAnsi="Courier New" w:eastAsia="宋体" w:cs="Times New Roman"/>
      <w:sz w:val="21"/>
      <w:szCs w:val="21"/>
      <w:lang w:val="en-US" w:eastAsia="zh-CN" w:bidi="ar-SA"/>
    </w:rPr>
  </w:style>
  <w:style w:type="paragraph" w:styleId="1245">
    <w:name w:val="表格1"/>
    <w:basedOn w:val="1030"/>
    <w:next w:val="1245"/>
    <w:link w:val="1030"/>
    <w:qFormat/>
    <w:pPr>
      <w:ind w:firstLine="480"/>
      <w:jc w:val="center"/>
    </w:pPr>
    <w:rPr>
      <w:sz w:val="24"/>
      <w:szCs w:val="20"/>
    </w:rPr>
  </w:style>
  <w:style w:type="character" w:styleId="1246">
    <w:name w:val="纯文本 字符1"/>
    <w:next w:val="1246"/>
    <w:link w:val="1030"/>
    <w:qFormat/>
    <w:rPr>
      <w:rFonts w:ascii="宋体" w:hAnsi="Courier New"/>
    </w:rPr>
  </w:style>
  <w:style w:type="character" w:styleId="1247">
    <w:name w:val="bjh-p"/>
    <w:next w:val="1247"/>
    <w:link w:val="1030"/>
    <w:qFormat/>
  </w:style>
  <w:style w:type="paragraph" w:styleId="1248">
    <w:name w:val="无标题条"/>
    <w:next w:val="1030"/>
    <w:link w:val="1030"/>
    <w:qFormat/>
    <w:pPr>
      <w:jc w:val="both"/>
    </w:pPr>
    <w:rPr>
      <w:sz w:val="21"/>
      <w:lang w:val="en-US" w:eastAsia="zh-CN" w:bidi="ar-SA"/>
    </w:rPr>
  </w:style>
  <w:style w:type="character" w:styleId="1249">
    <w:name w:val="正文格式 Char"/>
    <w:next w:val="1249"/>
    <w:link w:val="1250"/>
    <w:qFormat/>
    <w:rPr>
      <w:rFonts w:ascii="宋体" w:hAnsi="宋体"/>
      <w:sz w:val="24"/>
      <w:szCs w:val="24"/>
      <w:lang w:val="en-GB"/>
    </w:rPr>
  </w:style>
  <w:style w:type="paragraph" w:styleId="1250">
    <w:name w:val="正文格式"/>
    <w:basedOn w:val="1030"/>
    <w:next w:val="1250"/>
    <w:link w:val="1249"/>
    <w:qFormat/>
    <w:pPr>
      <w:ind w:firstLine="480"/>
      <w:spacing w:line="360" w:lineRule="auto"/>
    </w:pPr>
    <w:rPr>
      <w:rFonts w:ascii="宋体" w:hAnsi="宋体"/>
      <w:sz w:val="24"/>
      <w:lang w:val="en-GB"/>
    </w:rPr>
  </w:style>
  <w:style w:type="character" w:styleId="1251">
    <w:name w:val="标题 3 Char"/>
    <w:next w:val="1251"/>
    <w:link w:val="1030"/>
    <w:qFormat/>
    <w:rPr>
      <w:rFonts w:ascii="宋体" w:eastAsia="宋体"/>
      <w:b/>
      <w:sz w:val="24"/>
      <w:u w:val="single"/>
      <w:lang w:val="en-US" w:eastAsia="zh-CN" w:bidi="ar-SA"/>
    </w:rPr>
  </w:style>
  <w:style w:type="character" w:styleId="1252">
    <w:name w:val="正文缩进 Char"/>
    <w:next w:val="1252"/>
    <w:link w:val="1030"/>
    <w:qFormat/>
    <w:rPr>
      <w:rFonts w:ascii="宋体" w:eastAsia="宋体"/>
      <w:sz w:val="24"/>
      <w:szCs w:val="24"/>
      <w:lang w:val="en-US" w:eastAsia="zh-CN" w:bidi="ar-SA"/>
    </w:rPr>
  </w:style>
  <w:style w:type="character" w:styleId="1253">
    <w:name w:val="Char Char111"/>
    <w:next w:val="1253"/>
    <w:link w:val="1030"/>
    <w:qFormat/>
    <w:rPr>
      <w:rFonts w:ascii="宋体" w:eastAsia="宋体"/>
      <w:b/>
      <w:sz w:val="24"/>
      <w:u w:val="single"/>
      <w:lang w:val="en-US" w:eastAsia="zh-CN" w:bidi="ar-SA"/>
    </w:rPr>
  </w:style>
  <w:style w:type="character" w:styleId="1254">
    <w:name w:val="正文文本缩进 Char"/>
    <w:next w:val="1254"/>
    <w:link w:val="1030"/>
    <w:qFormat/>
    <w:rPr>
      <w:rFonts w:eastAsia="宋体"/>
      <w:sz w:val="24"/>
      <w:szCs w:val="24"/>
      <w:lang w:val="en-US" w:eastAsia="zh-CN" w:bidi="ar-SA"/>
    </w:rPr>
  </w:style>
  <w:style w:type="character" w:styleId="1255">
    <w:name w:val="列出段落 Char"/>
    <w:next w:val="1255"/>
    <w:link w:val="1030"/>
    <w:qFormat/>
    <w:rPr>
      <w:rFonts w:ascii="Calibri" w:hAnsi="Calibri" w:eastAsia="宋体"/>
      <w:sz w:val="21"/>
      <w:szCs w:val="22"/>
      <w:lang w:val="en-US" w:eastAsia="zh-CN" w:bidi="ar-SA"/>
    </w:rPr>
  </w:style>
  <w:style w:type="character" w:styleId="1256">
    <w:name w:val="页眉 Char"/>
    <w:next w:val="1256"/>
    <w:link w:val="1030"/>
    <w:qFormat/>
    <w:rPr>
      <w:rFonts w:eastAsia="宋体"/>
      <w:sz w:val="18"/>
      <w:szCs w:val="18"/>
      <w:lang w:val="en-US" w:eastAsia="zh-CN" w:bidi="ar-SA"/>
    </w:rPr>
  </w:style>
  <w:style w:type="character" w:styleId="1257">
    <w:name w:val="标题 2 Char"/>
    <w:next w:val="1257"/>
    <w:link w:val="1030"/>
    <w:qFormat/>
    <w:rPr>
      <w:rFonts w:ascii="Arial" w:hAnsi="Arial" w:eastAsia="黑体"/>
      <w:b/>
      <w:sz w:val="30"/>
      <w:lang w:val="en-US" w:eastAsia="zh-CN" w:bidi="ar-SA"/>
    </w:rPr>
  </w:style>
  <w:style w:type="paragraph" w:styleId="1258">
    <w:name w:val="字元 字元2"/>
    <w:basedOn w:val="1030"/>
    <w:next w:val="1258"/>
    <w:link w:val="1030"/>
    <w:qFormat/>
    <w:rPr>
      <w:rFonts w:ascii="Tahoma" w:hAnsi="Tahoma"/>
      <w:sz w:val="24"/>
      <w:szCs w:val="20"/>
    </w:rPr>
  </w:style>
  <w:style w:type="paragraph" w:styleId="1259">
    <w:name w:val="Char3 Char Char Char2"/>
    <w:basedOn w:val="1030"/>
    <w:next w:val="1259"/>
    <w:link w:val="1030"/>
    <w:qFormat/>
    <w:rPr>
      <w:rFonts w:ascii="Tahoma" w:hAnsi="Tahoma"/>
      <w:sz w:val="24"/>
      <w:szCs w:val="20"/>
    </w:rPr>
  </w:style>
  <w:style w:type="paragraph" w:styleId="1260">
    <w:name w:val="正文文本缩进2"/>
    <w:basedOn w:val="1030"/>
    <w:next w:val="1260"/>
    <w:link w:val="1030"/>
    <w:qFormat/>
    <w:pPr>
      <w:ind w:firstLine="480"/>
      <w:spacing w:line="480" w:lineRule="exact"/>
    </w:pPr>
    <w:rPr>
      <w:rFonts w:ascii="宋体" w:hAnsi="宋体"/>
      <w:sz w:val="24"/>
      <w:lang w:val="zh-CN" w:eastAsia="zh-CN"/>
    </w:rPr>
  </w:style>
  <w:style w:type="paragraph" w:styleId="1261">
    <w:name w:val="Char3"/>
    <w:basedOn w:val="1030"/>
    <w:next w:val="1261"/>
    <w:link w:val="1030"/>
    <w:qFormat/>
    <w:pPr>
      <w:tabs>
        <w:tab w:val="left" w:pos="360" w:leader="none"/>
      </w:tabs>
    </w:pPr>
    <w:rPr>
      <w:sz w:val="24"/>
    </w:rPr>
  </w:style>
  <w:style w:type="paragraph" w:styleId="1262">
    <w:name w:val="Char Char Char Char Char Char Char Char Char Char Char Char Char Char Char Char1"/>
    <w:basedOn w:val="1030"/>
    <w:next w:val="1262"/>
    <w:link w:val="1030"/>
    <w:qFormat/>
    <w:pPr>
      <w:jc w:val="center"/>
      <w:spacing w:after="160" w:line="240" w:lineRule="exact"/>
      <w:widowControl/>
    </w:pPr>
    <w:rPr>
      <w:rFonts w:ascii="宋体" w:hAnsi="宋体"/>
      <w:b/>
      <w:sz w:val="30"/>
      <w:szCs w:val="30"/>
      <w:lang w:eastAsia="en-US"/>
    </w:rPr>
  </w:style>
  <w:style w:type="paragraph" w:styleId="1263">
    <w:name w:val="Char Char1 Char Char Char Char Char Char1"/>
    <w:basedOn w:val="1030"/>
    <w:next w:val="1263"/>
    <w:link w:val="1030"/>
    <w:qFormat/>
    <w:pPr>
      <w:jc w:val="left"/>
      <w:spacing w:after="160" w:line="240" w:lineRule="exact"/>
      <w:widowControl/>
    </w:pPr>
    <w:rPr>
      <w:rFonts w:ascii="Verdana" w:hAnsi="Verdana" w:eastAsia="仿宋_GB2312"/>
      <w:sz w:val="24"/>
      <w:szCs w:val="20"/>
      <w:lang w:eastAsia="en-US"/>
    </w:rPr>
  </w:style>
  <w:style w:type="paragraph" w:styleId="1264">
    <w:name w:val="列出段落2"/>
    <w:basedOn w:val="1030"/>
    <w:next w:val="1264"/>
    <w:link w:val="1030"/>
    <w:qFormat/>
    <w:pPr>
      <w:ind w:firstLine="420"/>
    </w:pPr>
    <w:rPr>
      <w:rFonts w:ascii="Calibri" w:hAnsi="Calibri"/>
      <w:szCs w:val="22"/>
    </w:rPr>
  </w:style>
  <w:style w:type="paragraph" w:styleId="1265">
    <w:name w:val="Char Char Char1 Char2"/>
    <w:basedOn w:val="1030"/>
    <w:next w:val="1265"/>
    <w:link w:val="1030"/>
    <w:qFormat/>
    <w:rPr>
      <w:rFonts w:ascii="Tahoma" w:hAnsi="Tahoma"/>
      <w:sz w:val="24"/>
      <w:szCs w:val="20"/>
    </w:rPr>
  </w:style>
  <w:style w:type="paragraph" w:styleId="1266">
    <w:name w:val="Char Char Char2"/>
    <w:basedOn w:val="1030"/>
    <w:next w:val="1266"/>
    <w:link w:val="1030"/>
    <w:qFormat/>
    <w:rPr>
      <w:rFonts w:ascii="Tahoma" w:hAnsi="Tahoma"/>
      <w:sz w:val="24"/>
      <w:szCs w:val="20"/>
    </w:rPr>
  </w:style>
  <w:style w:type="paragraph" w:styleId="1267">
    <w:name w:val="Char Char Char Char Char Char Char2"/>
    <w:basedOn w:val="1030"/>
    <w:next w:val="1267"/>
    <w:link w:val="1030"/>
    <w:qFormat/>
    <w:pPr>
      <w:ind w:firstLine="200"/>
      <w:spacing w:line="360" w:lineRule="auto"/>
    </w:pPr>
    <w:rPr>
      <w:rFonts w:eastAsia="仿宋_GB2312"/>
      <w:sz w:val="24"/>
    </w:rPr>
  </w:style>
  <w:style w:type="paragraph" w:styleId="1268">
    <w:name w:val="正文缩进2"/>
    <w:basedOn w:val="1030"/>
    <w:next w:val="1268"/>
    <w:link w:val="1030"/>
    <w:qFormat/>
    <w:pPr>
      <w:ind w:firstLine="567"/>
      <w:spacing w:line="480" w:lineRule="exact"/>
      <w:widowControl/>
    </w:pPr>
    <w:rPr>
      <w:rFonts w:ascii="宋体"/>
      <w:color w:val="000000"/>
      <w:sz w:val="28"/>
      <w:szCs w:val="20"/>
      <w:lang w:val="zh-CN" w:eastAsia="zh-CN"/>
    </w:rPr>
  </w:style>
  <w:style w:type="paragraph" w:styleId="1269">
    <w:name w:val="Revision"/>
    <w:next w:val="1269"/>
    <w:link w:val="1030"/>
    <w:qFormat/>
    <w:rPr>
      <w:sz w:val="21"/>
      <w:szCs w:val="24"/>
      <w:lang w:val="en-US" w:eastAsia="zh-CN" w:bidi="ar-SA"/>
    </w:rPr>
  </w:style>
  <w:style w:type="paragraph" w:styleId="1270">
    <w:name w:val="Char22"/>
    <w:basedOn w:val="1030"/>
    <w:next w:val="1270"/>
    <w:link w:val="1030"/>
    <w:qFormat/>
    <w:rPr>
      <w:rFonts w:ascii="Tahoma" w:hAnsi="Tahoma"/>
      <w:sz w:val="24"/>
      <w:szCs w:val="20"/>
    </w:rPr>
  </w:style>
  <w:style w:type="paragraph" w:styleId="1271">
    <w:name w:val="Char Char Char Char Char Char Char Char Char Char2"/>
    <w:basedOn w:val="1030"/>
    <w:next w:val="1271"/>
    <w:link w:val="1030"/>
    <w:qFormat/>
    <w:rPr>
      <w:rFonts w:ascii="宋体" w:hAnsi="宋体" w:cs="Courier New"/>
      <w:sz w:val="32"/>
      <w:szCs w:val="32"/>
    </w:rPr>
  </w:style>
  <w:style w:type="paragraph" w:styleId="1272">
    <w:name w:val="Char2 Char Char Char Char Char Char1"/>
    <w:basedOn w:val="1030"/>
    <w:next w:val="1272"/>
    <w:link w:val="1030"/>
    <w:qFormat/>
    <w:pPr>
      <w:jc w:val="center"/>
      <w:spacing w:line="400" w:lineRule="exact"/>
      <w:widowControl/>
    </w:pPr>
  </w:style>
  <w:style w:type="character" w:styleId="1273">
    <w:name w:val="页脚 Char"/>
    <w:next w:val="1273"/>
    <w:link w:val="1030"/>
    <w:qFormat/>
    <w:rPr>
      <w:rFonts w:ascii="宋体" w:eastAsia="宋体"/>
      <w:sz w:val="18"/>
      <w:lang w:val="en-US" w:eastAsia="zh-CN" w:bidi="ar-SA"/>
    </w:rPr>
  </w:style>
  <w:style w:type="paragraph" w:styleId="1274">
    <w:name w:val="Char Char41"/>
    <w:basedOn w:val="1030"/>
    <w:next w:val="1274"/>
    <w:link w:val="1030"/>
    <w:qFormat/>
    <w:pPr>
      <w:jc w:val="center"/>
      <w:spacing w:line="400" w:lineRule="exact"/>
      <w:widowControl/>
    </w:pPr>
  </w:style>
  <w:style w:type="character" w:styleId="1275">
    <w:name w:val="批注文字 Char"/>
    <w:next w:val="1275"/>
    <w:link w:val="1030"/>
    <w:uiPriority w:val="99"/>
    <w:qFormat/>
    <w:rPr>
      <w:sz w:val="21"/>
      <w:szCs w:val="24"/>
    </w:rPr>
  </w:style>
  <w:style w:type="character" w:styleId="1276">
    <w:name w:val="标题 Char"/>
    <w:next w:val="1276"/>
    <w:link w:val="1030"/>
    <w:qFormat/>
    <w:rPr>
      <w:b/>
      <w:sz w:val="32"/>
    </w:rPr>
  </w:style>
  <w:style w:type="paragraph" w:styleId="1277">
    <w:name w:val="图例"/>
    <w:basedOn w:val="1030"/>
    <w:next w:val="1277"/>
    <w:link w:val="1030"/>
    <w:qFormat/>
    <w:pPr>
      <w:jc w:val="center"/>
      <w:spacing w:before="120" w:after="120" w:line="360" w:lineRule="auto"/>
    </w:pPr>
    <w:rPr>
      <w:rFonts w:eastAsia="仿宋_GB2312"/>
      <w:b/>
      <w:sz w:val="24"/>
      <w:szCs w:val="20"/>
    </w:rPr>
  </w:style>
  <w:style w:type="table" w:styleId="1278">
    <w:name w:val="Table Normal"/>
    <w:next w:val="1278"/>
    <w:link w:val="1030"/>
    <w:uiPriority w:val="2"/>
    <w:unhideWhenUsed/>
    <w:qFormat/>
    <w:pPr>
      <w:widowControl w:val="off"/>
    </w:pPr>
    <w:rPr>
      <w:rFonts w:ascii="Calibri" w:hAnsi="Calibri"/>
      <w:sz w:val="22"/>
      <w:szCs w:val="22"/>
      <w:lang w:val="en-US" w:eastAsia="en-US" w:bidi="ar-SA"/>
    </w:rPr>
    <w:tblPr/>
  </w:style>
  <w:style w:type="paragraph" w:styleId="1279">
    <w:name w:val="Table Paragraph"/>
    <w:basedOn w:val="1030"/>
    <w:next w:val="1279"/>
    <w:link w:val="1030"/>
    <w:uiPriority w:val="1"/>
    <w:qFormat/>
    <w:pPr>
      <w:jc w:val="left"/>
    </w:pPr>
    <w:rPr>
      <w:rFonts w:ascii="宋体" w:hAnsi="宋体" w:cs="宋体"/>
      <w:sz w:val="22"/>
      <w:szCs w:val="22"/>
      <w:lang w:eastAsia="en-US"/>
    </w:rPr>
  </w:style>
  <w:style w:type="paragraph" w:styleId="1280">
    <w:name w:val="成文日期"/>
    <w:basedOn w:val="1030"/>
    <w:next w:val="1280"/>
    <w:link w:val="1281"/>
    <w:qFormat/>
    <w:pPr>
      <w:ind w:right="400" w:firstLine="200"/>
      <w:jc w:val="right"/>
      <w:spacing w:line="570" w:lineRule="exact"/>
    </w:pPr>
    <w:rPr>
      <w:rFonts w:ascii="仿宋_GB2312" w:eastAsia="仿宋_GB2312"/>
      <w:sz w:val="32"/>
      <w:szCs w:val="20"/>
    </w:rPr>
  </w:style>
  <w:style w:type="character" w:styleId="1281">
    <w:name w:val="成文日期 Char"/>
    <w:next w:val="1281"/>
    <w:link w:val="1280"/>
    <w:rPr>
      <w:rFonts w:ascii="仿宋_GB2312" w:eastAsia="仿宋_GB2312"/>
      <w:sz w:val="32"/>
    </w:rPr>
  </w:style>
  <w:style w:type="paragraph" w:styleId="1282">
    <w:name w:val="修订"/>
    <w:next w:val="1282"/>
    <w:link w:val="1030"/>
    <w:uiPriority w:val="99"/>
    <w:unhideWhenUsed/>
    <w:rPr>
      <w:sz w:val="21"/>
      <w:szCs w:val="24"/>
      <w:lang w:val="en-US" w:eastAsia="zh-CN" w:bidi="ar-SA"/>
    </w:rPr>
  </w:style>
  <w:style w:type="paragraph" w:styleId="1283">
    <w:name w:val="正文字缩2字"/>
    <w:basedOn w:val="1030"/>
    <w:next w:val="1283"/>
    <w:link w:val="1030"/>
    <w:qFormat/>
    <w:pPr>
      <w:ind w:left="200" w:firstLine="200"/>
      <w:spacing w:before="60" w:after="60" w:line="360" w:lineRule="auto"/>
    </w:pPr>
    <w:rPr>
      <w:szCs w:val="24"/>
    </w:rPr>
  </w:style>
  <w:style w:type="paragraph" w:styleId="1284">
    <w:name w:val="列出段落11"/>
    <w:basedOn w:val="1030"/>
    <w:next w:val="1284"/>
    <w:link w:val="1030"/>
    <w:uiPriority w:val="34"/>
    <w:qFormat/>
    <w:pPr>
      <w:ind w:firstLine="420"/>
    </w:pPr>
    <w:rPr>
      <w:szCs w:val="22"/>
    </w:rPr>
  </w:style>
  <w:style w:type="paragraph" w:styleId="1285">
    <w:name w:val="正文缩进2格"/>
    <w:basedOn w:val="1030"/>
    <w:next w:val="1030"/>
    <w:link w:val="1030"/>
    <w:qFormat/>
    <w:pPr>
      <w:ind w:firstLine="639"/>
      <w:spacing w:line="600" w:lineRule="exact"/>
    </w:pPr>
    <w:rPr>
      <w:rFonts w:ascii="仿宋_GB2312" w:hAnsi="宋体" w:eastAsia="仿宋_GB2312"/>
      <w:sz w:val="31"/>
      <w:szCs w:val="28"/>
    </w:rPr>
  </w:style>
  <w:style w:type="paragraph" w:styleId="1286">
    <w:name w:val="_Style 9"/>
    <w:basedOn w:val="1030"/>
    <w:next w:val="1128"/>
    <w:link w:val="1030"/>
    <w:uiPriority w:val="34"/>
    <w:qFormat/>
    <w:pPr>
      <w:ind w:firstLine="420"/>
    </w:pPr>
    <w:rPr>
      <w:rFonts w:ascii="Calibri" w:hAnsi="Calibri"/>
      <w:szCs w:val="22"/>
    </w:rPr>
  </w:style>
  <w:style w:type="paragraph" w:styleId="1287">
    <w:name w:val="首行缩进"/>
    <w:basedOn w:val="1030"/>
    <w:next w:val="1287"/>
    <w:link w:val="1030"/>
    <w:qFormat/>
    <w:pPr>
      <w:ind w:firstLine="480"/>
    </w:pPr>
    <w:rPr>
      <w:lang w:val="zh-CN"/>
    </w:rPr>
  </w:style>
  <w:style w:type="paragraph" w:styleId="1288">
    <w:name w:val="投标文件正文"/>
    <w:basedOn w:val="1030"/>
    <w:next w:val="1288"/>
    <w:link w:val="1030"/>
    <w:qFormat/>
    <w:pPr>
      <w:ind w:firstLine="560"/>
      <w:spacing w:line="440" w:lineRule="exact"/>
    </w:pPr>
    <w:rPr>
      <w:rFonts w:ascii="仿宋_GB2312" w:eastAsia="仿宋_GB2312"/>
      <w:bCs/>
      <w:sz w:val="28"/>
      <w:szCs w:val="28"/>
    </w:rPr>
  </w:style>
  <w:style w:type="paragraph" w:styleId="1289">
    <w:name w:val="Table Text"/>
    <w:basedOn w:val="1030"/>
    <w:next w:val="1289"/>
    <w:link w:val="1030"/>
    <w:semiHidden/>
    <w:qFormat/>
    <w:rPr>
      <w:rFonts w:ascii="宋体" w:hAnsi="宋体" w:eastAsia="宋体" w:cs="宋体"/>
      <w:sz w:val="19"/>
      <w:szCs w:val="19"/>
      <w:lang w:val="en-US" w:eastAsia="en-US" w:bidi="ar-SA"/>
    </w:rPr>
  </w:style>
  <w:style w:type="paragraph" w:styleId="1290">
    <w:name w:val="段标题"/>
    <w:basedOn w:val="1030"/>
    <w:next w:val="1045"/>
    <w:link w:val="1030"/>
    <w:qFormat/>
    <w:pPr>
      <w:jc w:val="left"/>
    </w:pPr>
    <w:rPr>
      <w:rFonts w:ascii="黑体" w:hAnsi="宋体" w:eastAsia="黑体"/>
    </w:rPr>
  </w:style>
  <w:style w:type="paragraph" w:styleId="1291">
    <w:name w:val="附件栏"/>
    <w:next w:val="1291"/>
    <w:link w:val="1030"/>
    <w:qFormat/>
    <w:pPr>
      <w:ind w:firstLine="624"/>
      <w:jc w:val="both"/>
      <w:spacing w:line="590" w:lineRule="atLeast"/>
      <w:widowControl w:val="off"/>
    </w:pPr>
    <w:rPr>
      <w:rFonts w:eastAsia="仿宋"/>
      <w:sz w:val="32"/>
      <w:lang w:val="en-US" w:eastAsia="zh-CN" w:bidi="ar-SA"/>
    </w:rPr>
  </w:style>
  <w:style w:type="character" w:styleId="1292">
    <w:name w:val="font51"/>
    <w:next w:val="1292"/>
    <w:link w:val="1030"/>
    <w:qFormat/>
    <w:rPr>
      <w:rFonts w:hint="eastAsia" w:ascii="宋体" w:hAnsi="宋体" w:eastAsia="宋体" w:cs="宋体"/>
      <w:color w:val="000000"/>
      <w:sz w:val="24"/>
      <w:szCs w:val="24"/>
      <w:u w:val="none"/>
    </w:rPr>
  </w:style>
  <w:style w:type="character" w:styleId="1293">
    <w:name w:val="font11"/>
    <w:next w:val="1293"/>
    <w:link w:val="1030"/>
    <w:qFormat/>
    <w:rPr>
      <w:rFonts w:ascii="Calibri" w:hAnsi="Calibri" w:cs="Calibri"/>
      <w:color w:val="000000"/>
      <w:sz w:val="24"/>
      <w:szCs w:val="24"/>
      <w:u w:val="none"/>
    </w:rPr>
  </w:style>
  <w:style w:type="paragraph" w:styleId="1294">
    <w:name w:val="段"/>
    <w:next w:val="1030"/>
    <w:link w:val="1030"/>
    <w:qFormat/>
    <w:pPr>
      <w:ind w:firstLine="200"/>
      <w:jc w:val="both"/>
    </w:pPr>
    <w:rPr>
      <w:rFonts w:ascii="宋体"/>
      <w:sz w:val="21"/>
      <w:lang w:val="en-US" w:eastAsia="zh-CN" w:bidi="ar-SA"/>
    </w:rPr>
  </w:style>
  <w:style w:type="character" w:styleId="1295">
    <w:name w:val="font61"/>
    <w:basedOn w:val="1040"/>
    <w:next w:val="1295"/>
    <w:link w:val="1030"/>
    <w:rPr>
      <w:rFonts w:hint="eastAsia" w:ascii="宋体" w:hAnsi="宋体" w:eastAsia="宋体" w:cs="宋体"/>
      <w:i w:val="0"/>
      <w:iCs w:val="0"/>
      <w:color w:val="000000"/>
      <w:sz w:val="21"/>
      <w:szCs w:val="21"/>
      <w:u w:val="none"/>
      <w:vertAlign w:val="superscript"/>
    </w:rPr>
  </w:style>
  <w:style w:type="character" w:styleId="1296">
    <w:name w:val="font21"/>
    <w:basedOn w:val="1040"/>
    <w:next w:val="1296"/>
    <w:link w:val="1030"/>
    <w:rPr>
      <w:rFonts w:hint="eastAsia" w:ascii="宋体" w:hAnsi="宋体" w:eastAsia="宋体" w:cs="宋体"/>
      <w:b/>
      <w:bCs/>
      <w:i w:val="0"/>
      <w:iCs w:val="0"/>
      <w:color w:val="000000"/>
      <w:sz w:val="21"/>
      <w:szCs w:val="21"/>
      <w:u w:val="none"/>
    </w:rPr>
  </w:style>
  <w:style w:type="character" w:styleId="1297">
    <w:name w:val="font31"/>
    <w:basedOn w:val="1040"/>
    <w:next w:val="1297"/>
    <w:link w:val="1030"/>
    <w:rPr>
      <w:rFonts w:hint="eastAsia" w:ascii="宋体" w:hAnsi="宋体" w:eastAsia="宋体" w:cs="宋体"/>
      <w:i w:val="0"/>
      <w:iCs w:val="0"/>
      <w:color w:val="000000"/>
      <w:sz w:val="24"/>
      <w:szCs w:val="24"/>
      <w:u w:val="none"/>
    </w:rPr>
  </w:style>
  <w:style w:type="character" w:styleId="1298">
    <w:name w:val="font41"/>
    <w:basedOn w:val="1040"/>
    <w:next w:val="1298"/>
    <w:link w:val="1030"/>
    <w:rPr>
      <w:rFonts w:ascii="Times New Roman" w:hAnsi="Times New Roman" w:cs="Times New Roman"/>
      <w:i w:val="0"/>
      <w:iCs w:val="0"/>
      <w:color w:val="000000"/>
      <w:sz w:val="21"/>
      <w:szCs w:val="21"/>
      <w:u w:val="none"/>
    </w:rPr>
  </w:style>
  <w:style w:type="paragraph" w:styleId="1299">
    <w:name w:val="Plain Text"/>
    <w:basedOn w:val="1030"/>
    <w:next w:val="1299"/>
    <w:link w:val="1030"/>
    <w:qFormat/>
    <w:rPr>
      <w:rFonts w:ascii="宋体" w:hAnsi="Courier New" w:eastAsia="楷体_GB2312"/>
      <w:sz w:val="28"/>
    </w:rPr>
  </w:style>
  <w:style w:type="paragraph" w:styleId="1300">
    <w:name w:val="纯文本1"/>
    <w:basedOn w:val="1030"/>
    <w:next w:val="1300"/>
    <w:link w:val="1030"/>
    <w:qFormat/>
    <w:rPr>
      <w:rFonts w:ascii="宋体" w:hAnsi="Courier New" w:eastAsia="楷体_GB2312"/>
      <w:sz w:val="28"/>
    </w:rPr>
  </w:style>
  <w:style w:type="paragraph" w:styleId="1301">
    <w:name w:val="一、"/>
    <w:next w:val="1301"/>
    <w:link w:val="1030"/>
    <w:qFormat/>
    <w:pPr>
      <w:ind w:firstLine="640"/>
      <w:jc w:val="both"/>
      <w:widowControl w:val="off"/>
    </w:pPr>
    <w:rPr>
      <w:rFonts w:ascii="Times New Roman" w:hAnsi="Times New Roman" w:eastAsia="黑体" w:cs="Times New Roman"/>
      <w:sz w:val="21"/>
      <w:szCs w:val="32"/>
      <w:lang w:val="en-US" w:eastAsia="zh-CN" w:bidi="ar-SA"/>
    </w:rPr>
  </w:style>
  <w:style w:type="character" w:styleId="20565" w:default="1">
    <w:name w:val="Default Paragraph Font"/>
    <w:uiPriority w:val="1"/>
    <w:semiHidden/>
    <w:unhideWhenUsed/>
  </w:style>
  <w:style w:type="numbering" w:styleId="20566" w:default="1">
    <w:name w:val="No List"/>
    <w:uiPriority w:val="99"/>
    <w:semiHidden/>
    <w:unhideWhenUsed/>
  </w:style>
  <w:style w:type="table" w:styleId="205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钱小雯</cp:lastModifiedBy>
  <cp:revision>3</cp:revision>
  <dcterms:created xsi:type="dcterms:W3CDTF">2024-07-31T08:33:00Z</dcterms:created>
  <dcterms:modified xsi:type="dcterms:W3CDTF">2026-06-02T04:37:24Z</dcterms:modified>
</cp:coreProperties>
</file>