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757"/>
      </w:pPr>
      <w:r/>
      <w:r/>
    </w:p>
    <w:p>
      <w:pPr>
        <w:pStyle w:val="757"/>
        <w:jc w:val="center"/>
        <w:rPr>
          <w:rFonts w:hint="eastAsia" w:eastAsia="黑体"/>
          <w:sz w:val="24"/>
          <w:szCs w:val="28"/>
          <w:lang w:eastAsia="zh-CN"/>
        </w:rPr>
      </w:pPr>
      <w:r>
        <w:rPr>
          <w:rFonts w:hint="eastAsia" w:ascii="Arial" w:hAnsi="Arial" w:eastAsia="黑体" w:cs="Arial"/>
          <w:b/>
          <w:bCs/>
          <w:sz w:val="60"/>
          <w:szCs w:val="60"/>
          <w:lang w:eastAsia="zh-CN"/>
        </w:rPr>
        <w:t xml:space="preserve">南京医科大学实验室环境提升设备购置采购项目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pStyle w:val="711"/>
        <w:ind w:left="1260"/>
      </w:pPr>
      <w:r/>
      <w:r/>
    </w:p>
    <w:p>
      <w:pPr>
        <w:pStyle w:val="711"/>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JSZC-320000-JCEC-G2026-0143</w:t>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11"/>
        <w:ind w:left="1260"/>
        <w:rPr>
          <w:rFonts w:ascii="Arial" w:hAnsi="Arial" w:cs="Arial"/>
          <w:sz w:val="32"/>
          <w:szCs w:val="32"/>
        </w:rPr>
      </w:pPr>
      <w:r>
        <w:rPr>
          <w:rFonts w:ascii="Arial" w:hAnsi="Arial" w:cs="Arial"/>
          <w:sz w:val="32"/>
          <w:szCs w:val="32"/>
        </w:rPr>
      </w:r>
      <w:r/>
    </w:p>
    <w:p>
      <w:pPr>
        <w:pStyle w:val="711"/>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hint="eastAsia"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5</w:t>
      </w:r>
      <w:r>
        <w:rPr>
          <w:rFonts w:hint="eastAsia" w:ascii="宋体" w:hAnsi="宋体" w:cs="宋体"/>
          <w:b/>
          <w:sz w:val="32"/>
          <w:szCs w:val="32"/>
        </w:rPr>
        <w:t xml:space="preserve">月19日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60"/>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2"/>
        <w:tabs>
          <w:tab w:val="right" w:pos="8296" w:leader="dot"/>
        </w:tabs>
        <w:rPr>
          <w:rFonts w:ascii="Arial" w:hAnsi="Arial" w:cs="Arial"/>
          <w:sz w:val="28"/>
          <w:szCs w:val="28"/>
        </w:rPr>
      </w:pPr>
      <w:r>
        <w:rPr>
          <w:rFonts w:ascii="Arial" w:hAnsi="Arial" w:cs="Arial"/>
          <w:sz w:val="28"/>
          <w:szCs w:val="28"/>
        </w:rPr>
      </w:r>
      <w:r/>
    </w:p>
    <w:p>
      <w:pPr>
        <w:pStyle w:val="722"/>
        <w:spacing w:line="480" w:lineRule="auto"/>
        <w:tabs>
          <w:tab w:val="right" w:pos="8299"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44</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50</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cs="Arial"/>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numPr>
          <w:ilvl w:val="0"/>
          <w:numId w:val="0"/>
        </w:numPr>
        <w:rPr>
          <w:rFonts w:ascii="Arial" w:cs="Arial"/>
        </w:rPr>
      </w:pPr>
      <w:r>
        <w:rPr>
          <w:rFonts w:hint="eastAsia" w:ascii="Arial" w:cs="Arial"/>
          <w:lang w:val="en-US" w:eastAsia="zh-CN"/>
        </w:rPr>
        <w:t xml:space="preserve">第一章</w:t>
      </w:r>
      <w:r>
        <w:rPr>
          <w:rFonts w:hint="eastAsia" w:ascii="Arial" w:cs="Arial"/>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5"/>
      <w:r/>
      <w:bookmarkStart w:id="6" w:name="OLE_LINK7"/>
      <w:r/>
      <w:bookmarkStart w:id="7" w:name="OLE_LINK6"/>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南京医科大学实验室环境提升设备购置采购项目</w:t>
      </w:r>
      <w:r>
        <w:rPr>
          <w:rFonts w:hint="eastAsia" w:ascii="宋体" w:hAnsi="宋体" w:cs="Arial"/>
          <w:szCs w:val="21"/>
          <w:u w:val="single"/>
        </w:rPr>
        <w:t xml:space="preserve"> </w:t>
      </w:r>
      <w:r>
        <w:rPr>
          <w:rFonts w:ascii="Arial" w:hAnsi="Arial" w:cs="Arial"/>
          <w:spacing w:val="8"/>
          <w:szCs w:val="21"/>
        </w:rPr>
        <w:t xml:space="preserve">的潜在供应商应在</w:t>
      </w:r>
      <w:r>
        <w:rPr>
          <w:rFonts w:hint="eastAsia" w:ascii="宋体" w:hAnsi="宋体" w:cs="Arial"/>
          <w:szCs w:val="21"/>
          <w:u w:val="single"/>
        </w:rPr>
        <w:t xml:space="preserve">江苏政府采购网</w:t>
      </w:r>
      <w:r>
        <w:rPr>
          <w:rFonts w:ascii="Arial" w:hAnsi="Arial" w:cs="Arial"/>
          <w:spacing w:val="8"/>
          <w:szCs w:val="21"/>
        </w:rPr>
        <w:t xml:space="preserve">获取招标文件，</w:t>
      </w:r>
      <w:r>
        <w:rPr>
          <w:rFonts w:ascii="Arial" w:hAnsi="Arial" w:cs="Arial"/>
          <w:color w:val="auto"/>
          <w:spacing w:val="8"/>
          <w:szCs w:val="21"/>
        </w:rPr>
        <w:t xml:space="preserve">并于</w:t>
      </w:r>
      <w:r>
        <w:rPr>
          <w:rFonts w:ascii="宋体" w:hAnsi="宋体" w:cs="Arial"/>
          <w:color w:val="auto"/>
          <w:szCs w:val="21"/>
          <w:u w:val="single"/>
        </w:rPr>
        <w:t xml:space="preserve">202</w:t>
      </w:r>
      <w:r>
        <w:rPr>
          <w:rFonts w:hint="eastAsia" w:ascii="宋体" w:hAnsi="宋体" w:cs="Arial"/>
          <w:color w:val="auto"/>
          <w:szCs w:val="21"/>
          <w:u w:val="single"/>
        </w:rPr>
        <w:t xml:space="preserve">6</w:t>
      </w:r>
      <w:r>
        <w:rPr>
          <w:rFonts w:ascii="宋体" w:hAnsi="宋体" w:cs="Arial"/>
          <w:color w:val="auto"/>
          <w:szCs w:val="21"/>
          <w:u w:val="single"/>
        </w:rPr>
        <w:t xml:space="preserve">年</w:t>
      </w:r>
      <w:r>
        <w:rPr>
          <w:rFonts w:hint="eastAsia" w:ascii="宋体" w:hAnsi="宋体" w:cs="Arial"/>
          <w:color w:val="auto"/>
          <w:szCs w:val="21"/>
          <w:u w:val="single"/>
          <w:lang w:val="en-US" w:eastAsia="zh-CN"/>
        </w:rPr>
        <w:t xml:space="preserve">6</w:t>
      </w:r>
      <w:r>
        <w:rPr>
          <w:rFonts w:ascii="宋体" w:hAnsi="宋体" w:cs="Arial"/>
          <w:color w:val="auto"/>
          <w:szCs w:val="21"/>
          <w:u w:val="single"/>
        </w:rPr>
        <w:t xml:space="preserve">月</w:t>
      </w:r>
      <w:r>
        <w:rPr>
          <w:rFonts w:hint="eastAsia" w:ascii="宋体" w:hAnsi="宋体" w:cs="Arial"/>
          <w:color w:val="auto"/>
          <w:szCs w:val="21"/>
          <w:u w:val="single"/>
          <w:lang w:val="en-US" w:eastAsia="zh-CN"/>
        </w:rPr>
        <w:t xml:space="preserve">9</w:t>
      </w:r>
      <w:r>
        <w:rPr>
          <w:rFonts w:ascii="宋体" w:hAnsi="宋体" w:cs="Arial"/>
          <w:color w:val="auto"/>
          <w:szCs w:val="21"/>
          <w:u w:val="single"/>
        </w:rPr>
        <w:t xml:space="preserve">日</w:t>
      </w:r>
      <w:r>
        <w:rPr>
          <w:rFonts w:hint="eastAsia" w:ascii="宋体" w:hAnsi="宋体" w:cs="Arial"/>
          <w:color w:val="auto"/>
          <w:szCs w:val="21"/>
          <w:u w:val="single"/>
        </w:rPr>
        <w:t xml:space="preserve">14</w:t>
      </w:r>
      <w:r>
        <w:rPr>
          <w:rFonts w:ascii="宋体" w:hAnsi="宋体" w:cs="Arial"/>
          <w:color w:val="auto"/>
          <w:szCs w:val="21"/>
          <w:u w:val="single"/>
        </w:rPr>
        <w:t xml:space="preserve">点</w:t>
      </w:r>
      <w:r>
        <w:rPr>
          <w:rFonts w:hint="eastAsia" w:ascii="宋体" w:hAnsi="宋体" w:cs="Arial"/>
          <w:color w:val="auto"/>
          <w:szCs w:val="21"/>
          <w:u w:val="single"/>
        </w:rPr>
        <w:t xml:space="preserve">30</w:t>
      </w:r>
      <w:r>
        <w:rPr>
          <w:rFonts w:ascii="宋体" w:hAnsi="宋体" w:cs="Arial"/>
          <w:color w:val="auto"/>
          <w:szCs w:val="21"/>
          <w:u w:val="single"/>
        </w:rPr>
        <w:t xml:space="preserve">分</w:t>
      </w:r>
      <w:r>
        <w:rPr>
          <w:rFonts w:ascii="Arial" w:hAnsi="Arial" w:cs="Arial"/>
          <w:spacing w:val="8"/>
          <w:szCs w:val="21"/>
        </w:rPr>
        <w:t xml:space="preserve">（北京时间）前递交投标文件。</w:t>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JSZC-320000-JCEC-G2026-0143</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南京医科大学实验室环境提升设备购置采购项目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800</w:t>
      </w:r>
      <w:r>
        <w:rPr>
          <w:rFonts w:hint="eastAsia" w:ascii="Arial" w:hAnsi="Arial" w:cs="Arial"/>
          <w:spacing w:val="8"/>
          <w:szCs w:val="21"/>
        </w:rPr>
        <w:t xml:space="preserve">.00万元</w:t>
      </w:r>
      <w:r/>
    </w:p>
    <w:p>
      <w:pPr>
        <w:ind w:firstLine="452"/>
        <w:spacing w:line="360" w:lineRule="auto"/>
        <w:shd w:val="clear" w:color="auto" w:fill="ffffff" w:themeFill="background1"/>
        <w:widowControl/>
        <w:rPr>
          <w:rFonts w:hint="eastAsia"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800</w:t>
      </w:r>
      <w:r>
        <w:rPr>
          <w:rFonts w:hint="eastAsia" w:ascii="Arial" w:hAnsi="Arial" w:cs="Arial"/>
          <w:spacing w:val="8"/>
          <w:szCs w:val="21"/>
        </w:rPr>
        <w:t xml:space="preserve">.00万元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南京医科大学为满足教学实验需要，需采购动物房空调系统三层过滤系统需要定期进行更换以保证屏障系统内的净化层级。具体需求详见采购文件 第四章 采购需求。</w:t>
      </w:r>
      <w:r/>
    </w:p>
    <w:p>
      <w:pPr>
        <w:pStyle w:val="714"/>
        <w:ind w:firstLine="452"/>
        <w:spacing w:line="360" w:lineRule="auto"/>
        <w:rPr>
          <w:rFonts w:hint="eastAsia" w:ascii="宋体" w:hAnsi="宋体" w:cs="宋体"/>
          <w:color w:val="000000" w:themeColor="text1"/>
          <w:szCs w:val="21"/>
          <w:highlight w:val="none"/>
          <w14:textFill>
            <w14:solidFill>
              <w14:schemeClr w14:val="tx1"/>
            </w14:solidFill>
          </w14:textFill>
        </w:rPr>
      </w:pPr>
      <w:r>
        <w:rPr>
          <w:rFonts w:ascii="Arial" w:hAnsi="Arial" w:cs="Arial"/>
          <w:spacing w:val="8"/>
          <w:szCs w:val="21"/>
          <w:highlight w:val="none"/>
        </w:rPr>
        <w:t xml:space="preserve">1.6</w:t>
      </w:r>
      <w:r>
        <w:rPr>
          <w:rFonts w:hint="eastAsia" w:ascii="Arial" w:hAnsi="Arial" w:cs="Arial"/>
          <w:spacing w:val="8"/>
          <w:szCs w:val="21"/>
          <w:highlight w:val="none"/>
        </w:rPr>
        <w:t xml:space="preserve">合同履行期限：合同签订生效后，60天内全部设备、材料运抵现场，并安装、调试结束，验收合格，交付采购方使用。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1.9本项目</w:t>
      </w:r>
      <w:r>
        <w:rPr>
          <w:rFonts w:hint="eastAsia" w:ascii="Arial" w:hAnsi="Arial" w:cs="Arial"/>
          <w:b/>
          <w:bCs/>
          <w:spacing w:val="8"/>
          <w:szCs w:val="21"/>
          <w:highlight w:val="none"/>
          <w:lang w:val="en-US" w:eastAsia="zh-CN"/>
        </w:rPr>
        <w:t xml:space="preserve">不</w:t>
      </w:r>
      <w:r>
        <w:rPr>
          <w:rFonts w:hint="eastAsia" w:ascii="Arial" w:hAnsi="Arial" w:cs="Arial"/>
          <w:b/>
          <w:bCs/>
          <w:spacing w:val="8"/>
          <w:szCs w:val="21"/>
          <w:highlight w:val="none"/>
        </w:rPr>
        <w:t xml:space="preserve">接受</w:t>
      </w:r>
      <w:r>
        <w:rPr>
          <w:rFonts w:hint="eastAsia" w:ascii="Arial" w:hAnsi="Arial" w:cs="Arial"/>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bookmarkStart w:id="35" w:name="_GoBack"/>
      <w:r/>
      <w:bookmarkEnd w:id="35"/>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highlight w:val="none"/>
        </w:rPr>
      </w:pPr>
      <w:r>
        <w:rPr>
          <w:rFonts w:ascii="Arial" w:hAnsi="Arial" w:cs="Arial"/>
          <w:b/>
          <w:spacing w:val="8"/>
          <w:szCs w:val="21"/>
          <w:highlight w:val="none"/>
        </w:rPr>
        <w:t xml:space="preserve">2.3采购人根据采购项目的特殊要求规定的特定条件，并提供符合特殊要求的证明材料或者情况说明：</w:t>
      </w:r>
      <w:r>
        <w:rPr>
          <w:rFonts w:hint="eastAsia" w:ascii="Arial" w:hAnsi="Arial" w:cs="Arial"/>
          <w:b/>
          <w:spacing w:val="8"/>
          <w:szCs w:val="21"/>
          <w:highlight w:val="none"/>
          <w:lang w:val="en-US" w:eastAsia="zh-CN"/>
        </w:rPr>
        <w:t xml:space="preserve">无</w:t>
      </w:r>
      <w:r>
        <w:rPr>
          <w:rFonts w:hint="eastAsia" w:ascii="Arial" w:hAnsi="Arial" w:cs="Arial"/>
          <w:b/>
          <w:spacing w:val="8"/>
          <w:szCs w:val="21"/>
          <w:highlight w:val="none"/>
        </w:rPr>
        <w:t xml:space="preserve">。</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w:t>
      </w:r>
      <w:r>
        <w:rPr>
          <w:rFonts w:hint="eastAsia" w:ascii="宋体" w:hAnsi="宋体" w:cs="宋体"/>
          <w:b w:val="0"/>
          <w:bCs/>
          <w:color w:val="auto"/>
          <w:szCs w:val="21"/>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w:t>
      </w:r>
      <w:r>
        <w:rPr>
          <w:rFonts w:hint="eastAsia" w:ascii="宋体" w:hAnsi="宋体" w:cs="宋体"/>
          <w:spacing w:val="8"/>
          <w:szCs w:val="21"/>
          <w:lang w:eastAsia="zh-CN"/>
        </w:rPr>
        <w:t xml:space="preserve">：</w:t>
      </w:r>
      <w:r>
        <w:rPr>
          <w:rFonts w:hint="eastAsia" w:ascii="宋体" w:hAnsi="宋体" w:cs="宋体"/>
          <w:spacing w:val="8"/>
          <w:szCs w:val="21"/>
        </w:rPr>
        <w:t xml:space="preserve">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w:t>
      </w:r>
      <w:r>
        <w:rPr>
          <w:rFonts w:hint="eastAsia" w:ascii="宋体" w:hAnsi="宋体" w:cs="宋体"/>
          <w:b/>
          <w:spacing w:val="8"/>
          <w:sz w:val="24"/>
        </w:rPr>
        <w:t xml:space="preserve">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w:t>
      </w:r>
      <w:r>
        <w:rPr>
          <w:rFonts w:hint="eastAsia" w:ascii="宋体" w:hAnsi="宋体" w:cs="宋体"/>
          <w:b/>
          <w:bCs/>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6</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cs="宋体"/>
          <w:b/>
          <w:bCs/>
          <w:spacing w:val="8"/>
          <w:szCs w:val="21"/>
          <w:highlight w:val="none"/>
        </w:rPr>
        <w:t xml:space="preserve">日</w:t>
      </w:r>
      <w:r>
        <w:rPr>
          <w:rFonts w:hint="eastAsia" w:ascii="宋体" w:hAnsi="宋体" w:cs="宋体"/>
          <w:b/>
          <w:bCs/>
          <w:highlight w:val="none"/>
          <w:lang w:val="en-US" w:eastAsia="zh-CN"/>
        </w:rPr>
        <w:t xml:space="preserve">14</w:t>
      </w:r>
      <w:r>
        <w:rPr>
          <w:rFonts w:hint="eastAsia" w:ascii="宋体" w:hAnsi="宋体" w:cs="宋体"/>
          <w:b/>
          <w:bCs/>
          <w:spacing w:val="8"/>
          <w:szCs w:val="21"/>
          <w:highlight w:val="none"/>
        </w:rPr>
        <w:t xml:space="preserve">点</w:t>
      </w:r>
      <w:r>
        <w:rPr>
          <w:rFonts w:hint="eastAsia" w:ascii="宋体" w:hAnsi="宋体" w:cs="宋体"/>
          <w:b/>
          <w:bCs/>
          <w:highlight w:val="none"/>
        </w:rPr>
        <w:t xml:space="preserve">30</w:t>
      </w:r>
      <w:r>
        <w:rPr>
          <w:rFonts w:hint="eastAsia" w:ascii="宋体" w:hAnsi="宋体" w:cs="宋体"/>
          <w:b/>
          <w:bCs/>
          <w:spacing w:val="8"/>
          <w:szCs w:val="21"/>
          <w:highlight w:val="none"/>
        </w:rPr>
        <w:t xml:space="preserve">分</w:t>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 w:val="21"/>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hint="eastAsia" w:ascii="Arial" w:hAnsi="Arial" w:cs="Arial"/>
          <w:bCs/>
          <w:szCs w:val="21"/>
        </w:rPr>
      </w:pPr>
      <w:r>
        <w:rPr>
          <w:rFonts w:hint="eastAsia" w:ascii="Arial" w:hAnsi="Arial" w:cs="Arial"/>
          <w:bCs/>
          <w:szCs w:val="21"/>
        </w:rPr>
        <w:t xml:space="preserve">6.2勘察现场或答疑地点：无。</w:t>
      </w:r>
      <w:r/>
    </w:p>
    <w:p>
      <w:pPr>
        <w:numPr>
          <w:ilvl w:val="0"/>
          <w:numId w:val="0"/>
        </w:numPr>
        <w:ind w:firstLine="424"/>
        <w:spacing w:line="360" w:lineRule="auto"/>
        <w:rPr>
          <w:rFonts w:hint="eastAsia" w:ascii="Arial" w:hAnsi="Arial" w:cs="Arial"/>
          <w:bCs/>
          <w:szCs w:val="21"/>
          <w:lang w:val="en-US" w:eastAsia="zh-CN"/>
        </w:rPr>
      </w:pPr>
      <w:r>
        <w:rPr>
          <w:rFonts w:hint="eastAsia" w:ascii="Arial" w:hAnsi="Arial" w:cs="Arial"/>
          <w:bCs/>
          <w:szCs w:val="21"/>
        </w:rPr>
        <w:t xml:space="preserve">6.3</w:t>
      </w:r>
      <w:r>
        <w:rPr>
          <w:rFonts w:hint="eastAsia" w:ascii="Arial" w:hAnsi="Arial" w:cs="Arial"/>
          <w:bCs/>
          <w:szCs w:val="21"/>
          <w:lang w:val="en-US" w:eastAsia="zh-CN"/>
        </w:rPr>
        <w:t xml:space="preserve">获取招标文件方式补充：本项目采用网上注册登记方式。</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①潜在供应商访问电子招标响应交易平台的网络地址和方法：</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③“CA数字证书”的获取：</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szCs w:val="21"/>
        </w:rPr>
      </w:pPr>
      <w:r>
        <w:rPr>
          <w:rFonts w:hint="eastAsia" w:ascii="Arial" w:hAnsi="Arial" w:cs="Arial"/>
          <w:bCs/>
          <w:szCs w:val="21"/>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 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89"/>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lang w:val="en-US" w:eastAsia="zh-CN"/>
        </w:rPr>
        <w:t xml:space="preserve">包</w:t>
      </w:r>
      <w:r>
        <w:rPr>
          <w:rFonts w:ascii="Arial" w:hAnsi="宋体" w:cs="Arial"/>
          <w:szCs w:val="21"/>
        </w:rPr>
        <w:t xml:space="preserve">。招标货物数量及技术要求中未分</w:t>
      </w:r>
      <w:r>
        <w:rPr>
          <w:rFonts w:hint="eastAsia" w:ascii="Arial" w:hAnsi="宋体" w:cs="Arial"/>
          <w:szCs w:val="21"/>
          <w:lang w:val="en-US" w:eastAsia="zh-CN"/>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lang w:val="en-US" w:eastAsia="zh-CN"/>
        </w:rPr>
        <w:t xml:space="preserve">包</w:t>
      </w:r>
      <w:r>
        <w:rPr>
          <w:rFonts w:ascii="Arial" w:hAnsi="宋体" w:cs="Arial"/>
          <w:szCs w:val="21"/>
        </w:rPr>
        <w:t xml:space="preserve">的，可以以</w:t>
      </w:r>
      <w:r>
        <w:rPr>
          <w:rFonts w:hint="eastAsia" w:ascii="Arial" w:hAnsi="宋体" w:cs="Arial"/>
          <w:szCs w:val="21"/>
          <w:lang w:val="en-US" w:eastAsia="zh-CN"/>
        </w:rPr>
        <w:t xml:space="preserve">包</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lang w:val="en-US" w:eastAsia="zh-CN"/>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lang w:val="en-US" w:eastAsia="zh-CN"/>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5"/>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5"/>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5"/>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lang w:val="en-US" w:eastAsia="zh-CN"/>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shd w:val="clear" w:color="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22.1 评标委员会</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（三）对投标文件进行比较和评价；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（6）现行法律、法规、规章和招标文件规定的其他无效情形。</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评委会并非对每个投标人都做澄清要求。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（2）大写金额和小写金额不一致的，以大写金额为准；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评审因素，包括价格、技术、商务等。</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评标总得分＝F1×A1＋F2×A2＋……＋Fn×An</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F1、F2……Fn分别为各项评审因素的得分；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A1、A2、……An 分别为各项评审因素所占的权重(A1＋A2＋……＋An＝1)。</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23.5 所有投标文件不论中标与否，均不退回。</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（二）质疑项目的名称、编号；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（四）事实依据（具体条款）；</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（五）必要的法律依据（具体条款）；</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（六）提出质疑的日期。</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rPr>
      </w:pPr>
      <w:r>
        <w:rPr>
          <w:rFonts w:hint="eastAsia" w:ascii="Arial" w:hAnsi="Arial" w:cs="Arial"/>
          <w:b/>
          <w:bCs/>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rPr>
          <w:rFonts w:ascii="Arial" w:hAnsi="Arial" w:cs="Arial"/>
        </w:rPr>
      </w:pPr>
      <w:r>
        <w:rPr>
          <w:rFonts w:hint="eastAsia" w:ascii="Arial" w:hAnsi="Arial" w:cs="Arial"/>
        </w:rPr>
        <w:br w:type="page" w:clear="all"/>
      </w:r>
      <w:r/>
    </w:p>
    <w:p>
      <w:pPr>
        <w:pStyle w:val="689"/>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383"/>
        <w:gridCol w:w="5783"/>
        <w:gridCol w:w="682"/>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br w:type="page" w:clear="all"/>
            </w:r>
            <w:r>
              <w:rPr>
                <w:rFonts w:hint="eastAsia" w:ascii="宋体" w:hAnsi="宋体" w:cs="宋体"/>
                <w:b/>
                <w:bCs/>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b/>
                <w:bCs/>
                <w:color w:val="auto"/>
                <w:szCs w:val="21"/>
              </w:rPr>
            </w:pPr>
            <w:r>
              <w:rPr>
                <w:rFonts w:hint="eastAsia" w:ascii="宋体" w:hAnsi="宋体" w:cs="宋体"/>
                <w:b/>
                <w:bCs/>
                <w:color w:val="auto"/>
                <w:szCs w:val="21"/>
              </w:rPr>
              <w:t xml:space="preserve">评分项目</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center"/>
              <w:spacing w:line="360" w:lineRule="exact"/>
              <w:rPr>
                <w:rFonts w:ascii="宋体" w:hAnsi="宋体" w:cs="宋体"/>
                <w:b/>
                <w:bCs/>
                <w:color w:val="auto"/>
                <w:szCs w:val="21"/>
              </w:rPr>
            </w:pPr>
            <w:r>
              <w:rPr>
                <w:rFonts w:hint="eastAsia" w:ascii="宋体" w:hAnsi="宋体" w:cs="宋体"/>
                <w:b/>
                <w:bCs/>
                <w:color w:val="auto"/>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b/>
                <w:bCs/>
                <w:color w:val="auto"/>
                <w:szCs w:val="21"/>
              </w:rPr>
            </w:pPr>
            <w:r>
              <w:rPr>
                <w:rFonts w:hint="eastAsia" w:ascii="宋体" w:hAnsi="宋体" w:cs="宋体"/>
                <w:b/>
                <w:bCs/>
                <w:color w:val="auto"/>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价格分</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360" w:lineRule="exact"/>
              <w:rPr>
                <w:rFonts w:ascii="宋体" w:hAnsi="宋体" w:cs="宋体"/>
                <w:color w:val="auto"/>
                <w:szCs w:val="21"/>
              </w:rPr>
            </w:pPr>
            <w:r>
              <w:rPr>
                <w:rFonts w:hint="eastAsia" w:ascii="宋体" w:hAnsi="宋体" w:cs="宋体"/>
                <w:color w:val="auto"/>
                <w:szCs w:val="21"/>
              </w:rPr>
              <w:t xml:space="preserve">价格分采用低价优先法计算，即满足采购文件要求且报价最低的投标人的最终报价为评审基准价，其价格分为满分30分，其它投标人的价格分统一按照以下公式计算：</w:t>
            </w:r>
            <w:r/>
          </w:p>
          <w:p>
            <w:pPr>
              <w:spacing w:line="360" w:lineRule="exact"/>
              <w:rPr>
                <w:rFonts w:ascii="宋体" w:hAnsi="宋体" w:cs="宋体"/>
                <w:color w:val="auto"/>
                <w:szCs w:val="21"/>
              </w:rPr>
            </w:pPr>
            <w:r>
              <w:rPr>
                <w:rFonts w:hint="eastAsia" w:ascii="宋体" w:hAnsi="宋体" w:cs="宋体"/>
                <w:color w:val="auto"/>
                <w:szCs w:val="21"/>
              </w:rPr>
              <w:t xml:space="preserve">报价得分=(评审基准价/该投标人的最终报价)×30分。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30</w:t>
            </w:r>
            <w:r/>
          </w:p>
        </w:tc>
      </w:tr>
      <w:tr>
        <w:trPr>
          <w:jc w:val="center"/>
          <w:trHeight w:val="3096"/>
        </w:trPr>
        <w:tc>
          <w:tcPr>
            <w:tcBorders>
              <w:left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2</w:t>
            </w:r>
            <w:r/>
          </w:p>
        </w:tc>
        <w:tc>
          <w:tcPr>
            <w:tcBorders>
              <w:left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技术指标</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60" w:lineRule="exact"/>
              <w:widowControl/>
              <w:rPr>
                <w:rFonts w:ascii="宋体" w:hAnsi="宋体" w:cs="宋体"/>
                <w:bCs/>
                <w:color w:val="auto"/>
                <w:szCs w:val="21"/>
              </w:rPr>
            </w:pPr>
            <w:r>
              <w:rPr>
                <w:rFonts w:hint="eastAsia" w:ascii="宋体" w:hAnsi="宋体" w:cs="宋体"/>
                <w:bCs/>
                <w:color w:val="auto"/>
                <w:szCs w:val="21"/>
              </w:rPr>
              <w:t xml:space="preserve">投标产品对招标文件具体需求的响应程度：全部响应即满足招标文件的技术和商务部分等要求的得40分；</w:t>
            </w:r>
            <w:r>
              <w:rPr>
                <w:rFonts w:hint="eastAsia" w:ascii="宋体" w:hAnsi="宋体" w:cs="宋体"/>
                <w:b/>
                <w:bCs/>
                <w:color w:val="auto"/>
                <w:szCs w:val="21"/>
              </w:rPr>
              <w:t xml:space="preserve">用</w:t>
            </w:r>
            <w:r>
              <w:rPr>
                <w:rFonts w:hint="eastAsia" w:ascii="宋体" w:hAnsi="宋体" w:cs="宋体"/>
                <w:color w:val="auto"/>
                <w:szCs w:val="21"/>
              </w:rPr>
              <w:t xml:space="preserve">“</w:t>
            </w:r>
            <w:r>
              <w:rPr>
                <w:rFonts w:hint="eastAsia" w:ascii="宋体" w:hAnsi="宋体" w:cs="宋体"/>
                <w:b/>
                <w:bCs/>
                <w:color w:val="auto"/>
                <w:szCs w:val="21"/>
              </w:rPr>
              <w:t xml:space="preserve">★</w:t>
            </w:r>
            <w:r>
              <w:rPr>
                <w:rFonts w:hint="eastAsia" w:ascii="宋体" w:hAnsi="宋体" w:cs="宋体"/>
                <w:color w:val="auto"/>
                <w:szCs w:val="21"/>
              </w:rPr>
              <w:t xml:space="preserve">”</w:t>
            </w:r>
            <w:r>
              <w:rPr>
                <w:rFonts w:hint="eastAsia" w:ascii="宋体" w:hAnsi="宋体" w:cs="宋体"/>
                <w:b/>
                <w:bCs/>
                <w:color w:val="auto"/>
                <w:szCs w:val="21"/>
              </w:rPr>
              <w:t xml:space="preserve">标注为实质性需求</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如不满足视为未实质性</w:t>
            </w:r>
            <w:r>
              <w:rPr>
                <w:rFonts w:hint="eastAsia" w:ascii="宋体" w:hAnsi="宋体" w:cs="宋体"/>
                <w:b/>
                <w:bCs/>
                <w:color w:val="auto"/>
                <w:szCs w:val="21"/>
                <w:lang w:val="en-US" w:eastAsia="zh-CN"/>
              </w:rPr>
              <w:t xml:space="preserve">响应</w:t>
            </w:r>
            <w:r>
              <w:rPr>
                <w:rFonts w:hint="eastAsia" w:ascii="宋体" w:hAnsi="宋体" w:cs="宋体"/>
                <w:b/>
                <w:bCs/>
                <w:color w:val="auto"/>
                <w:szCs w:val="21"/>
              </w:rPr>
              <w:t xml:space="preserve">，则为无效投标</w:t>
            </w:r>
            <w:r>
              <w:rPr>
                <w:rFonts w:hint="eastAsia" w:ascii="宋体" w:hAnsi="宋体" w:cs="宋体"/>
                <w:b/>
                <w:bCs/>
                <w:color w:val="auto"/>
                <w:szCs w:val="21"/>
                <w:lang w:eastAsia="zh-CN"/>
              </w:rPr>
              <w:t xml:space="preserve">。</w:t>
            </w:r>
            <w:r>
              <w:rPr>
                <w:rFonts w:hint="eastAsia" w:ascii="宋体" w:hAnsi="宋体" w:cs="宋体"/>
                <w:color w:val="auto"/>
                <w:szCs w:val="21"/>
              </w:rPr>
              <w:t xml:space="preserve">“▲”的指标技术偏离为重要参数，出现负偏离每条减</w:t>
            </w:r>
            <w:r>
              <w:rPr>
                <w:rFonts w:hint="eastAsia" w:ascii="宋体" w:hAnsi="宋体" w:cs="宋体"/>
                <w:color w:val="auto"/>
                <w:szCs w:val="21"/>
                <w:lang w:val="en-US" w:eastAsia="zh-CN"/>
              </w:rPr>
              <w:t xml:space="preserve">2.5</w:t>
            </w:r>
            <w:r>
              <w:rPr>
                <w:rFonts w:hint="eastAsia" w:ascii="宋体" w:hAnsi="宋体" w:cs="宋体"/>
                <w:bCs/>
                <w:color w:val="auto"/>
                <w:szCs w:val="21"/>
              </w:rPr>
              <w:t xml:space="preserve">分；</w:t>
            </w:r>
            <w:r>
              <w:rPr>
                <w:rFonts w:hint="eastAsia" w:ascii="宋体" w:hAnsi="宋体" w:cs="宋体"/>
                <w:color w:val="auto"/>
                <w:szCs w:val="21"/>
              </w:rPr>
              <w:t xml:space="preserve">无标记的指标是一般技术条款，出现负偏离每条减</w:t>
            </w:r>
            <w:r>
              <w:rPr>
                <w:rFonts w:hint="eastAsia" w:ascii="宋体" w:hAnsi="宋体" w:cs="宋体"/>
                <w:color w:val="auto"/>
                <w:szCs w:val="21"/>
                <w:lang w:val="en-US" w:eastAsia="zh-CN"/>
              </w:rPr>
              <w:t xml:space="preserve">0.5</w:t>
            </w:r>
            <w:r>
              <w:rPr>
                <w:rFonts w:hint="eastAsia" w:ascii="宋体" w:hAnsi="宋体" w:cs="宋体"/>
                <w:bCs/>
                <w:color w:val="auto"/>
                <w:szCs w:val="21"/>
              </w:rPr>
              <w:t xml:space="preserve">分，扣完为止；</w:t>
            </w:r>
            <w:r>
              <w:rPr>
                <w:rFonts w:hint="eastAsia" w:asciiTheme="minorEastAsia" w:hAnsiTheme="minorEastAsia" w:eastAsiaTheme="minorEastAsia" w:cstheme="minorEastAsia"/>
                <w:color w:val="auto"/>
                <w:szCs w:val="21"/>
              </w:rPr>
              <w:t xml:space="preserve">本项最高得40分。</w:t>
            </w:r>
            <w:r/>
          </w:p>
          <w:p>
            <w:pPr>
              <w:spacing w:line="360" w:lineRule="exact"/>
              <w:rPr>
                <w:rFonts w:ascii="宋体" w:hAnsi="宋体" w:cs="宋体"/>
                <w:bCs/>
                <w:color w:val="auto"/>
                <w:szCs w:val="21"/>
              </w:rPr>
            </w:pPr>
            <w:r>
              <w:rPr>
                <w:rFonts w:hint="eastAsia" w:ascii="宋体" w:hAnsi="宋体" w:cs="宋体"/>
                <w:bCs/>
                <w:color w:val="auto"/>
                <w:szCs w:val="21"/>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p>
          <w:p>
            <w:pPr>
              <w:spacing w:line="360" w:lineRule="exact"/>
              <w:rPr>
                <w:rFonts w:ascii="宋体" w:hAnsi="宋体" w:cs="宋体"/>
                <w:bCs/>
                <w:color w:val="auto"/>
                <w:szCs w:val="21"/>
              </w:rPr>
            </w:pPr>
            <w:r>
              <w:rPr>
                <w:rFonts w:hint="eastAsia" w:ascii="宋体" w:hAnsi="宋体" w:cs="宋体"/>
                <w:bCs/>
                <w:color w:val="auto"/>
                <w:szCs w:val="21"/>
              </w:rPr>
              <w:t xml:space="preserve">注：</w:t>
            </w:r>
            <w:r/>
          </w:p>
          <w:p>
            <w:pPr>
              <w:spacing w:line="360" w:lineRule="exact"/>
              <w:rPr>
                <w:rFonts w:ascii="宋体" w:hAnsi="宋体" w:cs="宋体"/>
                <w:bCs/>
                <w:color w:val="auto"/>
                <w:szCs w:val="21"/>
              </w:rPr>
            </w:pPr>
            <w:r>
              <w:rPr>
                <w:rFonts w:hint="eastAsia" w:ascii="宋体" w:hAnsi="宋体" w:cs="宋体"/>
                <w:bCs/>
                <w:color w:val="auto"/>
                <w:szCs w:val="21"/>
              </w:rPr>
              <w:t xml:space="preserve">（1）若投标人自行提供的佐证材料与投标人的响应承诺不一致的，评标委员会将以不利于投标人的内容为准进行评审（负偏离）。</w:t>
            </w:r>
            <w:r/>
          </w:p>
          <w:p>
            <w:pPr>
              <w:spacing w:line="360" w:lineRule="exact"/>
              <w:rPr>
                <w:rFonts w:ascii="宋体" w:hAnsi="宋体" w:cs="宋体"/>
                <w:b/>
                <w:color w:val="auto"/>
                <w:szCs w:val="21"/>
              </w:rPr>
            </w:pPr>
            <w:r>
              <w:rPr>
                <w:rFonts w:hint="eastAsia" w:ascii="宋体" w:hAnsi="宋体" w:cs="宋体"/>
                <w:bCs/>
                <w:color w:val="auto"/>
                <w:szCs w:val="21"/>
              </w:rPr>
              <w:t xml:space="preserve">（2）投标人须认真核实所有技术支持资料，并对其在投标文件中提供的技术支持资料的真实性负责，并承担由此带来的一切法律责任和后果。</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40</w:t>
            </w:r>
            <w:r/>
          </w:p>
        </w:tc>
      </w:tr>
      <w:tr>
        <w:trPr>
          <w:jc w:val="center"/>
          <w:trHeight w:val="1156"/>
        </w:trPr>
        <w:tc>
          <w:tcPr>
            <w:tcBorders>
              <w:left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3</w:t>
            </w:r>
            <w:r/>
          </w:p>
        </w:tc>
        <w:tc>
          <w:tcPr>
            <w:tcBorders>
              <w:left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业绩</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pStyle w:val="706"/>
              <w:rPr>
                <w:rFonts w:ascii="宋体" w:hAnsi="宋体" w:cs="宋体"/>
                <w:color w:val="auto"/>
                <w:szCs w:val="21"/>
              </w:rPr>
            </w:pPr>
            <w:r>
              <w:rPr>
                <w:rFonts w:hint="eastAsia" w:ascii="宋体" w:hAnsi="宋体" w:cs="宋体"/>
                <w:color w:val="auto"/>
                <w:szCs w:val="21"/>
              </w:rPr>
              <w:t xml:space="preserve">自2022年1月1日以来（以合同签订时间为准），投标人具有同类项目供货业绩的，每提供一个有效业绩得2分，满分8分。</w:t>
            </w:r>
            <w:r/>
          </w:p>
          <w:p>
            <w:pPr>
              <w:pStyle w:val="706"/>
              <w:rPr>
                <w:rFonts w:ascii="宋体" w:hAnsi="宋体" w:cs="宋体"/>
                <w:color w:val="auto"/>
                <w:szCs w:val="21"/>
              </w:rPr>
            </w:pPr>
            <w:r>
              <w:rPr>
                <w:rFonts w:hint="eastAsia" w:ascii="宋体" w:hAnsi="宋体" w:cs="宋体"/>
                <w:color w:val="auto"/>
                <w:szCs w:val="21"/>
              </w:rPr>
              <w:t xml:space="preserve">注：</w:t>
            </w:r>
            <w:r/>
          </w:p>
          <w:p>
            <w:pPr>
              <w:pStyle w:val="706"/>
              <w:rPr>
                <w:rFonts w:ascii="宋体" w:hAnsi="宋体" w:cs="宋体"/>
                <w:color w:val="auto"/>
                <w:szCs w:val="21"/>
              </w:rPr>
            </w:pPr>
            <w:r>
              <w:rPr>
                <w:rFonts w:hint="eastAsia" w:ascii="宋体" w:hAnsi="宋体" w:cs="宋体"/>
                <w:color w:val="auto"/>
                <w:szCs w:val="21"/>
              </w:rPr>
              <w:t xml:space="preserve">（1）要求业绩为投标人与终端使用单位签订的业绩，正在履约或履约完成的业绩均可。同类项目业绩是指合同中至少包含本项目核心产品（无影智控层流罩、语音交互版智慧物联核心监控系统）的供货内容。</w:t>
            </w:r>
            <w:r/>
          </w:p>
          <w:p>
            <w:pPr>
              <w:pStyle w:val="706"/>
              <w:rPr>
                <w:rFonts w:ascii="宋体" w:hAnsi="宋体" w:cs="宋体"/>
                <w:color w:val="auto"/>
                <w:szCs w:val="21"/>
              </w:rPr>
            </w:pPr>
            <w:r>
              <w:rPr>
                <w:rFonts w:hint="eastAsia" w:ascii="宋体" w:hAnsi="宋体" w:cs="宋体"/>
                <w:color w:val="auto"/>
                <w:szCs w:val="21"/>
              </w:rPr>
              <w:t xml:space="preserve">（2）投标文件须提供中标公告链接、中标通知书、合同扫描件、终端使用单位的联系人和联系电话、施工现场图片（针对正在履约业绩）、验收报告扫描件（针对履约完成业绩）；如上述证明材料中无法体现供货内容、合同签订时间等关键评审内容的，须另附终端使用单位（合同甲方）出具的证明材</w:t>
            </w:r>
            <w:r>
              <w:rPr>
                <w:rFonts w:hint="eastAsia" w:ascii="宋体" w:hAnsi="宋体" w:cs="宋体"/>
                <w:color w:val="auto"/>
                <w:szCs w:val="21"/>
                <w:lang w:val="en-US" w:eastAsia="zh-CN"/>
              </w:rPr>
              <w:t xml:space="preserve">料</w:t>
            </w:r>
            <w:r>
              <w:rPr>
                <w:rFonts w:hint="eastAsia" w:ascii="宋体" w:hAnsi="宋体" w:cs="宋体"/>
                <w:color w:val="auto"/>
                <w:szCs w:val="21"/>
              </w:rPr>
              <w:t xml:space="preserve">。</w:t>
            </w:r>
            <w:r/>
          </w:p>
          <w:p>
            <w:pPr>
              <w:pStyle w:val="706"/>
              <w:rPr>
                <w:rFonts w:ascii="宋体" w:hAnsi="宋体" w:cs="宋体"/>
                <w:color w:val="auto"/>
                <w:szCs w:val="21"/>
              </w:rPr>
            </w:pPr>
            <w:r>
              <w:rPr>
                <w:rFonts w:hint="eastAsia" w:ascii="宋体" w:hAnsi="宋体" w:cs="宋体"/>
                <w:color w:val="auto"/>
                <w:szCs w:val="21"/>
              </w:rPr>
              <w:t xml:space="preserve">（3）投标人承诺业绩的真实性，若中标，投标人须配合采购人或相关方对其承诺的业绩进行实地考察与核实，并承担因业绩不实而产生的一切法律责任。</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8</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4</w:t>
            </w:r>
            <w:r/>
          </w:p>
        </w:tc>
        <w:tc>
          <w:tcPr>
            <w:tcBorders>
              <w:left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设备功能演示</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360" w:lineRule="exact"/>
              <w:rPr>
                <w:rFonts w:ascii="宋体" w:hAnsi="宋体" w:cs="宋体"/>
                <w:bCs/>
                <w:color w:val="auto"/>
                <w:szCs w:val="21"/>
              </w:rPr>
            </w:pPr>
            <w:r>
              <w:rPr>
                <w:rFonts w:hint="eastAsia" w:ascii="宋体" w:hAnsi="宋体" w:cs="宋体"/>
                <w:bCs/>
                <w:color w:val="auto"/>
                <w:szCs w:val="21"/>
              </w:rPr>
              <w:t xml:space="preserve">根据各投标人对“技术指标”中各项参数要求的响应情况由评委进行评议并打分：标注“█”的技术参数为演示项，完全满足招标文件要求的得15分，每负偏离一项扣3分【共计5项，合计15分】；扣完为止，正偏离不加分。</w:t>
            </w:r>
            <w:r/>
          </w:p>
          <w:p>
            <w:pPr>
              <w:spacing w:line="360" w:lineRule="exact"/>
              <w:rPr>
                <w:rFonts w:ascii="宋体" w:hAnsi="宋体" w:cs="宋体"/>
                <w:bCs/>
                <w:color w:val="auto"/>
                <w:szCs w:val="21"/>
              </w:rPr>
            </w:pPr>
            <w:r>
              <w:rPr>
                <w:rFonts w:hint="eastAsia" w:ascii="宋体" w:hAnsi="宋体" w:cs="宋体"/>
                <w:bCs/>
                <w:color w:val="auto"/>
                <w:szCs w:val="21"/>
              </w:rPr>
              <w:t xml:space="preserve">备注：</w:t>
            </w:r>
            <w:r/>
          </w:p>
          <w:p>
            <w:pPr>
              <w:spacing w:line="360" w:lineRule="exact"/>
              <w:rPr>
                <w:rFonts w:ascii="宋体" w:hAnsi="宋体" w:cs="宋体"/>
                <w:bCs/>
                <w:color w:val="auto"/>
                <w:szCs w:val="21"/>
              </w:rPr>
            </w:pPr>
            <w:r>
              <w:rPr>
                <w:rFonts w:hint="eastAsia" w:ascii="宋体" w:hAnsi="宋体" w:cs="宋体"/>
                <w:bCs/>
                <w:color w:val="auto"/>
                <w:szCs w:val="21"/>
              </w:rPr>
              <w:t xml:space="preserve">（1）需提供视频演示，演示时间不超过10分钟。未提供演示视频或演示内容无法证明相应参数功能实现的，对应评审项按负偏离计算。</w:t>
            </w:r>
            <w:r/>
          </w:p>
          <w:p>
            <w:pPr>
              <w:spacing w:line="360" w:lineRule="exact"/>
              <w:rPr>
                <w:rFonts w:ascii="宋体" w:hAnsi="宋体" w:cs="宋体"/>
                <w:bCs/>
                <w:color w:val="auto"/>
                <w:szCs w:val="21"/>
              </w:rPr>
            </w:pPr>
            <w:r>
              <w:rPr>
                <w:rFonts w:hint="eastAsia" w:ascii="宋体" w:hAnsi="宋体" w:cs="宋体"/>
                <w:bCs/>
                <w:color w:val="auto"/>
                <w:szCs w:val="21"/>
              </w:rPr>
              <w:t xml:space="preserve">（2）证明材料中需提供实物视频的，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PPT演示的视为无效证明材料。</w:t>
            </w:r>
            <w:r/>
          </w:p>
          <w:p>
            <w:pPr>
              <w:spacing w:line="360" w:lineRule="exact"/>
              <w:rPr>
                <w:rFonts w:ascii="宋体" w:hAnsi="宋体" w:cs="宋体"/>
                <w:bCs/>
                <w:color w:val="auto"/>
                <w:szCs w:val="21"/>
              </w:rPr>
            </w:pPr>
            <w:r>
              <w:rPr>
                <w:rFonts w:hint="eastAsia" w:ascii="宋体" w:hAnsi="宋体" w:cs="宋体"/>
                <w:bCs/>
                <w:color w:val="auto"/>
                <w:szCs w:val="21"/>
              </w:rPr>
              <w:t xml:space="preserve">（3）为保证</w:t>
            </w:r>
            <w:r>
              <w:rPr>
                <w:rFonts w:hint="eastAsia" w:ascii="宋体" w:hAnsi="宋体" w:cs="宋体"/>
                <w:bCs/>
                <w:color w:val="auto"/>
                <w:szCs w:val="21"/>
                <w:lang w:val="en-US" w:eastAsia="zh-CN"/>
              </w:rPr>
              <w:t xml:space="preserve">设备功能</w:t>
            </w:r>
            <w:r>
              <w:rPr>
                <w:rFonts w:hint="eastAsia" w:ascii="宋体" w:hAnsi="宋体" w:cs="宋体"/>
                <w:bCs/>
                <w:color w:val="auto"/>
                <w:szCs w:val="21"/>
              </w:rPr>
              <w:t xml:space="preserve">的真实性，须使用所投产品的同型号规格产品进行实景拍摄</w:t>
            </w:r>
            <w:r>
              <w:rPr>
                <w:rFonts w:hint="eastAsia" w:ascii="宋体" w:hAnsi="宋体" w:cs="宋体"/>
                <w:bCs/>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15</w:t>
            </w:r>
            <w:r/>
          </w:p>
        </w:tc>
      </w:tr>
      <w:tr>
        <w:trPr>
          <w:jc w:val="center"/>
          <w:trHeight w:val="291"/>
        </w:trPr>
        <w:tc>
          <w:tcPr>
            <w:tcBorders>
              <w:left w:val="single" w:color="auto" w:sz="4" w:space="0"/>
              <w:right w:val="single" w:color="auto" w:sz="4" w:space="0"/>
            </w:tcBorders>
            <w:tcW w:w="39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5</w:t>
            </w:r>
            <w:r/>
          </w:p>
        </w:tc>
        <w:tc>
          <w:tcPr>
            <w:tcBorders>
              <w:left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项目实施方案</w:t>
            </w:r>
            <w:r/>
          </w:p>
        </w:tc>
        <w:tc>
          <w:tcPr>
            <w:tcBorders>
              <w:top w:val="single" w:color="auto" w:sz="4" w:space="0"/>
              <w:left w:val="single" w:color="auto" w:sz="4" w:space="0"/>
              <w:right w:val="single" w:color="auto" w:sz="4" w:space="0"/>
            </w:tcBorders>
            <w:tcW w:w="3396" w:type="pct"/>
            <w:vAlign w:val="center"/>
            <w:textDirection w:val="lrTb"/>
            <w:noWrap w:val="false"/>
          </w:tcPr>
          <w:p>
            <w:pPr>
              <w:pStyle w:val="711"/>
              <w:ind w:left="0"/>
              <w:spacing w:line="360" w:lineRule="exact"/>
              <w:rPr>
                <w:rFonts w:ascii="宋体" w:hAnsi="宋体" w:cs="宋体"/>
                <w:color w:val="auto"/>
                <w:szCs w:val="21"/>
                <w:lang w:val="zh-CN"/>
              </w:rPr>
            </w:pPr>
            <w:r>
              <w:rPr>
                <w:rFonts w:hint="eastAsia" w:ascii="宋体" w:hAnsi="宋体" w:cs="宋体"/>
                <w:color w:val="auto"/>
                <w:szCs w:val="21"/>
                <w:lang w:val="zh-CN"/>
              </w:rPr>
              <w:t xml:space="preserve">根据项目实际情况，投标人提供项目实施安装方案，包含但不限于供货方案，技术方案，项目设计效果（平面布局、设备安装效果图、360°效果漫游）等。</w:t>
            </w:r>
            <w:r/>
          </w:p>
          <w:p>
            <w:pPr>
              <w:pStyle w:val="711"/>
              <w:ind w:left="0"/>
              <w:spacing w:line="360" w:lineRule="exact"/>
              <w:rPr>
                <w:rFonts w:ascii="宋体" w:hAnsi="宋体" w:cs="宋体"/>
                <w:color w:val="auto"/>
                <w:szCs w:val="21"/>
                <w:lang w:val="zh-CN"/>
              </w:rPr>
            </w:pPr>
            <w:r>
              <w:rPr>
                <w:rFonts w:hint="eastAsia" w:ascii="宋体" w:hAnsi="宋体" w:cs="宋体"/>
                <w:color w:val="auto"/>
                <w:szCs w:val="21"/>
                <w:lang w:val="zh-CN"/>
              </w:rPr>
              <w:t xml:space="preserve">方案详细，布局得当，完全满足使用方实际需要的，得7分；方案、布局和安装效果须进一步完善的，得3分；不可行或未提供相关内容的不得分。</w:t>
            </w:r>
            <w:r/>
          </w:p>
        </w:tc>
        <w:tc>
          <w:tcPr>
            <w:tcBorders>
              <w:top w:val="single" w:color="auto" w:sz="4" w:space="0"/>
              <w:left w:val="single" w:color="auto" w:sz="4" w:space="0"/>
              <w:right w:val="single" w:color="auto" w:sz="4" w:space="0"/>
            </w:tcBorders>
            <w:tcW w:w="400" w:type="pct"/>
            <w:vAlign w:val="center"/>
            <w:textDirection w:val="lrTb"/>
            <w:noWrap w:val="false"/>
          </w:tcPr>
          <w:p>
            <w:pPr>
              <w:jc w:val="center"/>
              <w:spacing w:line="360" w:lineRule="exact"/>
              <w:tabs>
                <w:tab w:val="center" w:pos="251" w:leader="none"/>
                <w:tab w:val="left" w:pos="365" w:leader="none"/>
              </w:tabs>
              <w:rPr>
                <w:rFonts w:ascii="宋体" w:hAnsi="宋体" w:cs="宋体"/>
                <w:color w:val="auto"/>
                <w:szCs w:val="21"/>
              </w:rPr>
            </w:pPr>
            <w:r>
              <w:rPr>
                <w:rFonts w:hint="eastAsia" w:ascii="宋体" w:hAnsi="宋体" w:cs="宋体"/>
                <w:color w:val="auto"/>
                <w:szCs w:val="21"/>
              </w:rPr>
              <w:t xml:space="preserve">7</w:t>
            </w:r>
            <w:r/>
          </w:p>
        </w:tc>
      </w:tr>
      <w:tr>
        <w:trPr>
          <w:jc w:val="center"/>
          <w:trHeight w:val="206"/>
        </w:trPr>
        <w:tc>
          <w:tcPr>
            <w:tcBorders>
              <w:left w:val="single" w:color="auto" w:sz="4" w:space="0"/>
              <w:right w:val="single" w:color="auto" w:sz="4" w:space="0"/>
            </w:tcBorders>
            <w:tcW w:w="390" w:type="pct"/>
            <w:vAlign w:val="center"/>
            <w:textDirection w:val="lrTb"/>
            <w:noWrap w:val="false"/>
          </w:tcPr>
          <w:p>
            <w:pPr>
              <w:jc w:val="center"/>
              <w:spacing w:line="360" w:lineRule="exact"/>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c>
          <w:tcPr>
            <w:tcBorders>
              <w:left w:val="single" w:color="auto" w:sz="4" w:space="0"/>
              <w:right w:val="single" w:color="auto" w:sz="4" w:space="0"/>
            </w:tcBorders>
            <w:tcW w:w="812"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合计</w:t>
            </w:r>
            <w:r/>
          </w:p>
        </w:tc>
        <w:tc>
          <w:tcPr>
            <w:tcBorders>
              <w:left w:val="single" w:color="auto" w:sz="4" w:space="0"/>
              <w:right w:val="single" w:color="auto" w:sz="4" w:space="0"/>
            </w:tcBorders>
            <w:tcW w:w="3396" w:type="pct"/>
            <w:vAlign w:val="center"/>
            <w:textDirection w:val="lrTb"/>
            <w:noWrap w:val="false"/>
          </w:tcPr>
          <w:p>
            <w:pPr>
              <w:jc w:val="center"/>
              <w:spacing w:line="360" w:lineRule="exact"/>
              <w:rPr>
                <w:rFonts w:ascii="宋体" w:hAnsi="宋体" w:cs="宋体"/>
                <w:color w:val="auto"/>
                <w:szCs w:val="21"/>
              </w:rPr>
            </w:pPr>
            <w:r>
              <w:rPr>
                <w:rFonts w:ascii="宋体" w:hAnsi="宋体" w:cs="宋体"/>
                <w:color w:val="auto"/>
                <w:szCs w:val="21"/>
              </w:rPr>
            </w:r>
            <w:r/>
          </w:p>
        </w:tc>
        <w:tc>
          <w:tcPr>
            <w:tcBorders>
              <w:left w:val="single" w:color="auto" w:sz="4" w:space="0"/>
              <w:right w:val="single" w:color="auto" w:sz="4" w:space="0"/>
            </w:tcBorders>
            <w:tcW w:w="400"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rPr>
      </w:pPr>
      <w:r/>
      <w:bookmarkStart w:id="19" w:name="_Toc26668"/>
      <w:r>
        <w:rPr>
          <w:rFonts w:ascii="Arial" w:hAnsi="Arial" w:cs="Arial"/>
        </w:rPr>
        <w:br w:type="page" w:clear="all"/>
      </w:r>
      <w:r/>
    </w:p>
    <w:p>
      <w:pPr>
        <w:pStyle w:val="689"/>
        <w:numPr>
          <w:ilvl w:val="0"/>
          <w:numId w:val="0"/>
        </w:numPr>
        <w:rPr>
          <w:rFonts w:ascii="Arial" w:hAnsi="Arial" w:cs="Arial"/>
          <w:highlight w:val="green"/>
        </w:rPr>
      </w:pPr>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76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提升南京医科大学江宁校区专业教学实践条件与实验室环境质量，拟为江宁校区至善楼一层的4间实验室、1间标本制作间，二层的4间实验室采购配套解剖台及通排风净化系统。本次采购旨在保障教学实验安全，优化师生操作环境，满足医学专业人才培养的实践教学需求。</w:t>
      </w:r>
      <w:bookmarkEnd w:id="23"/>
      <w:bookmarkEnd w:id="24"/>
      <w:r/>
    </w:p>
    <w:p>
      <w:pPr>
        <w:pStyle w:val="973"/>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bookmarkStart w:id="27" w:name="OLE_LINK12"/>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9991"/>
      <w:r/>
      <w:bookmarkStart w:id="29" w:name="_Toc29315"/>
      <w:r/>
      <w:bookmarkStart w:id="30" w:name="_Toc2652"/>
      <w:r/>
      <w:bookmarkEnd w:id="27"/>
      <w:r/>
    </w:p>
    <w:p>
      <w:pPr>
        <w:ind w:firstLine="422"/>
        <w:spacing w:line="360" w:lineRule="auto"/>
        <w:rPr>
          <w:rFonts w:hint="eastAsia" w:ascii="宋体" w:hAnsi="宋体" w:cs="宋体"/>
          <w:b/>
          <w:bCs/>
          <w:szCs w:val="21"/>
        </w:rPr>
      </w:pPr>
      <w:r>
        <w:rPr>
          <w:rFonts w:hint="eastAsia" w:ascii="宋体" w:hAnsi="宋体" w:cs="宋体"/>
          <w:b/>
          <w:bCs/>
          <w:szCs w:val="21"/>
        </w:rPr>
        <w:t xml:space="preserve">用★标注为实质性需求，如不满足视为未实质性</w:t>
      </w:r>
      <w:r>
        <w:rPr>
          <w:rFonts w:hint="eastAsia" w:ascii="宋体" w:hAnsi="宋体" w:cs="宋体"/>
          <w:b/>
          <w:bCs/>
          <w:szCs w:val="21"/>
          <w:lang w:val="en-US" w:eastAsia="zh-CN"/>
        </w:rPr>
        <w:t xml:space="preserve">响应</w:t>
      </w:r>
      <w:r>
        <w:rPr>
          <w:rFonts w:hint="eastAsia" w:ascii="宋体" w:hAnsi="宋体" w:cs="宋体"/>
          <w:b/>
          <w:bCs/>
          <w:szCs w:val="21"/>
        </w:rPr>
        <w:t xml:space="preserve">，则为无效投标。用▲标注为重要参数，用作负偏离扣分项。</w:t>
      </w:r>
      <w:r/>
    </w:p>
    <w:tbl>
      <w:tblPr>
        <w:tblStyle w:val="69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39"/>
        <w:gridCol w:w="1264"/>
        <w:gridCol w:w="5584"/>
        <w:gridCol w:w="925"/>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bidi="ar"/>
              </w:rPr>
              <w:t xml:space="preserve">仪器设备名称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center"/>
              <w:widowControl/>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bidi="ar"/>
              </w:rPr>
              <w:t xml:space="preserve">关键性能参数</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bidi="ar"/>
              </w:rPr>
              <w:t xml:space="preserve">数量（台套）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二体位数智型双升降净化解剖台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1.尺寸：长2260mm*宽800mm*高950mm（±30mm）；工作电压：220V/50Hz；材质：国标304不锈钢，厚度≥1.2mm。</w:t>
            </w:r>
            <w:r>
              <w:rPr>
                <w:rFonts w:hint="eastAsia" w:asciiTheme="minorEastAsia" w:hAnsiTheme="minorEastAsia" w:eastAsiaTheme="minorEastAsia" w:cstheme="minorEastAsia"/>
                <w:color w:val="auto"/>
                <w:szCs w:val="21"/>
                <w:lang w:bidi="ar"/>
              </w:rPr>
              <w:br/>
            </w:r>
            <w:r>
              <w:rPr>
                <w:rFonts w:hint="eastAsia" w:ascii="宋体" w:hAnsi="宋体" w:cs="宋体"/>
                <w:b w:val="0"/>
                <w:bCs w:val="0"/>
                <w:color w:val="auto"/>
                <w:szCs w:val="21"/>
              </w:rPr>
              <w:t xml:space="preserve">★</w:t>
            </w:r>
            <w:r>
              <w:rPr>
                <w:rFonts w:hint="eastAsia" w:asciiTheme="minorEastAsia" w:hAnsiTheme="minorEastAsia" w:eastAsiaTheme="minorEastAsia" w:cstheme="minorEastAsia"/>
                <w:color w:val="auto"/>
                <w:szCs w:val="21"/>
                <w:lang w:bidi="ar"/>
              </w:rPr>
              <w:t xml:space="preserve">2.箱体内采用分层方式储存，双层台面板可实现自动化协同开降；解剖台两侧外置标本置换限位模块，可实现分层台面板平稳平移置放。提供由国家认可的检测机构出具的带CMA标识的检测报告扫描件。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▲3.解剖台有效容积：≥800L，内箱体储藏高度≥650mmm，升降平台承载重量≥180kg，解剖台标本置换限位模块承重≥180kg。提供由国家认可的检测机构出具的带CMA标识的检测报告扫描件。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解剖台可实现双标本存储，借由限位模块单人可轻松完成上下两层操作台面的互换工作；双层操作台面可以在行程内任意位置升降和固定；台面从最低处上升到操作高度的时间＜60s。（提供符合本项指标要求的解剖实验室实景拍摄下的实物拍摄视频）</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设置特殊功能控制键，可灵活切换置换模式、上课模式；当使用置换模式时，解剖台能够自动匹配并切换至相应的置换层，可单人操作进行标本的置换工作；在上课模式下，可与置换模式协同作业下，完成指定标本快速到达解剖位。（提供符合本项指标要求的解剖实验室实景拍摄下的实物拍摄视频）</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手/自动模式，在置换标本时，可以选择自动置换模式与手动置换模式。自动置换模式下可以一键式完成标本的置换。手动置换时可以实现手动逐一控制每个标本位置并且互不影响，同时在上课模式下可以根据手动模式调整解剖台面的高度以适应不同厚度标本。（提供符合本项指标要求的解剖实验室实景拍摄下的实物拍摄视频）</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7.解剖操作和学生课桌多重功能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w:t>
            </w:r>
            <w:r>
              <w:rPr>
                <w:rFonts w:hint="eastAsia" w:ascii="宋体" w:hAnsi="宋体" w:cs="宋体"/>
                <w:b w:val="0"/>
                <w:bCs w:val="0"/>
                <w:color w:val="auto"/>
                <w:szCs w:val="21"/>
                <w:lang w:val="en-US" w:eastAsia="zh-CN"/>
              </w:rPr>
              <w:t xml:space="preserve">解剖台升降系统应能保证设备在满载（≥180kg）条件下平稳运行，重复定位精度≤0.1mm，响应时间≤10ms。驱动方式可采用伺服电机或其他同等及以上精度的驱动方案。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解剖台内置芯片并配套数据接口，当标本转运车运送标本至解剖台交互区域，采集大体标本信息绑定对应解剖台，实现数据的对接；对接成功后，解剖台能够识别标本并将数据信息实时录入系统，实现标本从采集到教学的全流程追溯，提高了管理效率和数据准确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▲10.解剖台配置智能云控台可控制配套无影智控层流罩开关，无极调节无影照明的亮度（0-100%）；具备解剖台设备锁启闭功能。提供由国家认可的检测机构出具的带CMA标识的检测报告扫描件。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11.含解剖台设备接入排风管的阀门，解剖台设备安装及调试。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三体位净化解剖台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1.产品规格不大于：2200*800*900mm。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2.材质：优质SUS304不锈钢，材料厚度≥国标1.2mm，采用不锈钢拉丝工艺。</w:t>
            </w:r>
            <w:r>
              <w:rPr>
                <w:rFonts w:hint="eastAsia" w:asciiTheme="minorEastAsia" w:hAnsiTheme="minorEastAsia" w:eastAsiaTheme="minorEastAsia" w:cstheme="minorEastAsia"/>
                <w:color w:val="auto"/>
                <w:szCs w:val="21"/>
                <w:lang w:bidi="ar"/>
              </w:rPr>
              <w:br/>
            </w:r>
            <w:r>
              <w:rPr>
                <w:rFonts w:hint="eastAsia" w:ascii="宋体" w:hAnsi="宋体" w:cs="宋体"/>
                <w:b w:val="0"/>
                <w:bCs w:val="0"/>
                <w:color w:val="auto"/>
                <w:szCs w:val="21"/>
              </w:rPr>
              <w:t xml:space="preserve">★</w:t>
            </w:r>
            <w:r>
              <w:rPr>
                <w:rFonts w:hint="eastAsia" w:asciiTheme="minorEastAsia" w:hAnsiTheme="minorEastAsia" w:eastAsiaTheme="minorEastAsia" w:cstheme="minorEastAsia"/>
                <w:color w:val="auto"/>
                <w:szCs w:val="21"/>
                <w:lang w:bidi="ar"/>
              </w:rPr>
              <w:t xml:space="preserve">3.结构：解剖台内三层。底部采用加强支撑设计，箱体稳固。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4.内箱体为不锈钢板冲压成形，外箱体外部与风口联接部分带有匀风装置。内外箱体间的间隔支撑为F25×50 SUS304不锈钢方管。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5.箱盖上面四周高出台面0.8cm,方便标本解剖和器材摆放，不易滑落损坏。</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6.解剖台盖有凹槽止口设计，上部边沿配备环形抽风孔，底部留有能与室内通风道相连接的通风口及通风设施。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7.功能：①</w:t>
            </w:r>
            <w:r>
              <w:rPr>
                <w:rFonts w:hint="eastAsia" w:asciiTheme="minorEastAsia" w:hAnsiTheme="minorEastAsia" w:eastAsiaTheme="minorEastAsia" w:cstheme="minorEastAsia"/>
                <w:color w:val="auto"/>
                <w:szCs w:val="21"/>
                <w:lang w:val="en-US" w:eastAsia="zh-CN" w:bidi="ar"/>
              </w:rPr>
              <w:t xml:space="preserve">解剖台</w:t>
            </w:r>
            <w:r>
              <w:rPr>
                <w:rFonts w:hint="eastAsia" w:asciiTheme="minorEastAsia" w:hAnsiTheme="minorEastAsia" w:eastAsiaTheme="minorEastAsia" w:cstheme="minorEastAsia"/>
                <w:color w:val="auto"/>
                <w:szCs w:val="21"/>
                <w:lang w:bidi="ar"/>
              </w:rPr>
              <w:t xml:space="preserve">空间在功能上分为上层、中层、下层三个区域，上层</w:t>
            </w:r>
            <w:r>
              <w:rPr>
                <w:rFonts w:hint="eastAsia" w:asciiTheme="minorEastAsia" w:hAnsiTheme="minorEastAsia" w:eastAsiaTheme="minorEastAsia" w:cstheme="minorEastAsia"/>
                <w:color w:val="auto"/>
                <w:szCs w:val="21"/>
                <w:lang w:val="en-US" w:eastAsia="zh-CN" w:bidi="ar"/>
              </w:rPr>
              <w:t xml:space="preserve">为标本操作区域，</w:t>
            </w:r>
            <w:r>
              <w:rPr>
                <w:rFonts w:hint="eastAsia" w:asciiTheme="minorEastAsia" w:hAnsiTheme="minorEastAsia" w:eastAsiaTheme="minorEastAsia" w:cstheme="minorEastAsia"/>
                <w:color w:val="auto"/>
                <w:szCs w:val="21"/>
                <w:lang w:bidi="ar"/>
              </w:rPr>
              <w:t xml:space="preserve">采用双V</w:t>
            </w:r>
            <w:r>
              <w:rPr>
                <w:rFonts w:hint="eastAsia" w:asciiTheme="minorEastAsia" w:hAnsiTheme="minorEastAsia" w:eastAsiaTheme="minorEastAsia" w:cstheme="minorEastAsia"/>
                <w:color w:val="auto"/>
                <w:szCs w:val="21"/>
                <w:lang w:val="en-US" w:eastAsia="zh-CN" w:bidi="ar"/>
              </w:rPr>
              <w:t xml:space="preserve">型</w:t>
            </w:r>
            <w:r>
              <w:rPr>
                <w:rFonts w:hint="eastAsia" w:asciiTheme="minorEastAsia" w:hAnsiTheme="minorEastAsia" w:eastAsiaTheme="minorEastAsia" w:cstheme="minorEastAsia"/>
                <w:color w:val="auto"/>
                <w:szCs w:val="21"/>
                <w:lang w:bidi="ar"/>
              </w:rPr>
              <w:t xml:space="preserve">导流锥形格工艺，便于标本放置与残留物清理。</w:t>
            </w:r>
            <w:r>
              <w:rPr>
                <w:rFonts w:hint="eastAsia" w:asciiTheme="minorEastAsia" w:hAnsiTheme="minorEastAsia" w:eastAsiaTheme="minorEastAsia" w:cstheme="minorEastAsia"/>
                <w:color w:val="auto"/>
                <w:szCs w:val="21"/>
                <w:lang w:val="en-US" w:eastAsia="zh-CN" w:bidi="ar"/>
              </w:rPr>
              <w:t xml:space="preserve">中层和</w:t>
            </w:r>
            <w:r>
              <w:rPr>
                <w:rFonts w:hint="eastAsia" w:asciiTheme="minorEastAsia" w:hAnsiTheme="minorEastAsia" w:eastAsiaTheme="minorEastAsia" w:cstheme="minorEastAsia"/>
                <w:color w:val="auto"/>
                <w:szCs w:val="21"/>
                <w:lang w:bidi="ar"/>
              </w:rPr>
              <w:t xml:space="preserve">下层</w:t>
            </w:r>
            <w:r>
              <w:rPr>
                <w:rFonts w:hint="eastAsia" w:asciiTheme="minorEastAsia" w:hAnsiTheme="minorEastAsia" w:eastAsiaTheme="minorEastAsia" w:cstheme="minorEastAsia"/>
                <w:color w:val="auto"/>
                <w:szCs w:val="21"/>
                <w:lang w:val="en-US" w:eastAsia="zh-CN" w:bidi="ar"/>
              </w:rPr>
              <w:t xml:space="preserve">采用</w:t>
            </w:r>
            <w:r>
              <w:rPr>
                <w:rFonts w:hint="eastAsia" w:asciiTheme="minorEastAsia" w:hAnsiTheme="minorEastAsia" w:eastAsiaTheme="minorEastAsia" w:cstheme="minorEastAsia"/>
                <w:color w:val="auto"/>
                <w:szCs w:val="21"/>
                <w:lang w:bidi="ar"/>
              </w:rPr>
              <w:t xml:space="preserve">Z型引伸拉力杆结构，</w:t>
            </w:r>
            <w:r>
              <w:rPr>
                <w:rFonts w:hint="eastAsia" w:asciiTheme="minorEastAsia" w:hAnsiTheme="minorEastAsia" w:eastAsiaTheme="minorEastAsia" w:cstheme="minorEastAsia"/>
                <w:color w:val="auto"/>
                <w:szCs w:val="21"/>
                <w:lang w:val="en-US" w:eastAsia="zh-CN" w:bidi="ar"/>
              </w:rPr>
              <w:t xml:space="preserve">保障操作台面的平稳进出</w:t>
            </w:r>
            <w:r>
              <w:rPr>
                <w:rFonts w:hint="eastAsia" w:asciiTheme="minorEastAsia" w:hAnsiTheme="minorEastAsia" w:eastAsiaTheme="minorEastAsia" w:cstheme="minorEastAsia"/>
                <w:color w:val="auto"/>
                <w:szCs w:val="21"/>
                <w:lang w:bidi="ar"/>
              </w:rPr>
              <w:t xml:space="preserve">。②双V</w:t>
            </w:r>
            <w:r>
              <w:rPr>
                <w:rFonts w:hint="eastAsia" w:asciiTheme="minorEastAsia" w:hAnsiTheme="minorEastAsia" w:eastAsiaTheme="minorEastAsia" w:cstheme="minorEastAsia"/>
                <w:color w:val="auto"/>
                <w:szCs w:val="21"/>
                <w:lang w:val="en-US" w:eastAsia="zh-CN" w:bidi="ar"/>
              </w:rPr>
              <w:t xml:space="preserve">型</w:t>
            </w:r>
            <w:r>
              <w:rPr>
                <w:rFonts w:hint="eastAsia" w:asciiTheme="minorEastAsia" w:hAnsiTheme="minorEastAsia" w:eastAsiaTheme="minorEastAsia" w:cstheme="minorEastAsia"/>
                <w:color w:val="auto"/>
                <w:szCs w:val="21"/>
                <w:lang w:bidi="ar"/>
              </w:rPr>
              <w:t xml:space="preserve">导流锥形格与侧面MTPT机构或具备同等气流引导功能的连接方式相连，促进气流运动，双V</w:t>
            </w:r>
            <w:r>
              <w:rPr>
                <w:rFonts w:hint="eastAsia" w:asciiTheme="minorEastAsia" w:hAnsiTheme="minorEastAsia" w:eastAsiaTheme="minorEastAsia" w:cstheme="minorEastAsia"/>
                <w:color w:val="auto"/>
                <w:szCs w:val="21"/>
                <w:lang w:val="en-US" w:eastAsia="zh-CN" w:bidi="ar"/>
              </w:rPr>
              <w:t xml:space="preserve">型</w:t>
            </w:r>
            <w:r>
              <w:rPr>
                <w:rFonts w:hint="eastAsia" w:asciiTheme="minorEastAsia" w:hAnsiTheme="minorEastAsia" w:eastAsiaTheme="minorEastAsia" w:cstheme="minorEastAsia"/>
                <w:color w:val="auto"/>
                <w:szCs w:val="21"/>
                <w:lang w:bidi="ar"/>
              </w:rPr>
              <w:t xml:space="preserve">锥形格采用扩散式气体引导结构，具有抽风净化功能，具有引导废液汇聚外排的功能，保证污染气体与废液的分向排污。</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黑板</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1.基本尺寸：2400mm*1200mm（±30mm）。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2.书写板面采用优质烤漆钢板，厚度≥0.3mm,表面覆透明保护膜。</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3.内心材料选用高强度、吸音、防潮、阻燃聚苯乙烯板，厚度≥15mm。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4.包角材料采用抗老化高强度ABS工程塑料注塑成型。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解剖教学无影灯（单臂）</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1.技术指标</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 照度（lux） ：40000-160000可调。</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 色温（K）可调：3000-6700K可调。</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 光斑直径（mm）：160-280 mm可调。</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1.4 显色指数（Ra）：≥95。</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1.5 照明深度：≥1200mm。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1.6深腔照明率：100%。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1.7单遮板无影率：≥70%。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1.8灯珠使用寿命≥60000小时。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1.9灯头直径：500 mm；灯珠数量≥48个。</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2.全封闭流线型灯头设计，灯头周边带有操作把手，方便操作，符合空气动力学原理，彻底消除了净化空气中的流动死角，满足现代手术室高标准的层流要求。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3.解剖学实验教学定制单臂无影灯。采用方形旋转平衡臂悬挂系统，六组关节联动、移动轻巧、定位稳定，360度的全方位设计，可满足手术中不同高度和角度的需要。</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4.照度达到中心照度的50%区域的光斑分布直径为光斑直径的50%以上，即d50/d10≥50%。提供由国家认可的检测机构出具的检测报告扫描件。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▲5.上下移动作用力不大于55N，水平位移作用力不大于25N。基础架负载10000N˙m的作用力持续10min，法兰盘水平倾斜角小于0.3°。提供由国家认可的检测机构出具的检测报告扫描件。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6.无菌手柄设计，耐受高温高压蒸汽灭菌≥160℃，且便于安装拆卸，清洁消毒。具有无菌调光功能，通过旋转无菌手柄即可实现光斑大小的调节功能。提供由国家认可的检测机构出具的检测报告扫描件。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7.设备表面采用环保粉末喷塑处理，粉末通过抑菌检测。</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侧排风一体化储物墙</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1.规格：深度500mm（±30mm），高度2800mm（±30mm），长度按照实验室现场定制，具有侧排风和储物功能。满墙式设计。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2.材质：钢木材质，钢材厚度不小于1.0mm，板材采用不低于E1级环保材质，玻璃采用防爆钢化玻璃。</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3.700mm以下做侧排风和储物功能，辅助排风采用百叶风口设计，储物柜对开门设计，层板可调节，要求保证墙面柜的整体性和美观性；700mm以上做模型标本陈列，钢架结构，钢化玻璃移门、厚度不小于0.8mm，层板采用不小于1.0mm的钢化玻璃，层高可根据摆放标本模型的尺寸进行调整。</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4.冷光源设计，灯带光源。</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43.2米</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1.规格：1050*730*1000mm（±30mm）。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2.选用1.2mm优质冷轧钢板，经数控设备加工而成，表面除油、酸洗、磷化、防腐、防锈、钝化后静电喷塑，色彩牢固，经久耐用，灰白色（主体）+橡木（扶手、装饰板）；</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上柜体：讲台实木扶手及背板选用高档橡木精细加工而成，表面增光处理。桌面选用E1级环保高密度防火板，耐酸碱、防火、防潮、耐划伤、纹路精美。显示器翻转设计，角度可根据教师身高或光线强弱调整倾斜角度。键盘向外翻转，键盘托有调节挡板，可根据键盘大小调整位置，固定键盘。内部面板可开孔安装中控，方便教学设备使用。面板有鼠标槽，方便鼠标闲置时放置。柜体背面开有通风散热孔；</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下柜体选用优质冷轧钢板制作，国标19英寸机架，上下可调节托盘，轻松应对各种尺寸的设备，前侧对开门设计，留有小窗口，方便各种设备的操作。讲台后侧上下两门均可打开，方便设备安装维护。柜体正面及左右两侧开有精美通风孔；</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5.一把钥匙控制整个讲台，翻转开启显示器盖板，键盘托盘可翻转，右侧抽拉隐藏式视频展台；对开下柜门，操作相应的设备；（可选装IC卡电子锁和漏电保护装置）；</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6.讲台整体设计符合人体工程学，整体高度适中，显示器角度可调，白灰色和实木色双色彩合理搭配，精致优雅，美观大方，高度集成。上下分体式设计，便于维护、搬运和仓储；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7.上柜体内预留空间，可安装17-21寸液晶显示器，键盘、鼠标、中央控制器面板、电源插座、视频展台；</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8.下柜体内配有可调节托盘，可安装电脑主机、中央控制器主机、DVD、卡座、功放、话筒主机等设备。</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工具柜</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1.规格：长460mm*宽400mm*高1200mm（±30mm）。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2.材质：≥0.9mm厚度冷轧钢。</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3.6屉，不锈钢拉手。</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不锈钢边台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1.规格：宽600mm*高800mm（±30mm）。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2.采用国标不锈钢304#板材，厚度≥1.2mm，表面拉丝处理，美观大方。</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3.台面下方对开门柜体，柜体内分两层，从实用性能考虑，采用活动层板，可以根据存放的物品调节层高。</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55米</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不锈钢解剖洗手池</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1.规格：长2400mm*宽600mm*高780mm（±30mm）。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2.材质：国标304不锈钢板材，厚度≥1.2mm。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3.配4个洗手位，中间特殊静音处理，确保洗手时水花不外溅。</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4.配4个鹅颈型水龙头，不锈钢表面拉丝材质，出水管可360°旋转。</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5.控制方式：脚踏式控制开关。</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6.有热水功能：即热出水，功率不小于1650W，额定容量≥5L，防水级别IPX4。</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7.采用新结构304提笼下水器，有效防止标本碎屑等堵塞下水管。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8.下水器与下水管采用环保，耐腐PP材料。</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1.规格：长600mm*宽600mm*高500mm（±30mm）。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2.材质：国标304不锈钢，厚度≥1.2mm。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3.采用手控式拖把龙头，304提笼下水器，安全、排水快、有效防止堵塞。</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4.下水器与下水管采用环保、耐腐PP材料。</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落地式紧急冲淋洗眼器</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1.工作压力：0.3—0.6Mpa。</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2.密封压力：0.8Mpa。</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3.喷淋流量：&gt;76L/min。</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4.洗眼流量：&gt;11.4L/min。</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5.洗眼器进水口尺寸：DN32。</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6.洗眼系统排水口尺寸：DN32。</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7.主体材料：304不锈钢，厚度：不低于3mm，Ni含量大于8%。可以抗弱酸、碱、盐和油类腐蚀的现场。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配备喷淋系统和洗眼系统，当受伤者身体上或者服装上遭受化学品物质喷溅时，使用洗眼器喷淋系统进行大水量冲洗；当化学品物质喷溅到工作人员面部、眼部、脖子或者手臂等部位时，使用洗眼器的洗眼系统进行冲洗。冲洗时间不得小于15分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9.根据GB/T 38144.1-2019标准之规定，紧急冲淋的喷淋系统和洗眼系统易于操作，操作者一个人就可以完成，不需要其他人员协助。</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10.紧急冲淋正常水压要求：0.2-0.4MPa管件密封部件必须承受 1 MPa 长时间没有泄漏。</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喷淋系统要求：在距离使用者站立平面1520mm的地方，喷淋范围直径最小应为510mm，冲洗液分散形式应始终保持一致并充分散开。喷淋范围的中心距离任何障碍物的最小距离应为410mm。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▲12.洗眼系统要求：喷头应位于距离使用者站立的水平面至少838mm的高度上，但不得超过1143mm，且距离墙壁或最近的障碍物至少153mm。提供由国家认可的检测机构出具的带CMA标识的检测报告扫描件。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13.冲淋喷头高度：冲淋喷头距离安装平面高度在2080-2440mm.该距离从使用者站立的平面计算。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14.阀门驱动装置高度：到使用者站立平面的高度不应超过1730mm。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15.冲淋喷头流量：在水流压力最低0.2MPa下，应以至少76L/min的流量提供冲洗液，保持连续冲洗至少15min。</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16.洗眼器喷头流量：测试压力0.20MPa，测试时间3min/次，提供冲洗液流量：11.4L/min，能保持洗眼时间15min。</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17.开启时间：冲淋手拉阀开启时间≤1s，洗眼器阀门开启时间≤1s。</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18.主体1500mm以上管子处、或者可以贴在墙体上配200mm*300mm绿底白色洗眼符号塑料标。</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19.提供国家认可的第三方检测机构出具的带CMA标识的检测报告，包含应急喷淋器控制阀门(尺寸、 高度)，应急喷淋器一般要求(密封、 尺寸、流量)，洗眼器一般要求(密封、尺寸、流量)，洗眼/洗脸器 （流量、开启时间、尺寸）的检测项目的检测报告，复印件加盖公章。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移动式微方净化系统</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1.规格：238*238*260mm（±30mm）。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w:t>
            </w:r>
            <w:r>
              <w:rPr>
                <w:rFonts w:hint="eastAsia"/>
                <w:b w:val="0"/>
                <w:bCs w:val="0"/>
                <w:color w:val="auto"/>
                <w:lang w:val="en-US" w:eastAsia="zh-CN"/>
              </w:rPr>
              <w:t xml:space="preserve">设备除菌效果，依据《消毒技术规范》（2002版）现场试验方法，在设备稳定运行状态下，作用2小时后，对现场自然菌的消亡率≥90.00%。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左右配置2台离子设备，尺寸：180*40mm（±30mm）双层电离装置，离子设备可拆卸。设备自带传感系统和检测功能，根据室内污染程度进行自动调整状态和启停。内置自动计算器（8000H），当需要更换主机时自动警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4.设备顶部含智能触发装置和安全模块，尺寸：210mm*210mm（±30mm），安全模块四角固定，带自保护功能，可单独拆卸。医疗级净化模块，当安全模块打开，系统自动关闭。安装四套半封闭式减震保护系统。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5.设备内置控制台包含通风排除模块、维护警告复位模块、通风状态模块、风量调节模块。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6.设备内置风机，安装不锈钢层流疏导孔，自渗透式循环方式净化，室内相对密闭状态下持续有效降低病毒、细菌的传播性，可人机共处式消毒。</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解剖专用净化塔</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1.规格：长310mm*宽260mm*高750mm（±30mm）；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2.内置4组离子装置，离子管长度不小于530mm，高效去除尸库高浓度甲醛、TVOC等有害化学气体；</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3.设有2组不锈钢过滤模块，含不锈钢过滤器。两组高效自运行风机，180度环形出风。设备含故障显示、校正显示和维修显示，有报警复位按钮功能；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4.五组共计不少于685个离子气流粒；</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5.外壳采用不锈钢材质，内置电气模块并可通过电气集成中心监控设备运行，一键式控制，在正常运行或故障时应有报警指示；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6.净化塔具有对自然菌的灭杀功能，启动消毒120.0min,室内空气中的自然菌消亡率&gt;90%。符合《消毒技术规范》消毒合格的规定。提供由国家认可的检测机构出具的带CMA标识的检测报告扫描件。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7.净化塔对冠状病毒具有消杀作用，作用2h，对载体上HCOV-229E的灭活对数值均&gt;4.00；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8.提供设备在医学院校中使用的实景拍摄照片。</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数字化粒子净化模块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1.设备尺寸：260*350*200mm（±30mm）；其中底座尺寸：260*160*200mm（±30mm）；离子释放单元尺寸：长度190mm（±30mm），直径45mm（±10mm），每套设备含4台离子释放单元，功率：≤55W。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2.电压：AC220V±10V，50±10Hz。</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离子主机安装于新风管道中，离子释放单元与空气流向和风管采用垂直安装方式，确保送风通过电离模块表面，充分接触并完全反应，最大程度激发离子活性。通过室内送风末端送入实验室，具有主动捕捉有害气体，全覆盖净化的特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设备利用空气进行介质壁垒放电，产生双离子及高能粒子以及连锁生成的OH自由基，包括正离子水合物、超氧基阴离子等，其中OH自由基以及高能粒子具有强氧化性和高能分解能力，能够打开VOC、甲醛、二甲苯、烷类、硫化氢、氨等分子化学键，将其分解成二氧化碳、水及碳化合物，起到净化空气的作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5.设备运行中，离子簇碰撞产生电击，能够破坏微生物，如细菌、病毒等的细胞结构并使其丧失活性，起到消杀作用。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6.设备采用金属底座，防腐喷涂，离子发生装置固定于绝缘透明模块上，内部必须能显示①电子变压器；②控制主板；③内部线路，不符合要求的不予接受。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▲7.设备采用双极屏蔽电离技术，设备运行30分钟后，试验舱内臭氧浓度≤0.16mg/m³，甲醛浓度≤0.08mg/m³。提供由国家认可的第三方检测机构出具的带CMA标识的检测报告复印件。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8.底座背部有设备把手，背部具有开关切换键和电源插座，并有≥6组串联信号接口和≥4组串联警报接口，设备便携式安装，方便维护保养。</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9.离子释放单元采用螺纹护套安装，具有安全牢固的接地装置，确保安全和稳定性。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10.节能优化技术由变频模块起主导作用，结合系统结构设计，达到最优节能效果。变频技术能有效控制离子净化模块的运行效率，有效控制能耗，并保证净化效果，使得净化效果更优异。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11.设备在防电击保护的机构、防机械危险等方面，须提供由国家认可的第三方认证（检测）机构出具的证明设备符合相关标准要求的检测报告复印件，并加盖投标人公章。</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12.设备具有过流保护功能，具有温控保护功能。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13.工作环境温度和湿度的适用范围大，温度在摄氏-30℃~55℃之间，湿度在30%~98%，能符合本项目自然环境下使用，无须保温保湿，操作管理及维护简便，只需每半年清洗和检查，无需专人管理。</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数字化粒子净化模块Ⅱ型</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离子主机安装于新风管道中，离子释放单元与空气流向和风管采用垂直安装方式，确保送风通过电离模块表面，充分接触并完全反应，最大程度激发离子活性。通过室内送风末端送入实验室，具有主动捕捉有害气体，全覆盖净化的特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设备利用空气进行介质壁垒放电，产生双离子及高能粒子以及连锁生成的OH自由基，包括正离子水合物、超氧基阴离子等，其中OH自由基以及高能粒子具有强氧化性和高能分解能力，能够打开VOC、甲醛、二甲苯、烷类、硫化氢、氨等分子化学键，将其分解成二氧化碳、水及碳化合物，起到净化空气的作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3.设备运行中，离子簇碰撞产生电击，能够破坏微生物，如细菌、病毒等的细胞结构并使其丧失活性，起到消杀作用。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4.设备尺寸：260*350*200mm（±30mm）；其中底座尺寸：260*160*200mm（±30mm）；离子释放单元尺寸：长度190mm（±30mm），直径45mm（±10mm），每套设备含2台离子释放单元，功率：≤55W。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5.电压：AC220V±10V，50±10Hz。</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6.设备采用金属底座，防腐喷涂，离子发生装置固定于绝缘透明模块上，内部必须能显示①电子变压器；②控制主板；③内部线路，不符合要求的不予接受。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7.设备采用双极屏蔽电离技术，设备运行30分钟后，试验舱内臭氧浓度≤0.16mg/m³，甲醛浓度≤0.08mg/m³。</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8.底座背部有设备把手，背部具有开关切换键和电源插座，并有≥6组串联信号接口和≥4组串联警报接口，设备便携式安装，方便维护保养。</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9.离子释放单元采用螺纹护套安装，具有安全牢固的接地装置，确保安全和稳定性。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10.节能优化技术由变频模块起主导作用，结合系统结构设计，达到最优节能效果。变频技术能有效控制离子净化模块的运行效率，有效控制能耗，并保证净化效果，使得净化效果更优异。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11.设备要求为成熟产品，其防电击保护的结构、防机械危险性能达到GB/4793.1相关标准。提供由国家认可的检测机构出具的带CMA标识的检测报告扫描件。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12.设备具有过流保护功能，具有温控保护功能。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13.工作环境温度和湿度的适用范围大，温度在摄氏-30℃~55℃之间，湿度在30%~98%，能符合本项目自然环境下使用，无须保温保湿，操作管理及维护简便，只需每半年清洗和检查，无需专人管理。</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层流布气罩</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1.层流布气罩规格：2000×800㎜（±30mm），带 6 组射灯。</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2.模块式，含卡框、静压腔、层流定速面罩。</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3.布气罩要求微孔板层数≥3，每平方米面积出气孔数≥2000，结构应满足层流要求。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4.照明：灯光下 1m 位置照明度不低于 700Lux。布气罩内壳采用微孔板，对低频及部分中频起有效的消声作用，可有效减低噪音，含匀风效果。</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无影智控层流罩</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1.设备尺寸：2190*1000mm（±30mm）。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2.无影智控层流罩带静压箱系统，静压箱尺寸不小于1900*700*330mm（±30mm），具有匀风和降噪效果，对送入实验室的新风进行风量和风速的调节。</w:t>
            </w:r>
            <w:r>
              <w:rPr>
                <w:rFonts w:hint="eastAsia" w:asciiTheme="minorEastAsia" w:hAnsiTheme="minorEastAsia" w:eastAsiaTheme="minorEastAsia" w:cstheme="minorEastAsia"/>
                <w:color w:val="auto"/>
                <w:szCs w:val="21"/>
                <w:lang w:bidi="ar"/>
              </w:rPr>
              <w:br/>
            </w:r>
            <w:r>
              <w:rPr>
                <w:rFonts w:hint="eastAsia" w:ascii="宋体" w:hAnsi="宋体" w:cs="宋体"/>
                <w:b w:val="0"/>
                <w:bCs w:val="0"/>
                <w:color w:val="auto"/>
                <w:szCs w:val="21"/>
              </w:rPr>
              <w:t xml:space="preserve">★</w:t>
            </w:r>
            <w:r>
              <w:rPr>
                <w:rFonts w:hint="eastAsia" w:asciiTheme="minorEastAsia" w:hAnsiTheme="minorEastAsia" w:eastAsiaTheme="minorEastAsia" w:cstheme="minorEastAsia"/>
                <w:color w:val="auto"/>
                <w:szCs w:val="21"/>
                <w:lang w:bidi="ar"/>
              </w:rPr>
              <w:t xml:space="preserve">3.无影式智控层流布气装置具有双模式无影照明系统、智慧物联智控模式和层流系统；双模式无影照明系统包含普通照明和无影照明两个模块。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4.双模式无影照明系统：到达解剖台操作台面的照明光束呈倒锥形分布，以避免眼睛疲劳。其中解剖台中心照度和边缘照度、无影照明系统灯珠要求等都需要满足解剖教学要求。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4.1层流布气装置上的普通照明40W，电压24V，显色指数≥82，光通量≥500流明；层流布气装置上的无影照明320W，电压24V，无影照明显色指数≥90，光通量≥1600流明。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▲4.2层流布气装置上的照明，其光生物安全性能须符合国家现行有效标准。在灯具处于额定电压正常工作状态下，在距光源出光面200 mm处测得的蓝光危害等级不得超过RG1级。提供由国家认可的第三方检测机构出具的带CMA标识，包含上述测试条件与结论的专项检测报告复印件。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4.3光束未受任何遮挡时，解剖台的中心照度（距照明下1200mm，右侧边缘500mm处）大于6500lx；解剖台操作区域内，解剖台面边缘（里侧中间）照度不小于3300lx。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4.4双模式无影照明系统中的灯珠数量300个，确保照明深腔底部时保持清晰可见。</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无影智控层流罩无影效果：①无影率：单遮板剩余照度≥50%；②无影率：双遮板剩余照度≥65%；③无影率：深腔剩余照度≥90%；④无影率：单遮板深腔底部剩余照度≥50%；⑤无影率：双遮板深腔底部剩余照度≥70%。提供符合以上①-⑤要求的佐证报告。</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层流布气装置上的照明，其统一眩光值(UGR)应符合国家现行有效标准的要求，所测得的统一眩光值(UGR)应不大于25。提供由国家认可的第三方检测机构出具的带CMA标识，包含上述测试条件与结论的专项检测报告复印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智控模式：智慧物联智控模式，普通照明和无影照明可分开独立控制，实现本地端控制和远程端控制双模式控制方式。本地端控制模式：结合解剖台内置的本地端智能云控系统，通过解剖台云控系统控制无影层流罩的无影照明的开关、亮度的调节。远程端控制模式：智慧物联远程端可远程实时监控和控制无影照明的开关、亮度的调节。实现无线和无极遥控调光，可采用无线调光，可以实现0-100%灵活无极调光。（提供符合本项指标要求的解剖实验室实景拍摄下的实物拍摄视频）</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微孔层流系统：采用多形态孔状组合均匀分布，内置导流装置，使新风均匀传输并送入实验室。采用圆孔和槽孔相结合的方式，圆孔采用直径≥5mm，槽孔采用直径≥3×20mm。整体层流孔数≥2600，结构应满足层流要求。</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散流器</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1.规格：600*600*300mm（±30mm）。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高静压风管送风式分体空调机组及安装配套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1.全新风，Q≥8000m3/h,制冷量≥89kw，制热量≥93.5kw。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2.机外余压：≥300Pa，N≈33.5KW。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3.电源：380V，50HZ。</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4.过滤精度2um/过滤效率：≥90％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5.过滤阻损Pa：初阻≤100Pa,终阻≤1000Pa。</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6.内置自动增氧模式层和智能空气测控器。反应段前段带多点自平衡负压引流系统。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7.内含静压混流装置，减少涡流旋流，减少风噪。</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8.与智慧物联核心监控系统无缝连接，可远程开启关闭。</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10.包含空调连接到新风管道的电动阀、防火阀、厚度≥0.5mm的硅胶防火布软接、空调设备基础等，含安装及调试等所需配套。</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高静压风管送风式分体空调机组Ⅱ型及安装配套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1.全新风，Q≥4000m3/h,制冷量≥44.5kw，制热量≥47.5kw；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2.机外余压：≥250Pa，N≈17KW；</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3.电源：380V，50HZ；</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4.过滤精度2um/过滤效率：≥90％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4.过滤精度2um/过滤效率：≥90％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5.过滤阻损Pa：初阻≤100Pa,终阻≤1000Pa。</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6.内置自动增氧模式层和智能空气测控器。反应段前段带多点自平衡负压引流系统。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7.内含静压混流装置，减少涡流旋流，减少风噪。</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8.与智慧物联核心监控系统无缝连接，可远程开启关闭。</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10.包含空调连接到新风管道的电动阀、防火阀、厚度≥0.5mm的硅胶防火布软接、空调设备基础等，含安装及调试等所需配套。</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组合式净化排风机组及安装配套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1.卧式排风机组：风量Q≥12000m³/h。</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2.增加全效纳米晶体净化层，高频循环净化，强度≥95%，水分≤5%。内置自动增氧模式层和智能空气测控器。反应段前段带多点自平衡负压引流系统。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3.内含静压混流装置，有效减少涡流旋流，减少风噪。</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4.与智慧物联核心监控系统无缝连接，可远程开启关闭。</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6.包含排风机连接到排风管道的电动阀、防火阀、厚度≥0.5mm的硅胶防火布软接、风机设备基础等，含安装及调试等所需配套。</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组合式净化排风机组Ⅱ型及安装配套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1.卧式排风机组：风量Q≥6000m³/h</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2.增加全效纳米晶体净化层，高频循环净化，强度≥95%，水分≤5%。内置自动增氧模式层和智能空气测控器。反应段前段带多点自平衡负压引流系统。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3.内含静压混流装置，有效减少涡流旋流，减少风噪。</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4.与智慧物联核心监控系统无缝连接，可远程开启关闭。</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6.包含排风机连接到排风管道的电动阀、防火阀、厚度≥0.5mm的硅胶防火布软接、风机设备基础等，含安装及调试等所需配套。</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外排除臭模块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1.废气处理量≥12000m³/h。</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2.采用国标304不锈钢箱体，其化学成分应满足铬（Cr）含量≥18%，镍（Ni）含量≥8%。</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3.高效除恶臭：能高效去除挥发性有机物（VOC），无机物，硫化氢，甲醛，氨气，硫醇类等主要污染物，以及各种恶臭味；</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4.无需添加任何物质：只需要设置相应的排风管道和排风动力，使恶臭气体通过本设备进行脱臭分解净化，无需添加任何物质参与化学反应；</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5.适应性强：可适应高浓度，大气量，不同恶臭气体物质的脱臭净化处理，可每天 24 小时连续工作，运行稳定可靠；</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6.运行成本低：本设备无任何机械动作，无噪音，无需专人管理和日常维护，设备能耗低，设备风阻极低&lt;50pa，可节约大量排放动力能耗；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设备在结构与性能、装配质量、机械安全、控制系统、电气安全及空载运行试验等方面，须提供由国家认可的第三方认证（检测）机构出具的证明设备符合相关标准要求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外排除臭模块Ⅱ型</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1.废气处理量≥6000m³/h。</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2.采用国标304不锈钢箱体，其化学成分应满足铬（Cr）含量≥18%，镍（Ni）含量≥8%。</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3.高效除恶臭：能高效去除挥发性有机物（VOC），无机物，硫化氢，甲醛，氨气，硫醇类等主要污染物，以及各种恶臭味；</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4.无需添加任何物质：只需要设置相应的排风管道和排风动力，使恶臭气体通过本设备进行脱臭分解净化，无需添加任何物质参与化学反应；</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5.适应性强：可适应高浓度，大气量，不同恶臭气体物质的脱臭净化处理，可每天 24 小时连续工作，运行稳定可靠；</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6.运行成本低：本设备无任何机械动作，无噪音，无需专人管理和日常维护，设备能耗低，设备风阻极低&lt;50pa，可节约大量排放动力能耗；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7.设备在结构与性能、装配质量、机械安全、控制系统、电气安全及空载运行试验等方面，须提供由国家认可的第三方认证（检测）机构出具的证明设备符合相关标准要求的检测报告复印件，并加盖投标人公章。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不锈钢立式导流装置</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1.规格：长400mm*宽200mm（±30mm）。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2.材质：SUS304 不锈钢制作，排风口安装在立柱下端，采用一体化模压成型，根据净化程度调整气流速度。</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3.对通风系统进行多点式平衡调整。</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语音交互版智慧物联核心监控系统</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智慧物联核心监控系统采用LED触摸式控制，尺寸≥158mm*249mm，界面显示南京医科大学实验室定制设备名称，家用控制设备和开关面板式不予接受，所有数据必须集中到一个控制器上，控制器必须为一个品牌，禁止用多个控制器组装方式；</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2.智慧物联LED触摸式本地端控制功能：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智慧物联核心监控系统至少显示：①空气质量（优良差）②甲醛浓度③离子浓度④环境温度和环境湿度⑤调节风速：可手动从0%调整到100%调节⑥显示当前风速值(m/s)⑦当前模式：手动和自动模式⑧上课模式和下课模式⑨排风（开和关）、新风（开和关）、离子（开和关）、空调（开和关）、层流照明系统（开和关）、解剖台设备锁。（提供软件产品的计算机软件著作权证书和符合要求的软件界面截图）</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2.2分级菜单有解剖实验室环境检测系统、通风净化系统、预约定时、运行监测、解剖台控制、报警管理等控制模块，家用的或者不符合的不予接受。界面必须三维显示解剖实验室和解剖台场景，软件必须动态模拟层流布气罩、解剖台和上送下排净化效果。</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2.3屏保界面至少包括：①风速值②室内温湿度值③甲醛浓度值④日期时间⑤空气质量⑥上课下课一键控制。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2.4环境监测界面至少包括：①离子浓度②甲醛浓度③温度和湿度④风速⑤空气质量等级⑥净化效率⑦上课下课一键控制。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2.5通风净化界面至少包括：①空调的开关②空调温度预设③空调制冷制热调节④手自动切换⑤风速调节⑥新风和排风（开和关）⑦离子（开和关）⑧层流照明（开和关）⑨讲台电源（开和关）⑩上课下课一键控制（投标文件中提供满足要求的界面实拍照片和符合要求的软件界面截图）</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2.6预约定时界面至少包括：①预约场景设定②定时开和关③控制模式选择④星期选择⑤开始与结束时间设定⑥上课下课一键控制。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2.7运行监测界面至少包括：①空调运行参数显示②新风变频器运行监测③排风变频器运行监测④上课下课一键控制。（投标文件中提供满足要求的界面实拍照片）</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2.8解剖台控制界面至少包括：①解剖台编号显示②解剖台状态显示③设备锁（开和关）④解剖台上升控制⑤解剖台停止控制⑥解剖台下降控制⑦上课下课一键控制。（投标文件中提供满足要求的界面实拍照片）</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2.9报警管理界面至少包括：①当前报警内容显示②所有报警记录显示③上课下课一键控制。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2.10智慧物联本地端可以控制解剖台升降，在行程范围内任意位置启停；可以设置学生安全锁权限，避免学生误操作；通过解剖台感应系统实时调整净化频率，确保净化效果的同时达到节能环保的目的；</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2.11智慧物联本地端有AI语音交互功能，可以通过语音唤醒控制功能，对新风、排风、空调、离子等进行开启和关闭，AI语音可以针对指令进行控制并语音告知实施情况。</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2.12智慧物联本地端有AI语音交互功能，可以通过语音唤醒控制功能，对新风、排风、空调、离子等进行开启和关闭，AI语音可以针对指令进行控制并语音告知实施情况。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▲2.13脑神经网络处理器支持DNN/TDNN/RNN 等主流神经网络架构，集成高性能卷积计算单元，加速语音算法处理。具有高精度语音识别（支持汉语、英语等多语种），双麦阵列支持远场拾音，拾音距离≥4米。提供由国家认可的检测机构出具的带CMA标识的检测报告扫描件。</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▲2.14具有回声消除和环境噪声抑制功能，实测安静环境&gt;98%，噪声环境&gt;92%。提供由国家认可的检测机构出具的带CMA标识的检测报告扫描件。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智慧终端控制器</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1.DC24V 输出： 24V,±8%，Max500mA ，具有过电流保护。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2.工作环境温度：-10℃~60℃ 存储温度：-20℃~70℃。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3.工作环境湿度： 5%~95%（无结露）。</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4.支持WiFi通讯和以太网联网方式，3路串口通讯，支持VPN下载。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5.12点输入(含2点100KHz），8点继电器输出：标配USB下载口和2个串口及以太网；支持物联网通讯扩展；支持1块BD扩展，支持8块模块扩展； 220VAC电源输入。</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6.Miscro USB ：支持下载，在线监控。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7.RS232/RS485 ：2个，RS232/485可任意选择，串口通讯，波特率：4800~921600Bps。</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8.以太网：1 个，Modbus Tcp Slave。</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9.4路模拟量输入模块，专用右侧模拟量扩展模块。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10.支持2点AI输入，2点AO输出，专用右侧模拟量扩展模块。</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11.支持物联网模块、支持边缘计算、免电源下载、远程下载与配置、隐藏式BD模块接口。</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人工智能物联网组网设备</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1.网络性能：支持2.4G/5G双频 Wi-Fi6、蓝牙5.0、Zigbee和Thread通信协议，确保在多设备同时连接时仍能稳定运行，满足高密度场景需求。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2.智能中继与网络优化：支持子节点/主节点数据中继功能，主节点可代理子节点与Modbus网关通信。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3.多功能接口兼容：提供1路0-10V输出、3路输入接口、2路继电器控制及1个以太网口，满足层流、离子、录播设备等多种设备的无线控制需求。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4.设备可扩展性：设备预留扩展接口，支持功能升级和设备扩展。</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AI数字人智能交互控制平台</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1.智慧云台硬件：屏幕≥10英寸；分辨率不低于2560x1600；运行内存不低于8G；机身内存不小于128G；有多连点控制单元，操作台可移动式智能控制，无需固定。</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2.空气品质远程控制功能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2.1空气净化管理模块，可显示和控制①空气质量（优良差）②甲醛浓度③离子浓度④环境温度和环境湿度⑤调节风速：可手动从0%调整到 100%调节⑥显示当前风速值（m/s)⑦当前模式：手动和自动模式⑧排风（开和关）、新风（开和关）、离子（开和关）、空调（开和关）、照明系统（开和关）。</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2.2管理模块，APP 具有操作日志和定时预约设备功能。①界面上体现设置定时，并能设置设备开启时间段，精确到具体日期和时间。②有全天开启和全天关闭功能。外网接入点由校方提供。</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APP内置高拟真AI数字人形象，支持实时唇动同步，确保语音交互时的自然表现。用户可通过语音或文本输入，与数字人进行智能对话，系统具备动态分析与决策能力，能够理解上下文，结合用户需求与环境状态（如光线、设备状态）进行智能判断；主动推理，提供个性化建议；实时交互并联动控制系统做出反应。（提供符合本项指标要求的解剖实验室实景拍摄下的实物拍摄视频）</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2套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空气数控传感系统</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1、臭氧浓度变送器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1.1测量范围：4-20mA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1.2电源：24V，50HZ；</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1.3测量精度：≥0.1%；</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1.4模拟信号输出，双继电器信号输出，RS485 信号。可兼容各种控制报警器、PLC、DCS等控制系统。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2、风速变送器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2.1交流供电 ：最大值≥150mA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2.2直流供电 ：最小值≤90mA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2.3风速范围： 0 -15m/s；</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2.4输出信号：0 -10V -1mA；</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2.5单体调整测试和系统联调功能；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3、空气质量变送器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3.1自动跟踪零点、满量程、温度补偿；</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3.2防高浓度气体冲击的自动保护功能；</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4、温湿度变送器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4.1 DC24V供电；</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4.2 LED数码管温湿度显示；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4.3不少于2路（4-20mA/0-10V ）12位AD模拟量输出；</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4.4模拟输出量：4-20mA/0-10V；</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4.5温度范围 -40℃到120℃；</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4.6湿度范围 0-100%RH ；</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4.7温度精度 ±0.3℃；</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4.8湿度精度 ±2.0%RH；</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4.9防护等级不低于IP67；</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5、可定制高浓度甲醛系统，具备抗干扰能力，可定制传感器接入点，接入语音交互版智慧物联核心监控系统和智慧终端控制器。</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静压式消声模块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1.利用消声器内衬消音纤维片，外壳采用镀锌钢板，内壳采用微孔板，对低频及部分中频起有效的消声作用。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2.可有效减低噪音，公板法兰安装方式。</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3.静压式消声模块制作及安装。</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4.设备支架制作、安装；支吊架除锈、刷油符合GB50243-2016规范。</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18套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系解实验室风管及安装配套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风管长边尺寸B≤320，板材厚度:δ=0.5mm；风管长边尺寸320＜B≤450，板材厚度:δ=0.6mm，风管长边尺寸450＜B≤630；板材厚度:δ=0.75mm；风管长边尺寸630＜B≤1000，板材厚度:δ=0.75mm；风管长边尺寸1000＜B≤1500，板材厚度:δ=1.0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2.形状：矩形风管；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3.包含风管、管件、支吊架制作、安装；风管、法兰、法兰加固框、支吊架除锈、刷油符合GB50243-2016要求。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4.新风风管（75㎡），采用镀锌钢板材质风管，新风风管需包难燃B1级橡塑保温棉，厚度≥25mm。其中室外部分（50㎡）需在保温棉外增加≥0.5mm厚铝板保护层。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5.排风风管，解剖台侧接排风管道（25㎡），采用不锈钢材质风管。排风管立管和室外部分（62㎡），采用镀锌钢板材质风管。</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局解实验室风管及安装配套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风管长边尺寸B≤320，板材厚度:δ=0.5mm；风管长边尺寸320＜B≤450，板材厚度:δ=0.6mm，风管长边尺寸450＜B≤630；板材厚度:δ=0.75mm；风管长边尺寸630＜B≤1000，板材厚度:δ=0.75mm；风管长边尺寸1000＜B≤1500，板材厚度:δ=1.0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2.形状：矩形风管；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3.包含风管、管件、支吊架制作、安装；风管、法兰、法兰加固框、支吊架除锈、刷油符合GB50243-2016要求。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4.新风风管（83㎡），采用镀锌钢板材质风管，新风风管需包难燃B1级橡塑保温棉，厚度≥25mm。其中室外部分（60㎡）需在保温棉外增加≥0.5mm厚铝板保护层。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5.排风风管，解剖台埋地及侧排风管道（55㎡），采用不锈钢材质风管。排风管立管和室外部分（56㎡），采用镀锌钢板材质风管。</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4项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标本制作间风管及安装配套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风管长边尺寸B≤320，板材厚度:δ=0.5mm；风管长边尺寸320＜B≤450，板材厚度:δ=0.6mm，风管长边尺寸450＜B≤630；板材厚度:δ=0.75mm；风管长边尺寸630＜B≤1000，板材厚度:δ=0.75mm；风管长边尺寸1000＜B≤1500，板材厚度:δ=1.0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2.形状：矩形风管；</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3.包含风管、管件、支吊架制作、安装；风管、法兰、法兰加固框、支吊架除锈、刷油符合GB50243-2016要求。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4.新风风管（65㎡），采用镀锌钢板材质风管，新风风管需包难燃B1级橡塑保温棉，厚度≥25mm。其中室外部分（25㎡）需在保温棉外增加≥0.5mm厚铝板保护层。</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5.排风风管（69㎡），采用镀锌钢板材质风管。</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总控电柜（1-2层）</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含继电器，电流平衡过载保护。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1.与空气质量控制器相连；含排风机、新风机箱等部件全部符合高低压电器认证；</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2.控制箱箱体防护等级IP44级，箱体镀锌钢板，厚度不能小于1mm。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3.系统总电源线由业主引致承包方总配电箱。</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实验室系统集成和配套</w:t>
            </w:r>
            <w:r/>
          </w:p>
        </w:tc>
        <w:tc>
          <w:tcPr>
            <w:shd w:val="clear" w:color="auto" w:fill="auto"/>
            <w:tcBorders>
              <w:top w:val="single" w:color="000000" w:sz="4" w:space="0"/>
              <w:left w:val="single" w:color="000000" w:sz="4" w:space="0"/>
              <w:bottom w:val="single" w:color="000000" w:sz="4" w:space="0"/>
              <w:right w:val="single" w:color="000000" w:sz="4" w:space="0"/>
            </w:tcBorders>
            <w:tcW w:w="3279" w:type="pct"/>
            <w:vAlign w:val="center"/>
            <w:textDirection w:val="lrTb"/>
            <w:noWrap w:val="false"/>
          </w:tcPr>
          <w:p>
            <w:pPr>
              <w:jc w:val="lef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1.拆除：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1.1室内原通排风系统拆除，包含送风机、排风机、风管、风阀、室内柜机空调，中央空调系统；</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1.2室内原铝扣板吊顶、照明灯和风口拆除；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1.3墙面1.5米高墙砖、墙面乳胶漆铲除，系解实验室墙面标本展示架拆除；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1.4原理化板边台、洗手池、解剖台等设备的拆除；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1.5系解实验室地面水磨石打毛处理；</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1.6局解实验室地面PVC地胶拆除，木制台阶拆除；</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2.系解实验室配套装修</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2.1地面采用PVC地胶（≥60㎡），塑胶厚度≥2.0mm，耐磨层厚度≥0.5mm；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2.2墙面采用洁净医疗板（≥53㎡），高度≥2.8米，板材规格≥W1220*H2800mm，厚度≥6mm，防火等级B1级，环保等级E1级；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2.3墙面安装1.2mm厚，≥50mm高铝合金踢脚线（10m）。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2.4顶面铝扣板吊顶（45㎡），规格600*600mm，国标0.8mm厚度，乳白色平板，不带孔，配套安装轻钢龙骨；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2.5照明灯采用LED平板灯（8个），规格600*600mm，色温6000k，铝材边框，亚克力灯罩；</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2.6实验室窗户（长4800mm，高1500mm）需安装窗帘盒和柔纱帘卷帘窗帘；</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3.局解实验室配套装修</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3.1地面采用PVC地胶（60㎡），塑胶厚度≥2.0mm，耐磨层厚度≥0.5mm；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3.2墙面采用洁净医疗板（83㎡），高度≥2.8米，板材规格≥W1220*H2800mm，厚度≥6mm，防火等级B1级，环保等级E1级；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3.3墙面安装1.2mm厚，≥50mm高铝合金踢脚线（10m）。</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3.4顶面铝扣板吊顶（45㎡），规格600*600mm，国标0.8mm厚度，乳白色平板，不带孔，配套安装轻钢龙骨；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3.5照明灯采用LED平板灯（8个），规格600*600mm，色温6000k，铝材边框，亚克力灯罩；</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3.6实验室窗户（长4800mm，高1500mm）需安装窗帘盒和柔纱帘卷帘窗帘；</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3.7原有埋地排风管沟内壁刷防水涂料（40㎡），管沟混凝土盖板（18㎡）重新安装并预留风管洞。</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4.标本制作间配套装修</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4.1地面水磨石打磨翻新（45㎡）；</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4.2顶面铝扣板吊顶（55㎡），规格600*600mm，国标0.8mm厚度，乳白色平板，不带孔，配套安装轻钢龙骨；</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4.3照明灯采用LED平板灯（9个），规格600*600mm，色温6000k，铝材边框，亚克力灯罩；</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4.4实验室窗户（长4800mm，高1500mm）需安装窗帘盒和柔纱帘卷帘窗帘；</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4.5墙面清洗保养；</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5.利旧</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5.1项目施工前利旧设备及教具搬移，待项目施工完毕后恢复。</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5.2微调室内消防烟感、消防喷头的位置。</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6.系解实验室和局解实验室水电改造</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6.1国标电线，照明1.5㎡，插座4㎡，设备插座按照教学需求预留。</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6.2插座和开关开槽及修复、暗盒预埋等，含室内插座和开关面板；</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6.3水池、拖把池和落地式紧急冲淋洗眼器的给、排水管改造、室内地漏换新，解剖台排水管安装等；</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6.4室内网络面板和超五类网线换新。</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7.标本制作间电气改造</w:t>
            </w:r>
            <w:r>
              <w:rPr>
                <w:rFonts w:hint="eastAsia" w:asciiTheme="minorEastAsia" w:hAnsiTheme="minorEastAsia" w:eastAsiaTheme="minorEastAsia" w:cstheme="minorEastAsia"/>
                <w:color w:val="auto"/>
                <w:szCs w:val="21"/>
                <w:lang w:bidi="ar"/>
              </w:rPr>
              <w:br/>
            </w:r>
            <w:r>
              <w:rPr>
                <w:rFonts w:hint="eastAsia" w:asciiTheme="minorEastAsia" w:hAnsiTheme="minorEastAsia" w:eastAsiaTheme="minorEastAsia" w:cstheme="minorEastAsia"/>
                <w:color w:val="auto"/>
                <w:szCs w:val="21"/>
                <w:lang w:bidi="ar"/>
              </w:rPr>
              <w:t xml:space="preserve">7.1国标电线，照明1.5㎡，原有照明线路修改。</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bidi="ar"/>
              </w:rPr>
              <w:t xml:space="preserve">9套</w:t>
            </w:r>
            <w:r/>
          </w:p>
        </w:tc>
      </w:tr>
    </w:tbl>
    <w:p>
      <w:pPr>
        <w:pStyle w:val="973"/>
        <w:numPr>
          <w:ilvl w:val="0"/>
          <w:numId w:val="0"/>
        </w:numPr>
        <w:ind w:firstLine="422"/>
        <w:jc w:val="both"/>
        <w:keepLines w:val="0"/>
        <w:keepNext w:val="0"/>
        <w:pageBreakBefore w:val="0"/>
        <w:spacing w:after="0" w:line="360" w:lineRule="auto"/>
        <w:widowControl/>
        <w:rPr>
          <w:rFonts w:ascii="宋体" w:hAnsi="宋体" w:cs="宋体"/>
          <w:color w:val="auto"/>
          <w:sz w:val="21"/>
          <w:szCs w:val="21"/>
        </w:rPr>
        <w:outlineLvl w:val="9"/>
      </w:pPr>
      <w:r>
        <w:rPr>
          <w:rFonts w:hint="eastAsia" w:ascii="宋体" w:hAnsi="宋体" w:cs="宋体"/>
          <w:color w:val="auto"/>
          <w:sz w:val="21"/>
          <w:szCs w:val="21"/>
        </w:rPr>
        <w:t xml:space="preserve">投标人提供承诺，在中标公示后3日内根据采购人要求，投标人提供符合参数要求的</w:t>
      </w:r>
      <w:r>
        <w:rPr>
          <w:rFonts w:hint="eastAsia" w:asciiTheme="minorEastAsia" w:hAnsiTheme="minorEastAsia" w:eastAsiaTheme="minorEastAsia" w:cstheme="minorEastAsia"/>
          <w:color w:val="auto"/>
          <w:sz w:val="21"/>
          <w:szCs w:val="21"/>
          <w:lang w:bidi="ar"/>
        </w:rPr>
        <w:t xml:space="preserve">二体位数智型双升降净化解剖台、无影智控层流罩、AI数字人智能交互控制平台等样品</w:t>
      </w:r>
      <w:r>
        <w:rPr>
          <w:rFonts w:hint="eastAsia" w:ascii="宋体" w:hAnsi="宋体" w:cs="宋体"/>
          <w:color w:val="auto"/>
          <w:sz w:val="21"/>
          <w:szCs w:val="21"/>
        </w:rPr>
        <w:t xml:space="preserve">进行现场演示，包括但不限于软件的操作演示、设备的功能演示和系统演示，测试和演示内容包含但不限于参数、性能测试等，如</w:t>
      </w:r>
      <w:r>
        <w:rPr>
          <w:rFonts w:hint="eastAsia" w:ascii="宋体" w:hAnsi="宋体" w:cs="宋体"/>
          <w:color w:val="auto"/>
          <w:sz w:val="21"/>
          <w:szCs w:val="21"/>
          <w:lang w:val="en-US" w:eastAsia="zh-CN"/>
        </w:rPr>
        <w:t xml:space="preserve">测试或演示结果与投标文件响应不符的</w:t>
      </w:r>
      <w:r>
        <w:rPr>
          <w:rFonts w:hint="eastAsia" w:ascii="宋体" w:hAnsi="宋体" w:cs="宋体"/>
          <w:color w:val="auto"/>
          <w:sz w:val="21"/>
          <w:szCs w:val="21"/>
        </w:rPr>
        <w:t xml:space="preserve">，允许投标人在</w:t>
      </w:r>
      <w:r>
        <w:rPr>
          <w:rFonts w:hint="eastAsia" w:ascii="宋体" w:hAnsi="宋体" w:cs="宋体"/>
          <w:color w:val="auto"/>
          <w:sz w:val="21"/>
          <w:szCs w:val="21"/>
          <w:lang w:val="en-US" w:eastAsia="zh-CN"/>
        </w:rPr>
        <w:t xml:space="preserve">1天内</w:t>
      </w:r>
      <w:r>
        <w:rPr>
          <w:rFonts w:hint="eastAsia" w:ascii="宋体" w:hAnsi="宋体" w:cs="宋体"/>
          <w:color w:val="auto"/>
          <w:sz w:val="21"/>
          <w:szCs w:val="21"/>
        </w:rPr>
        <w:t xml:space="preserve">进行一次更新演示</w:t>
      </w:r>
      <w:r>
        <w:rPr>
          <w:rFonts w:hint="eastAsia" w:ascii="宋体" w:hAnsi="宋体" w:cs="宋体"/>
          <w:color w:val="auto"/>
          <w:sz w:val="21"/>
          <w:szCs w:val="21"/>
          <w:lang w:eastAsia="zh-CN"/>
        </w:rPr>
        <w:t xml:space="preserve">。更新后的演示结果优于投标文件响应的，按程序签订合同并进入履约阶段；</w:t>
      </w:r>
      <w:r>
        <w:rPr>
          <w:rFonts w:hint="eastAsia" w:ascii="宋体" w:hAnsi="宋体" w:cs="宋体"/>
          <w:color w:val="auto"/>
          <w:sz w:val="21"/>
          <w:szCs w:val="21"/>
        </w:rPr>
        <w:t xml:space="preserve">若更新测试或演示结果仍</w:t>
      </w:r>
      <w:r>
        <w:rPr>
          <w:rFonts w:hint="eastAsia" w:ascii="宋体" w:hAnsi="宋体" w:cs="宋体"/>
          <w:color w:val="auto"/>
          <w:sz w:val="21"/>
          <w:szCs w:val="21"/>
          <w:lang w:val="en-US" w:eastAsia="zh-CN"/>
        </w:rPr>
        <w:t xml:space="preserve">与投标文件响应不符的</w:t>
      </w:r>
      <w:r>
        <w:rPr>
          <w:rFonts w:hint="eastAsia" w:ascii="宋体" w:hAnsi="宋体" w:cs="宋体"/>
          <w:color w:val="auto"/>
          <w:sz w:val="21"/>
          <w:szCs w:val="21"/>
        </w:rPr>
        <w:t xml:space="preserve">，采购人将上报财政部门，经财政部门查实后依法处理。采购人有权追究其违约责任，中标人承担由此产生的一切责任。采购人将上报财政部门，经财政部门查实后依法处理。采购人有权追究其违约责任，中标人承担由此产生的一切责任。</w:t>
      </w:r>
      <w:r/>
    </w:p>
    <w:p>
      <w:pPr>
        <w:ind w:firstLine="420"/>
        <w:spacing w:line="360" w:lineRule="auto"/>
        <w:rPr>
          <w:rFonts w:hint="eastAsia" w:ascii="宋体" w:hAnsi="宋体" w:cs="宋体"/>
          <w:szCs w:val="21"/>
        </w:rPr>
      </w:pPr>
      <w:r>
        <w:rPr>
          <w:rFonts w:hint="eastAsia" w:ascii="宋体" w:hAnsi="宋体" w:cs="宋体"/>
          <w:szCs w:val="21"/>
        </w:rPr>
      </w:r>
      <w:r/>
    </w:p>
    <w:p>
      <w:pPr>
        <w:pStyle w:val="973"/>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bookmarkEnd w:id="28"/>
      <w:r/>
      <w:bookmarkEnd w:id="29"/>
      <w:r/>
      <w:bookmarkEnd w:id="30"/>
      <w:r/>
      <w:r/>
    </w:p>
    <w:p>
      <w:pPr>
        <w:ind w:firstLine="420"/>
        <w:spacing w:line="360" w:lineRule="auto"/>
        <w:rPr>
          <w:rFonts w:hint="eastAsia" w:ascii="宋体" w:hAnsi="宋体" w:cs="宋体"/>
          <w:szCs w:val="21"/>
        </w:rPr>
      </w:pPr>
      <w:r>
        <w:rPr>
          <w:rFonts w:hint="eastAsia" w:ascii="宋体" w:hAnsi="宋体" w:cs="宋体"/>
          <w:szCs w:val="21"/>
        </w:rPr>
        <w:t xml:space="preserve">1、质量要求：供应商应保证所供货物的安全性、可靠性、先进性、经济性和实用性，并为全新、未使用过的原装合格正品，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竣工验收等各类验收。</w:t>
      </w:r>
      <w:r/>
    </w:p>
    <w:p>
      <w:pPr>
        <w:ind w:firstLine="420"/>
        <w:spacing w:line="360" w:lineRule="auto"/>
        <w:rPr>
          <w:rFonts w:hint="eastAsia" w:ascii="宋体" w:hAnsi="宋体" w:cs="宋体"/>
          <w:szCs w:val="21"/>
        </w:rPr>
      </w:pPr>
      <w:r>
        <w:rPr>
          <w:rFonts w:hint="eastAsia" w:ascii="宋体" w:hAnsi="宋体" w:cs="宋体"/>
          <w:szCs w:val="21"/>
        </w:rPr>
        <w:t xml:space="preserve">2、产权要求：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20"/>
        <w:spacing w:line="360" w:lineRule="auto"/>
        <w:rPr>
          <w:rFonts w:hint="eastAsia" w:ascii="宋体" w:hAnsi="宋体" w:cs="宋体"/>
          <w:szCs w:val="21"/>
        </w:rPr>
      </w:pPr>
      <w:r>
        <w:rPr>
          <w:rFonts w:hint="eastAsia" w:ascii="宋体" w:hAnsi="宋体" w:cs="宋体"/>
          <w:szCs w:val="21"/>
        </w:rPr>
        <w:t xml:space="preserve">3、验收标准：</w:t>
      </w:r>
      <w:r/>
    </w:p>
    <w:p>
      <w:pPr>
        <w:ind w:firstLine="420"/>
        <w:spacing w:line="360" w:lineRule="auto"/>
        <w:rPr>
          <w:rFonts w:hint="eastAsia" w:ascii="宋体" w:hAnsi="宋体" w:cs="宋体"/>
          <w:szCs w:val="21"/>
        </w:rPr>
      </w:pPr>
      <w:r>
        <w:rPr>
          <w:rFonts w:hint="eastAsia" w:ascii="宋体" w:hAnsi="宋体" w:cs="宋体"/>
          <w:szCs w:val="21"/>
        </w:rPr>
        <w:t xml:space="preserve">3.1投标所用产品须达到或超过本招标文件和国家相关规定的要求。</w:t>
      </w:r>
      <w:r/>
    </w:p>
    <w:p>
      <w:pPr>
        <w:ind w:firstLine="420"/>
        <w:spacing w:line="360" w:lineRule="auto"/>
        <w:rPr>
          <w:rFonts w:hint="eastAsia" w:ascii="宋体" w:hAnsi="宋体" w:cs="宋体"/>
          <w:szCs w:val="21"/>
        </w:rPr>
      </w:pPr>
      <w:r>
        <w:rPr>
          <w:rFonts w:hint="eastAsia" w:ascii="宋体" w:hAnsi="宋体" w:cs="宋体"/>
          <w:szCs w:val="21"/>
        </w:rPr>
        <w:t xml:space="preserve">3.2中标人在交货时，需向采购人提供装箱清单和检验合格证。</w:t>
      </w:r>
      <w:r/>
    </w:p>
    <w:p>
      <w:pPr>
        <w:ind w:firstLine="420"/>
        <w:spacing w:line="360" w:lineRule="auto"/>
        <w:rPr>
          <w:rFonts w:hint="eastAsia" w:ascii="宋体" w:hAnsi="宋体" w:cs="宋体"/>
          <w:szCs w:val="21"/>
        </w:rPr>
      </w:pPr>
      <w:r>
        <w:rPr>
          <w:rFonts w:hint="eastAsia" w:ascii="宋体" w:hAnsi="宋体" w:cs="宋体"/>
          <w:szCs w:val="21"/>
        </w:rPr>
        <w:t xml:space="preserve">3.3产品安装前，采购人组织相关人员依据招投标文件及合同要求的质量及技术标准对产品进行质量检查、检测，合格后方可进行安装。</w:t>
      </w:r>
      <w:r/>
    </w:p>
    <w:p>
      <w:pPr>
        <w:ind w:firstLine="420"/>
        <w:spacing w:line="360" w:lineRule="auto"/>
        <w:rPr>
          <w:rFonts w:hint="eastAsia" w:ascii="宋体" w:hAnsi="宋体" w:cs="宋体"/>
          <w:szCs w:val="21"/>
        </w:rPr>
      </w:pPr>
      <w:r>
        <w:rPr>
          <w:rFonts w:hint="eastAsia" w:ascii="宋体" w:hAnsi="宋体" w:cs="宋体"/>
          <w:szCs w:val="21"/>
        </w:rPr>
        <w:t xml:space="preserve">3.4如货物初验不合格，中标人应在采购人规定时间内予以免费调换，直至符合规定，采购人不承担因调退货而发生的任何费用和责任，如因货物质量给采购人带来的损失，中标人还应赔偿采购人直接损失费用。</w:t>
      </w:r>
      <w:r/>
    </w:p>
    <w:p>
      <w:pPr>
        <w:ind w:firstLine="420"/>
        <w:spacing w:line="360" w:lineRule="auto"/>
        <w:rPr>
          <w:rFonts w:hint="eastAsia" w:ascii="宋体" w:hAnsi="宋体" w:cs="宋体"/>
          <w:szCs w:val="21"/>
        </w:rPr>
      </w:pPr>
      <w:r>
        <w:rPr>
          <w:rFonts w:hint="eastAsia" w:ascii="宋体" w:hAnsi="宋体" w:cs="宋体"/>
          <w:szCs w:val="21"/>
        </w:rPr>
        <w:t xml:space="preserve">3.5经履约验收，产品性能参数达不到采购合同要求的，采购人可以拒收，并可以解除合同，由此造成的损失由中标人承担。</w:t>
      </w:r>
      <w:r/>
    </w:p>
    <w:p>
      <w:pPr>
        <w:ind w:firstLine="420"/>
        <w:spacing w:line="360" w:lineRule="auto"/>
        <w:rPr>
          <w:rFonts w:hint="eastAsia" w:ascii="宋体" w:hAnsi="宋体" w:cs="宋体"/>
          <w:szCs w:val="21"/>
        </w:rPr>
      </w:pPr>
      <w:r>
        <w:rPr>
          <w:rFonts w:hint="eastAsia" w:ascii="宋体" w:hAnsi="宋体" w:cs="宋体"/>
          <w:szCs w:val="21"/>
        </w:rPr>
        <w:t xml:space="preserve">3.6供应商进行安装调试并经过性能测试后，由采购人组织联合验收小组验收。验收合格后，双方在《验收报告》上签字确认。</w:t>
      </w:r>
      <w:r/>
    </w:p>
    <w:p>
      <w:pPr>
        <w:ind w:firstLine="420"/>
        <w:spacing w:line="360" w:lineRule="auto"/>
        <w:rPr>
          <w:rFonts w:hint="eastAsia" w:ascii="宋体" w:hAnsi="宋体" w:cs="宋体"/>
          <w:szCs w:val="21"/>
        </w:rPr>
      </w:pPr>
      <w:r>
        <w:rPr>
          <w:rFonts w:hint="eastAsia" w:ascii="宋体" w:hAnsi="宋体" w:cs="宋体"/>
          <w:szCs w:val="21"/>
        </w:rPr>
        <w:t xml:space="preserve">4、售后服务</w:t>
      </w:r>
      <w:r/>
    </w:p>
    <w:p>
      <w:pPr>
        <w:ind w:firstLine="420"/>
        <w:spacing w:line="360" w:lineRule="auto"/>
        <w:rPr>
          <w:rFonts w:hint="eastAsia" w:ascii="宋体" w:hAnsi="宋体" w:cs="宋体"/>
          <w:szCs w:val="21"/>
        </w:rPr>
      </w:pPr>
      <w:r>
        <w:rPr>
          <w:rFonts w:hint="eastAsia" w:ascii="宋体" w:hAnsi="宋体" w:cs="宋体"/>
          <w:szCs w:val="21"/>
        </w:rPr>
        <w:t xml:space="preserve">4.1此次采购的所有项目产品质保期1年（即12个月）。从通过项目验收之日起计。</w:t>
      </w:r>
      <w:r/>
    </w:p>
    <w:p>
      <w:pPr>
        <w:ind w:firstLine="420"/>
        <w:spacing w:line="360" w:lineRule="auto"/>
        <w:rPr>
          <w:rFonts w:hint="eastAsia" w:ascii="宋体" w:hAnsi="宋体" w:cs="宋体"/>
          <w:szCs w:val="21"/>
        </w:rPr>
      </w:pPr>
      <w:r>
        <w:rPr>
          <w:rFonts w:hint="eastAsia" w:ascii="宋体" w:hAnsi="宋体" w:cs="宋体"/>
          <w:szCs w:val="21"/>
        </w:rPr>
        <w:t xml:space="preserve">4.2投标人应提供详细的售后服务方案，包含《售后服务承诺书》，并提供相关技术支持服务。</w:t>
      </w:r>
      <w:r/>
    </w:p>
    <w:p>
      <w:pPr>
        <w:ind w:firstLine="420"/>
        <w:spacing w:line="360" w:lineRule="auto"/>
        <w:rPr>
          <w:rFonts w:hint="eastAsia" w:ascii="宋体" w:hAnsi="宋体" w:cs="宋体"/>
          <w:szCs w:val="21"/>
        </w:rPr>
      </w:pPr>
      <w:r>
        <w:rPr>
          <w:rFonts w:hint="eastAsia" w:ascii="宋体" w:hAnsi="宋体" w:cs="宋体"/>
          <w:szCs w:val="21"/>
        </w:rPr>
        <w:t xml:space="preserve">★4.3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20"/>
        <w:spacing w:line="360" w:lineRule="auto"/>
        <w:rPr>
          <w:rFonts w:hint="eastAsia" w:ascii="宋体" w:hAnsi="宋体" w:cs="宋体"/>
          <w:szCs w:val="21"/>
        </w:rPr>
      </w:pPr>
      <w:r>
        <w:rPr>
          <w:rFonts w:hint="eastAsia" w:ascii="宋体" w:hAnsi="宋体" w:cs="宋体"/>
          <w:szCs w:val="21"/>
        </w:rPr>
        <w:t xml:space="preserve">4.4产品出现故障损坏时，中标人接到报修通知后，安排的维修人员在约定的时间内完成维修任务；</w:t>
      </w:r>
      <w:r/>
    </w:p>
    <w:p>
      <w:pPr>
        <w:ind w:firstLine="420"/>
        <w:spacing w:line="360" w:lineRule="auto"/>
        <w:rPr>
          <w:rFonts w:hint="eastAsia" w:ascii="宋体" w:hAnsi="宋体" w:cs="宋体"/>
          <w:szCs w:val="21"/>
        </w:rPr>
      </w:pPr>
      <w:r>
        <w:rPr>
          <w:rFonts w:hint="eastAsia" w:ascii="宋体" w:hAnsi="宋体" w:cs="宋体"/>
          <w:szCs w:val="21"/>
        </w:rPr>
        <w:t xml:space="preserve">4.5保修期满后，中标人须承诺提供终身维修服务，保证零配件供应，维修费用按照材料、人工成本收取。</w:t>
      </w:r>
      <w:r/>
    </w:p>
    <w:p>
      <w:pPr>
        <w:ind w:firstLine="420"/>
        <w:spacing w:line="360" w:lineRule="auto"/>
        <w:rPr>
          <w:rFonts w:hint="eastAsia" w:ascii="宋体" w:hAnsi="宋体" w:cs="宋体"/>
          <w:szCs w:val="21"/>
        </w:rPr>
      </w:pPr>
      <w:r>
        <w:rPr>
          <w:rFonts w:hint="eastAsia" w:ascii="宋体" w:hAnsi="宋体" w:cs="宋体"/>
          <w:szCs w:val="21"/>
        </w:rPr>
        <w:t xml:space="preserve">5、培训</w:t>
      </w:r>
      <w:r/>
    </w:p>
    <w:p>
      <w:pPr>
        <w:ind w:firstLine="420"/>
        <w:spacing w:line="360" w:lineRule="auto"/>
        <w:rPr>
          <w:rFonts w:hint="eastAsia" w:ascii="宋体" w:hAnsi="宋体" w:cs="宋体"/>
          <w:szCs w:val="21"/>
        </w:rPr>
      </w:pPr>
      <w:r>
        <w:rPr>
          <w:rFonts w:hint="eastAsia" w:ascii="宋体" w:hAnsi="宋体" w:cs="宋体"/>
          <w:szCs w:val="21"/>
        </w:rPr>
        <w:t xml:space="preserve">5.1供应商应安排专业技术人员提供现场技术培训，保证使用人员能正常操作设备的各种功能，对采购人员工进行该技术内容操作使用和维护保养的培训不少于2天。</w:t>
      </w:r>
      <w:r/>
    </w:p>
    <w:p>
      <w:pPr>
        <w:ind w:firstLine="420"/>
        <w:spacing w:line="360" w:lineRule="auto"/>
        <w:rPr>
          <w:rFonts w:hint="eastAsia" w:ascii="宋体" w:hAnsi="宋体" w:cs="宋体"/>
          <w:szCs w:val="21"/>
        </w:rPr>
      </w:pPr>
      <w:r>
        <w:rPr>
          <w:rFonts w:hint="eastAsia" w:ascii="宋体" w:hAnsi="宋体" w:cs="宋体"/>
          <w:szCs w:val="21"/>
        </w:rPr>
        <w:t xml:space="preserve">5.2对采购人员工进行设备安全培训。</w:t>
      </w:r>
      <w:r/>
    </w:p>
    <w:p>
      <w:pPr>
        <w:ind w:firstLine="420"/>
        <w:spacing w:line="360" w:lineRule="auto"/>
        <w:rPr>
          <w:rFonts w:hint="eastAsia" w:ascii="宋体" w:hAnsi="宋体" w:cs="宋体"/>
          <w:szCs w:val="21"/>
        </w:rPr>
      </w:pPr>
      <w:r>
        <w:rPr>
          <w:rFonts w:hint="eastAsia" w:ascii="宋体" w:hAnsi="宋体" w:cs="宋体"/>
          <w:szCs w:val="21"/>
        </w:rPr>
        <w:t xml:space="preserve">5.3提供设备运行、调试、维护过程中必要的专用工具、软件，以及对相关人员进行工艺设置、设备运行、调试和维护过程中相关的专用工具及软件使用的培训。</w:t>
      </w:r>
      <w:r/>
    </w:p>
    <w:p>
      <w:pPr>
        <w:ind w:firstLine="420"/>
        <w:spacing w:line="360" w:lineRule="auto"/>
        <w:rPr>
          <w:rFonts w:hint="eastAsia" w:ascii="宋体" w:hAnsi="宋体" w:cs="宋体"/>
          <w:szCs w:val="21"/>
        </w:rPr>
      </w:pPr>
      <w:r>
        <w:rPr>
          <w:rFonts w:hint="eastAsia" w:ascii="宋体" w:hAnsi="宋体" w:cs="宋体"/>
          <w:szCs w:val="21"/>
        </w:rPr>
        <w:t xml:space="preserve">5.4供应商应免费提供培训资料。</w:t>
      </w:r>
      <w:r/>
    </w:p>
    <w:p>
      <w:pPr>
        <w:ind w:firstLine="420"/>
        <w:rPr>
          <w:rFonts w:hint="eastAsia" w:ascii="宋体" w:hAnsi="宋体" w:cs="宋体"/>
          <w:b w:val="0"/>
          <w:bCs w:val="0"/>
          <w:spacing w:val="0"/>
          <w:szCs w:val="21"/>
          <w:highlight w:val="none"/>
        </w:rPr>
      </w:pPr>
      <w:r>
        <w:rPr>
          <w:rFonts w:hint="eastAsia" w:ascii="宋体" w:hAnsi="宋体" w:cs="宋体"/>
          <w:b w:val="0"/>
          <w:bCs w:val="0"/>
          <w:spacing w:val="0"/>
          <w:szCs w:val="21"/>
          <w:highlight w:val="none"/>
        </w:rPr>
      </w:r>
      <w:r/>
    </w:p>
    <w:p>
      <w:pPr>
        <w:pStyle w:val="711"/>
        <w:ind w:left="0" w:firstLine="454"/>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四、</w:t>
      </w:r>
      <w:bookmarkStart w:id="31" w:name="OLE_LINK9"/>
      <w:r>
        <w:rPr>
          <w:rFonts w:hint="eastAsia" w:ascii="宋体" w:hAnsi="宋体" w:cs="宋体"/>
          <w:b/>
          <w:bCs/>
          <w:color w:val="000000" w:themeColor="text1"/>
          <w:spacing w:val="8"/>
          <w:szCs w:val="21"/>
          <w14:textFill>
            <w14:solidFill>
              <w14:schemeClr w14:val="tx1"/>
            </w14:solidFill>
          </w14:textFill>
        </w:rPr>
        <w:t xml:space="preserve">报价要求</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报价应包含与本次采购项目有关的所有费用。包含但不限于人员、设备、验收、售后服务、伴随配套服务等所有含税费用。同时，还应包含支付给员工的工资和国家强制缴纳的各种社会保障资金，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供应商的任何错漏、优惠、竞争性报价不得作为减轻责任、减少服务、增加收费、降低服务质量的理由。</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供应商报价除包含采购文件中列明的项目外还应包括保障服务正常运行应当具有的物资和服务，对服务正常运行应当具有的物资和服务理解不一致的以采购人理解为准。</w:t>
      </w:r>
      <w:bookmarkEnd w:id="31"/>
      <w:r/>
    </w:p>
    <w:p>
      <w:pPr>
        <w:pStyle w:val="714"/>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714"/>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 交货期：合同签订生效后，60天内全部设备、材料运抵现场，并安装、调试结束，验收合格，交付采购方使用。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2、交货方式：供应商在采购人指定地点交货，并完成安装、调试。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3、交货地点：南京医科大学指定地点。</w:t>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2"/>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w:t>
      </w:r>
      <w:r>
        <w:rPr>
          <w:rFonts w:hint="eastAsia" w:ascii="宋体" w:hAnsi="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hint="eastAsia" w:ascii="宋体" w:hAnsi="宋体"/>
          <w:bCs/>
          <w:color w:val="000000" w:themeColor="text1"/>
          <w:szCs w:val="21"/>
          <w14:textFill>
            <w14:solidFill>
              <w14:schemeClr w14:val="tx1"/>
            </w14:solidFill>
          </w14:textFill>
        </w:rPr>
      </w:pPr>
      <w:r/>
      <w:bookmarkStart w:id="32" w:name="OLE_LINK11"/>
      <w:r>
        <w:rPr>
          <w:rFonts w:hint="eastAsia" w:ascii="宋体" w:hAnsi="宋体"/>
          <w:bCs/>
          <w:color w:val="000000" w:themeColor="text1"/>
          <w:szCs w:val="21"/>
          <w14:textFill>
            <w14:solidFill>
              <w14:schemeClr w14:val="tx1"/>
            </w14:solidFill>
          </w14:textFill>
        </w:rPr>
        <w:t xml:space="preserve">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无息）。</w:t>
      </w:r>
      <w:bookmarkEnd w:id="32"/>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ind w:firstLine="420"/>
        <w:jc w:val="center"/>
        <w:spacing w:line="360" w:lineRule="auto"/>
      </w:pPr>
      <w:r>
        <w:rPr>
          <w:rFonts w:hint="eastAsia"/>
        </w:rPr>
        <w:br w:type="page" w:clear="all"/>
      </w:r>
      <w:bookmarkStart w:id="33" w:name="_Toc30691"/>
      <w:r>
        <w:rPr>
          <w:rFonts w:hint="eastAsia" w:ascii="Arial" w:hAnsi="Arial" w:cs="Arial"/>
          <w:b/>
          <w:bCs/>
          <w:sz w:val="32"/>
          <w:szCs w:val="44"/>
        </w:rPr>
        <w:t xml:space="preserve">第五章 </w:t>
      </w:r>
      <w:r>
        <w:rPr>
          <w:rFonts w:ascii="Arial" w:hAnsi="Arial" w:cs="Arial"/>
          <w:b/>
          <w:bCs/>
          <w:sz w:val="32"/>
          <w:szCs w:val="44"/>
        </w:rPr>
        <w:t xml:space="preserve">合同主要条款及格式</w:t>
      </w:r>
      <w:bookmarkEnd w:id="22"/>
      <w:r/>
      <w:bookmarkEnd w:id="33"/>
      <w:r/>
      <w:r/>
    </w:p>
    <w:p>
      <w:pPr>
        <w:jc w:val="center"/>
        <w:rPr>
          <w:rFonts w:hint="eastAsia" w:ascii="宋体" w:hAnsi="宋体" w:cs="宋体"/>
          <w:b/>
          <w:bCs/>
          <w:sz w:val="32"/>
          <w:szCs w:val="32"/>
        </w:rPr>
      </w:pPr>
      <w:r>
        <w:rPr>
          <w:rFonts w:hint="eastAsia" w:ascii="宋体" w:hAnsi="宋体" w:cs="宋体"/>
          <w:b/>
          <w:bCs/>
          <w:sz w:val="32"/>
          <w:szCs w:val="32"/>
        </w:rPr>
        <w:t xml:space="preserve"> </w:t>
      </w:r>
      <w:r/>
    </w:p>
    <w:p>
      <w:pPr>
        <w:jc w:val="center"/>
        <w:rPr>
          <w:rFonts w:hint="eastAsia" w:ascii="宋体" w:hAnsi="宋体" w:cs="宋体"/>
          <w:b/>
          <w:bCs/>
          <w:sz w:val="24"/>
          <w:u w:val="single"/>
        </w:rPr>
      </w:pPr>
      <w:r>
        <w:rPr>
          <w:rFonts w:hint="eastAsia" w:ascii="宋体" w:hAnsi="宋体" w:cs="宋体"/>
          <w:b/>
          <w:bCs/>
          <w:sz w:val="32"/>
          <w:szCs w:val="32"/>
          <w:lang w:eastAsia="zh-CN"/>
        </w:rPr>
        <w:t xml:space="preserve">南京医科大学实验室环境提升设备购置采购项目</w:t>
      </w:r>
      <w:r>
        <w:rPr>
          <w:rFonts w:hint="eastAsia" w:ascii="宋体" w:hAnsi="宋体" w:cs="宋体"/>
          <w:b/>
          <w:bCs/>
          <w:sz w:val="32"/>
          <w:szCs w:val="32"/>
        </w:rPr>
        <w:t xml:space="preserve">合同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714"/>
        <w:ind w:firstLine="420"/>
        <w:spacing w:before="120" w:after="120"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before="120" w:after="120"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before="120" w:after="120"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lang w:eastAsia="zh-CN"/>
        </w:rPr>
        <w:t xml:space="preserve">南京医科大学实验室环境提升设备购置采购项目</w:t>
      </w:r>
      <w:r>
        <w:rPr>
          <w:rFonts w:hint="eastAsia" w:ascii="宋体" w:hAnsi="宋体" w:cs="宋体"/>
          <w:szCs w:val="21"/>
        </w:rPr>
        <w:t xml:space="preserve">公开招标的结果，本着自愿及平等互利的原则，就甲方向乙方购买本合同约定的货物事宜，签署本合同。</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262"/>
        <w:gridCol w:w="889"/>
        <w:gridCol w:w="889"/>
        <w:gridCol w:w="889"/>
        <w:gridCol w:w="896"/>
        <w:gridCol w:w="1402"/>
        <w:gridCol w:w="1407"/>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518"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741"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526"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823"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823" w:type="pct"/>
            <w:vAlign w:val="center"/>
            <w:textDirection w:val="lrTb"/>
            <w:noWrap w:val="false"/>
          </w:tcPr>
          <w:p>
            <w:pPr>
              <w:rPr>
                <w:rFonts w:hint="eastAsia" w:ascii="宋体" w:hAnsi="宋体" w:cs="宋体"/>
                <w:b/>
                <w:szCs w:val="21"/>
              </w:rPr>
            </w:pPr>
            <w:r>
              <w:rPr>
                <w:rFonts w:hint="eastAsia" w:ascii="宋体" w:hAnsi="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6"/>
        </w:trPr>
        <w:tc>
          <w:tcPr>
            <w:gridSpan w:val="8"/>
            <w:tcBorders>
              <w:top w:val="single" w:color="auto" w:sz="4" w:space="0"/>
              <w:left w:val="single" w:color="auto" w:sz="12" w:space="0"/>
              <w:bottom w:val="single" w:color="auto" w:sz="4" w:space="0"/>
              <w:right w:val="single" w:color="auto" w:sz="12" w:space="0"/>
            </w:tcBorders>
            <w:tcW w:w="5000" w:type="pct"/>
            <w:vAlign w:val="center"/>
            <w:textDirection w:val="lrTb"/>
            <w:noWrap w:val="false"/>
          </w:tcPr>
          <w:p>
            <w:pPr>
              <w:jc w:val="left"/>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5000" w:type="pct"/>
            <w:vAlign w:val="center"/>
            <w:textDirection w:val="lrTb"/>
            <w:noWrap w:val="false"/>
          </w:tcPr>
          <w:p>
            <w:pPr>
              <w:spacing w:line="300" w:lineRule="exact"/>
              <w:rPr>
                <w:rFonts w:hint="eastAsia" w:ascii="宋体" w:hAnsi="宋体" w:cs="宋体"/>
                <w:color w:val="000000"/>
                <w:szCs w:val="21"/>
              </w:rPr>
            </w:pPr>
            <w:r>
              <w:rPr>
                <w:rFonts w:hint="eastAsia" w:ascii="宋体" w:hAnsi="宋体" w:cs="宋体"/>
                <w:color w:val="000000"/>
                <w:szCs w:val="21"/>
              </w:rPr>
              <w:t xml:space="preserve">说明：</w:t>
            </w:r>
            <w:r/>
          </w:p>
          <w:p>
            <w:pPr>
              <w:spacing w:line="300" w:lineRule="exact"/>
              <w:rPr>
                <w:rFonts w:hint="eastAsia" w:ascii="宋体" w:hAnsi="宋体" w:cs="宋体"/>
                <w:color w:val="000000"/>
                <w:szCs w:val="21"/>
              </w:rPr>
            </w:pPr>
            <w:r>
              <w:rPr>
                <w:rFonts w:hint="eastAsia" w:ascii="宋体" w:hAnsi="宋体" w:cs="宋体"/>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szCs w:val="21"/>
              </w:rPr>
            </w:pPr>
            <w:r>
              <w:rPr>
                <w:rFonts w:hint="eastAsia" w:ascii="宋体" w:hAnsi="宋体" w:cs="宋体"/>
                <w:color w:val="000000"/>
                <w:szCs w:val="21"/>
              </w:rPr>
              <w:t xml:space="preserve">此外，</w:t>
            </w:r>
            <w:r/>
          </w:p>
          <w:p>
            <w:pPr>
              <w:spacing w:line="300" w:lineRule="exact"/>
              <w:rPr>
                <w:rFonts w:hint="eastAsia" w:ascii="宋体" w:hAnsi="宋体" w:cs="宋体"/>
                <w:color w:val="000000"/>
                <w:szCs w:val="21"/>
              </w:rPr>
            </w:pPr>
            <w:r>
              <w:rPr>
                <w:rFonts w:hint="eastAsia" w:ascii="宋体" w:hAnsi="宋体" w:cs="宋体"/>
                <w:color w:val="000000"/>
                <w:szCs w:val="21"/>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szCs w:val="21"/>
              </w:rPr>
            </w:pPr>
            <w:r>
              <w:rPr>
                <w:rFonts w:hint="eastAsia" w:ascii="宋体" w:hAnsi="宋体" w:cs="宋体"/>
                <w:color w:val="000000"/>
                <w:szCs w:val="21"/>
              </w:rPr>
              <w:t xml:space="preserve">（2）进口免税货物且在国务院关税税则委员会公告的加征关税商品清单范围内，加征的关税亦包含在本合同总价款中。</w:t>
            </w:r>
            <w:r/>
          </w:p>
          <w:p>
            <w:pPr>
              <w:spacing w:line="300" w:lineRule="exact"/>
              <w:rPr>
                <w:rFonts w:hint="eastAsia" w:ascii="宋体" w:hAnsi="宋体" w:cs="宋体"/>
                <w:color w:val="000000"/>
                <w:szCs w:val="21"/>
              </w:rPr>
            </w:pPr>
            <w:r>
              <w:rPr>
                <w:rFonts w:hint="eastAsia" w:ascii="宋体" w:hAnsi="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szCs w:val="21"/>
              </w:rPr>
            </w:pPr>
            <w:r>
              <w:rPr>
                <w:rFonts w:hint="eastAsia" w:ascii="宋体" w:hAnsi="宋体" w:cs="宋体"/>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szCs w:val="21"/>
              </w:rPr>
            </w:pPr>
            <w:r>
              <w:rPr>
                <w:rFonts w:hint="eastAsia" w:ascii="宋体" w:hAnsi="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u w:val="single"/>
        </w:rPr>
      </w:pPr>
      <w:r>
        <w:rPr>
          <w:rFonts w:hint="eastAsia" w:ascii="宋体" w:hAnsi="宋体" w:cs="宋体"/>
          <w:szCs w:val="21"/>
        </w:rPr>
        <w:t xml:space="preserve">2.1结算方式：</w:t>
      </w:r>
      <w:r>
        <w:rPr>
          <w:rFonts w:hint="eastAsia" w:ascii="宋体" w:hAnsi="宋体"/>
          <w:bCs/>
          <w:color w:val="000000"/>
          <w:szCs w:val="21"/>
          <w:u w:val="single"/>
        </w:rPr>
        <w:t xml:space="preserve">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无息）。</w:t>
      </w:r>
      <w:r/>
    </w:p>
    <w:p>
      <w:pPr>
        <w:pStyle w:val="714"/>
        <w:ind w:firstLine="420"/>
        <w:spacing w:line="360" w:lineRule="auto"/>
        <w:rPr>
          <w:rFonts w:hint="eastAsia" w:ascii="宋体" w:hAnsi="宋体" w:cs="宋体"/>
          <w:szCs w:val="21"/>
        </w:rPr>
      </w:pPr>
      <w:r>
        <w:rPr>
          <w:rFonts w:hint="eastAsia" w:ascii="宋体" w:hAnsi="宋体" w:cs="宋体"/>
          <w:szCs w:val="21"/>
        </w:rPr>
        <w:t xml:space="preserve">2.2当采购数量与实际使用数量不一致时，乙方应根据实际使用量供货，合同的最终结算金额按实际使用量乘以本合同约定的成交单价进行计算。</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2.3乙方指定账户信息：</w:t>
      </w:r>
      <w:r/>
    </w:p>
    <w:p>
      <w:pPr>
        <w:pStyle w:val="714"/>
        <w:ind w:left="420"/>
        <w:jc w:val="left"/>
        <w:spacing w:before="120" w:after="120" w:line="360" w:lineRule="auto"/>
        <w:rPr>
          <w:rFonts w:hint="eastAsia" w:ascii="宋体" w:hAnsi="宋体" w:cs="宋体"/>
          <w:szCs w:val="21"/>
        </w:rPr>
      </w:pPr>
      <w:r>
        <w:rPr>
          <w:rFonts w:hint="eastAsia" w:ascii="宋体" w:hAnsi="宋体" w:cs="宋体"/>
          <w:szCs w:val="21"/>
        </w:rPr>
        <w:t xml:space="preserve">开户行：</w:t>
      </w:r>
      <w:r/>
    </w:p>
    <w:p>
      <w:pPr>
        <w:pStyle w:val="714"/>
        <w:ind w:left="420"/>
        <w:jc w:val="left"/>
        <w:spacing w:before="120" w:after="120" w:line="360" w:lineRule="auto"/>
        <w:rPr>
          <w:rFonts w:hint="eastAsia" w:ascii="宋体" w:hAnsi="宋体" w:cs="宋体"/>
          <w:szCs w:val="21"/>
        </w:rPr>
      </w:pPr>
      <w:r>
        <w:rPr>
          <w:rFonts w:hint="eastAsia" w:ascii="宋体" w:hAnsi="宋体" w:cs="宋体"/>
          <w:szCs w:val="21"/>
        </w:rPr>
        <w:t xml:space="preserve">户名：</w:t>
      </w:r>
      <w:r/>
    </w:p>
    <w:p>
      <w:pPr>
        <w:pStyle w:val="714"/>
        <w:ind w:left="420"/>
        <w:jc w:val="left"/>
        <w:spacing w:before="120" w:after="120" w:line="360" w:lineRule="auto"/>
        <w:rPr>
          <w:rFonts w:hint="eastAsia" w:ascii="宋体" w:hAnsi="宋体" w:cs="宋体"/>
          <w:szCs w:val="21"/>
        </w:rPr>
      </w:pPr>
      <w:r>
        <w:rPr>
          <w:rFonts w:hint="eastAsia" w:ascii="宋体" w:hAnsi="宋体" w:cs="宋体"/>
          <w:szCs w:val="21"/>
        </w:rPr>
        <w:t xml:space="preserve">账号：</w:t>
      </w:r>
      <w:r/>
    </w:p>
    <w:p>
      <w:pPr>
        <w:pStyle w:val="714"/>
        <w:ind w:left="420"/>
        <w:jc w:val="left"/>
        <w:spacing w:before="120" w:after="120" w:line="360" w:lineRule="auto"/>
        <w:rPr>
          <w:rFonts w:hint="eastAsia" w:ascii="宋体" w:hAnsi="宋体" w:cs="宋体"/>
          <w:szCs w:val="21"/>
          <w:u w:val="single"/>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三、交付方式、时间及地点</w:t>
      </w:r>
      <w:r/>
    </w:p>
    <w:p>
      <w:pPr>
        <w:pStyle w:val="714"/>
        <w:ind w:firstLine="420"/>
        <w:jc w:val="left"/>
        <w:spacing w:before="120" w:after="120" w:line="360" w:lineRule="auto"/>
        <w:rPr>
          <w:rFonts w:hint="eastAsia" w:ascii="宋体" w:hAnsi="宋体" w:cs="宋体"/>
          <w:szCs w:val="21"/>
          <w:u w:val="single"/>
        </w:rPr>
      </w:pPr>
      <w:r>
        <w:rPr>
          <w:rFonts w:hint="eastAsia" w:ascii="宋体" w:hAnsi="宋体" w:cs="宋体"/>
          <w:szCs w:val="21"/>
        </w:rPr>
        <w:t xml:space="preserve">3.1交付方式：</w:t>
      </w:r>
      <w:r>
        <w:rPr>
          <w:rFonts w:hint="eastAsia" w:ascii="宋体" w:hAnsi="宋体" w:cs="宋体"/>
          <w:szCs w:val="21"/>
          <w:u w:val="single"/>
        </w:rPr>
        <w:t xml:space="preserve">按照2年执行，在合同签订生效后，按照</w:t>
      </w:r>
      <w:r>
        <w:rPr>
          <w:rFonts w:hint="eastAsia" w:ascii="宋体" w:hAnsi="宋体" w:cs="宋体"/>
          <w:szCs w:val="21"/>
          <w:u w:val="single"/>
          <w:lang w:val="en-US" w:eastAsia="zh-CN"/>
        </w:rPr>
        <w:t xml:space="preserve">甲方</w:t>
      </w:r>
      <w:r>
        <w:rPr>
          <w:rFonts w:hint="eastAsia" w:ascii="宋体" w:hAnsi="宋体" w:cs="宋体"/>
          <w:szCs w:val="21"/>
          <w:u w:val="single"/>
        </w:rPr>
        <w:t xml:space="preserve">要求分批次送货到位并安装调试结束。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3.1交付时间：___________________</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3.2交付地点：___________________</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before="120" w:after="120" w:line="360" w:lineRule="auto"/>
        <w:rPr>
          <w:rFonts w:hint="eastAsia" w:ascii="宋体" w:hAnsi="宋体" w:cs="宋体"/>
          <w:b/>
          <w:bCs/>
          <w:szCs w:val="21"/>
        </w:rPr>
      </w:pPr>
      <w:r>
        <w:rPr>
          <w:rFonts w:hint="eastAsia" w:ascii="宋体" w:hAnsi="宋体" w:cs="宋体"/>
          <w:b/>
          <w:bCs/>
          <w:szCs w:val="21"/>
        </w:rPr>
        <w:t xml:space="preserve">五、质量保证及售后服务</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5.4在质保期内，如在使用过程中发生质量问题，乙方在接到甲方通知后在_________小时内响应，并在</w:t>
      </w:r>
      <w:r>
        <w:rPr>
          <w:rFonts w:hint="eastAsia" w:ascii="宋体" w:hAnsi="宋体" w:cs="宋体"/>
          <w:szCs w:val="21"/>
          <w:u w:val="single"/>
        </w:rPr>
        <w:t xml:space="preserve">      </w:t>
      </w:r>
      <w:r>
        <w:rPr>
          <w:rFonts w:hint="eastAsia" w:ascii="宋体" w:hAnsi="宋体" w:cs="宋体"/>
          <w:szCs w:val="21"/>
        </w:rPr>
        <w:t xml:space="preserve">小时内赶到甲方现场，免费予以排除故障、修复或者更换零部件。如未及时维修的，甲方委托他人维修，维修费从合同尾款中扣除或由乙方承担。</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315"/>
        <w:spacing w:before="120" w:after="120"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六、调试和验收</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before="120" w:after="120"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七、技术资料</w:t>
      </w:r>
      <w:r/>
    </w:p>
    <w:p>
      <w:pPr>
        <w:pStyle w:val="714"/>
        <w:ind w:firstLine="420"/>
        <w:spacing w:before="120" w:after="120"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九、违约责任</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9.8 乙方履行义务不符合合同约定时，甲方有权扣减本合同总金额的10%的货款，尾款不足10%的，乙方应当补足。</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十、不可抗力事件处理</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十一、诉讼</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before="120" w:after="120" w:line="360" w:lineRule="auto"/>
        <w:rPr>
          <w:rFonts w:hint="eastAsia" w:ascii="宋体" w:hAnsi="宋体" w:cs="宋体"/>
          <w:b/>
          <w:szCs w:val="21"/>
        </w:rPr>
      </w:pPr>
      <w:r>
        <w:rPr>
          <w:rFonts w:hint="eastAsia" w:ascii="宋体" w:hAnsi="宋体" w:cs="宋体"/>
          <w:b/>
          <w:szCs w:val="21"/>
        </w:rPr>
        <w:t xml:space="preserve">十二、合同生效及其它</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before="120" w:after="120" w:line="400" w:lineRule="exact"/>
        <w:rPr>
          <w:rFonts w:hint="eastAsia" w:ascii="宋体" w:hAnsi="宋体" w:cs="宋体"/>
          <w:szCs w:val="21"/>
        </w:rPr>
      </w:pPr>
      <w:r>
        <w:rPr>
          <w:rFonts w:hint="eastAsia" w:ascii="宋体" w:hAnsi="宋体" w:cs="宋体"/>
          <w:szCs w:val="21"/>
        </w:rPr>
        <w:t xml:space="preserve">（以下无正文，为签字盖章处）</w:t>
      </w:r>
      <w:r/>
    </w:p>
    <w:p>
      <w:pPr>
        <w:pStyle w:val="714"/>
        <w:ind w:firstLine="420"/>
        <w:spacing w:before="120" w:after="120" w:line="360" w:lineRule="auto"/>
        <w:rPr>
          <w:rFonts w:hint="eastAsia" w:ascii="宋体" w:hAnsi="宋体" w:cs="宋体"/>
          <w:szCs w:val="21"/>
        </w:rPr>
      </w:pPr>
      <w:r>
        <w:rPr>
          <w:rFonts w:hint="eastAsia" w:ascii="宋体" w:hAnsi="宋体" w:cs="宋体"/>
          <w:szCs w:val="21"/>
        </w:rPr>
        <w:t xml:space="preserve">   </w:t>
      </w:r>
      <w:r/>
    </w:p>
    <w:p>
      <w:pPr>
        <w:pStyle w:val="714"/>
        <w:spacing w:before="120" w:after="120" w:line="240" w:lineRule="atLeast"/>
        <w:rPr>
          <w:rFonts w:hint="eastAsia" w:ascii="宋体" w:hAnsi="宋体" w:cs="宋体"/>
          <w:szCs w:val="21"/>
        </w:rPr>
      </w:pPr>
      <w:r>
        <w:rPr>
          <w:rFonts w:hint="eastAsia" w:ascii="宋体" w:hAnsi="宋体" w:cs="宋体"/>
          <w:szCs w:val="21"/>
        </w:rPr>
      </w:r>
      <w:r/>
    </w:p>
    <w:p>
      <w:pPr>
        <w:pStyle w:val="714"/>
        <w:spacing w:before="120" w:after="120" w:line="300" w:lineRule="auto"/>
        <w:rPr>
          <w:rFonts w:hint="eastAsia" w:ascii="宋体" w:hAnsi="宋体" w:cs="宋体"/>
          <w:szCs w:val="21"/>
        </w:rPr>
      </w:pPr>
      <w:r>
        <w:rPr>
          <w:rFonts w:hint="eastAsia" w:ascii="宋体" w:hAnsi="宋体" w:cs="宋体"/>
          <w:szCs w:val="21"/>
        </w:rPr>
        <w:t xml:space="preserve">甲方： 南京医科大学（盖章）                 乙方： （盖章）</w:t>
      </w:r>
      <w:r/>
    </w:p>
    <w:p>
      <w:pPr>
        <w:pStyle w:val="714"/>
        <w:spacing w:before="120" w:after="120" w:line="300" w:lineRule="auto"/>
        <w:rPr>
          <w:rFonts w:hint="eastAsia" w:ascii="宋体" w:hAnsi="宋体" w:cs="宋体"/>
          <w:szCs w:val="21"/>
        </w:rPr>
      </w:pPr>
      <w:r>
        <w:rPr>
          <w:rFonts w:hint="eastAsia" w:ascii="宋体" w:hAnsi="宋体" w:cs="宋体"/>
          <w:szCs w:val="21"/>
        </w:rPr>
        <w:t xml:space="preserve">地址：南京市江宁区龙眠大道101号            地址： </w:t>
      </w:r>
      <w:r/>
    </w:p>
    <w:p>
      <w:pPr>
        <w:pStyle w:val="714"/>
        <w:spacing w:before="120" w:after="120" w:line="30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714"/>
        <w:spacing w:before="120" w:after="120" w:line="300" w:lineRule="auto"/>
        <w:rPr>
          <w:rFonts w:hint="eastAsia" w:ascii="宋体" w:hAnsi="宋体" w:cs="宋体"/>
          <w:szCs w:val="21"/>
        </w:rPr>
      </w:pPr>
      <w:r>
        <w:rPr>
          <w:rFonts w:hint="eastAsia" w:ascii="宋体" w:hAnsi="宋体" w:cs="宋体"/>
          <w:szCs w:val="21"/>
        </w:rPr>
        <w:t xml:space="preserve">签订日期：   年    月    日                 签订日期：   年    月    日</w:t>
      </w:r>
      <w:r/>
    </w:p>
    <w:p>
      <w:pPr>
        <w:pStyle w:val="714"/>
        <w:spacing w:before="120" w:after="120" w:line="300" w:lineRule="auto"/>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szCs w:val="21"/>
          <w:lang w:val="zh-CN"/>
        </w:rPr>
      </w:pPr>
      <w:r>
        <w:rPr>
          <w:rFonts w:hint="eastAsia" w:ascii="宋体" w:hAnsi="宋体"/>
          <w:szCs w:val="21"/>
        </w:rPr>
        <w:t xml:space="preserve">附件1：</w:t>
      </w:r>
      <w:r>
        <w:rPr>
          <w:rFonts w:hint="eastAsia" w:ascii="宋体" w:hAnsi="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r/>
      <w:r/>
    </w:p>
    <w:p>
      <w:r>
        <w:rPr>
          <w:rFonts w:hint="eastAsia"/>
        </w:rPr>
        <w:t xml:space="preserve">附件2：货物配置清单</w:t>
      </w:r>
      <w:r/>
    </w:p>
    <w:p>
      <w:pPr>
        <w:rPr>
          <w:rFonts w:hint="eastAsia" w:ascii="宋体" w:hAnsi="宋体" w:cs="宋体"/>
          <w:sz w:val="24"/>
        </w:rPr>
      </w:pPr>
      <w:r>
        <w:rPr>
          <w:rFonts w:hint="eastAsia" w:ascii="宋体" w:hAnsi="宋体" w:cs="宋体"/>
          <w:sz w:val="24"/>
        </w:rPr>
        <w:br w:type="page" w:clear="all"/>
      </w:r>
      <w:r/>
    </w:p>
    <w:p>
      <w:pPr>
        <w:pStyle w:val="689"/>
        <w:numPr>
          <w:ilvl w:val="0"/>
          <w:numId w:val="0"/>
        </w:numPr>
        <w:rPr>
          <w:rFonts w:ascii="Arial" w:hAnsi="Arial" w:cs="Arial"/>
        </w:rPr>
      </w:pPr>
      <w:r/>
      <w:bookmarkStart w:id="34"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4"/>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bookmarkEnd w:id="0"/>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项目名称：</w:t>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招标编号：</w:t>
      </w:r>
      <w:r/>
    </w:p>
    <w:p>
      <w:pPr>
        <w:ind w:firstLine="720"/>
        <w:jc w:val="both"/>
        <w:rPr>
          <w:rFonts w:hint="eastAsia" w:ascii="宋体" w:hAnsi="宋体" w:cs="宋体"/>
          <w:sz w:val="36"/>
          <w:szCs w:val="36"/>
          <w:u w:val="single"/>
        </w:rPr>
      </w:pPr>
      <w:r>
        <w:rPr>
          <w:rFonts w:hint="eastAsia" w:ascii="宋体" w:hAnsi="宋体" w:cs="宋体"/>
          <w:sz w:val="36"/>
          <w:szCs w:val="36"/>
        </w:rPr>
        <w:t xml:space="preserve">投标人</w:t>
      </w:r>
      <w:r>
        <w:rPr>
          <w:rFonts w:hint="eastAsia" w:ascii="宋体" w:hAnsi="宋体" w:cs="宋体"/>
          <w:sz w:val="36"/>
          <w:szCs w:val="36"/>
          <w:lang w:val="en-US" w:eastAsia="zh-CN"/>
        </w:rPr>
        <w:t xml:space="preserve">名称</w:t>
      </w:r>
      <w:r>
        <w:rPr>
          <w:rFonts w:hint="eastAsia" w:ascii="宋体" w:hAnsi="宋体" w:cs="宋体"/>
          <w:sz w:val="36"/>
          <w:szCs w:val="36"/>
        </w:rPr>
        <w:t xml:space="preserve">：（加盖电子公章）</w:t>
      </w:r>
      <w:r/>
    </w:p>
    <w:p>
      <w:pPr>
        <w:ind w:firstLine="720"/>
        <w:jc w:val="left"/>
        <w:widowControl/>
        <w:rPr>
          <w:rFonts w:hint="eastAsia" w:ascii="宋体" w:hAnsi="宋体" w:cs="宋体"/>
          <w:sz w:val="28"/>
          <w:szCs w:val="28"/>
        </w:rPr>
      </w:pPr>
      <w:r>
        <w:rPr>
          <w:rFonts w:hint="eastAsia" w:ascii="宋体" w:hAnsi="宋体" w:cs="宋体"/>
          <w:sz w:val="36"/>
          <w:szCs w:val="36"/>
          <w:lang w:val="en-US" w:eastAsia="zh-CN"/>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3"/>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6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703"/>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703"/>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703"/>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3"/>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703"/>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 xml:space="preserve">万元</w:t>
            </w:r>
            <w:r>
              <w:rPr>
                <w:rFonts w:ascii="Arial" w:hAnsi="Arial" w:cs="Arial"/>
                <w:sz w:val="21"/>
                <w:szCs w:val="21"/>
              </w:rPr>
              <w:t xml:space="preserve">    </w:t>
            </w:r>
            <w:r>
              <w:rPr>
                <w:rFonts w:ascii="Arial" w:hAnsi="Arial" w:cs="Arial"/>
                <w:bCs/>
                <w:sz w:val="21"/>
                <w:szCs w:val="21"/>
              </w:rPr>
              <w:t xml:space="preserve">    </w:t>
            </w:r>
            <w:r/>
          </w:p>
          <w:p>
            <w:pPr>
              <w:pStyle w:val="703"/>
              <w:ind w:firstLine="474"/>
              <w:spacing w:line="440" w:lineRule="exact"/>
              <w:rPr>
                <w:rFonts w:ascii="Arial" w:hAnsi="Arial" w:cs="Arial"/>
                <w:sz w:val="21"/>
                <w:szCs w:val="21"/>
              </w:rPr>
            </w:pPr>
            <w:r>
              <w:rPr>
                <w:rFonts w:ascii="Arial" w:hAnsi="Arial" w:cs="Arial"/>
                <w:sz w:val="21"/>
                <w:szCs w:val="21"/>
              </w:rPr>
            </w:r>
            <w:r/>
          </w:p>
          <w:p>
            <w:pPr>
              <w:pStyle w:val="703"/>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       </w:t>
            </w:r>
            <w:r/>
          </w:p>
        </w:tc>
        <w:tc>
          <w:tcPr>
            <w:tcW w:w="1639" w:type="dxa"/>
            <w:vAlign w:val="center"/>
            <w:textDirection w:val="lrTb"/>
            <w:noWrap w:val="false"/>
          </w:tcPr>
          <w:p>
            <w:pPr>
              <w:pStyle w:val="703"/>
              <w:ind w:firstLine="0"/>
              <w:spacing w:line="440" w:lineRule="exact"/>
              <w:rPr>
                <w:rFonts w:ascii="Arial" w:hAnsi="Arial" w:cs="Arial"/>
                <w:bCs/>
                <w:sz w:val="21"/>
                <w:szCs w:val="21"/>
              </w:rPr>
            </w:pPr>
            <w:r>
              <w:rPr>
                <w:rFonts w:ascii="Arial" w:hAnsi="Arial" w:cs="Arial"/>
                <w:bCs/>
                <w:sz w:val="21"/>
                <w:szCs w:val="21"/>
              </w:rPr>
            </w:r>
            <w:r/>
          </w:p>
          <w:p>
            <w:pPr>
              <w:pStyle w:val="703"/>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703"/>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5131" w:type="dxa"/>
            <w:vAlign w:val="center"/>
            <w:textDirection w:val="lrTb"/>
            <w:noWrap w:val="false"/>
          </w:tcPr>
          <w:p>
            <w:pPr>
              <w:pStyle w:val="703"/>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703"/>
              <w:ind w:firstLine="474"/>
              <w:spacing w:line="440" w:lineRule="exact"/>
              <w:rPr>
                <w:rFonts w:ascii="Arial" w:hAnsi="Arial" w:cs="Arial"/>
                <w:sz w:val="21"/>
                <w:szCs w:val="21"/>
              </w:rPr>
            </w:pPr>
            <w:r>
              <w:rPr>
                <w:rFonts w:ascii="Arial" w:hAnsi="Arial" w:cs="Arial"/>
                <w:sz w:val="21"/>
                <w:szCs w:val="21"/>
              </w:rPr>
            </w:r>
            <w:r/>
          </w:p>
          <w:p>
            <w:pPr>
              <w:pStyle w:val="703"/>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3"/>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703"/>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703"/>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08"/>
        <w:rPr>
          <w:lang w:val="zh-CN"/>
        </w:rPr>
      </w:pPr>
      <w:r>
        <w:rPr>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7"/>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w:t>
      </w:r>
      <w:r>
        <w:rPr>
          <w:rFonts w:hint="eastAsia" w:ascii="Arial" w:hAnsi="Arial" w:cs="Arial"/>
          <w:szCs w:val="21"/>
          <w:lang w:val="en-US" w:eastAsia="zh-CN"/>
        </w:rPr>
        <w:t xml:space="preserve">招标</w:t>
      </w:r>
      <w:r>
        <w:rPr>
          <w:rFonts w:hint="eastAsia" w:ascii="Arial" w:hAnsi="Arial" w:cs="Arial"/>
          <w:szCs w:val="21"/>
        </w:rPr>
        <w:t xml:space="preserve">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hint="eastAsia" w:ascii="Arial" w:hAnsi="Arial" w:eastAsia="宋体" w:cs="Arial"/>
          <w:szCs w:val="21"/>
          <w:lang w:val="en-US" w:eastAsia="zh-CN"/>
        </w:rPr>
      </w:pPr>
      <w:r>
        <w:rPr>
          <w:rFonts w:hint="eastAsia" w:ascii="Arial" w:hAnsi="Arial" w:cs="Arial"/>
          <w:szCs w:val="21"/>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85"/>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5"/>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lang w:val="en-US" w:eastAsia="zh-CN"/>
        </w:rPr>
        <w:t xml:space="preserve">                    </w:t>
      </w:r>
      <w:r>
        <w:rPr>
          <w:rFonts w:ascii="Arial" w:hAnsi="Arial" w:cs="Arial"/>
          <w:szCs w:val="21"/>
        </w:rPr>
        <w:t xml:space="preserve">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中小企业声明函（工程、服务）</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万元，属于（中型企业、小   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highlight w:val="none"/>
        </w:rPr>
        <w:t xml:space="preserve">（加盖电子公章）</w:t>
      </w: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rPr>
          <w:rFonts w:ascii="Arial" w:hAnsi="Arial" w:cs="Arial"/>
          <w:b/>
          <w:bCs/>
          <w:sz w:val="28"/>
        </w:rPr>
      </w:pPr>
      <w:r>
        <w:rPr>
          <w:rFonts w:hint="eastAsia" w:ascii="Arial" w:hAnsi="Arial" w:cs="Arial"/>
          <w:b/>
          <w:bCs/>
          <w:sz w:val="28"/>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w:t>
      </w:r>
      <w:r/>
    </w:p>
    <w:p>
      <w:pPr>
        <w:ind w:firstLine="240"/>
        <w:jc w:val="center"/>
        <w:spacing w:line="560" w:lineRule="exact"/>
        <w:rPr>
          <w:rFonts w:hint="eastAsia" w:ascii="宋体" w:hAnsi="宋体"/>
          <w:b/>
          <w:sz w:val="24"/>
          <w:szCs w:val="21"/>
        </w:rPr>
      </w:pPr>
      <w:r>
        <w:rPr>
          <w:rFonts w:hint="eastAsia" w:ascii="宋体" w:hAnsi="宋体"/>
          <w:b/>
          <w:sz w:val="24"/>
          <w:szCs w:val="21"/>
        </w:rPr>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采购编号</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微型企业）；</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7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180" w:firstLine="360"/>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w:t>
      </w:r>
      <w:r/>
    </w:p>
    <w:p>
      <w:pPr>
        <w:rPr>
          <w:rFonts w:hint="eastAsia" w:ascii="宋体" w:hAnsi="宋体" w:eastAsia="宋体" w:cs="宋体"/>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lang w:val="zh-CN"/>
        </w:rPr>
        <w:outlineLvl w:val="9"/>
      </w:pPr>
      <w:r>
        <w:rPr>
          <w:rFonts w:hint="eastAsia" w:ascii="宋体" w:hAnsi="宋体" w:cs="宋体"/>
          <w:lang w:val="zh-CN"/>
        </w:rPr>
      </w:r>
      <w:r/>
    </w:p>
    <w:p>
      <w:pPr>
        <w:pageBreakBefore w:val="0"/>
        <w:rPr>
          <w:rFonts w:hint="eastAsia" w:ascii="宋体" w:hAnsi="宋体"/>
          <w:b/>
        </w:rPr>
        <w:outlineLvl w:val="9"/>
      </w:pPr>
      <w:r>
        <w:rPr>
          <w:rFonts w:hint="eastAsia" w:ascii="宋体" w:hAnsi="宋体"/>
          <w:b/>
        </w:rPr>
        <w:br w:type="page" w:clear="all"/>
      </w:r>
      <w:r/>
    </w:p>
    <w:p>
      <w:pPr>
        <w:pageBreakBefore w:val="0"/>
        <w:rPr>
          <w:rFonts w:hint="eastAsia" w:ascii="宋体" w:hAnsi="宋体"/>
          <w:b/>
        </w:rPr>
        <w:outlineLvl w:val="9"/>
      </w:pPr>
      <w:r>
        <w:rPr>
          <w:rFonts w:hint="eastAsia" w:ascii="宋体" w:hAnsi="宋体"/>
          <w:b/>
        </w:rPr>
        <w:t xml:space="preserve">附：中小企业划型标准规定</w:t>
      </w:r>
      <w:r/>
    </w:p>
    <w:p>
      <w:pPr>
        <w:ind w:firstLine="422"/>
        <w:pageBreakBefore w:val="0"/>
        <w:rPr>
          <w:rFonts w:hint="eastAsia" w:ascii="宋体" w:hAnsi="宋体"/>
        </w:rPr>
        <w:outlineLvl w:val="9"/>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rPr>
        <w:outlineLvl w:val="9"/>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rPr>
        <w:outlineLvl w:val="9"/>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rPr>
        <w:outlineLvl w:val="9"/>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rPr>
        <w:outlineLvl w:val="9"/>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rPr>
        <w:outlineLvl w:val="9"/>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rPr>
        <w:outlineLvl w:val="9"/>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rPr>
        <w:outlineLvl w:val="9"/>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rPr>
        <w:outlineLvl w:val="9"/>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rPr>
        <w:outlineLvl w:val="9"/>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szCs w:val="21"/>
        </w:rPr>
        <w:outlineLvl w:val="9"/>
      </w:pPr>
      <w:r>
        <w:rPr>
          <w:rFonts w:ascii="Arial" w:hAnsi="Arial" w:cs="Arial"/>
          <w:szCs w:val="21"/>
        </w:rPr>
      </w:r>
      <w:r/>
    </w:p>
    <w:p>
      <w:pPr>
        <w:jc w:val="center"/>
        <w:pageBreakBefore w:val="0"/>
        <w:spacing w:line="360" w:lineRule="auto"/>
        <w:rPr>
          <w:rFonts w:ascii="Arial" w:hAnsi="Arial" w:cs="Arial"/>
          <w:szCs w:val="21"/>
        </w:rPr>
        <w:outlineLvl w:val="9"/>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pStyle w:val="730"/>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auto" w:sz="0" w:space="0"/>
          <w:left w:val="none" w:color="auto" w:sz="0" w:space="0"/>
          <w:bottom w:val="none" w:color="auto" w:sz="0" w:space="0"/>
          <w:right w:val="none" w:color="auto" w:sz="0" w:space="0"/>
        </w:pBdr>
        <w:suppressLineNumbers w:val="0"/>
      </w:pPr>
      <w:r>
        <w:rPr>
          <w:rStyle w:val="737"/>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730"/>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73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740"/>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p>
    <w:p>
      <w:pPr>
        <w:pStyle w:val="73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r>
      <w:r/>
    </w:p>
    <w:p>
      <w:pPr>
        <w:pStyle w:val="730"/>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　        </w:t>
      </w:r>
      <w:r/>
    </w:p>
    <w:p>
      <w:pPr>
        <w:pStyle w:val="730"/>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日期：　     年　  月　  日         </w:t>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73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_________________</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p>
    <w:p>
      <w:pPr>
        <w:pStyle w:val="73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740"/>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p>
    <w:p>
      <w:r/>
      <w:r/>
    </w:p>
    <w:p>
      <w:pPr>
        <w:rPr>
          <w:rFonts w:ascii="Arial" w:hAnsi="Arial" w:cs="Arial"/>
          <w:b/>
          <w:bCs/>
          <w:sz w:val="28"/>
        </w:rPr>
      </w:pPr>
      <w:r>
        <w:rPr>
          <w:rFonts w:ascii="Arial" w:hAnsi="Arial" w:cs="Arial"/>
          <w:b/>
          <w:bCs/>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残疾人福利性单位声明函（货物类项目）</w:t>
      </w:r>
      <w:r/>
    </w:p>
    <w:p>
      <w:pPr>
        <w:jc w:val="center"/>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采购编号</w:t>
      </w:r>
      <w:r>
        <w:rPr>
          <w:rFonts w:hint="eastAsia" w:ascii="宋体" w:hAnsi="宋体" w:eastAsia="宋体" w:cs="宋体"/>
          <w:sz w:val="21"/>
          <w:szCs w:val="21"/>
          <w:u w:val="single"/>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firstLine="62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ind w:right="1559" w:firstLine="624"/>
        <w:jc w:val="center"/>
        <w:spacing w:line="360" w:lineRule="auto"/>
        <w:tabs>
          <w:tab w:val="left" w:pos="4860" w:leader="none"/>
        </w:tabs>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供应商全称（加盖CA电子公章）：</w:t>
      </w:r>
      <w:r/>
    </w:p>
    <w:p>
      <w:pPr>
        <w:ind w:right="1559" w:firstLine="480"/>
        <w:jc w:val="center"/>
        <w:spacing w:line="360" w:lineRule="auto"/>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rPr>
          <w:rFonts w:hint="eastAsia" w:ascii="宋体" w:hAnsi="宋体" w:eastAsia="宋体" w:cs="宋体"/>
          <w:i w:val="0"/>
          <w:iCs w:val="0"/>
          <w:caps w:val="0"/>
          <w:color w:val="auto"/>
          <w:spacing w:val="0"/>
          <w:sz w:val="21"/>
          <w:szCs w:val="21"/>
          <w:shd w:val="clear" w:color="auto" w:fill="ffffff"/>
        </w:rPr>
        <w:t xml:space="preserve"> </w:t>
      </w:r>
      <w:r/>
    </w:p>
    <w:p>
      <w:pPr>
        <w:rPr>
          <w:rFonts w:ascii="Arial" w:hAnsi="Arial" w:cs="Arial"/>
          <w:b/>
          <w:bCs/>
        </w:rPr>
      </w:pPr>
      <w:r>
        <w:rPr>
          <w:rFonts w:ascii="Arial" w:hAnsi="Arial" w:cs="Arial"/>
          <w:b/>
          <w:bCs/>
        </w:rPr>
        <w:br w:type="page" w:clear="all"/>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highlight w:val="none"/>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根据采购公告中二、申请人的资格要求填写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bookmarkEnd w:id="1"/>
      <w:r/>
    </w:p>
    <w:p>
      <w:pPr>
        <w:spacing w:line="440" w:lineRule="exact"/>
        <w:rPr>
          <w:rFonts w:hint="eastAsia" w:ascii="宋体" w:hAnsi="宋体"/>
          <w:b/>
          <w:bCs/>
          <w:szCs w:val="21"/>
        </w:rPr>
      </w:pPr>
      <w:r>
        <w:rPr>
          <w:rFonts w:hint="eastAsia"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3"/>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9"/>
      <w:isLgl/>
      <w:suff w:val="tab"/>
      <w:lvlText w:val="%1.%2"/>
      <w:lvlJc w:val="left"/>
      <w:pPr>
        <w:ind w:left="425" w:hanging="425"/>
      </w:pPr>
      <w:rPr>
        <w:rFonts w:hint="eastAsia" w:ascii="Arial Unicode MS" w:hAnsi="Arial Unicode MS" w:eastAsia="微软雅黑"/>
        <w:b/>
        <w:i w:val="0"/>
      </w:rPr>
    </w:lvl>
    <w:lvl w:ilvl="2">
      <w:start w:val="1"/>
      <w:numFmt w:val="decimal"/>
      <w:pStyle w:val="88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7"/>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5"/>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5"/>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1"/>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6"/>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1"/>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9"/>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3"/>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9"/>
    <w:uiPriority w:val="0"/>
    <w:qFormat/>
    <w:rPr>
      <w:rFonts w:ascii="宋体"/>
      <w:sz w:val="18"/>
      <w:szCs w:val="18"/>
    </w:rPr>
  </w:style>
  <w:style w:type="paragraph" w:styleId="706">
    <w:name w:val="annotation text"/>
    <w:basedOn w:val="688"/>
    <w:link w:val="813"/>
    <w:uiPriority w:val="0"/>
    <w:qFormat/>
    <w:pPr>
      <w:jc w:val="left"/>
    </w:pPr>
  </w:style>
  <w:style w:type="paragraph" w:styleId="707">
    <w:name w:val="Body Text 3"/>
    <w:basedOn w:val="688"/>
    <w:link w:val="832"/>
    <w:uiPriority w:val="0"/>
    <w:qFormat/>
    <w:rPr>
      <w:rFonts w:ascii="宋体"/>
      <w:sz w:val="24"/>
      <w:szCs w:val="20"/>
    </w:rPr>
  </w:style>
  <w:style w:type="paragraph" w:styleId="708">
    <w:name w:val="Body Text"/>
    <w:basedOn w:val="688"/>
    <w:next w:val="688"/>
    <w:link w:val="820"/>
    <w:uiPriority w:val="0"/>
    <w:qFormat/>
    <w:pPr>
      <w:jc w:val="center"/>
    </w:pPr>
    <w:rPr>
      <w:rFonts w:eastAsia="幼圆"/>
      <w:b/>
      <w:bCs/>
      <w:sz w:val="44"/>
    </w:rPr>
  </w:style>
  <w:style w:type="paragraph" w:styleId="709">
    <w:name w:val="Body Text Indent"/>
    <w:basedOn w:val="688"/>
    <w:link w:val="776"/>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2"/>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90"/>
    <w:uiPriority w:val="0"/>
    <w:unhideWhenUsed/>
    <w:qFormat/>
  </w:style>
  <w:style w:type="paragraph" w:styleId="717">
    <w:name w:val="Body Text Indent 2"/>
    <w:basedOn w:val="688"/>
    <w:link w:val="812"/>
    <w:uiPriority w:val="99"/>
    <w:unhideWhenUsed/>
    <w:qFormat/>
    <w:pPr>
      <w:ind w:firstLine="525"/>
      <w:spacing w:line="420" w:lineRule="exact"/>
    </w:pPr>
    <w:rPr>
      <w:rFonts w:ascii="宋体"/>
      <w:sz w:val="20"/>
      <w:szCs w:val="20"/>
    </w:rPr>
  </w:style>
  <w:style w:type="paragraph" w:styleId="718">
    <w:name w:val="Balloon Text"/>
    <w:basedOn w:val="688"/>
    <w:link w:val="835"/>
    <w:uiPriority w:val="0"/>
    <w:qFormat/>
    <w:rPr>
      <w:sz w:val="18"/>
      <w:szCs w:val="18"/>
    </w:rPr>
  </w:style>
  <w:style w:type="paragraph" w:styleId="719">
    <w:name w:val="Footer"/>
    <w:basedOn w:val="688"/>
    <w:link w:val="825"/>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80"/>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8"/>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3"/>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5"/>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3"/>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章正文"/>
    <w:basedOn w:val="688"/>
    <w:uiPriority w:val="0"/>
    <w:qFormat/>
    <w:pPr>
      <w:ind w:firstLine="480"/>
      <w:spacing w:after="120" w:line="300" w:lineRule="auto"/>
    </w:pPr>
    <w:rPr>
      <w:rFonts w:ascii="Helvetica" w:hAnsi="Helvetica"/>
    </w:rPr>
  </w:style>
  <w:style w:type="paragraph" w:styleId="745" w:customStyle="1">
    <w:name w:val="一级条标题"/>
    <w:basedOn w:val="746"/>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7" w:customStyle="1">
    <w:name w:val="段"/>
    <w:basedOn w:val="748"/>
    <w:next w:val="688"/>
    <w:uiPriority w:val="0"/>
    <w:qFormat/>
    <w:pPr>
      <w:ind w:firstLine="200"/>
      <w:widowControl/>
    </w:pPr>
    <w:rPr>
      <w:rFonts w:hint="eastAsia" w:ascii="宋体"/>
    </w:rPr>
  </w:style>
  <w:style w:type="paragraph" w:styleId="748" w:customStyle="1">
    <w:name w:val="正文1"/>
    <w:next w:val="749"/>
    <w:uiPriority w:val="0"/>
    <w:qFormat/>
    <w:pPr>
      <w:jc w:val="both"/>
      <w:widowControl w:val="off"/>
    </w:pPr>
    <w:rPr>
      <w:rFonts w:ascii="Calibri" w:hAnsi="Calibri" w:eastAsia="宋体" w:cs="Times New Roman"/>
      <w:lang w:val="en-US" w:eastAsia="zh-CN" w:bidi="ar-SA"/>
    </w:rPr>
  </w:style>
  <w:style w:type="paragraph" w:styleId="749" w:customStyle="1">
    <w:name w:val="正文文本1"/>
    <w:basedOn w:val="750"/>
    <w:next w:val="745"/>
    <w:uiPriority w:val="0"/>
    <w:qFormat/>
    <w:rPr>
      <w:rFonts w:ascii="楷体_GB2312" w:hAnsi="Arial" w:eastAsia="楷体_GB2312"/>
      <w:sz w:val="28"/>
      <w:szCs w:val="28"/>
    </w:rPr>
  </w:style>
  <w:style w:type="paragraph" w:styleId="750" w:customStyle="1">
    <w:name w:val="正文111"/>
    <w:next w:val="751"/>
    <w:uiPriority w:val="0"/>
    <w:qFormat/>
    <w:pPr>
      <w:jc w:val="both"/>
      <w:widowControl w:val="off"/>
    </w:pPr>
    <w:rPr>
      <w:rFonts w:ascii="Times New Roman" w:hAnsi="Times New Roman" w:eastAsia="宋体" w:cs="Times New Roman"/>
      <w:sz w:val="21"/>
      <w:szCs w:val="24"/>
      <w:lang w:val="en-US" w:eastAsia="zh-CN" w:bidi="ar-SA"/>
    </w:rPr>
  </w:style>
  <w:style w:type="paragraph" w:styleId="751" w:customStyle="1">
    <w:name w:val="正文文本缩进1"/>
    <w:basedOn w:val="752"/>
    <w:next w:val="755"/>
    <w:uiPriority w:val="0"/>
    <w:qFormat/>
    <w:pPr>
      <w:ind w:left="420"/>
      <w:spacing w:after="120"/>
    </w:pPr>
  </w:style>
  <w:style w:type="paragraph" w:styleId="752" w:customStyle="1">
    <w:name w:val="正文11"/>
    <w:next w:val="753"/>
    <w:uiPriority w:val="0"/>
    <w:qFormat/>
    <w:rPr>
      <w:rFonts w:ascii="Calibri" w:hAnsi="Calibri" w:eastAsia="宋体" w:cs="Calibri"/>
      <w:sz w:val="24"/>
      <w:szCs w:val="24"/>
      <w:lang w:val="en-US" w:eastAsia="zh-CN" w:bidi="ar-SA"/>
    </w:rPr>
  </w:style>
  <w:style w:type="paragraph" w:styleId="753" w:customStyle="1">
    <w:name w:val="文本块1"/>
    <w:basedOn w:val="750"/>
    <w:next w:val="754"/>
    <w:uiPriority w:val="0"/>
    <w:qFormat/>
    <w:pPr>
      <w:ind w:left="256" w:right="6" w:firstLine="624"/>
    </w:pPr>
    <w:rPr>
      <w:rFonts w:eastAsia="仿宋_GB2312"/>
      <w:sz w:val="28"/>
    </w:rPr>
  </w:style>
  <w:style w:type="paragraph" w:styleId="754" w:customStyle="1">
    <w:name w:val="标题 41"/>
    <w:basedOn w:val="752"/>
    <w:next w:val="752"/>
    <w:uiPriority w:val="0"/>
    <w:qFormat/>
    <w:pPr>
      <w:keepLines/>
      <w:keepNext/>
      <w:spacing w:before="280" w:after="290" w:line="376" w:lineRule="auto"/>
      <w:outlineLvl w:val="3"/>
    </w:pPr>
    <w:rPr>
      <w:rFonts w:ascii="Cambria" w:hAnsi="Cambria"/>
      <w:b/>
      <w:bCs/>
      <w:sz w:val="28"/>
      <w:szCs w:val="28"/>
    </w:rPr>
  </w:style>
  <w:style w:type="paragraph" w:styleId="755" w:customStyle="1">
    <w:name w:val="寄信人地址1"/>
    <w:basedOn w:val="688"/>
    <w:uiPriority w:val="0"/>
    <w:qFormat/>
    <w:rPr>
      <w:rFonts w:ascii="Arial" w:hAnsi="Arial"/>
    </w:rPr>
  </w:style>
  <w:style w:type="paragraph" w:styleId="7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8" w:customStyle="1">
    <w:name w:val="Body Text First Indent 21"/>
    <w:basedOn w:val="759"/>
    <w:uiPriority w:val="0"/>
    <w:qFormat/>
    <w:pPr>
      <w:ind w:firstLine="420"/>
    </w:pPr>
  </w:style>
  <w:style w:type="paragraph" w:styleId="759" w:customStyle="1">
    <w:name w:val="Body Text Indent1"/>
    <w:basedOn w:val="688"/>
    <w:uiPriority w:val="0"/>
    <w:qFormat/>
    <w:pPr>
      <w:ind w:left="420"/>
    </w:pPr>
  </w:style>
  <w:style w:type="paragraph" w:styleId="760">
    <w:name w:val="List Paragraph"/>
    <w:basedOn w:val="688"/>
    <w:link w:val="940"/>
    <w:uiPriority w:val="99"/>
    <w:qFormat/>
    <w:pPr>
      <w:ind w:firstLine="420"/>
    </w:pPr>
  </w:style>
  <w:style w:type="character" w:styleId="761" w:customStyle="1">
    <w:name w:val="明显强调1"/>
    <w:uiPriority w:val="0"/>
    <w:qFormat/>
    <w:rPr>
      <w:b/>
      <w:bCs/>
      <w:i/>
      <w:iCs/>
      <w:color w:val="4f81bd"/>
    </w:rPr>
  </w:style>
  <w:style w:type="character" w:styleId="762" w:customStyle="1">
    <w:name w:val="批注文字 Char2"/>
    <w:uiPriority w:val="0"/>
    <w:qFormat/>
    <w:rPr>
      <w:sz w:val="21"/>
    </w:rPr>
  </w:style>
  <w:style w:type="character" w:styleId="763" w:customStyle="1">
    <w:name w:val="标题 3 Char_0"/>
    <w:link w:val="764"/>
    <w:uiPriority w:val="0"/>
    <w:qFormat/>
    <w:rPr>
      <w:b/>
      <w:bCs/>
      <w:sz w:val="32"/>
      <w:szCs w:val="32"/>
    </w:rPr>
  </w:style>
  <w:style w:type="paragraph" w:styleId="764" w:customStyle="1">
    <w:name w:val="标题 3_0"/>
    <w:basedOn w:val="765"/>
    <w:next w:val="765"/>
    <w:link w:val="763"/>
    <w:uiPriority w:val="0"/>
    <w:qFormat/>
    <w:pPr>
      <w:keepLines/>
      <w:keepNext/>
      <w:spacing w:before="260" w:after="260" w:line="416" w:lineRule="auto"/>
      <w:outlineLvl w:val="2"/>
    </w:pPr>
    <w:rPr>
      <w:b/>
      <w:bCs/>
      <w:sz w:val="32"/>
      <w:szCs w:val="32"/>
    </w:rPr>
  </w:style>
  <w:style w:type="paragraph" w:styleId="76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6" w:customStyle="1">
    <w:name w:val="标题 2 字符"/>
    <w:link w:val="690"/>
    <w:uiPriority w:val="0"/>
    <w:qFormat/>
    <w:rPr>
      <w:rFonts w:ascii="Cambria" w:hAnsi="Cambria"/>
      <w:b/>
      <w:bCs/>
      <w:sz w:val="32"/>
      <w:szCs w:val="32"/>
    </w:rPr>
  </w:style>
  <w:style w:type="character" w:styleId="767" w:customStyle="1">
    <w:name w:val="正文文本 Char2"/>
    <w:uiPriority w:val="99"/>
    <w:semiHidden/>
    <w:qFormat/>
    <w:rPr>
      <w:rFonts w:ascii="Calibri" w:hAnsi="Calibri" w:eastAsia="宋体" w:cs="Times New Roman"/>
    </w:rPr>
  </w:style>
  <w:style w:type="character" w:styleId="768" w:customStyle="1">
    <w:name w:val="页脚 Char1"/>
    <w:uiPriority w:val="99"/>
    <w:semiHidden/>
    <w:qFormat/>
    <w:rPr>
      <w:rFonts w:ascii="Calibri" w:hAnsi="Calibri" w:eastAsia="宋体" w:cs="Times New Roman"/>
      <w:sz w:val="18"/>
      <w:szCs w:val="18"/>
    </w:rPr>
  </w:style>
  <w:style w:type="character" w:styleId="769" w:customStyle="1">
    <w:name w:val="明显引用 Char2"/>
    <w:uiPriority w:val="99"/>
    <w:qFormat/>
    <w:rPr>
      <w:b/>
      <w:bCs/>
      <w:i/>
      <w:iCs/>
      <w:color w:val="4f81bd"/>
      <w:sz w:val="21"/>
      <w:szCs w:val="24"/>
    </w:rPr>
  </w:style>
  <w:style w:type="character" w:styleId="770" w:customStyle="1">
    <w:name w:val="引用 Char"/>
    <w:link w:val="771"/>
    <w:uiPriority w:val="0"/>
    <w:qFormat/>
    <w:rPr>
      <w:i/>
      <w:iCs/>
      <w:color w:val="000000"/>
    </w:rPr>
  </w:style>
  <w:style w:type="paragraph" w:styleId="771" w:customStyle="1">
    <w:name w:val="引用1"/>
    <w:basedOn w:val="688"/>
    <w:next w:val="688"/>
    <w:link w:val="770"/>
    <w:uiPriority w:val="0"/>
    <w:qFormat/>
    <w:rPr>
      <w:i/>
      <w:iCs/>
      <w:color w:val="000000"/>
      <w:sz w:val="20"/>
      <w:szCs w:val="20"/>
    </w:rPr>
  </w:style>
  <w:style w:type="character" w:styleId="772" w:customStyle="1">
    <w:name w:val="标题 1 Char_0"/>
    <w:link w:val="773"/>
    <w:uiPriority w:val="0"/>
    <w:qFormat/>
    <w:rPr>
      <w:b/>
      <w:bCs/>
      <w:sz w:val="44"/>
      <w:szCs w:val="44"/>
    </w:rPr>
  </w:style>
  <w:style w:type="paragraph" w:styleId="773" w:customStyle="1">
    <w:name w:val="标题 1_0"/>
    <w:basedOn w:val="765"/>
    <w:next w:val="765"/>
    <w:link w:val="772"/>
    <w:uiPriority w:val="0"/>
    <w:qFormat/>
    <w:pPr>
      <w:keepLines/>
      <w:keepNext/>
      <w:spacing w:before="340" w:after="330" w:line="578" w:lineRule="auto"/>
      <w:outlineLvl w:val="0"/>
    </w:pPr>
    <w:rPr>
      <w:b/>
      <w:bCs/>
      <w:sz w:val="44"/>
      <w:szCs w:val="44"/>
    </w:rPr>
  </w:style>
  <w:style w:type="character" w:styleId="774" w:customStyle="1">
    <w:name w:val="正文文本缩进 3 Char1"/>
    <w:uiPriority w:val="99"/>
    <w:semiHidden/>
    <w:qFormat/>
    <w:rPr>
      <w:sz w:val="16"/>
      <w:szCs w:val="16"/>
    </w:rPr>
  </w:style>
  <w:style w:type="character" w:styleId="775" w:customStyle="1">
    <w:name w:val="引用 Char1"/>
    <w:uiPriority w:val="29"/>
    <w:qFormat/>
    <w:rPr>
      <w:i/>
      <w:iCs/>
      <w:color w:val="000000"/>
      <w:sz w:val="21"/>
    </w:rPr>
  </w:style>
  <w:style w:type="character" w:styleId="776" w:customStyle="1">
    <w:name w:val="正文文本缩进 字符"/>
    <w:link w:val="709"/>
    <w:uiPriority w:val="0"/>
    <w:qFormat/>
    <w:rPr>
      <w:sz w:val="21"/>
      <w:szCs w:val="24"/>
    </w:rPr>
  </w:style>
  <w:style w:type="character" w:styleId="777" w:customStyle="1">
    <w:name w:val="font161"/>
    <w:uiPriority w:val="0"/>
    <w:qFormat/>
    <w:rPr>
      <w:b/>
      <w:sz w:val="32"/>
    </w:rPr>
  </w:style>
  <w:style w:type="character" w:styleId="778" w:customStyle="1">
    <w:name w:val="标题 4 Char_0"/>
    <w:link w:val="779"/>
    <w:uiPriority w:val="0"/>
    <w:qFormat/>
    <w:rPr>
      <w:rFonts w:ascii="Arial" w:hAnsi="Arial" w:eastAsia="黑体"/>
      <w:b/>
      <w:bCs/>
      <w:sz w:val="28"/>
      <w:szCs w:val="28"/>
    </w:rPr>
  </w:style>
  <w:style w:type="paragraph" w:styleId="779" w:customStyle="1">
    <w:name w:val="标题 4_0"/>
    <w:basedOn w:val="765"/>
    <w:next w:val="765"/>
    <w:link w:val="778"/>
    <w:uiPriority w:val="0"/>
    <w:qFormat/>
    <w:pPr>
      <w:keepLines/>
      <w:keepNext/>
      <w:spacing w:before="280" w:after="290" w:line="376" w:lineRule="auto"/>
      <w:outlineLvl w:val="3"/>
    </w:pPr>
    <w:rPr>
      <w:rFonts w:ascii="Arial" w:hAnsi="Arial" w:eastAsia="黑体"/>
      <w:b/>
      <w:bCs/>
      <w:sz w:val="28"/>
      <w:szCs w:val="28"/>
    </w:rPr>
  </w:style>
  <w:style w:type="character" w:styleId="780" w:customStyle="1">
    <w:name w:val="页眉 字符"/>
    <w:link w:val="721"/>
    <w:uiPriority w:val="0"/>
    <w:qFormat/>
    <w:rPr>
      <w:sz w:val="18"/>
      <w:szCs w:val="18"/>
    </w:rPr>
  </w:style>
  <w:style w:type="character" w:styleId="781" w:customStyle="1">
    <w:name w:val="标题 6 字符"/>
    <w:link w:val="694"/>
    <w:uiPriority w:val="0"/>
    <w:qFormat/>
    <w:rPr>
      <w:rFonts w:ascii="Cambria" w:hAnsi="Cambria"/>
      <w:b/>
      <w:bCs/>
      <w:sz w:val="24"/>
      <w:szCs w:val="24"/>
    </w:rPr>
  </w:style>
  <w:style w:type="character" w:styleId="782" w:customStyle="1">
    <w:name w:val="纯文本 字符"/>
    <w:link w:val="714"/>
    <w:uiPriority w:val="99"/>
    <w:qFormat/>
    <w:rPr>
      <w:rFonts w:ascii="Ari"/>
      <w:lang w:val="en-US" w:eastAsia="zh-CN" w:bidi="ar-SA"/>
    </w:rPr>
  </w:style>
  <w:style w:type="character" w:styleId="783" w:customStyle="1">
    <w:name w:val="引用 Char2"/>
    <w:uiPriority w:val="99"/>
    <w:qFormat/>
    <w:rPr>
      <w:i/>
      <w:iCs/>
      <w:color w:val="000000"/>
      <w:sz w:val="21"/>
      <w:szCs w:val="24"/>
    </w:rPr>
  </w:style>
  <w:style w:type="character" w:styleId="784" w:customStyle="1">
    <w:name w:val="rvts11"/>
    <w:uiPriority w:val="0"/>
    <w:qFormat/>
    <w:rPr>
      <w:rFonts w:hint="default" w:ascii="KNLe" w:hAnsi="KNLe"/>
      <w:sz w:val="24"/>
      <w:szCs w:val="24"/>
      <w:u w:val="single"/>
    </w:rPr>
  </w:style>
  <w:style w:type="character" w:styleId="785" w:customStyle="1">
    <w:name w:val="标题 字符"/>
    <w:link w:val="732"/>
    <w:uiPriority w:val="0"/>
    <w:qFormat/>
    <w:rPr>
      <w:rFonts w:ascii="Arial" w:hAnsi="Arial"/>
      <w:b/>
      <w:sz w:val="32"/>
    </w:rPr>
  </w:style>
  <w:style w:type="character" w:styleId="786" w:customStyle="1">
    <w:name w:val="标题5 Char Char"/>
    <w:link w:val="787"/>
    <w:uiPriority w:val="0"/>
    <w:qFormat/>
    <w:rPr>
      <w:rFonts w:ascii="Arial" w:hAnsi="Arial"/>
      <w:b/>
      <w:bCs/>
      <w:sz w:val="24"/>
      <w:szCs w:val="32"/>
    </w:rPr>
  </w:style>
  <w:style w:type="paragraph" w:styleId="787" w:customStyle="1">
    <w:name w:val="标题5"/>
    <w:basedOn w:val="691"/>
    <w:link w:val="786"/>
    <w:uiPriority w:val="0"/>
    <w:qFormat/>
    <w:pPr>
      <w:numPr>
        <w:ilvl w:val="0"/>
        <w:numId w:val="0"/>
      </w:numPr>
      <w:spacing w:line="413" w:lineRule="auto"/>
    </w:pPr>
    <w:rPr>
      <w:rFonts w:ascii="Arial" w:hAnsi="Arial"/>
      <w:sz w:val="24"/>
    </w:rPr>
  </w:style>
  <w:style w:type="character" w:styleId="788" w:customStyle="1">
    <w:name w:val="副标题 Char2"/>
    <w:uiPriority w:val="11"/>
    <w:qFormat/>
    <w:rPr>
      <w:rFonts w:ascii="Cambria" w:hAnsi="Cambria" w:cs="Times New Roman"/>
      <w:b/>
      <w:bCs/>
      <w:sz w:val="32"/>
      <w:szCs w:val="32"/>
    </w:rPr>
  </w:style>
  <w:style w:type="character" w:styleId="789" w:customStyle="1">
    <w:name w:val="文档结构图 字符"/>
    <w:link w:val="705"/>
    <w:uiPriority w:val="0"/>
    <w:qFormat/>
    <w:rPr>
      <w:rFonts w:ascii="宋体"/>
      <w:sz w:val="18"/>
      <w:szCs w:val="18"/>
    </w:rPr>
  </w:style>
  <w:style w:type="character" w:styleId="790" w:customStyle="1">
    <w:name w:val="日期 字符"/>
    <w:link w:val="716"/>
    <w:uiPriority w:val="0"/>
    <w:qFormat/>
    <w:rPr>
      <w:sz w:val="21"/>
      <w:szCs w:val="24"/>
    </w:rPr>
  </w:style>
  <w:style w:type="character" w:styleId="791" w:customStyle="1">
    <w:name w:val="批注主题 Char1"/>
    <w:uiPriority w:val="0"/>
    <w:qFormat/>
    <w:rPr>
      <w:b/>
      <w:bCs/>
      <w:sz w:val="21"/>
      <w:szCs w:val="22"/>
    </w:rPr>
  </w:style>
  <w:style w:type="character" w:styleId="792" w:customStyle="1">
    <w:name w:val="font31"/>
    <w:uiPriority w:val="0"/>
    <w:qFormat/>
    <w:rPr>
      <w:rFonts w:hint="eastAsia" w:ascii="宋体" w:hAnsi="宋体" w:eastAsia="宋体" w:cs="宋体"/>
      <w:color w:val="000000"/>
      <w:sz w:val="20"/>
      <w:szCs w:val="20"/>
      <w:u w:val="none"/>
    </w:rPr>
  </w:style>
  <w:style w:type="character" w:styleId="793" w:customStyle="1">
    <w:name w:val="明显引用 Char"/>
    <w:link w:val="794"/>
    <w:uiPriority w:val="0"/>
    <w:qFormat/>
    <w:rPr>
      <w:b/>
      <w:bCs/>
      <w:i/>
      <w:iCs/>
      <w:color w:val="4f81bd"/>
    </w:rPr>
  </w:style>
  <w:style w:type="paragraph" w:styleId="794" w:customStyle="1">
    <w:name w:val="明显引用1"/>
    <w:basedOn w:val="688"/>
    <w:next w:val="688"/>
    <w:link w:val="793"/>
    <w:uiPriority w:val="0"/>
    <w:qFormat/>
    <w:pPr>
      <w:ind w:left="936" w:right="936"/>
      <w:spacing w:before="200" w:after="280"/>
      <w:pBdr>
        <w:bottom w:val="single" w:color="4F81BD" w:sz="4" w:space="4"/>
      </w:pBdr>
    </w:pPr>
    <w:rPr>
      <w:b/>
      <w:bCs/>
      <w:i/>
      <w:iCs/>
      <w:color w:val="4f81bd"/>
      <w:sz w:val="20"/>
      <w:szCs w:val="20"/>
    </w:rPr>
  </w:style>
  <w:style w:type="character" w:styleId="795" w:customStyle="1">
    <w:name w:val="标题 5 字符"/>
    <w:link w:val="693"/>
    <w:uiPriority w:val="0"/>
    <w:qFormat/>
    <w:rPr>
      <w:b/>
      <w:bCs/>
      <w:sz w:val="28"/>
      <w:szCs w:val="28"/>
    </w:rPr>
  </w:style>
  <w:style w:type="character" w:styleId="796" w:customStyle="1">
    <w:name w:val="日期 Char1"/>
    <w:uiPriority w:val="0"/>
    <w:qFormat/>
    <w:rPr>
      <w:rFonts w:ascii="Calibri" w:hAnsi="Calibri" w:eastAsia="宋体" w:cs="Times New Roman"/>
    </w:rPr>
  </w:style>
  <w:style w:type="character" w:styleId="797" w:customStyle="1">
    <w:name w:val="批注框文本 Char1"/>
    <w:uiPriority w:val="0"/>
    <w:qFormat/>
    <w:rPr>
      <w:sz w:val="18"/>
      <w:szCs w:val="18"/>
    </w:rPr>
  </w:style>
  <w:style w:type="character" w:styleId="798" w:customStyle="1">
    <w:name w:val="标题 Char1"/>
    <w:uiPriority w:val="10"/>
    <w:qFormat/>
    <w:rPr>
      <w:rFonts w:ascii="Cambria" w:hAnsi="Cambria" w:eastAsia="宋体" w:cs="Times New Roman"/>
      <w:b/>
      <w:bCs/>
      <w:sz w:val="32"/>
      <w:szCs w:val="32"/>
    </w:rPr>
  </w:style>
  <w:style w:type="character" w:styleId="799" w:customStyle="1">
    <w:name w:val="标题 9 字符"/>
    <w:link w:val="697"/>
    <w:uiPriority w:val="0"/>
    <w:qFormat/>
    <w:rPr>
      <w:rFonts w:ascii="Cambria" w:hAnsi="Cambria"/>
      <w:sz w:val="21"/>
      <w:szCs w:val="21"/>
    </w:rPr>
  </w:style>
  <w:style w:type="character" w:styleId="800" w:customStyle="1">
    <w:name w:val="不明显参考1"/>
    <w:uiPriority w:val="0"/>
    <w:qFormat/>
    <w:rPr>
      <w:smallCaps/>
      <w:color w:val="c0504d"/>
      <w:u w:val="single"/>
    </w:rPr>
  </w:style>
  <w:style w:type="character" w:styleId="801" w:customStyle="1">
    <w:name w:val="批注文字 Char1"/>
    <w:uiPriority w:val="0"/>
    <w:qFormat/>
    <w:rPr>
      <w:rFonts w:ascii="Calibri" w:hAnsi="Calibri" w:eastAsia="宋体" w:cs="Times New Roman"/>
    </w:rPr>
  </w:style>
  <w:style w:type="character" w:styleId="802" w:customStyle="1">
    <w:name w:val="标题 Char2"/>
    <w:uiPriority w:val="10"/>
    <w:qFormat/>
    <w:rPr>
      <w:rFonts w:ascii="Cambria" w:hAnsi="Cambria" w:cs="Times New Roman"/>
      <w:b/>
      <w:bCs/>
      <w:sz w:val="32"/>
      <w:szCs w:val="32"/>
    </w:rPr>
  </w:style>
  <w:style w:type="character" w:styleId="803" w:customStyle="1">
    <w:name w:val="正文文本 3 Char1"/>
    <w:uiPriority w:val="99"/>
    <w:semiHidden/>
    <w:qFormat/>
    <w:rPr>
      <w:sz w:val="16"/>
      <w:szCs w:val="16"/>
    </w:rPr>
  </w:style>
  <w:style w:type="character" w:styleId="804" w:customStyle="1">
    <w:name w:val="批注主题 Char2"/>
    <w:uiPriority w:val="0"/>
    <w:qFormat/>
    <w:rPr>
      <w:b/>
      <w:bCs/>
      <w:sz w:val="21"/>
    </w:rPr>
  </w:style>
  <w:style w:type="character" w:styleId="805" w:customStyle="1">
    <w:name w:val="标题 3 字符"/>
    <w:link w:val="691"/>
    <w:uiPriority w:val="0"/>
    <w:qFormat/>
    <w:rPr>
      <w:b/>
      <w:bCs/>
      <w:sz w:val="32"/>
      <w:szCs w:val="32"/>
    </w:rPr>
  </w:style>
  <w:style w:type="character" w:styleId="806" w:customStyle="1">
    <w:name w:val="正文文本 Char_0"/>
    <w:link w:val="807"/>
    <w:uiPriority w:val="0"/>
    <w:qFormat/>
    <w:rPr>
      <w:szCs w:val="24"/>
    </w:rPr>
  </w:style>
  <w:style w:type="paragraph" w:styleId="807" w:customStyle="1">
    <w:name w:val="正文文本_0"/>
    <w:basedOn w:val="765"/>
    <w:link w:val="806"/>
    <w:uiPriority w:val="0"/>
    <w:qFormat/>
    <w:pPr>
      <w:spacing w:after="120"/>
    </w:pPr>
    <w:rPr>
      <w:sz w:val="20"/>
    </w:rPr>
  </w:style>
  <w:style w:type="character" w:styleId="808" w:customStyle="1">
    <w:name w:val="副标题 字符"/>
    <w:link w:val="724"/>
    <w:uiPriority w:val="0"/>
    <w:qFormat/>
    <w:rPr>
      <w:rFonts w:ascii="Cambria" w:hAnsi="Cambria"/>
      <w:b/>
      <w:bCs/>
      <w:sz w:val="32"/>
      <w:szCs w:val="32"/>
    </w:rPr>
  </w:style>
  <w:style w:type="character" w:styleId="809" w:customStyle="1">
    <w:name w:val="bookmark"/>
    <w:basedOn w:val="698"/>
    <w:uiPriority w:val="0"/>
    <w:qFormat/>
  </w:style>
  <w:style w:type="character" w:styleId="810" w:customStyle="1">
    <w:name w:val="标题 5 Char_0"/>
    <w:link w:val="811"/>
    <w:uiPriority w:val="0"/>
    <w:qFormat/>
    <w:rPr>
      <w:rFonts w:ascii="Calibri" w:hAnsi="Calibri"/>
      <w:b/>
      <w:bCs/>
      <w:sz w:val="28"/>
      <w:szCs w:val="28"/>
    </w:rPr>
  </w:style>
  <w:style w:type="paragraph" w:styleId="811" w:customStyle="1">
    <w:name w:val="标题 5_0"/>
    <w:basedOn w:val="765"/>
    <w:next w:val="765"/>
    <w:link w:val="810"/>
    <w:uiPriority w:val="0"/>
    <w:qFormat/>
    <w:pPr>
      <w:keepLines/>
      <w:keepNext/>
      <w:spacing w:before="280" w:after="290" w:line="372" w:lineRule="auto"/>
      <w:outlineLvl w:val="4"/>
    </w:pPr>
    <w:rPr>
      <w:rFonts w:ascii="Calibri" w:hAnsi="Calibri"/>
      <w:b/>
      <w:bCs/>
      <w:sz w:val="28"/>
      <w:szCs w:val="28"/>
    </w:rPr>
  </w:style>
  <w:style w:type="character" w:styleId="812" w:customStyle="1">
    <w:name w:val="正文文本缩进 2 字符"/>
    <w:link w:val="717"/>
    <w:uiPriority w:val="99"/>
    <w:qFormat/>
    <w:rPr>
      <w:rFonts w:ascii="宋体"/>
    </w:rPr>
  </w:style>
  <w:style w:type="character" w:styleId="813" w:customStyle="1">
    <w:name w:val="批注文字 字符"/>
    <w:link w:val="706"/>
    <w:uiPriority w:val="0"/>
    <w:qFormat/>
    <w:rPr>
      <w:sz w:val="21"/>
      <w:szCs w:val="24"/>
    </w:rPr>
  </w:style>
  <w:style w:type="character" w:styleId="814" w:customStyle="1">
    <w:name w:val="font11"/>
    <w:uiPriority w:val="0"/>
    <w:qFormat/>
    <w:rPr>
      <w:rFonts w:hint="eastAsia" w:ascii="宋体" w:hAnsi="宋体" w:eastAsia="宋体" w:cs="宋体"/>
      <w:color w:val="000000"/>
      <w:sz w:val="20"/>
      <w:szCs w:val="20"/>
      <w:u w:val="none"/>
    </w:rPr>
  </w:style>
  <w:style w:type="character" w:styleId="815" w:customStyle="1">
    <w:name w:val="明显参考1"/>
    <w:uiPriority w:val="0"/>
    <w:qFormat/>
    <w:rPr>
      <w:b/>
      <w:bCs/>
      <w:smallCaps/>
      <w:color w:val="c0504d"/>
      <w:spacing w:val="5"/>
      <w:u w:val="single"/>
    </w:rPr>
  </w:style>
  <w:style w:type="character" w:styleId="816" w:customStyle="1">
    <w:name w:val="超链接_0"/>
    <w:uiPriority w:val="99"/>
    <w:qFormat/>
    <w:rPr>
      <w:rFonts w:ascii="Calibri" w:hAnsi="Calibri"/>
      <w:color w:val="0000ff"/>
      <w:u w:val="single"/>
    </w:rPr>
  </w:style>
  <w:style w:type="character" w:styleId="817" w:customStyle="1">
    <w:name w:val="文档结构图 Char2"/>
    <w:uiPriority w:val="99"/>
    <w:semiHidden/>
    <w:qFormat/>
    <w:rPr>
      <w:rFonts w:ascii="宋体" w:hAnsi="Calibri" w:eastAsia="宋体" w:cs="Times New Roman"/>
      <w:sz w:val="18"/>
      <w:szCs w:val="18"/>
    </w:rPr>
  </w:style>
  <w:style w:type="character" w:styleId="818" w:customStyle="1">
    <w:name w:val="textcontents"/>
    <w:uiPriority w:val="0"/>
    <w:qFormat/>
    <w:rPr>
      <w:rFonts w:cs="Times New Roman"/>
    </w:rPr>
  </w:style>
  <w:style w:type="character" w:styleId="819" w:customStyle="1">
    <w:name w:val="标题 1 Char"/>
    <w:uiPriority w:val="0"/>
    <w:qFormat/>
    <w:rPr>
      <w:b/>
      <w:bCs/>
      <w:sz w:val="32"/>
      <w:szCs w:val="44"/>
    </w:rPr>
  </w:style>
  <w:style w:type="character" w:styleId="820" w:customStyle="1">
    <w:name w:val="正文文本 字符"/>
    <w:link w:val="708"/>
    <w:uiPriority w:val="0"/>
    <w:qFormat/>
    <w:rPr>
      <w:rFonts w:eastAsia="幼圆"/>
      <w:b/>
      <w:bCs/>
      <w:sz w:val="44"/>
      <w:szCs w:val="24"/>
    </w:rPr>
  </w:style>
  <w:style w:type="character" w:styleId="821" w:customStyle="1">
    <w:name w:val="标题 8 字符"/>
    <w:link w:val="696"/>
    <w:uiPriority w:val="0"/>
    <w:qFormat/>
    <w:rPr>
      <w:rFonts w:ascii="Cambria" w:hAnsi="Cambria"/>
      <w:sz w:val="24"/>
      <w:szCs w:val="24"/>
    </w:rPr>
  </w:style>
  <w:style w:type="character" w:styleId="822" w:customStyle="1">
    <w:name w:val="副标题 Char1"/>
    <w:uiPriority w:val="11"/>
    <w:qFormat/>
    <w:rPr>
      <w:rFonts w:ascii="Cambria" w:hAnsi="Cambria" w:cs="Times New Roman"/>
      <w:b/>
      <w:bCs/>
      <w:sz w:val="32"/>
      <w:szCs w:val="32"/>
    </w:rPr>
  </w:style>
  <w:style w:type="character" w:styleId="823" w:customStyle="1">
    <w:name w:val="批注主题 字符"/>
    <w:link w:val="733"/>
    <w:uiPriority w:val="0"/>
    <w:qFormat/>
    <w:rPr>
      <w:b/>
      <w:bCs/>
      <w:sz w:val="21"/>
      <w:szCs w:val="24"/>
    </w:rPr>
  </w:style>
  <w:style w:type="character" w:styleId="824" w:customStyle="1">
    <w:name w:val="书籍标题1"/>
    <w:uiPriority w:val="0"/>
    <w:qFormat/>
    <w:rPr>
      <w:b/>
      <w:bCs/>
      <w:smallCaps/>
      <w:spacing w:val="5"/>
    </w:rPr>
  </w:style>
  <w:style w:type="character" w:styleId="825" w:customStyle="1">
    <w:name w:val="页脚 字符"/>
    <w:link w:val="719"/>
    <w:uiPriority w:val="99"/>
    <w:qFormat/>
    <w:rPr>
      <w:sz w:val="18"/>
      <w:szCs w:val="18"/>
    </w:rPr>
  </w:style>
  <w:style w:type="character" w:styleId="826" w:customStyle="1">
    <w:name w:val="标题4 Char Char"/>
    <w:link w:val="827"/>
    <w:uiPriority w:val="0"/>
    <w:qFormat/>
    <w:rPr>
      <w:rFonts w:ascii="Arial" w:hAnsi="Arial"/>
      <w:b/>
      <w:bCs/>
      <w:sz w:val="24"/>
      <w:szCs w:val="32"/>
    </w:rPr>
  </w:style>
  <w:style w:type="paragraph" w:styleId="827" w:customStyle="1">
    <w:name w:val="标题4"/>
    <w:basedOn w:val="690"/>
    <w:next w:val="711"/>
    <w:link w:val="826"/>
    <w:uiPriority w:val="0"/>
    <w:qFormat/>
    <w:pPr>
      <w:numPr>
        <w:ilvl w:val="0"/>
        <w:numId w:val="0"/>
      </w:numPr>
      <w:spacing w:line="413" w:lineRule="auto"/>
    </w:pPr>
    <w:rPr>
      <w:rFonts w:ascii="Arial" w:hAnsi="Arial"/>
      <w:sz w:val="24"/>
    </w:rPr>
  </w:style>
  <w:style w:type="character" w:styleId="828" w:customStyle="1">
    <w:name w:val="正文文本 Char1"/>
    <w:uiPriority w:val="0"/>
    <w:qFormat/>
    <w:rPr>
      <w:rFonts w:ascii="Calibri" w:hAnsi="Calibri" w:eastAsia="宋体" w:cs="Times New Roman"/>
    </w:rPr>
  </w:style>
  <w:style w:type="character" w:styleId="829" w:customStyle="1">
    <w:name w:val="明显引用 Char1"/>
    <w:uiPriority w:val="30"/>
    <w:qFormat/>
    <w:rPr>
      <w:b/>
      <w:bCs/>
      <w:i/>
      <w:iCs/>
      <w:color w:val="4f81bd"/>
      <w:sz w:val="21"/>
    </w:rPr>
  </w:style>
  <w:style w:type="character" w:styleId="830" w:customStyle="1">
    <w:name w:val="页眉 Char1"/>
    <w:uiPriority w:val="99"/>
    <w:semiHidden/>
    <w:qFormat/>
    <w:rPr>
      <w:rFonts w:ascii="Calibri" w:hAnsi="Calibri" w:eastAsia="宋体" w:cs="Times New Roman"/>
      <w:sz w:val="18"/>
      <w:szCs w:val="18"/>
    </w:rPr>
  </w:style>
  <w:style w:type="character" w:styleId="831" w:customStyle="1">
    <w:name w:val="不明显强调1"/>
    <w:uiPriority w:val="0"/>
    <w:qFormat/>
    <w:rPr>
      <w:i/>
      <w:iCs/>
      <w:color w:val="808080"/>
    </w:rPr>
  </w:style>
  <w:style w:type="character" w:styleId="832" w:customStyle="1">
    <w:name w:val="正文文本 3 字符"/>
    <w:link w:val="707"/>
    <w:uiPriority w:val="0"/>
    <w:qFormat/>
    <w:rPr>
      <w:rFonts w:ascii="宋体"/>
      <w:sz w:val="24"/>
    </w:rPr>
  </w:style>
  <w:style w:type="character" w:styleId="833" w:customStyle="1">
    <w:name w:val="正文文本缩进 3 字符"/>
    <w:link w:val="726"/>
    <w:uiPriority w:val="0"/>
    <w:qFormat/>
    <w:rPr>
      <w:sz w:val="16"/>
    </w:rPr>
  </w:style>
  <w:style w:type="character" w:styleId="834" w:customStyle="1">
    <w:name w:val="font21"/>
    <w:uiPriority w:val="0"/>
    <w:qFormat/>
    <w:rPr>
      <w:rFonts w:hint="eastAsia" w:ascii="宋体" w:hAnsi="宋体" w:eastAsia="宋体" w:cs="宋体"/>
      <w:color w:val="000000"/>
      <w:sz w:val="20"/>
      <w:szCs w:val="20"/>
      <w:u w:val="none"/>
    </w:rPr>
  </w:style>
  <w:style w:type="character" w:styleId="835" w:customStyle="1">
    <w:name w:val="批注框文本 字符"/>
    <w:link w:val="718"/>
    <w:uiPriority w:val="0"/>
    <w:qFormat/>
    <w:rPr>
      <w:sz w:val="18"/>
      <w:szCs w:val="18"/>
    </w:rPr>
  </w:style>
  <w:style w:type="character" w:styleId="836" w:customStyle="1">
    <w:name w:val="标题 7 字符"/>
    <w:link w:val="695"/>
    <w:uiPriority w:val="0"/>
    <w:qFormat/>
    <w:rPr>
      <w:b/>
      <w:bCs/>
      <w:sz w:val="24"/>
      <w:szCs w:val="24"/>
    </w:rPr>
  </w:style>
  <w:style w:type="character" w:styleId="837" w:customStyle="1">
    <w:name w:val="标题 1 字符"/>
    <w:link w:val="689"/>
    <w:uiPriority w:val="0"/>
    <w:qFormat/>
    <w:rPr>
      <w:b/>
      <w:bCs/>
      <w:sz w:val="32"/>
      <w:szCs w:val="44"/>
    </w:rPr>
  </w:style>
  <w:style w:type="character" w:styleId="838" w:customStyle="1">
    <w:name w:val="文档结构图 Char1"/>
    <w:uiPriority w:val="0"/>
    <w:qFormat/>
    <w:rPr>
      <w:rFonts w:ascii="宋体" w:hAnsi="Calibri" w:eastAsia="宋体" w:cs="Times New Roman"/>
      <w:sz w:val="18"/>
      <w:szCs w:val="18"/>
    </w:rPr>
  </w:style>
  <w:style w:type="character" w:styleId="839" w:customStyle="1">
    <w:name w:val="标题 2 Char_0"/>
    <w:link w:val="840"/>
    <w:uiPriority w:val="0"/>
    <w:qFormat/>
    <w:rPr>
      <w:rFonts w:ascii="Cambria" w:hAnsi="Cambria"/>
      <w:b/>
      <w:bCs/>
      <w:sz w:val="32"/>
      <w:szCs w:val="32"/>
    </w:rPr>
  </w:style>
  <w:style w:type="paragraph" w:styleId="840" w:customStyle="1">
    <w:name w:val="标题 2_0"/>
    <w:basedOn w:val="765"/>
    <w:next w:val="765"/>
    <w:link w:val="839"/>
    <w:uiPriority w:val="0"/>
    <w:unhideWhenUsed/>
    <w:qFormat/>
    <w:pPr>
      <w:keepLines/>
      <w:keepNext/>
      <w:spacing w:before="260" w:after="260" w:line="416" w:lineRule="auto"/>
      <w:outlineLvl w:val="1"/>
    </w:pPr>
    <w:rPr>
      <w:rFonts w:ascii="Cambria" w:hAnsi="Cambria"/>
      <w:b/>
      <w:bCs/>
      <w:sz w:val="32"/>
      <w:szCs w:val="32"/>
    </w:rPr>
  </w:style>
  <w:style w:type="character" w:styleId="841" w:customStyle="1">
    <w:name w:val="日期 Char2"/>
    <w:uiPriority w:val="99"/>
    <w:semiHidden/>
    <w:qFormat/>
    <w:rPr>
      <w:rFonts w:ascii="Calibri" w:hAnsi="Calibri" w:eastAsia="宋体" w:cs="Times New Roman"/>
    </w:rPr>
  </w:style>
  <w:style w:type="character" w:styleId="842" w:customStyle="1">
    <w:name w:val="批注框文本 Char2"/>
    <w:uiPriority w:val="99"/>
    <w:semiHidden/>
    <w:qFormat/>
    <w:rPr>
      <w:rFonts w:ascii="Calibri" w:hAnsi="Calibri" w:eastAsia="宋体" w:cs="Times New Roman"/>
      <w:sz w:val="18"/>
      <w:szCs w:val="18"/>
    </w:rPr>
  </w:style>
  <w:style w:type="character" w:styleId="843" w:customStyle="1">
    <w:name w:val="标题 4 字符"/>
    <w:link w:val="692"/>
    <w:uiPriority w:val="0"/>
    <w:qFormat/>
    <w:rPr>
      <w:rFonts w:ascii="Cambria" w:hAnsi="Cambria"/>
      <w:b/>
      <w:bCs/>
      <w:sz w:val="28"/>
      <w:szCs w:val="28"/>
    </w:rPr>
  </w:style>
  <w:style w:type="character" w:styleId="844" w:customStyle="1">
    <w:name w:val="列出段落 Char"/>
    <w:link w:val="845"/>
    <w:uiPriority w:val="34"/>
    <w:qFormat/>
    <w:rPr>
      <w:sz w:val="21"/>
      <w:szCs w:val="24"/>
    </w:rPr>
  </w:style>
  <w:style w:type="paragraph" w:styleId="845" w:customStyle="1">
    <w:name w:val="List Paragraph1"/>
    <w:basedOn w:val="688"/>
    <w:link w:val="844"/>
    <w:uiPriority w:val="34"/>
    <w:qFormat/>
    <w:pPr>
      <w:ind w:firstLine="420"/>
    </w:pPr>
  </w:style>
  <w:style w:type="paragraph" w:styleId="846"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7"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9"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50" w:customStyle="1">
    <w:name w:val="空半行"/>
    <w:basedOn w:val="688"/>
    <w:uiPriority w:val="0"/>
    <w:qFormat/>
    <w:pPr>
      <w:spacing w:line="120" w:lineRule="exact"/>
    </w:pPr>
    <w:rPr>
      <w:rFonts w:ascii="Calibri" w:hAnsi="Calibri" w:eastAsia="仿宋_GB2312"/>
      <w:color w:val="ffffff"/>
      <w:sz w:val="30"/>
      <w:szCs w:val="22"/>
    </w:rPr>
  </w:style>
  <w:style w:type="paragraph" w:styleId="851"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2" w:customStyle="1">
    <w:name w:val="格式３"/>
    <w:basedOn w:val="688"/>
    <w:uiPriority w:val="0"/>
    <w:qFormat/>
    <w:pPr>
      <w:ind w:left="600" w:hanging="600"/>
      <w:spacing w:line="420" w:lineRule="exact"/>
    </w:pPr>
    <w:rPr>
      <w:rFonts w:ascii="宋体" w:hAnsi="宋体"/>
      <w:color w:val="000000"/>
      <w:sz w:val="24"/>
      <w:szCs w:val="20"/>
    </w:rPr>
  </w:style>
  <w:style w:type="paragraph" w:styleId="853"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4" w:customStyle="1">
    <w:name w:val="正文空2字"/>
    <w:basedOn w:val="688"/>
    <w:uiPriority w:val="0"/>
    <w:qFormat/>
    <w:pPr>
      <w:ind w:firstLine="200"/>
      <w:spacing w:line="360" w:lineRule="auto"/>
    </w:pPr>
    <w:rPr>
      <w:sz w:val="24"/>
      <w:lang w:bidi="en-US"/>
    </w:rPr>
  </w:style>
  <w:style w:type="paragraph" w:styleId="85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6" w:customStyle="1">
    <w:name w:val="目录 5_0"/>
    <w:basedOn w:val="765"/>
    <w:next w:val="765"/>
    <w:uiPriority w:val="39"/>
    <w:qFormat/>
    <w:pPr>
      <w:ind w:left="1680"/>
    </w:pPr>
    <w:rPr>
      <w:rFonts w:ascii="Calibri" w:hAnsi="Calibri"/>
    </w:rPr>
  </w:style>
  <w:style w:type="paragraph" w:styleId="857" w:customStyle="1">
    <w:name w:val="修订1"/>
    <w:uiPriority w:val="0"/>
    <w:qFormat/>
    <w:rPr>
      <w:rFonts w:ascii="Times New Roman" w:hAnsi="Times New Roman" w:eastAsia="宋体" w:cs="Times New Roman"/>
      <w:sz w:val="21"/>
      <w:szCs w:val="24"/>
      <w:lang w:val="en-US" w:eastAsia="zh-CN" w:bidi="ar-SA"/>
    </w:rPr>
  </w:style>
  <w:style w:type="paragraph" w:styleId="858" w:customStyle="1">
    <w:name w:val="标题 11"/>
    <w:basedOn w:val="748"/>
    <w:next w:val="74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9" w:customStyle="1">
    <w:name w:val="正文 + 行距: 固定值 20 磅"/>
    <w:basedOn w:val="688"/>
    <w:uiPriority w:val="0"/>
    <w:qFormat/>
    <w:pPr>
      <w:ind w:firstLine="716"/>
      <w:spacing w:line="400" w:lineRule="exact"/>
    </w:pPr>
    <w:rPr>
      <w:rFonts w:ascii="Calibri" w:hAnsi="Calibri"/>
      <w:szCs w:val="22"/>
    </w:rPr>
  </w:style>
  <w:style w:type="paragraph" w:styleId="860"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1" w:customStyle="1">
    <w:name w:val="表格文字"/>
    <w:basedOn w:val="688"/>
    <w:link w:val="889"/>
    <w:uiPriority w:val="0"/>
    <w:qFormat/>
    <w:pPr>
      <w:jc w:val="left"/>
      <w:spacing w:line="420" w:lineRule="atLeast"/>
    </w:pPr>
    <w:rPr>
      <w:rFonts w:ascii="Calibri" w:hAnsi="Calibri"/>
      <w:szCs w:val="22"/>
    </w:rPr>
  </w:style>
  <w:style w:type="paragraph" w:styleId="862"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3"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4" w:customStyle="1">
    <w:name w:val="表格"/>
    <w:basedOn w:val="688"/>
    <w:uiPriority w:val="0"/>
    <w:qFormat/>
    <w:pPr>
      <w:jc w:val="center"/>
    </w:pPr>
    <w:rPr>
      <w:rFonts w:ascii="华文细黑" w:hAnsi="华文细黑"/>
      <w:szCs w:val="22"/>
    </w:rPr>
  </w:style>
  <w:style w:type="paragraph" w:styleId="865"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6" w:customStyle="1">
    <w:name w:val="列出段落2"/>
    <w:basedOn w:val="688"/>
    <w:uiPriority w:val="34"/>
    <w:qFormat/>
    <w:pPr>
      <w:ind w:firstLine="420"/>
    </w:pPr>
  </w:style>
  <w:style w:type="paragraph" w:styleId="867" w:customStyle="1">
    <w:name w:val="6'"/>
    <w:basedOn w:val="688"/>
    <w:uiPriority w:val="0"/>
    <w:qFormat/>
    <w:pPr>
      <w:jc w:val="center"/>
      <w:spacing w:line="320" w:lineRule="exact"/>
    </w:pPr>
    <w:rPr>
      <w:rFonts w:ascii="Calibri" w:hAnsi="Calibri"/>
      <w:spacing w:val="20"/>
      <w:szCs w:val="22"/>
    </w:rPr>
  </w:style>
  <w:style w:type="paragraph" w:styleId="868" w:customStyle="1">
    <w:name w:val="Char Char Char Char Char Char Char"/>
    <w:basedOn w:val="688"/>
    <w:uiPriority w:val="0"/>
    <w:qFormat/>
    <w:pPr>
      <w:spacing w:line="360" w:lineRule="auto"/>
    </w:pPr>
    <w:rPr>
      <w:sz w:val="24"/>
      <w:szCs w:val="20"/>
    </w:rPr>
  </w:style>
  <w:style w:type="paragraph" w:styleId="869" w:customStyle="1">
    <w:name w:val="2方案格式2"/>
    <w:basedOn w:val="851"/>
    <w:uiPriority w:val="0"/>
    <w:qFormat/>
    <w:pPr>
      <w:numPr>
        <w:ilvl w:val="1"/>
      </w:numPr>
      <w:spacing w:before="50" w:after="50" w:line="240" w:lineRule="auto"/>
      <w:outlineLvl w:val="1"/>
    </w:pPr>
    <w:rPr>
      <w:sz w:val="44"/>
    </w:rPr>
  </w:style>
  <w:style w:type="paragraph" w:styleId="870" w:customStyle="1">
    <w:name w:val="文档正文"/>
    <w:basedOn w:val="688"/>
    <w:uiPriority w:val="0"/>
    <w:qFormat/>
    <w:pPr>
      <w:ind w:firstLine="567"/>
      <w:spacing w:line="480" w:lineRule="atLeast"/>
    </w:pPr>
    <w:rPr>
      <w:rFonts w:ascii="Ari" w:eastAsia="Ari"/>
      <w:sz w:val="28"/>
      <w:szCs w:val="20"/>
    </w:rPr>
  </w:style>
  <w:style w:type="paragraph" w:styleId="871"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2" w:customStyle="1">
    <w:name w:val="目录 4_0"/>
    <w:basedOn w:val="765"/>
    <w:next w:val="765"/>
    <w:uiPriority w:val="39"/>
    <w:qFormat/>
    <w:pPr>
      <w:ind w:left="1260"/>
    </w:pPr>
    <w:rPr>
      <w:rFonts w:ascii="Calibri" w:hAnsi="Calibri"/>
    </w:rPr>
  </w:style>
  <w:style w:type="paragraph" w:styleId="873" w:customStyle="1">
    <w:name w:val="目录 3_0"/>
    <w:basedOn w:val="765"/>
    <w:next w:val="765"/>
    <w:uiPriority w:val="39"/>
    <w:qFormat/>
    <w:pPr>
      <w:ind w:left="840"/>
    </w:pPr>
    <w:rPr>
      <w:rFonts w:ascii="Calibri" w:hAnsi="Calibri"/>
    </w:rPr>
  </w:style>
  <w:style w:type="paragraph" w:styleId="874"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5" w:customStyle="1">
    <w:name w:val="1"/>
    <w:basedOn w:val="688"/>
    <w:next w:val="688"/>
    <w:uiPriority w:val="0"/>
    <w:qFormat/>
    <w:rPr>
      <w:rFonts w:ascii="Calibri" w:hAnsi="Calibri"/>
      <w:szCs w:val="22"/>
    </w:rPr>
  </w:style>
  <w:style w:type="paragraph" w:styleId="876" w:customStyle="1">
    <w:name w:val="Blockquote_0"/>
    <w:basedOn w:val="765"/>
    <w:uiPriority w:val="0"/>
    <w:qFormat/>
    <w:pPr>
      <w:ind w:left="360" w:right="360"/>
      <w:jc w:val="left"/>
      <w:spacing w:before="100" w:after="100"/>
    </w:pPr>
    <w:rPr>
      <w:rFonts w:ascii="Calibri" w:hAnsi="Calibri" w:eastAsia="Times New Roman"/>
      <w:sz w:val="24"/>
      <w:szCs w:val="20"/>
    </w:rPr>
  </w:style>
  <w:style w:type="paragraph" w:styleId="877"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8"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9"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80" w:customStyle="1">
    <w:name w:val="p0"/>
    <w:basedOn w:val="688"/>
    <w:uiPriority w:val="0"/>
    <w:qFormat/>
    <w:pPr>
      <w:widowControl/>
    </w:pPr>
    <w:rPr>
      <w:b/>
      <w:bCs/>
      <w:sz w:val="24"/>
    </w:rPr>
  </w:style>
  <w:style w:type="paragraph" w:styleId="881" w:customStyle="1">
    <w:name w:val="Blockquote"/>
    <w:basedOn w:val="688"/>
    <w:uiPriority w:val="0"/>
    <w:qFormat/>
    <w:pPr>
      <w:ind w:left="360" w:right="360"/>
      <w:jc w:val="left"/>
      <w:spacing w:before="100" w:after="100"/>
    </w:pPr>
    <w:rPr>
      <w:rFonts w:ascii="Calibri" w:hAnsi="Calibri"/>
      <w:sz w:val="24"/>
      <w:szCs w:val="22"/>
    </w:rPr>
  </w:style>
  <w:style w:type="paragraph" w:styleId="882" w:customStyle="1">
    <w:name w:val="3方案格式3"/>
    <w:basedOn w:val="869"/>
    <w:uiPriority w:val="0"/>
    <w:qFormat/>
    <w:pPr>
      <w:numPr>
        <w:ilvl w:val="2"/>
      </w:numPr>
      <w:outlineLvl w:val="2"/>
    </w:pPr>
    <w:rPr>
      <w:sz w:val="32"/>
    </w:rPr>
  </w:style>
  <w:style w:type="paragraph" w:styleId="883"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4" w:customStyle="1">
    <w:name w:val="标题2"/>
    <w:basedOn w:val="690"/>
    <w:next w:val="708"/>
    <w:uiPriority w:val="0"/>
    <w:qFormat/>
    <w:pPr>
      <w:spacing w:before="156" w:after="156" w:line="360" w:lineRule="auto"/>
    </w:pPr>
    <w:rPr>
      <w:bCs w:val="0"/>
      <w:sz w:val="24"/>
    </w:rPr>
  </w:style>
  <w:style w:type="paragraph" w:styleId="885" w:customStyle="1">
    <w:name w:val="普通正文"/>
    <w:basedOn w:val="688"/>
    <w:uiPriority w:val="0"/>
    <w:qFormat/>
    <w:pPr>
      <w:ind w:firstLine="480"/>
      <w:jc w:val="left"/>
      <w:spacing w:before="120" w:after="120" w:line="360" w:lineRule="auto"/>
    </w:pPr>
    <w:rPr>
      <w:rFonts w:ascii="Arial" w:hAnsi="Arial"/>
      <w:sz w:val="24"/>
    </w:rPr>
  </w:style>
  <w:style w:type="paragraph" w:styleId="886" w:customStyle="1">
    <w:name w:val="正文2"/>
    <w:uiPriority w:val="0"/>
    <w:qFormat/>
    <w:rPr>
      <w:rFonts w:ascii="Times New Roman" w:hAnsi="Times New Roman" w:eastAsia="微软雅黑" w:cs="Times New Roman"/>
      <w:sz w:val="24"/>
      <w:szCs w:val="24"/>
      <w:lang w:val="en-US" w:eastAsia="zh-CN" w:bidi="ar-SA"/>
    </w:rPr>
  </w:style>
  <w:style w:type="paragraph" w:styleId="887"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8" w:customStyle="1">
    <w:name w:val="纯文本2"/>
    <w:basedOn w:val="688"/>
    <w:uiPriority w:val="0"/>
    <w:qFormat/>
    <w:pPr>
      <w:jc w:val="left"/>
    </w:pPr>
    <w:rPr>
      <w:rFonts w:hint="eastAsia" w:ascii="宋体" w:hAnsi="宋体" w:cs="Courier New"/>
      <w:sz w:val="24"/>
      <w:szCs w:val="20"/>
      <w:lang w:bidi="hi-IN"/>
    </w:rPr>
  </w:style>
  <w:style w:type="character" w:styleId="889" w:customStyle="1">
    <w:name w:val="表格文字 字符"/>
    <w:link w:val="861"/>
    <w:uiPriority w:val="0"/>
    <w:qFormat/>
    <w:rPr>
      <w:rFonts w:ascii="Calibri" w:hAnsi="Calibri" w:eastAsia="宋体" w:cs="Times New Roman"/>
      <w:sz w:val="21"/>
      <w:szCs w:val="22"/>
    </w:rPr>
  </w:style>
  <w:style w:type="paragraph" w:styleId="890"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1" w:customStyle="1">
    <w:name w:val="未处理的提及1"/>
    <w:basedOn w:val="698"/>
    <w:uiPriority w:val="99"/>
    <w:semiHidden/>
    <w:unhideWhenUsed/>
    <w:qFormat/>
    <w:rPr>
      <w:color w:val="605e5c"/>
      <w:shd w:val="clear" w:color="auto" w:fill="e1dfdd"/>
    </w:rPr>
  </w:style>
  <w:style w:type="paragraph" w:styleId="892" w:customStyle="1">
    <w:name w:val="_Style 3"/>
    <w:basedOn w:val="688"/>
    <w:uiPriority w:val="99"/>
    <w:qFormat/>
    <w:pPr>
      <w:ind w:firstLine="420"/>
    </w:pPr>
    <w:rPr>
      <w:szCs w:val="22"/>
    </w:rPr>
  </w:style>
  <w:style w:type="table" w:styleId="893"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customStyle="1">
    <w:name w:val="批注文字 字符1"/>
    <w:uiPriority w:val="99"/>
    <w:qFormat/>
    <w:rPr>
      <w:sz w:val="24"/>
      <w:szCs w:val="22"/>
    </w:rPr>
  </w:style>
  <w:style w:type="character" w:styleId="895" w:customStyle="1">
    <w:name w:val="f141"/>
    <w:uiPriority w:val="0"/>
    <w:qFormat/>
    <w:rPr>
      <w:sz w:val="21"/>
      <w:szCs w:val="21"/>
    </w:rPr>
  </w:style>
  <w:style w:type="character" w:styleId="896" w:customStyle="1">
    <w:name w:val="p141"/>
    <w:uiPriority w:val="0"/>
    <w:qFormat/>
    <w:rPr>
      <w:sz w:val="21"/>
      <w:szCs w:val="21"/>
    </w:rPr>
  </w:style>
  <w:style w:type="character" w:styleId="897" w:customStyle="1">
    <w:name w:val="s10pv000000"/>
    <w:basedOn w:val="698"/>
    <w:uiPriority w:val="0"/>
    <w:qFormat/>
  </w:style>
  <w:style w:type="paragraph" w:styleId="898"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9"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900"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1" w:customStyle="1">
    <w:name w:val="样式4"/>
    <w:basedOn w:val="688"/>
    <w:uiPriority w:val="0"/>
    <w:qFormat/>
    <w:pPr>
      <w:ind w:left="2328" w:hanging="708"/>
      <w:tabs>
        <w:tab w:val="left" w:pos="2328" w:leader="none"/>
      </w:tabs>
    </w:pPr>
  </w:style>
  <w:style w:type="paragraph" w:styleId="902"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3" w:customStyle="1">
    <w:name w:val="3 Char"/>
    <w:basedOn w:val="688"/>
    <w:uiPriority w:val="0"/>
    <w:qFormat/>
    <w:pPr>
      <w:jc w:val="center"/>
      <w:spacing w:line="400" w:lineRule="exact"/>
      <w:widowControl/>
    </w:pPr>
    <w:rPr>
      <w:rFonts w:ascii="Verdana" w:hAnsi="Verdana"/>
      <w:szCs w:val="20"/>
      <w:lang w:eastAsia="en-US"/>
    </w:rPr>
  </w:style>
  <w:style w:type="paragraph" w:styleId="904"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5"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6" w:customStyle="1">
    <w:name w:val="图"/>
    <w:basedOn w:val="688"/>
    <w:uiPriority w:val="0"/>
    <w:qFormat/>
    <w:pPr>
      <w:jc w:val="center"/>
      <w:keepNext/>
      <w:spacing w:before="60" w:after="60" w:line="300" w:lineRule="auto"/>
    </w:pPr>
    <w:rPr>
      <w:spacing w:val="20"/>
      <w:sz w:val="24"/>
      <w:szCs w:val="20"/>
    </w:rPr>
  </w:style>
  <w:style w:type="paragraph" w:styleId="907"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8"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9"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10"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1" w:customStyle="1">
    <w:name w:val="默认段落字体 Para Char Char Char Char"/>
    <w:basedOn w:val="688"/>
    <w:uiPriority w:val="0"/>
    <w:qFormat/>
    <w:rPr>
      <w:szCs w:val="20"/>
    </w:rPr>
  </w:style>
  <w:style w:type="paragraph" w:styleId="912"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3"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4"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5" w:customStyle="1">
    <w:name w:val="纯文本 Char1"/>
    <w:basedOn w:val="698"/>
    <w:uiPriority w:val="0"/>
    <w:qFormat/>
    <w:rPr>
      <w:rFonts w:ascii="宋体" w:hAnsi="Courier New" w:eastAsia="宋体" w:cs="Courier New"/>
      <w:szCs w:val="21"/>
    </w:rPr>
  </w:style>
  <w:style w:type="character" w:styleId="916" w:customStyle="1">
    <w:name w:val="HTML 预设格式 字符"/>
    <w:basedOn w:val="698"/>
    <w:link w:val="729"/>
    <w:uiPriority w:val="99"/>
    <w:qFormat/>
    <w:rPr>
      <w:rFonts w:ascii="宋体" w:hAnsi="宋体"/>
      <w:sz w:val="24"/>
      <w:szCs w:val="24"/>
    </w:rPr>
  </w:style>
  <w:style w:type="paragraph" w:styleId="917" w:customStyle="1">
    <w:name w:val="Char1 Char Char Char"/>
    <w:basedOn w:val="688"/>
    <w:uiPriority w:val="0"/>
    <w:qFormat/>
    <w:rPr>
      <w:szCs w:val="20"/>
    </w:rPr>
  </w:style>
  <w:style w:type="paragraph" w:styleId="918" w:customStyle="1">
    <w:name w:val="Char1"/>
    <w:basedOn w:val="688"/>
    <w:uiPriority w:val="0"/>
    <w:qFormat/>
    <w:pPr>
      <w:jc w:val="left"/>
      <w:spacing w:after="160" w:line="240" w:lineRule="exact"/>
      <w:widowControl/>
    </w:pPr>
    <w:rPr>
      <w:sz w:val="24"/>
    </w:rPr>
  </w:style>
  <w:style w:type="paragraph" w:styleId="919" w:customStyle="1">
    <w:name w:val="默认段落字体 Para Char"/>
    <w:basedOn w:val="688"/>
    <w:uiPriority w:val="0"/>
    <w:qFormat/>
  </w:style>
  <w:style w:type="paragraph" w:styleId="920"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1"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2" w:customStyle="1">
    <w:name w:val="Char Char2 Char"/>
    <w:basedOn w:val="688"/>
    <w:uiPriority w:val="0"/>
    <w:qFormat/>
    <w:rPr>
      <w:rFonts w:ascii="宋体" w:hAnsi="宋体"/>
      <w:b/>
      <w:sz w:val="28"/>
      <w:szCs w:val="28"/>
    </w:rPr>
  </w:style>
  <w:style w:type="character" w:styleId="923" w:customStyle="1">
    <w:name w:val="正文缩进 字符"/>
    <w:link w:val="703"/>
    <w:uiPriority w:val="0"/>
    <w:qFormat/>
    <w:rPr>
      <w:b/>
      <w:sz w:val="24"/>
    </w:rPr>
  </w:style>
  <w:style w:type="paragraph" w:styleId="924" w:customStyle="1">
    <w:name w:val="Char Char Char"/>
    <w:basedOn w:val="688"/>
    <w:uiPriority w:val="0"/>
    <w:qFormat/>
    <w:rPr>
      <w:rFonts w:ascii="宋体" w:hAnsi="宋体"/>
      <w:b/>
      <w:sz w:val="28"/>
      <w:szCs w:val="28"/>
    </w:rPr>
  </w:style>
  <w:style w:type="paragraph" w:styleId="925" w:customStyle="1">
    <w:name w:val="Char2"/>
    <w:basedOn w:val="688"/>
    <w:uiPriority w:val="0"/>
    <w:qFormat/>
    <w:pPr>
      <w:jc w:val="left"/>
      <w:spacing w:after="160" w:line="240" w:lineRule="exact"/>
      <w:widowControl/>
    </w:pPr>
    <w:rPr>
      <w:szCs w:val="20"/>
    </w:rPr>
  </w:style>
  <w:style w:type="paragraph" w:styleId="926"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7" w:customStyle="1">
    <w:name w:val="description5"/>
    <w:basedOn w:val="698"/>
    <w:uiPriority w:val="0"/>
    <w:qFormat/>
  </w:style>
  <w:style w:type="character" w:styleId="928">
    <w:name w:val="Placeholder Text"/>
    <w:uiPriority w:val="99"/>
    <w:semiHidden/>
    <w:qFormat/>
    <w:rPr>
      <w:color w:val="808080"/>
    </w:rPr>
  </w:style>
  <w:style w:type="paragraph" w:styleId="929" w:customStyle="1">
    <w:name w:val="Table Paragraph"/>
    <w:basedOn w:val="688"/>
    <w:uiPriority w:val="1"/>
    <w:qFormat/>
    <w:pPr>
      <w:jc w:val="left"/>
    </w:pPr>
    <w:rPr>
      <w:sz w:val="24"/>
    </w:rPr>
  </w:style>
  <w:style w:type="character" w:styleId="930" w:customStyle="1">
    <w:name w:val="Char Char7"/>
    <w:uiPriority w:val="0"/>
    <w:qFormat/>
    <w:rPr>
      <w:rFonts w:ascii="Tahoma" w:hAnsi="Tahoma" w:eastAsia="微软雅黑"/>
      <w:b/>
      <w:bCs/>
      <w:sz w:val="32"/>
      <w:szCs w:val="32"/>
      <w:lang w:val="en-US" w:eastAsia="zh-CN" w:bidi="ar-SA"/>
    </w:rPr>
  </w:style>
  <w:style w:type="character" w:styleId="931" w:customStyle="1">
    <w:name w:val="font01"/>
    <w:uiPriority w:val="0"/>
    <w:qFormat/>
    <w:rPr>
      <w:rFonts w:hint="eastAsia" w:ascii="宋体" w:hAnsi="宋体" w:eastAsia="宋体" w:cs="宋体"/>
      <w:color w:val="000000"/>
      <w:sz w:val="20"/>
      <w:szCs w:val="20"/>
      <w:u w:val="none"/>
    </w:rPr>
  </w:style>
  <w:style w:type="character" w:styleId="932" w:customStyle="1">
    <w:name w:val="font81"/>
    <w:uiPriority w:val="0"/>
    <w:qFormat/>
    <w:rPr>
      <w:rFonts w:hint="eastAsia" w:ascii="宋体" w:hAnsi="宋体" w:eastAsia="宋体" w:cs="宋体"/>
      <w:color w:val="000000"/>
      <w:sz w:val="22"/>
      <w:szCs w:val="22"/>
      <w:u w:val="none"/>
    </w:rPr>
  </w:style>
  <w:style w:type="character" w:styleId="933" w:customStyle="1">
    <w:name w:val="font71"/>
    <w:uiPriority w:val="0"/>
    <w:qFormat/>
    <w:rPr>
      <w:rFonts w:hint="eastAsia" w:ascii="宋体" w:hAnsi="宋体" w:eastAsia="宋体" w:cs="宋体"/>
      <w:color w:val="000000"/>
      <w:sz w:val="22"/>
      <w:szCs w:val="22"/>
      <w:u w:val="none"/>
    </w:rPr>
  </w:style>
  <w:style w:type="character" w:styleId="934" w:customStyle="1">
    <w:name w:val="font51"/>
    <w:uiPriority w:val="0"/>
    <w:qFormat/>
    <w:rPr>
      <w:rFonts w:hint="default" w:ascii="Calibri" w:hAnsi="Calibri" w:cs="Calibri"/>
      <w:color w:val="000000"/>
      <w:sz w:val="22"/>
      <w:szCs w:val="22"/>
      <w:u w:val="none"/>
    </w:rPr>
  </w:style>
  <w:style w:type="character" w:styleId="935" w:customStyle="1">
    <w:name w:val="font61"/>
    <w:uiPriority w:val="0"/>
    <w:qFormat/>
    <w:rPr>
      <w:rFonts w:hint="default" w:ascii="Calibri" w:hAnsi="Calibri" w:cs="Calibri"/>
      <w:color w:val="000000"/>
      <w:sz w:val="22"/>
      <w:szCs w:val="22"/>
      <w:u w:val="none"/>
    </w:rPr>
  </w:style>
  <w:style w:type="character" w:styleId="936" w:customStyle="1">
    <w:name w:val="font41"/>
    <w:uiPriority w:val="0"/>
    <w:qFormat/>
    <w:rPr>
      <w:rFonts w:hint="eastAsia" w:ascii="宋体" w:hAnsi="宋体" w:eastAsia="宋体" w:cs="宋体"/>
      <w:color w:val="000000"/>
      <w:sz w:val="22"/>
      <w:szCs w:val="22"/>
      <w:u w:val="none"/>
    </w:rPr>
  </w:style>
  <w:style w:type="character" w:styleId="937" w:customStyle="1">
    <w:name w:val="未处理的提及2"/>
    <w:basedOn w:val="698"/>
    <w:uiPriority w:val="99"/>
    <w:semiHidden/>
    <w:unhideWhenUsed/>
    <w:qFormat/>
    <w:rPr>
      <w:color w:val="605e5c"/>
      <w:shd w:val="clear" w:color="auto" w:fill="e1dfdd"/>
    </w:rPr>
  </w:style>
  <w:style w:type="character" w:styleId="938" w:customStyle="1">
    <w:name w:val="未处理的提及3"/>
    <w:basedOn w:val="698"/>
    <w:uiPriority w:val="99"/>
    <w:semiHidden/>
    <w:unhideWhenUsed/>
    <w:qFormat/>
    <w:rPr>
      <w:color w:val="605e5c"/>
      <w:shd w:val="clear" w:color="auto" w:fill="e1dfdd"/>
    </w:rPr>
  </w:style>
  <w:style w:type="paragraph" w:styleId="939" w:customStyle="1">
    <w:name w:val="_Style 234"/>
    <w:basedOn w:val="688"/>
    <w:next w:val="760"/>
    <w:uiPriority w:val="34"/>
    <w:qFormat/>
    <w:pPr>
      <w:ind w:left="420" w:firstLine="420"/>
      <w:spacing w:line="400" w:lineRule="exact"/>
    </w:pPr>
    <w:rPr>
      <w:rFonts w:ascii="Calibri" w:hAnsi="Calibri"/>
    </w:rPr>
  </w:style>
  <w:style w:type="character" w:styleId="940" w:customStyle="1">
    <w:name w:val="列表段落 字符"/>
    <w:link w:val="760"/>
    <w:uiPriority w:val="99"/>
    <w:qFormat/>
    <w:rPr>
      <w:sz w:val="21"/>
      <w:szCs w:val="24"/>
    </w:rPr>
  </w:style>
  <w:style w:type="character" w:styleId="941" w:customStyle="1">
    <w:name w:val="彩色列表 - 强调文字颜色 1字符"/>
    <w:uiPriority w:val="34"/>
    <w:qFormat/>
    <w:rPr>
      <w:rFonts w:ascii="Calibri" w:hAnsi="Calibri"/>
      <w:sz w:val="21"/>
      <w:szCs w:val="24"/>
    </w:rPr>
  </w:style>
  <w:style w:type="character" w:styleId="942" w:customStyle="1">
    <w:name w:val="批注主题 字符1"/>
    <w:basedOn w:val="894"/>
    <w:uiPriority w:val="99"/>
    <w:semiHidden/>
    <w:qFormat/>
    <w:rPr>
      <w:rFonts w:ascii="Calibri" w:hAnsi="Calibri" w:eastAsia="宋体" w:cs="Times New Roman"/>
      <w:b/>
      <w:bCs/>
      <w:sz w:val="24"/>
      <w:szCs w:val="24"/>
    </w:rPr>
  </w:style>
  <w:style w:type="character" w:styleId="943" w:customStyle="1">
    <w:name w:val="正文文本缩进 2 字符1"/>
    <w:basedOn w:val="698"/>
    <w:uiPriority w:val="99"/>
    <w:semiHidden/>
    <w:qFormat/>
    <w:rPr>
      <w:rFonts w:ascii="Calibri" w:hAnsi="Calibri" w:eastAsia="宋体" w:cs="Times New Roman"/>
      <w:szCs w:val="24"/>
    </w:rPr>
  </w:style>
  <w:style w:type="character" w:styleId="944" w:customStyle="1">
    <w:name w:val="标题 字符1"/>
    <w:basedOn w:val="698"/>
    <w:uiPriority w:val="10"/>
    <w:qFormat/>
    <w:rPr>
      <w:rFonts w:asciiTheme="majorHAnsi" w:hAnsiTheme="majorHAnsi" w:eastAsiaTheme="majorEastAsia" w:cstheme="majorBidi"/>
      <w:b/>
      <w:bCs/>
      <w:sz w:val="32"/>
      <w:szCs w:val="32"/>
    </w:rPr>
  </w:style>
  <w:style w:type="character" w:styleId="945" w:customStyle="1">
    <w:name w:val="正文文本缩进 字符1"/>
    <w:basedOn w:val="698"/>
    <w:uiPriority w:val="99"/>
    <w:semiHidden/>
    <w:qFormat/>
    <w:rPr>
      <w:rFonts w:ascii="Calibri" w:hAnsi="Calibri" w:eastAsia="宋体" w:cs="Times New Roman"/>
      <w:szCs w:val="24"/>
    </w:rPr>
  </w:style>
  <w:style w:type="character" w:styleId="946" w:customStyle="1">
    <w:name w:val="副标题 字符1"/>
    <w:basedOn w:val="698"/>
    <w:uiPriority w:val="11"/>
    <w:qFormat/>
    <w:rPr>
      <w:b/>
      <w:bCs/>
      <w:sz w:val="32"/>
      <w:szCs w:val="32"/>
    </w:rPr>
  </w:style>
  <w:style w:type="character" w:styleId="947" w:customStyle="1">
    <w:name w:val="日期 字符1"/>
    <w:basedOn w:val="698"/>
    <w:uiPriority w:val="99"/>
    <w:semiHidden/>
    <w:qFormat/>
    <w:rPr>
      <w:rFonts w:ascii="Calibri" w:hAnsi="Calibri" w:eastAsia="宋体" w:cs="Times New Roman"/>
      <w:szCs w:val="24"/>
    </w:rPr>
  </w:style>
  <w:style w:type="paragraph" w:styleId="948" w:customStyle="1">
    <w:name w:val="修订2"/>
    <w:uiPriority w:val="99"/>
    <w:unhideWhenUsed/>
    <w:qFormat/>
    <w:rPr>
      <w:rFonts w:ascii="Calibri" w:hAnsi="Calibri" w:eastAsia="宋体" w:cs="Times New Roman"/>
      <w:sz w:val="21"/>
      <w:szCs w:val="24"/>
      <w:lang w:val="en-US" w:eastAsia="zh-CN" w:bidi="ar-SA"/>
    </w:rPr>
  </w:style>
  <w:style w:type="character" w:styleId="949" w:customStyle="1">
    <w:name w:val="正文文本 字符1"/>
    <w:basedOn w:val="698"/>
    <w:uiPriority w:val="99"/>
    <w:semiHidden/>
    <w:qFormat/>
    <w:rPr>
      <w:rFonts w:ascii="Calibri" w:hAnsi="Calibri" w:eastAsia="宋体" w:cs="Times New Roman"/>
      <w:szCs w:val="24"/>
    </w:rPr>
  </w:style>
  <w:style w:type="character" w:styleId="950" w:customStyle="1">
    <w:name w:val="批注框文本 字符1"/>
    <w:basedOn w:val="698"/>
    <w:uiPriority w:val="99"/>
    <w:semiHidden/>
    <w:qFormat/>
    <w:rPr>
      <w:rFonts w:ascii="Calibri" w:hAnsi="Calibri" w:eastAsia="宋体" w:cs="Times New Roman"/>
      <w:sz w:val="18"/>
      <w:szCs w:val="18"/>
    </w:rPr>
  </w:style>
  <w:style w:type="paragraph" w:styleId="951"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2" w:customStyle="1">
    <w:name w:val="纯文本 字符1"/>
    <w:basedOn w:val="698"/>
    <w:uiPriority w:val="99"/>
    <w:semiHidden/>
    <w:qFormat/>
    <w:rPr>
      <w:rFonts w:hAnsi="Courier New" w:cs="Courier New" w:asciiTheme="minorEastAsia"/>
      <w:szCs w:val="24"/>
    </w:rPr>
  </w:style>
  <w:style w:type="character" w:styleId="953" w:customStyle="1">
    <w:name w:val="文档结构图 字符1"/>
    <w:basedOn w:val="698"/>
    <w:uiPriority w:val="99"/>
    <w:semiHidden/>
    <w:qFormat/>
    <w:rPr>
      <w:rFonts w:ascii="Microsoft YaHei UI" w:hAnsi="Calibri" w:eastAsia="Microsoft YaHei UI" w:cs="Times New Roman"/>
      <w:sz w:val="18"/>
      <w:szCs w:val="18"/>
    </w:rPr>
  </w:style>
  <w:style w:type="character" w:styleId="954" w:customStyle="1">
    <w:name w:val="正文文本 3 字符1"/>
    <w:basedOn w:val="698"/>
    <w:uiPriority w:val="99"/>
    <w:semiHidden/>
    <w:qFormat/>
    <w:rPr>
      <w:rFonts w:ascii="Calibri" w:hAnsi="Calibri" w:eastAsia="宋体" w:cs="Times New Roman"/>
      <w:sz w:val="16"/>
      <w:szCs w:val="16"/>
    </w:rPr>
  </w:style>
  <w:style w:type="paragraph" w:styleId="955" w:customStyle="1">
    <w:name w:val="_Style 106"/>
    <w:basedOn w:val="688"/>
    <w:next w:val="760"/>
    <w:uiPriority w:val="34"/>
    <w:qFormat/>
    <w:pPr>
      <w:ind w:left="420" w:firstLine="420"/>
      <w:spacing w:line="400" w:lineRule="exact"/>
    </w:pPr>
    <w:rPr>
      <w:rFonts w:ascii="Calibri" w:hAnsi="Calibri"/>
    </w:rPr>
  </w:style>
  <w:style w:type="character" w:styleId="956" w:customStyle="1">
    <w:name w:val="正文文本缩进 3 字符1"/>
    <w:basedOn w:val="698"/>
    <w:uiPriority w:val="99"/>
    <w:semiHidden/>
    <w:qFormat/>
    <w:rPr>
      <w:rFonts w:ascii="Calibri" w:hAnsi="Calibri" w:eastAsia="宋体" w:cs="Times New Roman"/>
      <w:sz w:val="16"/>
      <w:szCs w:val="16"/>
    </w:rPr>
  </w:style>
  <w:style w:type="character" w:styleId="957" w:customStyle="1">
    <w:name w:val="未处理的提及4"/>
    <w:basedOn w:val="698"/>
    <w:uiPriority w:val="99"/>
    <w:semiHidden/>
    <w:unhideWhenUsed/>
    <w:qFormat/>
    <w:rPr>
      <w:color w:val="605e5c"/>
      <w:shd w:val="clear" w:color="auto" w:fill="e1dfdd"/>
    </w:rPr>
  </w:style>
  <w:style w:type="character" w:styleId="958" w:customStyle="1">
    <w:name w:val="未处理的提及5"/>
    <w:basedOn w:val="698"/>
    <w:uiPriority w:val="99"/>
    <w:semiHidden/>
    <w:unhideWhenUsed/>
    <w:qFormat/>
    <w:rPr>
      <w:color w:val="605e5c"/>
      <w:shd w:val="clear" w:color="auto" w:fill="e1dfdd"/>
    </w:rPr>
  </w:style>
  <w:style w:type="character" w:styleId="959" w:customStyle="1">
    <w:name w:val="未处理的提及6"/>
    <w:basedOn w:val="698"/>
    <w:uiPriority w:val="99"/>
    <w:semiHidden/>
    <w:unhideWhenUsed/>
    <w:qFormat/>
    <w:rPr>
      <w:color w:val="605e5c"/>
      <w:shd w:val="clear" w:color="auto" w:fill="e1dfdd"/>
    </w:rPr>
  </w:style>
  <w:style w:type="character" w:styleId="960" w:customStyle="1">
    <w:name w:val="font101"/>
    <w:uiPriority w:val="0"/>
    <w:qFormat/>
    <w:rPr>
      <w:rFonts w:ascii="PingFangTC-light" w:hAnsi="PingFangTC-light" w:eastAsia="PingFangTC-light" w:cs="PingFangTC-light"/>
      <w:color w:val="ff0000"/>
      <w:sz w:val="22"/>
      <w:szCs w:val="22"/>
      <w:u w:val="none"/>
    </w:rPr>
  </w:style>
  <w:style w:type="character" w:styleId="961" w:customStyle="1">
    <w:name w:val="font112"/>
    <w:uiPriority w:val="0"/>
    <w:qFormat/>
    <w:rPr>
      <w:rFonts w:ascii="Calibri" w:hAnsi="Calibri" w:cs="Calibri"/>
      <w:color w:val="ff0000"/>
      <w:sz w:val="21"/>
      <w:szCs w:val="21"/>
      <w:u w:val="none"/>
    </w:rPr>
  </w:style>
  <w:style w:type="character" w:styleId="962" w:customStyle="1">
    <w:name w:val="font121"/>
    <w:uiPriority w:val="0"/>
    <w:qFormat/>
    <w:rPr>
      <w:rFonts w:hint="eastAsia" w:ascii="宋体" w:hAnsi="宋体" w:eastAsia="宋体" w:cs="宋体"/>
      <w:color w:val="000000"/>
      <w:sz w:val="20"/>
      <w:szCs w:val="20"/>
      <w:u w:val="none"/>
    </w:rPr>
  </w:style>
  <w:style w:type="character" w:styleId="963" w:customStyle="1">
    <w:name w:val="纯文本 Char"/>
    <w:uiPriority w:val="0"/>
    <w:qFormat/>
    <w:rPr>
      <w:rFonts w:ascii="宋体" w:hAnsi="Courier New" w:eastAsia="宋体" w:cs="Courier New"/>
      <w:szCs w:val="21"/>
    </w:rPr>
  </w:style>
  <w:style w:type="character" w:styleId="964" w:customStyle="1">
    <w:name w:val="NormalCharacter"/>
    <w:uiPriority w:val="0"/>
    <w:qFormat/>
    <w:rPr>
      <w:rFonts w:ascii="Times New Roman" w:hAnsi="Times New Roman" w:eastAsia="宋体" w:cs="Times New Roman"/>
      <w:sz w:val="21"/>
      <w:szCs w:val="22"/>
      <w:lang w:val="en-US" w:eastAsia="zh-CN" w:bidi="ar-SA"/>
    </w:rPr>
  </w:style>
  <w:style w:type="paragraph" w:styleId="965" w:customStyle="1">
    <w:name w:val="样式 宋体 五号 行距: 单倍行距"/>
    <w:basedOn w:val="688"/>
    <w:uiPriority w:val="0"/>
    <w:qFormat/>
    <w:pPr>
      <w:jc w:val="left"/>
    </w:pPr>
    <w:rPr>
      <w:rFonts w:ascii="宋体" w:hAnsi="宋体"/>
      <w:szCs w:val="20"/>
    </w:rPr>
  </w:style>
  <w:style w:type="paragraph" w:styleId="966" w:customStyle="1">
    <w:name w:val="列表段落1"/>
    <w:basedOn w:val="688"/>
    <w:uiPriority w:val="99"/>
    <w:qFormat/>
    <w:pPr>
      <w:ind w:firstLine="420"/>
    </w:pPr>
    <w:rPr>
      <w:szCs w:val="20"/>
    </w:rPr>
  </w:style>
  <w:style w:type="character" w:styleId="967" w:customStyle="1">
    <w:name w:val="fontstyle31"/>
    <w:uiPriority w:val="0"/>
    <w:qFormat/>
    <w:rPr>
      <w:rFonts w:hint="default" w:ascii="TimesNewRomanPS-BoldMT" w:hAnsi="TimesNewRomanPS-BoldMT"/>
      <w:b/>
      <w:bCs/>
      <w:color w:val="000000"/>
      <w:sz w:val="22"/>
      <w:szCs w:val="22"/>
    </w:rPr>
  </w:style>
  <w:style w:type="paragraph" w:styleId="968"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70"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1" w:customStyle="1">
    <w:name w:val="招标"/>
    <w:basedOn w:val="688"/>
    <w:uiPriority w:val="0"/>
    <w:qFormat/>
    <w:pPr>
      <w:ind w:firstLine="420"/>
      <w:jc w:val="left"/>
      <w:spacing w:line="400" w:lineRule="exact"/>
    </w:pPr>
    <w:rPr>
      <w:rFonts w:ascii="宋体" w:hAnsi="宋体"/>
    </w:rPr>
  </w:style>
  <w:style w:type="paragraph" w:styleId="97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3"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6"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6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25</cp:revision>
  <dcterms:created xsi:type="dcterms:W3CDTF">2026-03-10T11:13:00Z</dcterms:created>
  <dcterms:modified xsi:type="dcterms:W3CDTF">2026-05-19T03:46:04Z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EEE47B64B4DE4FC691D5DEF448BC27E1_13</vt:lpwstr>
  </property>
  <property fmtid="{D5CDD505-2E9C-101B-9397-08002B2CF9AE}" pid="4" name="KSOTemplateDocerSaveRecord">
    <vt:lpwstr>eyJoZGlkIjoiMzI1ZTM3YmM5M2ZmZmZlMmVkMTMzNzRlMzg5OGU0YzgiLCJ1c2VySWQiOiI2MjA1NjI3NjEifQ==</vt:lpwstr>
  </property>
</Properties>
</file>