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pPr>
      <w:r/>
      <w:r/>
    </w:p>
    <w:p>
      <w:pPr>
        <w:spacing w:line="360" w:lineRule="auto"/>
        <w:rPr>
          <w:rFonts w:hint="eastAsia" w:ascii="宋体" w:hAnsi="宋体" w:eastAsia="宋体"/>
          <w:b/>
          <w:sz w:val="48"/>
          <w:szCs w:val="48"/>
        </w:rPr>
      </w:pPr>
      <w:r>
        <w:rPr>
          <w:rFonts w:hint="eastAsia" w:ascii="宋体" w:hAnsi="宋体" w:eastAsia="宋体"/>
          <w:b/>
          <w:sz w:val="48"/>
          <w:szCs w:val="48"/>
        </w:rPr>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 州 市 政 府 采 购 </w:t>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0"/>
          <w:szCs w:val="30"/>
        </w:rPr>
      </w:pPr>
      <w:r>
        <w:rPr>
          <w:rFonts w:hint="eastAsia" w:ascii="宋体" w:hAnsi="宋体" w:eastAsia="宋体"/>
          <w:sz w:val="30"/>
          <w:szCs w:val="30"/>
        </w:rPr>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JSZC-320509-WYZB-G2026-0003</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采购单位：苏州市吴江区盛泽镇人民政府</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采购类别：货物类</w:t>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 </w:t>
      </w:r>
      <w:r>
        <w:rPr>
          <w:rFonts w:hint="eastAsia" w:ascii="宋体" w:hAnsi="宋体" w:eastAsia="宋体"/>
          <w:b/>
          <w:bCs/>
          <w:sz w:val="30"/>
          <w:szCs w:val="30"/>
          <w:lang w:eastAsia="zh-CN"/>
        </w:rPr>
        <w:t xml:space="preserve">程开甲少年书院智能化系统</w:t>
      </w:r>
      <w:r/>
    </w:p>
    <w:p>
      <w:pPr>
        <w:spacing w:line="360" w:lineRule="auto"/>
        <w:rPr>
          <w:rFonts w:hint="eastAsia" w:ascii="宋体" w:hAnsi="宋体" w:eastAsia="宋体"/>
          <w:b/>
          <w:sz w:val="30"/>
          <w:szCs w:val="30"/>
        </w:rPr>
      </w:pPr>
      <w:r>
        <w:rPr>
          <w:rFonts w:hint="eastAsia" w:ascii="宋体" w:hAnsi="宋体" w:eastAsia="宋体"/>
          <w:b/>
          <w:bCs/>
          <w:sz w:val="30"/>
          <w:szCs w:val="30"/>
        </w:rPr>
        <w:t xml:space="preserve"> </w:t>
      </w:r>
      <w:r/>
    </w:p>
    <w:p>
      <w:pPr>
        <w:spacing w:line="360" w:lineRule="auto"/>
        <w:rPr>
          <w:rFonts w:hint="eastAsia" w:ascii="宋体" w:hAnsi="宋体" w:eastAsia="宋体"/>
          <w:b/>
          <w:sz w:val="30"/>
          <w:szCs w:val="30"/>
        </w:r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302260</wp:posOffset>
                </wp:positionV>
                <wp:extent cx="2214880" cy="683260"/>
                <wp:effectExtent l="0" t="0" r="13970" b="254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7"/>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7" o:title=""/>
              </v:shape>
            </w:pict>
          </mc:Fallback>
        </mc:AlternateContent>
      </w:r>
      <w:r/>
    </w:p>
    <w:p>
      <w:pPr>
        <w:pStyle w:val="838"/>
        <w:ind w:firstLine="602"/>
        <w:rPr>
          <w:rFonts w:hint="eastAsia" w:hAnsi="宋体"/>
          <w:b/>
          <w:sz w:val="30"/>
          <w:szCs w:val="30"/>
        </w:rPr>
      </w:pPr>
      <w:r>
        <w:rPr>
          <w:rFonts w:hint="eastAsia" w:hAnsi="宋体"/>
          <w:b/>
          <w:sz w:val="30"/>
          <w:szCs w:val="30"/>
        </w:rPr>
      </w:r>
      <w:r/>
    </w:p>
    <w:p>
      <w:pPr>
        <w:rPr>
          <w:rFonts w:hint="eastAsia" w:ascii="宋体" w:hAnsi="宋体" w:eastAsia="宋体"/>
          <w:b/>
          <w:sz w:val="30"/>
          <w:szCs w:val="30"/>
        </w:rPr>
      </w:pPr>
      <w:r>
        <w:rPr>
          <w:rFonts w:hint="eastAsia" w:ascii="宋体" w:hAnsi="宋体" w:eastAsia="宋体"/>
          <w:b/>
          <w:sz w:val="30"/>
          <w:szCs w:val="30"/>
        </w:rPr>
      </w:r>
      <w:r/>
    </w:p>
    <w:p>
      <w:pPr>
        <w:pStyle w:val="838"/>
        <w:ind w:firstLine="480"/>
      </w:p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p>
    <w:p>
      <w:pPr>
        <w:jc w:val="center"/>
        <w:spacing w:line="360" w:lineRule="auto"/>
        <w:rPr>
          <w:rFonts w:eastAsia="宋体"/>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sz w:val="30"/>
          <w:szCs w:val="30"/>
        </w:rPr>
        <w:t xml:space="preserve">2026年5月</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p>
    <w:tbl>
      <w:tblPr>
        <w:tblStyle w:val="745"/>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程开甲少年书院智能化系统</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p>
        </w:tc>
        <w:tc>
          <w:tcPr>
            <w:tcW w:w="8438" w:type="dxa"/>
            <w:vAlign w:val="bottom"/>
            <w:textDirection w:val="lrTb"/>
            <w:noWrap w:val="false"/>
          </w:tcPr>
          <w:p>
            <w:pPr>
              <w:spacing w:line="360" w:lineRule="auto"/>
              <w:rPr>
                <w:rFonts w:hint="eastAsia" w:ascii="宋体" w:hAnsi="宋体" w:eastAsia="宋体"/>
                <w:sz w:val="21"/>
                <w:szCs w:val="21"/>
                <w:lang w:eastAsia="zh-CN"/>
              </w:rPr>
            </w:pPr>
            <w:r>
              <w:rPr>
                <w:rFonts w:hint="eastAsia" w:ascii="宋体" w:hAnsi="宋体" w:eastAsia="宋体" w:cs="宋体"/>
                <w:bCs/>
                <w:sz w:val="21"/>
                <w:szCs w:val="21"/>
              </w:rPr>
              <w:t xml:space="preserve">本次项目采购预算为：</w:t>
            </w:r>
            <w:r>
              <w:rPr>
                <w:rFonts w:hint="eastAsia" w:ascii="宋体" w:hAnsi="宋体" w:eastAsia="宋体"/>
                <w:sz w:val="21"/>
                <w:szCs w:val="21"/>
                <w:lang w:eastAsia="zh-CN"/>
              </w:rPr>
              <w:t xml:space="preserve">人民币叁佰贰拾万玖仟贰佰元整（￥：3209200.00元）</w:t>
            </w:r>
            <w:r/>
          </w:p>
          <w:p>
            <w:pPr>
              <w:pStyle w:val="983"/>
              <w:ind w:left="0" w:firstLine="0"/>
            </w:pPr>
            <w:r>
              <w:rPr>
                <w:rFonts w:hint="eastAsia" w:eastAsia="宋体" w:cs="宋体"/>
                <w:b/>
                <w:bCs/>
                <w:sz w:val="21"/>
                <w:szCs w:val="21"/>
              </w:rPr>
              <w:t xml:space="preserve">投标保证金数额：本项目不收取投标保证金</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p>
        </w:tc>
        <w:tc>
          <w:tcPr>
            <w:tcW w:w="8438" w:type="dxa"/>
            <w:vAlign w:val="bottom"/>
            <w:textDirection w:val="lrTb"/>
            <w:noWrap w:val="false"/>
          </w:tcPr>
          <w:p>
            <w:pPr>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w:t>
            </w:r>
            <w:r>
              <w:rPr>
                <w:rFonts w:hint="eastAsia" w:ascii="宋体" w:hAnsi="宋体" w:eastAsia="宋体"/>
                <w:sz w:val="21"/>
                <w:szCs w:val="21"/>
                <w:lang w:eastAsia="zh-CN"/>
              </w:rPr>
              <w:t xml:space="preserve">2026-6-12</w:t>
            </w:r>
            <w:r>
              <w:rPr>
                <w:rFonts w:hint="eastAsia" w:ascii="宋体" w:hAnsi="宋体" w:eastAsia="宋体"/>
                <w:sz w:val="21"/>
                <w:szCs w:val="21"/>
              </w:rPr>
              <w:t xml:space="preserve"> 13:30（北京时间）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远程开标时间：</w:t>
            </w:r>
            <w:r>
              <w:rPr>
                <w:rFonts w:hint="eastAsia" w:ascii="宋体" w:hAnsi="宋体" w:eastAsia="宋体"/>
                <w:sz w:val="21"/>
                <w:szCs w:val="21"/>
                <w:lang w:eastAsia="zh-CN"/>
              </w:rPr>
              <w:t xml:space="preserve">2026-6-12</w:t>
            </w:r>
            <w:r>
              <w:rPr>
                <w:rFonts w:hint="eastAsia" w:ascii="宋体" w:hAnsi="宋体" w:eastAsia="宋体"/>
                <w:sz w:val="21"/>
                <w:szCs w:val="21"/>
              </w:rPr>
              <w:t xml:space="preserve"> 13:30（北京时间）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8438"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本项目申报预算时已经包含中标服务费，因此服务费由中标单位支付，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中标服务费账号：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账户名：苏州玮源招投标咨询服务有限公司</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开户行：中国银行苏州盘西支行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帐号：544360882716</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供应商缴纳代理服务费时，如需增值税专用发票的，则须提供有关信息资料。</w:t>
            </w:r>
            <w:r/>
          </w:p>
          <w:p>
            <w:pPr>
              <w:pStyle w:val="752"/>
              <w:ind w:left="0"/>
              <w:jc w:val="lef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注：本项目中标服务费为人民币</w:t>
            </w:r>
            <w:r>
              <w:rPr>
                <w:rFonts w:hint="eastAsia" w:ascii="宋体" w:hAnsi="宋体" w:eastAsia="宋体" w:cs="宋体"/>
                <w:sz w:val="21"/>
                <w:szCs w:val="21"/>
                <w:lang w:val="en-US" w:eastAsia="zh-CN"/>
              </w:rPr>
              <w:t xml:space="preserve">叁万玖仟叁佰零壹元整</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39301</w:t>
            </w:r>
            <w:r>
              <w:rPr>
                <w:rFonts w:hint="eastAsia" w:ascii="宋体" w:hAnsi="宋体" w:eastAsia="宋体" w:cs="宋体"/>
                <w:sz w:val="21"/>
                <w:szCs w:val="21"/>
              </w:rPr>
              <w:t xml:space="preserve">.00</w:t>
            </w:r>
            <w:r>
              <w:rPr>
                <w:rFonts w:hint="eastAsia" w:ascii="宋体" w:hAnsi="宋体" w:eastAsia="宋体" w:cs="宋体"/>
                <w:sz w:val="21"/>
                <w:szCs w:val="21"/>
                <w:lang w:val="zh-CN"/>
              </w:rPr>
              <w:t xml:space="preserve">）；请各供应商在投标报价时综合考虑。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982"/>
        <w:ind w:firstLine="1040"/>
        <w:rPr>
          <w:sz w:val="52"/>
          <w:szCs w:val="52"/>
          <w:lang w:val="en-US"/>
        </w:rPr>
      </w:pPr>
      <w:r>
        <w:rPr>
          <w:sz w:val="52"/>
          <w:szCs w:val="52"/>
          <w:lang w:val="en-US"/>
        </w:rPr>
      </w:r>
      <w:r/>
    </w:p>
    <w:p>
      <w:pPr>
        <w:pStyle w:val="982"/>
        <w:ind w:firstLine="1040"/>
        <w:rPr>
          <w:sz w:val="52"/>
          <w:szCs w:val="52"/>
          <w:lang w:val="en-US"/>
        </w:rPr>
      </w:pPr>
      <w:r>
        <w:rPr>
          <w:sz w:val="52"/>
          <w:szCs w:val="52"/>
          <w:lang w:val="en-US"/>
        </w:rPr>
      </w:r>
      <w:r/>
    </w:p>
    <w:p>
      <w:pPr>
        <w:pStyle w:val="982"/>
        <w:ind w:firstLine="1040"/>
        <w:rPr>
          <w:sz w:val="52"/>
          <w:szCs w:val="52"/>
          <w:lang w:val="en-US"/>
        </w:rPr>
      </w:pPr>
      <w:r>
        <w:rPr>
          <w:sz w:val="52"/>
          <w:szCs w:val="52"/>
          <w:lang w:val="en-US"/>
        </w:rPr>
      </w:r>
      <w:r/>
    </w:p>
    <w:p>
      <w:pPr>
        <w:pStyle w:val="982"/>
        <w:ind w:firstLine="1040"/>
        <w:rPr>
          <w:sz w:val="52"/>
          <w:szCs w:val="52"/>
          <w:lang w:val="en-US"/>
        </w:rPr>
      </w:pPr>
      <w:r>
        <w:rPr>
          <w:sz w:val="52"/>
          <w:szCs w:val="52"/>
          <w:lang w:val="en-US"/>
        </w:rPr>
      </w:r>
      <w:r/>
    </w:p>
    <w:p>
      <w:pPr>
        <w:pStyle w:val="982"/>
        <w:ind w:firstLine="1040"/>
        <w:rPr>
          <w:sz w:val="52"/>
          <w:szCs w:val="52"/>
          <w:lang w:val="en-US"/>
        </w:rPr>
      </w:pPr>
      <w:r>
        <w:rPr>
          <w:sz w:val="52"/>
          <w:szCs w:val="52"/>
          <w:lang w:val="en-US"/>
        </w:rPr>
      </w:r>
      <w:r/>
    </w:p>
    <w:p>
      <w:pPr>
        <w:pStyle w:val="982"/>
        <w:ind w:firstLine="1040"/>
        <w:rPr>
          <w:sz w:val="52"/>
          <w:szCs w:val="52"/>
          <w:lang w:val="en-US"/>
        </w:rPr>
      </w:pPr>
      <w:r>
        <w:rPr>
          <w:sz w:val="52"/>
          <w:szCs w:val="52"/>
          <w:lang w:val="en-US"/>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767"/>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767"/>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p>
    <w:p>
      <w:pPr>
        <w:pStyle w:val="767"/>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767"/>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767"/>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767"/>
        <w:tabs>
          <w:tab w:val="right" w:pos="9026" w:leader="dot"/>
        </w:tabs>
        <w:rPr>
          <w:rFonts w:eastAsia="宋体"/>
          <w:sz w:val="36"/>
          <w:szCs w:val="36"/>
        </w:rPr>
      </w:pPr>
      <w:r>
        <w:rPr>
          <w:rFonts w:hint="eastAsia" w:ascii="宋体" w:hAnsi="宋体" w:eastAsia="宋体"/>
          <w:sz w:val="36"/>
          <w:szCs w:val="36"/>
        </w:rPr>
        <w:t xml:space="preserve">第六章评分标准</w:t>
      </w:r>
      <w:r/>
    </w:p>
    <w:p>
      <w:pPr>
        <w:jc w:val="center"/>
        <w:spacing w:line="360" w:lineRule="auto"/>
        <w:rPr>
          <w:rFonts w:hint="eastAsia" w:ascii="宋体" w:hAnsi="宋体" w:eastAsia="宋体"/>
          <w:sz w:val="21"/>
          <w:szCs w:val="21"/>
        </w:rPr>
      </w:pPr>
      <w:r>
        <w:rPr>
          <w:rFonts w:ascii="宋体" w:hAnsi="宋体" w:eastAsia="宋体"/>
          <w:b/>
          <w:bCs/>
          <w:sz w:val="36"/>
          <w:szCs w:val="36"/>
        </w:rPr>
        <w:fldChar w:fldCharType="end"/>
      </w:r>
      <w:r/>
    </w:p>
    <w:p>
      <w:pPr>
        <w:spacing w:line="360" w:lineRule="auto"/>
        <w:rPr>
          <w:rFonts w:hint="eastAsia" w:ascii="宋体" w:hAnsi="宋体" w:eastAsia="宋体"/>
          <w:b/>
          <w:sz w:val="21"/>
          <w:szCs w:val="21"/>
        </w:rPr>
      </w:pPr>
      <w:r>
        <w:rPr>
          <w:rFonts w:hint="eastAsia" w:ascii="宋体" w:hAnsi="宋体" w:eastAsia="宋体"/>
          <w:b/>
          <w:sz w:val="21"/>
          <w:szCs w:val="21"/>
        </w:rPr>
      </w:r>
      <w:r/>
    </w:p>
    <w:p>
      <w:pPr>
        <w:rPr>
          <w:rFonts w:eastAsiaTheme="minorEastAsia"/>
        </w:rPr>
      </w:pPr>
      <w:r>
        <w:rPr>
          <w:rFonts w:eastAsiaTheme="minorEastAsia"/>
        </w:rPr>
      </w:r>
      <w:r/>
    </w:p>
    <w:p>
      <w:pPr>
        <w:pStyle w:val="838"/>
      </w:pPr>
      <w:r/>
      <w:r/>
    </w:p>
    <w:p>
      <w:pPr>
        <w:rPr>
          <w:rFonts w:eastAsiaTheme="minorEastAsia"/>
        </w:rPr>
      </w:pPr>
      <w:r>
        <w:rPr>
          <w:rFonts w:eastAsiaTheme="minorEastAsia"/>
        </w:rPr>
      </w:r>
      <w:r/>
    </w:p>
    <w:p>
      <w:pPr>
        <w:pStyle w:val="838"/>
      </w:pPr>
      <w:r/>
      <w:r/>
    </w:p>
    <w:p>
      <w:pPr>
        <w:rPr>
          <w:rFonts w:eastAsiaTheme="minorEastAsia"/>
        </w:rPr>
      </w:pPr>
      <w:r>
        <w:rPr>
          <w:rFonts w:eastAsiaTheme="minorEastAsia"/>
        </w:rPr>
      </w:r>
      <w:r/>
    </w:p>
    <w:p>
      <w:pPr>
        <w:pStyle w:val="838"/>
      </w:pPr>
      <w:r/>
      <w:r/>
    </w:p>
    <w:p>
      <w:pPr>
        <w:pStyle w:val="838"/>
      </w:pPr>
      <w:r/>
      <w:r/>
    </w:p>
    <w:p>
      <w:pPr>
        <w:rPr>
          <w:rFonts w:eastAsiaTheme="minorEastAsia"/>
        </w:rPr>
      </w:pPr>
      <w:r>
        <w:rPr>
          <w:rFonts w:eastAsiaTheme="minorEastAsia"/>
        </w:rPr>
      </w:r>
      <w:r/>
    </w:p>
    <w:p>
      <w:pPr>
        <w:pStyle w:val="838"/>
      </w:pPr>
      <w:r/>
      <w:r/>
    </w:p>
    <w:p>
      <w:pPr>
        <w:pStyle w:val="838"/>
        <w:ind w:firstLine="0"/>
        <w:rPr>
          <w:rFonts w:eastAsiaTheme="minorEastAsia"/>
        </w:rPr>
      </w:pPr>
      <w:r/>
      <w:bookmarkStart w:id="0" w:name="_Toc325017294"/>
      <w:r/>
      <w:r/>
    </w:p>
    <w:p>
      <w:pPr>
        <w:pStyle w:val="781"/>
        <w:jc w:val="center"/>
        <w:spacing w:line="360" w:lineRule="auto"/>
        <w:rPr>
          <w:rFonts w:hint="eastAsia"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bCs/>
          <w:color w:val="000000" w:themeColor="text1"/>
          <w:sz w:val="21"/>
          <w:szCs w:val="21"/>
          <w14:textFill>
            <w14:solidFill>
              <w14:schemeClr w14:val="tx1"/>
            </w14:solidFill>
          </w14:textFill>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lang w:eastAsia="zh-CN"/>
        </w:rPr>
        <w:t xml:space="preserve">程开甲少年书院智能化系统</w:t>
      </w:r>
      <w:r>
        <w:rPr>
          <w:rFonts w:hint="eastAsia" w:ascii="宋体" w:hAnsi="宋体" w:eastAsia="宋体" w:cs="宋体"/>
          <w:bCs/>
          <w:sz w:val="21"/>
          <w:szCs w:val="21"/>
        </w:rPr>
        <w:t xml:space="preserve"> </w:t>
      </w:r>
      <w:r>
        <w:rPr>
          <w:rFonts w:hint="eastAsia" w:ascii="宋体" w:hAnsi="宋体" w:eastAsia="宋体" w:cs="宋体"/>
          <w:bCs/>
          <w:sz w:val="21"/>
          <w:szCs w:val="21"/>
          <w:lang w:eastAsia="zh-CN"/>
        </w:rPr>
        <w:t xml:space="preserve">JSZC-320509-WYZB-G2026-0003</w:t>
      </w:r>
      <w:r>
        <w:rPr>
          <w:rFonts w:hint="eastAsia" w:ascii="宋体" w:hAnsi="宋体" w:eastAsia="宋体" w:cs="宋体"/>
          <w:bCs/>
          <w:sz w:val="21"/>
          <w:szCs w:val="21"/>
        </w:rPr>
        <w:t xml:space="preserve">采购项目的潜在投标人应在苏采云政府采购一体化平台（网址：</w:t>
      </w:r>
      <w:r>
        <w:rPr>
          <w:rFonts w:hint="eastAsia" w:ascii="宋体" w:hAnsi="宋体" w:eastAsia="宋体" w:cs="宋体"/>
          <w:bCs/>
          <w:color w:val="000000" w:themeColor="text1"/>
          <w:sz w:val="21"/>
          <w:szCs w:val="21"/>
          <w14:textFill>
            <w14:solidFill>
              <w14:schemeClr w14:val="tx1"/>
            </w14:solidFill>
          </w14:textFill>
        </w:rPr>
        <w:t xml:space="preserve">http://jszfcg.jsczt.cn/） 获取招标文件，并于</w:t>
      </w:r>
      <w:r>
        <w:rPr>
          <w:rFonts w:hint="eastAsia" w:ascii="宋体" w:hAnsi="宋体" w:eastAsia="宋体" w:cs="宋体"/>
          <w:bCs/>
          <w:color w:val="000000" w:themeColor="text1"/>
          <w:sz w:val="21"/>
          <w:szCs w:val="21"/>
          <w:lang w:eastAsia="zh-CN"/>
          <w14:textFill>
            <w14:solidFill>
              <w14:schemeClr w14:val="tx1"/>
            </w14:solidFill>
          </w14:textFill>
        </w:rPr>
        <w:t xml:space="preserve">2026-6-12</w:t>
      </w:r>
      <w:r>
        <w:rPr>
          <w:rFonts w:hint="eastAsia" w:ascii="宋体" w:hAnsi="宋体" w:eastAsia="宋体" w:cs="宋体"/>
          <w:bCs/>
          <w:color w:val="000000" w:themeColor="text1"/>
          <w:sz w:val="21"/>
          <w:szCs w:val="21"/>
          <w14:textFill>
            <w14:solidFill>
              <w14:schemeClr w14:val="tx1"/>
            </w14:solidFill>
          </w14:textFill>
        </w:rPr>
        <w:t xml:space="preserve"> 13:30 （北京时间）前提交响应文件。</w:t>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一、项目基本情况</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项目编号：</w:t>
      </w:r>
      <w:r>
        <w:rPr>
          <w:rFonts w:hint="eastAsia" w:ascii="宋体" w:hAnsi="宋体" w:eastAsia="宋体" w:cs="宋体"/>
          <w:color w:val="auto"/>
          <w:sz w:val="21"/>
          <w:szCs w:val="21"/>
          <w:shd w:val="clear" w:color="auto" w:fill="ffffff"/>
          <w:lang w:eastAsia="zh-CN"/>
        </w:rPr>
        <w:t xml:space="preserve">JSZC-320509-WYZB-G2026-0003</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项目名称：</w:t>
      </w:r>
      <w:r>
        <w:rPr>
          <w:rFonts w:hint="eastAsia" w:ascii="宋体" w:hAnsi="宋体" w:eastAsia="宋体" w:cs="宋体"/>
          <w:color w:val="auto"/>
          <w:sz w:val="21"/>
          <w:szCs w:val="21"/>
          <w:shd w:val="clear" w:color="auto" w:fill="ffffff"/>
          <w:lang w:eastAsia="zh-CN"/>
        </w:rPr>
        <w:t xml:space="preserve">程开甲少年书院智能化系统</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预算金额：</w:t>
      </w:r>
      <w:r>
        <w:rPr>
          <w:rFonts w:hint="eastAsia" w:ascii="宋体" w:hAnsi="宋体" w:eastAsia="宋体" w:cs="宋体"/>
          <w:color w:val="auto"/>
          <w:sz w:val="21"/>
          <w:szCs w:val="21"/>
          <w:shd w:val="clear" w:color="auto" w:fill="ffffff"/>
          <w:lang w:val="en-US" w:eastAsia="zh-CN"/>
        </w:rPr>
        <w:t xml:space="preserve">320.920000</w:t>
      </w:r>
      <w:r>
        <w:rPr>
          <w:rFonts w:hint="eastAsia" w:ascii="宋体" w:hAnsi="宋体" w:eastAsia="宋体" w:cs="宋体"/>
          <w:color w:val="auto"/>
          <w:sz w:val="21"/>
          <w:szCs w:val="21"/>
          <w:shd w:val="clear" w:color="auto" w:fill="ffffff"/>
        </w:rPr>
        <w:t xml:space="preserve">万元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最高限价（如有）：</w:t>
      </w:r>
      <w:r>
        <w:rPr>
          <w:rFonts w:hint="eastAsia" w:ascii="宋体" w:hAnsi="宋体" w:eastAsia="宋体" w:cs="宋体"/>
          <w:color w:val="auto"/>
          <w:sz w:val="21"/>
          <w:szCs w:val="21"/>
          <w:shd w:val="clear" w:color="auto" w:fill="ffffff"/>
          <w:lang w:eastAsia="zh-CN"/>
        </w:rPr>
        <w:t xml:space="preserve">人民币叁佰贰拾万玖仟贰佰元整（￥：3209200.00元）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采购需求：</w:t>
      </w:r>
      <w:r>
        <w:rPr>
          <w:rFonts w:hint="eastAsia" w:ascii="宋体" w:hAnsi="宋体" w:eastAsia="宋体"/>
          <w:color w:val="auto"/>
          <w:sz w:val="21"/>
          <w:szCs w:val="21"/>
        </w:rPr>
        <w:t xml:space="preserve">包含书院数控系统、广播系统、网络系统、会议扩声系统等相关设备</w:t>
      </w:r>
      <w:r>
        <w:rPr>
          <w:rFonts w:hint="eastAsia" w:ascii="宋体" w:hAnsi="宋体" w:eastAsia="宋体" w:cs="宋体"/>
          <w:color w:val="auto"/>
          <w:sz w:val="21"/>
          <w:szCs w:val="21"/>
          <w:shd w:val="clear" w:color="auto" w:fill="ffffff"/>
        </w:rPr>
        <w:t xml:space="preserve">，详见第四章招标书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val="zh-CN"/>
        </w:rPr>
        <w:t xml:space="preserve">合同履行期限：</w:t>
      </w:r>
      <w:r>
        <w:rPr>
          <w:rFonts w:hint="eastAsia" w:ascii="宋体" w:hAnsi="宋体" w:eastAsia="宋体" w:cs="宋体"/>
          <w:color w:val="auto"/>
          <w:sz w:val="21"/>
          <w:szCs w:val="21"/>
          <w:shd w:val="clear" w:color="auto" w:fill="ffffff"/>
          <w:lang w:eastAsia="zh-CN"/>
        </w:rPr>
        <w:t xml:space="preserve">合同签订后60日内供货并安装调试完毕（如因现场不具备进场安装条件的，采购人将书面或邮件通知中标供应商调整履行期限的起算日）</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本项目（是/否）接受联合体投标：否</w:t>
      </w:r>
      <w:r/>
    </w:p>
    <w:p>
      <w:pPr>
        <w:spacing w:line="336" w:lineRule="auto"/>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二、申请人的资格要求：</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（一）.满足《中华人民共和国政府采购法》第二十二条规定：</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1.具有独立承担民事责任的能力；</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2.具有良好的商业信誉和健全的财务会计制度；</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336" w:lineRule="auto"/>
        <w:rPr>
          <w:rFonts w:hint="eastAsia" w:ascii="宋体" w:hAnsi="宋体" w:eastAsia="宋体" w:cs="宋体"/>
          <w:sz w:val="21"/>
          <w:szCs w:val="21"/>
        </w:rPr>
      </w:pPr>
      <w:r/>
      <w:bookmarkStart w:id="1" w:name="_Toc28359091"/>
      <w:r/>
      <w:bookmarkStart w:id="2" w:name="_Toc28359014"/>
      <w:r>
        <w:rPr>
          <w:rFonts w:hint="eastAsia" w:ascii="宋体" w:hAnsi="宋体" w:eastAsia="宋体" w:cs="宋体"/>
          <w:sz w:val="21"/>
          <w:szCs w:val="21"/>
        </w:rPr>
        <w:t xml:space="preserve">（二）.落实政府采购政策需满足的资格要求：</w:t>
      </w:r>
      <w:r>
        <w:rPr>
          <w:rFonts w:hint="eastAsia" w:ascii="宋体" w:hAnsi="宋体" w:eastAsia="宋体" w:cs="宋体"/>
          <w:b/>
          <w:sz w:val="21"/>
          <w:szCs w:val="21"/>
        </w:rPr>
        <w:t xml:space="preserve">本项目非专门面向中小企业采购，所属行业为：工业。</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bookmarkEnd w:id="1"/>
      <w:r/>
      <w:bookmarkEnd w:id="2"/>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3.本项目不接受转包分包。</w:t>
      </w:r>
      <w:r/>
    </w:p>
    <w:p>
      <w:pPr>
        <w:pStyle w:val="772"/>
        <w:ind w:firstLine="0"/>
        <w:spacing w:line="336" w:lineRule="auto"/>
        <w:rPr>
          <w:rFonts w:hint="eastAsia" w:ascii="宋体" w:hAnsi="宋体" w:cs="宋体"/>
          <w:sz w:val="21"/>
          <w:szCs w:val="21"/>
        </w:rPr>
      </w:pPr>
      <w:r>
        <w:rPr>
          <w:rFonts w:hint="eastAsia" w:ascii="宋体" w:hAnsi="宋体" w:cs="宋体"/>
          <w:sz w:val="21"/>
          <w:szCs w:val="21"/>
        </w:rPr>
        <w:t xml:space="preserve">三、获取招标文件：</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时间：自公告发布之日起5个工作日</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地点：苏采云政府采购一体化平台（网址：http://jszfcg.jsczt.cn/）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方式：自行下载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w:t>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bookmarkStart w:id="3" w:name="_Toc325017295"/>
      <w:r>
        <w:rPr>
          <w:rFonts w:hint="eastAsia" w:ascii="宋体" w:hAnsi="宋体" w:eastAsia="宋体" w:cs="宋体"/>
          <w:sz w:val="21"/>
          <w:szCs w:val="21"/>
          <w:shd w:val="clear" w:color="auto" w:fill="ffffff"/>
        </w:rPr>
        <w:t xml:space="preserve">时间：</w:t>
      </w:r>
      <w:r>
        <w:rPr>
          <w:rFonts w:hint="eastAsia" w:ascii="宋体" w:hAnsi="宋体" w:eastAsia="宋体" w:cs="宋体"/>
          <w:sz w:val="21"/>
          <w:szCs w:val="21"/>
          <w:shd w:val="clear" w:color="auto" w:fill="ffffff"/>
          <w:lang w:eastAsia="zh-CN"/>
        </w:rPr>
        <w:t xml:space="preserve">2026-6-12</w:t>
      </w:r>
      <w:r>
        <w:rPr>
          <w:rFonts w:hint="eastAsia" w:ascii="宋体" w:hAnsi="宋体" w:eastAsia="宋体" w:cs="宋体"/>
          <w:sz w:val="21"/>
          <w:szCs w:val="21"/>
          <w:shd w:val="clear" w:color="auto" w:fill="ffffff"/>
        </w:rPr>
        <w:t xml:space="preserve"> 13:30 （北京时间）</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w:t>
      </w:r>
      <w:r>
        <w:fldChar w:fldCharType="begin"/>
      </w:r>
      <w:r>
        <w:instrText xml:space="preserve"> HYPERLINK "http://jszfcg.jsczt.cn/）" </w:instrText>
      </w:r>
      <w:r>
        <w:fldChar w:fldCharType="separate"/>
      </w:r>
      <w:r>
        <w:rPr>
          <w:rStyle w:val="792"/>
          <w:rFonts w:hint="eastAsia" w:ascii="宋体" w:hAnsi="宋体" w:eastAsia="宋体" w:cs="宋体"/>
          <w:color w:val="auto"/>
          <w:sz w:val="21"/>
          <w:szCs w:val="21"/>
          <w:shd w:val="clear" w:color="auto" w:fill="ffffff"/>
        </w:rPr>
        <w:t xml:space="preserve">http://jszfcg.jsczt.cn/）</w:t>
      </w:r>
      <w:r>
        <w:rPr>
          <w:rStyle w:val="792"/>
          <w:rFonts w:hint="eastAsia" w:ascii="宋体" w:hAnsi="宋体" w:eastAsia="宋体" w:cs="宋体"/>
          <w:color w:val="auto"/>
          <w:sz w:val="21"/>
          <w:szCs w:val="21"/>
          <w:shd w:val="clear" w:color="auto" w:fill="ffffff"/>
        </w:rPr>
        <w:fldChar w:fldCharType="end"/>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五、公告期限：自本公告发布之日起5个工作日。</w:t>
      </w:r>
      <w:r/>
    </w:p>
    <w:p>
      <w:pPr>
        <w:pStyle w:val="838"/>
        <w:ind w:firstLine="0"/>
        <w:jc w:val="left"/>
        <w:spacing w:line="336" w:lineRule="auto"/>
        <w:rPr>
          <w:rFonts w:hint="eastAsia" w:hAnsi="宋体" w:cs="宋体"/>
          <w:sz w:val="21"/>
          <w:szCs w:val="21"/>
        </w:rPr>
      </w:pPr>
      <w:r>
        <w:rPr>
          <w:rFonts w:hint="eastAsia" w:hAnsi="宋体" w:cs="宋体"/>
          <w:sz w:val="21"/>
          <w:szCs w:val="21"/>
        </w:rPr>
        <w:t xml:space="preserve">六、其他补充事宜</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sz w:val="21"/>
          <w:szCs w:val="21"/>
        </w:rPr>
        <w:t xml:space="preserve">苏州现场办理地址：苏州高新区邓尉路105号狮山科技馆1楼服务大厅，咨询电话：0512-65737699</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sz w:val="21"/>
          <w:szCs w:val="21"/>
        </w:rPr>
        <w:t xml:space="preserve">（具体详见《苏采云系统供应商操作手册》，网址链接https://czju.suzhou.gov.cn/zfcg/html/content/20231220161910031.shtml）</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注册咨询：0512-69820854；</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pPr>
      <w:r>
        <w:rPr>
          <w:rFonts w:hint="eastAsia" w:ascii="宋体" w:hAnsi="宋体" w:eastAsia="宋体" w:cs="宋体"/>
          <w:sz w:val="21"/>
          <w:szCs w:val="21"/>
        </w:rPr>
        <w:t xml:space="preserve">5、本公告同时在江苏政府采购网、苏州市政府采购网发布。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7、政府采购履约资金扶持政策：中标可凭政府采购合同办理融资贷款，详情请见江苏政府采购网“政采贷”专栏。</w:t>
      </w:r>
      <w:r/>
    </w:p>
    <w:p>
      <w:pPr>
        <w:pStyle w:val="838"/>
        <w:ind w:firstLine="0"/>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七、对本次招标提出询问，请按以下方式联系。</w:t>
      </w:r>
      <w:r/>
    </w:p>
    <w:p>
      <w:pPr>
        <w:pStyle w:val="838"/>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1.采购人信息</w:t>
      </w:r>
      <w:r/>
    </w:p>
    <w:p>
      <w:pPr>
        <w:pStyle w:val="838"/>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名称：</w:t>
      </w:r>
      <w:r>
        <w:rPr>
          <w:rFonts w:hint="eastAsia" w:hAnsi="宋体" w:cs="宋体"/>
          <w:color w:val="auto"/>
          <w:sz w:val="21"/>
          <w:szCs w:val="21"/>
          <w:lang w:eastAsia="zh-CN"/>
        </w:rPr>
        <w:t xml:space="preserve">苏州市吴江区盛泽镇人民政府</w:t>
      </w:r>
      <w:r/>
    </w:p>
    <w:p>
      <w:pPr>
        <w:pStyle w:val="838"/>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郝夏锋</w:t>
      </w:r>
      <w:r/>
    </w:p>
    <w:p>
      <w:pPr>
        <w:pStyle w:val="838"/>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联系电话：</w:t>
      </w:r>
      <w:r>
        <w:rPr>
          <w:rFonts w:hint="eastAsia" w:hAnsi="宋体" w:cs="宋体"/>
          <w:color w:val="auto"/>
          <w:sz w:val="21"/>
          <w:szCs w:val="21"/>
          <w:lang w:val="en-US" w:eastAsia="zh-CN"/>
        </w:rPr>
        <w:t xml:space="preserve">0512-63112007</w:t>
      </w:r>
      <w:r/>
    </w:p>
    <w:p>
      <w:pPr>
        <w:pStyle w:val="838"/>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地址：苏州市吴江区盛泽镇舜湖西路2099号</w:t>
      </w:r>
      <w:r/>
    </w:p>
    <w:p>
      <w:pPr>
        <w:pStyle w:val="838"/>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2.代理机构信息</w:t>
      </w:r>
      <w:r/>
    </w:p>
    <w:p>
      <w:pPr>
        <w:pStyle w:val="838"/>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名称：苏州玮源招投标咨询服务有限公司</w:t>
      </w:r>
      <w:r/>
    </w:p>
    <w:p>
      <w:pPr>
        <w:pStyle w:val="838"/>
        <w:ind w:firstLine="422"/>
        <w:jc w:val="left"/>
        <w:spacing w:line="336" w:lineRule="auto"/>
        <w:rPr>
          <w:rFonts w:hint="eastAsia" w:hAnsi="宋体" w:cs="宋体"/>
          <w:sz w:val="21"/>
          <w:szCs w:val="21"/>
        </w:rPr>
      </w:pPr>
      <w:r>
        <w:rPr>
          <w:rFonts w:hint="eastAsia" w:hAnsi="宋体" w:cs="宋体"/>
          <w:sz w:val="21"/>
          <w:szCs w:val="21"/>
        </w:rPr>
        <w:t xml:space="preserve">联系地址：苏州市吴中区苏蠡路苏蠡大厦504室</w:t>
      </w:r>
      <w:r/>
    </w:p>
    <w:p>
      <w:pPr>
        <w:pStyle w:val="838"/>
        <w:ind w:firstLine="422"/>
        <w:jc w:val="left"/>
        <w:spacing w:line="336" w:lineRule="auto"/>
        <w:rPr>
          <w:rFonts w:hint="eastAsia" w:hAnsi="宋体" w:cs="宋体"/>
          <w:sz w:val="21"/>
          <w:szCs w:val="21"/>
        </w:rPr>
      </w:pPr>
      <w:r>
        <w:rPr>
          <w:rFonts w:hint="eastAsia" w:hAnsi="宋体" w:cs="宋体"/>
          <w:sz w:val="21"/>
          <w:szCs w:val="21"/>
        </w:rPr>
        <w:t xml:space="preserve">联系电话：0512-65305011</w:t>
      </w:r>
      <w:r/>
    </w:p>
    <w:p>
      <w:pPr>
        <w:pStyle w:val="838"/>
        <w:ind w:firstLine="422"/>
        <w:jc w:val="left"/>
        <w:spacing w:line="336" w:lineRule="auto"/>
        <w:rPr>
          <w:rFonts w:hint="eastAsia" w:hAnsi="宋体" w:cs="宋体"/>
          <w:sz w:val="21"/>
          <w:szCs w:val="21"/>
        </w:rPr>
      </w:pPr>
      <w:r>
        <w:rPr>
          <w:rFonts w:hint="eastAsia" w:hAnsi="宋体" w:cs="宋体"/>
          <w:sz w:val="21"/>
          <w:szCs w:val="21"/>
        </w:rPr>
        <w:t xml:space="preserve">联系人：朱敏、席兰</w:t>
      </w:r>
      <w:r/>
    </w:p>
    <w:p>
      <w:pPr>
        <w:spacing w:line="360" w:lineRule="auto"/>
        <w:rPr>
          <w:rFonts w:hint="eastAsia" w:ascii="宋体" w:hAnsi="宋体" w:eastAsia="宋体"/>
          <w:b/>
          <w:sz w:val="44"/>
          <w:szCs w:val="44"/>
        </w:rPr>
      </w:pPr>
      <w:r>
        <w:rPr>
          <w:rFonts w:hint="eastAsia" w:ascii="宋体" w:hAnsi="宋体" w:eastAsia="宋体"/>
          <w:b/>
          <w:sz w:val="44"/>
          <w:szCs w:val="44"/>
        </w:rPr>
      </w:r>
      <w:r/>
    </w:p>
    <w:p>
      <w:pPr>
        <w:pStyle w:val="752"/>
        <w:rPr>
          <w:rFonts w:hint="eastAsia" w:ascii="宋体" w:hAnsi="宋体" w:eastAsia="宋体"/>
          <w:b/>
          <w:sz w:val="44"/>
          <w:szCs w:val="44"/>
        </w:rPr>
      </w:pPr>
      <w:r>
        <w:rPr>
          <w:rFonts w:hint="eastAsia" w:ascii="宋体" w:hAnsi="宋体" w:eastAsia="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pStyle w:val="765"/>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3"/>
      <w:r/>
      <w:r/>
    </w:p>
    <w:p>
      <w:pPr>
        <w:spacing w:line="360" w:lineRule="auto"/>
        <w:rPr>
          <w:rFonts w:hint="eastAsia"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sz w:val="21"/>
          <w:szCs w:val="21"/>
          <w:lang w:val="zh-CN"/>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p>
    <w:p>
      <w:pPr>
        <w:pStyle w:val="838"/>
      </w:pPr>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3.2本项目落实政府采购政策需满足的资格要求：</w:t>
      </w:r>
      <w:r>
        <w:rPr>
          <w:rFonts w:hint="eastAsia" w:ascii="宋体" w:hAnsi="宋体" w:eastAsia="宋体" w:cs="宋体"/>
          <w:b w:val="0"/>
          <w:bCs/>
          <w:sz w:val="21"/>
          <w:szCs w:val="21"/>
        </w:rPr>
        <w:t xml:space="preserve">本项目非专门面向中小企业采购，所属行业为：工业。</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sz w:val="21"/>
          <w:szCs w:val="21"/>
          <w:lang w:val="zh-CN"/>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收件人：朱敏、席兰</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联系电话：0512-65305011</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left="459" w:hanging="45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sz w:val="21"/>
          <w:szCs w:val="21"/>
          <w:lang w:val="zh-CN"/>
        </w:rPr>
        <w:t xml:space="preserve">12.2投标文件应使用中文编制，投标文件中必须使用其他文字的，必须附有中文译</w:t>
      </w:r>
      <w:r>
        <w:rPr>
          <w:rFonts w:hint="eastAsia" w:ascii="宋体" w:hAnsi="宋体" w:eastAsia="宋体" w:cs="宋体"/>
          <w:color w:val="000000" w:themeColor="text1"/>
          <w:sz w:val="21"/>
          <w:szCs w:val="21"/>
          <w:lang w:val="zh-CN"/>
          <w14:textFill>
            <w14:solidFill>
              <w14:schemeClr w14:val="tx1"/>
            </w14:solidFill>
          </w14:textFill>
        </w:rPr>
        <w:t xml:space="preserve">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 投标文件的组成（</w:t>
      </w:r>
      <w:r>
        <w:rPr>
          <w:rFonts w:hint="eastAsia" w:ascii="宋体" w:hAnsi="宋体" w:eastAsia="宋体" w:cs="宋体"/>
          <w:b/>
          <w:color w:val="000000" w:themeColor="text1"/>
          <w:sz w:val="21"/>
          <w:szCs w:val="21"/>
          <w14:textFill>
            <w14:solidFill>
              <w14:schemeClr w14:val="tx1"/>
            </w14:solidFill>
          </w14:textFill>
        </w:rPr>
        <w:t xml:space="preserve">部分</w:t>
      </w:r>
      <w:r>
        <w:rPr>
          <w:rFonts w:hint="eastAsia" w:ascii="宋体" w:hAnsi="宋体" w:eastAsia="宋体" w:cs="宋体"/>
          <w:b/>
          <w:color w:val="000000" w:themeColor="text1"/>
          <w:sz w:val="21"/>
          <w:szCs w:val="21"/>
          <w:lang w:val="zh-CN"/>
          <w14:textFill>
            <w14:solidFill>
              <w14:schemeClr w14:val="tx1"/>
            </w14:solidFill>
          </w14:textFill>
        </w:rPr>
        <w:t xml:space="preserve">文件格式参见第三章）</w:t>
      </w:r>
      <w:r/>
    </w:p>
    <w:p>
      <w:pPr>
        <w:ind w:firstLine="482"/>
        <w:spacing w:line="360" w:lineRule="auto"/>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13.1</w:t>
      </w:r>
      <w:r>
        <w:rPr>
          <w:rFonts w:hint="eastAsia" w:ascii="宋体" w:hAnsi="宋体" w:eastAsia="宋体" w:cs="宋体"/>
          <w:b/>
          <w:color w:val="000000" w:themeColor="text1"/>
          <w:sz w:val="21"/>
          <w:szCs w:val="21"/>
          <w14:textFill>
            <w14:solidFill>
              <w14:schemeClr w14:val="tx1"/>
            </w14:solidFill>
          </w14:textFill>
        </w:rPr>
        <w:t xml:space="preserve">封面</w:t>
      </w:r>
      <w:r>
        <w:rPr>
          <w:rFonts w:hint="eastAsia" w:ascii="宋体" w:hAnsi="宋体" w:eastAsia="宋体" w:cs="宋体"/>
          <w:b/>
          <w:color w:val="000000" w:themeColor="text1"/>
          <w:sz w:val="21"/>
          <w:szCs w:val="21"/>
          <w:lang w:val="zh-CN"/>
          <w14:textFill>
            <w14:solidFill>
              <w14:schemeClr w14:val="tx1"/>
            </w14:solidFill>
          </w14:textFill>
        </w:rPr>
        <w:t xml:space="preserve">：</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13.2开标一览表(统一格式,用于唱标)；</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13.3公开分项报价</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13.4资格审查文件（资格审查文件中不可出现价格内容）</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13.4.1关于资格文件的声明函；</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13.4.2投标单位情况表；</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13.4.3 投标单位《营业执照》副本复印件；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13.4.4 投标单位法定代表人身份证复印件；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13.4.5投标单位代理人身份证复印件及授权委托书（若有）；</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rPr>
          <w:rFonts w:hint="eastAsia" w:ascii="宋体" w:hAnsi="宋体" w:eastAsia="宋体" w:cs="宋体"/>
          <w:bCs/>
          <w:color w:val="000000" w:themeColor="text1"/>
          <w:sz w:val="21"/>
          <w:szCs w:val="21"/>
          <w14:textFill>
            <w14:solidFill>
              <w14:schemeClr w14:val="tx1"/>
            </w14:solidFill>
          </w14:textFill>
        </w:rPr>
        <w:t xml:space="preserve">；</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13.4.8具备履行合同所必需的设备和专业技术能力的证明材料或承诺；</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416"/>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13.4.10参加政府采购活动前三年内在经营活动中没有重大违法记录的书面声明函；13.4.11其它有关资格证明文件（如有）。</w:t>
      </w:r>
      <w:r/>
    </w:p>
    <w:p>
      <w:pPr>
        <w:ind w:firstLine="5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13.5.1</w:t>
      </w:r>
      <w:r>
        <w:rPr>
          <w:rFonts w:hint="eastAsia" w:ascii="宋体" w:hAnsi="宋体" w:eastAsia="宋体" w:cs="宋体"/>
          <w:bCs/>
          <w:color w:val="000000" w:themeColor="text1"/>
          <w:sz w:val="21"/>
          <w:szCs w:val="21"/>
          <w14:textFill>
            <w14:solidFill>
              <w14:schemeClr w14:val="tx1"/>
            </w14:solidFill>
          </w14:textFill>
        </w:rPr>
        <w:t xml:space="preserve">投标函</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13.5.4投标人与其他单位存在控股、管理关系情况表；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13.5.5其他有关符合性证明的文件。</w:t>
      </w:r>
      <w:r/>
    </w:p>
    <w:p>
      <w:pPr>
        <w:ind w:firstLine="482"/>
        <w:spacing w:line="360" w:lineRule="auto"/>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13.6.1与本次采购相关的其他资料及评分标准中要求的其他资料证明文件。</w:t>
      </w:r>
      <w:r/>
    </w:p>
    <w:p>
      <w:pPr>
        <w:pStyle w:val="98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12为资格审查要求提供的材料，是作为对供应商资格审查、质疑身份认定的依据，投标人必须提供并加盖电子公章。否则，投标文件将被认定为不符合资格审查要求。</w:t>
      </w:r>
      <w:r/>
    </w:p>
    <w:p>
      <w:pPr>
        <w:pStyle w:val="98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（2）以上13.5.1-13.5.5为符合性审查须提供的资料，投标人必须提供并加盖电子公章。否则，投标文件将被认定为未实质性响应。</w:t>
      </w:r>
      <w:r/>
    </w:p>
    <w:p>
      <w:pPr>
        <w:pStyle w:val="98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（3）“13.4.1-13.6.1”中不得出现投标总报价。投标人所提交的资料的完整与否，将直接影响投标人的评分。</w:t>
      </w:r>
      <w:r/>
    </w:p>
    <w:p>
      <w:pPr>
        <w:pStyle w:val="98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p>
    <w:p>
      <w:pPr>
        <w:pStyle w:val="982"/>
        <w:ind w:firstLine="49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70"/>
        <w:spacing w:line="360" w:lineRule="auto"/>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全部提供全部货物及其安装所需的辅材、备品、备件、专用工具、包装、运输、吊装、安装、基础的开挖及恢复、损耗、调试、检测、验收、试运行、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spacing w:line="360" w:lineRule="auto"/>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982"/>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298"/>
        <w:ind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982"/>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982"/>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98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8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.2根据政府采购法及相关法规的规定，采购代理机构将对供应商进行信用查询：</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982"/>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82"/>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25.6异常低价投标审查</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982"/>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（4）评审委员会基于专业判断，认为供应商报价过低，有可能影响产品质量或者不能诚信履约的其他情形。 </w:t>
      </w:r>
      <w:r/>
    </w:p>
    <w:p>
      <w:pPr>
        <w:pStyle w:val="982"/>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相关法律法规对供应商报价有规定的，从其规定。</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82"/>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5.7</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0"/>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80"/>
        <w:spacing w:line="360" w:lineRule="auto"/>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982"/>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3.1中标单位须按前附表的规定按其预算金额计算并支付中标服务费，该费用应在领取中标通知书时付清。</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8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80"/>
        <w:spacing w:line="360" w:lineRule="auto"/>
        <w:rPr>
          <w:rStyle w:val="1300"/>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751"/>
        <w:rPr>
          <w:rFonts w:hint="eastAsia" w:ascii="宋体" w:hAnsi="宋体" w:eastAsia="宋体"/>
          <w:sz w:val="21"/>
          <w:szCs w:val="21"/>
        </w:rPr>
      </w:pPr>
      <w:r>
        <w:rPr>
          <w:rFonts w:hint="eastAsia" w:ascii="宋体" w:hAnsi="宋体" w:eastAsia="宋体"/>
          <w:sz w:val="21"/>
          <w:szCs w:val="21"/>
        </w:rPr>
      </w:r>
      <w:r/>
    </w:p>
    <w:p>
      <w:pPr>
        <w:pStyle w:val="836"/>
        <w:rPr>
          <w:rFonts w:ascii="宋体" w:hAnsi="宋体" w:eastAsia="宋体"/>
        </w:rPr>
      </w:pPr>
      <w:r>
        <w:rPr>
          <w:rFonts w:ascii="宋体" w:hAnsi="宋体" w:eastAsia="宋体"/>
        </w:rPr>
      </w:r>
      <w:r/>
    </w:p>
    <w:p>
      <w:pPr>
        <w:pStyle w:val="838"/>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1185"/>
        <w:ind w:left="0"/>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1185"/>
        <w:rPr>
          <w:rFonts w:hint="eastAsia" w:hAnsi="宋体"/>
          <w:sz w:val="21"/>
          <w:szCs w:val="21"/>
        </w:rPr>
      </w:pPr>
      <w:r>
        <w:rPr>
          <w:rFonts w:hint="eastAsia" w:hAnsi="宋体"/>
          <w:sz w:val="21"/>
          <w:szCs w:val="21"/>
        </w:rPr>
      </w:r>
      <w:r/>
    </w:p>
    <w:p>
      <w:pPr>
        <w:pStyle w:val="752"/>
        <w:ind w:left="0"/>
      </w:pPr>
      <w:r/>
      <w:r/>
    </w:p>
    <w:p>
      <w:r/>
      <w:r/>
    </w:p>
    <w:p>
      <w:pPr>
        <w:pStyle w:val="781"/>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4"/>
      <w:r/>
      <w:r/>
    </w:p>
    <w:p>
      <w:pPr>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pStyle w:val="747"/>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w:t>
      </w:r>
      <w:r>
        <w:rPr>
          <w:rFonts w:hint="eastAsia" w:ascii="宋体" w:hAnsi="宋体" w:eastAsia="宋体" w:cs="宋体"/>
          <w:sz w:val="21"/>
          <w:szCs w:val="21"/>
          <w:lang w:eastAsia="zh-CN"/>
        </w:rPr>
        <w:t xml:space="preserve">JSZC-320509-WYZB-G2026-0003</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74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4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47"/>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74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74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pStyle w:val="988"/>
        <w:spacing w:line="360" w:lineRule="auto"/>
        <w:rPr>
          <w:rFonts w:hint="eastAsia" w:hAnsi="宋体" w:eastAsia="宋体"/>
          <w:sz w:val="21"/>
          <w:szCs w:val="21"/>
        </w:rPr>
      </w:pPr>
      <w:r>
        <w:rPr>
          <w:rFonts w:hint="eastAsia" w:hAnsi="宋体" w:eastAsia="宋体"/>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r>
      <w:r/>
    </w:p>
    <w:p>
      <w:pPr>
        <w:pStyle w:val="988"/>
        <w:spacing w:line="360" w:lineRule="auto"/>
        <w:rPr>
          <w:rFonts w:hint="eastAsia" w:hAnsi="宋体" w:eastAsia="宋体"/>
          <w:b/>
          <w:sz w:val="21"/>
          <w:szCs w:val="21"/>
        </w:rPr>
      </w:pPr>
      <w:r>
        <w:rPr>
          <w:rFonts w:hint="eastAsia" w:hAnsi="宋体" w:eastAsia="宋体"/>
          <w:b/>
          <w:sz w:val="21"/>
          <w:szCs w:val="21"/>
        </w:rPr>
        <w:t xml:space="preserve">附件2、投标函</w:t>
      </w:r>
      <w:r/>
    </w:p>
    <w:p>
      <w:pPr>
        <w:pStyle w:val="988"/>
        <w:jc w:val="center"/>
        <w:spacing w:line="360" w:lineRule="auto"/>
        <w:rPr>
          <w:rFonts w:hint="eastAsia" w:hAnsi="宋体" w:eastAsia="宋体"/>
          <w:b/>
          <w:sz w:val="21"/>
          <w:szCs w:val="21"/>
        </w:rPr>
      </w:pPr>
      <w:r>
        <w:rPr>
          <w:rFonts w:hint="eastAsia" w:hAnsi="宋体" w:eastAsia="宋体"/>
          <w:b/>
          <w:sz w:val="21"/>
          <w:szCs w:val="21"/>
        </w:rPr>
        <w:t xml:space="preserve">投标函</w:t>
      </w:r>
      <w:r/>
    </w:p>
    <w:p>
      <w:pPr>
        <w:pStyle w:val="988"/>
        <w:jc w:val="left"/>
        <w:spacing w:line="360"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全部提供全部货物及其安装所需的辅材、备品、备件、专用工具、包装、运输、吊装、安装、基础的开挖及恢复、损耗、调试、检测、验收、试运行、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3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988"/>
        <w:ind w:firstLine="420"/>
        <w:spacing w:line="360"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988"/>
        <w:ind w:firstLine="420"/>
        <w:spacing w:line="360"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pStyle w:val="988"/>
        <w:ind w:firstLine="425"/>
        <w:spacing w:line="360" w:lineRule="auto"/>
        <w:rPr>
          <w:rFonts w:hint="eastAsia" w:hAnsi="宋体" w:eastAsia="宋体"/>
          <w:sz w:val="21"/>
          <w:szCs w:val="21"/>
        </w:rPr>
      </w:pPr>
      <w:r>
        <w:rPr>
          <w:rFonts w:hAnsi="宋体" w:eastAsia="宋体"/>
          <w:sz w:val="21"/>
          <w:szCs w:val="21"/>
        </w:rPr>
        <w:t xml:space="preserve">投标人：（公章）</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840"/>
        <w:spacing w:line="360" w:lineRule="auto"/>
        <w:rPr>
          <w:rFonts w:hint="eastAsia" w:ascii="宋体" w:hAnsi="宋体" w:eastAsia="宋体"/>
          <w:sz w:val="21"/>
          <w:szCs w:val="21"/>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sz w:val="21"/>
          <w:szCs w:val="21"/>
        </w:rPr>
      </w:pPr>
      <w:r>
        <w:rPr>
          <w:rFonts w:hint="eastAsia" w:ascii="宋体" w:hAnsi="宋体" w:eastAsia="宋体"/>
          <w:b/>
          <w:bCs/>
          <w:sz w:val="21"/>
          <w:szCs w:val="21"/>
        </w:rPr>
        <w:t xml:space="preserve">附件3、投标报价表</w:t>
      </w:r>
      <w:r/>
    </w:p>
    <w:p>
      <w:pPr>
        <w:pStyle w:val="778"/>
        <w:jc w:val="both"/>
        <w:spacing w:before="0" w:beforeAutospacing="0" w:after="0" w:afterAutospacing="0" w:line="360" w:lineRule="auto"/>
        <w:rPr>
          <w:rFonts w:hint="eastAsia"/>
          <w:color w:val="auto"/>
          <w:sz w:val="21"/>
          <w:szCs w:val="21"/>
        </w:rPr>
      </w:pPr>
      <w:r>
        <w:rPr>
          <w:rFonts w:hint="eastAsia"/>
          <w:color w:val="auto"/>
          <w:sz w:val="21"/>
          <w:szCs w:val="21"/>
        </w:rPr>
      </w:r>
      <w:r/>
    </w:p>
    <w:p>
      <w:pPr>
        <w:pStyle w:val="778"/>
        <w:jc w:val="both"/>
        <w:spacing w:before="0" w:beforeAutospacing="0" w:after="0" w:afterAutospacing="0" w:line="360" w:lineRule="auto"/>
        <w:rPr>
          <w:rFonts w:hint="eastAsia"/>
          <w:b/>
          <w:color w:val="auto"/>
          <w:sz w:val="21"/>
          <w:szCs w:val="21"/>
        </w:rPr>
      </w:pPr>
      <w:r>
        <w:rPr>
          <w:rFonts w:hint="eastAsia"/>
          <w:b/>
          <w:color w:val="auto"/>
          <w:sz w:val="21"/>
          <w:szCs w:val="21"/>
        </w:rPr>
        <w:t xml:space="preserve">1.开标一览表</w:t>
      </w:r>
      <w:r>
        <w:rPr>
          <w:rFonts w:hint="eastAsia" w:cs="宋体"/>
          <w:b/>
          <w:bCs/>
          <w:color w:val="auto"/>
          <w:sz w:val="21"/>
          <w:szCs w:val="21"/>
        </w:rPr>
        <w:t xml:space="preserve">：</w:t>
      </w:r>
      <w:r>
        <w:rPr>
          <w:rFonts w:hint="eastAsia" w:cs="宋体"/>
          <w:b/>
          <w:color w:val="auto"/>
          <w:sz w:val="21"/>
          <w:szCs w:val="21"/>
        </w:rPr>
        <w:t xml:space="preserve">按投标系统内统一格式</w:t>
      </w:r>
      <w:r/>
    </w:p>
    <w:p>
      <w:pPr>
        <w:pStyle w:val="778"/>
        <w:jc w:val="both"/>
        <w:spacing w:line="360" w:lineRule="auto"/>
        <w:rPr>
          <w:rFonts w:hint="eastAsia" w:cs="宋体"/>
          <w:b/>
          <w:color w:val="auto"/>
          <w:sz w:val="21"/>
          <w:szCs w:val="21"/>
          <w:lang w:val="zh-CN"/>
        </w:rPr>
      </w:pPr>
      <w:r>
        <w:rPr>
          <w:rFonts w:hint="eastAsia"/>
          <w:b/>
          <w:color w:val="auto"/>
          <w:sz w:val="21"/>
          <w:szCs w:val="21"/>
        </w:rPr>
        <w:t xml:space="preserve">2.公开分项报价</w:t>
      </w:r>
      <w:r/>
    </w:p>
    <w:p>
      <w:pPr>
        <w:jc w:val="center"/>
        <w:spacing w:before="100" w:beforeAutospacing="1" w:after="100" w:afterAutospacing="1"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公开分项报价</w:t>
      </w:r>
      <w:r/>
    </w:p>
    <w:p>
      <w:pPr>
        <w:pStyle w:val="751"/>
        <w:jc w:val="righ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单位：元（人民币）</w:t>
      </w:r>
      <w:r/>
    </w:p>
    <w:tbl>
      <w:tblPr>
        <w:tblStyle w:val="74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投标总报价</w:t>
            </w:r>
            <w:r>
              <w:rPr>
                <w:rFonts w:hint="eastAsia" w:ascii="宋体" w:hAnsi="宋体" w:eastAsia="宋体" w:cs="宋体"/>
                <w:color w:val="auto"/>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本采购包中提供的符合本国产品标准的产品成本之和占该采购包提供的全部产品成本之和的比例为</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w:t>
            </w:r>
            <w:r/>
          </w:p>
        </w:tc>
      </w:tr>
    </w:tbl>
    <w:p>
      <w:pPr>
        <w:pStyle w:val="752"/>
        <w:ind w:left="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588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投标人（盖章）： </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法定代表人或代理人（签字或盖章）：</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日    期：     年     月    日</w:t>
      </w:r>
      <w:r/>
    </w:p>
    <w:p>
      <w:pPr>
        <w:pStyle w:val="752"/>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2.各投标人应根据此表格式按项目分别填写报价详细清单，栏数不够可自加。</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附件4：项目组人员一览表</w:t>
      </w:r>
      <w:r/>
    </w:p>
    <w:p>
      <w:pPr>
        <w:jc w:val="center"/>
        <w:spacing w:line="360" w:lineRule="auto"/>
        <w:widowControl/>
        <w:rPr>
          <w:rFonts w:hint="eastAsia" w:ascii="宋体" w:hAnsi="宋体" w:eastAsia="宋体"/>
          <w:b/>
          <w:sz w:val="32"/>
          <w:szCs w:val="32"/>
        </w:rPr>
      </w:pPr>
      <w:r>
        <w:rPr>
          <w:rFonts w:hint="eastAsia" w:ascii="宋体" w:hAnsi="宋体" w:eastAsia="宋体"/>
          <w:b/>
          <w:sz w:val="32"/>
          <w:szCs w:val="32"/>
        </w:rPr>
        <w:t xml:space="preserve">项目组人员一览表</w:t>
      </w:r>
      <w:r/>
    </w:p>
    <w:tbl>
      <w:tblPr>
        <w:tblStyle w:val="745"/>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专业</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zh-TW" w:eastAsia="zh-TW"/>
              </w:rPr>
              <w:t xml:space="preserve">典型业务</w:t>
            </w:r>
            <w:r/>
          </w:p>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ind w:firstLine="210"/>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投标人（公章）：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法定代表人或代理人：（签字或盖章）</w:t>
      </w:r>
      <w:r/>
    </w:p>
    <w:p>
      <w:pPr>
        <w:ind w:firstLine="210"/>
        <w:spacing w:line="360" w:lineRule="auto"/>
        <w:rPr>
          <w:rFonts w:hint="eastAsia" w:ascii="宋体" w:hAnsi="宋体" w:eastAsia="宋体"/>
          <w:sz w:val="21"/>
          <w:szCs w:val="21"/>
        </w:rPr>
      </w:pPr>
      <w:r>
        <w:rPr>
          <w:rFonts w:hint="eastAsia" w:ascii="宋体" w:hAnsi="宋体" w:eastAsia="宋体"/>
          <w:sz w:val="21"/>
          <w:szCs w:val="21"/>
          <w:lang w:val="zh-CN"/>
        </w:rPr>
        <w:t xml:space="preserve">日期：   年   月   日</w:t>
      </w:r>
      <w:r/>
    </w:p>
    <w:p>
      <w:pPr>
        <w:pStyle w:val="838"/>
        <w:rPr>
          <w:rFonts w:hint="eastAsia" w:ascii="Times New Roman" w:hAnsi="宋体" w:cs="宋体"/>
          <w:b/>
          <w:sz w:val="21"/>
          <w:szCs w:val="21"/>
        </w:rPr>
      </w:pPr>
      <w:r>
        <w:rPr>
          <w:rFonts w:hint="eastAsia" w:ascii="Times New Roman" w:hAnsi="宋体" w:cs="宋体"/>
          <w:b/>
          <w:sz w:val="21"/>
          <w:szCs w:val="21"/>
        </w:rPr>
      </w:r>
      <w:r/>
    </w:p>
    <w:p>
      <w:pPr>
        <w:pStyle w:val="838"/>
        <w:rPr>
          <w:rFonts w:hint="eastAsia" w:ascii="Times New Roman" w:hAnsi="宋体" w:cs="宋体"/>
          <w:b/>
          <w:sz w:val="21"/>
          <w:szCs w:val="21"/>
        </w:rPr>
      </w:pPr>
      <w:r>
        <w:rPr>
          <w:rFonts w:hint="eastAsia" w:ascii="Times New Roman" w:hAnsi="宋体" w:cs="宋体"/>
          <w:b/>
          <w:sz w:val="21"/>
          <w:szCs w:val="21"/>
        </w:rPr>
      </w:r>
      <w:r/>
    </w:p>
    <w:p>
      <w:pPr>
        <w:pStyle w:val="838"/>
        <w:rPr>
          <w:rFonts w:hint="eastAsia" w:hAnsi="宋体" w:cs="宋体"/>
          <w:b/>
          <w:bCs/>
          <w:sz w:val="21"/>
          <w:szCs w:val="21"/>
        </w:rPr>
      </w:pPr>
      <w:r>
        <w:rPr>
          <w:rFonts w:hint="eastAsia" w:ascii="Times New Roman" w:hAnsi="宋体" w:cs="宋体"/>
          <w:b/>
          <w:sz w:val="21"/>
          <w:szCs w:val="21"/>
        </w:rPr>
        <w:t xml:space="preserve">附件5、</w:t>
      </w:r>
      <w:r>
        <w:rPr>
          <w:rFonts w:hAnsi="宋体" w:cs="宋体"/>
          <w:b/>
          <w:bCs/>
          <w:sz w:val="21"/>
          <w:szCs w:val="21"/>
        </w:rPr>
        <w:t xml:space="preserve">售后服务承诺书</w:t>
      </w:r>
      <w:r/>
    </w:p>
    <w:p>
      <w:pPr>
        <w:jc w:val="center"/>
        <w:spacing w:line="360" w:lineRule="auto"/>
        <w:rPr>
          <w:rFonts w:hint="eastAsia" w:ascii="宋体" w:hAnsi="宋体" w:eastAsia="宋体"/>
          <w:b/>
          <w:bCs/>
          <w:sz w:val="28"/>
          <w:szCs w:val="28"/>
        </w:rPr>
      </w:pPr>
      <w:r>
        <w:rPr>
          <w:rFonts w:ascii="宋体" w:hAnsi="宋体" w:eastAsia="宋体"/>
          <w:b/>
          <w:bCs/>
          <w:sz w:val="28"/>
          <w:szCs w:val="28"/>
        </w:rPr>
        <w:t xml:space="preserve">售后服务承诺书</w:t>
      </w:r>
      <w:r/>
    </w:p>
    <w:tbl>
      <w:tblPr>
        <w:tblStyle w:val="7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序号</w:t>
            </w:r>
            <w:r/>
          </w:p>
        </w:tc>
        <w:tc>
          <w:tcPr>
            <w:tcW w:w="3220"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售后服务内容</w:t>
            </w:r>
            <w:r/>
          </w:p>
        </w:tc>
        <w:tc>
          <w:tcPr>
            <w:tcW w:w="2159"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期限（时间）</w:t>
            </w:r>
            <w:r/>
          </w:p>
        </w:tc>
        <w:tc>
          <w:tcPr>
            <w:tcW w:w="2272"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cs="宋体"/>
                <w:sz w:val="21"/>
                <w:szCs w:val="21"/>
              </w:rPr>
              <w:t xml:space="preserve">…</w:t>
            </w:r>
            <w:r/>
          </w:p>
        </w:tc>
        <w:tc>
          <w:tcPr>
            <w:tcW w:w="3220" w:type="dxa"/>
            <w:vAlign w:val="center"/>
            <w:textDirection w:val="lrTb"/>
            <w:noWrap w:val="false"/>
          </w:tcPr>
          <w:p>
            <w:pPr>
              <w:jc w:val="center"/>
              <w:spacing w:before="25" w:after="25"/>
              <w:widowControl/>
              <w:rPr>
                <w:rFonts w:hint="eastAsia" w:ascii="宋体" w:hAnsi="宋体" w:eastAsia="宋体"/>
                <w:sz w:val="24"/>
                <w:szCs w:val="24"/>
                <w:lang w:val="zh-CN"/>
              </w:rPr>
            </w:pPr>
            <w:r>
              <w:rPr>
                <w:rFonts w:hint="eastAsia" w:ascii="宋体" w:hAnsi="宋体" w:eastAsia="宋体"/>
                <w:sz w:val="24"/>
                <w:szCs w:val="24"/>
                <w:lang w:val="zh-CN"/>
              </w:rPr>
            </w:r>
            <w:r/>
          </w:p>
        </w:tc>
        <w:tc>
          <w:tcPr>
            <w:tcW w:w="2159"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c>
          <w:tcPr>
            <w:tcW w:w="2272"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r>
    </w:tbl>
    <w:p>
      <w:pPr>
        <w:ind w:firstLine="42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2、如有其它售后服务内容，可自行参照填写。</w:t>
      </w:r>
      <w:r/>
    </w:p>
    <w:p>
      <w:pPr>
        <w:jc w:val="right"/>
        <w:spacing w:line="360" w:lineRule="auto"/>
        <w:rPr>
          <w:rFonts w:hint="eastAsia" w:ascii="宋体" w:hAnsi="宋体" w:eastAsia="宋体"/>
          <w:bCs/>
          <w:sz w:val="21"/>
          <w:szCs w:val="21"/>
        </w:rPr>
      </w:pPr>
      <w:r>
        <w:rPr>
          <w:rFonts w:ascii="宋体" w:hAnsi="宋体" w:eastAsia="宋体"/>
          <w:bCs/>
          <w:sz w:val="21"/>
          <w:szCs w:val="21"/>
        </w:rPr>
        <w:t xml:space="preserve">投标人（公章）：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法定代表人或代理人：（签字或签章）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日期：        年     月     日</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 xml:space="preserve">1.技</w:t>
      </w:r>
      <w:r>
        <w:rPr>
          <w:rFonts w:hint="eastAsia" w:asciiTheme="minorEastAsia" w:hAnsiTheme="minorEastAsia" w:eastAsiaTheme="minorEastAsia" w:cstheme="minorEastAsia"/>
          <w:b/>
          <w:sz w:val="21"/>
          <w:szCs w:val="21"/>
        </w:rPr>
        <w:t xml:space="preserve">术参数响应及偏离表</w:t>
      </w:r>
      <w:r/>
    </w:p>
    <w:tbl>
      <w:tblPr>
        <w:tblStyle w:val="7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以上表格内容不够的请自行添加。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2.商务条款响应及偏离表</w:t>
      </w:r>
      <w:r/>
    </w:p>
    <w:tbl>
      <w:tblPr>
        <w:tblStyle w:val="7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w:t>
      </w:r>
      <w:r>
        <w:rPr>
          <w:rFonts w:hint="eastAsia" w:asciiTheme="minorEastAsia" w:hAnsiTheme="minorEastAsia" w:eastAsiaTheme="minorEastAsia" w:cstheme="minorEastAsia"/>
          <w:sz w:val="21"/>
          <w:szCs w:val="21"/>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以上表格内容不够的请自行添加。</w:t>
      </w:r>
      <w:r/>
    </w:p>
    <w:p>
      <w:pPr>
        <w:ind w:right="156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83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投标人（盖章）： </w:t>
      </w:r>
      <w:r/>
    </w:p>
    <w:p>
      <w:pPr>
        <w:jc w:val="righ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日期:       年      月     日</w:t>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778"/>
        <w:spacing w:before="0" w:beforeAutospacing="0" w:after="0" w:afterAutospacing="0"/>
        <w:rPr>
          <w:rFonts w:hint="eastAsia" w:cs="宋体"/>
          <w:b/>
          <w:bCs/>
          <w:color w:val="auto"/>
          <w:sz w:val="21"/>
          <w:szCs w:val="21"/>
        </w:rPr>
      </w:pPr>
      <w:r>
        <w:rPr>
          <w:rFonts w:hint="eastAsia" w:cs="宋体"/>
          <w:b/>
          <w:bCs/>
          <w:color w:val="auto"/>
          <w:sz w:val="21"/>
          <w:szCs w:val="21"/>
        </w:rPr>
      </w:r>
      <w:r/>
    </w:p>
    <w:p>
      <w:pPr>
        <w:jc w:val="left"/>
        <w:spacing w:line="360" w:lineRule="auto"/>
        <w:widowControl/>
        <w:rPr>
          <w:rFonts w:hint="eastAsia" w:ascii="宋体" w:hAnsi="宋体" w:eastAsia="宋体"/>
          <w:b/>
          <w:sz w:val="32"/>
          <w:szCs w:val="32"/>
        </w:rPr>
      </w:pPr>
      <w:r>
        <w:rPr>
          <w:rFonts w:hint="eastAsia" w:ascii="宋体" w:hAnsi="宋体" w:eastAsia="宋体"/>
          <w:b/>
          <w:sz w:val="32"/>
          <w:szCs w:val="32"/>
        </w:rPr>
      </w:r>
      <w:r/>
    </w:p>
    <w:p>
      <w:pPr>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p>
    <w:p>
      <w:pPr>
        <w:ind w:right="357"/>
        <w:spacing w:line="400" w:lineRule="exact"/>
        <w:widowControl/>
        <w:rPr>
          <w:rFonts w:hint="eastAsia" w:ascii="宋体" w:hAnsi="宋体" w:eastAsia="宋体" w:cs="宋体"/>
          <w:b/>
        </w:rPr>
      </w:pPr>
      <w:r>
        <w:rPr>
          <w:rFonts w:hint="eastAsia" w:ascii="宋体" w:hAnsi="宋体" w:eastAsia="宋体" w:cs="宋体"/>
          <w:b/>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p>
    <w:tbl>
      <w:tblPr>
        <w:tblStyle w:val="74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序号</w:t>
            </w:r>
            <w:r/>
          </w:p>
        </w:tc>
        <w:tc>
          <w:tcPr>
            <w:tcW w:w="1004"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bl>
    <w:p>
      <w:pPr>
        <w:ind w:firstLine="480"/>
        <w:spacing w:line="400" w:lineRule="exact"/>
        <w:rPr>
          <w:rFonts w:hint="eastAsia" w:ascii="宋体" w:hAnsi="宋体" w:eastAsia="宋体"/>
          <w:sz w:val="24"/>
          <w:szCs w:val="24"/>
        </w:rPr>
      </w:pPr>
      <w:r>
        <w:rPr>
          <w:rFonts w:hint="eastAsia" w:ascii="宋体" w:hAnsi="宋体" w:eastAsia="宋体"/>
          <w:sz w:val="24"/>
          <w:szCs w:val="24"/>
        </w:rPr>
        <w:t xml:space="preserve">注：可参考上述格式自制</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751"/>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6"/>
        <w:rPr>
          <w:rFonts w:ascii="宋体" w:hAnsi="宋体" w:eastAsia="宋体" w:cs="宋体"/>
          <w:lang w:val="zh-CN"/>
        </w:rPr>
      </w:pPr>
      <w:r>
        <w:rPr>
          <w:rFonts w:ascii="宋体" w:hAnsi="宋体" w:eastAsia="宋体" w:cs="宋体"/>
          <w:lang w:val="zh-CN"/>
        </w:rPr>
      </w:r>
      <w:r/>
    </w:p>
    <w:p>
      <w:pPr>
        <w:pStyle w:val="838"/>
        <w:rPr>
          <w:rFonts w:hint="eastAsia" w:hAnsi="宋体" w:cs="宋体"/>
          <w:sz w:val="21"/>
          <w:szCs w:val="21"/>
          <w:lang w:val="zh-CN"/>
        </w:rPr>
      </w:pPr>
      <w:r>
        <w:rPr>
          <w:rFonts w:hint="eastAsia" w:hAnsi="宋体" w:cs="宋体"/>
          <w:sz w:val="21"/>
          <w:szCs w:val="21"/>
          <w:lang w:val="zh-CN"/>
        </w:rPr>
      </w:r>
      <w:r/>
    </w:p>
    <w:p>
      <w:pPr>
        <w:pStyle w:val="838"/>
      </w:pPr>
      <w:r/>
      <w:r/>
    </w:p>
    <w:p>
      <w:pPr>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p>
      <w:pPr>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JSZC-320509-WYZB-G2026-0003</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ind w:left="3507" w:firstLine="114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r/>
      <w:r/>
    </w:p>
    <w:p>
      <w:pPr>
        <w:pStyle w:val="838"/>
      </w:pPr>
      <w:r/>
      <w:r/>
    </w:p>
    <w:p>
      <w:pPr>
        <w:pStyle w:val="838"/>
      </w:p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p>
    <w:p>
      <w:pPr>
        <w:pStyle w:val="747"/>
        <w:jc w:val="center"/>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 xml:space="preserve">供应商情况表</w:t>
      </w:r>
      <w:r/>
    </w:p>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745"/>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right w:val="single" w:color="auto" w:sz="4" w:space="0"/>
            </w:tcBorders>
            <w:tcW w:w="141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企业法人</w:t>
            </w:r>
            <w:r/>
          </w:p>
        </w:tc>
        <w:tc>
          <w:tcPr>
            <w:gridSpan w:val="3"/>
            <w:tcBorders>
              <w:left w:val="single" w:color="auto" w:sz="4" w:space="0"/>
            </w:tcBorders>
            <w:tcW w:w="2762"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144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公司成立日期</w:t>
            </w:r>
            <w:r/>
          </w:p>
        </w:tc>
        <w:tc>
          <w:tcPr>
            <w:gridSpan w:val="2"/>
            <w:tcW w:w="2252"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right w:val="single" w:color="auto" w:sz="4" w:space="0"/>
            </w:tcBorders>
            <w:tcW w:w="141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总部地址</w:t>
            </w:r>
            <w:r/>
          </w:p>
        </w:tc>
        <w:tc>
          <w:tcPr>
            <w:gridSpan w:val="7"/>
            <w:tcBorders>
              <w:left w:val="single" w:color="auto" w:sz="4" w:space="0"/>
            </w:tcBorders>
            <w:tcW w:w="6455"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right w:val="single" w:color="auto" w:sz="4" w:space="0"/>
            </w:tcBorders>
            <w:tcW w:w="141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right w:val="single" w:color="auto" w:sz="4" w:space="0"/>
            </w:tcBorders>
            <w:tcW w:w="141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gridSpan w:val="2"/>
            <w:tcBorders>
              <w:left w:val="single" w:color="auto" w:sz="4" w:space="0"/>
            </w:tcBorders>
            <w:tcW w:w="2317"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tc>
        <w:tc>
          <w:tcPr>
            <w:gridSpan w:val="3"/>
            <w:tcBorders>
              <w:left w:val="single" w:color="auto" w:sz="4" w:space="0"/>
            </w:tcBorders>
            <w:tcW w:w="2959"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2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right w:val="single" w:color="auto" w:sz="4" w:space="0"/>
            </w:tcBorders>
            <w:tcW w:w="141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tc>
        <w:tc>
          <w:tcPr>
            <w:gridSpan w:val="2"/>
            <w:tcBorders>
              <w:left w:val="single" w:color="auto" w:sz="4" w:space="0"/>
            </w:tcBorders>
            <w:tcW w:w="2317"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电子邮箱</w:t>
            </w:r>
            <w:r/>
          </w:p>
        </w:tc>
        <w:tc>
          <w:tcPr>
            <w:gridSpan w:val="3"/>
            <w:tcBorders>
              <w:left w:val="single" w:color="auto" w:sz="4" w:space="0"/>
            </w:tcBorders>
            <w:tcW w:w="2959"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right w:val="single" w:color="auto" w:sz="4" w:space="0"/>
            </w:tcBorders>
            <w:tcW w:w="1411"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w:t>
            </w:r>
            <w:r/>
          </w:p>
        </w:tc>
        <w:tc>
          <w:tcPr>
            <w:gridSpan w:val="2"/>
            <w:tcBorders>
              <w:left w:val="single" w:color="auto" w:sz="4" w:space="0"/>
            </w:tcBorders>
            <w:tcW w:w="2317"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注册年份</w:t>
            </w:r>
            <w:r/>
          </w:p>
        </w:tc>
        <w:tc>
          <w:tcPr>
            <w:gridSpan w:val="3"/>
            <w:tcBorders>
              <w:left w:val="single" w:color="auto" w:sz="4" w:space="0"/>
            </w:tcBorders>
            <w:tcW w:w="2959" w:type="dxa"/>
            <w:vAlign w:val="center"/>
            <w:textDirection w:val="lrTb"/>
            <w:noWrap w:val="false"/>
          </w:tcPr>
          <w:p>
            <w:pPr>
              <w:pStyle w:val="747"/>
              <w:ind w:left="437"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right w:val="single" w:color="auto" w:sz="4" w:space="0"/>
            </w:tcBorders>
            <w:tcW w:w="1411"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747"/>
              <w:ind w:firstLine="945"/>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w:t>
            </w:r>
            <w:r/>
          </w:p>
        </w:tc>
        <w:tc>
          <w:tcPr>
            <w:gridSpan w:val="4"/>
            <w:tcBorders>
              <w:right w:val="single" w:color="auto" w:sz="4" w:space="0"/>
            </w:tcBorders>
            <w:tcW w:w="2469"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年总营业收入</w:t>
            </w:r>
            <w:r/>
          </w:p>
        </w:tc>
        <w:tc>
          <w:tcPr>
            <w:tcBorders>
              <w:left w:val="single" w:color="auto" w:sz="4" w:space="0"/>
            </w:tcBorders>
            <w:tcW w:w="1669" w:type="dxa"/>
            <w:vAlign w:val="center"/>
            <w:textDirection w:val="lrTb"/>
            <w:noWrap w:val="false"/>
          </w:tcPr>
          <w:p>
            <w:pPr>
              <w:pStyle w:val="747"/>
              <w:ind w:left="1112"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w:t>
            </w:r>
            <w:r/>
          </w:p>
        </w:tc>
      </w:tr>
      <w:tr>
        <w:trPr>
          <w:cantSplit/>
          <w:trHeight w:val="645"/>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gridSpan w:val="8"/>
            <w:tcW w:w="7866"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企业或社会团体办公场所的面积：</w:t>
            </w:r>
            <w:r/>
          </w:p>
        </w:tc>
      </w:tr>
      <w:tr>
        <w:trPr>
          <w:trHeight w:val="1767"/>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gridSpan w:val="8"/>
            <w:tcW w:w="7866"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主营范围</w:t>
            </w:r>
            <w:r/>
          </w:p>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1、_____________________________________</w:t>
            </w:r>
            <w:r/>
          </w:p>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2、____________________________________</w:t>
            </w:r>
            <w:r/>
          </w:p>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r>
      <w:tr>
        <w:trPr>
          <w:trHeight w:val="1701"/>
        </w:trPr>
        <w:tc>
          <w:tcPr>
            <w:tcW w:w="597" w:type="dxa"/>
            <w:vAlign w:val="center"/>
            <w:textDirection w:val="lrTb"/>
            <w:noWrap w:val="false"/>
          </w:tcPr>
          <w:p>
            <w:pPr>
              <w:pStyle w:val="74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gridSpan w:val="2"/>
            <w:tcW w:w="2445"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其他需要说明的情况</w:t>
            </w:r>
            <w:r/>
          </w:p>
        </w:tc>
        <w:tc>
          <w:tcPr>
            <w:gridSpan w:val="6"/>
            <w:tcW w:w="5421" w:type="dxa"/>
            <w:vAlign w:val="center"/>
            <w:textDirection w:val="lrTb"/>
            <w:noWrap w:val="false"/>
          </w:tcPr>
          <w:p>
            <w:pPr>
              <w:pStyle w:val="74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1297"/>
        <w:rPr>
          <w:rFonts w:hint="eastAsia" w:hAnsi="宋体" w:eastAsia="宋体"/>
          <w:sz w:val="21"/>
          <w:szCs w:val="21"/>
        </w:rPr>
      </w:pPr>
      <w:r>
        <w:rPr>
          <w:rFonts w:hint="eastAsia" w:hAnsi="宋体" w:eastAsia="宋体"/>
          <w:sz w:val="21"/>
          <w:szCs w:val="21"/>
        </w:rPr>
        <w:t xml:space="preserve">投标单位：（单位盖章）</w:t>
      </w:r>
      <w:r/>
    </w:p>
    <w:p>
      <w:pPr>
        <w:pStyle w:val="1297"/>
        <w:rPr>
          <w:rFonts w:hint="eastAsia" w:hAnsi="宋体" w:eastAsia="宋体"/>
          <w:sz w:val="21"/>
          <w:szCs w:val="21"/>
        </w:rPr>
      </w:pPr>
      <w:r>
        <w:rPr>
          <w:rFonts w:hint="eastAsia" w:hAnsi="宋体" w:eastAsia="宋体"/>
          <w:sz w:val="21"/>
          <w:szCs w:val="21"/>
        </w:rPr>
        <w:t xml:space="preserve">法定代表人或代理人：（签字或盖章）</w:t>
      </w:r>
      <w:r/>
    </w:p>
    <w:p>
      <w:pPr>
        <w:pStyle w:val="1297"/>
        <w:rPr>
          <w:rFonts w:hint="eastAsia" w:hAnsi="宋体" w:eastAsia="宋体"/>
          <w:sz w:val="21"/>
          <w:szCs w:val="21"/>
        </w:rPr>
      </w:pPr>
      <w:r>
        <w:rPr>
          <w:rFonts w:hint="eastAsia" w:hAnsi="宋体" w:eastAsia="宋体"/>
          <w:sz w:val="21"/>
          <w:szCs w:val="21"/>
        </w:rPr>
        <w:t xml:space="preserve">日期：         年         月       日</w:t>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838"/>
        <w:ind w:firstLine="0"/>
        <w:rPr>
          <w:rFonts w:hint="eastAsia" w:hAnsi="宋体" w:cs="宋体"/>
          <w:sz w:val="21"/>
          <w:szCs w:val="21"/>
        </w:rPr>
      </w:pPr>
      <w:r>
        <w:rPr>
          <w:rFonts w:hint="eastAsia" w:hAnsi="宋体" w:cs="宋体"/>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pStyle w:val="752"/>
      </w:pPr>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本公司（联合体）郑重声明，根据《政府采购促进中小企业发展管理办法》（财库﹝2020﹞46号）的规定，本公司（联合体）参加</w:t>
      </w:r>
      <w:r>
        <w:rPr>
          <w:rFonts w:hint="eastAsia" w:ascii="Calibri" w:hAnsi="Calibri" w:eastAsia="宋体" w:cs="宋体"/>
          <w:sz w:val="21"/>
          <w:szCs w:val="24"/>
          <w:u w:val="single"/>
        </w:rPr>
        <w:t xml:space="preserve">（单位名称）</w:t>
      </w:r>
      <w:r>
        <w:rPr>
          <w:rFonts w:hint="eastAsia" w:ascii="Calibri" w:hAnsi="Calibri" w:eastAsia="宋体" w:cs="宋体"/>
          <w:sz w:val="21"/>
          <w:szCs w:val="24"/>
        </w:rPr>
        <w:t xml:space="preserve">的</w:t>
      </w:r>
      <w:r>
        <w:rPr>
          <w:rFonts w:hint="eastAsia" w:ascii="Calibri" w:hAnsi="Calibri" w:eastAsia="宋体" w:cs="宋体"/>
          <w:sz w:val="21"/>
          <w:szCs w:val="24"/>
          <w:u w:val="single"/>
        </w:rPr>
        <w:t xml:space="preserve">（项目名称）</w:t>
      </w:r>
      <w:r>
        <w:rPr>
          <w:rFonts w:hint="eastAsia" w:ascii="Calibri" w:hAnsi="Calibri" w:eastAsia="宋体" w:cs="宋体"/>
          <w:sz w:val="21"/>
          <w:szCs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1、</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2、</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sz w:val="21"/>
          <w:szCs w:val="24"/>
        </w:rPr>
      </w:pPr>
      <w:r>
        <w:rPr>
          <w:rFonts w:hint="eastAsia" w:ascii="Calibri" w:hAnsi="Calibri" w:eastAsia="宋体" w:cs="宋体"/>
          <w:sz w:val="21"/>
          <w:szCs w:val="24"/>
        </w:rPr>
        <w:t xml:space="preserve">企业名称（盖章）：</w:t>
      </w:r>
      <w:r>
        <w:rPr>
          <w:rFonts w:hint="eastAsia" w:ascii="Calibri" w:hAnsi="Calibri" w:eastAsia="宋体" w:cs="宋体"/>
          <w:sz w:val="21"/>
          <w:szCs w:val="24"/>
        </w:rPr>
        <w:tab/>
      </w:r>
      <w:r/>
    </w:p>
    <w:p>
      <w:pPr>
        <w:ind w:firstLine="420"/>
        <w:spacing w:line="360" w:lineRule="auto"/>
        <w:rPr>
          <w:rFonts w:ascii="Calibri" w:hAnsi="Calibri" w:eastAsia="宋体" w:cs="宋体"/>
          <w:b/>
          <w:spacing w:val="6"/>
          <w:sz w:val="21"/>
          <w:szCs w:val="21"/>
        </w:rPr>
      </w:pPr>
      <w:r>
        <w:rPr>
          <w:rFonts w:hint="eastAsia" w:ascii="Calibri" w:hAnsi="Calibri" w:eastAsia="宋体" w:cs="宋体"/>
          <w:sz w:val="21"/>
          <w:szCs w:val="24"/>
        </w:rPr>
        <w:t xml:space="preserve">日 期：</w:t>
      </w:r>
      <w:r/>
    </w:p>
    <w:p>
      <w:pPr>
        <w:pStyle w:val="988"/>
        <w:ind w:firstLine="480"/>
        <w:spacing w:line="360" w:lineRule="auto"/>
        <w:rPr>
          <w:rFonts w:hint="eastAsia" w:hAnsi="宋体" w:eastAsia="宋体"/>
          <w:sz w:val="24"/>
          <w:szCs w:val="24"/>
        </w:rPr>
      </w:pPr>
      <w:r>
        <w:rPr>
          <w:rFonts w:hint="eastAsia"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752"/>
      </w:pPr>
      <w:r/>
      <w:r/>
    </w:p>
    <w:p>
      <w:pPr>
        <w:pStyle w:val="752"/>
        <w:ind w:left="0"/>
      </w:pPr>
      <w:r/>
      <w:r/>
    </w:p>
    <w:p>
      <w:pPr>
        <w:pStyle w:val="752"/>
      </w:pPr>
      <w:r>
        <w:rPr>
          <w:rFonts w:hint="eastAsia" w:hAnsi="宋体" w:eastAsia="宋体"/>
          <w:sz w:val="18"/>
          <w:szCs w:val="18"/>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838"/>
      </w:p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838"/>
        <w:ind w:firstLine="0"/>
        <w:jc w:val="center"/>
        <w:rPr>
          <w:rFonts w:hint="eastAsia" w:hAnsi="宋体" w:cs="宋体"/>
          <w:sz w:val="21"/>
          <w:szCs w:val="21"/>
        </w:rPr>
      </w:pPr>
      <w:r>
        <w:rPr>
          <w:rFonts w:hint="eastAsia" w:hAnsi="宋体" w:cs="宋体"/>
          <w:b/>
          <w:sz w:val="21"/>
          <w:szCs w:val="21"/>
        </w:rPr>
        <w:t xml:space="preserve">残疾人福利性单位声明函</w:t>
      </w:r>
      <w:r/>
    </w:p>
    <w:p>
      <w:pPr>
        <w:pStyle w:val="778"/>
        <w:ind w:firstLine="480"/>
        <w:spacing w:beforeAutospacing="0" w:afterAutospacing="0" w:line="360" w:lineRule="auto"/>
        <w:rPr>
          <w:rFonts w:hint="eastAsia" w:cs="宋体"/>
          <w:color w:val="auto"/>
        </w:rPr>
      </w:pPr>
      <w:r>
        <w:rPr>
          <w:rFonts w:hint="eastAsia" w:cs="宋体"/>
          <w:color w:val="auto"/>
        </w:rPr>
      </w:r>
      <w:r/>
    </w:p>
    <w:p>
      <w:pPr>
        <w:pStyle w:val="778"/>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8"/>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778"/>
        <w:ind w:firstLine="480"/>
        <w:spacing w:beforeAutospacing="0" w:afterAutospacing="0" w:line="360" w:lineRule="auto"/>
        <w:rPr>
          <w:rFonts w:hint="eastAsia" w:cs="宋体"/>
          <w:color w:val="auto"/>
        </w:rPr>
      </w:pPr>
      <w:r>
        <w:rPr>
          <w:rFonts w:hint="eastAsia" w:cs="宋体"/>
          <w:color w:val="auto"/>
        </w:rPr>
      </w:r>
      <w:r/>
    </w:p>
    <w:p>
      <w:pPr>
        <w:pStyle w:val="778"/>
        <w:ind w:firstLine="480"/>
        <w:spacing w:beforeAutospacing="0" w:afterAutospacing="0" w:line="360" w:lineRule="auto"/>
        <w:rPr>
          <w:rFonts w:hint="eastAsia" w:cs="宋体"/>
          <w:color w:val="auto"/>
        </w:rPr>
      </w:pPr>
      <w:r>
        <w:rPr>
          <w:rFonts w:hint="eastAsia" w:cs="宋体"/>
          <w:color w:val="auto"/>
        </w:rPr>
      </w:r>
      <w:r/>
    </w:p>
    <w:p>
      <w:pPr>
        <w:pStyle w:val="778"/>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778"/>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2"/>
        <w:rPr>
          <w:rFonts w:hint="eastAsia" w:hAnsi="宋体" w:cs="宋体"/>
          <w:b/>
          <w:sz w:val="21"/>
          <w:szCs w:val="21"/>
        </w:rPr>
      </w:pPr>
      <w:r>
        <w:rPr>
          <w:rFonts w:hint="eastAsia"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pStyle w:val="1298"/>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t xml:space="preserve">附件11、关于符合本国产品标准的声明函</w:t>
      </w:r>
      <w:r/>
    </w:p>
    <w:p>
      <w:pPr>
        <w:pStyle w:val="1298"/>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firstLine="420"/>
        <w:spacing w:before="30" w:beforeAutospacing="0" w:after="30" w:afterAutospacing="0" w:line="360" w:lineRule="auto"/>
        <w:rPr>
          <w:rFonts w:hint="eastAsia" w:cs="宋体"/>
          <w:color w:val="auto"/>
          <w:sz w:val="21"/>
          <w:szCs w:val="21"/>
        </w:rPr>
      </w:pP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4"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5"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6"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shd w:val="clear" w:color="auto" w:fill="ffffff"/>
        </w:rPr>
        <w:t xml:space="preserve">1.</w:t>
      </w:r>
      <w:r>
        <w:rPr>
          <w:rStyle w:val="790"/>
          <w:rFonts w:hint="eastAsia" w:cs="宋体"/>
          <w:i w:val="0"/>
          <w:color w:val="auto"/>
          <w:sz w:val="21"/>
          <w:szCs w:val="21"/>
          <w:u w:val="single"/>
          <w:shd w:val="clear" w:color="auto" w:fill="ffffff"/>
        </w:rPr>
        <w:t xml:space="preserve">（产品名称1）</w:t>
      </w:r>
      <w:r>
        <w:rPr>
          <w:rStyle w:val="790"/>
          <w:rFonts w:hint="eastAsia" w:cs="宋体"/>
          <w:i w:val="0"/>
          <w:color w:val="auto"/>
          <w:sz w:val="21"/>
          <w:szCs w:val="21"/>
          <w:shd w:val="clear" w:color="auto" w:fill="ffffff"/>
          <w:vertAlign w:val="superscript"/>
        </w:rPr>
        <w:t xml:space="preserve">1</w:t>
      </w:r>
      <w:r>
        <w:rPr>
          <w:rFonts w:hint="eastAsia" w:cs="宋体"/>
          <w:color w:val="auto"/>
          <w:sz w:val="21"/>
          <w:szCs w:val="21"/>
          <w:shd w:val="clear" w:color="auto" w:fill="ffffff"/>
        </w:rPr>
        <w:t xml:space="preserve">，生产厂为</w:t>
      </w:r>
      <w:r>
        <w:rPr>
          <w:rStyle w:val="790"/>
          <w:rFonts w:hint="eastAsia" w:cs="宋体"/>
          <w:i w:val="0"/>
          <w:color w:val="auto"/>
          <w:sz w:val="21"/>
          <w:szCs w:val="21"/>
          <w:u w:val="single"/>
          <w:shd w:val="clear" w:color="auto" w:fill="ffffff"/>
        </w:rPr>
        <w:t xml:space="preserve">（厂名）</w:t>
      </w:r>
      <w:r>
        <w:rPr>
          <w:rStyle w:val="790"/>
          <w:rFonts w:hint="eastAsia" w:cs="宋体"/>
          <w:i w:val="0"/>
          <w:color w:val="auto"/>
          <w:sz w:val="21"/>
          <w:szCs w:val="21"/>
          <w:shd w:val="clear" w:color="auto" w:fill="ffffff"/>
          <w:vertAlign w:val="superscript"/>
        </w:rPr>
        <w:t xml:space="preserve">2</w:t>
      </w:r>
      <w:r>
        <w:rPr>
          <w:rFonts w:hint="eastAsia" w:cs="宋体"/>
          <w:color w:val="auto"/>
          <w:sz w:val="21"/>
          <w:szCs w:val="21"/>
          <w:shd w:val="clear" w:color="auto" w:fill="ffffff"/>
        </w:rPr>
        <w:t xml:space="preserve">，厂址为</w:t>
      </w:r>
      <w:r>
        <w:rPr>
          <w:rStyle w:val="790"/>
          <w:rFonts w:hint="eastAsia" w:cs="宋体"/>
          <w:i w:val="0"/>
          <w:color w:val="auto"/>
          <w:sz w:val="21"/>
          <w:szCs w:val="21"/>
          <w:u w:val="single"/>
          <w:shd w:val="clear" w:color="auto" w:fill="ffffff"/>
        </w:rPr>
        <w:t xml:space="preserve">（生产厂址）</w:t>
      </w:r>
      <w:r>
        <w:rPr>
          <w:rFonts w:hint="eastAsia" w:cs="宋体"/>
          <w:color w:val="auto"/>
          <w:sz w:val="21"/>
          <w:szCs w:val="21"/>
          <w:shd w:val="clear" w:color="auto" w:fill="ffffff"/>
        </w:rPr>
        <w:t xml:space="preserve">。</w:t>
      </w:r>
      <w:r>
        <w:rPr>
          <w:rFonts w:hint="eastAsia" w:cs="宋体"/>
          <w:color w:val="auto"/>
          <w:sz w:val="21"/>
          <w:szCs w:val="21"/>
          <w:u w:val="single"/>
          <w:shd w:val="clear" w:color="auto" w:fill="ffffff"/>
        </w:rPr>
        <w:t xml:space="preserve"> </w:t>
      </w:r>
      <w:r>
        <w:rPr>
          <w:rStyle w:val="790"/>
          <w:rFonts w:hint="eastAsia" w:cs="宋体"/>
          <w:i w:val="0"/>
          <w:color w:val="auto"/>
          <w:sz w:val="21"/>
          <w:szCs w:val="21"/>
          <w:u w:val="single"/>
          <w:shd w:val="clear" w:color="auto" w:fill="ffffff"/>
        </w:rPr>
        <w:t xml:space="preserve">（产品名称1） </w:t>
      </w:r>
      <w:r>
        <w:rPr>
          <w:rFonts w:hint="eastAsia" w:cs="宋体"/>
          <w:color w:val="auto"/>
          <w:sz w:val="21"/>
          <w:szCs w:val="21"/>
          <w:shd w:val="clear" w:color="auto" w:fill="ffffff"/>
        </w:rPr>
        <w:t xml:space="preserve">的中国境内生产的组件成本占比≥</w:t>
      </w:r>
      <w:r>
        <w:rPr>
          <w:rStyle w:val="790"/>
          <w:rFonts w:hint="eastAsia" w:cs="宋体"/>
          <w:i w:val="0"/>
          <w:color w:val="auto"/>
          <w:sz w:val="21"/>
          <w:szCs w:val="21"/>
          <w:u w:val="single"/>
          <w:shd w:val="clear" w:color="auto" w:fill="ffffff"/>
        </w:rPr>
        <w:t xml:space="preserve">（规定比例）</w:t>
      </w:r>
      <w:r>
        <w:rPr>
          <w:rStyle w:val="790"/>
          <w:rFonts w:hint="eastAsia" w:cs="宋体"/>
          <w:i w:val="0"/>
          <w:color w:val="auto"/>
          <w:sz w:val="21"/>
          <w:szCs w:val="21"/>
          <w:shd w:val="clear" w:color="auto" w:fill="ffffff"/>
          <w:vertAlign w:val="superscript"/>
        </w:rPr>
        <w:t xml:space="preserve">3</w:t>
      </w:r>
      <w:r>
        <w:rPr>
          <w:rFonts w:hint="eastAsia" w:cs="宋体"/>
          <w:color w:val="auto"/>
          <w:sz w:val="21"/>
          <w:szCs w:val="21"/>
          <w:shd w:val="clear" w:color="auto" w:fill="ffffff"/>
        </w:rPr>
        <w:t xml:space="preserve">。</w:t>
      </w:r>
      <w:r>
        <w:rPr>
          <w:rStyle w:val="790"/>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790"/>
          <w:rFonts w:hint="eastAsia" w:cs="宋体"/>
          <w:i w:val="0"/>
          <w:color w:val="auto"/>
          <w:sz w:val="21"/>
          <w:szCs w:val="21"/>
          <w:u w:val="single"/>
          <w:shd w:val="clear" w:color="auto" w:fill="ffffff"/>
        </w:rPr>
        <w:t xml:space="preserve">（关键组件）</w:t>
      </w:r>
      <w:r>
        <w:rPr>
          <w:rStyle w:val="790"/>
          <w:rFonts w:hint="eastAsia" w:cs="宋体"/>
          <w:i w:val="0"/>
          <w:color w:val="auto"/>
          <w:sz w:val="21"/>
          <w:szCs w:val="21"/>
          <w:shd w:val="clear" w:color="auto" w:fill="ffffff"/>
          <w:vertAlign w:val="superscript"/>
        </w:rPr>
        <w:t xml:space="preserve">4</w:t>
      </w:r>
      <w:r>
        <w:rPr>
          <w:rFonts w:hint="eastAsia" w:cs="宋体"/>
          <w:color w:val="auto"/>
          <w:sz w:val="21"/>
          <w:szCs w:val="21"/>
          <w:shd w:val="clear" w:color="auto" w:fill="ffffff"/>
        </w:rPr>
        <w:t xml:space="preserve">在中国境内生产。</w:t>
      </w:r>
      <w:r>
        <w:rPr>
          <w:rStyle w:val="790"/>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790"/>
          <w:rFonts w:hint="eastAsia" w:cs="宋体"/>
          <w:i w:val="0"/>
          <w:color w:val="auto"/>
          <w:sz w:val="21"/>
          <w:szCs w:val="21"/>
          <w:u w:val="single"/>
          <w:shd w:val="clear" w:color="auto" w:fill="ffffff"/>
        </w:rPr>
        <w:t xml:space="preserve">（关键工序）</w:t>
      </w:r>
      <w:r>
        <w:rPr>
          <w:rStyle w:val="790"/>
          <w:rFonts w:hint="eastAsia" w:cs="宋体"/>
          <w:i w:val="0"/>
          <w:color w:val="auto"/>
          <w:sz w:val="21"/>
          <w:szCs w:val="21"/>
          <w:shd w:val="clear" w:color="auto" w:fill="ffffff"/>
          <w:vertAlign w:val="superscript"/>
        </w:rPr>
        <w:t xml:space="preserve">5</w:t>
      </w:r>
      <w:r>
        <w:rPr>
          <w:rFonts w:hint="eastAsia" w:cs="宋体"/>
          <w:color w:val="auto"/>
          <w:sz w:val="21"/>
          <w:szCs w:val="21"/>
          <w:shd w:val="clear" w:color="auto" w:fill="ffffff"/>
        </w:rPr>
        <w:t xml:space="preserve">在中国境内完成。</w:t>
      </w:r>
      <w:r/>
    </w:p>
    <w:p>
      <w:pPr>
        <w:pStyle w:val="778"/>
        <w:ind w:firstLine="420"/>
        <w:spacing w:before="30" w:beforeAutospacing="0" w:after="30" w:afterAutospacing="0" w:line="360" w:lineRule="auto"/>
        <w:rPr>
          <w:rFonts w:hint="eastAsia" w:cs="宋体"/>
          <w:color w:val="auto"/>
          <w:sz w:val="21"/>
          <w:szCs w:val="21"/>
        </w:rPr>
      </w:pP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3600;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5"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shd w:val="clear" w:color="auto" w:fill="ffffff"/>
        </w:rPr>
        <w:t xml:space="preserve">2.</w:t>
      </w:r>
      <w:r>
        <w:rPr>
          <w:rStyle w:val="790"/>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，生产厂为</w:t>
      </w:r>
      <w:r>
        <w:rPr>
          <w:rStyle w:val="790"/>
          <w:rFonts w:hint="eastAsia" w:cs="宋体"/>
          <w:i w:val="0"/>
          <w:color w:val="auto"/>
          <w:sz w:val="21"/>
          <w:szCs w:val="21"/>
          <w:u w:val="single"/>
          <w:shd w:val="clear" w:color="auto" w:fill="ffffff"/>
        </w:rPr>
        <w:t xml:space="preserve">（厂名）</w:t>
      </w:r>
      <w:r>
        <w:rPr>
          <w:rFonts w:hint="eastAsia" w:cs="宋体"/>
          <w:color w:val="auto"/>
          <w:sz w:val="21"/>
          <w:szCs w:val="21"/>
          <w:shd w:val="clear" w:color="auto" w:fill="ffffff"/>
        </w:rPr>
        <w:t xml:space="preserve">，厂址为</w:t>
      </w:r>
      <w:r>
        <w:rPr>
          <w:rStyle w:val="790"/>
          <w:rFonts w:hint="eastAsia" w:cs="宋体"/>
          <w:i w:val="0"/>
          <w:color w:val="auto"/>
          <w:sz w:val="21"/>
          <w:szCs w:val="21"/>
          <w:u w:val="single"/>
          <w:shd w:val="clear" w:color="auto" w:fill="ffffff"/>
        </w:rPr>
        <w:t xml:space="preserve">（生产厂址）</w:t>
      </w:r>
      <w:r>
        <w:rPr>
          <w:rFonts w:hint="eastAsia" w:cs="宋体"/>
          <w:color w:val="auto"/>
          <w:sz w:val="21"/>
          <w:szCs w:val="21"/>
          <w:shd w:val="clear" w:color="auto" w:fill="ffffff"/>
        </w:rPr>
        <w:t xml:space="preserve">。</w:t>
      </w:r>
      <w:r>
        <w:rPr>
          <w:rStyle w:val="790"/>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的中国境内生产的组件成本占比≥</w:t>
      </w:r>
      <w:r>
        <w:rPr>
          <w:rStyle w:val="790"/>
          <w:rFonts w:hint="eastAsia" w:cs="宋体"/>
          <w:i w:val="0"/>
          <w:color w:val="auto"/>
          <w:sz w:val="21"/>
          <w:szCs w:val="21"/>
          <w:u w:val="single"/>
          <w:shd w:val="clear" w:color="auto" w:fill="ffffff"/>
        </w:rPr>
        <w:t xml:space="preserve">（规定比例）</w:t>
      </w:r>
      <w:r>
        <w:rPr>
          <w:rFonts w:hint="eastAsia" w:cs="宋体"/>
          <w:color w:val="auto"/>
          <w:sz w:val="21"/>
          <w:szCs w:val="21"/>
          <w:shd w:val="clear" w:color="auto" w:fill="ffffff"/>
        </w:rPr>
        <w:t xml:space="preserve">。</w:t>
      </w:r>
      <w:r>
        <w:rPr>
          <w:rStyle w:val="790"/>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的</w:t>
      </w:r>
      <w:r>
        <w:rPr>
          <w:rStyle w:val="790"/>
          <w:rFonts w:hint="eastAsia" w:cs="宋体"/>
          <w:i w:val="0"/>
          <w:color w:val="auto"/>
          <w:sz w:val="21"/>
          <w:szCs w:val="21"/>
          <w:u w:val="single"/>
          <w:shd w:val="clear" w:color="auto" w:fill="ffffff"/>
        </w:rPr>
        <w:t xml:space="preserve">（关键组件）</w:t>
      </w:r>
      <w:r>
        <w:rPr>
          <w:rFonts w:hint="eastAsia" w:cs="宋体"/>
          <w:color w:val="auto"/>
          <w:sz w:val="21"/>
          <w:szCs w:val="21"/>
          <w:shd w:val="clear" w:color="auto" w:fill="ffffff"/>
        </w:rPr>
        <w:t xml:space="preserve">在中国境内生产。</w:t>
      </w:r>
      <w:r>
        <w:rPr>
          <w:rStyle w:val="790"/>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790"/>
          <w:rFonts w:hint="eastAsia" w:cs="宋体"/>
          <w:i w:val="0"/>
          <w:color w:val="auto"/>
          <w:sz w:val="21"/>
          <w:szCs w:val="21"/>
          <w:u w:val="single"/>
          <w:shd w:val="clear" w:color="auto" w:fill="ffffff"/>
        </w:rPr>
        <w:t xml:space="preserve">（关键工序）</w:t>
      </w:r>
      <w:r>
        <w:rPr>
          <w:rFonts w:hint="eastAsia" w:cs="宋体"/>
          <w:color w:val="auto"/>
          <w:sz w:val="21"/>
          <w:szCs w:val="21"/>
          <w:shd w:val="clear" w:color="auto" w:fill="ffffff"/>
        </w:rPr>
        <w:t xml:space="preserve">在中国境内完成。</w:t>
      </w:r>
      <w:r/>
    </w:p>
    <w:p>
      <w:pPr>
        <w:pStyle w:val="778"/>
        <w:ind w:firstLine="420"/>
        <w:spacing w:before="30" w:beforeAutospacing="0" w:after="30" w:afterAutospacing="0" w:line="360" w:lineRule="auto"/>
        <w:rPr>
          <w:rFonts w:hint="eastAsia" w:cs="宋体"/>
          <w:color w:val="auto"/>
          <w:sz w:val="21"/>
          <w:szCs w:val="21"/>
        </w:rPr>
      </w:pPr>
      <w:r>
        <w:rPr>
          <w:rFonts w:hint="eastAsia" w:cs="宋体"/>
          <w:color w:val="auto"/>
          <w:sz w:val="21"/>
          <w:szCs w:val="21"/>
          <w:shd w:val="clear" w:color="auto" w:fill="ffffff"/>
        </w:rPr>
        <w:t xml:space="preserve">……</w:t>
      </w:r>
      <w:r/>
    </w:p>
    <w:p>
      <w:pPr>
        <w:pStyle w:val="778"/>
        <w:ind w:firstLine="420"/>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本公司（单位）对上述声明内容的真实性负责。如有虚假，愿承担相应法律责任。</w:t>
      </w:r>
      <w:r/>
    </w:p>
    <w:p>
      <w:pPr>
        <w:pStyle w:val="778"/>
        <w:spacing w:before="30" w:beforeAutospacing="0" w:after="30" w:afterAutospacing="0" w:line="0" w:lineRule="atLeast"/>
        <w:rPr>
          <w:rFonts w:hint="eastAsia" w:cs="宋体"/>
          <w:color w:val="auto"/>
          <w:sz w:val="21"/>
          <w:szCs w:val="21"/>
        </w:rPr>
      </w:pPr>
      <w:r>
        <w:rPr>
          <w:rFonts w:hint="eastAsia" w:cs="宋体"/>
          <w:color w:val="auto"/>
          <w:sz w:val="21"/>
          <w:szCs w:val="21"/>
        </w:rPr>
      </w:r>
      <w:r/>
    </w:p>
    <w:p>
      <w:pPr>
        <w:pStyle w:val="778"/>
        <w:ind w:right="480" w:firstLine="3720"/>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公司（单位）名称（盖章）：　        </w:t>
      </w:r>
      <w:r/>
    </w:p>
    <w:p>
      <w:pPr>
        <w:pStyle w:val="778"/>
        <w:jc w:val="center"/>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                                日期：　   年　  月　  日         </w:t>
      </w:r>
      <w:r/>
    </w:p>
    <w:p>
      <w:pPr>
        <w:pStyle w:val="77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__________________</w:t>
      </w:r>
      <w:r/>
    </w:p>
    <w:p>
      <w:pPr>
        <w:pStyle w:val="77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1.产品如有型号，请在“产品名称”栏一并填写。</w:t>
      </w:r>
      <w:r/>
    </w:p>
    <w:p>
      <w:pPr>
        <w:pStyle w:val="77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2.生产厂名与厂址应与生产厂营业执照载明的相关信息保持一致。</w:t>
      </w:r>
      <w:r/>
    </w:p>
    <w:p>
      <w:pPr>
        <w:pStyle w:val="77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3.该产品的中国境内生产的组件成本占比相关要求实施前，“规定比例”栏可不填，下同。</w:t>
      </w:r>
      <w:r/>
    </w:p>
    <w:p>
      <w:pPr>
        <w:pStyle w:val="77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4.该产品的关键组件要求实施前，“关键组件”栏可不填，下同。</w:t>
      </w:r>
      <w:r/>
    </w:p>
    <w:p>
      <w:pPr>
        <w:pStyle w:val="778"/>
        <w:spacing w:before="30" w:beforeAutospacing="0" w:after="30" w:afterAutospacing="0" w:line="0" w:lineRule="atLeast"/>
        <w:rPr>
          <w:rFonts w:hint="eastAsia" w:cs="宋体"/>
          <w:color w:val="auto"/>
          <w:sz w:val="21"/>
          <w:szCs w:val="21"/>
          <w:shd w:val="clear" w:color="auto" w:fill="ffffff"/>
        </w:rPr>
      </w:pPr>
      <w:r>
        <w:rPr>
          <w:rFonts w:hint="eastAsia" w:cs="宋体"/>
          <w:color w:val="auto"/>
          <w:sz w:val="21"/>
          <w:szCs w:val="21"/>
          <w:shd w:val="clear" w:color="auto" w:fill="ffffff"/>
        </w:rPr>
        <w:t xml:space="preserve">5.该产品的关键工序要求实施前，“关键工序”栏可不填，下同。</w:t>
      </w:r>
      <w:r/>
    </w:p>
    <w:p>
      <w:pPr>
        <w:pStyle w:val="778"/>
        <w:spacing w:before="30" w:beforeAutospacing="0" w:after="30" w:afterAutospacing="0" w:line="0" w:lineRule="atLeast"/>
        <w:rPr>
          <w:rFonts w:hint="eastAsia" w:cs="宋体"/>
          <w:color w:val="auto"/>
          <w:sz w:val="21"/>
          <w:szCs w:val="21"/>
          <w:shd w:val="clear" w:color="auto" w:fill="ffffff"/>
        </w:rPr>
      </w:pPr>
      <w:r>
        <w:rPr>
          <w:rFonts w:hint="eastAsia" w:cs="宋体"/>
          <w:color w:val="auto"/>
          <w:sz w:val="21"/>
          <w:szCs w:val="21"/>
          <w:shd w:val="clear" w:color="auto" w:fill="ffffff"/>
        </w:rPr>
        <w:t xml:space="preserve">6.用斜线划除的地方无需填写。</w:t>
      </w:r>
      <w:r/>
    </w:p>
    <w:p>
      <w:pPr>
        <w:rPr>
          <w:rFonts w:hAnsi="宋体" w:cs="宋体"/>
          <w:b/>
          <w:sz w:val="21"/>
          <w:szCs w:val="21"/>
        </w:rPr>
      </w:pPr>
      <w:r>
        <w:rPr>
          <w:rFonts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2"/>
        <w:rPr>
          <w:rFonts w:hint="eastAsia" w:hAnsi="宋体" w:cs="宋体"/>
          <w:b/>
          <w:sz w:val="21"/>
          <w:szCs w:val="21"/>
        </w:rPr>
      </w:pPr>
      <w:r>
        <w:rPr>
          <w:rFonts w:hint="eastAsia" w:hAnsi="宋体" w:cs="宋体"/>
          <w:b/>
          <w:sz w:val="21"/>
          <w:szCs w:val="21"/>
        </w:rPr>
      </w:r>
      <w:r/>
    </w:p>
    <w:p>
      <w:pPr>
        <w:rPr>
          <w:rFonts w:eastAsiaTheme="minorEastAsia"/>
        </w:rPr>
      </w:pPr>
      <w:r>
        <w:rPr>
          <w:rFonts w:eastAsiaTheme="minorEastAsia"/>
        </w:rPr>
      </w:r>
      <w:r/>
    </w:p>
    <w:p>
      <w:pPr>
        <w:pStyle w:val="838"/>
      </w:pPr>
      <w:r/>
      <w:r/>
    </w:p>
    <w:p>
      <w:pPr>
        <w:rPr>
          <w:rFonts w:eastAsiaTheme="minorEastAsia"/>
        </w:rPr>
      </w:pPr>
      <w:r>
        <w:rPr>
          <w:rFonts w:eastAsiaTheme="minorEastAsia"/>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hint="eastAsia" w:ascii="Calibri" w:hAnsi="Calibri" w:eastAsia="宋体" w:cs="宋体"/>
          <w:b/>
          <w:sz w:val="21"/>
          <w:szCs w:val="24"/>
        </w:rPr>
        <w:t xml:space="preserve">附件12：响应单位与其他单位存在控股、管理关系情况表</w:t>
      </w:r>
      <w:r/>
    </w:p>
    <w:p>
      <w:pPr>
        <w:jc w:val="center"/>
        <w:spacing w:line="360" w:lineRule="auto"/>
        <w:rPr>
          <w:rFonts w:ascii="Calibri" w:hAnsi="Calibri" w:eastAsia="宋体" w:cs="宋体"/>
          <w:b/>
          <w:sz w:val="21"/>
          <w:szCs w:val="24"/>
        </w:rPr>
      </w:pPr>
      <w:r>
        <w:rPr>
          <w:rFonts w:ascii="Calibri" w:hAnsi="Calibri" w:eastAsia="宋体" w:cs="宋体"/>
          <w:b/>
          <w:sz w:val="21"/>
          <w:szCs w:val="24"/>
        </w:rPr>
      </w:r>
      <w:r/>
    </w:p>
    <w:p>
      <w:pPr>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响应单位：（单位公章）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p>
    <w:p>
      <w:pPr>
        <w:rPr>
          <w:rFonts w:ascii="Calibri" w:hAnsi="Calibri" w:eastAsia="宋体" w:cs="宋体"/>
          <w:b/>
          <w:sz w:val="21"/>
          <w:szCs w:val="24"/>
        </w:rPr>
      </w:pPr>
      <w:r>
        <w:rPr>
          <w:rFonts w:ascii="Calibri" w:hAnsi="Calibri" w:eastAsia="宋体" w:cs="宋体"/>
          <w:b/>
          <w:sz w:val="21"/>
          <w:szCs w:val="24"/>
        </w:rPr>
      </w:r>
      <w:r/>
    </w:p>
    <w:p>
      <w:r/>
      <w:r/>
    </w:p>
    <w:p>
      <w:pPr>
        <w:pStyle w:val="838"/>
      </w:pPr>
      <w:r/>
      <w:r/>
    </w:p>
    <w:p>
      <w:r/>
      <w:r/>
    </w:p>
    <w:p>
      <w:pPr>
        <w:pStyle w:val="838"/>
      </w:pPr>
      <w:r/>
      <w:r/>
    </w:p>
    <w:p>
      <w:r/>
      <w:r/>
    </w:p>
    <w:p>
      <w:r/>
      <w:r/>
    </w:p>
    <w:p>
      <w:r/>
      <w:r/>
    </w:p>
    <w:p>
      <w:pPr>
        <w:pStyle w:val="838"/>
      </w:pPr>
      <w:r/>
      <w:r/>
    </w:p>
    <w:p>
      <w:r/>
      <w:bookmarkStart w:id="7" w:name="_Toc325017297"/>
      <w:r/>
      <w:bookmarkStart w:id="8" w:name="_Toc13642115"/>
      <w:r/>
      <w:r/>
    </w:p>
    <w:p>
      <w:pPr>
        <w:pStyle w:val="781"/>
        <w:jc w:val="center"/>
        <w:spacing w:line="360" w:lineRule="auto"/>
        <w:rPr>
          <w:rFonts w:hint="eastAsia" w:ascii="宋体" w:hAnsi="宋体" w:eastAsia="宋体"/>
          <w:sz w:val="36"/>
          <w:szCs w:val="36"/>
        </w:rPr>
      </w:pPr>
      <w:r>
        <w:rPr>
          <w:rFonts w:hint="eastAsia" w:ascii="宋体" w:hAnsi="宋体" w:eastAsia="宋体"/>
          <w:sz w:val="36"/>
          <w:szCs w:val="36"/>
        </w:rPr>
        <w:t xml:space="preserve">第四章 招标书</w:t>
      </w:r>
      <w:bookmarkStart w:id="9" w:name="_Toc13543212"/>
      <w:r/>
      <w:bookmarkEnd w:id="9"/>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sz w:val="21"/>
          <w:szCs w:val="21"/>
        </w:rPr>
        <w:t xml:space="preserve">苏州玮源招投标咨询服务有限公司受苏州市吴江区盛泽镇人民政府的委托，就其所需</w:t>
      </w:r>
      <w:r>
        <w:rPr>
          <w:rFonts w:hint="eastAsia" w:ascii="宋体" w:hAnsi="宋体" w:eastAsia="宋体"/>
          <w:sz w:val="21"/>
          <w:szCs w:val="21"/>
          <w:lang w:eastAsia="zh-CN"/>
        </w:rPr>
        <w:t xml:space="preserve">程开甲少年书院智能化系统</w:t>
      </w:r>
      <w:r>
        <w:rPr>
          <w:rFonts w:hint="eastAsia" w:ascii="宋体" w:hAnsi="宋体" w:eastAsia="宋体"/>
          <w:color w:val="000000" w:themeColor="text1"/>
          <w:sz w:val="21"/>
          <w:szCs w:val="21"/>
          <w14:textFill>
            <w14:solidFill>
              <w14:schemeClr w14:val="tx1"/>
            </w14:solidFill>
          </w14:textFill>
        </w:rPr>
        <w:t xml:space="preserve">进行国内公开招标。欢迎有资格的供应商前来参加投标。</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一、招标编号：</w:t>
      </w:r>
      <w:r>
        <w:rPr>
          <w:rFonts w:hint="eastAsia" w:ascii="宋体" w:hAnsi="宋体" w:eastAsia="宋体"/>
          <w:color w:val="000000" w:themeColor="text1"/>
          <w:sz w:val="21"/>
          <w:szCs w:val="21"/>
          <w:lang w:eastAsia="zh-CN"/>
          <w14:textFill>
            <w14:solidFill>
              <w14:schemeClr w14:val="tx1"/>
            </w14:solidFill>
          </w14:textFill>
        </w:rPr>
        <w:t xml:space="preserve">JSZC-320509-WYZB-G2026-0003</w:t>
      </w:r>
      <w:r>
        <w:rPr>
          <w:rFonts w:hint="eastAsia" w:ascii="宋体" w:hAnsi="宋体" w:eastAsia="宋体"/>
          <w:color w:val="000000" w:themeColor="text1"/>
          <w:sz w:val="21"/>
          <w:szCs w:val="21"/>
          <w14:textFill>
            <w14:solidFill>
              <w14:schemeClr w14:val="tx1"/>
            </w14:solidFill>
          </w14:textFill>
        </w:rPr>
        <w:t xml:space="preserve">号</w:t>
      </w:r>
      <w:bookmarkEnd w:id="7"/>
      <w:r/>
      <w:bookmarkEnd w:id="8"/>
      <w:r/>
      <w:r/>
    </w:p>
    <w:p>
      <w:pPr>
        <w:spacing w:line="360" w:lineRule="auto"/>
        <w:rPr>
          <w:rFonts w:hint="eastAsia" w:ascii="宋体" w:hAnsi="宋体" w:eastAsia="宋体"/>
          <w:color w:val="000000" w:themeColor="text1"/>
          <w:sz w:val="21"/>
          <w:szCs w:val="21"/>
          <w14:textFill>
            <w14:solidFill>
              <w14:schemeClr w14:val="tx1"/>
            </w14:solidFill>
          </w14:textFill>
        </w:rPr>
      </w:pPr>
      <w:r/>
      <w:bookmarkStart w:id="10" w:name="_Toc13642116"/>
      <w:r/>
      <w:bookmarkStart w:id="11" w:name="_Toc325017298"/>
      <w:r>
        <w:rPr>
          <w:rFonts w:hint="eastAsia" w:ascii="宋体" w:hAnsi="宋体" w:eastAsia="宋体"/>
          <w:color w:val="000000" w:themeColor="text1"/>
          <w:sz w:val="21"/>
          <w:szCs w:val="21"/>
          <w14:textFill>
            <w14:solidFill>
              <w14:schemeClr w14:val="tx1"/>
            </w14:solidFill>
          </w14:textFill>
        </w:rPr>
        <w:t xml:space="preserve">二、项目概述及要求：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（一）项目概况</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程开甲少年书院是苏州市吴江区盛泽镇人民政府与江苏省苏州中学联合共建的重点教育项目，旨在弘扬科学家精神，打造拔尖创新人才培养基地。书院项目总投资1亿元，总用地面积约10.6亩，总建筑面积达12000平方米。本次采购包含书院数控系统、广播系统、网络系统、会议扩声系统等相关设备</w:t>
      </w:r>
      <w:r>
        <w:rPr>
          <w:rFonts w:hint="eastAsia" w:ascii="宋体" w:hAnsi="宋体" w:eastAsia="宋体" w:cs="宋体"/>
          <w:color w:val="auto"/>
          <w:sz w:val="21"/>
          <w:szCs w:val="21"/>
          <w:shd w:val="clear" w:color="auto" w:fill="ffffff"/>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(二)采购清单及要求</w:t>
      </w:r>
      <w:r/>
    </w:p>
    <w:tbl>
      <w:tblPr>
        <w:tblStyle w:val="745"/>
        <w:tblpPr w:horzAnchor="page" w:tblpX="1779" w:vertAnchor="text" w:tblpY="407"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1111"/>
        <w:gridCol w:w="5429"/>
        <w:gridCol w:w="440"/>
        <w:gridCol w:w="493"/>
        <w:gridCol w:w="525"/>
      </w:tblGrid>
      <w:tr>
        <w:trPr>
          <w:trHeight w:val="580"/>
        </w:trPr>
        <w:tc>
          <w:tcPr>
            <w:tcW w:w="308"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序号</w:t>
            </w:r>
            <w:r/>
          </w:p>
        </w:tc>
        <w:tc>
          <w:tcPr>
            <w:tcW w:w="651"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设备名称</w:t>
            </w:r>
            <w:r/>
          </w:p>
        </w:tc>
        <w:tc>
          <w:tcPr>
            <w:tcW w:w="318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技术参数</w:t>
            </w:r>
            <w:r/>
          </w:p>
        </w:tc>
        <w:tc>
          <w:tcPr>
            <w:tcW w:w="258"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单位</w:t>
            </w:r>
            <w:r/>
          </w:p>
        </w:tc>
        <w:tc>
          <w:tcPr>
            <w:tcW w:w="289"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数量</w:t>
            </w:r>
            <w:r/>
          </w:p>
        </w:tc>
        <w:tc>
          <w:tcPr>
            <w:tcW w:w="306"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备注</w:t>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一、书院数控系统</w:t>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前端设备</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拥挤防范摄像机</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1、智能侦测：人员密度检测，支持阈值自定义配置，超阈值报警。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2、报警的同时有语音友好提示，语言内容有适用于楼梯和场馆的两种可供选择（“上下楼梯，请注意安全”，“注意保持秩序，相互礼让，安全通行”）。</w:t>
            </w:r>
            <w:r/>
          </w:p>
          <w:p>
            <w:pPr>
              <w:jc w:val="left"/>
              <w:widowControl/>
              <w:rPr>
                <w:rFonts w:hint="eastAsia" w:ascii="宋体" w:hAnsi="宋体" w:eastAsia="宋体" w:cs="宋体"/>
                <w:color w:val="auto"/>
                <w:sz w:val="20"/>
              </w:rPr>
            </w:pPr>
            <w:r>
              <w:rPr>
                <w:rFonts w:hint="eastAsia" w:ascii="宋体" w:hAnsi="宋体" w:eastAsia="宋体" w:cs="宋体"/>
                <w:color w:val="auto"/>
                <w:sz w:val="20"/>
              </w:rPr>
              <w:t xml:space="preserve">3、</w:t>
            </w:r>
            <w:r>
              <w:rPr>
                <w:rFonts w:hint="eastAsia" w:ascii="宋体" w:hAnsi="宋体" w:eastAsia="宋体" w:cs="宋体"/>
                <w:color w:val="auto"/>
                <w:sz w:val="20"/>
                <w:lang w:bidi="ar"/>
              </w:rPr>
              <w:t xml:space="preserve">支持开放应用平台（HEOP），可配套线上应用商城和管理平台，对智能应用进行安装、卸载、升级，并可导入第三方智能应用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支持1.5 TOPS算力、60 MB系统内存、400 MB智能内存、2 GB eMMC存储资源共享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支持AI开放平台（AIOP），支持AI模型的下发和运行，检测结果的生成和上传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设备出厂支持拥挤检测智能APP（默认开启）、周界防范，支持动态加载智能APP，可同时启用1个智能APP，并可查看设备应用资源基本信息，如系统内存、智能内存、FLASH等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最高分辨率可达2560 × 1440 @25 fps，在该分辨率下可输出实时图像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支持背光补偿，强光抑制，3D数字降噪，120 dB宽动态，适应不同环境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支持白光/红外双补光，红外光最远可达30 m，白光最远可达20 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支持多种事件检测和异常侦测，支持智能警戒，支持联动声音报警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支持开放型网络视频接口，ISAPI，SDK，GB28181，萤石云，ISUP协议接入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支持ROI感兴趣区域增强编码，支持Smart265/264编码，可根据场景情况自适应调整码率分配，有效节省存储成本</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1个内置麦克风，1个内置扬声器，支持双向语音对讲</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支持1路报警输入，1路报警输出（报警输出最大支持DC24 V，1 A或AC24 V，1 A），1路音频输入，1路音频输出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支持最大512 GB MicroSD/MicroSDHC/MicroSDXC卡本地存储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支持H.265/H.264/MJPEG视频压缩算法，支持多级别视频质量配置、编码复杂度设置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支持DC12 V，100 mA电源输出，用于拾音器供电；支持PoE供电功能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符合IP66防尘防水设计，可靠性高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传感器类型</w:t>
            </w:r>
            <w:r>
              <w:rPr>
                <w:rStyle w:val="1307"/>
                <w:rFonts w:hint="eastAsia" w:ascii="宋体" w:hAnsi="宋体" w:eastAsia="宋体" w:cs="宋体"/>
                <w:color w:val="auto"/>
                <w:lang w:bidi="ar"/>
              </w:rPr>
              <w:t xml:space="preserve"> </w:t>
            </w:r>
            <w:r>
              <w:rPr>
                <w:rStyle w:val="1226"/>
                <w:rFonts w:hint="default"/>
                <w:color w:val="auto"/>
                <w:lang w:bidi="ar"/>
              </w:rPr>
              <w:t xml:space="preserve">1/3" Progressive Scan CMOS</w:t>
            </w:r>
            <w:r>
              <w:rPr>
                <w:rStyle w:val="1226"/>
                <w:rFonts w:hint="default"/>
                <w:color w:val="auto"/>
                <w:lang w:bidi="ar"/>
              </w:rPr>
              <w:br/>
            </w:r>
            <w:r>
              <w:rPr>
                <w:rStyle w:val="1226"/>
                <w:rFonts w:hint="default"/>
                <w:color w:val="auto"/>
                <w:lang w:bidi="ar"/>
              </w:rPr>
              <w:t xml:space="preserve">最低照度</w:t>
            </w:r>
            <w:r>
              <w:rPr>
                <w:rStyle w:val="1307"/>
                <w:rFonts w:hint="eastAsia" w:ascii="宋体" w:hAnsi="宋体" w:eastAsia="宋体" w:cs="宋体"/>
                <w:color w:val="auto"/>
                <w:lang w:bidi="ar"/>
              </w:rPr>
              <w:t xml:space="preserve"> </w:t>
            </w:r>
            <w:r>
              <w:rPr>
                <w:rStyle w:val="1226"/>
                <w:rFonts w:hint="default"/>
                <w:color w:val="auto"/>
                <w:lang w:bidi="ar"/>
              </w:rPr>
              <w:t xml:space="preserve">彩色：0.005 Lux @（F1.2，AGC ON），0 Lux with Light</w:t>
            </w:r>
            <w:r>
              <w:rPr>
                <w:rStyle w:val="1226"/>
                <w:rFonts w:hint="default"/>
                <w:color w:val="auto"/>
                <w:lang w:bidi="ar"/>
              </w:rPr>
              <w:br/>
            </w:r>
            <w:r>
              <w:rPr>
                <w:rStyle w:val="1226"/>
                <w:rFonts w:hint="default"/>
                <w:color w:val="auto"/>
                <w:lang w:bidi="ar"/>
              </w:rPr>
              <w:t xml:space="preserve">最大图像尺寸</w:t>
            </w:r>
            <w:r>
              <w:rPr>
                <w:rStyle w:val="1307"/>
                <w:rFonts w:hint="eastAsia" w:ascii="宋体" w:hAnsi="宋体" w:eastAsia="宋体" w:cs="宋体"/>
                <w:color w:val="auto"/>
                <w:lang w:bidi="ar"/>
              </w:rPr>
              <w:t xml:space="preserve"> 2560 × 1440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快门 1/3 s~1/100,000 s</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宽动态 120 dB</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日夜切换模式 ICR红外滤片式</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调节角度 水平：0~360°，垂直：0~75°，旋转：0~360°</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焦距＆视场角 2.8 mm，水平视场角：102.7°，垂直视场角：55.3°，对角视场角：121.9°</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最大光圈数 F1.6</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镜头尺寸接口 M12</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光学变倍 不支持</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光圈类型 固定光圈</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补光灯类型 支持白光，红外补光</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补光距离 红外光最远可达30 m，白光最远可达20 m</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红外波长范围 850 nm</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开放资源规格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系统内存：60 MB</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智能内存：400 MB</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Flash：2 GB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整机算力 1.5 TOPS</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开放能力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基础业务逻辑能力，基础媒体服务能力，深度学习推理加速能力</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BASE库：提供RTSP/ISAPI服务、HTTP代理服务、License授权服务、端口服务、日志服务等</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BSC库：提供多媒体视频服务和相应图像加速处理工具，包括获取YUV原始数据流、图像缩放、JPEG编解码、OSD叠加等功能，方便搭建差异化的智能处理框架</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HIKFLOW库：提供深度学习推理加速能力、常见图像处理加速能力，包括缩放、颜色空间转换等</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深度学习框架 Caffe，PyTorch，TensorFlow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开发语言 C，C++</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主码流帧率分辨率 50 Hz：25 fps（2560 × 1440，1920 × 1080，1280 × 720）</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子码流帧率分辨率 50 Hz：25 fps（640 × 480，640 × 360）</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视频压缩标准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主码流：H.265/H.264</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子码流：H.265/H.264/MJPEG</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视频压缩码率 32 Kbps~8 Mbps</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H.264编码类型 BaseLine Profile/Main Profile/High Profile</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H.265编码类型 Main Profile</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Smart264编码 主码流支持</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Smart265编码 主码流支持</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码率控制 定码率，变码率</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SVC 支持</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ROI 支持主码流设置4个固定区域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音频环境噪声过滤 支持</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音频采样率 8 kHz/16 kHz</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音频压缩标准 G.711ulaw/G.711alaw/G.722.1/G.726/MP2L2/PCM/AAC-LC/MP3</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音频压缩码率 64 Kbps（G.711ulaw/G.711alaw）/16 Kbps（G.722.1）/16 Kbps（G.726）/32~192 Kbps（MP2L2）/16~64 Kbps（AAC-LC）/8~320 Kbps（MP3）</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同时预览路数 最多6路</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接口协议（API） 开放型网络视频接口（Profile S，Profile G），ISAPI，SDK，GB28181（2016），萤石云协议，ISUP</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网络协议 TCP/IP，ICMP，HTTP，HTTPS，FTP，DHCP，DNS，DDNS，RTP，RTSP，NTP，UPnP，SMTP，IGMP，802.1X，QoS，IPv6，UDP，Bonjour，SSL/TLS，PPPoE，SNMP，WebSocket，WebSockets</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用户管理 最多32个用户，可分3级用户权限管理：管理员，操作员，普通用户</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网络存储 支持NAS（NFS，SMB/CIFS均支持），MicroSD/MicroSDHC/MicroSDXC卡（最大512 GB），断网本地录像存储及断网续传，配合支持SD卡加密及SD卡状态检测</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浏览器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使用插件支持：IE10，IE11</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使用本地服务支持：Chrome 57.0+，Firefox 52.0+，Edge 89+</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SD卡扩展 内置MicroSD/MicroSDHC/MicroSDXC插槽，最大支持512 GB</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内置麦克风 1个内置麦克风</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内置扬声器 1个内置扬声器</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音频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1路输入（Line in），最大输入幅值：3.3 Vpp，输入阻抗：4.7 kΩ，接口类型：非平衡</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1路输出（Line out），最大输出幅值：3.3 Vpp，输出阻抗：100 Ω，接口类型：非平衡</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报警 1路输入，1路输出，最大支持AC24/DC24 V, 1 A</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网络 1个RJ45 10 M/100 M自适应以太网口</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复位 支持</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电源输出 DC12 V，100 mA，建议用于拾音器供电</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报警触发 移动侦测，遮挡报警，异常</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Smart事件 区域入侵侦测，越界侦测，进入区域侦测，离开区域侦测</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联动方式 上传FTP/SD卡/NAS，上传中心，邮件，录像，抓图，声音报警</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通用功能 心跳，密码保护，水印技术，IP地址过滤，像素计算器</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恢复出厂设置 支持RESET按键，客户端或浏览器恢复</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启动和工作温湿度 -30 °C~60 °C，湿度小于95%（无凝结）</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供电方式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DC：12 V ± 25%，支持防反接保护</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PoE：IEEE 802.3af，CLASS 3</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电流及功耗 </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DC：12 V，0.75 A，最大功耗：9 W</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PoE：IEEE 802.3af，CLASS 3，最大功耗：10.5 W</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电源接口类型 Ø5.5 mm圆口</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外壳材质 球体金属，底座固定罩塑料</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螺丝钉材料 SUS304</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辐射等级 Class A</w:t>
            </w:r>
            <w:r>
              <w:rPr>
                <w:rStyle w:val="1307"/>
                <w:rFonts w:hint="eastAsia" w:ascii="宋体" w:hAnsi="宋体" w:eastAsia="宋体" w:cs="宋体"/>
                <w:color w:val="auto"/>
                <w:lang w:bidi="ar"/>
              </w:rPr>
              <w:br/>
            </w:r>
            <w:r>
              <w:rPr>
                <w:rStyle w:val="1307"/>
                <w:rFonts w:hint="eastAsia" w:ascii="宋体" w:hAnsi="宋体" w:eastAsia="宋体" w:cs="宋体"/>
                <w:color w:val="auto"/>
                <w:lang w:bidi="ar"/>
              </w:rPr>
              <w:t xml:space="preserve">防护 </w:t>
            </w:r>
            <w:r>
              <w:rPr>
                <w:rFonts w:hint="eastAsia" w:ascii="宋体" w:hAnsi="宋体" w:eastAsia="宋体" w:cs="宋体"/>
                <w:color w:val="auto"/>
                <w:sz w:val="20"/>
                <w:lang w:bidi="ar"/>
              </w:rPr>
              <w:t xml:space="preserve">≥</w:t>
            </w:r>
            <w:r>
              <w:rPr>
                <w:rStyle w:val="1307"/>
                <w:rFonts w:hint="eastAsia" w:ascii="宋体" w:hAnsi="宋体" w:eastAsia="宋体" w:cs="宋体"/>
                <w:color w:val="auto"/>
                <w:lang w:bidi="ar"/>
              </w:rPr>
              <w:t xml:space="preserve">IP66</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楼梯口</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车辆抓拍摄像机</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1、采用1英寸900万像素彩色全局曝光CMOS</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★2、最大分辨率可达4096×2160，最大帧率达25帧。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★3、多种触发模式：支持线圈触发、视频触发等多种触发模式；</w:t>
            </w:r>
            <w:r/>
          </w:p>
          <w:p>
            <w:pPr>
              <w:numPr>
                <w:ilvl w:val="0"/>
                <w:numId w:val="3"/>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捕获率高，纯视频识别，纯视频抓拍时可捕获无车牌。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5、可同时支持控制爆闪灯和LED频闪灯同步补光。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支持驾驶室目标检测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6、深度学习智能识别，可以对车辆的车牌、车身颜色、车型、主品牌及子品牌等信息进行检测。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7、支持10种车身颜色，8种车型，220种车标和3000种子品牌识别等车辆特征识别。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8、防跟车模式：对于连续过车的场景，可实现跟车不落杆，有效解决拥堵问题。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9、授权名单控制，可选配TF卡，支持授权名单的导入及对比，可直接联动道闸开闸，支持脱机运行。</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出入口人脸抓拍单元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采用1英寸900万像素彩色全局曝光CMOS，最大分辨率可达4096×2160，最大帧率达25帧。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多种触发模式：支持线圈触发、视频触发等多种触发模式；捕获率高，纯视频识别，纯视频抓拍时可捕获无车牌。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可同时支持控制爆闪灯和LED频闪灯同步补光。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支持驾驶室目标检测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深度学习智能识别，可以对车辆的车牌、车身颜色、车型、主品牌及子品牌等信息进行检测。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支持10种车身颜色，8种车型，220种车标和3000种子品牌识别等车辆特征识别。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防跟车模式：对于连续过车的场景，可实现跟车不落杆，有效解决拥堵问题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授权名单控制，可选配TF卡，支持授权名单的导入及对比，可直接联动道闸开闸，支持脱机运行。</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10、传感器类型：1英寸彩色全局曝光 CMOS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镜头：定焦镜头 16mm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视频编码格式：H.264/H265/MJPEG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图像格式：JPEG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最大图像尺寸：4096 ×2160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帧率：25fps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11、智能识别：支持车型识别、车标识别、车辆子品牌，车身颜色识别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功能：支持线圈，视频等触发模式；可以对车辆的车牌，车身颜色，车型、主品牌及子品牌等信息进行检测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捕获率：≥99%（线圈触发），≥98%（视频触发）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车牌识别准确率：≥99%</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车牌识别种类：民用车牌，新能源车牌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12、人脸检测：车窗目标检测功能，支持主、副驾驶的目标扣取和图片输出。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13、车型识别种类：支持客车，大货车，轿车，面包车，小货车，SUV/MPV，中型客车，皮卡等车型 </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14、通讯接口：2个100M/1000M 自适应RJ45 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音频输入：1路音频输入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音频输出：1路音频输出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触发输入：2个触发/报警输入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触发输出：2路IO输出；2个继电器输出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补光灯：支持闪光灯或LED 频闪灯同步补光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电源：100VAC～240VAC；频率：48Hz～52Hz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功耗：＜20W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防护等级：≥IP65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车辆抓拍摄像机支架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壁装支架/铝合金</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气体爆闪灯</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闪光能量：60J</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色温：5600K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回电时间：＜500ms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峰值闪光持续时间：＜0.1ms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工作寿命：≥300万次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触发方式：电平，+5VDC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覆盖范围:3m～4m@10m处</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有效补光距离:10m～16m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电压:154VAC～265VAC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频率:48Hz～52Hz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功耗:平均＜16W（@1闪/s）防护等级:≥IP65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功能特性：白光闪光灯,覆盖1车道,220VAC,3m～4m@10m处,同时支持电平量或开关量触发</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辅助立柱</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立杆高度：1.6米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1.6米可安装EVU\TCV出入口抓拍单元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0.75米处可安装“四行LED显示屏”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不看驾驶员人脸时安装EVU2535补光抓拍单元；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看驾驶员人脸时用2根立柱，1根立柱安装抓拍单元TCV300-BU/TCV900-BU，另外1根立柱安装爆闪补光灯</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人像抓拍摄像机</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采用深度学习算法，以海量图片及视频资源为路基，通过机器自身提取目标特征，形成深层可供学习的人脸图像。极大的提升了目标人脸的检出率；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支持智能资源模式切换：人脸抓拍（默认）、道路监控、Smart事件、普通监控；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人脸抓拍模式：a)支持对运动人脸进行检测、抓拍、评分、筛选，输出人脸抓拍结果，b)支持人脸去误报、快速抓拍人脸，c)支持两种人脸抓拍模式，d)最多同时检测30张人脸，e)支持人脸去重；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道路监控模式：a)车辆检测：支持车牌识别并抓拍，车型/车品牌/车身颜色/车牌颜色识别，b)混行检测：检测正向或逆向行驶的车辆以及行人和非机动车，自动对车辆牌照进行识别，可以抓拍无车牌的车辆图片，c)支持卡口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Smart事件模式：支持越界侦测，区域入侵侦测，进入/离开区域侦测，徘徊侦测，人员聚集侦测，快速运动侦测，停车侦测，物品遗留/拿取侦测，场景变更侦测，音频陡升/陡降侦测，音频有无侦测，虚焦侦测；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设备内置高效温和补光灯，告别光污染，保证夜间正常进行人脸抓拍；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设备支持上下双通道镜头，上通道内置电动变焦镜头，操作便易，变焦过程平稳；下通道定焦全彩镜头，满足低照度下的监控需求；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细节通道传感器采用1/1.8＂CMOS，全景通道采用1/2.7"CMOS。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通道一主码流分辨率不小于2560x1440，通道二主码流分辨率不小于1920x1080。</w:t>
            </w:r>
            <w:r>
              <w:rPr>
                <w:rFonts w:hint="eastAsia" w:ascii="宋体" w:hAnsi="宋体" w:eastAsia="宋体" w:cs="宋体"/>
                <w:color w:val="auto"/>
                <w:sz w:val="20"/>
                <w:highlight w:val="yellow"/>
                <w:lang w:bidi="ar"/>
              </w:rPr>
              <w:br/>
            </w:r>
            <w:r>
              <w:rPr>
                <w:rFonts w:hint="eastAsia" w:ascii="宋体" w:hAnsi="宋体" w:eastAsia="宋体" w:cs="宋体"/>
                <w:color w:val="auto"/>
                <w:sz w:val="20"/>
                <w:lang w:bidi="ar"/>
              </w:rPr>
              <w:t xml:space="preserve">细节通道靶面尺寸不小于1/1.8英寸。</w:t>
            </w:r>
            <w:r>
              <w:rPr>
                <w:rFonts w:hint="eastAsia" w:ascii="宋体" w:hAnsi="宋体" w:eastAsia="宋体" w:cs="宋体"/>
                <w:color w:val="auto"/>
                <w:sz w:val="20"/>
                <w:highlight w:val="yellow"/>
                <w:lang w:bidi="ar"/>
              </w:rPr>
              <w:br/>
            </w:r>
            <w:r>
              <w:rPr>
                <w:rFonts w:hint="eastAsia" w:ascii="宋体" w:hAnsi="宋体" w:eastAsia="宋体" w:cs="宋体"/>
                <w:color w:val="auto"/>
                <w:sz w:val="20"/>
                <w:lang w:bidi="ar"/>
              </w:rPr>
              <w:t xml:space="preserve">最低照度彩色不大于0.0005 lx，黑白不大于0.0001 lx。</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上镜头支持电动变焦。</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支持H.264、H.265、MJPEG视频编码格式，可将H.264  H.265格式设置为High Profile。</w:t>
            </w:r>
            <w:r>
              <w:rPr>
                <w:rFonts w:hint="eastAsia" w:ascii="宋体" w:hAnsi="宋体" w:eastAsia="宋体" w:cs="宋体"/>
                <w:color w:val="auto"/>
                <w:sz w:val="20"/>
                <w:highlight w:val="yellow"/>
                <w:lang w:bidi="ar"/>
              </w:rPr>
              <w:br/>
            </w:r>
            <w:r>
              <w:rPr>
                <w:rFonts w:hint="eastAsia" w:ascii="宋体" w:hAnsi="宋体" w:eastAsia="宋体" w:cs="宋体"/>
                <w:color w:val="auto"/>
                <w:sz w:val="20"/>
                <w:lang w:bidi="ar"/>
              </w:rPr>
              <w:t xml:space="preserve">同一静止场景相同图像质量下，设备在H.265编码方式时，开启智能编码功能和不开启智能编码相比，码率节约50%。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在分辨率1920x1080，码流设置为1Mbps时，视频图像传输延时不大于60ms。</w:t>
            </w:r>
            <w:r>
              <w:rPr>
                <w:rFonts w:hint="eastAsia" w:ascii="宋体" w:hAnsi="宋体" w:eastAsia="宋体" w:cs="宋体"/>
                <w:color w:val="auto"/>
                <w:sz w:val="20"/>
                <w:highlight w:val="yellow"/>
                <w:lang w:bidi="ar"/>
              </w:rPr>
              <w:br/>
            </w:r>
            <w:r>
              <w:rPr>
                <w:rFonts w:hint="eastAsia" w:ascii="宋体" w:hAnsi="宋体" w:eastAsia="宋体" w:cs="宋体"/>
                <w:color w:val="auto"/>
                <w:sz w:val="20"/>
                <w:lang w:bidi="ar"/>
              </w:rPr>
              <w:t xml:space="preserve">内置不少于1颗GPU芯片。</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支持固件安全检验功能，摄像机uboot应采用加密存储，通过离线烧写存储器方式写入的uboot执行程序，不能被硬件微引导程序加载执行。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设备具有耀光抑制功能，耀光区域≤1%。</w:t>
            </w:r>
            <w:r>
              <w:rPr>
                <w:rFonts w:hint="eastAsia" w:ascii="宋体" w:hAnsi="宋体" w:eastAsia="宋体" w:cs="宋体"/>
                <w:color w:val="auto"/>
                <w:sz w:val="20"/>
                <w:highlight w:val="yellow"/>
                <w:lang w:bidi="ar"/>
              </w:rPr>
              <w:br/>
            </w:r>
            <w:r>
              <w:rPr>
                <w:rFonts w:hint="eastAsia" w:ascii="宋体" w:hAnsi="宋体" w:eastAsia="宋体" w:cs="宋体"/>
                <w:color w:val="auto"/>
                <w:sz w:val="20"/>
                <w:lang w:bidi="ar"/>
              </w:rPr>
              <w:t xml:space="preserve">内置不少于6颗混合补光灯。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支持对镜头前盖玻璃加热，去除玻璃上的冰状和水状附着物。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支持IP67防尘防水等级。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内置不少于2个麦克风，1个扬声器，3路报警输入，2路报警输出，2路音频输入，1路音频输出，1个DC12V电压输出接口，支持DC12V。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支持标准的512 GB MicroSD/MicroSDHC/MicroSDXC卡存储，支持10 M/100 M自适应网口；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最高分辨率可达400万像素，并在此分辨率下可输出25 fps实时图像，图像更流畅，支持透雾，支持宽动态120 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支持开放型网络视频接口，ISAPI，GB/T28181-2016，ISUP5.0，视图库，Otap；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支持三码流技术，支持同时20路取流；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支持三级用户权限管理，支持授权的用户和密码，支持IP地址过滤；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电源供应：DC：12 V ± 20%；PoE：802.3at，Type 2，Class 4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最低照度：通道1：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彩色：0.0005 Lux @（F1.2，AGC ON），0 Lux with Light</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黑白：0.0001 Lux @（F1.2，AGC ON），0 Lux with IR</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通道2：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彩色：0.0005 Lux @（F1.0，AGC ON），0 Lux with Light</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黑白：0.0001 Lux @（F1.0，AGC ON），0 Lux with IR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传感器类型：通道1：1/1.8" Progressive Scan CMOS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通道2：1/2.7" Progressive Scan CMOS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宽动态：120 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焦距&amp;视场角：通道1：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8~32 mm：水平视场角：40.3°~14.5°，垂直视场角：22.1°~8.2°，对角视场角：46.9°~16.5°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通道2：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mm：水平视场角：84°，垂直视场角：45°，对角视场角：99°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补光灯类型：混合补光（支持白光模式和混光模式），850 nm+暖白光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补光距离：通道1：普通监控：50 m，人脸抓拍/识别：15 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通道2：普通监控：30 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防补光过曝：支持开启和关闭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最大图像尺寸：通道1：2688 × 1520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通道2：1920 × 1080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视频压缩标准：H.265/H.264/MJPEG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接口类型：外甩线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网络：1个RJ45 10 M/100 M自适应以太网口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SD卡扩展：内置MicroSD/MicroSDHC/MicroSDXC 插槽，最大支持512 GB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音频：2个内置麦克风，1个内置扬声器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复位：支持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供电方式：DC：12 V ± 20%，支持防反接保护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PoE：802.3at，Type 2，Class 4</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电源接口类型：3芯接口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存储温湿度：-30 °C~60 °C，湿度小于95%（无凝结）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启动和工作温湿度：-30 °C~60 °C，湿度小于95%（无凝结）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电流及功耗：DC：12 V，1.2 A，最大功耗：14 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PoE：802.3at，36 V~57 V，0.43 A~0.27 A，最大功耗：16.68 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恢复出厂设置：支持RESET按键，客户端或浏览器恢复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在线升级：支持 </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人像抓拍摄像机支架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壁装支架/铝合金</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危险品识别摄像机</w:t>
            </w:r>
            <w:r/>
          </w:p>
        </w:tc>
        <w:tc>
          <w:tcPr>
            <w:tcW w:w="3185" w:type="pct"/>
            <w:vAlign w:val="center"/>
            <w:textDirection w:val="lrTb"/>
            <w:noWrap w:val="false"/>
          </w:tcPr>
          <w:p>
            <w:pPr>
              <w:numPr>
                <w:ilvl w:val="0"/>
                <w:numId w:val="4"/>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支持开放应用平台（HEOP），可配套线上应用商城和管理平台，对智能应用进行安装、卸载、升级，可导入第三方智能应用，共享算力1.5 T、系统内存60 MB、智能内存600 MB、eMMC存储资源2 GB；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2、支持AI开放平台，支持AI模型的下发和运行，生成检测结果并上传业务平台 ；</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3、采用深度学习硬件及算法，提供精准的人车分类侦测，支持越界侦测，区域入侵侦测，进入区域侦测和离开区域侦测；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4、最高分辨率可达400万像素，并在此分辨率下可输出30 fps实时图像，图像更流畅，支持透雾，支持宽动态120 dB；</w:t>
            </w:r>
            <w:r/>
          </w:p>
          <w:p>
            <w:pPr>
              <w:numPr>
                <w:ilvl w:val="0"/>
                <w:numId w:val="5"/>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标配2个内置麦克风，1内置扬声器，1路音频输入，1路音频输出；</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6、支持开放型网络视频接口，ISAPI，GB/T28181-2016，ISUP5.0，视图库；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支持标准的256 GB MicroSD/MicroSDHC/MicroSDXC卡存储，支持10 M/100 M自适应网口；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支持三级用户权限管理，支持授权的用户和密码，支持IP地址过滤；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支持三码流技术，支持同时20路取流；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支持2560x1440 @ 25fps，分辨力不小于1500TVL。</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内置GPU芯片。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支持将智能资源分配设置为Smart事件或AI开放平台。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可通过IE浏览器查看设备芯片类型和算法版本号。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▲7、支持用户自定义不低于 4个算法模型，可设置当前生效的算法模型和显示当前算法模型的运行状态，并支持修改、删除算法模型及自定义算法模型名称；支持算法离线或在线加载和升级等操作，升级过程中设备输出的视频画面应连续稳定，升级完成后设备不应重启。</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8、最低照度彩色：0.005 lx，黑白:0.001 lx，最大亮度鉴别等级不小于11级。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红外补光距离不小于50米。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需支持三码流技术，支持主码流2560x1440@25fps、子码流704x576@25fps、第三码流1920x1080@25fps。</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支持H.264、H.265、MJPEG视频编码格式，且具有High Profile编码能力。</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9、同一静止场景相同图像质量下，设备在H.265编码方式时，开启智能编码功能和不开启智能编码相比，码率节约80%。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10、支持对存储卡进行读写锁定，锁定后的存储卡在移动终端需要密码才能访问。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支持防水防尘等级不小于IP67。</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支持电源电压DC12V±20%的范围内正常工作，支持防反接保护和PoE供电。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支持内置2个麦克风，1个扬声器，1路音频输入，1路音频输出，1路报警输入，1路报警输出，1个RS-485接口，一个DC12V电压输出接口。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▲11、摄像机内置4颗补光灯，灯杯为半弧形网格鳞片状；灯珠照射方向与样机镜头照射方向不同，补光灯开启后正面不可见补光灯灯珠,灯光均匀无波纹、麻点状、条纹状或不规则亮斑。</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12、电源供应：DC：12 V ± 20%；PoE：802.3at，Type 2，Class 4；</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宽动态：120 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传感器类型：1/2.7" Progressive Scan CMOS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最低照度：彩色：0.005 Lux @（F1.2，AGC ON）</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黑白：0.001 Lux @（F1.2，AGC ON），0 Lux with IR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焦距&amp;视场角：2.8 mm，水平视场角：98.2°，垂直视场角：54.2°，对角视场角：114.6°</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mm，水平视场角：78.8°，垂直视场角：42.3°，对角视场角：93.4°</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 mm，水平视场角：49.1°，垂直视场角：26.3°，对角视场角：57.2°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 mm，水平视场角：37.5°，垂直视场角：20.7°，对角视场角：43.3°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13、防补光过曝：支持防补光过曝开启和关闭，开启下支持自动和手动，手动支持根据距离等级控制补光灯亮度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补光灯类型：默认红外补光，可切换暖白光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补光距离：暖白光：最远可达30 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红外光：最远可达50 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红外波长范围：850 nm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最大图像尺寸：2560 × 1440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视频压缩标准：H.265/H.264/MJPEG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接口类型：外甩线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复位：支持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14、电源输出：DC12 V，100 mA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报警：1路输入，1路输出（报警输入支持开关量，报警输出最大支持DC12 V，30 mA）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RS-485：1个RS-485（采用半双工模式，支持自适应HIKVISION，PELCO-P和PELCO-D协议）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SD卡扩展：内置MicroSD/MicroSDHC/MicroSDXC 插槽，最大支持256 GB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视频输出：1 Vp-p Composite Output（75 Ω/CVBS）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视频输出分辨率：704 × 576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网络：1个RJ45 10 M/100 M自适应以太网口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音频：1 路输入（Line in），1路输出（Line out），2个内置麦克风，1个内置扬声器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电流及功耗：DC：12 V，1.2 A，最大功耗：15 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PoE：802.3at，36 V~57 V，0.36 A~0.23 A，最大功耗：16.1 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存储温湿度：-30 °C~60 °C，湿度小于95%（无凝结）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启动和工作温湿度：-30 °C~60 °C，湿度小于95%（无凝结）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供电方式：DC：12 V ± 20%，支持防反接保护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PoE：802.3at，Type 2，Class 4</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电源接口类型：3芯接口 </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消控室两侧</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危险品识别摄像机支架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壁装支架/铝合金</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存储设备</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84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车辆抓拍存储终端</w:t>
            </w:r>
            <w:r/>
          </w:p>
        </w:tc>
        <w:tc>
          <w:tcPr>
            <w:tcW w:w="3185" w:type="pct"/>
            <w:vAlign w:val="center"/>
            <w:textDirection w:val="lrTb"/>
            <w:noWrap w:val="false"/>
          </w:tcPr>
          <w:p>
            <w:pPr>
              <w:numPr>
                <w:ilvl w:val="0"/>
                <w:numId w:val="6"/>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支持12个IP摄像机（单路码率10M）的过车记录存储、图片存储、视频存储、数据上传、视频流转发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2、混合接入普通监控用摄像机、智慧监控摄像机、卡口电子警察抓拍机、网络球机等多种前端设备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3、坚固紧凑无风扇设计，体积小巧，适合在路边机柜及抱杆机柜使用，单面接口设计，更便于施工操作</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4、可设置图片的存储空间，在规定的空间内自动循环覆盖，剩余空间为录像存储空间。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▲6、对于在记录过程中出现的系统死机或意外故障，设备能够在规定的时间内自动恢复其正常工作状态并使故障前的信息不丢失。</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7、设备内的录像、图片文件无法直接删除或者修改，只能通过循环覆盖和硬盘格式化操作。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实时显示接入的摄像机、线圈、车检器、红绿灯检测器等前端设备的工作状态、样机内部温度、工作时间等信息；外接机柜门时具有机柜门状态实时显示与查询功能。9、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触发输入：1个报警输入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触发输出：1个报警输出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支持GPS：不支持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支持4G：不支持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光纤接口数量：2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硬盘盘位数量：1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USB数量：1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RJ45接口：8个100M以太网接口，2个10/100/1000M自适应以太网接口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RS485接口：1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RS232接口：2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工作指示灯：4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视频压缩标准：H.264；H.265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通用功能：心跳,密码保护,NTP校时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接入路数：12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工作温度：温度-30℃~70℃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工作湿度：湿度5%~95%@40℃，无凝结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电源：DC12V±10%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功耗：30W MAX</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行为分析存储终端</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技术参数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2U机架式9盘位嵌入式边缘计算主机，采用存算一体架构，内置高性能AI处理器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【硬件规格】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存储接口：9个SATA接口，支持硬盘热插拔，可满配16TB硬盘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视频接口：2×HDMI，2×VGA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网络接口：2×RJ45 10/100/1000Mbps自适应以太网口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报警接口：16路报警输入，4路报警输出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串行接口：1路RS-232接口，1路全双工RS-485接口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USB接口：2×USB 2.0，2×USB 3.0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扩展接口：1×eSATA</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【产品性能】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输入带宽：384Mbps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输出带宽：256Mbps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接入能力：64路H.264、H.265格式高清码流接入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解码能力：最大支持32×1080P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显示能力：最大支持8K+1080P、2×4K异源输出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RAID模式：RAID0、RAID1、RAID5、RAID6、RAID10，支持全局热备盘</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【智能模式】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产品具备两种工作模式，整机搭载2颗AI引擎，可灵活应对不同的应用需求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模式一：文搜模式（默认）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1颗文搜引擎，1颗以图搜图引擎</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模式二：非文搜模式（通用智能分析）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2颗引擎均可独立配置（6选1）：目标识别、周界防范、周界大模型二次分析、视频结构化、以图搜图、高空抛物</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【智能应用】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一、智能文搜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支持文搜功能，开放式语义检索，输入文字描述即可查找相关目标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支持人，车，非机动车以及附属物的开放式属性检索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支持秒级检索响应，检索结果快速返回</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视频流（普通IPC）：4路视频流（2MP)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图片流：64路图片流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单颗文搜引擎分析能力：64路图片流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使用文搜功能需要同时开启以图搜图引擎，单颗以图搜图引擎分析能力：64路图片流或4路2MP/2路4MP/1路8MP视频流</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二、以图搜图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支持以图搜图功能，可对视频预览和录像中的目标实现快速检索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图片流：64路图片流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单颗AI引擎分析能力：64路图片流</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三、目标识别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支持目标抓拍、比对报警；支持以图搜图、按姓名检索、按属性检索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目标名单库：支持32个名单库，名单库库容10万张；路人库库容10万张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视频流：16路视频流（4MP）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图片流：64路图片流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目标客流：支持客流分析（图片流），支持4个客流统计组去重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目标应用：签到、频次（高频、低频）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单颗AI引擎分析能力：32路图片流或8路2MP/8路4MP/4路8MP视频流</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四、周界防范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支持周界算法（越界侦测、区域入侵、进入区域、离开区域）事件报警及联动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支持大模型周界的二次分析功能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视频流：24路视频流（2MP）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图片流：64路图片流大模型周界防范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单颗AI引擎分析能力：32路图片流或12路2MP/6路4MP/2路8MP视频流</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五、视频结构化</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支持目标，人体，车辆，非机动车抓拍，支持人体以图搜图及属性检索，支持车牌识别，车牌库报警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视频流：12路视频流（2MP）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单颗AI引擎分析能力：6路2MP/3路4MP/2路8MP视频流</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六、高空抛物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支持后智能高空抛物检测，支持高空抛物轨迹展示、抛物事件录像和图片快速检索溯源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视频流：12路视频流（4MP）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单颗AI引擎分析能力：6路4MP/4路8MP视频流</w:t>
            </w:r>
            <w:r>
              <w:rPr>
                <w:rFonts w:hint="eastAsia" w:ascii="宋体" w:hAnsi="宋体" w:eastAsia="宋体" w:cs="宋体"/>
                <w:color w:val="auto"/>
                <w:sz w:val="20"/>
                <w:lang w:bidi="ar"/>
              </w:rPr>
              <w:br/>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1、具有2个HDMI接口、2个VGA接口、2个RJ45 千兆网络接口；2个USB2.0接口、2个USB3.0接口、1个RS232接口、1个RS485接口（可接入RS485键盘）、1个eSata接口；1个CVBS接口，具有1路音频输入接口、2路音频输出接口、16路报警输入接口、4路报警输出接口，可内置9块SATA3.0接口硬盘。</w:t>
            </w:r>
            <w:r/>
          </w:p>
          <w:p>
            <w:pPr>
              <w:numPr>
                <w:ilvl w:val="0"/>
                <w:numId w:val="6"/>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支持最大接入带宽384Mbps，最大存储带宽384Mbps，最大转发带宽256Mbps。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可同时解码输出32路2MP、H.265编码、25fps、1920×1080格式的视频图像。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3、支持4通道输出，包括HDMI1、HDMI2、VGA1、VGA2，各输出口均支持显示系统主菜单，且均可分别进行预览、回放、配置等操作；单个HDMI接口最大支持8K（7680×4320）输出，HDMI1和HDMI2同时支持异源4K（4096×2160）输出。</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4、可设置输出分辨率为1024×768/60Hz、1280×720/60Hz、1280×1024/60Hz、1600×1200/60Hz、1920×1080/60Hz、2560×1440/60Hz、4K(3840×2160)/30Hz、4K(3840×2160)/60Hz、4K(4096×2160)/30Hz、8K（7680×4320)/30Hz选项。可自适应显示器的最佳分辨率进行图像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p>
          <w:p>
            <w:pPr>
              <w:numPr>
                <w:ilvl w:val="0"/>
                <w:numId w:val="7"/>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可接入带有温度报警、烟雾报警、障碍物遮挡报警、移动报警、防拆报警、紧急报警的智慧消防摄像机进行报警联动。</w:t>
            </w:r>
            <w:r/>
          </w:p>
          <w:p>
            <w:pPr>
              <w:numPr>
                <w:ilvl w:val="0"/>
                <w:numId w:val="7"/>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支持接入具有专家模式的移动侦测的摄像机，移动侦测报警能够区分是人、车还是其它目标产生，可录像和记录报警信息。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8、接入警戒摄像机，支持对 IPC 的声音和闪光参数进行配置， 支持通过移动侦测、区域入侵、越界侦测、进入区域和离开区域事件联动一个或多个 IPC 的声光报警，可以对声光联动一键撤防。</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9、可实现高空抛物检测区域的隐私保护，自动过滤屏蔽区域内的抛物目标，支持设置最多8个隐私遮蔽区域；可手动预标定楼层，报警后自动匹配画面中疑似抛物的楼层信息。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▲10、支持音频设备与视频设备独立管理，支持网络拾音器的接入、校时；最大支持64路音频设备管理；支持音视频动态调整组合分配功能，可将任一路音频与任一路视频组合成复合流编码。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11、可接入64路高空抛物行为检测摄像机，支持在预览界面实时展示高空抛物事件轨迹并弹窗回放轨迹信息。</w:t>
            </w:r>
            <w:r/>
          </w:p>
          <w:p>
            <w:pPr>
              <w:numPr>
                <w:ilvl w:val="0"/>
                <w:numId w:val="8"/>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可手动预标定楼层，报警后自动匹配显示画面中疑似抛物的楼层信息。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▲13、支持16路视频流人脸识别，支持48路图片流人脸识别；支持16路实时视频结构化分析，支持32路非实时视频结构化分析。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▲14、人脸库建模成功率不低于 99.99%；2个 GPU 条件下，人脸库建模速度不低于 125张/秒；支持64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15、支持周界报警过滤功能，对IPC上报越界侦测报警和区域入侵报警进行去误报，在特定条件下，可去除由树叶、灯光、车辆、阴影以及小动物引起的误报。支持设置检测目标类型，包括人体、车辆。最大支持64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16、支持常规距离、中距离、远距离三种检测模式；根据不同的检测距离，在配置界面给出最小可检出人体目标尺寸，单个通道最多同时支持 4 种周界报警模式，每种模式最多同时支持 4 个警戒区域。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▲17、人脸签到、考勤支持实时动态展示， 可自定义展示界面，预览视频和签到动态同屏显示，预览视频支持 1 分屏、2 分屏、4 分屏，签到动态支持 1 视图、4 视图、9 视图，签到动态展示信息包括姓名、注册库名称、监控点名称、签到时间，可根据签到状态（未注册、比对成功）显示不同的提示图标，支持自定义提示语。支持统计总人数、已签到人数、未签到人数；可查询所有注册人员签到、考勤记录，记录支持列表、月历两种展示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18、人脸在低头角度不超过 20°，左右侧脸不超过 45°情况下，人脸检出率不小于98%。</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19、可接入非智能IPC、人脸抓拍机、客流相机实现客流统计功能。</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20、支持多通道自由分组，可根据IPC点位部署的物理位置动态调整客流统计分组，同一个IPC点位支持被不同分组使用；最大支持8个客流组，每个客流组最大支持16个IPC。</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存储硬盘</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8TB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二、书院广播系统</w:t>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机房设备</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IP网络控制主机</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1、工业级机柜式机箱设计，≥15.1英寸LED高清触摸屏，内置4线程加固电阻触摸屏，装饰蓝背光LED开机键，尽显现代触控科技时代理念；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2、全数字化传输。与模拟信号传输相比，失真更小，信噪比更高；以局域网为主要媒介，可利用已有局域网运行，实现多网合一；亦可在互联网上使用，但其性能要受网络带宽的限制；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3、12路音频输入，4路音频信号输出；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4、可对任意点和多点寻呼(音源无限制) ；可定时某路音源在某一点或多点播放；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5、在紧急情况下，可打开任意控制点并将本地警情通知对方；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6、1路高保真质量音质话筒输入口进行录音编辑自制节目；也可以通过CD/DVD光驱进行编辑节目。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7、外置1路RS232串口，可实现电话短信应急呼叫广播；亦可安装远程遥控，遥控距离可达1000m，实现无障碍点播广播。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8、1路HDMI信号输出，可实现无障碍投屏到其他LED，实现视觉化管理。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9、可以通过本机来进行用户及权限配置。内置NUM、COPS、SCROLL三个LED指示灯显示工作状态工业级SMT电路板，区别于家用电路板可进行24小时全天候运行；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10、内置固态≥256G，内存≥4G DDR3 1600MHZ，实现下载556 MB/S，上传529 MB/S极速读写数据，区别传统机械硬盘读写能力，有效提高服务器数据运行调取能力；CPU: Intel 双核双线程，2.4GHz；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11、内设系统管理中心具有执行服务器定时打铃、实时采播、定时采播、文件广播、工作站定时节目、消防报警、节目库管理8大模块功能任务。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12、支持音频终端外控电源管理，支持定时打开和延时关闭，时间可任意设置，支持音频终端对讲、广播、会议发起方及接收方提示音设置。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13、音频输入≥3.5mm×12；音频输出≥3.5mm×4；麦克风输入≥6.5mm×1；高清视频输出≥HDMI×1，数据串口≥RS232×1，DVD≥1，USB接口≥ 4(正面2个、后面2个，</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IP网络控制软件</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1、运行环境：WIN 2003/WIN 2008/WIN XP/WIN 7/WIN。全数字化传输，与模拟信号传输相比，失真更小，信噪比更高。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2、支持单点播放：可以对任意单点、组群、分区或全部广播。系统可以在同一时间设定任意多个组播放制定的音频节目，或对任意指定的区域进行广播讲话。</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3、支持自动音乐打铃：能够设置个性化的音乐铃声，自动按照编排好的作息时间表播放铃声。作息时间表可以按照春秋季调整。播放音频的前两秒钟自动打开电源，播放结束后自动关闭。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分区无限制，利用IP地址来进行广播分区，每个终端就具备单独网络IP地址，可跨越局域网段；分区自由点播：可通过遥控器或按键控制分布在每个广播点的广播终端完成服务器中资料库的任意点播，可快进、快倒、暂停和AB两点间复读。终端液晶屏显示资料库目录及当前播放位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5、广播主机已含有2路音频输入通道，可在广播机房或广播区域的任意位置扩展音频输入终端，可扩展。</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音频实时采播：能够将自用电台、录音机卡座、CD播放器、MP3播放器、麦克风等节目实时采播实时压缩成高音质数据流存储到服务器，并可按要求同时转播到指定的广播终端，用于播放外接设备广播及广播通知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7、定时节目播放：每个广播终端可以单独接收服务器的个性化定时播放节目，也可以通过电脑在网上远程设置或者在终端直接按键操作。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8、网上电台转播：可以将通过网络收音机软件接收到的Internet网络电台节目转换成IP网络广播数据格式，对广播终端实时播放，如一些专门的语言电台等。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9、广播监听：在广播管理中心或者领导办公室，可以实时监听到所有的广播节目。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10、本地扩音广播：广播点内IP广播、本地扩音、共用音箱，实现广播点内声音的智能切换。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11、软件录音：选择录音音源及声卡配置、区域终端，可实现节目录制或直播同步录音；自动生成mp3格式语音包。</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12、可实现远程监控、远程诊断和远程软件。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13、服务看门狗：当被监控的系统服务意外停止运行时，看门狗将自动重新启动该服务的功能。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14、系统具备多权限级别控制，统一由管理员进行统一分配系统使用用户名及权限级别和控制终端数；以及优先播放等级功能；网络消防报警具备系统最高优先权。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远程客户端分控中心：服务器授权权限级别，登陆账号和密码，无需到广播中心，通过与服务器连接的任意一台电脑，便可以实现广播的远程控制。分组配置、终端状态查询、会话状态查询、会话状态监听、实时采播、文件播放、设置定时铃声、设置定时任务、节目库管理；从而实现领导通过电脑远程对全区、分区、分组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16、远程分控讲话：无需到广播中心，通过与服务器连接的任意一台电脑，便可以实现广播的远程控制。从而实现领导通过电脑远程对全区、分区、分组讲话。</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17、报警联动：结合网络报警主机接收报警信号，在服务器软件上预先设置报警模式，即可进行报警联动功能。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18、运动场无线远程控制：可通过远程无线遥控器在操场主席台控制升旗、运动会等活动需要节目的播放。结合无线IP遥控器：实现超强可遥控距离，可达3000米（无障碍）；可预设10个级别的用户优先级； 可预设1000个级别的操作任务优先级；可预设12个任务键及6个功能键；任务键可实现任意时间、任意数量终端、任意音量的任意音乐播放或实时呼叫；功能键可对当前任务实现暂停/恢复、停止、上一曲、下一曲、音量加、音量减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19、电话接入控制：配置IP网络电话机可以通过打入电话来控制广播讲话，便于领导即使不在办公室也可以随时发布紧急广播通知。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20、移动客户端支持安装安卓系统2.2以上版本，查看终端状态一目了然，点对点、点对组播控操作，支持点播功能。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支持移动端歌曲播放，、插播、编辑，实时讲话操作；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支持移动端歌曲上传到云端服务器节目库，等功能。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设定一个公共静态IP地址即可实现跨地区域操作等功能。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21、文字转语音功能：新建文本文档写入文字，播音时导入文本内容，系统自动生成mp3语音包，播音语速，可调整文字间距实现。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22、广播软件自动识别终端：系统自动检测网络终端识别IP地址，无须在软件逐个写入IP地址，自动识别终端配置全部显示出来。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23、备份配置文件：当广播软件受损破坏或服务器故障情况下，系统参数错乱，可以从备份配置文件中恢复数据，实现广播软件正常工作。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24、节目源和数据不受限制：系统采用采集、编码、压缩技术，使各类节目源均不受限制。节目源包括诸如话筒、卡座、CD、调谐器等模拟音源。IP网络广播在不同终端所播出的不同节目数量亦不受限。IP网络广播终端安装多少，同时播出的节目数量就可达到多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25、站点无限，扩容简便：基于IP数据网络每个终端都有独立的IP地址，只需将分控电脑或网络终端接入IP数据网络，就成功扩容了新的站点。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26、支持平安城市是一套及社会治安综合治理、城市交通管理和消防调度指挥于一体的城市警务综合管理系统。需配置CEO-PA平安城市网络终端使用：具备远程语音喊话和指挥、一键求助，双向对讲、报警与报警灯闪烁同步、对讲内容实时监听、报警遇忙转移、监控联动、地图联动、人性化外形，安装方便等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27、软件支持Windows2003、Windows XP（纯净版）、 Windows7和Windows8（Windows7和Windows8安装程序必须以管理员身份启动运行，即：选中安装程序图标，鼠标右键单击“以管理员身份运行”）等系统平台。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28、软件支持第三方平台嵌入式开发，提供标准的MFC动态链接库，实现与其他系统平台整合（例如楼宇访客系统、监控视频系统等）。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29、支持升级音视频终端管理和控制，实现音频、视频同步广播和控制管理。视频画面矩阵管理，可单画面\多屏显示，切换方便。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30、USB加密狗硬件注册方式，可自由更换服务器。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IP网络分控软件</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支持终端状态查询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支持会话状态查询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支持会话状态监听</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支持实时采播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支持文件播放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支持音量调节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支持设置定时广播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支持设置定时采播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支持节目管理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支持MP3文件制作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支持随意扩充，广播局域网到达的任何地方均支持挂接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支持多种不同的主机音源节目并在本机播放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支持向主机提出播放请求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支持播放来自主机的广播节目，包括寻呼、对讲、报警强插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支持通过权限在任意点对本系统进行控制和操作</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前置放大器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1、5个话筒输入口、3个辅助输入口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2、2个紧急输入口（高优先级）和两路输出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3、各输入通道音量可以单独控制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4、可以分别对高音和低音进行控制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5、具有自动默音功能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6、输入：Mic1,2,3,4,5： 600Ω，＜5mV, 不平衡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7、输入：EMC1 EMC2：＜200 mV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8、输入：Aux1, 2,3：10KΩ ＜200 mV 不平衡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9、输出：600Ω,0 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10、频响：60Hz~15kHz（-3 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11、信噪比： ＞70db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12、音调：Bass：±10dB at 100Hz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13、音调：Treble：±10dB at 12kHz"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14、保护： AC FUSE（0.5A）×1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15、电源： AC220V±10%/50~60Hz   ＜10VA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IP音频采集器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内置1路网络硬件音频编码模块，支持TCP/IP、UDP、IGMP(组播)协议，实现网络化传输16位CD音质的音频信号；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支持定时采播任务、临时采播任务，采播任务优先级别，可通过服务器设置。采播任务支持3种采集音质可选，支持普通、中级、高级音质选择模式。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内置1组RCA输入端子，带输入音量调节，灵活适配多种不同灵敏度音频设备；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硬件音频编码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4分区控制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远程采集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输入幅度实时指示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采样率：48kHz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信噪比：大于 70dB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网口速率：10/100M 自适应</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配置接口：TTL 串口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额定功耗：小于 2W</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麦克风</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1、带前置提示音广播，高保真播音话筒；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2、频响：(HZ): 50Hz-13.5KHz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3、阻抗: 600Ω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4、灵敏度(at 1KHz): -62dB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网络寻呼话筒</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1、支持密码登陆或免登陆模式，支持免提和非免提双模式通话：外接鹅颈式话筒，内置喇叭，支持免提通话：具有3.5mm的标准音频接口，可连接专用话筒，便于扩展非免提通话，用于私密通话。</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2、带7英寸真彩LCD显示屏，支持触控操作，3、可直接配置IP地址和查看终端状态。支持网络搜索配置，无需知道终端 IP地址，可直接寻址。支持静态IP和DHCP两种方式，跨网段，跨路由，配置使用方便。支持DHCP，兼容路由器、交换机、网桥网关、Modem、Internet、2G、3G、4G、组播、单播等任意网络结构。</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4、支持寻呼、对讲、会议模式；支持手动、自动、申请应答模式。通话时间限制或无限制功能，寻呼区域限制、寻呼转移功能；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5、具有多个一键呼叫触控按钮，分区、全区呼叫，显示名称。具有一键接收求助、对讲功能，实现快速连接。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6、具有监听功能，用于监听其他终端采集到的环境声音。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7、支持一路本地线路输出，可外接功放。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8、具有转播功能，可用于一般的考试或者电台转播的需要。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9、支持U盘点播，可点播U盘上的歌曲到其他终端，实现分区、全区播放。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10、支持网络在线程序升级。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11、设备接口不少于：1个USB接口、1个存储卡接口、1路线路输入、1路线路输出，U-KEY接口，支持对用户操作授权。</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IP网络音箱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 采用壁挂式设计，符合网络音频编码及解码单元、数字功放及喇叭；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2.采用工业级双核芯片，启动时间≤1秒；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3.内置高保真扬声器及不低于2×20W立体声D类功率放大器；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4.支持在服务软件上远程调节输出音量，并可在本地用旋钮调节线路输入音量；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5.标准RJ45网络接口，有以太网口的地方即可接入，支持跨网段和跨路由。</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 支持选配定压备份模块：</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1）可将100V定压广播线路作为备用，符合教委高考须有备用系统要求；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2）当网络异常时自动从数字网络广播系统切换到模拟定压广播系统；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 支持选配无线收发模块及2.4G无线点播话筒：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1）通过无线点播话筒，可向其他终端广播喊话，可与主控室双向对讲；</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2）可点播服务器节目，可控制播放/暂停，快进/快退，A-B复读，操作灵活简单。</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8.支持驱动20W副音箱；</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9.内置功放功率不低于2x20W；支持≥1路音频输入，≥1路音频输出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10.网络声音延迟，广播延迟≤30ms；</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1、按顺序开启或关闭≥16路受控设备的电源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2、可以通过定时器自动控制或人工控制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3、插座总容量≥4.5KVA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6、电源接口：16路（12路国标、4路美标2/3插口）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7、电源控制口：1个220V控制口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8、1路6.35mm接口短路触发开机接口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9、电源插座输出容量：总容量220V，30A；每个插座最大输出电流为10A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10、动作间隔时间：0.4s~0.5s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11、耗电：交流220V/20A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各楼层教室</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教学音箱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输出额定功率≥20W*2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输入电压AC 220V±10%/50Hz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信噪比≥83dB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输入灵敏度500mV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无线接收距离30米（无障碍）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无线接收模式:自动对接（2.4G/红外线）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频率响应70Hz~20KHz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网络通讯协议ARP、UDP、TCP/IP、ICMP、IGMP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网络音频位率8kbps~320Kbps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网络采样率8kbps~48Kbps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网络音频格式MP3</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网络传输速率10/100Mbps</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教学话筒</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2.4G无线音频模块，高保真、抗干扰性好。 具有HDCD音质效果，音质最佳。声音延迟（＜0.5ms)。2.4G麦克风音量支持音量调节调节功能；内置话筒混响功能。电子教鞭手持麦克风实现教室无线移动讲课，蓝牙和红外自动对频两种方式，避免教室之间的串频现象</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走廊音箱</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IP网络数字功放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3路话筒，2路AUX本地音频输入，1路AUX输出，支持USB播放和消防联动输出；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5单元LED电平表；支持70V，100V定压输出；4~16Ω定阻输出；额定功率≥ 460W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各通道独立音量控制 高低音调控制；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短路保护告警；程序固化，不受病毒干扰；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独特的电源控制系统，待机功耗小于0.3W；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任意设置，播音前开机预热等功能；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网络接口及支持协议：标准Rj45、UDP、TCP/IP、IGMP(组播)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采用固定静态的IP地址，当网络发生改变时地址不会丢失，工作稳定；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终端断网重启恢复时间： &lt;1S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音频模式及音频格式：16位立体声CD音质 MP3/MP2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总谐波失真：≤1% ，失真度：&lt;0.1% (1kHZ)  Mic &lt;0.3%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传输速率：10Mbps ，网络延时:≤50ms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文件播放网络延时： &lt;50ms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配置方式：R232串口或网口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可加载无线遥控接收模块，实现无线手机遥控点播等。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室内壁挂音箱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额定功率(W):≥10w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输入电压(V):70V~100V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灵敏度(1w,1n):92±3dB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频率响应(1w,1n):80Hz-18KHz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喇叭单元:6.5"×1+2"×1                                                                                         </w:t>
            </w:r>
            <w:r>
              <w:rPr>
                <w:rFonts w:hint="eastAsia" w:ascii="宋体" w:hAnsi="宋体" w:eastAsia="宋体" w:cs="宋体"/>
                <w:color w:val="auto"/>
                <w:sz w:val="20"/>
                <w:lang w:bidi="ar"/>
              </w:rPr>
              <w:t xml:space="preserve">                                                                                                                                                                                                                                                                </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23</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室外公共区域</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IP网络数字功放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3路话筒，2路AUX本地音频输入，1路AUX输出，支持USB播放和消防联动输出；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5单元LED电平表；支持70V，100V定压输出；4~16Ω定阻输出；额定功率≥ 360W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各通道独立音量控制 高低音调控制；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短路保护告警；程序固化，不受病毒干扰；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独特的电源控制系统，待机功耗小于0.3W；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任意设置，播音前开机预热等功能；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网络接口及支持协议：标准Rj45、UDP、TCP/IP、IGMP(组播)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采用固定静态的IP地址，当网络发生改变时地址不会丢失，工作稳定；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终端断网重启恢复时间： &lt;1S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音频模式及音频格式：16位立体声CD音质 MP3/MP2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总谐波失真：≤1% ，失真度：&lt;0.1% (1kHZ)  Mic &lt;0.3%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传输速率：10Mbps ，网络延时:≤50ms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文件播放网络延时： &lt;50ms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配置方式：R232串口或网口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可加载无线遥控接收模块，实现无线手机遥控点播等。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草坪音箱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额定功率:≥20W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输入电压：70V-100V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灵敏度：91dB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频率响度：80Hz～160KHz</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室外操场</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网络前置放大器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1、基于高性能嵌入式计算机的网络语音终端，能够处理高速网络信号；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2、采用硬件音频解码，具有自动纠错功能；高保真音效平衡，保证解码还原的音频信号；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3、具有CD质量，与电脑输出的数码音乐具有完全相同的效果；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4、精致美观，工艺考究，现代感十足；采用固定静态的IP地址，当网络发生改变时地址不会丢失，工作稳定；程序固化不受病毒干扰；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5、≥2*10W输出通道，可接定阻喇叭，CD级音质；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6、一路智能电源控制输出，输出电压稳定，单路最大承受10A容量，待机功耗小于0.3W；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7、≥1路MIC输入，≥2路本地音源输入，≥2路音频输出；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8、本地高、低音量独立控制操作；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9、网络音频信号音量物理开关控制及软件调节音量管理，多重选择，易于管理。</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纯后级功放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1、支持100V、70V定压输出和4Ω－16Ω定阻输出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2、支持LED电平指示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3、支持RCA插口和XLR插口供方便地环接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4、支持输出短路保护及警告、过热告警和饱和失真告警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5、额定功率：≥1000W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6、输入灵敏度：77.5mv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7、信噪比：&gt;90dB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8、频响：50Hz-15KHz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9、输出方式：70V,100V or 4-16Ω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10、总频波失真：&lt;0.3%/1KHz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11、保护及冷却方式：高温、直流输出、负载短路、强近风冷式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12、耗电量：1500W</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室外防水音柱 80W</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额定功率(W):≥80W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输入电压(V):70V~100V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频率响应(1w,1n):150Hz-14KHz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灵敏度(1w,1n):97±2dB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喇叭单元：4x6.5〞+0.5”高音</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真分集远距离一拖二无线话筒</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一拖二U段真分集超远距离无线麦克风；理想使用距离：≥300米（空旷距离）</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技术参数：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载波频率范围：740MHz~790MHz；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频道总数：200CH</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射频调制噪声： ＜-65dBc；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射频调制度； ≤±75KHz；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系统接收灵敏度:-65~-105dBm可调；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系统音频频率响应:30Hz~18KHz ±3db；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输入信号强度净空比: ＞15db；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信噪比:∠-95db；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输出信号幅度:LINE160mV，XLR12mV；（400Hz/20KHz）。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音频隔离度 : ＞60db；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发射射频功率 :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发射机工作电压:3VDC；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发射机工作电流 : 150mAmin（5#AA1000MHA电池连续工作6小时）；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接收机电源:12VDC/1000mADC；</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天线分配器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天线分配系统由一台天线分配器、2个天线组成，可供多台接收机使用，让接收信号获得默较佳的噪讯比，增加接收距离及稳定性，提供4组电源输入给接收机使用，方便安装工程。</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天线放大器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适用频带范围 500-900MHz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输出/入增益 0dB(频段中心）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输出端绝缘度 20dB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输出/入阻抗 50欧姆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增益 13dBm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频宽 400MHz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接头 TNC插座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电源供应 DC12-18V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消耗电流 170mA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二楼平台</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网络前置放大器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1、基于高性能嵌入式计算机的网络语音终端，能够处理高速网络信号；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2、采用硬件音频解码，具有自动纠错功能；高保真音效平衡，保证解码还原的音频信号；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3、具有CD质量，与电脑输出的数码音乐具有完全相同的效果；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4、精致美观，工艺考究，现代感十足；采用固定静态的IP地址，当网络发生改变时地址不会丢失，工作稳定；程序固化不受病毒干扰；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5、≥2*10W输出通道，可接定阻喇叭，CD级音质；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6、一路智能电源控制输出，输出电压稳定，单路最大承受10A容量，待机功耗小于0.3W；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7、≥1路MIC输入，≥2路本地音源输入，≥2路音频输出；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8、本地高、低音量独立控制操作；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9、网络音频信号音量物理开关控制及软件调节音量管理，多重选择，易于管理。</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纯后级功放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1、支持100V、70V定压输出和4Ω－16Ω定阻输出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2、支持LED电平指示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3、支持RCA插口和XLR插口供方便地环接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4、支持输出短路保护及警告、过热告警和饱和失真告警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5、额定功率：≥1500W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6、输入灵敏度：77.5mv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7、信噪比：&gt;90dB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8、频响：50Hz-15KHz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9、输出方式：70V,100V or 4-16Ω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10、总频波失真：&lt;0.3%/1KHz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11、保护及冷却方式：高温、直流输出、负载短路、强近风冷式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12、耗电量：2300W</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室外防水音柱 80W</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1、额定功率(W):≥100W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2、输入电压(V):70V~100V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3、频率响应(1w,1n):150Hz-14KHz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4、灵敏度(1w,1n):96±2dB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6、喇叭单元：5x6.5〞+0.5”高音</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真分集远距离一拖二无线话筒</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一拖二U段真分集超远距离无线麦克风；理想使用距离：≥300米（空旷距离）</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技术参数：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载波频率范围：740MHz~790MHz；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频道总数：200CH</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射频调制噪声： ＜-65dBc；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射频调制度； ≤±75KHz；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系统接收灵敏度:-65~-105dBm可调；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系统音频频率响应:30Hz~18KHz ±3db；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输入信号强度净空比: ＞15db；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信噪比:∠-95db；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输出信号幅度:LINE160mV，XLR12mV；（400Hz/20KHz）。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音频隔离度 : ＞60db；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发射射频功率 :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发射机工作电压:3VDC；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发射机工作电流 : 150mAmin（5#AA1000MHA电池连续工作6小时）；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接收机电源:12VDC/1000mADC；</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天线分配器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天线分配系统由一台天线分配器、2个天线组成，可供多台接收机使用，让接收信号获得默较佳的噪讯比，增加接收距离及稳定性，提供4组电源输入给接收机使用，方便安装工程。</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天线放大器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适用频带范围 500-900MHz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输出/入增益 0dB(频段中心）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输出端绝缘度 20dB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输出/入阻抗 50欧姆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增益 13dBm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频宽 400MHz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接头 TNC插座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电源供应 DC12-18V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消耗电流 170mA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辅助材料</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广播服务器机柜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≥600*1000*2000mm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24口千兆交换机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1、交换容量≥336Gbps，包转发率≥51Mpps。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2、固化10/100/1000M以太网端口≥24个，固化1G SFP光接口≥4个。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3、为保证设备在受到外界机械碰撞时能够正常运行，要求所投交换机IK防护测试级别至少达到IK05。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4、要求所投设备MAC地址≥16K。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5、采用静音无风扇节能设计。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6、支持静态路由、可扩展支持RIP、RIPng、OSPF、OSPFv3协议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7、配合云管平台支持基于网关的网络拓扑自动发现，并以图形化形式呈现；支持基于云的工具箱功能（配置下发、配置备份、配置恢复、命令调试、访问eWeb、访问Telnet、访问SSH、重启、设备升级）；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8、配合云管平台，告警可以通过微信公众号，邮件；微信，企业钉钉发送提醒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9、支持N:1虚拟化功能，可将多台物理设备虚拟化为一台逻辑设备统一管理，简化管理；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12、支持快速链路检测协议，可快速检测链路的通断和光纤链路的单向性，并支持端口下的环路检测功能，防止端口下因私接Hub等设备形成的环路而导致网络故障的现象。</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莲花转莲花</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光纤</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4芯单模</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喇叭线（室内）</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RVS2*1.5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1058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喇叭线（室外）</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RVS2*2.5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1853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音柱立杆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室外音柱立杆高度2-3.5米</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486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PVC管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PVC25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350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其他辅材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接插件等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三、网络系统</w:t>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信息网络</w:t>
            </w:r>
            <w:r/>
          </w:p>
        </w:tc>
        <w:tc>
          <w:tcPr>
            <w:tcW w:w="3185" w:type="pct"/>
            <w:vAlign w:val="center"/>
            <w:textDirection w:val="lrTb"/>
            <w:noWrap w:val="false"/>
          </w:tcPr>
          <w:p>
            <w:pPr>
              <w:jc w:val="left"/>
              <w:rPr>
                <w:rFonts w:hint="eastAsia" w:ascii="宋体" w:hAnsi="宋体" w:eastAsia="宋体" w:cs="宋体"/>
                <w:b/>
                <w:bCs/>
                <w:color w:val="auto"/>
                <w:sz w:val="20"/>
              </w:rPr>
            </w:pPr>
            <w:r>
              <w:rPr>
                <w:rFonts w:hint="eastAsia" w:ascii="宋体" w:hAnsi="宋体" w:eastAsia="宋体" w:cs="宋体"/>
                <w:b/>
                <w:bCs/>
                <w:color w:val="auto"/>
                <w:sz w:val="20"/>
              </w:rPr>
            </w:r>
            <w:r/>
          </w:p>
        </w:tc>
        <w:tc>
          <w:tcPr>
            <w:tcW w:w="258" w:type="pct"/>
            <w:vAlign w:val="center"/>
            <w:textDirection w:val="lrTb"/>
            <w:noWrap w:val="false"/>
          </w:tcPr>
          <w:p>
            <w:pPr>
              <w:jc w:val="center"/>
              <w:rPr>
                <w:rFonts w:hint="eastAsia" w:ascii="宋体" w:hAnsi="宋体" w:eastAsia="宋体" w:cs="宋体"/>
                <w:b/>
                <w:bCs/>
                <w:color w:val="auto"/>
                <w:sz w:val="20"/>
              </w:rPr>
            </w:pPr>
            <w:r>
              <w:rPr>
                <w:rFonts w:hint="eastAsia" w:ascii="宋体" w:hAnsi="宋体" w:eastAsia="宋体" w:cs="宋体"/>
                <w:b/>
                <w:bCs/>
                <w:color w:val="auto"/>
                <w:sz w:val="20"/>
              </w:rPr>
            </w:r>
            <w:r/>
          </w:p>
        </w:tc>
        <w:tc>
          <w:tcPr>
            <w:tcW w:w="289" w:type="pct"/>
            <w:vAlign w:val="center"/>
            <w:textDirection w:val="lrTb"/>
            <w:noWrap w:val="false"/>
          </w:tcPr>
          <w:p>
            <w:pPr>
              <w:jc w:val="center"/>
              <w:rPr>
                <w:rFonts w:hint="eastAsia" w:ascii="宋体" w:hAnsi="宋体" w:eastAsia="宋体" w:cs="宋体"/>
                <w:b/>
                <w:bCs/>
                <w:color w:val="auto"/>
                <w:sz w:val="20"/>
              </w:rPr>
            </w:pPr>
            <w:r>
              <w:rPr>
                <w:rFonts w:hint="eastAsia" w:ascii="宋体" w:hAnsi="宋体" w:eastAsia="宋体" w:cs="宋体"/>
                <w:b/>
                <w:bCs/>
                <w:color w:val="auto"/>
                <w:sz w:val="20"/>
              </w:rPr>
            </w:r>
            <w:r/>
          </w:p>
        </w:tc>
        <w:tc>
          <w:tcPr>
            <w:tcW w:w="306" w:type="pct"/>
            <w:vAlign w:val="center"/>
            <w:textDirection w:val="lrTb"/>
            <w:noWrap w:val="false"/>
          </w:tcPr>
          <w:p>
            <w:pPr>
              <w:jc w:val="center"/>
              <w:rPr>
                <w:rFonts w:hint="eastAsia" w:ascii="宋体" w:hAnsi="宋体" w:eastAsia="宋体" w:cs="宋体"/>
                <w:b/>
                <w:bCs/>
                <w:color w:val="auto"/>
                <w:sz w:val="20"/>
              </w:rPr>
            </w:pPr>
            <w:r>
              <w:rPr>
                <w:rFonts w:hint="eastAsia" w:ascii="宋体" w:hAnsi="宋体" w:eastAsia="宋体" w:cs="宋体"/>
                <w:b/>
                <w:bCs/>
                <w:color w:val="auto"/>
                <w:sz w:val="20"/>
              </w:rPr>
            </w:r>
            <w:r/>
          </w:p>
        </w:tc>
      </w:tr>
      <w:tr>
        <w:trPr>
          <w:trHeight w:val="282"/>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核心交换机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1、交换容量≥68Tbps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2、包转发率≥51000Mpps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3、主控引擎与业务板卡完全物理分离, 采用全分布式转发处理架构，独立主控引擎插槽≥2个，独立业务插槽数≥3个；主控引擎故障情况下，不能影响整机转发能力。</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为了适应机柜并排部署，机箱业务板卡区采用后出风风道设计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5、为提高设备面板空间利用率，要求采用高密度端口设计，所投产品单张业务卡最大可用物理端口≥52个，整机转发业务物理端口≥156个；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N:1虚拟化：可将2台物理设备虚拟化为1台逻辑设备，虚拟组内设备具备统一的二层及三层转发表项，统一的管理界面，并可实现跨设备链路聚合；</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6、支持静态路由、RIP、RIPng、OSPF、OSPFv3、BGP、BGP4+、ISIS、ISISv6，支持路由协议多实例，支持GR for OSPF/IS-IS/BGP，支持策略路由。</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7、支持CPU保护功能（CPP），可将送CPU的报文，如ARP应答速率被降低至2</w:t>
            </w:r>
            <w:r>
              <w:rPr>
                <w:rFonts w:ascii="宋体" w:hAnsi="宋体" w:eastAsia="宋体" w:cs="宋体"/>
                <w:color w:val="auto"/>
                <w:sz w:val="20"/>
                <w:lang w:bidi="ar"/>
              </w:rPr>
              <w:t xml:space="preserve">00</w:t>
            </w:r>
            <w:r>
              <w:rPr>
                <w:rFonts w:hint="eastAsia" w:ascii="宋体" w:hAnsi="宋体" w:eastAsia="宋体" w:cs="宋体"/>
                <w:color w:val="auto"/>
                <w:sz w:val="20"/>
                <w:lang w:bidi="ar"/>
              </w:rPr>
              <w:t xml:space="preserve">pps左右，CPU使用率降低至1</w:t>
            </w:r>
            <w:r>
              <w:rPr>
                <w:rFonts w:ascii="宋体" w:hAnsi="宋体" w:eastAsia="宋体" w:cs="宋体"/>
                <w:color w:val="auto"/>
                <w:sz w:val="20"/>
                <w:lang w:bidi="ar"/>
              </w:rPr>
              <w:t xml:space="preserve">0%</w:t>
            </w:r>
            <w:r>
              <w:rPr>
                <w:rFonts w:hint="eastAsia" w:ascii="宋体" w:hAnsi="宋体" w:eastAsia="宋体" w:cs="宋体"/>
                <w:color w:val="auto"/>
                <w:sz w:val="20"/>
                <w:lang w:bidi="ar"/>
              </w:rPr>
              <w:t xml:space="preserve">以内；除了ARP以外，CPP功能还能限制多种类型的送CPU速率。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▲8、支持网络基础保护策略（NFPP），可实现ARP等各种攻击的自动防御，保护系统各种服务的正常运行。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9、支持SNMP v1/v2c/v3、Telnet、RMON、SSH；支持通过命令行、中文图形化配置软件等方式进行配置和管理。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单台实配：双主控、双电源，24端口千兆以太网电口、24端口千兆以太网光口、4端口万兆以太网光口</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7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防火墙</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1、固化千兆电口数量≥8个；固化千兆光口数量≥2个；固化万兆光口数量≥4个；2个扩展槽，可扩展4x10GE(SFP+)光口接口卡，即最大可支持8个千兆电口、2个千兆光口或12个万兆光口；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2、配置插拔1TB企业级硬盘；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3、三层网络吞吐≥3Gbps ，最大可支持扩展三层网络吞吐≥10Gbps ；IPS吞吐量≥5Gbps，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最大并发连接≥100万；最大新建连接≥12万；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▲4、支持流量学习。支持流量学习的方式对网内资产的互访关系进行梳理，可视化展示目标资产的端口访问关系，包括：访问源IP、命中策略、阻断次数、最近一次阻断时间等信息。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w:t>
            </w:r>
            <w:r>
              <w:rPr>
                <w:rFonts w:ascii="宋体" w:hAnsi="宋体" w:eastAsia="宋体" w:cs="宋体"/>
                <w:color w:val="auto"/>
                <w:sz w:val="20"/>
                <w:lang w:bidi="ar"/>
              </w:rPr>
              <w:t xml:space="preserve">支持策略模拟功能，可提供一个虚拟的策略空间来对运行创建的模拟策略，模拟策略不会对真实业务流量产生影响，但可以把模拟策略的执行结果与现有的真实策略的不同的处置动作进行对比展现，方便用户判断模拟策略是否会对重要业务产生不良影响，如模拟策略符合用户需求，可一键转化为真实策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▲6、支持自动扫描用户网内资产，自动识别资产端口和协议启用情况，结合用户资产信息生成推荐的安全防护策略。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8、应支持策略的全生命周期展现，包括策略的变更时间、变更类型、变更账号、变更策略、变更内容等；支持通过颜色区分策略的变更项、删除等；支持策略项变更前后的对比展示；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为了满足上级监管单位要求阻断自定义恶意情报（域名/IP等）的需求，要求设备支持自定义情报功能，允许用户导入收集到的恶意情报信息，自定义情报在未取得威胁情报特征库更新授权的状态下依然可以生效。支持导入自定义情报的条目不少于8W条。当自定义情报中个别对象的风险消失时，可一键将自定义的威胁对象设置为例外，设置例外后不再对该例外对象拦截阻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10、支持创建IP地址对象、IP地址对象组，同时支持查看IP地址对象或IP地址对象组被策略引用的情况；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11、支持自定义设置登录端口、登录超时时间、登录错误允许次数、锁定时间；开启、关闭验证码功能，支持恢复默认配置；支持一键收集本机上所有信息，并提供打包下载，用于故障定位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基于首页设备图示，实现鼠标移动到相应接口，即可显示接口的加电状态、接口类型、接口IP和上下行速率等；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12、单台实配≥3年病毒库、入侵防御特征库及应用识别特征库升级功能授；一块4</w:t>
            </w:r>
            <w:r>
              <w:rPr>
                <w:rFonts w:ascii="宋体" w:hAnsi="宋体" w:eastAsia="宋体" w:cs="宋体"/>
                <w:color w:val="auto"/>
                <w:sz w:val="20"/>
                <w:lang w:bidi="ar"/>
              </w:rPr>
              <w:t xml:space="preserve">80</w:t>
            </w:r>
            <w:r>
              <w:rPr>
                <w:rFonts w:hint="eastAsia" w:ascii="宋体" w:hAnsi="宋体" w:eastAsia="宋体" w:cs="宋体"/>
                <w:color w:val="auto"/>
                <w:sz w:val="20"/>
                <w:lang w:bidi="ar"/>
              </w:rPr>
              <w:t xml:space="preserve">G固态硬盘、一块SATA</w:t>
            </w:r>
            <w:r>
              <w:rPr>
                <w:rFonts w:ascii="宋体" w:hAnsi="宋体" w:eastAsia="宋体" w:cs="宋体"/>
                <w:color w:val="auto"/>
                <w:sz w:val="20"/>
                <w:lang w:bidi="ar"/>
              </w:rPr>
              <w:t xml:space="preserve"> 1</w:t>
            </w:r>
            <w:r>
              <w:rPr>
                <w:rFonts w:hint="eastAsia" w:ascii="宋体" w:hAnsi="宋体" w:eastAsia="宋体" w:cs="宋体"/>
                <w:color w:val="auto"/>
                <w:sz w:val="20"/>
                <w:lang w:bidi="ar"/>
              </w:rPr>
              <w:t xml:space="preserve">TB硬盘。</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网关</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1、标准1U机箱，多核非X86架构，内存≥2GB，支持固化千兆电口≥8个，固化千兆光口≥1个，固化万兆光口≥1个，硬盘容量≥1TB，并发带机数≥1000；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2、产品URL数据库、应用分类库、地址库、内容审计特征库、支持在产品维保期内免费升级，另外URL数据库和应用特征库支持远程HTTP自动升级；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3、支持对无线AP进行管理，可自动发现接入AP，默认可管理AP数量为64个，最大可扩容至128个；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4、为保证在多条外网线路情况下带宽的合理分配使用，设备必须支持多链路负载均衡，负载均衡可基于带宽等多种方式。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5、DHCP支持IPAM，支持显示地址池使用情况，包含地址数、地址总数、已经分配地址数、使用率，支持IP安全绑定情况显示；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6、支持SSL VPN、IPSec VPN，支持VPN内流量的可视化监控，支持VPN内流量流量控制。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7、应用缓存加速（被动缓存）支持精确缓存指定的APP，避免浪费本地存储空间；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8、支持安全域：支持基于IP的安全域划分，支持基于逻辑接口的安全域划分；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入侵防御功能：支持SQL注入攻击、XSS注入攻击、webshell攻击、挖矿木马恶意样本通信、僵尸家族恶意样本通信（紫狐、双枪、独狼等）、APT32组织恶意样本通信、海莲花组织恶意样本通信、勒索病毒恶意样本通信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10、所投产品内置多种流控模型，包括娱乐模版，办公模版，专家模板等，支持一键开启智能流量控制；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11、所投产品IM聊天可支持基于聊天内容关键字的策略控制，通过插件可以实现QQ聊天内容的审计；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12、支持外发文件、外发信息、虚拟身份审计，能够在设备上查询到详细信息；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13、支持状态检测防火墙，支持TCP/UDP/ICMP/IP分片包等报文过滤；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14、支持防攻击：支持防Land攻击、防 Teardrop 攻击、防 Smurf 攻击、防异常TCP Flag 攻击、防Ping of Death 攻击、防SYN Flood 攻击、防UDP Flood 攻击、防ICMP Flood 攻击、防Fraggle攻击、防超长ICMP报文攻击、防Winnuke攻击、防ARP Flood报文攻击等；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15、支持SSL VPN、IPSec VPN，并提供600路免费IPSec VPN接入授权；并提供≥600个免费SSL VPN接入授权；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16、支持防共享上网，支持一键防共享开关，发现共享后可以提供只检测、不允许上网、限速上网三种处理方式；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17、本地认证支持微信认证、短信认证、二维码授权认证、二维码自助认证、LADP认证，支持与域认证联动实现单点登录</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18、支持云服务管理，实现一个账号同时管理多台设备；</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355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上网行为管理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color w:val="auto"/>
              </w:rPr>
              <w:t xml:space="preserve">★</w:t>
            </w:r>
            <w:r>
              <w:rPr>
                <w:rFonts w:hint="eastAsia" w:ascii="宋体" w:hAnsi="宋体" w:eastAsia="宋体" w:cs="宋体"/>
                <w:color w:val="auto"/>
                <w:sz w:val="20"/>
                <w:lang w:bidi="ar"/>
              </w:rPr>
              <w:t xml:space="preserve">1、所投产品须整机最少支持6个千兆电口，2个万兆光口。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2、设备最大吞吐≥5Gbps，全功能开启审计适用带宽≥1000Mbps（双向），要求所投整机最大支持并发连接数300万，要求所投整机每秒新建连接数≥22000/秒。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3、支持自定义设置识别方式的可信度；支持再次违规，多倍惩罚；支持旁路防共享。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4、ARP表/邻居表支持Web管理ARP表查看，并支持指定静态ARP；支持Web管理IPv6邻居表查看，并支持指定静态。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PPPoE拨号以及负载均衡；支持基于链路的上行、下行、总流量自动均衡的多链路负载均衡算法，基于固定指派链路的自动均衡算法，基于最佳路径的多链路负载均衡算法；支持基于轮询的多链路负载均衡算法。</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6、链路聚合支持将多个以太网物理端口捆绑成一条逻辑端口（即将多个端口捆绑成一个逻辑的端口以增加带宽，同时增加链路备份）支持基于主备、哈希、802.3ad负载方式。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7、可通过 NetbIOS 协议扫描内网的主机信息，扫描结果将列出每个主机的 IP 地址、MAC地址和主机名等，然后可以将其加入某个用户组中，逐步完善组织结构的管理。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8、网络质量分析：通过对网络线路实时流量趋势、以及应用流量、用户流量进行展示，统计分析出每条专线的负载情况，从而实时地掌握校园网络线路的使用情况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支持DHCP Replay/Server(中继/服务器)；支持静态路由、GRE、VLAN透传。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基于源地址（允许任意地址、允许指定IP其他阻断此两种源地址）过滤的方式，通过部署环境的不同（三层或者二层），设置单日的端口TCP最大连接数、最大攻击包次数、封锁攻击时间等。另外支持设置排除地址。</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10、实配3年特征库升级授权。</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3276"/>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身份认证系统</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1、1U高度硬件化产品，固化千兆电口≥6个，USB口≥2个。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2、硬盘≥1T，DDR2内存≥2G，支持Linux操作平台，支持PostgreSQL数据库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3、为满足多种应用场景，准入方式应支持有线的用户名密码认证（EAP-MD5）、无线的用户名密码认证 （PEAP-MSCHAPV2） 和USB-KEY CA证书认证（EAP-TLS）。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4、支持已认证的用户使用自己的手机为访客终端扫描二维码进行访客入网接入认证授权，支持只有授权指定的用户组才能为访客做二维码授权，且在认证系统后台有访客与授权访客开户的用户账号绑定。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5、访客二维码名片/公共二维码注册。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6、认证页面合并：普通用户、短信、二维码、微信web认证合并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7、支持使用用户名密码+手机号及短信获取的6位数随机校验码作为认证要素进行双因子认证。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8、支持与第三方Radius联动，将认证信息转发给第三方Radius服务器进行认证，即实现统一身份源。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9、支持与WindowsAD域联动，实现与WindowsAD的整合认证，一次登陆完成802.1X认证和WindowsAD认证。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10、支持使用短信、邮箱、第三方系统联动自助开户功能。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开户、销户、分组管理用户；支持定制用户信息包含的字段，例如部门、年龄等；支持由已认证用户通过自助平台建立短时间临时用户账号，供访客使用；支持违反规定的用户放入黑名单，一段时间内禁止登陆；支持设置账号的使用期限，到期自动销户，并提前通知用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12、昵称认证：采用昵称代替用户名认证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13、首次登陆账号激活，并强制修改密码。首次进行认证时，强制要求用户设置密保：手机号、邮箱账号、私密问答作为密保凭据任选其一。</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14、支持对在线用户进行管理，可下发实时和离线短消息、查看在线用户、下发实时和离线修复程序、强制在线用户下线以及重认证、实时进程信息获取以及远程协助的功能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15、支持禁止已认证用户给未认证用户提供代理服务；禁止已认证用户启用拨号服务，进行非法外连；支持设置用户密码输错的次数上限，防暴力破解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杀毒软件联动，支持主流杀毒软件若联动联动，部分杀毒软件的强联动，要求能实现自定义杀毒软件联动。强联动可检测安装、运行、更新情况，可推送离线升级包，可远程调用杀毒软件进行病毒扫描；弱联动，可检测安装、运行、更新情况，并可以推送离线升级包</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支持安装程序的检测和修复，对必须安装的软件强制下载和安装，禁止安装的软件提示卸载；支持进程运行、注册表项、Windows服务项的检查和修复；支持对外连接口进行管理，可禁止使用USB、光驱等外连接口；支持Windows补丁的强制或非强制更新；支持基于交换机ACL、交换机VLAN、主机ACL实现的隔离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18、支持根据业务规划，设置网络隔离安全域，并将安全域规划下发到交换机、客户端、防火墙、防火墙卡、路由器上执行。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19、配置≥500个并发认证授权。</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24口千兆交换机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1、交换容量≥672Gbps，转发性能≥126Mpps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2、固化10/100/1000M自适应以太网端口≥24个，固化1G SFP光接口≥4个；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3、要求所投设备MAC地址≥16K；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4、产品端口浪涌抗扰度≥10KV，即具备10KV的防雷能力；</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5、支持静态路由、RIP/RIPng、OSPFv2/OSPFv3等三层路由协议；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6、支持专门基础网络保护机制，能够限制用户向网络中发送数据包的速率，对有攻击行为的用户进行隔离，保证设备和整网的安全稳定运行；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7、支持sFlow网络监测技术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8、支持虚拟化功能，可将多台物理设备虚拟化为一台逻辑设备统一管理，并且链路故障的收敛时间≤30ms；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9、支持SNMP、CLI(Telnet/Console)、RMON、SSH、Syslog、NTP/SNTP、FTP、TFTP、Web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1000BASE-LX mini GBIC转换模块（1310nm），10km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无线网络</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836"/>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无线控制器</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1、802.11转发性能≥10G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2、默认可管理AP数≥32个，最大可支持管理512个AP；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3、为保障无线网络的可靠性，单台设备最大可配置AP数目≥2048。</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固化千兆电口数≥10；固化千兆光口数≥2个，固化万兆光口数≥2个。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5、支持本地认证功能，无需通过外置Portal服务器和Radius服务器认证。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6、支持访客通过二维码授权的方式接入无线网络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7、对墙面AP可支持的容量翻倍。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8、为保证设备使用安全，接触电流、保护导体电流、抗电强度均应符合GB 4943.1安全标准。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要求设备可配置AP的本地数据转发技术模式，即可根据网络的SSID和用户VLAN的规划，决定数据是否需要全部经过无线AC转发或直接进入有线网络进行本地交换，从而更好的适应未来无线网络更高流量传输的要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10、AC设备多账户分权管理功能，实现一台物理AC设备或多台物理AC设备虚拟成一台AC设备后，均能受多账户管理，各账户分别管理不同的无线信息；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11、为快速建立高度隔离的安全网络，设备应支持实现AP虚拟化功能，实现一台AP虚拟为多台AP，分别受不同AC设备独立管理，互不影响。不同虚拟 AP之间数据隔离，虚拟AP在AC上不占用AP License。</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12、配置≥64个AP接入授权</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面板AP</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1、支持802.11ax标准，整机最大接入速率≥2.975Gbps；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2、面板型AP，尺寸≥86mm×86mm，可嵌入86盒安装；</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3、1G以太网上联口≥1个，1G以太网下联口≥1个，支持1对RJ45透传口。</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4、为避免无线网络中私接非法AP，所投AP应支持非法AP检测及反制功能。具有非法AP的精确反制和模糊反制功能，能够主动识别非法设备并令非法设备不能使用；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5、支持PSK认证、Web认证、微信认证、二维码访客认证、短信认证、无感知认证等认证方式；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6、考虑安装后的美观度，厚度≤38mm；嵌入86盒后，凸出墙面不超过10mm；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25</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吸顶AP</w:t>
            </w:r>
            <w:r/>
          </w:p>
        </w:tc>
        <w:tc>
          <w:tcPr>
            <w:tcW w:w="3185" w:type="pct"/>
            <w:vAlign w:val="center"/>
            <w:textDirection w:val="lrTb"/>
            <w:noWrap w:val="false"/>
          </w:tcPr>
          <w:p>
            <w:pPr>
              <w:numPr>
                <w:ilvl w:val="0"/>
                <w:numId w:val="9"/>
              </w:numPr>
              <w:jc w:val="left"/>
              <w:widowControl/>
              <w:rPr>
                <w:rFonts w:hint="eastAsia" w:ascii="宋体" w:hAnsi="宋体" w:eastAsia="宋体" w:cs="宋体"/>
                <w:color w:val="auto"/>
                <w:sz w:val="20"/>
                <w:szCs w:val="20"/>
                <w:lang w:bidi="ar"/>
              </w:rPr>
            </w:pPr>
            <w:r>
              <w:rPr>
                <w:rFonts w:hint="eastAsia" w:ascii="宋体" w:hAnsi="宋体" w:eastAsia="宋体" w:cs="宋体"/>
                <w:color w:val="auto"/>
                <w:sz w:val="20"/>
                <w:szCs w:val="20"/>
                <w:lang w:bidi="ar"/>
              </w:rPr>
              <w:t xml:space="preserve">支持802.11ax协议；整机支持≥4条空间流；整机最大无线速率≥2.97Gbps；</w:t>
            </w:r>
            <w:r>
              <w:rPr>
                <w:rFonts w:hint="eastAsia" w:ascii="宋体" w:hAnsi="宋体" w:eastAsia="宋体" w:cs="宋体"/>
                <w:color w:val="auto"/>
                <w:sz w:val="20"/>
                <w:szCs w:val="20"/>
                <w:lang w:bidi="ar"/>
              </w:rPr>
              <w:br/>
            </w:r>
            <w:r>
              <w:rPr>
                <w:rFonts w:hint="eastAsia" w:ascii="宋体" w:hAnsi="宋体" w:eastAsia="宋体" w:cs="宋体"/>
                <w:color w:val="auto"/>
                <w:sz w:val="20"/>
                <w:szCs w:val="20"/>
                <w:lang w:bidi="ar"/>
              </w:rPr>
              <w:t xml:space="preserve">2、至少支持1个1000M自适应以太网端口；至少支持1个2.5G SFP光口；</w:t>
            </w:r>
            <w:r>
              <w:rPr>
                <w:rFonts w:hint="eastAsia" w:ascii="宋体" w:hAnsi="宋体" w:eastAsia="宋体" w:cs="宋体"/>
                <w:color w:val="auto"/>
                <w:sz w:val="20"/>
                <w:szCs w:val="20"/>
                <w:lang w:bidi="ar"/>
              </w:rPr>
              <w:br/>
            </w:r>
            <w:r>
              <w:rPr>
                <w:rFonts w:hint="eastAsia" w:ascii="宋体" w:hAnsi="宋体" w:eastAsia="宋体" w:cs="宋体"/>
                <w:color w:val="auto"/>
                <w:sz w:val="20"/>
                <w:szCs w:val="20"/>
                <w:lang w:bidi="ar"/>
              </w:rPr>
              <w:t xml:space="preserve">3、为了降低辐射对人体带来的潜在危害，保证设备电磁辐射对人体安全，所投产品要求满足Council Recommendation 1999/519/EC Annex II 的相关要求，SAR值不高于2.0W/kg。</w:t>
            </w:r>
            <w:r>
              <w:rPr>
                <w:rFonts w:hint="eastAsia" w:ascii="宋体" w:hAnsi="宋体" w:eastAsia="宋体" w:cs="宋体"/>
                <w:color w:val="auto"/>
                <w:sz w:val="20"/>
                <w:szCs w:val="20"/>
                <w:lang w:bidi="ar"/>
              </w:rPr>
              <w:br/>
            </w:r>
            <w:r>
              <w:rPr>
                <w:rFonts w:hint="eastAsia" w:ascii="宋体" w:hAnsi="宋体" w:eastAsia="宋体" w:cs="宋体"/>
                <w:color w:val="auto"/>
                <w:sz w:val="20"/>
                <w:szCs w:val="20"/>
                <w:lang w:bidi="ar"/>
              </w:rPr>
              <w:t xml:space="preserve">▲4、由于AP部署在开放环境中，为保障设备受到外部机械碰撞仍可以保持结构完整，所投室内无线接入点符合国标GB/T 20138-2006即《电器设备外壳对外界机械碰撞的防护等级（IK代码）》标准：每一暴露面应承受5次碰撞，碰撞的部位应均匀地分布于被试外壳的试验面上，在外壳的同一位置附近应不超过3次碰撞，测试后样品无裂痕，无严重损伤，满足防护等级IK09。</w:t>
            </w:r>
            <w:r>
              <w:rPr>
                <w:rFonts w:hint="eastAsia" w:ascii="宋体" w:hAnsi="宋体" w:eastAsia="宋体" w:cs="宋体"/>
                <w:color w:val="auto"/>
                <w:sz w:val="20"/>
                <w:szCs w:val="20"/>
                <w:lang w:bidi="ar"/>
              </w:rPr>
              <w:br/>
            </w:r>
            <w:r>
              <w:rPr>
                <w:rFonts w:hint="eastAsia" w:ascii="宋体" w:hAnsi="宋体" w:eastAsia="宋体" w:cs="宋体"/>
                <w:color w:val="auto"/>
                <w:sz w:val="20"/>
                <w:szCs w:val="20"/>
                <w:lang w:bidi="ar"/>
              </w:rPr>
              <w:t xml:space="preserve">5、由于放装AP部署在高空环境，要求所投无线接入点符合《外壳防护等级（IP代码）》：水不积聚在可能导致沿爬电距离引起漏电起痕部件上、水不进入带电部件，或进入不允许在潮湿状态下运行的绕组、水不积聚在电缆头附近或进入电缆;防水试验等级至少达到（IPX1）。</w:t>
            </w:r>
            <w:r/>
          </w:p>
          <w:p>
            <w:pPr>
              <w:jc w:val="left"/>
              <w:widowControl/>
              <w:rPr>
                <w:rFonts w:hint="eastAsia" w:ascii="宋体" w:hAnsi="宋体" w:eastAsia="宋体" w:cs="宋体"/>
                <w:color w:val="auto"/>
                <w:sz w:val="20"/>
              </w:rPr>
            </w:pPr>
            <w:r>
              <w:rPr>
                <w:rFonts w:hint="eastAsia" w:ascii="宋体" w:hAnsi="宋体" w:eastAsia="宋体" w:cs="宋体"/>
                <w:color w:val="auto"/>
                <w:sz w:val="20"/>
                <w:szCs w:val="20"/>
                <w:lang w:bidi="ar"/>
              </w:rPr>
              <w:t xml:space="preserve">6、为避免无线网络中私接非法AP，所投AP应支持非法AP检测及反制功能。具有非法AP的精确反制和模糊反制功能，能够主动识别非法设备并令非法设备不能使用；</w:t>
            </w:r>
            <w:r>
              <w:rPr>
                <w:rFonts w:hint="eastAsia" w:ascii="宋体" w:hAnsi="宋体" w:eastAsia="宋体" w:cs="宋体"/>
                <w:color w:val="auto"/>
                <w:sz w:val="20"/>
                <w:szCs w:val="20"/>
                <w:lang w:bidi="ar"/>
              </w:rPr>
              <w:br/>
            </w:r>
            <w:r>
              <w:rPr>
                <w:rFonts w:hint="eastAsia" w:ascii="宋体" w:hAnsi="宋体" w:eastAsia="宋体" w:cs="宋体"/>
                <w:color w:val="auto"/>
                <w:sz w:val="20"/>
                <w:szCs w:val="20"/>
                <w:lang w:bidi="ar"/>
              </w:rPr>
              <w:t xml:space="preserve">7、支持PSK认证、Web认证、微信认证、二维码访客认证、短信认证、无感知认证等认证方式</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29</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室外工业级AP</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1、室外型无线接入点，支持802.11ax标准，整机双射频，4条空间流，整机最大无线接入速率≥2.975Gbps；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2、内置全向天线设计；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3、采用内置天线设计，无外置天线口；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4、支持1G有线接口≥1个，支持2.5G光口≥1个；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5、支持内置蓝牙5.0；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6、支持IP68防护等级；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7、由于室外AP部署在室外无遮挡环境中，为保证设备受到外部机械碰撞仍可以保持结构完整、功能完备并且可以正常运行，要求所投室外无线接入点符合国标GB/T 20138-2006即《电器设备外壳对外界机械碰撞的防护等级（IK代码）》标准，至少达到防护等级IK08；</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8、所投AP整机最大终端接入数≥1024个；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9避免无线网络中私接非法AP，所投AP具有非法AP的精确反制和模糊反制功能，能够主动识别非法设备并令非法设备不能使用；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10、为避免无线网络中私接非法AP的影响，设备应支持802.11w防御Deauth攻击功能，保证终端正常关联使用。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室外工业级AP供电模块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单端口以太网供电适配器（千兆端口、支持802.3at协议标准供电）</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24口千兆POE交换机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1、交换容量≥336Gbps，转发性能≥126Mpps；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2、固化10/100/1000M以太网端口≥24个，SFP非复用口≥4个；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3、≥24个电口支持POE和POE+远程供电，整机POE功率输出≥370W；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4、投标产品面板自带一键查看PoE供电状态功能的PoE按钮，轻按即可查看设备当前的通信状态和供电状态；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5、支持IPv4和IPv6的静态路由、RIP/RIPng、OSPFv2/OSPFv3等三层路由协议；</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8口AP工业交换机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1、固化10/100/1000BASE-T≥8, SFP口≥4口；整机千兆口≥12口；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2、交换容量≥36Gbps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3、包转发率≥26Mpps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4、温度范围-40~85℃；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5、产品要求所投产品端口浪涌抗扰度≥6KV（即具备6KV的防雷能力）；</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1000BASE-LX mini GBIC转换模块（1310nm），10km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安防网络</w:t>
            </w:r>
            <w:r/>
          </w:p>
        </w:tc>
        <w:tc>
          <w:tcPr>
            <w:tcW w:w="3185" w:type="pct"/>
            <w:vAlign w:val="center"/>
            <w:textDirection w:val="lrTb"/>
            <w:noWrap/>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1668"/>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核心交换机</w:t>
            </w:r>
            <w:r/>
          </w:p>
        </w:tc>
        <w:tc>
          <w:tcPr>
            <w:tcW w:w="3185" w:type="pct"/>
            <w:vAlign w:val="center"/>
            <w:textDirection w:val="lrTb"/>
            <w:noWrap w:val="false"/>
          </w:tcPr>
          <w:p>
            <w:pPr>
              <w:rPr>
                <w:rFonts w:hint="eastAsia" w:ascii="宋体" w:hAnsi="宋体" w:eastAsia="宋体" w:cs="宋体"/>
                <w:color w:val="auto"/>
                <w:sz w:val="20"/>
                <w:lang w:bidi="ar"/>
              </w:rPr>
            </w:pPr>
            <w:r>
              <w:rPr>
                <w:rFonts w:hint="eastAsia" w:ascii="宋体" w:hAnsi="宋体" w:eastAsia="宋体" w:cs="宋体"/>
                <w:color w:val="auto"/>
                <w:sz w:val="20"/>
                <w:lang w:bidi="ar"/>
              </w:rPr>
              <w:t xml:space="preserve">1、框式交换机，≥6插槽（≥4业务插槽，≥2主控插槽）；</w:t>
            </w:r>
            <w:r/>
          </w:p>
          <w:p>
            <w:pPr>
              <w:rPr>
                <w:rFonts w:hint="eastAsia" w:ascii="宋体" w:hAnsi="宋体" w:eastAsia="宋体" w:cs="宋体"/>
                <w:color w:val="auto"/>
                <w:sz w:val="20"/>
                <w:lang w:bidi="ar"/>
              </w:rPr>
            </w:pPr>
            <w:r>
              <w:rPr>
                <w:rFonts w:hint="eastAsia" w:ascii="宋体" w:hAnsi="宋体" w:eastAsia="宋体" w:cs="宋体"/>
                <w:color w:val="auto"/>
                <w:sz w:val="20"/>
                <w:lang w:bidi="ar"/>
              </w:rPr>
              <w:t xml:space="preserve">2、支持双引擎板卡，双电源插槽，本项目实配：双/单主控板，双/单电源；</w:t>
            </w:r>
            <w:r/>
          </w:p>
          <w:p>
            <w:pPr>
              <w:rPr>
                <w:rFonts w:hint="eastAsia" w:ascii="宋体" w:hAnsi="宋体" w:eastAsia="宋体" w:cs="宋体"/>
                <w:color w:val="auto"/>
                <w:sz w:val="20"/>
                <w:lang w:bidi="ar"/>
              </w:rPr>
            </w:pPr>
            <w:r>
              <w:rPr>
                <w:rFonts w:hint="eastAsia" w:ascii="宋体" w:hAnsi="宋体" w:eastAsia="宋体" w:cs="宋体"/>
                <w:color w:val="auto"/>
                <w:sz w:val="20"/>
                <w:lang w:bidi="ar"/>
              </w:rPr>
              <w:t xml:space="preserve">3、单板支持10G独立SFP+端口数≥12；</w:t>
            </w:r>
            <w:r/>
          </w:p>
          <w:p>
            <w:pPr>
              <w:rPr>
                <w:rFonts w:hint="eastAsia" w:ascii="宋体" w:hAnsi="宋体" w:eastAsia="宋体" w:cs="宋体"/>
                <w:color w:val="auto"/>
                <w:sz w:val="20"/>
                <w:lang w:bidi="ar"/>
              </w:rPr>
            </w:pPr>
            <w:r>
              <w:rPr>
                <w:rFonts w:hint="eastAsia" w:ascii="宋体" w:hAnsi="宋体" w:eastAsia="宋体" w:cs="宋体"/>
                <w:color w:val="auto"/>
                <w:sz w:val="20"/>
                <w:lang w:bidi="ar"/>
              </w:rPr>
              <w:t xml:space="preserve">4、单板支持千兆独立SFP端口≥24，千兆复用电口≥8；</w:t>
            </w:r>
            <w:r/>
          </w:p>
          <w:p>
            <w:pPr>
              <w:rPr>
                <w:rFonts w:hint="eastAsia" w:ascii="宋体" w:hAnsi="宋体" w:eastAsia="宋体" w:cs="宋体"/>
                <w:color w:val="auto"/>
                <w:sz w:val="20"/>
                <w:lang w:bidi="ar"/>
              </w:rPr>
            </w:pPr>
            <w:r>
              <w:rPr>
                <w:rFonts w:hint="eastAsia" w:ascii="宋体" w:hAnsi="宋体" w:eastAsia="宋体" w:cs="宋体"/>
                <w:color w:val="auto"/>
                <w:sz w:val="20"/>
                <w:lang w:bidi="ar"/>
              </w:rPr>
              <w:t xml:space="preserve">5、单板支持千兆电口≥24，千兆复用SFP端口≥8；</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6、单板支持千兆电口≥48；单板支持千兆光口≥48；</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7、本项目实配：整机千兆电口≥40，千兆光口≥26，万兆SFP+端口≥14</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8、交换容量≥87Tbps，包转发率≥26800Mpps；</w:t>
            </w:r>
            <w:r/>
          </w:p>
          <w:p>
            <w:pPr>
              <w:rPr>
                <w:rFonts w:hint="eastAsia" w:ascii="宋体" w:hAnsi="宋体" w:eastAsia="宋体" w:cs="宋体"/>
                <w:color w:val="auto"/>
                <w:sz w:val="20"/>
              </w:rPr>
            </w:pPr>
            <w:r>
              <w:rPr>
                <w:rFonts w:hint="eastAsia" w:ascii="宋体" w:hAnsi="宋体" w:eastAsia="宋体" w:cs="宋体"/>
                <w:color w:val="auto"/>
                <w:sz w:val="20"/>
                <w:lang w:bidi="ar"/>
              </w:rPr>
              <w:t xml:space="preserve">9、支持802.1Q标准VLAN；支持基本QinQ和灵活QinQ功能；支</w:t>
            </w:r>
            <w:r>
              <w:rPr>
                <w:rFonts w:hint="eastAsia" w:ascii="宋体" w:hAnsi="宋体" w:eastAsia="宋体" w:cs="宋体"/>
                <w:color w:val="auto"/>
                <w:sz w:val="20"/>
                <w:lang w:bidi="ar"/>
              </w:rPr>
              <w:t xml:space="preserve">持802.1D（STP）、802.1W（RSTP）、802.1S（MSTP）；支持端口的静态聚合、动态聚合；支持流控 flow-control；支持ACL；支持IGMP snooping；支持静态路由、策略路由；支持RIP v1/v2、OSPF、BGP；支持IPv6静态路由、支持RIPng、OSPFv3；支持DHCP Relay、DHCP server；支持VRRP；支持Qos；支持WEB界面管理；支持CLI命令行管理、Telnet远程管理、SSH 2.0；支持Pingv6、Telnetv6；支持云端管理；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▲10本项目整体方案应具备前瞻性，要求交换机预留对接网管平台协议接口，可配合上端管理平台直观展示交换机端口面板图，可显示端口的状态及端口所连接设备的类型；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本项目整体方案应具备前瞻性，要求交换机预留对接网管平台协议接口，可配合上端管理平台自动识别安防终端、办公终端的功能，当IPC、门禁、对讲、报警、道闸、NVR、电脑、AP、打印机、考勤机、IP电话接入到交换机上，可自动识别到这些类型，并能查看这些类型设备的IP、MAC、品牌、型号、端口位置、流量信息，针对IPC可识别其通道名称信息；</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24口千兆交换机</w:t>
            </w:r>
            <w:r/>
          </w:p>
        </w:tc>
        <w:tc>
          <w:tcPr>
            <w:tcW w:w="3185" w:type="pct"/>
            <w:vAlign w:val="center"/>
            <w:textDirection w:val="lrTb"/>
            <w:noWrap w:val="false"/>
          </w:tcPr>
          <w:p>
            <w:pPr>
              <w:numPr>
                <w:ilvl w:val="0"/>
                <w:numId w:val="10"/>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千兆电口≥24个，千兆SFP独立光口≥2个，Console口≥1；</w:t>
            </w:r>
            <w:r/>
          </w:p>
          <w:p>
            <w:pPr>
              <w:numPr>
                <w:ilvl w:val="0"/>
                <w:numId w:val="10"/>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交换容量≥336Gbps，包转发率≥108Mpps；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3、MAC表容量≥8k</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4、要求支持工作温度，低温≤-20℃，高温≥65℃</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▲5、为保障设备受到外部机械碰撞仍可以保持结构完整、功能完备，要求至少支持IK08碰撞防护等级；</w:t>
            </w:r>
            <w:r/>
          </w:p>
          <w:p>
            <w:pPr>
              <w:numPr>
                <w:ilvl w:val="0"/>
                <w:numId w:val="11"/>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支持802.1Q标准VLAN；</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7、支持STP、RSTP；</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8、支持静态聚合、动态聚合；</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9、支持IGMP Snooping；</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10、支持环路的蜂鸣声告警，在出现环路时，交换机应发出蜂鸣告警声，环路消除时会停止蜂鸣告警。</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11、支持DHCP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12、支持端口隔离；</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13、支持MAC地址绑定；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14、支持对组播/未知单播/广播的风暴抑制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15、支持WEB、CLI、Telnet管理；</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16、支持SNMP网管；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▲17、为保障业务快速上线及后期管理维护，要求交换机预留对接网管平台协议接口，应支持被手机扫描特定二维码被添加到管理平台的功能，被手机下发IP、VLAN的功能；</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18、支持云端管理；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门禁</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24口千兆POE交换机</w:t>
            </w:r>
            <w:r/>
          </w:p>
        </w:tc>
        <w:tc>
          <w:tcPr>
            <w:tcW w:w="3185" w:type="pct"/>
            <w:vAlign w:val="center"/>
            <w:textDirection w:val="lrTb"/>
            <w:noWrap w:val="false"/>
          </w:tcPr>
          <w:p>
            <w:pPr>
              <w:numPr>
                <w:ilvl w:val="0"/>
                <w:numId w:val="12"/>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≥24个10/100/1000M电口（支持POE供电），≥2个千兆SFP光口，≥1个Console口</w:t>
            </w:r>
            <w:r/>
          </w:p>
          <w:p>
            <w:pPr>
              <w:numPr>
                <w:ilvl w:val="0"/>
                <w:numId w:val="12"/>
              </w:num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交换容量≥336Gbps，包转发率≥126Mpps；</w:t>
            </w:r>
            <w:r/>
          </w:p>
          <w:p>
            <w:pPr>
              <w:numPr>
                <w:ilvl w:val="0"/>
                <w:numId w:val="12"/>
              </w:num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MAC表容量≥8k；</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▲4、防护等级≥6KV；</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5、POE输出最大功率≥370W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6、要求支持工作温度，低温≤-20℃，高温≥65℃</w:t>
            </w:r>
            <w:r/>
          </w:p>
          <w:p>
            <w:pPr>
              <w:numPr>
                <w:ilvl w:val="0"/>
                <w:numId w:val="11"/>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 IEEE 802.1Q标准VLAN；</w:t>
            </w:r>
            <w:r/>
          </w:p>
          <w:p>
            <w:pPr>
              <w:numPr>
                <w:ilvl w:val="0"/>
                <w:numId w:val="11"/>
              </w:num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支持IEEE802.3af/at供电标准；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9、支持STP/RSTP</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10、支持 IGMP Snooping v1/v2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11、支持端口聚合</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12、支持端口限速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▲13、为快速解决终端故障，降低维护成本，应支持端口智能重启设置选项，当开启该功能后，支持对获取不到流量信息的端口自动重启；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▲14、支持环路的蜂鸣声告警，在出现环路时，交换机应发出蜂鸣告警声，环路消除时会停止蜂鸣告警。</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15、支持POE端口定时供电</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16、支持查看POE交换机端口电压、电流、功率信息；</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17、支持端口隔离</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18、支持DHCP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19、支持未知单播、组播、广播的风暴抑制</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20、支持WEB、CLI、Telnet管理；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21、支持SNMP网管；</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监控</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24口千兆POE交换机</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1、≥≥24个10/100/1000M电口（支持POE供电），≥2个千兆SFP光口，≥1个Console口</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2、交换容量≥336Gbps，包转发率≥126Mpps；</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3、MAC表容量≥8k；</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4、防护等级≥6KV；</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5、POE输出最大功率≥370W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6、要求支持工作温度，低温≤-20℃，高温≥65℃</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7、支持 IEEE 802.1Q标准VLAN；</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8、支持IEEE802.3af/at供电标准；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9、支持STP/RSTP</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10、支持 IGMP Snooping v1/v2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11、支持端口聚合</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12、支持端口限速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13、为快速解决终端故障，降低维护成本，应支持端口智能重启设置选项，当开启该功能后，支持对获取不到流量信息的端口自动重启；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14、支持环路的蜂鸣声告警，在出现环路时，交换机应发出蜂鸣告警声，环路消除时会停止蜂鸣告警。</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15、支持POE端口定时供电</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16、支持查看POE交换机端口电压、电流、功率信息；</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17、支持端口隔离</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18、支持DHCP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19、支持未知单播、组播、广播的风暴抑制</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20、支持WEB、CLI、Telnet管理；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21、支持SNMP网管；</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明厨亮灶</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16口工业交换机</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1、≥2个千兆SFP光口，≥24个千兆电口，导轨式</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2、输入电压 ：DC 12-52V；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3、支持反接保护；</w:t>
            </w:r>
            <w:r/>
          </w:p>
          <w:p>
            <w:pPr>
              <w:rPr>
                <w:rFonts w:hint="eastAsia" w:ascii="宋体" w:hAnsi="宋体" w:eastAsia="宋体" w:cs="宋体"/>
                <w:color w:val="auto"/>
                <w:sz w:val="20"/>
              </w:rPr>
            </w:pPr>
            <w:r>
              <w:rPr>
                <w:rFonts w:hint="eastAsia" w:ascii="宋体" w:hAnsi="宋体" w:eastAsia="宋体" w:cs="宋体"/>
                <w:color w:val="auto"/>
                <w:sz w:val="20"/>
                <w:lang w:bidi="ar"/>
              </w:rPr>
              <w:t xml:space="preserve">4、支持内置过流≥4.0A保护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5、MAC地址≥8K；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6、IP40防护等级；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7、±≥8kV接触放电,±≥15kV空气放电；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8、考虑室外气候，要求支持工作温度，低温≤-40℃，高温≥80℃，并通过盐雾试验。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9、支持STP、RSTP生成树协议；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10、支持IEEE802.3x，全双工方式下的流量控制协议；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11、支持环路保护功能，实时监测、迅速报警、精准定位、智能阻塞、自动恢复；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12、支持环形组网；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13、支持DHCP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14、支持IGMP Snooping/MLD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15、支持WEB管理；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16、支持Telnet远程管理；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17、支持云端运维；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18、支持网管平台统一管理；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室外监控</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8口工业交换机</w:t>
            </w:r>
            <w:r/>
          </w:p>
        </w:tc>
        <w:tc>
          <w:tcPr>
            <w:tcW w:w="3185" w:type="pct"/>
            <w:vAlign w:val="center"/>
            <w:textDirection w:val="lrTb"/>
            <w:noWrap w:val="false"/>
          </w:tcPr>
          <w:p>
            <w:pPr>
              <w:numPr>
                <w:ilvl w:val="0"/>
                <w:numId w:val="13"/>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≥2个千兆SFP光口，≥8个千兆电口，导轨式</w:t>
            </w:r>
            <w:r/>
          </w:p>
          <w:p>
            <w:pPr>
              <w:numPr>
                <w:ilvl w:val="0"/>
                <w:numId w:val="13"/>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输入电压 ：DC 12-52V；</w:t>
            </w:r>
            <w:r/>
          </w:p>
          <w:p>
            <w:pPr>
              <w:numPr>
                <w:ilvl w:val="0"/>
                <w:numId w:val="13"/>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支持反接保护；</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4、支持内置过流≥4.0A保护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5、MAC地址≥8K；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6、IP40防护等级；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7、±≥8kV接触放电,±≥15kV空气放电；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8、考虑室外气候，要求支持工作温度，低温≤-40℃，高温≥80℃，并通过盐雾试验。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9、支持STP、RSTP生成树协议；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10、支持IEEE802.3x，全双工方式下的流量控制协议；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11、支持环路保护功能，实时监测、迅速报警、精准定位、智能阻塞、自动恢复；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12、支持环形组网；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13、支持DHCP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14、支持IGMP Snooping/MLD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15、支持WEB管理；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16、支持Telnet远程管理；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17、支持云端运维；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18、支持网管平台统一管理；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室外监控</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商业级；千兆SFP模块，单模双芯，双LC接口，波长1310nm，传输距离20km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四、会议扩声系统</w:t>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一层合班教室</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1.1 扩声部分</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线阵全频主音箱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频率响应(-3dB)：不窄于 60Hz-18KHz(1dB)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低音单元： 2x8"/2"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高音单元 ：1x1.4"/3"</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额定功率：≥ 300W/1200W(峰值)</w:t>
            </w:r>
            <w:r>
              <w:rPr>
                <w:rFonts w:hint="eastAsia" w:ascii="宋体" w:hAnsi="宋体" w:eastAsia="宋体" w:cs="宋体"/>
                <w:color w:val="auto"/>
                <w:sz w:val="20"/>
                <w:lang w:bidi="ar"/>
              </w:rPr>
              <w:br/>
            </w:r>
            <w:r>
              <w:rPr>
                <w:rFonts w:hint="eastAsia"/>
                <w:color w:val="auto"/>
              </w:rPr>
              <w:t xml:space="preserve">★</w:t>
            </w:r>
            <w:r>
              <w:rPr>
                <w:rFonts w:hint="eastAsia" w:ascii="宋体" w:hAnsi="宋体" w:eastAsia="宋体" w:cs="宋体"/>
                <w:color w:val="auto"/>
                <w:sz w:val="20"/>
                <w:lang w:bidi="ar"/>
              </w:rPr>
              <w:t xml:space="preserve">灵敏度：≥ 98dB (1w /1m)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 124dB(连续)/130dB(峰值)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 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覆盖角度(-6dB) ：水平覆盖：≥120°</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线阵次低音箱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频率响应：不窄于 50Hz-2000Hz(±3dB)  1watt@1m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 110dB /W(lm)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 132dB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 ：4Ω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额定功率：≥ 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系统推荐功率： 1200W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峰值功率： 2000W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系统类型： 双12英寸线阵低音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低音单元： 12寸低音×2</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超低音音箱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不小于18"反射式低频扬声器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频率响应：不窄于30HZ-250Hz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额定功率：≥600W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最大功率：≥1200W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最大声压：≥131dB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返听音箱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不小于12"2路反射式低音舞台返听/多用途扬声器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频率范围：不窄于70HZ-20KHZ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频率响应(±3dB)：不窄于83Hz-18KHz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覆盖角度：≥90度*50度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低频驱动器：12"*1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高频驱动器：1.73"*1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灵敏度：≥96dB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最大声压级：≥131dB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额定功率：≥300W（连续）/600W节目（节目）/1200W（峰值）</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辅助音箱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额定功率：≥350W；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最大输入功率：≥1400W；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阻抗：8Ω；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频率响应：不窄于45Hz-19KHz；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系统类型：12英寸二路二单元全频；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高音单元：44芯高音×1；低音单元：12英寸低音×1；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标准覆盖角：≥100°（H）x 70°（V）；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最大声压级：≥121dB；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灵敏度（1W/1m）：≥98dB /W(lm)；</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线阵主音箱功放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输入灵敏度调节开关，输入信号幅度0.775V、1.0V.1.4V可选，适用于宽幅度范围信号源输入；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具有滤波选择开关，直通NORMAL、低通LPE、高通HPF三种模式任意切换，方便不同场合使用；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输入模式选择快关，STEREO立体声、PARALLEL并联、BRIDGE桥接模式，科根据音箱自由灵活选择；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具有地悬开关，悬浮LIFT、接地GND，可根据情况选择，降低外界干扰对系统影响；具有压限开关，打开时可有效保护功放及扬声器，防止烧毁；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输出功率8Ω：≥800W×2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输出功率4Ω：≥1160W×2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桥接8Ω:≥2320W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保护：直流保护、过热保护、软启动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控制：前面板有CHA/CHB音量控制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线阵低频音箱功放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输入灵敏度调节开关，输入信号幅度0.775V、1.0V.1.4V可选，适用于宽幅度范围信号源输入；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具有滤波选择开关，直通NORMAL、低通LPE、高通HPF三种模式任意切换，方便不同场合使用；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输入模式选择快关，STEREO立体声、PARALLEL并联、BRIDGE桥接模式，科根据音箱自由灵活选择；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具有地悬开关，悬浮LIFT、接地GND，可根据情况选择，降低外界干扰对系统影响；具有压限开关，打开时可有效保护功放及扬声器，防止烧毁；                                                                                                                                                           输出功率8Ω：≥1000W×2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输出功率4Ω：≥1580W×2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桥接8Ω:≥3160W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保护：直流保护、过热保护、软启动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控制：前面板有CHA/CHB音量控制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超低音音箱功放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输入灵敏度调节开关，输入信号幅度0.775V、1.0V.1.4V可选，适用于宽幅度范围信号源输入；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具有滤波选择开关，直通NORMAL、低通LPE、高通HPF三种模式任意切换，方便不同场合使用；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输入模式选择快关，STEREO立体声、PARALLEL并联、BRIDGE桥接模式，科根据音箱自由灵活选择；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具有地悬开关，悬浮LIFT、接地GND，可根据情况选择，降低外界干扰对系统影响；具有压限开关，打开时可有效保护功放及扬声器，防止烧毁；                                                                                                                                                           输出功率8Ω：≥1300W×2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输出功率4Ω：≥2080W×2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桥接8Ω：≥4150W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保护：直流保护、过热保护、软启动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控制：前面板有CHA/CHB音量控制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返听音箱功放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输入灵敏度调节开关，输入信号幅度0.775V、1.0V.1.4V可选，适用于宽幅度范</w:t>
            </w:r>
            <w:r>
              <w:rPr>
                <w:rFonts w:hint="eastAsia" w:ascii="宋体" w:hAnsi="宋体" w:eastAsia="宋体" w:cs="宋体"/>
                <w:color w:val="auto"/>
                <w:sz w:val="20"/>
                <w:lang w:bidi="ar"/>
              </w:rPr>
              <w:t xml:space="preserve">围信号源输入；                                                                                                          具有滤波选择开关，直通NORMAL、低通LPE、高通HPF三种模式任意切换，方便不同场合使用；                                                                                                </w:t>
            </w:r>
            <w:r>
              <w:rPr>
                <w:rFonts w:hint="eastAsia" w:ascii="宋体" w:hAnsi="宋体" w:eastAsia="宋体" w:cs="宋体"/>
                <w:color w:val="auto"/>
                <w:sz w:val="20"/>
                <w:lang w:bidi="ar"/>
              </w:rPr>
              <w:t xml:space="preserve">                                                              输入模式选择快关，STEREO立体声、PARALLEL并联、BRIDGE桥接模式，科根据音箱自由灵活选择；                                                                                                                                             </w:t>
            </w:r>
            <w:r>
              <w:rPr>
                <w:rFonts w:hint="eastAsia" w:ascii="宋体" w:hAnsi="宋体" w:eastAsia="宋体" w:cs="宋体"/>
                <w:color w:val="auto"/>
                <w:sz w:val="20"/>
                <w:lang w:bidi="ar"/>
              </w:rPr>
              <w:t xml:space="preserve">                   具有地悬开关，悬浮LIFT、接地GND，可根据情况选择，降低外界干扰对系统影响；具有压限开关，打开时可有效保护功放及扬声器，防止烧毁；                                                                                                                                                           1、输出功率8Ω：≥600×2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2、输出功率4Ω：≥870×2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3、桥接8Ω:≥1740W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10、输入阻抗：20KΩ（平衡）/10KΩ（非平衡）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11、输入灵敏度：0.775V 1.0V 1.44V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12、保护：直流保护、过热保护、软启动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13、控制：前面板有CHA/CHB音量控制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辅助音箱功放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输入灵敏度调节开关，输入信号幅度0.775V、1.0V.1.4V可选，适用于宽幅度范</w:t>
            </w:r>
            <w:r>
              <w:rPr>
                <w:rFonts w:hint="eastAsia" w:ascii="宋体" w:hAnsi="宋体" w:eastAsia="宋体" w:cs="宋体"/>
                <w:color w:val="auto"/>
                <w:sz w:val="20"/>
                <w:lang w:bidi="ar"/>
              </w:rPr>
              <w:t xml:space="preserve">围信号源输入；                                                                                                          具有滤波选择开关，直通NORMAL、低通LPE、高通HPF三种模式任意切换，方便不同场合使用；                                                                                                </w:t>
            </w:r>
            <w:r>
              <w:rPr>
                <w:rFonts w:hint="eastAsia" w:ascii="宋体" w:hAnsi="宋体" w:eastAsia="宋体" w:cs="宋体"/>
                <w:color w:val="auto"/>
                <w:sz w:val="20"/>
                <w:lang w:bidi="ar"/>
              </w:rPr>
              <w:t xml:space="preserve">                                                              输入模式选择快关，STEREO立体声、PARALLEL并联、BRIDGE桥接模式，科根据音箱自由灵活选择；                                                                                                                                             </w:t>
            </w:r>
            <w:r>
              <w:rPr>
                <w:rFonts w:hint="eastAsia" w:ascii="宋体" w:hAnsi="宋体" w:eastAsia="宋体" w:cs="宋体"/>
                <w:color w:val="auto"/>
                <w:sz w:val="20"/>
                <w:lang w:bidi="ar"/>
              </w:rPr>
              <w:t xml:space="preserve">                   具有地悬开关，悬浮LIFT、接地GND，可根据情况选择，降低外界干扰对系统影响；具有压限开关，打开时可有效保护功放及扬声器，防止烧毁；                                                                                                                                                           1、输出功率8Ω：≥600×2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2、输出功率4Ω：≥870×2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3、桥接8Ω:≥1740W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10、输入阻抗：20KΩ（平衡）/10KΩ（非平衡）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11、输入灵敏度：0.775V 1.0V 1.44V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12、保护：直流保护、过热保护、软启动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13、控制：前面板有CHA/CHB音量控制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调音台</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通道：支持不少于16个话筒 / 20个线路输入 (12个单声道 + 4个立体声)，4编组母线 + 1立体声母线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支持+48V幻像电源双开关分两路控制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最大输出电平：≥19dBm(1KHz, THD=0.5%)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信噪比：≥85dB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均衡：低频：80Hz ±15dB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均衡：中频：2.5KHz±15dB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均衡：高频：12KHz±15dB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增益控制：单声道-55dB~0dB,立体声-10dB/0dB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频率响应：不窄于20Hz~20KHz(1dB)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总谐波失真+噪声：≤0.05%(1KHz,0.775V)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效果器：SPX，支持不少于24组预置效果器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支持24-bit/192kHz 2进/2出 USB音频功能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支持+48V幻象供电</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音频处理器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1、≥8路音频信号输入；≥8路信号音频输出；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2、8路音频输入输出，将机器通过RS232接口或者USB接口连接到电脑之后，与电脑上位机软件连接，可以通过上位机软件调节处理器的各种功能；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3、8路音频输入，可以选择是MIC输入还是LINE输入，MIC输入灵敏度高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4、输入支持48V幻象电源，并且自由开关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5、自带反馈抑制功能，并且支持自由开关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6、8路音频信号输入；8路信号音频输出；可以随意路由，根据环境要求调节现场需求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7.输入≥30段PEQ可调，输出≥10段PEQ可调；</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效果器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1、2.2英寸彩屏，可显示模式，陷波器，解锁，锁定状态；为高品质扩声场所提供专业的反馈抑制器效果，高品质的移频+陷波算法实现高音质低噪声的反馈抑制；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2、2路XLR母座+2路TRS母座模拟输入，2路XLR公座+2路TRS公座模拟输出；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3、5档预设值快速选择以适配当前的使用场景，适用于各种场景及麦克风类型；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4、通过PC上位机连接USB接口可以全面的设置增益、噪声门、压限、移频、陷波以及EQ，并保存自定义设置，持模式存档、导入导出；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5、1路RS-485通讯接口以连接外部控制设备。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6、32位浮点DPS处理器，48kHz采样频率，24位A/D及D/A；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7、单键飞梭快捷操作，快速实现模式、直通、锁定及中英文选择功能；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8、移频器±10Hz可调（1Hz步进），陷波器增益、Q值、数量可调；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9、每通道独立增益、噪声门、压限器、移频、陷波、高低通、7段PEQ功能设置；</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监听音箱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高低音分频设计喇叭，内置功放，音质细腻柔和，对人声、音乐有高还原放大特性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额定功率(W)：≥30W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灵敏度(1w,1n)：≥90±3dB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频率响应(1w,1n)：不窄于75Hz-20KHz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喇叭单元：不小于低音5"×1+高音1.5"×1</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1.电源时序打开/关闭：≥8通道；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2.单个通道最大负载功率≥2000W，所有通道负载总功率≥6500W；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3.输出连接器：多用途电源插座；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4.具有电子锁开关控制，防止他人开启；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5.采用1U的标准机箱及标准电器插头，使用方便；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6.每路输出带指示灯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7.锁匙开关控制电源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8.可控制电源≥8路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9.每路动作延时时间1秒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10.单路额定输出电源：≥10A</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1.2 发言部分</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UHF段液晶显示可调频真分集无线咪(双手持）</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双手持无线话筒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 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 ≥100dB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UHF段液晶显示可调频真分集无线咪（双耳戴）</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双耳戴无线话筒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 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 ≥100dB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UHF段液晶显示可调频真分集无线咪（双耳戴）</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双耳戴无线话筒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 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 ≥100dB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红梨湖校区更新</w:t>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会议控制主机</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采用高性能工业级嵌入式处理器，系统稳定性强，速度快。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数字化处理和传输技术，再多的设备也不受干扰，全数字传输，克服长距离传输的衰减问题，专用六芯带屏蔽线传输距离可达250米；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内置环境噪音消除器、数字均衡电路、自适应反馈抑器，可有效消除本地噪声，大幅提升会场声压级，有效防止啸叫；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连接方式采用6芯DIN带屏蔽线缆或超六类带屏蔽网线，可有效防止对线路的电磁干扰；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系统主机具有双机热备份模式功能，可把主机设为热备份模式级联进行系统备份；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4.3英寸真彩色触摸屏，内嵌式Linux智能控制系统，中文操作界面（可按客户要求定义相应的语言）</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可触摸设置会议模式、系统音量调节、话筒管理、单元编号、摄像机参数、视像跟踪设置和倒计时设置以及茶水服务功能等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会议模式：自由模式、轮替模式、限制模式、申请模式、计时模式、声控模式、PTT模式、VIP模式；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具有1组光纤音频接口。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具有2×30W功放模块，可直接外接音箱使用。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具有1路5V消防联动警报接口，此接口为扩展接口，可用于消防警报连接端口。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具有USB录播功能，可对会议进行录音，并能播放U盘存贮的音频文件。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支持48kHz音频采样频率，通道频率响应可达20Hz-20kHz；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主机可以集中调节会议单元的输出增益，并可设定设置音频调节锁定；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具有DATA网络控制接口，控制网线可延长至1000米连接管理会议。；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具备线路带电“热插拔”功能，让系统的安全性得到更大的保障；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系统可接入其它电容麦克风或动圈麦克风，为用户提供更多选择；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路话筒输出六芯单元每路可接驳30个会议发言单元，单台主机可接驳120个会议单元。4路话筒输出网线单元每个接口可接驳15个会议发言单元，单台主机可接驳60个会议单元（可根据单元的功率大小和主缆线长度来定每路接驳数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系统主机级联多台扩展主机可挂载255席表决单元或4096席发言单元同时进行会议。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具备“手拉手”连接和环路连接多种方式，便于安装和维护；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具有中控接口，PC接口，可实现管理软件、中控、触控屏、手机等设备控制指令；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配合电话耦合器可以进行远程电话会议；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配合网络会议软件及视频会议终端，可实现远程视频会议；</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会议主席单元</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抗电磁、手机干扰功能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麦克风具有发言键与指示灯，可控制/指示本机状态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单指向性，具防气爆音功能，配有防风防护罩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电容麦克风杆，并具有发言指示灯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单元由系统主机供电，输入电压18V属安全范围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麦克风灵敏度高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自动关机功能，开启的麦克风在没有拾音的状态下(拾音范围内声音低于50dB时)45秒将自动关闭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主席单元具主席优先控制按键，可启动系统提示音提醒出席人员注意，可设永久终止或暂停终止所有发言代表麦克风的发言状态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系统中主席单元数量不受限制，并可置于回路中任意位置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系统中主席单元不受会议模式的限制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单元采用6芯线“T”型连接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具有视像跟踪功能</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会议代表单元</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抗电磁、手机干扰功能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麦克风具有发言键与指示灯，可控制/指示本机状态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单指向性，具防气爆音功能，配有防风防护罩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电容麦克风杆，并具有发言指示灯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单元由系统主机供电，输入电压18V属安全范围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麦克风灵敏度高</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自动关机功能，开启的麦克风在没有拾音的状态下(拾音范围内声音低于50dB时)45秒将自动关闭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主席单元具主席优先控制按键，可启动系统提示音提醒出席人员注意，可设永久终止或暂停终止所有发言代表麦克风的发言状态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系统中主席单元数量不受限制，并可置于回路中任意位置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系统中主席单元不受会议模式的限制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单元采用6芯线“T”型连接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具有视像跟踪功能</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大合唱话筒</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类型： 电容式麦克风</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指向性：心型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灵敏度：不低于 35mv/Pa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标称阻抗：≦150Ω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推荐负载阻抗： ≥1kΩ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信噪比：≥50dB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最大耐声压级：≥140dB SPL</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话筒落地支架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落地支架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乐器麦克风</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类型：电容式麦克风</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指向性：心型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灵敏度：不低于35mv/Pa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标称阻抗：≦150Ω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推荐负载阻抗：≥1kΩ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信噪比：≥50dB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最大耐声压级：≥140dB SPL</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天线分配器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天线分配系统由一台天线分配器、2个天线组成，可供多台接收机使用，让接收信号获得默较佳的噪讯比，增加接收距离及稳定性，可提供不少于4组电源输入给接收机使用。</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指向放大天线</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适用频带范围： 500-900MHz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输出/入增益： 0dB(频段中心）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输出端绝缘度： 20dB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输出/入阻抗： 50欧姆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增益： ≥ 13dBm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频宽 :400MHz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接头: TNC插座</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反馈抑制器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1、2.2英寸彩屏，可显示模式，陷波器，解锁，锁定状态；为高品质扩声场所提供专业的反馈抑制器效果，高品质的移频+陷波算法实现高音质低噪声的反馈抑制；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2、2路XLR母座+2路TRS母座模拟输入，2路XLR公座+2路TRS公座模拟输出；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3、5档预设值快速选择以适配当前的使用场景，适用于各种场景及麦克风类型；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4、通过PC上位机连接USB接口可以全面的设置增益、噪声门、压限、移频、陷波以及EQ，并保存自定义设置，持模式存档、导入导出；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5、1路RS-485通讯接口以连接外部控制设备。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6、32位浮点DPS处理器，48kHz采样频率，24位A/D及D/A；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7、单键飞梭快捷操作，快速实现模式、直通、锁定及中英文选择功能；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8、移频器±10Hz可调（1Hz步进），陷波器增益、Q值、数量可调；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9、每通道独立增益、噪声门、压限器、移频、陷波、高低通、7段PEQ功能设置；</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1.3 灯光部分</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面光灯</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电源电压：AC100V-240V，50/60Hz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 率：200W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LED灯珠：节能模组一颗200W全彩RGB灯珠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光学透镜：60度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    道：3/7CH</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控制模式：DMX-512控制操作、主从机模式、单机模式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调   光：0—100%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显   示：四位八段数码管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   闪：电子频闪1-25fps/秒，随机频闪，按顺序跳动，变速频闪（从慢到快）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散   热：通过优质散热片对流冷却,智能静音风扇辅助散热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防护等级：IP20</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信号放大器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一进八出，供电：115V/230V  频率：50HZ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放大功能可以令连接延长超过标准的DMX512长度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若需要额外的位置，可以在同一连接上使用多个信号放大器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每个连接的位置可以独立地连接，最多可达32台灯具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外观设计轻便，结构坚固，减少问题再发生</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灯控台</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外置电</w:t>
            </w:r>
            <w:r>
              <w:rPr>
                <w:rFonts w:hint="eastAsia" w:ascii="宋体" w:hAnsi="宋体" w:eastAsia="宋体" w:cs="宋体"/>
                <w:color w:val="auto"/>
                <w:sz w:val="20"/>
                <w:lang w:bidi="ar"/>
              </w:rPr>
              <w:t xml:space="preserve">源变压器标准DMX512信号MIDI IN/OUT，内置MIC声控输入，8路/192个DMX通道输出，可控12支电脑灯（每路16个通道）。30个软件程序库包含240组预设场景，每组场景8组场景。6个可编程预设程序，任意调用场景以及场景切换。编程迅捷，带记忆本，液晶显示，操作方便。4位数码管显示。BLACKOUT可用手动式MIDI作遥控控制。CHASES编程和CHASES运行功能，可用手动或用MIDI遥控控制。输出延时功能，用FADETIME电位器调节延时时间。DMX输出极性选择。供电电压：DC9V--12V</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供电电流：不小于300mA。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灯钩安全绳</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定制</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固定灯杆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50圆管现场焊接12米长</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道</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电缆线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RVV3*2.5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220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控制信号线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RVV4*0.5mm2</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220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辅助材料</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膨胀螺丝，钢丝绳等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1.4辅材</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专业机柜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42U服务器机柜</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线阵音箱支架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田字架≥1个，U型扣≥4个，连接杆≥4条，吊带≥1条。</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葫芦架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定制</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1.8米音频连接线：卡侬头（母）-卡侬头（公）</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条</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1.8米音频连接线：3.5（耳机插头）-双6.35话筒插头</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条</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9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音响支架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1、固定面板尺寸（长*宽）:≥240mm*130mm；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2、臂杆长度:≥440mm；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3、箱体固定杆长度:≥165mm。</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专业音箱插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大4芯</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多功能地插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一个HDMI接口。一个3.5音频接口。一个网络接口。一个电源接口</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音箱地插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大4芯音箱接口</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话筒地插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卡侬接口</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HDMI</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HDMI</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网线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cat6</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足300支金银线</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阅览室背景音乐系统</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专业吸顶音响</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1.额定功率(W)：≥80W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2.输入阻抗：8欧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3.灵敏度：88dB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4.频率响应：50Hz-20KHz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5.开孔尺寸(mm)：Ø 240mm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6.装饰罩尺寸：Ø270mm×105mm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7.构成：8寸同轴</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1.输出功率8Ω：≥300×2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2.输出功率4Ω：≥435×2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3.桥接8Ω:≥870W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10.保护：直流保护、过热保护、软启动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内置反馈抑制功能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支持三路MIC输入话筒输入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音乐部分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输入电平：不低于775mVrms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信噪比：&gt;80db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输入电平：不低于50mVrms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信噪比：＞80db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1.电源时序打开/关闭：≥8通道；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2.单个通道最大负载功率≥2000W，所有通道负载总功率≥6500W；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3.输出连接器：多用途电源插座；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4.具有电子锁开关控制，防止他人开启；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6.采用1U的标准机箱及标准电器插头，使用方便；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7.每路输出带指示灯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8.锁匙开关控制电源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9.可控制电源≥8路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10.每路动作延时时间1秒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11.单路额定输出电源：≥10A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一拖二无线话筒(双手持）</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双手持无线话筒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 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 ≥100dB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音箱支架</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音响线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1.5米卡侬公转卡侬母</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1.8米3.5转双莲花</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管材辅材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接插件、音响线、管路等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美术书法教室背景音乐系统</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专业吸顶音响</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1.额定功率(W)：≥80W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2.输入阻抗：8欧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3.灵敏度：88dB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4.频率响应：50Hz-20KHz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5.开孔尺寸(mm)：Ø 240mm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6.装饰罩尺寸：Ø270mm×105mm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7.构成：8寸同轴</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1.输出功率8Ω：≥300×2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2.输出功率4Ω：≥435×2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3.桥接8Ω:≥870W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10.保护：直流保护、过热保护、软启动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内置反馈抑制功能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支持三路MIC输入话筒输入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音乐部分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输入电平：不低于775mVrms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信噪比：&gt;80db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输入电平：不低于50mVrms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信噪比：＞80db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1.电源时序打开/关闭：≥8通道；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2.单个通道最大负载功率≥2000W，所有通道负载总功率≥6500W；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3.输出连接器：多用途电源插座；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4.具有电子锁开关控制，防止他人开启；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6.采用1U的标准机箱及标准电器插头，使用方便；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7.每路输出带指示灯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8.锁匙开关控制电源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9.可控制电源≥8路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10.每路动作延时时间1秒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11.单路额定输出电源：≥10A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一拖二无线话筒(双手持）</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双手持无线话筒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 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音响线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1.5米卡侬公转卡侬母</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1.8米3.5转双莲花</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管材辅材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接插件、音响线、管路等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3F音乐教室</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全频音箱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额定功率：≥250W；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最大输入功率：≥800W；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阻抗：8Ω；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频率响应：不窄于55Hz-18KHz；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系统类型：10寸二路二单元全频；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高音单元：34芯高音×1；低音单元：10英寸低音×1；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标准覆盖角：≥100°（H）x 70°（V）；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最大声压级：≥113dB；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灵敏度（1W/1m）：不低于95dB /W(lm)；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材质及表面处理：中纤板，环保水性漆；</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全频音箱功放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1.输出功率8Ω：≥400W×2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2.输出功率4Ω：≥535W×2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3.桥接8Ω:≥1150W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10.保护：直流保护、过热保护、软启动</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内置反馈抑制功能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支持三路MIC输入话筒输入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音乐部分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输入电平：不低于775mVrms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信噪比：&gt;80db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输入电平：不低于50mVrms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信噪比：＞80db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1.电源时序打开/关闭：≥8通道；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2.单个通道最大负载功率≥2000W，所有通道负载总功率≥6500W；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3.输出连接器：多用途电源插座；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4.具有电子锁开关控制，防止他人开启；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6.采用1U的标准机箱及标准电器插头，使用方便；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7.每路输出带指示灯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8.锁匙开关控制电源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9.可控制电源≥8路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10.每路动作延时时间1秒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11.单路额定输出电源：≥10A</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UHF段液晶显示可调频真分集无线咪(双手持）</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双手持无线话筒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音箱支架</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1.5米卡侬公转卡侬母</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1.8米3.5转双莲花</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管材辅材</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接插件、音响线、管路等</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3F舞蹈教室</w:t>
            </w:r>
            <w:r/>
          </w:p>
        </w:tc>
        <w:tc>
          <w:tcPr>
            <w:tcW w:w="3185" w:type="pct"/>
            <w:vAlign w:val="center"/>
            <w:textDirection w:val="lrTb"/>
            <w:noWrap w:val="false"/>
          </w:tcPr>
          <w:p>
            <w:pPr>
              <w:jc w:val="left"/>
              <w:rPr>
                <w:rFonts w:hint="eastAsia" w:ascii="宋体" w:hAnsi="宋体" w:eastAsia="宋体" w:cs="宋体"/>
                <w:b/>
                <w:bCs/>
                <w:color w:val="auto"/>
                <w:sz w:val="20"/>
              </w:rPr>
            </w:pPr>
            <w:r>
              <w:rPr>
                <w:rFonts w:hint="eastAsia" w:ascii="宋体" w:hAnsi="宋体" w:eastAsia="宋体" w:cs="宋体"/>
                <w:b/>
                <w:bCs/>
                <w:color w:val="auto"/>
                <w:sz w:val="20"/>
              </w:rPr>
            </w:r>
            <w:r/>
          </w:p>
        </w:tc>
        <w:tc>
          <w:tcPr>
            <w:tcW w:w="258" w:type="pct"/>
            <w:vAlign w:val="center"/>
            <w:textDirection w:val="lrTb"/>
            <w:noWrap w:val="false"/>
          </w:tcPr>
          <w:p>
            <w:pPr>
              <w:jc w:val="center"/>
              <w:rPr>
                <w:rFonts w:hint="eastAsia" w:ascii="宋体" w:hAnsi="宋体" w:eastAsia="宋体" w:cs="宋体"/>
                <w:b/>
                <w:bCs/>
                <w:color w:val="auto"/>
                <w:sz w:val="20"/>
              </w:rPr>
            </w:pPr>
            <w:r>
              <w:rPr>
                <w:rFonts w:hint="eastAsia" w:ascii="宋体" w:hAnsi="宋体" w:eastAsia="宋体" w:cs="宋体"/>
                <w:b/>
                <w:bCs/>
                <w:color w:val="auto"/>
                <w:sz w:val="20"/>
              </w:rPr>
            </w:r>
            <w:r/>
          </w:p>
        </w:tc>
        <w:tc>
          <w:tcPr>
            <w:tcW w:w="289" w:type="pct"/>
            <w:vAlign w:val="center"/>
            <w:textDirection w:val="lrTb"/>
            <w:noWrap w:val="false"/>
          </w:tcPr>
          <w:p>
            <w:pPr>
              <w:jc w:val="center"/>
              <w:rPr>
                <w:rFonts w:hint="eastAsia" w:ascii="宋体" w:hAnsi="宋体" w:eastAsia="宋体" w:cs="宋体"/>
                <w:b/>
                <w:bCs/>
                <w:color w:val="auto"/>
                <w:sz w:val="20"/>
              </w:rPr>
            </w:pPr>
            <w:r>
              <w:rPr>
                <w:rFonts w:hint="eastAsia" w:ascii="宋体" w:hAnsi="宋体" w:eastAsia="宋体" w:cs="宋体"/>
                <w:b/>
                <w:bCs/>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全频音箱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额定功率：≥250W；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最大输入功率：≥800W；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阻抗：8Ω；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频率响应：不窄于55Hz-18KHz；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系统类型：10寸二路二单元全频；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高音单元：34芯高音×1；低音单元：10英寸低音×1；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标准覆盖角：≥100°（H）x 70°（V）；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最大声压级：≥113dB；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灵敏度（1W/1m）：不低于95dB /W(lm)；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材质及表面处理：中纤板，环保水性漆；</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全频音箱功放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1.输出功率8Ω：≥400W×2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2.输出功率4Ω：≥535W×2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3.桥接8Ω:≥1150W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10.保护：直流保护、过热保护、软启动</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内置反馈抑制功能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支持三路MIC输入话筒输入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音乐部分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输入电平：不低于775mVrms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信噪比：&gt;80db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输入电平：不低于50mVrms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频率响应：不窄于20HZ--20KHZ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失真：＜0.1%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信噪比：＞80db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1.电源时序打开/关闭：≥8通道；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2.单个通道最大负载功率≥2000W，所有通道负载总功率≥6500W；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3.输出连接器：多用途电源插座；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4.具有电子锁开关控制，防止他人开启；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6.采用1U的标准机箱及标准电器插头，使用方便；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7.每路输出带指示灯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8.锁匙开关控制电源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9.可控制电源≥8路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10.每路动作延时时间1秒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11.单路额定输出电源：≥10A</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UHF段液晶显示可调频真分集无线咪(双手持）</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双手持无线话筒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音箱支架</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1.5米卡侬公转卡侬母</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1.8米3.5转双莲花</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管材辅材</w:t>
            </w:r>
            <w:r/>
          </w:p>
        </w:tc>
        <w:tc>
          <w:tcPr>
            <w:tcW w:w="3185" w:type="pct"/>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接插件、音响线、管路等</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四层大会议室</w:t>
            </w:r>
            <w:r/>
          </w:p>
        </w:tc>
        <w:tc>
          <w:tcPr>
            <w:tcW w:w="318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color w:val="auto"/>
                <w:sz w:val="20"/>
              </w:rPr>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全频音箱</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额定功率：≥250W；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最大输入功率：≥800W；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阻抗：8Ω；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频率响应：不窄于55Hz-18KHz；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系统类型：10寸二路二单元全频；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高音单元：34芯高音×1；低音单元：10英寸低音×1；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标准覆盖角：≥100°（H）x 70°（V）；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最大声压级：≥113dB；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灵敏度（1W/1m）：不低于95dB /W(lm)；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材质及表面处理：中纤板，环保水性漆；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全频音箱功放</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1.输出功率8Ω：≥400W×2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2.输出功率4Ω：≥535W×2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3.桥接8Ω:≥1150W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4.频率响应：不窄于20HZ-20KHZ ±0.05dB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5.总谐波失真：&lt;0.05%@8Ω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6.信噪比：&gt;98.2dB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7.转换速率：25V/us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8.阻尼系数：&gt;320@8Ω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9.串音：&gt;99.8@8Ω 1KHZ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10.保护：直流保护、过热保护、软启动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调音台</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1.通道：≥12通道设计，8路MIC单声道+2路立体声输入，≥3组AUX母线辅助输出（包括EFF），≥4辅助编组输出，2推子前折返，1衰减后辅助，1衰减后效果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2.单声通道100Hz低频衰减开关（高通滤波）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3.每通道3段参量均衡，单声道带扫频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4.内置24种DSP数字效果器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5.内置USB播放器，MP3播放，USB直插录音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6.内置蓝牙5.0接收播放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7.USB音频声卡（连接电脑）将电脑播放的声音传输到调音台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8.内置48V幻想电源供电，每通道带独立开关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9.主输出双7段立体声图示均衡器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10.USB可与一路立体声切换，USB可独立调节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11.MP3可与一路立体声切换，MP3可独立调节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12.每输入通道带ON开关，PEL耳机开关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13.12段精准三色LED电平灯显示信号状态，平滑高品质100MM行程推子</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反馈抑制器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1、2.2英寸彩屏，可显示模式，陷波器，解锁，锁定状态；为高品质扩声场所提供专业的反馈抑制器效果，高品质的移频+陷波算法实现高音质低噪声的反馈抑制；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2、2路XLR母座+2路TRS母座模拟输入，2路XLR公座+2路TRS公座模拟输出；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3、5档预设值快速选择以适配当前的使用场景，适用于各种场景及麦克风类型；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4、通过PC上位机连接USB接口可以全面的设置增益、噪声门、压限、移频、陷波以及EQ，并保存自定义设置，持模式存档、导入导出；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5、1路RS-485通讯接口以连接外部控制设备。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6、32位浮点DPS处理器，48kHz采样频率，24位A/D及D/A；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7、单键飞梭快捷操作，快速实现模式、直通、锁定及中英文选择功能；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8、移频器±10Hz可调（1Hz步进），陷波器增益、Q值、数量可调；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9、每通道独立增益、噪声门、压限器、移频、陷波、高低通、7段PEQ功能设置；</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音频处理器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1.采用48K采样高性能浮点DSP处理器，及采用24 bit，高性能的AKM  A / D转换器，D / A转换器。保证高品质声音处理.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2.每路输入有9段PEQ。输出有8段PEQ</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3.每路输入通道有静音、增益、延时、PEQ的功能及每路输出有通道路由、分频、PEQ、延时、增益、压缩/限制、静音、通道复制粘贴功能.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4.输入输出通道可以任意画线路由及通道拷贝参数功能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5.高低通滤波器的斜率可以设置，贝赛尔（Bessel）巴特沃斯（Butterworth）宁克（Linkwitz-Riley）可以设置为 12dB   18dB  24dB  48dB倍频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6.输入≥2路，输出≥4路，每路输出延时均可调整.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7.可以存储多达30个预置。预设文件完全存储当前所有通道的所有控制数据。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8.可以设置密码锁分全部锁定、参数锁定、参数存储锁定.根据不同需求来设置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9.1个USB接口和RS-232接口可用于PC连接控制软件。可以通过中控控制音量和静音。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10.可以插U盘进即时录音选配</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电源时序器</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1.电源时序打开/关闭：≥8通道；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2.单个通道最大负载功率≥2000W，所有通道负载总功率≥6500W；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3.输出连接器：多用途电源插座；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4.具有电子锁开关控制，防止他人开启；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6.采用1U的标准机箱及标准电器插头，使用方便；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7.每路输出带指示灯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8.锁匙开关控制电源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9.可控制电源≥8路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10.每路动作延时时间1秒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11.单路额定输出电源：≥10A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无线一拖二鹅颈话筒</w:t>
            </w:r>
            <w:r/>
          </w:p>
        </w:tc>
        <w:tc>
          <w:tcPr>
            <w:tcW w:w="3185" w:type="pct"/>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双手持无线话筒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 ：超外差二次变频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射频功率 ≤30mW</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 不窄于40~18000Hz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音头规格： 动圈式  心型指向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电池续用时间：不小于 8小时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接收机规格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频率范围： 600-940MHz，有效接收距离不小于100米</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可调信道数：不少于 50+50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振荡方式： 锁相环（PLL）频率合成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频率稳定性：≤ ±10ppm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接收方式：超外差二次变频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接收灵敏度：≤ -95dBm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音频频响：不窄于 40~18000Hz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失真度：≤1%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信噪比：≥100dB</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音箱支架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24U机柜</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音箱线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300支金银线</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1.5米卡侬公转卡侬母</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1.8米3.5转双莲花</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管材辅材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接插件、音响线、管路等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val="false"/>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五、显示系统接收卡</w:t>
            </w:r>
            <w:r/>
          </w:p>
        </w:tc>
      </w:tr>
      <w:tr>
        <w:trPr>
          <w:trHeight w:val="580"/>
        </w:trPr>
        <w:tc>
          <w:tcPr>
            <w:gridSpan w:val="3"/>
            <w:tcW w:w="414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b/>
                <w:bCs/>
                <w:color w:val="auto"/>
                <w:sz w:val="20"/>
                <w:lang w:bidi="ar"/>
              </w:rPr>
              <w:t xml:space="preserve">使用范围：大门口户外P3全彩3.52*1.92米</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1、单卡最大带载 512×384像素，最多支持 24 组RGB 并行数据；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 12 个标准HUB75接口，具有高稳定性和高可靠性，适用于多种环境的搭建；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4、支持画面90°倍数旋转。</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5、快速亮暗线调节在调试软件上进行快速亮暗线调节，快速解决因箱体及模组拼接造成的显示屏亮暗线，调节过程中即时生效，简单易用。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6、配合支持 3D 功能的独立主控，在软件或独立主控的操作面板上开启 3D 功能，并设置 3D 参数，使画面显示 3D 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8、可以将指定图片设置为显示屏的开机、网线断开或无视频源信号时的画面或者最后一帧画面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10、支持5pin 液晶模块，用于显示接收卡的温度、电压、单次运行时间和总运行时间。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11、支持可以回读接收卡的固件程序并保存到本地，软件可以回读接收卡配置参数并保存到本地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12、通过主备冗余机制增加接收卡间网线级联的可靠性。主备级联线路中，当其中一条线路出现故障时，另一条线路会即时工作，保证显示屏正常工作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13、通过软件在接收卡上保存两份接收卡配置参数，其中一份作为备份参数，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14、可配合多功能卡，实现当温度高于设定值时，自动断电，或打开风扇空调降低温度，保证屏体安全</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张</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视频处理器</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1.输出：最大带载 130 万像素，极限宽度 4096，极限高度 4096。4 路 LED 千兆输出网口；1 路立体音频输出接口，1 路 HDMI 1.4 输出接口，最大输出 1080p@60Hz，支持 HDMI Loop。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2.输入：1 路 HDMI 1.4 输入接口，同步模式时，使用此接口输入的视频源，支持全屏自适应播放；2 路传感器接口， 连接亮度传感器或温湿度传感器。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3.控制：1 路 USB 3.0（Type A）接口，支持 U 盘节目播放和 U 盘固件升级。1 路 USB（Type B）接口， 1 路千兆网口；将设备接入局域网或公网，进行节目发布和显示屏控制。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4.处理性能：4 核 A55 的 ARM 处理器，主频 1.8GHz。支持 H.264、H.265 4K@60Hz 视频解码。板载 1GB 运行内存。16GB 内部存储空间。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5.播放性能：2 路 4K、6 路 1080p、10 路 720p 或 20 路 360p 视频播放。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6.多方位控制方案：PC、手机、Pad 等多种用户终端节目发布和显示屏控制。集群远程节目发布和显示屏控制。集群远程监控屏体状态。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7.WiFi AP 和 WiFi STA 双模式切换：WiFi AP 模式下，用户终端连接设备自带的 WiFi 热点。WiFi STA 模式下，用户终端与 设备连接同一个路由器的 WiFi 热点。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8.同步异步双模式：异步模式时，使用内部视频源；同步模式时，使用 HDMI 接口输入的视频源。</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9.多屏同步播放：NTP 对时同步；GPS 对时同步（需安装指定的 4G 模块）；射频对时同步（需安装指定的射频模块）</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 4G 模块</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张</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配电设备</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16KW</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框架结构装饰</w:t>
            </w:r>
            <w:r/>
          </w:p>
        </w:tc>
        <w:tc>
          <w:tcPr>
            <w:shd w:val="clear" w:color="auto" w:fill="ffffff"/>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屏体结构、固定结构、边框装饰</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7.31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户外防水箱体</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冷轧镀锌钢板，标准户外带后门全防水箱体</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7.31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散热系统</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12CM滚珠风机</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b/>
                <w:bCs/>
                <w:color w:val="auto"/>
                <w:sz w:val="20"/>
                <w:lang w:bidi="ar"/>
              </w:rPr>
              <w:t xml:space="preserve">使用范围：4层会议室室内P1.5  4.48*2.08米</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1、单卡最大带载 512×384像素，最多支持 32 组RGB 并行数据；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 16 个标准HUB75接口，具有高稳定性和高可靠性，适用于多种环境的搭建；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4、快速亮暗线调节在调试软件上进行快速亮暗线调节，快速解决因箱体及模组拼接造成的显示屏亮暗线，调节过程中即时生效，简单易用。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5、配合支持 3D 功能的独立主控，在软件或独立主控的操作面板上开启 3D 功能，并设置 3D 参数，使画面显示 3D 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7、可以将指定图片设置为显示屏的开机、网线断开或无视频源信号时的画面或者最后一帧画面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9、支持5pin 液晶模块，用于显示接收卡的温度、电压、单次运行时间和总运行时间。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10、支持可以回读接收卡的固件程序并保存到本地，软件可以回读接收卡配置参数并保存到本地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11、通过主备冗余机制增加接收卡间网线级联的可靠性。主备级联线路中，当其中一条线路出现故障时，另一条线路会即时工作，保证显示屏正常工作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12、通过软件在接收卡上保存两份接收卡配置参数，其中一份作为备份参数，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13、可配合多功能卡，实现当温度高于设定值时，自动断电，或打开风扇空调降低温度，保证屏体安全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张</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视频处理器</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1.输入接口：2 ×HDMI 1.4；1 × DVI；1 × 3G SDI （IN+LOOP），选配；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 10路网口输出，最大带载 650 万像素，单台设备输出最大宽度 10240，高度 8192；1 路 HDMI 1.3 输出接口,可用作输出预监或视频输出；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3.音频输入输出： 支持HDMI伴随音频输入；支持 3.5mm 独立音频输入输出；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4.输入源到接收卡之间的延时可减少至 1 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 3个图层；图层大小和位置可单独调节，图层优先级可调整；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6.搭载 SuperView III 画质处理技术，支持输出画面无级缩放；支持一键全屏缩放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；支持输入源任意截取；</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7.支持输入画质管理，包括亮度、饱和度、对比度、色调调整；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 10 个自定义场景；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9.支持设备间备份，支持网口备份；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10.支持使用内部输入源作为同步源，保证输出画面同步；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11.支持对每个灯点的亮度和色度进行校正，有效消除色差，使整屏的亮度和色度达到高度均匀一致，提高显示屏的画质。同时支持硬件打屏功能。</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配电柜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21KW</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框架结构</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屏体结构 不锈钢包边</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平方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9.98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b/>
                <w:bCs/>
                <w:color w:val="auto"/>
                <w:sz w:val="20"/>
                <w:lang w:bidi="ar"/>
              </w:rPr>
              <w:t xml:space="preserve">使用范围：1层阅览室室内P1.5  4.48*2.08米</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1、单卡最大带载 512×384像素，最多支持 32 组RGB 并行数据；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 16 个标准HUB75接口，具有高稳定性和高可靠性，适用于多种环境的搭建；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4、快速亮暗线调节在调试软件上进行快速亮暗线调节，快速解决因箱体及模组拼接造成的显示屏亮暗线，调节过程中即时生效，简单易用。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5、配合支持 3D 功能的独立主控，在软件或独立主控的操作面板上开启 3D 功能，并设置 3D 参数，使画面显示 3D 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7、可以将指定图片设置为显示屏的开机、网线断开或无视频源信号时的画面或者最后一帧画面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9、支持5pin 液晶模块，用于显示接收卡的温度、电压、单次运行时间和总运行时间。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10、支持可以回读接收卡的固件程序并保存到本地，软件可以回读接收卡配置参数并保存到本地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11、通过主备冗余机制增加接收卡间网线级联的可靠性。主备级联线路中，当其中一条线路出现故障时，另一条线路会即时工作，保证显示屏正常工作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12、通过软件在接收卡上保存两份接收卡配置参数，其中一份作为备份参数，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13、可配合多功能卡，实现当温度高于设定值时，自动断电，或打开风扇空调降低温度，保证屏体安全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张</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视频处理器</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1.输入接口：2 ×HDMI 1.4；1 × DVI；1 × 3G SDI （IN+LOOP），选配；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 10路网口输出，最大带载 650 万像素，单台设备输出最大宽度 10240，高度 8192；1 路 HDMI 1.3 输出接口,可用作输出预监或视频输出；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3.音频输入输出： 支持HDMI伴随音频输入；支持 3.5mm 独立音频输入输出；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4.输入源到接收卡之间的延时可减少至 1 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 3个图层；图层大小和位置可单独调节，图层优先级可调整；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6.搭载 SuperView III 画质处理技术，支持输出画面无级缩放；支持一键全屏缩放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；支持输入源任意截取；</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7.支持输入画质管理，包括亮度、饱和度、对比度、色调调整；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8.支持 10 个自定义场景；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9.支持设备间备份，支持网口备份；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10.支持使用内部输入源作为同步源，保证输出画面同步；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11.支持对每个灯点的亮度和色度进行校正，有效消除色差，使整屏的亮度和色度达到高度均匀一致，提高显示屏的画质。同时支持硬件打屏功能。</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配电柜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21KW</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框架结构</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屏体结构 不锈钢包边</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平方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9.98</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b/>
                <w:bCs/>
                <w:color w:val="auto"/>
                <w:sz w:val="20"/>
                <w:lang w:bidi="ar"/>
              </w:rPr>
              <w:t xml:space="preserve">使用范围：合班教室室内P2全彩8.24*3.36米</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1、单卡最大带载 512×384像素，最多支持 24 组RGB 并行数据；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2、采用 12 个标准HUB75接口，具有高稳定性和高可靠性，适用于多种环境的搭建；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4、支持画面90°倍数旋转。</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5、快速亮暗线调节在调试软件上进行快速亮暗线调节，快速解决因箱体及模组拼接造成的显示屏亮暗线，调节过程中即时生效，简单易用。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6、配合支持 3D 功能的独立主控，在软件或独立主控的操作面板上开启 3D 功能，并设置 3D 参数，使画面显示 3D 效果。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8、可以将指定图片设置为显示屏的开机、网线断开或无视频源信号时的画面或者最后一帧画面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10、支持5pin 液晶模块，用于显示接收卡的温度、电压、单次运行时间和总运行时间。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11、支持可以回读接收卡的固件程序并保存到本地，软件可以回读接收卡配置参数并保存到本地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12、通过主备冗余机制增加接收卡间网线级联的可靠性。主备级联线路中，当其中一条线路出现故障时，另一条线路会即时工作，保证显示屏正常工作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13、通过软件在接收卡上保存两份接收卡配置参数，其中一份作为备份参数，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14、可配合多功能卡，实现当温度高于设定值时，自动断电，或打开风扇空调降低温度，保证屏体安全</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张</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控制系统-发送卡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1.输入接口：1 × HDMI 2.0；1 × DP 1.2；4 × HDMI 1.3；1 × 3G SDI （IN+LOOP）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2.16 路网口输出，最大带载 1040 万像素，单台设备输出最大宽度 16384，高度 8192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 3D 功能，配合 3D 发射器和配套 3D眼镜，实现 3D 显示效果。启用 3D后，设备输出带载减半。</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4.音频输入输出： HDMI、DP 支持伴随音频输入；支持 3.5mm 独立音频输入输出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5.支持三种画面缩放模式，包括点对点模式、全屏缩放、自定义缩放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 2 个 4K×2K+4 个 2K×1K 规格的窗口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7.窗口大小和位置可单独调节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8.同时支持显示 1 路 OSD 画面；最大支持导入存储 6 个 OSD；支持图片 OSD 和文字 OSD</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播放盒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配套</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框架结构装饰</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屏体结构、固定结构</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配电设备</w:t>
            </w:r>
            <w:r/>
          </w:p>
        </w:tc>
        <w:tc>
          <w:tcPr>
            <w:shd w:val="clear" w:color="auto" w:fill="ffffff"/>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21KW</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color w:val="auto"/>
                <w:sz w:val="20"/>
              </w:rPr>
            </w:pPr>
            <w:r>
              <w:rPr>
                <w:rFonts w:hint="eastAsia" w:ascii="宋体" w:hAnsi="宋体" w:eastAsia="宋体" w:cs="宋体"/>
                <w:b/>
                <w:bCs/>
                <w:color w:val="auto"/>
                <w:sz w:val="20"/>
                <w:lang w:bidi="ar"/>
              </w:rPr>
              <w:t xml:space="preserve">使用范围：会标屏室内P4.75单色 10.944*0.304米</w:t>
            </w:r>
            <w:r/>
          </w:p>
        </w:tc>
        <w:tc>
          <w:tcPr>
            <w:tcW w:w="258"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289"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控制系统</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点对点LAN有线控制</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LED异步控制软件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标准配套软件</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框架结构</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显示屏专用铝型材结构  尺寸：≥11.034*0.546m</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4.46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shd w:val="clear" w:color="auto" w:fill="ffffff"/>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辅材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CAT6，rvv3*2.5, KBG等</w:t>
            </w:r>
            <w:r/>
          </w:p>
        </w:tc>
        <w:tc>
          <w:tcPr>
            <w:shd w:val="clear" w:color="auto" w:fill="ffffff"/>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项</w:t>
            </w:r>
            <w:r/>
          </w:p>
        </w:tc>
        <w:tc>
          <w:tcPr>
            <w:shd w:val="clear" w:color="auto" w:fill="ffffff"/>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六、移动录播系统</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高清录播主机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 便携式移动录播主机高度＜2U，重量＜6kg，采用笔记本翻盖式设计，主机内嵌导播键盘进行导播操作。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 主机内嵌1920*1080高清液晶触控屏，电容屏，支持触控导播操作。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 导播键盘支持录制、停止、摄像机控制、预置位调用、画面切换、专场特技等功能按键，提供导播摇杆便于摄像机的云台控制操作。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考虑设备稳定性，要求采用嵌入式ARM架构设计，Linux操作系统，高度集成多种功能应用，包括管理、导播、录制、直播、点播等功能。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 录播主机内置互动功能，支持标准H.323协议和SIP协议，要求无须视频会议终端和MCU即可实现2台录播主机之间的音视频在线互动。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6)内置音频处理功能，支持EQ均衡调节、回声抑制、增益调节及音频采样率和比特率设置。支持对音频输入输出通道进行音量调节，支持对音频输出通道进行静音设置。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 支持6路1080P高清视频输入，包括4路3G-SDI高清摄像机信号、1路HDMI信号和1路VGA信号。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 至少支持1路HDMI和1路SDI输出接口，支持录制效果画面输出。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 采用AAC音频编码技术，支持3路音频输入、1路Lineout、1路耳机监听输出。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 采用标准H.264视频编码技术，便携式便携式录播主机应支持电影模式和资源模式同步录制。支持网络多流和本地SDI多流两种录制模式，可实现摄像机无线接入多流录制。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 内置至少1T存储硬盘，支持MP4视频封装格式。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 支持4个USB接口，支持U盘/移动硬盘同步录制、视频拷贝，支持鼠标键盘的本地导播操作。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 高清便携式便携式录播主机支持通过一条标准SDI线连接高清云台摄像机，即可实现视频传输、供电和云台控制功能。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 便携式录播主机与摄像机之间支持通过无线信号进行视频传输，视频质量达到1080P高清画质。可通过无线信号实现便携式录播主机对摄像机的云台控制、调焦和预置位的设置与调用功能。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 具有嵌入式低功耗环保优势，整机正常工作状态下功耗不超过50W。采用无风扇散热设计，低噪音不影响正常授课。</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录播系统</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流媒体管理软件：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1）支持主机内嵌液晶屏和鼠标进行系统管理，同时支持B/S架构设计，能够方便教师使用IE、360、chrome等主流浏览器通过网络直接访问录播主机进行管理。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2）支持录制、暂停、停止等基本功能操作。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3）支持导播管理、系统参数管理、用户管理、录制管理、网络参数管理。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4）支持三种上电模式，包括关机模式、休眠模式和工作模式。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5）支持硬盘格式化功能，支持对设备异常断电、宕机造成的损坏视频文件进行修复。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6）支持中英文双语版本切换，适合不同用户的应用需求。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7）支持系统软件版本管理，包括软件版本查询，在线升级与系统授权。支持查询录播主机的设备型号、版本信息、机身号和设备运行的实时CPU温度。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流媒体直播软件：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1）支持录播一键开启“直播”功能。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2）支持网络直播参数设置、直播码流设置与TS直播参数设置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3）支持主码流、子码流双码流直播功能，主、子码流可设不同的分辨率与码流。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4）支持自定义直播分辨率、码流大小，以适应不同网络环境下保持直播的流畅性。提供超清（1080P/4Mbps）、高清（720P/2Mbps）、标清（960*540/1Mbps）等多种直播分辨率与码流可选。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5）支持HTTP、RTMP、RTSP多种直播视频流协议，支持TCP和UDP传输协议。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6）支持RTMP推流直播功能，除录播向资源平台实现FTP推流上传外，至少额外支持3路以上RTMP推流功能，实现与第三方平台和系统的推流对接。</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7）支持VLC缓冲设置功能，可精确到毫秒，缓冲时间阈值280~500ms可设。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流媒体点播软件：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1）为方便资源管理，系统需支持对录制视频按标题、主持人、时间、时长进行排序；可按照主题、主讲人进行分组展示；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2）支持高、低双码流录制功能，支持自定义录制分辨率、帧率和码流，码流512kbps到40Mbps可设。支持对视频文件进行点播回放，支持拖拽播放进度条播放；</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3）录制文件支持分割技术，当录制的课程时间较长时，可按照用户设定的文件时长自动分割录制成多个视频文件，提供不分段、30分钟分段、60分钟分段三种方式可选。</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4）支持对资源模式和电影模式同步多流录制的视频进行管理和点播，点播分辨率达1080P；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5）支持查询视频文件的分辨率、帧率和码流；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6）支持录像文件和对应PPT课件下载；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7）支持对视频进行手动FTP上传。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流媒体导播软件：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1）支持通过内嵌导播键盘和液晶屏进行本地导播，支持外接鼠标、键盘，保证导播具有较好的实时性和流畅性。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2）提供4路摄像机画面和1路教师电脑画面预览窗口，支持视频画面任意切换。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3）支持7种以上可选布局模式，包括双分屏、三分屏、画中画等。支持两个自定义布局方式，支持多个视频图层自由叠加组合，支持叠加纯色图层，自定义布局时可随意拖拉画面窗口。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4）应具有鼠标快速定位功能，通过鼠标点击快速居中画面区域，通过鼠标滚轮可以调节云台摄像机的焦距。每个云台摄像机应至少支持8个预置位设置与调用功能。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5）提供8种以上转场特效，包括渐变、缩放、切换等。支持在添加LOGO、字幕功能，支持通过鼠标直接拖拽设置LOGO和字幕在画面的显示位置。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6）支持快速调用预设的字幕内容，支持实时添加字幕，字幕颜色、字幕描边、字幕背景可设。支持字幕和背景的透明度设置功能。支持字幕滚动和固定位置两种显示方式。</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录播在线互动工具</w:t>
            </w:r>
            <w:r/>
          </w:p>
        </w:tc>
        <w:tc>
          <w:tcPr>
            <w:tcW w:w="3185" w:type="pct"/>
            <w:vAlign w:val="center"/>
            <w:textDirection w:val="lrTb"/>
            <w:noWrap w:val="false"/>
          </w:tcPr>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1）支持RTSP、H.323视频传输协议。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2）支持预设互动数据，包括互动对象的名称、IP、协议方式等。支持预设20个互动录播教室信息，支持互动课室数据的批量导入和导出功能。</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3）支持快速选择远程互动录播教室并“一键式”连接开启点对点互动。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录播模式和互动模式两种工作模式。互动模式下，支持通过导播画面实时监视远端互动录播教室学生画面，支持实时预览传到远端互动录播教室的最终互动画面。互动画面支持实时进行本地教师信号、学生信号、电脑信号以及远端信号的自由组合布局。</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5）支持网络检测功能，支持UDP测试和带宽扫描两种测试方式，实时检测与远端互动设备的的丢包数、网速情况。支持启动网络自适应功能。</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6）双向互动时，互动画面中可实时显示远端互动视频的码流和网络丢包率。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7）录播主机双向互动过程中，在5Mbps带宽下可实现1080P@30FPS和1080P@60FPS画质。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8）录播主机双向互动过程中，在系统总丢包率≤20%的网络环境下，视频清晰无破损，语音清晰连贯。</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高清云台摄像机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1.视频输出接口：HDMI、SDI</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2.传感器类型：CMOS，1/2.33英寸</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3.传感器像素：有效像素207万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4.焦距：22倍变焦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5.水平转动速度范围：1.0° ~ 94.2°/s，垂直转动速度范围：1.0° ~ 74.8°/s，水平视场角：72.0° ~ 6.7°，垂直视场角：43.2° ~ 3.7°</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6.支持水平、垂直翻转</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7.背光补偿：支持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8.数字降噪：2D&amp;3D数字降噪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9.网络流传输协议：RTP、RTSP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10.预置位数量：255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11.网络接口：RJ45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12.音频接口：Line In,3.5mm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13.通讯接口：RS232、RS422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14.USB接口：USB Type-A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15.支持的协议类型：VISCA</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16.编码技术：视频H.265、H.264</w:t>
            </w:r>
            <w:r>
              <w:rPr>
                <w:rFonts w:hint="eastAsia" w:ascii="宋体" w:hAnsi="宋体" w:eastAsia="宋体" w:cs="宋体"/>
                <w:color w:val="auto"/>
                <w:sz w:val="20"/>
                <w:lang w:bidi="ar"/>
              </w:rPr>
              <w:br/>
            </w:r>
            <w:r>
              <w:rPr>
                <w:rFonts w:hint="eastAsia" w:ascii="宋体" w:hAnsi="宋体" w:eastAsia="宋体" w:cs="宋体"/>
                <w:color w:val="auto"/>
                <w:sz w:val="20"/>
                <w:shd w:val="clear" w:color="auto"/>
                <w:lang w:bidi="ar"/>
              </w:rPr>
              <w:t xml:space="preserve">▲17.电源支持：支持POC供电、电源适配器供电两种供电方式，根据环境实际情况可灵活选择。</w:t>
            </w:r>
            <w:r>
              <w:rPr>
                <w:rFonts w:hint="eastAsia" w:ascii="宋体" w:hAnsi="宋体" w:eastAsia="宋体" w:cs="宋体"/>
                <w:color w:val="auto"/>
                <w:sz w:val="20"/>
                <w:shd w:val="clear" w:color="auto"/>
                <w:lang w:bidi="ar"/>
              </w:rPr>
              <w:br/>
            </w:r>
            <w:r>
              <w:rPr>
                <w:rFonts w:hint="eastAsia" w:ascii="宋体" w:hAnsi="宋体" w:eastAsia="宋体" w:cs="宋体"/>
                <w:color w:val="auto"/>
                <w:sz w:val="20"/>
                <w:shd w:val="clear" w:color="auto"/>
                <w:lang w:bidi="ar"/>
              </w:rPr>
              <w:t xml:space="preserve">1</w:t>
            </w:r>
            <w:r>
              <w:rPr>
                <w:rFonts w:hint="eastAsia" w:ascii="宋体" w:hAnsi="宋体" w:eastAsia="宋体" w:cs="宋体"/>
                <w:color w:val="auto"/>
                <w:sz w:val="20"/>
                <w:lang w:bidi="ar"/>
              </w:rPr>
              <w:t xml:space="preserve">8.整机使用平均无故障运行时间(MTBF)应≥100000小时。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19.要求摄像机与录播主机为同一品牌</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高清摄像机管理工具</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 摄像机管理软件采用B/S架构，支持通用浏览器直接访问进行管理。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 支持网络参数设置与修改，支持一键恢复默认参数。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 支持曝光模式设置功能，包括自动、手动。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支持抗闪烁频率、动态范围、光圈、快门参数设置。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 支持自动白平衡设置功能，红、蓝增益可调范围0~200。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 支持噪声抑制设置功能，支持2D、3D降噪。</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 支持摄像机图像质量调节功能，包括亮度、对比度、色调、饱和度。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 支持摄像机控制功能，包括云台控制、预置位设置与调用、焦距调节等。</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摄像机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图像传感器：1/2.5型MOS传感器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有效像素：829万像素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镜头部分F 值：F1.8—4.0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光学变焦：24x</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焦距：4.12 — 98.9 mm (35 mm 胶片相机等效物 : 25.0 — 600.0 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过滤器直径：62 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镜头：徕卡Dicomar镜头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摄像机部分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最低照度：1.5 lx (F1.8,超级增益+, 1/30)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i.Zoom关闭：24x</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i.Zoom开启：最大48x (UHD 32x)</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数码变焦：2x / 5x / 10x</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图像稳定器:球形O.I.S., 5-Axis HYBRID O.I.S. (UHD/FHD)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ND滤镜：1/4, 1/16, 1/64, OFF</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IR滤镜：内置ON / OFF控制功能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白平衡：自动 /ATW 锁定 / 3200K / 5600K / VAR (2000K—15000K) / Ach 固定 / Bch 固定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超慢记录帧速率：59.94 Hz: FHD 120 fps ；50.00 Hz: FHD 100 fps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记录媒体:SDHC/SDXC存储卡，microP2卡（A系列，B系列）</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记录格式:MOV, MP4, AVCHD, P2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视频压缩方式:MOV/MP4: H.264/MPEG-4 AVC High Profile, H.265/MPEG- HEVC主10配置文件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AVCHD: H.264/MPEG-4 AVC高配置文件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P2: AVC-LongG 50/AVC-LongG25:MPEG-4 AVC/H.264高配置文件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系统频率:59.94 Hz / 50.00 Hz</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实时流媒体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视频压缩格式:H.264/MPEG-4 AVC 主配置文件，高配置文件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视频分辨率:1920 x 1080 (FHD), 1280 x 720 (HD), 640 x 360, 320 x 180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流媒体方式:单播，多播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比特率:24 Mbps, 20 Mbps, 16 Mbps, 14 Mbps, 8 Mbps, 6 Mbps,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Mbps, 3 Mbps, 2 Mbps, 1.5 Mbps, 1 Mbps, 0.7 Mbps, 0.5 Mbps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液晶显示器:3.5英寸宽液晶显示器(大约2,760,000点)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取景器:0.24英寸宽电子取景器(大约1,560,000点)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LED视频灯:平均照度：大约70 lx (1.0m)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照射角：大约30°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色温：大约4600K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接口部分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视频:SDI输出BNC x 1, 0.8V[p-p], 75Ω,支持3G/1.5G HD-SDI</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HDMI:输出格式: 2160/59.94p/50.00p/29.97p/25.00p/23.98p, 1080/59.94p/50.00p/29.97p/25.00p/23.98p/59.94i/50.00i,</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720/59.94p/50.00p, 480/59.94p, 576/50.00p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音频输入: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内置麦克风:立体声麦克风</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麦克风输入:3.5mm音频输出x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XLR切换:XLR (3 pins) x 2,输入高阻抗,LINE/MIC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其他输入/输出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摄像机遥控器:2.5mm超级迷你插孔x 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USB 2.0主机:Micro-AB接口, 5-pin,仅支持USB LAN转换</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USB 2.0设备:Micro-AB接口, 5-pin,海量存储功能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Wi-Fi标准:IEEE 802.11b/g/n</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频率:2.4 GHz等级</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数字无线音频套装</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1个手持话筒（含无线发射器）、1个领夹话筒（含无线发射器）、1支无线指向话筒（1个680＋1个无线发射器）、1个双路无线接收器。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摄像机三脚架</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 脚管节数：4节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 最大管径：28MM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 最小管径：16MM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 折合高度：60 CM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 最低工作高度：32CM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 最高工作高度：1550 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 脚管锁类型：扳扣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 云台类型：球形</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支</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有利旧支架</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设备箱/线材箱</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 外尺寸：≥L665*W490*H342mm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 内尺寸：≥L600*W420*H（260+43）mm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 颜色：黑</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线材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满足系统需求，含3条标准SDI线</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七、智慧校园系统</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智慧校园基础平台</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全场景智慧校园基础管理平台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一、智慧校园基础数据底座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1、统一基础信息库：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提供学生基础信息、教室基础信息、学校基础信息、学期管理、年级管理、年级班级设置、学科设置、教师任教设置、教师分组设置等基础数据设置功能。并为第三方业务提供必备的数据接口。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2、统一身份认证系统：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实现统一用户认证、统一账号登陆、统一入口功能。通过统一身份认证实现各业务系统的登陆，实现统一的身份管理、权限管理和统一的分级授权机制。完善的第三方接口管理体系，接口适用所有统一认证入口，实现用户基础数据平台对产品的配置和后台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3、统一基础应用管理：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提供智慧校园基础应用功能，并提供第三方应用接入标准，实现第三方无缝接入，实现数据同步等。为实现更好的数据兼容性，各应用系统的数据都将通过平台API接口进行交互和调用，平台的所有接口以REST的设计和开发方式呈现。通过统一的应用接口管理，应用可以遵照平台数据交互标准向第三方应用提供数据调用接口，方便数据集成和交互。</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4、统一人脸特征库：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管理全校所有师生及访客的人脸识别特征库，可对电子班牌、老师手机、通道闸机、监控摄像机、食堂就餐等前端人脸识别设备进行人脸识别进行基础支持。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5、统一物联管控平台：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实现对智慧班牌、人脸识别道闸、访客一体机、走廊宣传屏等设备进行统一管理。支持通过设备名称、设备序列号、设备所在位置和设备类型查询设备相关信息；支持实时显示当前已添加的所有设备的类型、数量和状态；支持设备分组，可根据设备所在位置，纳入到各个登记的位置进行管理；支持自动和手动添加、编辑和删除设备；支持自动获取年级管理中添加的所有位置信息，并能分配设备到对应位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二、智慧校园应用门户（WEB应用平台）：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1、教师工作台: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（1）待办事项：显示并提示项目至少包括校园通知、课程安排、会议安排、待阅文件、今日打卡、待阅审批、饭卡金额等。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（2）作业通知：可发布作业或通知到家长手机、教室黑板、班级智慧终端等，支持分班级、年级、校区发布，支持上传文件、图片、文字等。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（3）公文流转：可查看待阅/已阅文件，可显示公文标题、来文单位、公文编号等，可选择下一步流转人员以及上传批阅意见。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（4）学生评价：可对任课班级内的学生进行德育评价，支持分小组评价，显示评价报表。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（5）班级相册：可编辑和查看任课班级内的班级相册，也可发布班级相册至电子班牌、家长移动端等多终端显示。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（6）班级圈：可显示任课班级内的班级圈文化，并可发布活动照片到家长手机、教室黑板、班级智能终端等，也可进行评论和点赞。</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（7）考试成绩：可建立全校考试、年级考试、单元考试，并可上传考试成绩，根据设定可锁定考试及家长是否可见学生考试成绩。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2、数据展台：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（1）数据汇总：可查看统计数据包括但不少于全校学生总数、入校学生、事假学生、病假学生、未到学生、学生病假种类、七日学生病假分析、学生集中入校时间段、晨午检进度等。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（2）学生出勤情况：可查看各班级、各学生、各出勤状态的考勤时间、迟到时间等。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（3）教师出勤情况：可查看不同时间区间、各教师、各出勤状态的考勤时间、是否早退、是否迟到、考勤来源等。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（4）晨午检数据：可查看晨午检班级、学生、异常班级、异常学生等，同时可查看最近一周学生病假曲线、各班级晨午检完成度等。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（5）宿舍点名数据：可查看住宿舍总数、请假学生、未归寝学生等，可按不同宿舍查看对应的点名情况、请假人数等。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3、应用中心：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智慧发布：至少支持发布课后作业（支持多终端作业信息发送至家长手机、智慧班牌、教室电子白板等）、班级通知（支持多终端班级通知发送至家长手机、智慧班牌、教室电子白板等）、班级相册（支持教师手机、管理端创建相册或添加编辑照片等）、欢迎词（支持全校级多终端模板发送走廊宣传屏、校门LED屏、教室电子白板、智慧班牌）、Excel数据（支持发送到智慧班牌、走廊宣传屏等，用于考场座次、准考证</w:t>
            </w:r>
            <w:r>
              <w:rPr>
                <w:rFonts w:hint="eastAsia" w:ascii="宋体" w:hAnsi="宋体" w:eastAsia="宋体" w:cs="宋体"/>
                <w:color w:val="auto"/>
                <w:sz w:val="20"/>
                <w:lang w:bidi="ar"/>
              </w:rPr>
              <w:t xml:space="preserve">号等场景）、微课视频（支持发送到智慧班牌、教室电子白板等）、校园通知（支持全校级多终端发送至走廊宣传屏、校门LED屏、教室电子白板等）、宣传图册（支持全校级多终端发送至走廊宣传屏、校门LED屏、教室电子白板等）、宣传视频（支持全校级多终端发送走廊宣传屏、校门LED屏、教室电子白板等）、网页链接（支持全校级多终端发送至走廊宣传屏、智慧班牌等）、每周菜谱（支持全校级多终端发送，可智慧班牌显示、家长手机显示、食堂显示等）、校园动态（支持全校级多终端发送，家长教师）等，发布内容支持分发至前端不同的显示设备或手机上。</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智慧考勤：学生考勤（学生人脸识别考勤包含到校考勤、离校考勤、统计分析）、学生请假（学生病假、事假统计、家长请假、学生自主请假、班主任代请假）、教师考勤设置（支持不同类型的考勤包括车牌绑定、刷脸进校、手机打卡）、巡课考勤（支持不同类型的通知至少包括普通通知、重要通知、回执通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智慧健康：晨午检（由班主任发起健康检查其中包括体温上报、症状上报、统计分析等）、健康打卡（可自定义打卡表单包括家长上报、统计分析、异常提醒等）、病情病状（支持自定义病情种类包括类别定义、数据分析、异常提醒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智慧考试：考场管理（支持向智慧班牌、走廊宣传屏发送考试名称、考试时间、准考证号）、考试管理（支持不同类型的考试包括全校考试、年级考试、单元测验）、成绩分析（支持多种类型统计包括优秀率、平均分、排名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智慧德育：学生德育（支持学生德育评价录入）、学生荣誉（支持录入学生荣誉包括获奖时间、学分、名次等）、班级评比（支持录入班级日常评比分数包括评比维度、评比内容、评价分数等）、优胜班级（可按天、周、月生成班级评比排名并标记优胜班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智慧办公：公文流转（支持多种文件类型并可收文、批办、办结等）、报修申请（支持发起报修内容、工单下发、维修回执等）、调查问卷（支持自定义模板和参与范围并生成统计报表等）、家长通知（支持统一发送内容并显示阅读回执）、教师请假（支持配置请假项目并生成统计报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（7）智慧会务：发布会议（可发布至多个会议室屏）、会议统计（可按学时、学分、报表导出）、会议预约（支持手机预约并设定参会范围及会议室等）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班级管理：班级信息管理（可编辑和发布班级公约、班级目标、班级全家福等）、课程表（支持设定课程、作息时间、上课老师等）、学时名单（支持全校导入或者单班导入学生名单）、值日生设定（支持设定值日类别、值日人员等）、家长管理（支持设定家长进入系统白名单并可删除已进入的家长）、护导安排（支持设定护导人员、场地分布等）、倒计时设定（支持设定考试倒计时日期，电子班牌每日将自动切换。）</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lang w:bidi="ar"/>
              </w:rPr>
              <w:t xml:space="preserve">智慧校园移动端系统</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智慧校园移动端系统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一、智慧校园移动端系统：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1、作业/通知：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（1）课后作业：可发布课后作业至电子班牌、家长移动端、电子黑板等多终端显示，支持语音输入。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（2）班级通知：可发布班级通知至电子班牌、家长移动端、电子黑板等多终端显示，语音输入。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（3）教师留言：可针对学生发布教师留言，电子班牌、电子黑板等多终端显示，学生阅读后会收到阅读回执。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（4）家长通知：可发布家长通知，家长会收到提醒，家长阅读后会自动提交阅读回执，班主任或管理员可查看通知到达率。</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2、班级管理：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（1）考勤管理：可查看学生当天及历史考勤情况并可以导出统计表格。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（2）请假管理：可查看当天及历史请假信息，并可以进行回复及是否确认。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（3）学生放学：可一键发起签退，家长可以收到学生离校/留校通知。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（4）中途离校：可确认学生中途离校，信息会同步至家长、传达室等，后台可导出中途离校数据。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（5）班级相册：可发布班级相册，电子班牌、家长移动端等多终端显示。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（6）微课视频：可发布微课视频，学生在电子班牌上可随时查阅。</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（7）班级圈：可发布和管理班级圈内容，可评论、点赞家长发布的内容等。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3、德育评价：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德育点评：整合德育考核评比，老师可通过手机对本班级学生每日德育表现进行点评打分，也可以通过人脸识别本校任意学生进行点评打分。打分项由管理后台统一配置，也可由老师自行添加。打分结果实时显示在电子班牌和教室教学一体机上。</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（2）人脸识别点评：老师可对全校某学生进行人脸扫描和识别，系统自动显示学生的年级班级、姓名等基本信息，老师进行表扬或批评，点评结果实时显示在电子班牌和教室教学一体机上。</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（3）语音识别点评：老师可对任课班级内多个学生进行语音识别点评，系统自动识别语音中所有的学生名字以及点评内容，点评信息将自动进行统计。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（4）成绩统计：可查看班级内学生的成绩汇总及历史记录。</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4、校园管理：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（1）校园报修：可进行维修上报，支持填写报修地点、报修内容、报修图片上传，同时展示审核、维修、归档等报修流程。管理员可导出校园报修表格。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（2）投票问卷：可自定义投票问卷内容，信息同步至电子班牌、家长移动端等多终端显示，可一键提醒未填写人员。管理员可导出投票问卷表格。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（3）护导安排：可展示校园护导安排情况表。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（4）学期日历：可展示校园学期日历情况表。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（5）校园动态：可展示校园动态/校园新闻等。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（6）校园通知：可展示校园发布的通知公告等。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（7）访客通知：可收到访客通知，可允许或拒绝访客进入，同时可以回复访客备注，信息将发给传达室。</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（8）通讯录：可查看家长、老师的联系方式，同时可以通过移动端与老师实时聊天。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5、班牌管理：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（1）实时直播：利用配套的教师手机将摄像头画面与声音推送到电子班牌上进行实时直播，适用于各类临时直播等场景。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（2）欢迎标语：可通过移动端发布欢迎标语，信息将在电子班牌、电子黑板等多终端显示。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（3）宣传视频：可通过移动端发布宣传视频至电子班牌上。</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（4）开关机：可控制班牌开关机。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二、学校服务号对接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1、系统通过学校服务号和微信小程序实现校园智慧管理。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2、所有校内使用，例如：访客接待，学生请假批准，教师请假申请……家长、教师、学生、校园行政全覆盖。</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3、家长可关注学校服务号绑定学生，实现数据和进出校园消息的定向发送。</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vMerge w:val="restart"/>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移动端应用</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lang w:bidi="ar"/>
              </w:rPr>
              <w:t xml:space="preserve">智能语音录入系统</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智能语音录入系统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智能语音语义分析系统参数：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      自然语义分析服务中台，前端调用中台服务，教师使用只需“说话”就能够完成日常操作，实现人工智能减负。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1、学生请假：可通过语音录入学生请假信息，系统自动识别学生姓名及请假天数、请假原因等。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2、学生点评：可通过移动端、教室电子黑板嵌入式软件由老师语音录入学生评价，系统进行语义分析自动生成学生姓名、评价内容及分值等。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3、课后作业：可通过语音录入课后作业，自动识别语音转化为文字进行发布。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4、班级通知：可通过语音录入班级通知，自动识别语音转化为文字进行发布，也可指定学生阅读。</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5、欢迎标语：可通过语音录入欢迎标语，自动识别语音转化为文字进行发布。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6、极速晨午检：可通过语音录入学生体温信息，系统自动识别学生姓名及体温等。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7、成绩录入：由老师创建单元测验并语音录入学生成绩，系统自动识别语音内容进行语义分析生成学生姓名、成绩分值自动提交入库。</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智慧班牌</w:t>
            </w:r>
            <w:r/>
          </w:p>
        </w:tc>
        <w:tc>
          <w:tcPr>
            <w:tcW w:w="5429" w:type="dxa"/>
            <w:vAlign w:val="center"/>
            <w:textDirection w:val="lrTb"/>
            <w:noWrap w:val="false"/>
          </w:tcPr>
          <w:p>
            <w:pPr>
              <w:numPr>
                <w:ilvl w:val="0"/>
                <w:numId w:val="14"/>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智慧班牌硬件参数：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1、基础参数：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触摸类型：十点电容触摸；屏幕尺寸：≥21、5英寸宽屏；</w:t>
            </w:r>
            <w:r/>
          </w:p>
          <w:p>
            <w:pPr>
              <w:jc w:val="left"/>
              <w:widowControl/>
              <w:rPr>
                <w:rFonts w:hint="eastAsia" w:ascii="宋体" w:hAnsi="宋体" w:eastAsia="宋体" w:cs="宋体"/>
                <w:color w:val="auto"/>
                <w:sz w:val="20"/>
                <w:lang w:bidi="ar"/>
              </w:rPr>
            </w:pPr>
            <w:r>
              <w:rPr>
                <w:rFonts w:hint="eastAsia"/>
                <w:color w:val="auto"/>
              </w:rPr>
              <w:t xml:space="preserve">★</w:t>
            </w:r>
            <w:r>
              <w:rPr>
                <w:rFonts w:hint="eastAsia" w:ascii="宋体" w:hAnsi="宋体" w:eastAsia="宋体" w:cs="宋体"/>
                <w:color w:val="auto"/>
                <w:sz w:val="20"/>
                <w:lang w:bidi="ar"/>
              </w:rPr>
              <w:t xml:space="preserve">2、摄像头：人脸识别专用快速高清摄像头，≥200万像素，1080p，对人脸识别进行曝光优化；</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3、拾音器组件：数字式麦克风，具有降噪优化，可进行语音识别；时钟控制：RTC时钟根据管理后台设置定时开关机；面板工艺：钢化玻璃，以防止学生误损坏，并具备防眩光，可在阳光、白炽灯、日光灯等强光照射下正常使用；</w:t>
            </w:r>
            <w:r/>
          </w:p>
          <w:p>
            <w:pPr>
              <w:jc w:val="left"/>
              <w:widowControl/>
              <w:rPr>
                <w:rFonts w:hint="eastAsia" w:ascii="宋体" w:hAnsi="宋体" w:eastAsia="宋体" w:cs="宋体"/>
                <w:color w:val="auto"/>
                <w:sz w:val="20"/>
                <w:lang w:bidi="ar"/>
              </w:rPr>
            </w:pPr>
            <w:r>
              <w:rPr>
                <w:rFonts w:hint="eastAsia"/>
                <w:color w:val="auto"/>
              </w:rPr>
              <w:t xml:space="preserve">★</w:t>
            </w:r>
            <w:r>
              <w:rPr>
                <w:rFonts w:hint="eastAsia" w:ascii="宋体" w:hAnsi="宋体" w:eastAsia="宋体" w:cs="宋体"/>
                <w:color w:val="auto"/>
                <w:sz w:val="20"/>
                <w:lang w:bidi="ar"/>
              </w:rPr>
              <w:t xml:space="preserve">4、尺寸：超窄边框设计，宽度不超过505MM，以满足学校墙面较窄的安装需要；</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5、工作温度：区间跨度不低于 -20°C-80°C。</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6、显示屏：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采用OGS全贴合方案，触控屏与保护玻璃无缝完全黏合。</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7、亮度：≥550cd/㎡（典型值），以便户外状态清晰显示内容；</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8、分辨率：≥1920*1080 ；色数：≥16、7M ；色域：≥100%的sRGB色域屏，以便校宣多样化展示；对比度：≥1000:1；可视角度：≥178°（水平）178°（垂直）；多媒体：立体声音响≥3W X 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9、主机系统：</w:t>
            </w:r>
            <w:r>
              <w:rPr>
                <w:rFonts w:hint="eastAsia" w:ascii="宋体" w:hAnsi="宋体" w:eastAsia="宋体" w:cs="宋体"/>
                <w:color w:val="auto"/>
                <w:sz w:val="20"/>
                <w:lang w:bidi="ar"/>
              </w:rPr>
              <w:br/>
            </w:r>
            <w:r>
              <w:rPr>
                <w:rFonts w:hint="eastAsia"/>
                <w:color w:val="auto"/>
              </w:rPr>
              <w:t xml:space="preserve">★</w:t>
            </w:r>
            <w:r>
              <w:rPr>
                <w:rFonts w:hint="eastAsia" w:ascii="宋体" w:hAnsi="宋体" w:eastAsia="宋体" w:cs="宋体"/>
                <w:color w:val="auto"/>
                <w:sz w:val="20"/>
                <w:lang w:bidi="ar"/>
              </w:rPr>
              <w:t xml:space="preserve">10、CPU：≥RK3288，以满足人脸识别运算要求；</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11、GPU：≥ARM Mali-T760；运行内存：≥2G；  RFID：内置13、56Mhz学生卡读卡模块；</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12、网络：可支持802、11BGN无线/有线连接；接口：USB接口不能在外框出现，以满足学校使用场景需求；外接门禁：支持外接门禁（Wiegand26国际标准协议）及串口接口；</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二、智慧班牌嵌入式软件：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1、校园宣传：（1）公共</w:t>
            </w:r>
            <w:r>
              <w:rPr>
                <w:rFonts w:hint="eastAsia" w:ascii="宋体" w:hAnsi="宋体" w:eastAsia="宋体" w:cs="宋体"/>
                <w:color w:val="auto"/>
                <w:sz w:val="20"/>
                <w:lang w:bidi="ar"/>
              </w:rPr>
              <w:t xml:space="preserve">信息：展示学校徽标、学校名称、日期时间、天气预报等信息。（2）校园通知：展示例如放假通知，学校新闻、调休信息、寻物启事等校内通知信息。（3）欢迎标语：展示欢迎标语，同时显示其他重要通知及家庭留言等。（4）宣传视频：可显示学校发起的宣传视频。（5）宣传图册：可显示学校发起的宣传图册。（6）校园动态：可显示校园新闻、校园动态、校园官网等。（7）倒计时：可显示倒计时日期，每日自动更新。（8）实时直播：实时直播功能支持利用配套的教师手机APP将摄像头画面与声音推送到电子班牌上进行实时直播，适用于各类临时直播等场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班级信息：（1）基本信息：显示班级名称、班主任、班级口号等基本信息。（2）班级通知：可滚动显示班级通知。（3）值日生：可在滚动显示班级值日生。（4）班级相册：可显示班主任上传的班级相册图片。（5）回家作业：在显示各科老师布置的回家作业。（6）课程表：可显示课程安排情况以及任课老师、上课时间等。（7）教师留言：教师移动端可对本班学生进行留言，学生姓名以闪烁方式在电子班牌上进行提醒，学生刷脸后查看内容，同时电子班牌发送学生已读回执到发送者老师移动端上。</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综合素质评价：（1）学生德育分数排行：可展示当天学生德育得分排名。（2）学生德育分数查询：可通过刷脸查看个人德育分数，以及点评内容、点评老师等。（3）班级评比：可展示班级在五项评比中的各项得分。（4）评比公示：可查看校园五项评比结果公示。（5）班级考评：可刷脸/刷卡在电子班牌上对卫生进行打分。（6）活动报名：学生登录个人中心后，通过活动报名功能报名参加学校发布的各类活动，活动结束后，学生也可对该活动进行评价，可以导出报名数据。（7）学生会德育：学生会成员可在电子班牌上对学生进行德育评价。</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4、家校互动：</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（1）家庭留言：学生可通过电子班牌向家长留言，留言方式支持文字、语音转文字、语音、短视频等方式。</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（2）视频通话：学生可通过电子班牌与家长进行实时视频通话。</w:t>
            </w:r>
            <w:r/>
          </w:p>
          <w:p>
            <w:pPr>
              <w:numPr>
                <w:ilvl w:val="0"/>
                <w:numId w:val="15"/>
              </w:num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家长信息：学生刷卡/刷脸后，可阅读家长给学生发的信息。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5、考勤管理：</w:t>
            </w:r>
            <w:r/>
          </w:p>
          <w:p>
            <w:pPr>
              <w:jc w:val="left"/>
              <w:widowControl/>
              <w:rPr>
                <w:rFonts w:hint="eastAsia" w:ascii="宋体" w:hAnsi="宋体" w:eastAsia="宋体" w:cs="宋体"/>
                <w:color w:val="auto"/>
                <w:sz w:val="20"/>
                <w:lang w:bidi="ar"/>
              </w:rPr>
            </w:pPr>
            <w:r>
              <w:rPr>
                <w:rFonts w:hint="eastAsia" w:ascii="宋体" w:hAnsi="宋体" w:eastAsia="宋体" w:cs="宋体"/>
                <w:color w:val="auto"/>
                <w:sz w:val="20"/>
                <w:lang w:bidi="ar"/>
              </w:rPr>
              <w:t xml:space="preserve">（1）考勤签到：快速人脸识别签到,并可同时识别多张人脸，签到信息实时推送给家长，教师可通过移动端实时查看全班签到情况，学校可导出考勤表。</w:t>
            </w:r>
            <w:r/>
          </w:p>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2）学生签退：学生可通过电子班牌刷脸签退，老师可以一键签退，家长能够实时收到学生签退信息。（3）巡课管理：教师每节课可通过电子班牌人脸识别完成签到，后台可导出每节课的巡课信息。（4）请假管理：家长可通过移动端进行请假，班牌实时显示请假人员，班主任收到请假详细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考试管理：（1）考试成绩查询：学生刷脸/刷卡后，可对自己的考试成绩进行查询。（2）考场管理：可显示考场号、考试内容、监考老师等。（3）考试座位号：自动单列或多列显示考生姓名、考试科目、准考证号、座位号等列表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个人空间：（1）投票报名/选课：学生通过刷脸可完成日常的活动投票报名，学期末可进行刷脸选课，系统自动统计汇总，学校可导出选课/报名表。（2）每日一文：可通过电子班牌浏览每日推荐的文章。（3）浏览课件：学生可通过电子班牌浏览老师发布的课件。（4）微课视频：可通过电子班牌浏览任课老师上传的微课视频。（5）学生荣誉：可刷脸查看在校所获得的荣誉。（6）故障报修：可在电子班牌上进行报修，系统将信息推送至管理员。（7）刷脸门禁：可根据课程表或者权限设置，人脸识别开关门锁。</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访客终端</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访客登记及被访人授权，联动人行/车辆道闸通行。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一、双屏二代证访客机硬件参数：</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摄像头分辨率：≥200万像素；光圈：≤F2、6；软件宽动态：自动；垂直广角：82；水平广角：52；红外补光灯：支持；白色补光灯：支持；操作系统：安卓≥Android7、1；显示屏：≥13、3寸屏WXGA（1920*1080）和≥10、1寸屏WXGA（1280*800）；身份证识别：支持；通讯方式：支持10/100/1000Mbps 以太网；WIFI：符合IEEE802、11b/g/n标准（2、4G）；USB2、0接口：支持≥2个；MicUSB接口：支持≥1个；工作温度：-20℃～60℃；工作湿度：20%</w:t>
            </w:r>
            <w:r>
              <w:rPr>
                <w:rStyle w:val="1308"/>
                <w:rFonts w:hint="eastAsia" w:ascii="宋体" w:hAnsi="宋体" w:eastAsia="宋体" w:cs="宋体"/>
                <w:color w:val="auto"/>
                <w:lang w:bidi="ar"/>
              </w:rPr>
              <w:t xml:space="preserve">⾄</w:t>
            </w:r>
            <w:r>
              <w:rPr>
                <w:rStyle w:val="1226"/>
                <w:rFonts w:hint="default"/>
                <w:color w:val="auto"/>
                <w:lang w:bidi="ar"/>
              </w:rPr>
              <w:t xml:space="preserve">90%(在不凝结</w:t>
            </w:r>
            <w:r>
              <w:rPr>
                <w:rStyle w:val="1308"/>
                <w:rFonts w:hint="eastAsia" w:ascii="宋体" w:hAnsi="宋体" w:eastAsia="宋体" w:cs="宋体"/>
                <w:color w:val="auto"/>
                <w:lang w:bidi="ar"/>
              </w:rPr>
              <w:t xml:space="preserve">⽔</w:t>
            </w:r>
            <w:r>
              <w:rPr>
                <w:rStyle w:val="1226"/>
                <w:rFonts w:hint="default"/>
                <w:color w:val="auto"/>
                <w:lang w:bidi="ar"/>
              </w:rPr>
              <w:t xml:space="preserve">滴状态下)；静电防护等级：IEC61000-4-2,LEVEL3 。</w:t>
            </w:r>
            <w:r>
              <w:rPr>
                <w:rStyle w:val="1226"/>
                <w:rFonts w:hint="default"/>
                <w:color w:val="auto"/>
                <w:lang w:bidi="ar"/>
              </w:rPr>
              <w:br/>
            </w:r>
            <w:r>
              <w:rPr>
                <w:rStyle w:val="1226"/>
                <w:rFonts w:hint="default"/>
                <w:color w:val="auto"/>
                <w:lang w:bidi="ar"/>
              </w:rPr>
              <w:t xml:space="preserve">二、软件功能：</w:t>
            </w:r>
            <w:r>
              <w:rPr>
                <w:rStyle w:val="1226"/>
                <w:rFonts w:hint="default"/>
                <w:color w:val="auto"/>
                <w:lang w:bidi="ar"/>
              </w:rPr>
              <w:br/>
            </w:r>
            <w:r>
              <w:rPr>
                <w:rStyle w:val="1226"/>
                <w:rFonts w:hint="default"/>
                <w:color w:val="auto"/>
                <w:lang w:bidi="ar"/>
              </w:rPr>
              <w:t xml:space="preserve">1、访客身份证识别、证件拍照、热敏纸访客单打印功能。后期增加人证比对功能。</w:t>
            </w:r>
            <w:r>
              <w:rPr>
                <w:rStyle w:val="1226"/>
                <w:rFonts w:hint="default"/>
                <w:color w:val="auto"/>
                <w:lang w:bidi="ar"/>
              </w:rPr>
              <w:br/>
            </w:r>
            <w:r>
              <w:rPr>
                <w:rStyle w:val="1226"/>
                <w:rFonts w:hint="default"/>
                <w:color w:val="auto"/>
                <w:lang w:bidi="ar"/>
              </w:rPr>
              <w:t xml:space="preserve">2、显示由班主任通过APP发起的学生中途离校申请，学生通过在传达室智能显示终端上刷学生卡或人脸识别出校，学生出校信息将同步推送至班主任及家长手机APP上。</w:t>
            </w:r>
            <w:r>
              <w:rPr>
                <w:rStyle w:val="1226"/>
                <w:rFonts w:hint="default"/>
                <w:color w:val="auto"/>
                <w:lang w:bidi="ar"/>
              </w:rPr>
              <w:br/>
            </w:r>
            <w:r>
              <w:rPr>
                <w:rStyle w:val="1226"/>
                <w:rFonts w:hint="default"/>
                <w:color w:val="auto"/>
                <w:lang w:bidi="ar"/>
              </w:rPr>
              <w:t xml:space="preserve">3、显示由校长或老师提交的来校访客预约信息，传达室智能显示终端将实时同步展示访客列表，访客到校后，可通过刷身份证登记并确认访客身份，访客入校后到访信息将推送至校长或老师手机APP上。</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color w:val="auto"/>
                <w:sz w:val="20"/>
              </w:rPr>
            </w:pPr>
            <w:r>
              <w:rPr>
                <w:rFonts w:hint="eastAsia" w:ascii="宋体" w:hAnsi="宋体" w:eastAsia="宋体" w:cs="宋体"/>
                <w:b/>
                <w:bCs/>
                <w:color w:val="auto"/>
                <w:sz w:val="20"/>
                <w:lang w:bidi="ar"/>
              </w:rPr>
              <w:t xml:space="preserve">八、教学辅助设备</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网络时钟</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1、采用全面屏设计，可显示时分秒，≥4英寸“时-分”数码管，≥0.8英寸“秒”数码管；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2、网络接口：RJ45，传输协议：标准NTP协议；</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3、具有主动同步功能，在外部时码驱动下，子钟间同步时差应不超过40ns；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4、应支持网管功能，故障主动上报，并将运行情况通过TCP/IP协议传输到网络集中监控平台实时监控，以确保稳定可靠运行，与服务器时间同步；</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5、断电记忆功能，支持断电后时钟内部继续计时至少24小时，恢复供电时，钟面继续显示内部计时的时间；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6、支持对网络时钟屏幕远程开启和关闭；</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7、应支持对网络时钟秒位远程开启和关闭；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8、为防止电磁干扰影响设备正常运行，网络时钟外壳主体应采用金属材质；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9、设备应支持开机自动进行全部数码管检测；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10、网络时钟外壳的后面和顶部应预留有挂孔，可用于壁挂方式安装，也可吊装；</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11、网络时钟可靠性指标：平均无故障间隔时间(MTBF))≥30000h。</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w:t>
            </w:r>
            <w:r/>
          </w:p>
        </w:tc>
        <w:tc>
          <w:tcPr>
            <w:tcW w:w="306" w:type="pct"/>
            <w:vAlign w:val="center"/>
            <w:vMerge w:val="restart"/>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1层2间+2层6间+3层7间+4层5间（普通教室16间+书法美术1间+音乐1间+舞蹈1间+微机室1间）=20</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电源适配器</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12V/2A</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时钟管理终端</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1、应采用LINUX系统，应支持GPS和北斗双模，供电方式为内部供电；。</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2、CPU≥2.8GHz，内存≥8GB，硬盘≥1TB。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3、提供支持应用软件运行的配套操作系统、数据库和中间件等运行环境。</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4、支持作弊防控系统软件部署在同一个操作系统中。</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1380</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PVC管</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PVC25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1200</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24口千兆交换机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千兆电口≥24个，千兆SFP独立光口≥2个，Console口≥1；</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交换容量≥336Gbps，包转发率≥108Mpps；</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MAC表容量≥8k</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要求支持工作温度，低温≤-20℃，高温≥65℃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为保障设备受到外部机械碰撞仍可以保持结构完整、功能完备，要求至少支持IK08碰撞防护等级；</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支持802.1Q标准VLAN；</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支持STP、RSTP；</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支持静态聚合、动态聚合；</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支持IGMP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支持环路的蜂鸣声告警，在出现环路时，交换机应发出蜂鸣告警声，环路消除时会停止蜂鸣告警</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支持DHCP Snooping</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支持端口隔离；</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支持MAC地址绑定；</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支持对组播/未知单播/广播的风暴抑制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支持WEB、CLI、Telnet管理；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支持SNMP网管；</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本项目整体方案应具备前瞻性，要求交换机预留对接网管平台协议接口，可配合上端管理平台直观展示交换机端口面板图，可显示端口的状态及端口所连接设备的类型）；</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本项目整体方案应具备前瞻性，要求交换机预留对接网管平台协议接口，可配合上端管理平台自动识别安防终端、办公终端的功能，当IPC、门禁、对讲、报警、道闸、NVR、电脑、AP、打印机、考勤机、IP电话接入到交换机上，可自动识别到这些类型，并能查看这些类型设备的IP、MAC、品牌、型号、端口位置、流量信息，针对IPC可识别其通道名称信息；</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为保障业务快速上线及后期管理维护，要求交换机预留对接网管平台协议接口，应支持被手机扫描特定二维码被添加到管理平台的功能，被手机下发IP、VLAN的功能；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支持云端管理；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vMerge w:val="restart"/>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微机室综合布线</w:t>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商业级；千兆SFP模块，单模双芯，双LC接口，波长1310nm，传输距离20km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光纤盒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8口光纤盒</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尾纤</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单模SC 2米</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8</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光纤跳线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SC-LC2米</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光纤熔接</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定制</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点</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600</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RVV3*2.5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600</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六类非屏蔽24口配线架,预装不带防尘盖模块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预装六类信息模块</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标准：完全符合AS/NZS 3080：2003, ISO/IEC11801 2002版本2和ANSI/TIA/EIA-568-C系列连接硬件标准的要求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可拆卸的后侧理线支架，后侧理线支架可以在端接之后将其安装好；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前方的透明标签系统可以快速方便地识别信道；</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六类非屏蔽信息模块</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传输带宽：CAT6≥250MHz。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产品特征：拔插次数≥750次，磷青铜，有50μm镀金层和100μm镀镍层；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标准：完全符合AS/NZS 3080：2003, ISO/IEC11801 2002版本和ANSI/TIA/EIA-568-C系列连接硬件标准的要求；可采用一字打线和一次性压接8根线的端接方式；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符合UL 94V-0规格。</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提供了多种颜色选择，便于更好地识别信道。</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模块上正面刻印有品牌LOGO，右下角均刻印有表示类型的字母数字，侧面均印有生产唯一序号和生产日期，便于质量回溯。</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64</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六类理线器</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1U机架式水平理线器；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采用机架安装夹，不需要笼型螺母和螺钉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强化电缆管理环最多可以支持50根跳线</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每个环结构后面的孔洞都为电缆提供了额外的空间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电缆环具有更大的深度，可以保证符合最小弯曲半径的要求</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采用统一的配线架设计风格。</w:t>
            </w:r>
            <w:r/>
          </w:p>
        </w:tc>
        <w:tc>
          <w:tcPr>
            <w:tcW w:w="258"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插排</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6位</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22</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22U机柜</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≥600*600*1200mm</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19</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20</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人脸门禁一体机</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操作系统：嵌入式Linux操作系统；</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屏幕参数： 7英寸触摸显示屏，屏幕比例9:16，屏幕分辨率600*1024；</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摄像头参数：采用宽动态200万双目摄像头；</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认证方式：支持人脸、刷卡（IC卡、手机NFC卡、CPU卡(含加密内容)、身份证卡序列号）、密码等方式，可外接身份证、社保卡功能模块；</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人脸验证：采用深度学习算法，支持照片、视频防假；1:N人脸比对速度≤0.2s，人脸验证准确率≥99%；</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存储容量：本地支持2万人脸库、5万张卡，15万条事件记录；</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硬件接口：LAN*1、RS485*1、Wiegand * 1(支持双向)、typeA类型USB接口*1、门锁*1、门磁*1、报警输入*2、报警输出*1、开门按钮*1、SD卡槽*1（最大支持512GB）；</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通信方式：有线网络；</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使用环境：IP65，室内外环境（室外使用必须搭配遮阳罩）；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安装方式：壁挂安装（标配挂板，适配86底盒）/桌面摆放/闸机安装/地面支架；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电源输入： DC12V/2A（电源需另配）；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【功能介绍】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可视对讲：支持和云眸、4200客户端、室内机、管理机进行可视对讲；支持配置一键呼叫室内机或管理机；支持副门口机或围墙机模式；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视频预览：支持管理中心远程视频预览，支持接入NVR设备，实现视频监控录像，编码格式H.264或H.265；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口罩检测：支持口罩检测模式，可配置提醒戴口罩模式、强制戴口罩模式，关联门禁控制；</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提醒戴口罩模式：未带口罩可做身份验证，身份验证通过后提醒佩戴口罩；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强制戴口罩模式：未带口罩无法做身份验证，提醒佩戴口罩；</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识别界面可配：识别主界面的“呼叫”、“二维码”、“密码”的按键图标可分别配置是否显示；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认证结果显示可配：支持认证成功界面的“照片”、“姓名”、“工号”信息可配置是否显示；</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工作模式：支持广告模式、简洁模式主题模式；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广告模式：识别区域与广告区域分屏展示，支持图片（JPG格式，分辨率建议600*640，最多8张轮播）广告信息播放，图片切换时间可配置；支持视频广告信息播放（视频格式为mp4，单个大小限制在600MB内，最多支持3个视频）；</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简洁模式：识别界面不显示视频预览画面，仅显示背景图及比对结果，背景图片可自定义；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外接安全模块：支持通过RS485接入门控安全模块，防止主机被恶意破坏的情况下，门锁被打开；</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外接读卡器：支持通过RS485或韦根（W26/W34）接口外接1个读卡器，同时可实现单门反潜回功能；</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读卡器模式：支持通过RS485或韦根（W26/W34）接入门禁控制器，作为读卡器模式使用；</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门禁计划模板：支持255组计划模板管理，128个周计划，1024个假日计划；支持常开、常闭时段管理；</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组合认证：刷卡+密码、刷卡+人脸、人脸+密码等组合认证方式；</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多重认证：支持多个人员认证（人脸、刷卡等）通过后才开门；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报警功能：设备支持防拆报警、门被外力开起报警、胁迫卡和胁迫密码报警等；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事件上传：在线状态下将设备认证结果及联动抓拍照片实时上传给平台，支持断网续传功能，设备离线状态下产生事件在与平台连接后会重新上传；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单机使用：设备可进行本地管理，支持本地注册人脸、查询、设置、管理设备参数等；</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WEB管理：支持Web端管理，可进行人员管理、参数配置、事件查询、系统维护等操作。</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6</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21</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双门磁力锁</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最大静态直线拉力：≥280kg ± 5% * 2</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状态指示灯：红灯(开门状态) 绿灯(上锁状态)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锁状态侦测信号(门磁)输出:NO/NC/COM接点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工作电压：12V/430mA x 2(±10%)或24V/215mA x 2(±10%)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锁体尺寸：≥长500x宽53x厚29(mm) 吸板尺寸：≥长170x宽43x高13(mm)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使用环境：室内    适用门型：木门、玻璃门、金属门、防火门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把</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22</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单门磁力锁</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最大静态直线拉力：≥280kg ± 5%</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状态指示灯：红灯(开门状态) 绿灯(上锁状态)</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锁状态侦测信号(门磁)输出:NO/NC/COM接点</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工作电压：12V/430mA(±10%) 或24V/215mA(±10%)</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锁体尺寸：≥长238x宽53x厚29(mm) 吸板尺寸：≥长170x宽43x高13(mm)</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使用环境：室内    适用门型：木门、玻璃门、金属门、防火门</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把</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1847"/>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23</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开门按钮</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结构：塑料面板；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性能：最大耐电流1.25A，电压250V；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输出：常开；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类型：适合埋入式电器盒使用； </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4</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24</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电源终端</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输入电压：100-240VAC；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输出电压：12VDC；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输出电流：4.17A；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输出功率：50W；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纹波与噪声：&lt; 150mVpp；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电压调整范围：11-14Vdc；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一般规范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工作温度：-10℃-+70℃； </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工作湿度：＜95%； </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5</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25</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350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26</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电源线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RVV2*1.5</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350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27</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信号线</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RVV4*1.0</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350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28</w:t>
            </w:r>
            <w:r/>
          </w:p>
        </w:tc>
        <w:tc>
          <w:tcPr>
            <w:tcW w:w="651"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工业级插座</w:t>
            </w:r>
            <w:r/>
          </w:p>
        </w:tc>
        <w:tc>
          <w:tcPr>
            <w:tcW w:w="3185" w:type="pct"/>
            <w:vAlign w:val="center"/>
            <w:textDirection w:val="lrTb"/>
            <w:noWrap w:val="false"/>
          </w:tcPr>
          <w:p>
            <w:pPr>
              <w:jc w:val="left"/>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16A 3芯</w:t>
            </w:r>
            <w:r/>
          </w:p>
        </w:tc>
        <w:tc>
          <w:tcPr>
            <w:tcW w:w="258"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10</w:t>
            </w:r>
            <w:r/>
          </w:p>
        </w:tc>
        <w:tc>
          <w:tcPr>
            <w:tcW w:w="306" w:type="pct"/>
            <w:vAlign w:val="center"/>
            <w:textDirection w:val="lrTb"/>
            <w:noWrap w:val="false"/>
          </w:tcPr>
          <w:p>
            <w:pPr>
              <w:jc w:val="center"/>
              <w:rPr>
                <w:rFonts w:hint="eastAsia" w:ascii="宋体" w:hAnsi="宋体" w:eastAsia="宋体" w:cs="宋体"/>
                <w:color w:val="auto"/>
                <w:sz w:val="20"/>
              </w:rPr>
            </w:pPr>
            <w:r>
              <w:rPr>
                <w:rFonts w:hint="eastAsia" w:ascii="宋体" w:hAnsi="宋体" w:eastAsia="宋体" w:cs="宋体"/>
                <w:color w:val="auto"/>
                <w:sz w:val="20"/>
              </w:rPr>
            </w:r>
            <w:r/>
          </w:p>
        </w:tc>
      </w:tr>
    </w:tbl>
    <w:p>
      <w:pP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注：1.本次不采购进口产品。上述技术要求中涉及规格、尺寸允许有±5%的偏离，但不得影响其使用功能。如招标文件中涉及品牌、型号，仅供参考，凡是等于或优于所列要求的均可参加响应。</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2.本项目确定核心产品为：</w:t>
      </w:r>
      <w:r>
        <w:rPr>
          <w:rStyle w:val="793"/>
          <w:rFonts w:hint="eastAsia" w:ascii="宋体" w:hAnsi="宋体" w:eastAsia="宋体"/>
          <w:color w:val="auto"/>
        </w:rPr>
        <w:t xml:space="preserve">车辆抓拍摄像机</w:t>
      </w:r>
      <w:r>
        <w:rPr>
          <w:rStyle w:val="793"/>
          <w:rFonts w:hint="eastAsia" w:ascii="宋体" w:hAnsi="宋体" w:eastAsia="宋体"/>
          <w:color w:val="auto"/>
          <w:lang w:eastAsia="zh-CN"/>
        </w:rPr>
        <w:t xml:space="preserve">、上网行为管理、线阵全频主音箱、</w:t>
      </w:r>
      <w:r>
        <w:rPr>
          <w:rStyle w:val="793"/>
          <w:rFonts w:hint="eastAsia" w:ascii="宋体" w:hAnsi="宋体" w:eastAsia="宋体"/>
          <w:color w:val="auto"/>
          <w:lang w:val="en-US" w:eastAsia="zh-CN"/>
        </w:rPr>
        <w:t xml:space="preserve">智慧班牌</w:t>
      </w:r>
      <w:r>
        <w:rPr>
          <w:rFonts w:hint="eastAsia" w:ascii="宋体" w:hAnsi="宋体" w:eastAsia="宋体"/>
          <w:color w:val="auto"/>
          <w:sz w:val="21"/>
          <w:szCs w:val="21"/>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3.响应文件中必须列明投标产品的品牌、规格和生产厂家，否则投标无效。</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（三）商务条款</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1、交付期限：</w:t>
      </w:r>
      <w:r>
        <w:rPr>
          <w:rFonts w:hint="eastAsia" w:ascii="宋体" w:hAnsi="宋体" w:eastAsia="宋体" w:cs="宋体"/>
          <w:color w:val="auto"/>
          <w:sz w:val="21"/>
          <w:szCs w:val="21"/>
          <w:shd w:val="clear" w:color="auto" w:fill="ffffff"/>
          <w:lang w:eastAsia="zh-CN"/>
        </w:rPr>
        <w:t xml:space="preserve">合同签订后60日内供货并安装调试完毕（如因现场不具备进场安装条件的，采购人将书面或邮件通知中标供应商调整履行期限的起算日）</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2、交付地点：</w:t>
      </w:r>
      <w:r>
        <w:rPr>
          <w:rFonts w:hint="eastAsia" w:ascii="宋体" w:hAnsi="宋体" w:eastAsia="宋体"/>
          <w:color w:val="auto"/>
          <w:sz w:val="21"/>
          <w:szCs w:val="21"/>
          <w:lang w:val="en-US" w:eastAsia="zh-CN"/>
        </w:rPr>
        <w:t xml:space="preserve">采购方</w:t>
      </w:r>
      <w:r>
        <w:rPr>
          <w:rFonts w:hint="eastAsia" w:ascii="宋体" w:hAnsi="宋体" w:eastAsia="宋体"/>
          <w:color w:val="auto"/>
          <w:sz w:val="21"/>
          <w:szCs w:val="21"/>
        </w:rPr>
        <w:t xml:space="preserve">指定地点</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3、付款步骤：</w:t>
      </w:r>
      <w:r>
        <w:rPr>
          <w:rFonts w:hint="eastAsia" w:ascii="宋体" w:hAnsi="宋体" w:eastAsia="宋体"/>
          <w:color w:val="auto"/>
          <w:sz w:val="21"/>
          <w:szCs w:val="21"/>
          <w:lang w:eastAsia="zh-CN"/>
        </w:rPr>
        <w:t xml:space="preserve">合同签订生效后，甲方向乙方支付合同金额的30%作为预付款，施工完成经甲方验收合格后付至合同金额的70%，审计结束后付至审定金额的80%，审计结束后一年付至审定金额的90%,审计结束后两年付至审定金额的95%，审计结束后三年付清余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4、包装和运输要求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（3）合同标的在运输环节发生锈蚀、损坏和丢失等情况，由供应商承担责任和费用。</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5、售后服务要求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（1）免费质保期：自验收合格之日起，应提供至少</w:t>
      </w:r>
      <w:r>
        <w:rPr>
          <w:rFonts w:hint="eastAsia" w:ascii="宋体" w:hAnsi="宋体" w:eastAsia="宋体"/>
          <w:color w:val="auto"/>
          <w:sz w:val="21"/>
          <w:szCs w:val="21"/>
          <w:lang w:eastAsia="zh-CN"/>
        </w:rPr>
        <w:t xml:space="preserve">三年</w:t>
      </w:r>
      <w:r>
        <w:rPr>
          <w:rFonts w:hint="eastAsia" w:ascii="宋体" w:hAnsi="宋体" w:eastAsia="宋体"/>
          <w:color w:val="auto"/>
          <w:sz w:val="21"/>
          <w:szCs w:val="21"/>
        </w:rPr>
        <w:t xml:space="preserve">质量保证期。</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（2）除非因采购方使用不当，货物在免费质保期内如破损、变质或被发现存在任何质量问题，中标单位应免费负责对货物进行修补和退换。更换的货物的免费质保期应重新计算。</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在免费质保期内，中标单位应以优良的服务态度，一旦货物发生质量问题，中标单位保证在接到通知2小时内响应，12小时内到达现场，24小时以内完成采购人提出的维修要求；修理、更换或退货，费用由中标单位负责，同时在质保期内，每半年须组织售后服务人员对所供货物进行巡检一次。</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（四）供货安装售后等要求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2.如项目实施过程中存在安全风险的，中标方应当为实施人员购买必要的人身安全保险。</w:t>
      </w:r>
      <w:r/>
    </w:p>
    <w:p>
      <w:pPr>
        <w:pStyle w:val="1103"/>
        <w:ind w:firstLine="0"/>
        <w:rPr>
          <w:rFonts w:hint="eastAsia" w:ascii="宋体" w:hAnsi="宋体" w:cs="宋体"/>
          <w:bCs/>
          <w:sz w:val="21"/>
          <w:szCs w:val="21"/>
        </w:rPr>
      </w:pPr>
      <w:r>
        <w:rPr>
          <w:rFonts w:hint="eastAsia" w:ascii="宋体" w:hAnsi="宋体" w:cs="宋体"/>
          <w:bCs/>
          <w:sz w:val="21"/>
          <w:szCs w:val="21"/>
        </w:rPr>
        <w:t xml:space="preserve">四、综合说明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p>
    <w:p>
      <w:pPr>
        <w:pStyle w:val="838"/>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根据政府采购法及相关法规的规定，我们将依法对供应商进行信用查询，凡经确认不符合政府采购相关法律法规规定的，将拒绝其参与政府采购活动。</w:t>
      </w:r>
      <w:r/>
    </w:p>
    <w:p>
      <w:pPr>
        <w:pStyle w:val="838"/>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838"/>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2.小、微企业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w:t>
      </w:r>
      <w:r>
        <w:rPr>
          <w:rFonts w:hint="eastAsia" w:ascii="宋体" w:hAnsi="宋体" w:eastAsia="宋体" w:cs="宋体"/>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根据《政府采购促进中小企业发展管理办法》（财库〔2020〕46号）及《中小企业划型标准规定》（工信部联企业〔2011〕300号），</w:t>
      </w:r>
      <w:r>
        <w:rPr>
          <w:rFonts w:hint="eastAsia" w:ascii="宋体" w:hAnsi="宋体" w:eastAsia="宋体" w:cs="宋体"/>
          <w:b/>
          <w:bCs/>
          <w:sz w:val="21"/>
          <w:szCs w:val="21"/>
        </w:rPr>
        <w:t xml:space="preserve">本采购标的对应的中小企业划分标准所属行业为：工业。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3.残疾人福利性单位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4.监狱企业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w:t>
      </w:r>
      <w:r>
        <w:rPr>
          <w:rFonts w:hint="eastAsia" w:ascii="宋体" w:hAnsi="宋体" w:eastAsia="宋体" w:cs="宋体"/>
          <w:color w:val="000000" w:themeColor="text1"/>
          <w:sz w:val="21"/>
          <w:szCs w:val="21"/>
          <w14:textFill>
            <w14:solidFill>
              <w14:schemeClr w14:val="tx1"/>
            </w14:solidFill>
          </w14:textFill>
        </w:rPr>
        <w:t xml:space="preserve">狱企业的证明文件。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5.绿色采购</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sz w:val="21"/>
          <w:szCs w:val="21"/>
        </w:rPr>
        <w:t xml:space="preserve">证书复印件，否则视为未实质性响应。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6、本国产品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（1）.本项目对采购本国产品给予政策支持：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eastAsia="宋体"/>
          <w:szCs w:val="44"/>
        </w:rPr>
      </w:pP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凡涉及招标文件的补充说明和修改，均以苏州市政府采购网上所发布的公告为准。</w:t>
      </w:r>
      <w:r/>
    </w:p>
    <w:p>
      <w:pPr>
        <w:pStyle w:val="838"/>
        <w:ind w:firstLine="0"/>
      </w:pPr>
      <w:r/>
      <w:r/>
    </w:p>
    <w:p>
      <w:r/>
      <w:r/>
    </w:p>
    <w:p>
      <w:pPr>
        <w:pStyle w:val="752"/>
      </w:pPr>
      <w:r/>
      <w:r/>
    </w:p>
    <w:p>
      <w:r/>
      <w:r/>
    </w:p>
    <w:p>
      <w:pPr>
        <w:pStyle w:val="752"/>
      </w:pPr>
      <w:r/>
      <w:r/>
    </w:p>
    <w:p>
      <w:r/>
      <w:r/>
    </w:p>
    <w:p>
      <w:pPr>
        <w:pStyle w:val="752"/>
        <w:ind w:left="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81"/>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0"/>
      <w:r/>
      <w:bookmarkEnd w:id="11"/>
      <w:r/>
      <w:r/>
    </w:p>
    <w:p>
      <w:pPr>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一、定义：以下术语有特定的含义</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合同价是指根据中标的投标文件和合同规定，乙方在正确地履行合同义务后甲方应支付给乙方的价款。</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甲方是指合同中明确规定的实际购买货物和接受服务的单位。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乙方是指合同中规定的提供货物和提供服务的单位。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损失是指合同一方因不履行合同义务而导致另一方及第三方的各种损失的费用，还包括守约方为减轻损失或维护权利而需支付的各种调查费用、差旅费用、律师费用等。</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u w:val="single"/>
        </w:rPr>
      </w:pPr>
      <w:r>
        <w:rPr>
          <w:rFonts w:hint="eastAsia" w:ascii="宋体" w:hAnsi="宋体" w:eastAsia="宋体" w:cs="宋体"/>
          <w:b/>
          <w:sz w:val="21"/>
          <w:szCs w:val="21"/>
        </w:rPr>
        <w:t xml:space="preserve">二、合同标的</w:t>
      </w:r>
      <w:r/>
    </w:p>
    <w:tbl>
      <w:tblPr>
        <w:tblStyle w:val="7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jc w:val="center"/>
          <w:trHeight w:val="5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详细技术参数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7"/>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合计</w:t>
            </w:r>
            <w:r>
              <w:rPr>
                <w:rFonts w:hint="eastAsia" w:ascii="宋体" w:hAnsi="宋体" w:eastAsia="宋体" w:cs="宋体"/>
                <w:color w:val="000000" w:themeColor="text1"/>
                <w:sz w:val="21"/>
                <w:szCs w:val="21"/>
                <w14:textFill>
                  <w14:solidFill>
                    <w14:schemeClr w14:val="tx1"/>
                  </w14:solidFill>
                </w14:textFill>
              </w:rPr>
              <w:t xml:space="preserve">：              元（大写：                 ）</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tc>
      </w:tr>
    </w:tbl>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numPr>
          <w:ilvl w:val="0"/>
          <w:numId w:val="1"/>
        </w:num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合同总价款 </w:t>
      </w:r>
      <w:r/>
    </w:p>
    <w:p>
      <w:pPr>
        <w:ind w:left="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合同总价款：大写人民币元，小写￥元。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范围：合同总价包括但不限于全部提供全部货物及其安装所需的辅材、备品、备件、专用工具、包装、运输、吊装、安装、基础的开挖及恢复、损耗、调试、检测、验收、试运行、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四、交货地点、时间、方式</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1.交货地点：乙方交货至甲方指定地点，所发生的运输等费用及货物的损坏造成的损</w:t>
      </w:r>
      <w:r>
        <w:rPr>
          <w:rFonts w:hint="eastAsia" w:ascii="宋体" w:hAnsi="宋体" w:eastAsia="宋体" w:cs="宋体"/>
          <w:color w:val="000000" w:themeColor="text1"/>
          <w:sz w:val="21"/>
          <w:szCs w:val="21"/>
          <w14:textFill>
            <w14:solidFill>
              <w14:schemeClr w14:val="tx1"/>
            </w14:solidFill>
          </w14:textFill>
        </w:rPr>
        <w:t xml:space="preserve">失由乙方承担。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2.交货时间：</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3.交货方式：乙方负责将货物安全完好运抵交货地点、安装调试并保证验收合格。</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五、付款方式</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olor w:val="auto"/>
          <w:sz w:val="21"/>
          <w:szCs w:val="21"/>
        </w:rPr>
        <w:t xml:space="preserve">付款步骤：</w:t>
      </w:r>
      <w:r>
        <w:rPr>
          <w:rFonts w:hint="eastAsia" w:ascii="宋体" w:hAnsi="宋体" w:eastAsia="宋体"/>
          <w:color w:val="auto"/>
          <w:sz w:val="21"/>
          <w:szCs w:val="21"/>
          <w:lang w:eastAsia="zh-CN"/>
        </w:rPr>
        <w:t xml:space="preserve">合同签订生效后，甲方向乙方支付合同金额的30%作为预付款，施工完成经甲方验收合格后付至合同金额的70%，审计结束后付至审定金额的80%，审计结束后一年付至审定金额的90%,审计结束后两年付至审定金额的95%，审计结束后三年付清余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2.付款方式：数字人民币或银行转账支付</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（1）乙方数字人民币信息：</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数字人民币账号（数币钱包ID）：</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（2）乙方银行账户信息：</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银行账号：</w:t>
      </w:r>
      <w:r/>
    </w:p>
    <w:p>
      <w:pPr>
        <w:ind w:firstLine="420"/>
        <w:jc w:val="left"/>
        <w:spacing w:line="360" w:lineRule="auto"/>
        <w:tabs>
          <w:tab w:val="left" w:pos="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4.甲方每次付款时，乙方应向甲方提供下列单据，如乙方未按约提供的，甲方有权迟延付款且不承担逾期付款的违约责任：</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（1）合法有效且符合甲方要求的发票；</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sz w:val="21"/>
          <w:szCs w:val="21"/>
        </w:rPr>
        <w:t xml:space="preserve">由甲、乙方双方签章的《送货单》、《履约验收报告》等单据。</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751"/>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1.乙方提交的货物由甲方负责验收。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七、质保期</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本项目经甲方验收合格后，乙方将提供</w:t>
      </w:r>
      <w:r>
        <w:rPr>
          <w:rFonts w:hint="eastAsia" w:ascii="宋体" w:hAnsi="宋体" w:eastAsia="宋体" w:cs="宋体"/>
          <w:b/>
          <w:bCs/>
          <w:color w:val="auto"/>
          <w:sz w:val="21"/>
          <w:szCs w:val="21"/>
          <w:lang w:eastAsia="zh-CN"/>
        </w:rPr>
        <w:t xml:space="preserve">三年</w:t>
      </w:r>
      <w:r>
        <w:rPr>
          <w:rFonts w:hint="eastAsia" w:ascii="宋体" w:hAnsi="宋体" w:eastAsia="宋体" w:cs="宋体"/>
          <w:color w:val="auto"/>
          <w:sz w:val="21"/>
          <w:szCs w:val="21"/>
        </w:rPr>
        <w:t xml:space="preserve">质量保证期。质量保证期内，乙方负责对其提供的货物实行免费维修。</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八、伴随服务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eastAsia="宋体"/>
          <w:sz w:val="21"/>
          <w:szCs w:val="21"/>
        </w:rPr>
      </w:pPr>
      <w:r>
        <w:rPr>
          <w:rFonts w:hint="eastAsia" w:ascii="宋体" w:hAnsi="宋体" w:eastAsia="宋体" w:cs="宋体"/>
          <w:sz w:val="21"/>
          <w:szCs w:val="21"/>
        </w:rPr>
        <w:t xml:space="preserve">3.乙方对学校使用部门及人员进行免费培训，确保使用人员全部培训合格。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4.上述伴随服务的费用应包含在合同价中，不单独进行支付。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5.货物的包装、储运、安装按国家有关规定执行。</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九、质量保证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 甲方有权根据具有法定资格的</w:t>
      </w:r>
      <w:r>
        <w:rPr>
          <w:rFonts w:hint="eastAsia" w:ascii="宋体" w:hAnsi="宋体" w:eastAsia="宋体" w:cs="宋体"/>
          <w:color w:val="000000" w:themeColor="text1"/>
          <w:sz w:val="21"/>
          <w:szCs w:val="21"/>
          <w14:textFill>
            <w14:solidFill>
              <w14:schemeClr w14:val="tx1"/>
            </w14:solidFill>
          </w14:textFill>
        </w:rPr>
        <w:t xml:space="preserve">第三方检验检测</w:t>
      </w:r>
      <w:r>
        <w:rPr>
          <w:rFonts w:hint="eastAsia" w:ascii="宋体" w:hAnsi="宋体" w:eastAsia="宋体" w:cs="宋体"/>
          <w:sz w:val="21"/>
          <w:szCs w:val="21"/>
        </w:rPr>
        <w:t xml:space="preserve">机构出具的检验证书向乙方提出索赔。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（2）根据货物低劣、损坏程度以及甲方所遭受损失的金额，经双方商定降低货物的价格。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十一、履约延误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751"/>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十二、误期赔偿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2.误期赔偿费可从应付货款中扣除。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3.收取误期赔偿费不影响甲方采取合同规定的其他补救措施的权利。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十三、不可抗力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十四、争端的解决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3.诉讼费由败诉方负担。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十五、违约终止合同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（1）如果乙方未能在合同规定的限期或甲方同意延长的限期内提供部分或全部货物和服务。</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（2）如果乙方未能履行合同规定的其它任何义务。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3.如果甲方违约，应承担相应的违约责任。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十六、破产终止合同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十七、合同的解除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hint="eastAsia" w:ascii="宋体" w:hAnsi="宋体" w:eastAsia="宋体" w:cs="宋体"/>
          <w:sz w:val="21"/>
          <w:szCs w:val="21"/>
          <w:lang w:eastAsia="zh-TW"/>
        </w:rPr>
      </w:pPr>
      <w:r>
        <w:rPr>
          <w:rFonts w:hint="eastAsia" w:ascii="宋体" w:hAnsi="宋体" w:eastAsia="宋体" w:cs="宋体"/>
          <w:sz w:val="21"/>
          <w:szCs w:val="21"/>
          <w:lang w:eastAsia="zh-TW"/>
        </w:rPr>
        <w:t xml:space="preserve">2.</w:t>
      </w:r>
      <w:r>
        <w:rPr>
          <w:rFonts w:hint="eastAsia" w:ascii="宋体" w:hAnsi="宋体" w:eastAsia="宋体" w:cs="宋体"/>
          <w:sz w:val="21"/>
          <w:szCs w:val="21"/>
          <w:lang w:val="zh-CN" w:eastAsia="zh-TW"/>
        </w:rPr>
        <w:t xml:space="preserve">有下列情形之一</w:t>
      </w:r>
      <w:r>
        <w:rPr>
          <w:rFonts w:hint="eastAsia" w:ascii="宋体" w:hAnsi="宋体" w:eastAsia="宋体" w:cs="宋体"/>
          <w:sz w:val="21"/>
          <w:szCs w:val="21"/>
          <w:lang w:eastAsia="zh-TW"/>
        </w:rPr>
        <w:t xml:space="preserve">，</w:t>
      </w:r>
      <w:r>
        <w:rPr>
          <w:rFonts w:hint="eastAsia" w:ascii="宋体" w:hAnsi="宋体" w:eastAsia="宋体" w:cs="宋体"/>
          <w:sz w:val="21"/>
          <w:szCs w:val="21"/>
          <w:lang w:val="zh-CN" w:eastAsia="zh-TW"/>
        </w:rPr>
        <w:t xml:space="preserve">合同一方可以解除合同</w:t>
      </w:r>
      <w:r>
        <w:rPr>
          <w:rFonts w:hint="eastAsia" w:ascii="宋体" w:hAnsi="宋体" w:eastAsia="宋体" w:cs="宋体"/>
          <w:sz w:val="21"/>
          <w:szCs w:val="21"/>
          <w:lang w:eastAsia="zh-TW"/>
        </w:rPr>
        <w:t xml:space="preserve">：</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eastAsia="zh-TW"/>
        </w:rPr>
        <w:t xml:space="preserve">）因不可抗力致使不能实现合同目的，未受不可抗力影响的一方有权解除合同。</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eastAsia="zh-TW"/>
        </w:rPr>
        <w:t xml:space="preserve">）因合同一方违约导致合同不能履行，另一方有权解除合同。</w:t>
      </w:r>
      <w:r/>
    </w:p>
    <w:p>
      <w:pPr>
        <w:ind w:firstLine="42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3.有权解除合同的一方，应当在违约事实或不可抗力发生之后及时书面通知对方提出解除合同，合同在书面通知到达对方时解除。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十八、合同转让和分包</w:t>
      </w:r>
      <w:r/>
    </w:p>
    <w:p>
      <w:pPr>
        <w:ind w:left="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本项目不得转包、分包。</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numPr>
          <w:ilvl w:val="0"/>
          <w:numId w:val="16"/>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保密条款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二十、履约保证金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二十一、合同生效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1.双方签约人为各自法定代表人或被授权代表。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3.本合同自甲乙双方签字盖章之日起生效。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eastAsia="宋体" w:cs="宋体"/>
          <w:b/>
          <w:bCs/>
          <w:sz w:val="21"/>
          <w:szCs w:val="21"/>
        </w:rPr>
        <w:t xml:space="preserve">伍</w:t>
      </w:r>
      <w:r>
        <w:rPr>
          <w:rFonts w:hint="eastAsia" w:ascii="宋体" w:hAnsi="宋体" w:eastAsia="宋体" w:cs="宋体"/>
          <w:sz w:val="21"/>
          <w:szCs w:val="21"/>
        </w:rPr>
        <w:t xml:space="preserve">份，</w:t>
      </w:r>
      <w:r>
        <w:rPr>
          <w:rFonts w:hint="eastAsia" w:ascii="宋体" w:hAnsi="宋体" w:eastAsia="宋体" w:cs="宋体"/>
          <w:color w:val="000000" w:themeColor="text1"/>
          <w:sz w:val="21"/>
          <w:szCs w:val="21"/>
          <w14:textFill>
            <w14:solidFill>
              <w14:schemeClr w14:val="tx1"/>
            </w14:solidFill>
          </w14:textFill>
        </w:rPr>
        <w:t xml:space="preserve">甲方执</w:t>
      </w:r>
      <w:r>
        <w:rPr>
          <w:rFonts w:hint="eastAsia" w:ascii="宋体" w:hAnsi="宋体" w:eastAsia="宋体" w:cs="宋体"/>
          <w:b/>
          <w:bCs/>
          <w:color w:val="000000" w:themeColor="text1"/>
          <w:sz w:val="21"/>
          <w:szCs w:val="21"/>
          <w14:textFill>
            <w14:solidFill>
              <w14:schemeClr w14:val="tx1"/>
            </w14:solidFill>
          </w14:textFill>
        </w:rPr>
        <w:t xml:space="preserve">贰</w:t>
      </w:r>
      <w:r>
        <w:rPr>
          <w:rFonts w:hint="eastAsia" w:ascii="宋体" w:hAnsi="宋体" w:eastAsia="宋体" w:cs="宋体"/>
          <w:color w:val="000000" w:themeColor="text1"/>
          <w:sz w:val="21"/>
          <w:szCs w:val="21"/>
          <w14:textFill>
            <w14:solidFill>
              <w14:schemeClr w14:val="tx1"/>
            </w14:solidFill>
          </w14:textFill>
        </w:rPr>
        <w:t xml:space="preserve">份，乙方执</w:t>
      </w:r>
      <w:r>
        <w:rPr>
          <w:rFonts w:hint="eastAsia" w:ascii="宋体" w:hAnsi="宋体" w:eastAsia="宋体" w:cs="宋体"/>
          <w:b/>
          <w:bCs/>
          <w:color w:val="000000" w:themeColor="text1"/>
          <w:sz w:val="21"/>
          <w:szCs w:val="21"/>
          <w14:textFill>
            <w14:solidFill>
              <w14:schemeClr w14:val="tx1"/>
            </w14:solidFill>
          </w14:textFill>
        </w:rPr>
        <w:t xml:space="preserve">贰</w:t>
      </w:r>
      <w:r>
        <w:rPr>
          <w:rFonts w:hint="eastAsia" w:ascii="宋体" w:hAnsi="宋体" w:eastAsia="宋体" w:cs="宋体"/>
          <w:color w:val="000000" w:themeColor="text1"/>
          <w:sz w:val="21"/>
          <w:szCs w:val="21"/>
          <w14:textFill>
            <w14:solidFill>
              <w14:schemeClr w14:val="tx1"/>
            </w14:solidFill>
          </w14:textFill>
        </w:rPr>
        <w:t xml:space="preserve">份</w:t>
      </w:r>
      <w:r>
        <w:rPr>
          <w:rFonts w:hint="eastAsia" w:ascii="宋体" w:hAnsi="宋体" w:eastAsia="宋体" w:cs="宋体"/>
          <w:sz w:val="21"/>
          <w:szCs w:val="21"/>
        </w:rPr>
        <w:t xml:space="preserve">，代理机构</w:t>
      </w:r>
      <w:r>
        <w:rPr>
          <w:rFonts w:hint="eastAsia" w:ascii="宋体" w:hAnsi="宋体" w:eastAsia="宋体" w:cs="宋体"/>
          <w:b/>
          <w:bCs/>
          <w:sz w:val="21"/>
          <w:szCs w:val="21"/>
        </w:rPr>
        <w:t xml:space="preserve">壹</w:t>
      </w:r>
      <w:r>
        <w:rPr>
          <w:rFonts w:hint="eastAsia" w:ascii="宋体" w:hAnsi="宋体" w:eastAsia="宋体" w:cs="宋体"/>
          <w:sz w:val="21"/>
          <w:szCs w:val="21"/>
        </w:rPr>
        <w:t xml:space="preserve">份，各份具有同等法律效力。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日期：</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1"/>
        <w:jc w:val="left"/>
        <w:spacing w:before="0" w:after="0" w:line="360" w:lineRule="auto"/>
        <w:rPr>
          <w:rFonts w:hint="eastAsia" w:ascii="宋体" w:hAnsi="宋体" w:eastAsia="宋体"/>
          <w:sz w:val="48"/>
          <w:szCs w:val="48"/>
        </w:rPr>
      </w:pPr>
      <w:r>
        <w:rPr>
          <w:rFonts w:hint="eastAsia" w:ascii="宋体" w:hAnsi="宋体" w:eastAsia="宋体"/>
          <w:sz w:val="48"/>
          <w:szCs w:val="48"/>
        </w:rPr>
      </w:r>
      <w:r/>
    </w:p>
    <w:p>
      <w:pPr>
        <w:pStyle w:val="781"/>
        <w:jc w:val="left"/>
        <w:spacing w:before="0" w:after="0" w:line="360" w:lineRule="auto"/>
        <w:rPr>
          <w:rFonts w:hint="eastAsia" w:ascii="宋体" w:hAnsi="宋体" w:eastAsia="宋体"/>
          <w:sz w:val="48"/>
          <w:szCs w:val="48"/>
        </w:rPr>
      </w:pPr>
      <w:r>
        <w:rPr>
          <w:rFonts w:hint="eastAsia" w:ascii="宋体" w:hAnsi="宋体" w:eastAsia="宋体"/>
          <w:sz w:val="48"/>
          <w:szCs w:val="48"/>
        </w:rPr>
      </w:r>
      <w:r/>
    </w:p>
    <w:p>
      <w:r/>
      <w:r/>
    </w:p>
    <w:p>
      <w:pPr>
        <w:pStyle w:val="781"/>
        <w:jc w:val="center"/>
        <w:spacing w:before="0" w:after="0" w:line="360" w:lineRule="auto"/>
        <w:rPr>
          <w:sz w:val="48"/>
          <w:szCs w:val="48"/>
        </w:rPr>
      </w:pPr>
      <w:r>
        <w:rPr>
          <w:rFonts w:hint="eastAsia" w:ascii="宋体" w:hAnsi="宋体" w:eastAsia="宋体"/>
          <w:sz w:val="48"/>
          <w:szCs w:val="48"/>
        </w:rPr>
        <w:t xml:space="preserve">第六章 评分标准</w:t>
      </w:r>
      <w:r/>
    </w:p>
    <w:p>
      <w:pPr>
        <w:spacing w:line="360" w:lineRule="auto"/>
        <w:rPr>
          <w:rFonts w:hint="eastAsia" w:ascii="宋体" w:hAnsi="宋体" w:eastAsia="宋体" w:cs="宋体"/>
          <w:b/>
          <w:sz w:val="21"/>
          <w:szCs w:val="21"/>
        </w:rPr>
      </w:pPr>
      <w:r/>
      <w:bookmarkStart w:id="12" w:name="_Toc227047097"/>
      <w:r/>
      <w:bookmarkStart w:id="13" w:name="_Toc226971675"/>
      <w:r/>
      <w:bookmarkStart w:id="14" w:name="_Toc227034744"/>
      <w:r>
        <w:rPr>
          <w:rFonts w:hint="eastAsia" w:ascii="宋体" w:hAnsi="宋体" w:eastAsia="宋体" w:cs="宋体"/>
          <w:b/>
          <w:sz w:val="21"/>
          <w:szCs w:val="21"/>
        </w:rPr>
        <w:t xml:space="preserve">一、评分办法：</w:t>
      </w:r>
      <w:bookmarkEnd w:id="12"/>
      <w:r/>
      <w:bookmarkEnd w:id="13"/>
      <w:r/>
      <w:bookmarkEnd w:id="1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1.评标办法采用</w:t>
      </w:r>
      <w:r>
        <w:rPr>
          <w:rFonts w:hint="eastAsia" w:ascii="宋体" w:hAnsi="宋体" w:eastAsia="宋体" w:cs="宋体"/>
          <w:b/>
          <w:sz w:val="21"/>
          <w:szCs w:val="21"/>
        </w:rPr>
        <w:t xml:space="preserve">综合评分法</w:t>
      </w:r>
      <w:r>
        <w:rPr>
          <w:rFonts w:hint="eastAsia" w:ascii="宋体" w:hAnsi="宋体" w:eastAsia="宋体" w:cs="宋体"/>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1"/>
          <w:szCs w:val="21"/>
        </w:rPr>
        <w:t xml:space="preserve">非单一产品采购项目，多家投标人提供的核心产品品牌相同的，按照此规定处理。</w:t>
      </w:r>
      <w:r/>
    </w:p>
    <w:p>
      <w:pPr>
        <w:pStyle w:val="1309"/>
        <w:ind w:firstLine="420"/>
        <w:spacing w:line="400" w:lineRule="exact"/>
        <w:rPr>
          <w:rFonts w:ascii="Times New Roman" w:hAnsi="Times New Roman" w:eastAsia="宋体"/>
          <w:b/>
          <w:bCs/>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5</w:t>
      </w:r>
      <w:r>
        <w:rPr>
          <w:rFonts w:hint="eastAsia" w:ascii="Times New Roman" w:hAnsi="Times New Roman" w:eastAsia="宋体"/>
          <w:b/>
          <w:bCs/>
          <w:color w:val="000000" w:themeColor="text1"/>
          <w:sz w:val="21"/>
          <w:szCs w:val="21"/>
          <w14:textFill>
            <w14:solidFill>
              <w14:schemeClr w14:val="tx1"/>
            </w14:solidFill>
          </w14:textFill>
        </w:rPr>
        <w:t xml:space="preserve">、针对小微型企业的评审加分：</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（2）</w:t>
      </w:r>
      <w:r>
        <w:rPr>
          <w:rFonts w:hint="eastAsia" w:ascii="Times New Roman" w:hAnsi="Times New Roman" w:eastAsia="宋体"/>
          <w:b/>
          <w:bCs/>
          <w:color w:val="000000" w:themeColor="text1"/>
          <w:sz w:val="21"/>
          <w:szCs w:val="21"/>
          <w14:textFill>
            <w14:solidFill>
              <w14:schemeClr w14:val="tx1"/>
            </w14:solidFill>
          </w14:textFill>
        </w:rPr>
        <w:t xml:space="preserve">投标人提供小型或微型企业、残疾人企业和监狱企业制造的货物，其价格在评审时给予20%的扣除</w:t>
      </w:r>
      <w:r>
        <w:rPr>
          <w:rFonts w:hint="eastAsia" w:ascii="Times New Roman" w:hAnsi="Times New Roman" w:eastAsia="宋体"/>
          <w:color w:val="000000" w:themeColor="text1"/>
          <w:sz w:val="21"/>
          <w:szCs w:val="21"/>
          <w14:textFill>
            <w14:solidFill>
              <w14:schemeClr w14:val="tx1"/>
            </w14:solidFill>
          </w14:textFill>
        </w:rPr>
        <w:t xml:space="preserve">，用扣除后的价格参与评审。若最后中标，中标价格则以实际投标报价为准。</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（3）在本次货物采购项目中，货物由小微企业制造，即货物由小微企业生产且使用该小微企业商号或者注册商标的，可享受价格评审优惠。</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（4）投标人提供的货物既有中小企业制造货物，也有大型企业制造货物的，不享受优惠政策。</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（5）残疾人企业和监狱企业视同小微企业，享受价格评审优惠政策。</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（6）残疾人企业和监狱企业属于小型、微型企业的，不重复享受价格评审优惠政策。</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1309"/>
        <w:ind w:firstLine="420"/>
        <w:spacing w:line="400" w:lineRule="exact"/>
        <w:rPr>
          <w:rFonts w:ascii="Times New Roman" w:hAnsi="Times New Roman" w:eastAsia="宋体"/>
          <w:b/>
          <w:bCs/>
          <w:color w:val="000000" w:themeColor="text1"/>
          <w:sz w:val="21"/>
          <w:szCs w:val="21"/>
          <w14:textFill>
            <w14:solidFill>
              <w14:schemeClr w14:val="tx1"/>
            </w14:solidFill>
          </w14:textFill>
        </w:rPr>
      </w:pPr>
      <w:r>
        <w:rPr>
          <w:rFonts w:hint="eastAsia" w:ascii="Times New Roman" w:hAnsi="Times New Roman" w:eastAsia="宋体"/>
          <w:b/>
          <w:bCs/>
          <w:color w:val="000000" w:themeColor="text1"/>
          <w:sz w:val="21"/>
          <w:szCs w:val="21"/>
          <w14:textFill>
            <w14:solidFill>
              <w14:schemeClr w14:val="tx1"/>
            </w14:solidFill>
          </w14:textFill>
        </w:rPr>
        <w:t xml:space="preserve">6、采购本国产品的支持政策</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（1）本项目政府采购活动中既有本国产品又有非本国产品参与竞争的，依法对本国产品给予价格评审优惠，</w:t>
      </w:r>
      <w:r>
        <w:rPr>
          <w:rFonts w:hint="eastAsia" w:ascii="Times New Roman" w:hAnsi="Times New Roman" w:eastAsia="宋体"/>
          <w:b/>
          <w:bCs/>
          <w:color w:val="000000" w:themeColor="text1"/>
          <w:sz w:val="21"/>
          <w:szCs w:val="21"/>
          <w14:textFill>
            <w14:solidFill>
              <w14:schemeClr w14:val="tx1"/>
            </w14:solidFill>
          </w14:textFill>
        </w:rPr>
        <w:t xml:space="preserve">对本国产品的报价给予 20%的价格扣除</w:t>
      </w:r>
      <w:r>
        <w:rPr>
          <w:rFonts w:hint="eastAsia" w:ascii="Times New Roman" w:hAnsi="Times New Roman" w:eastAsia="宋体"/>
          <w:color w:val="000000" w:themeColor="text1"/>
          <w:sz w:val="21"/>
          <w:szCs w:val="21"/>
          <w14:textFill>
            <w14:solidFill>
              <w14:schemeClr w14:val="tx1"/>
            </w14:solidFill>
          </w14:textFill>
        </w:rPr>
        <w:t xml:space="preserve">，用扣除后的价格参与评审。</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b/>
          <w:bCs/>
          <w:color w:val="000000" w:themeColor="text1"/>
          <w:sz w:val="21"/>
          <w:szCs w:val="21"/>
          <w14:textFill>
            <w14:solidFill>
              <w14:schemeClr w14:val="tx1"/>
            </w14:solidFill>
          </w14:textFill>
        </w:rPr>
        <w:t xml:space="preserve">80%</w:t>
      </w:r>
      <w:r>
        <w:rPr>
          <w:rFonts w:hint="eastAsia" w:ascii="Times New Roman" w:hAnsi="Times New Roman" w:eastAsia="宋体"/>
          <w:color w:val="000000" w:themeColor="text1"/>
          <w:sz w:val="21"/>
          <w:szCs w:val="21"/>
          <w14:textFill>
            <w14:solidFill>
              <w14:schemeClr w14:val="tx1"/>
            </w14:solidFill>
          </w14:textFill>
        </w:rPr>
        <w:t xml:space="preserve">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（4）</w:t>
      </w:r>
      <w:r>
        <w:rPr>
          <w:rFonts w:hint="eastAsia" w:ascii="Times New Roman" w:hAnsi="Times New Roman" w:eastAsia="宋体"/>
          <w:b/>
          <w:bCs/>
          <w:color w:val="000000" w:themeColor="text1"/>
          <w:sz w:val="21"/>
          <w:szCs w:val="21"/>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olor w:val="000000" w:themeColor="text1"/>
          <w:sz w:val="21"/>
          <w:szCs w:val="21"/>
          <w14:textFill>
            <w14:solidFill>
              <w14:schemeClr w14:val="tx1"/>
            </w14:solidFill>
          </w14:textFill>
        </w:rPr>
        <w:t xml:space="preserve">。</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0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如投标人提供虚假材料，将按“政府采购法”相关规定处理并由政府监管部门给予严肃处理。</w:t>
      </w:r>
      <w:r/>
    </w:p>
    <w:p>
      <w:pPr>
        <w:spacing w:line="360" w:lineRule="auto"/>
        <w:rPr>
          <w:rFonts w:hint="eastAsia" w:ascii="宋体" w:hAnsi="宋体" w:eastAsia="宋体"/>
          <w:b/>
          <w:sz w:val="21"/>
          <w:szCs w:val="21"/>
        </w:rPr>
      </w:pPr>
      <w:r>
        <w:rPr>
          <w:rFonts w:ascii="宋体" w:hAnsi="宋体" w:eastAsia="宋体"/>
          <w:b/>
          <w:sz w:val="21"/>
          <w:szCs w:val="21"/>
        </w:rPr>
        <w:t xml:space="preserve">二、评分标准</w:t>
      </w:r>
      <w:r/>
    </w:p>
    <w:p>
      <w:pPr>
        <w:ind w:firstLine="420"/>
        <w:spacing w:line="360" w:lineRule="auto"/>
        <w:rPr>
          <w:rFonts w:hint="eastAsia" w:ascii="宋体" w:hAnsi="宋体" w:eastAsia="宋体" w:cs="宋体"/>
          <w:b/>
          <w:sz w:val="21"/>
          <w:szCs w:val="21"/>
        </w:rPr>
      </w:pPr>
      <w:r/>
      <w:bookmarkStart w:id="15" w:name="_Hlk209595311"/>
      <w:r>
        <w:rPr>
          <w:rFonts w:hint="eastAsia" w:ascii="宋体" w:hAnsi="宋体" w:eastAsia="宋体" w:cs="宋体"/>
          <w:b/>
          <w:sz w:val="21"/>
          <w:szCs w:val="21"/>
        </w:rPr>
        <w:t xml:space="preserve">（一）投标报价：30分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投标报价得分=（评标基准价/投标报价）*价格权值*100（本次招标价格权值为30%）</w:t>
      </w:r>
      <w:r/>
    </w:p>
    <w:p>
      <w:pPr>
        <w:pStyle w:val="98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lang w:val="en-US"/>
        </w:rPr>
        <w:t xml:space="preserve">注：</w:t>
      </w:r>
      <w:r>
        <w:rPr>
          <w:rFonts w:hint="eastAsia" w:ascii="宋体" w:hAnsi="宋体" w:eastAsia="宋体" w:cs="宋体"/>
          <w:bCs/>
          <w:sz w:val="21"/>
          <w:szCs w:val="21"/>
        </w:rPr>
        <w:t xml:space="preserve">异常低价投标审查</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9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982"/>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（4）评审委员会基于专业判断，认为供应商报价过低，有可能影响产品质量或者不能诚信履约的其他情形。 </w:t>
      </w:r>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相关法律法规对供应商报价有规定的，从其规定。</w:t>
      </w:r>
      <w:r/>
    </w:p>
    <w:p>
      <w:pPr>
        <w:pStyle w:val="98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8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8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8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15"/>
      <w:r/>
      <w:r/>
    </w:p>
    <w:p>
      <w:pPr>
        <w:pStyle w:val="982"/>
        <w:ind w:firstLine="422"/>
        <w:spacing w:line="360" w:lineRule="auto"/>
        <w:rPr>
          <w:rFonts w:hint="eastAsia" w:ascii="宋体" w:hAnsi="宋体" w:eastAsia="宋体" w:cs="宋体"/>
          <w:bCs/>
          <w:color w:val="auto"/>
          <w:sz w:val="21"/>
          <w:szCs w:val="21"/>
          <w:lang w:val="en-US"/>
        </w:rPr>
      </w:pPr>
      <w:r/>
      <w:bookmarkStart w:id="17" w:name="_GoBack"/>
      <w:r>
        <w:rPr>
          <w:rFonts w:hint="eastAsia" w:ascii="宋体" w:hAnsi="宋体" w:eastAsia="宋体" w:cs="宋体"/>
          <w:bCs/>
          <w:color w:val="auto"/>
          <w:sz w:val="21"/>
          <w:szCs w:val="21"/>
          <w:lang w:val="en-US"/>
        </w:rPr>
        <w:t xml:space="preserve">（二）投标产品技术质量（</w:t>
      </w:r>
      <w:r>
        <w:rPr>
          <w:rFonts w:hint="eastAsia" w:ascii="宋体" w:hAnsi="宋体" w:eastAsia="宋体" w:cs="宋体"/>
          <w:bCs/>
          <w:color w:val="auto"/>
          <w:sz w:val="21"/>
          <w:szCs w:val="21"/>
          <w:lang w:val="en-US" w:eastAsia="zh-CN"/>
        </w:rPr>
        <w:t xml:space="preserve">40</w:t>
      </w:r>
      <w:r>
        <w:rPr>
          <w:rFonts w:hint="eastAsia" w:ascii="宋体" w:hAnsi="宋体" w:eastAsia="宋体" w:cs="宋体"/>
          <w:bCs/>
          <w:color w:val="auto"/>
          <w:sz w:val="21"/>
          <w:szCs w:val="21"/>
          <w:lang w:val="en-US"/>
        </w:rPr>
        <w:t xml:space="preserve">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rPr>
        <w:t xml:space="preserve">投标单位所投产品的技术要求完全符合或优于招标文件的技术要求的得基准分30分；标注“</w:t>
      </w:r>
      <w:bookmarkStart w:id="16" w:name="OLE_LINK1"/>
      <w:r>
        <w:rPr>
          <w:rFonts w:hint="eastAsia" w:ascii="宋体" w:hAnsi="宋体" w:eastAsia="宋体" w:cs="宋体"/>
          <w:bCs/>
          <w:color w:val="auto"/>
          <w:sz w:val="21"/>
          <w:szCs w:val="21"/>
          <w:lang w:val="en-US"/>
        </w:rPr>
        <w:t xml:space="preserve">▲</w:t>
      </w:r>
      <w:bookmarkEnd w:id="16"/>
      <w:r>
        <w:rPr>
          <w:rFonts w:hint="eastAsia" w:ascii="宋体" w:hAnsi="宋体" w:eastAsia="宋体" w:cs="宋体"/>
          <w:bCs/>
          <w:color w:val="auto"/>
          <w:sz w:val="21"/>
          <w:szCs w:val="21"/>
          <w:lang w:val="en-US"/>
        </w:rPr>
        <w:t xml:space="preserve">”的技术参数，每一项负偏离扣1分，最高扣24分；其他技术参数每负偏离一项扣0.2分，最高扣6分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注：带“▲”的技术参数为重要参数，需提供以下任意一种证明材料：具有国家认可的第三方机构出具的检测报告复印件（报告中带有CMA标识）或产品功能界面截图；未按要求提供上述证明材料的视为负偏离。</w:t>
      </w:r>
      <w:r/>
    </w:p>
    <w:p>
      <w:pPr>
        <w:pStyle w:val="982"/>
        <w:ind w:firstLine="422"/>
        <w:spacing w:line="360" w:lineRule="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2.</w:t>
      </w:r>
      <w:r>
        <w:rPr>
          <w:rFonts w:hint="default" w:ascii="宋体" w:hAnsi="宋体" w:eastAsia="宋体" w:cs="宋体"/>
          <w:bCs/>
          <w:color w:val="auto"/>
          <w:sz w:val="21"/>
          <w:szCs w:val="21"/>
          <w:lang w:val="en-US" w:eastAsia="zh-CN"/>
        </w:rPr>
        <w:t xml:space="preserve">所投核心产品的技术要求中提供标注“★”的技术参数为重要参数，需提供投标单位出具的偏离表或彩页说明书，并加盖公章；未按要求提供上述证明材料的视为负偏离。每一项负偏离扣1分，最高7分。</w:t>
      </w:r>
      <w:r/>
    </w:p>
    <w:p>
      <w:pPr>
        <w:pStyle w:val="982"/>
        <w:ind w:firstLine="422"/>
        <w:spacing w:line="360" w:lineRule="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3</w:t>
      </w:r>
      <w:r>
        <w:rPr>
          <w:rFonts w:hint="default" w:ascii="宋体" w:hAnsi="宋体" w:eastAsia="宋体" w:cs="宋体"/>
          <w:bCs/>
          <w:color w:val="auto"/>
          <w:sz w:val="21"/>
          <w:szCs w:val="21"/>
          <w:lang w:val="en-US" w:eastAsia="zh-CN"/>
        </w:rPr>
        <w:t xml:space="preserve">、提供网络系统（核心交换机、防火墙）、录播系统（高清录播主机、录播系统）、智慧校园系统（智慧校园基础平台、智慧班牌）的厂家授权，每提供一份得1分，最高3分。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（三）技术方案(24分)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1、针对本项目的实施步骤、计划方案（6分）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针对本项目的实施方案，内容包括：1. 项目组织实施、2.安装调试方案、3.项目保障措施：</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方案完整、符合本项目实际需求的，每项得2分；每项内容里有一处内容不合理或不完整的得1分</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rPr>
        <w:t xml:space="preserve">不提供不得分。最高分6分。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2、进度安排及供货、运输、验收方案（6分）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针对本项目的进度安排及供货、运输、验收方案，内容包括：1. 进度计划、2.运输方案、3.调试验收：</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方案完整、符合本项目实际需求的，每项得2分；每项内容里有一处内容不合理或不完整的得1分</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rPr>
        <w:t xml:space="preserve">不提供不得分。最高分6分。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3、应急保障方案（6分）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针对本项目的应急保障方案，内容包括：1. 现场突发情况的应急措施、2.重大事故应对方案、3.各方沟通协调机制；</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方案完整、符合本项目实际需求的，每项得2分；每项内容里有一处内容不合理或不完整的得1分</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rPr>
        <w:t xml:space="preserve">不提供不得分。最高分6分。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4、售后服务方案（6分）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针对本项目的售后服务方案，内容包括：1.整体售后服务方案；2.用户培训计划；3.保修措施方案；</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方案完整、符合本项目实际需求的，每项得2分；每项内容里有一处内容不合理或不完整的得1分</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rPr>
        <w:t xml:space="preserve">不提供不得分。最高分6分。</w:t>
      </w:r>
      <w:r/>
    </w:p>
    <w:p>
      <w:pPr>
        <w:pStyle w:val="982"/>
        <w:ind w:firstLine="422"/>
        <w:spacing w:line="360" w:lineRule="auto"/>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rPr>
        <w:t xml:space="preserve">注：以上内容“不合理”、“不完整”是指：存在不适用项目实际情况、套用其他无关内容、内容不完整、与本项目履约无关、逻辑存在漏洞以及不满足采购文件要求的其他情况。</w:t>
      </w:r>
      <w:bookmarkEnd w:id="17"/>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（四）针对本项目的人员配置情况（4分）</w:t>
      </w:r>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（1）具有二级建造师（机电工程）证书的，每提供一个得1分，本项最高得2分。</w:t>
      </w:r>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（2）具有建筑施工特种作业操作资格证书</w:t>
      </w:r>
      <w:r>
        <w:rPr>
          <w:rFonts w:hint="eastAsia" w:ascii="宋体" w:hAnsi="宋体" w:eastAsia="宋体" w:cs="宋体"/>
          <w:bCs/>
          <w:sz w:val="21"/>
          <w:szCs w:val="21"/>
          <w:lang w:val="en-US" w:eastAsia="zh-CN"/>
        </w:rPr>
        <w:t xml:space="preserve">建筑电工</w:t>
      </w:r>
      <w:r>
        <w:rPr>
          <w:rFonts w:hint="eastAsia" w:ascii="宋体" w:hAnsi="宋体" w:eastAsia="宋体" w:cs="宋体"/>
          <w:bCs/>
          <w:sz w:val="21"/>
          <w:szCs w:val="21"/>
          <w:lang w:val="en-US"/>
        </w:rPr>
        <w:t xml:space="preserve">的，每提供一个得1分，本项最高得2分。</w:t>
      </w:r>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注：上述（1）-（2）项，投标文件中需提供相应人员的证书扫描件及投标单位为其缴纳最近一期的社保证明材料，缺失、不符或未提供的均不得分。</w:t>
      </w:r>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（五）投标单位履约能力（2分）</w:t>
      </w:r>
      <w:r/>
    </w:p>
    <w:p>
      <w:pPr>
        <w:pStyle w:val="98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1、投标单位自2022年1月1日至今（以签订日期为准）承担过类似项目业绩，每提供一个业绩的得1分，本项最高得2分。（投标文件中提供业绩合同扫描件）</w:t>
      </w:r>
      <w:r/>
    </w:p>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rPr>
          <w:rFonts w:cs="宋体"/>
          <w:b/>
          <w:bCs/>
        </w:rPr>
      </w:pPr>
      <w:r>
        <w:rPr>
          <w:rFonts w:hint="eastAsia" w:ascii="宋体" w:hAnsi="宋体" w:eastAsia="宋体" w:cs="宋体"/>
          <w:b/>
          <w:sz w:val="21"/>
          <w:szCs w:val="21"/>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sz w:val="21"/>
          <w:szCs w:val="21"/>
        </w:rPr>
      </w:pPr>
      <w:r>
        <w:rPr>
          <w:rFonts w:hint="eastAsia" w:ascii="宋体" w:hAnsi="宋体" w:eastAsia="宋体"/>
          <w:b/>
          <w:sz w:val="21"/>
          <w:szCs w:val="21"/>
        </w:rPr>
        <w:t xml:space="preserve">（全文完）</w:t>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360"/>
      <w:tabs>
        <w:tab w:val="clear" w:pos="8306" w:leader="none"/>
        <w:tab w:val="right" w:pos="8785" w:leader="none"/>
      </w:tabs>
    </w:pP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788"/>
      </w:rPr>
      <w:framePr w:wrap="around" w:vAnchor="text" w:hAnchor="margin" w:xAlign="right" w:y="1"/>
    </w:pPr>
    <w:r>
      <w:fldChar w:fldCharType="begin"/>
    </w:r>
    <w:r>
      <w:rPr>
        <w:rStyle w:val="788"/>
      </w:rPr>
      <w:instrText xml:space="preserve">PAGE  </w:instrText>
    </w:r>
    <w:r>
      <w:fldChar w:fldCharType="end"/>
    </w:r>
    <w:r/>
  </w:p>
  <w:p>
    <w:pPr>
      <w:pStyle w:val="98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360"/>
      <w:tabs>
        <w:tab w:val="clear" w:pos="8306" w:leader="none"/>
        <w:tab w:val="right" w:pos="87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80"/>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rPr>
        <w:rFonts w:hint="eastAsia" w:ascii="宋体" w:hAnsi="宋体" w:eastAsia="宋体"/>
        <w:lang w:eastAsia="zh-CN"/>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294"/>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296"/>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44"/>
      <w:isLgl w:val="false"/>
      <w:suff w:val="tab"/>
      <w:lvlText w:val="%1、"/>
      <w:lvlJc w:val="left"/>
      <w:pPr>
        <w:ind w:left="420" w:hanging="420"/>
        <w:tabs>
          <w:tab w:val="left" w:pos="420" w:leader="none"/>
        </w:tabs>
      </w:pPr>
      <w:rPr>
        <w:rFonts w:hint="eastAsia"/>
      </w:rPr>
    </w:lvl>
    <w:lvl w:ilvl="1">
      <w:start w:val="1"/>
      <w:numFmt w:val="decimal"/>
      <w:pStyle w:val="1009"/>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31"/>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2"/>
  </w:num>
  <w:num w:numId="4">
    <w:abstractNumId w:val="13"/>
  </w:num>
  <w:num w:numId="5">
    <w:abstractNumId w:val="2"/>
  </w:num>
  <w:num w:numId="6">
    <w:abstractNumId w:val="1"/>
  </w:num>
  <w:num w:numId="7">
    <w:abstractNumId w:val="9"/>
  </w:num>
  <w:num w:numId="8">
    <w:abstractNumId w:val="10"/>
  </w:num>
  <w:num w:numId="9">
    <w:abstractNumId w:val="15"/>
  </w:num>
  <w:num w:numId="10">
    <w:abstractNumId w:val="8"/>
  </w:num>
  <w:num w:numId="11">
    <w:abstractNumId w:val="0"/>
  </w:num>
  <w:num w:numId="12">
    <w:abstractNumId w:val="11"/>
  </w:num>
  <w:num w:numId="13">
    <w:abstractNumId w:val="14"/>
  </w:num>
  <w:num w:numId="14">
    <w:abstractNumId w:val="5"/>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spacing w:after="57"/>
    </w:pPr>
  </w:style>
  <w:style w:type="paragraph" w:styleId="747">
    <w:name w:val="Normal Indent"/>
    <w:basedOn w:val="734"/>
    <w:next w:val="734"/>
    <w:uiPriority w:val="0"/>
    <w:qFormat/>
    <w:pPr>
      <w:ind w:firstLine="420"/>
      <w:jc w:val="left"/>
    </w:pPr>
    <w:rPr>
      <w:sz w:val="24"/>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Document Map"/>
    <w:basedOn w:val="734"/>
    <w:link w:val="1221"/>
    <w:uiPriority w:val="0"/>
    <w:unhideWhenUsed/>
    <w:qFormat/>
    <w:rPr>
      <w:rFonts w:ascii="宋体" w:eastAsia="宋体"/>
      <w:sz w:val="18"/>
      <w:szCs w:val="18"/>
    </w:rPr>
  </w:style>
  <w:style w:type="paragraph" w:styleId="750">
    <w:name w:val="annotation text"/>
    <w:basedOn w:val="734"/>
    <w:link w:val="1218"/>
    <w:uiPriority w:val="0"/>
    <w:semiHidden/>
    <w:qFormat/>
    <w:pPr>
      <w:jc w:val="left"/>
    </w:pPr>
  </w:style>
  <w:style w:type="paragraph" w:styleId="751">
    <w:name w:val="Body Text"/>
    <w:basedOn w:val="734"/>
    <w:next w:val="734"/>
    <w:link w:val="1211"/>
    <w:uiPriority w:val="99"/>
    <w:unhideWhenUsed/>
    <w:qFormat/>
    <w:pPr>
      <w:spacing w:after="120"/>
    </w:pPr>
  </w:style>
  <w:style w:type="paragraph" w:styleId="752">
    <w:name w:val="Body Text Indent"/>
    <w:basedOn w:val="734"/>
    <w:next w:val="734"/>
    <w:link w:val="1273"/>
    <w:uiPriority w:val="0"/>
    <w:qFormat/>
    <w:pPr>
      <w:ind w:left="570"/>
      <w:spacing w:line="520" w:lineRule="exact"/>
    </w:pPr>
    <w:rPr>
      <w:rFonts w:ascii="方正仿宋简体" w:hAnsi="创艺简仿宋" w:eastAsia="方正仿宋简体"/>
      <w:sz w:val="24"/>
    </w:rPr>
  </w:style>
  <w:style w:type="paragraph" w:styleId="753">
    <w:name w:val="Block Text"/>
    <w:basedOn w:val="734"/>
    <w:uiPriority w:val="99"/>
    <w:qFormat/>
    <w:pPr>
      <w:ind w:left="630" w:right="-609" w:firstLine="420"/>
      <w:spacing w:line="360" w:lineRule="auto"/>
    </w:pPr>
    <w:rPr>
      <w:rFonts w:hint="eastAsia" w:ascii="仿宋_GB2312" w:hAnsi="Calibri" w:eastAsia="仿宋_GB2312"/>
      <w:sz w:val="21"/>
    </w:rPr>
  </w:style>
  <w:style w:type="paragraph" w:styleId="754">
    <w:name w:val="toc 5"/>
    <w:basedOn w:val="734"/>
    <w:next w:val="734"/>
    <w:uiPriority w:val="39"/>
    <w:unhideWhenUsed/>
    <w:qFormat/>
    <w:pPr>
      <w:ind w:left="1134"/>
      <w:spacing w:after="57"/>
    </w:pPr>
  </w:style>
  <w:style w:type="paragraph" w:styleId="755">
    <w:name w:val="toc 3"/>
    <w:basedOn w:val="734"/>
    <w:next w:val="734"/>
    <w:uiPriority w:val="39"/>
    <w:qFormat/>
    <w:pPr>
      <w:ind w:left="840"/>
    </w:pPr>
  </w:style>
  <w:style w:type="paragraph" w:styleId="756">
    <w:name w:val="Plain Text"/>
    <w:basedOn w:val="734"/>
    <w:link w:val="1205"/>
    <w:uiPriority w:val="99"/>
    <w:qFormat/>
    <w:rPr>
      <w:rFonts w:ascii="宋体" w:hAnsi="Courier New"/>
    </w:rPr>
  </w:style>
  <w:style w:type="paragraph" w:styleId="757">
    <w:name w:val="toc 8"/>
    <w:basedOn w:val="734"/>
    <w:next w:val="734"/>
    <w:uiPriority w:val="39"/>
    <w:unhideWhenUsed/>
    <w:qFormat/>
    <w:pPr>
      <w:ind w:left="1984"/>
      <w:spacing w:after="57"/>
    </w:pPr>
  </w:style>
  <w:style w:type="paragraph" w:styleId="758">
    <w:name w:val="Date"/>
    <w:basedOn w:val="735"/>
    <w:next w:val="734"/>
    <w:link w:val="1238"/>
    <w:uiPriority w:val="0"/>
    <w:qFormat/>
    <w:rPr>
      <w:rFonts w:ascii="宋体" w:hAnsi="宋体"/>
      <w:sz w:val="24"/>
    </w:rPr>
  </w:style>
  <w:style w:type="paragraph" w:styleId="759">
    <w:name w:val="Body Text Indent 2"/>
    <w:basedOn w:val="734"/>
    <w:link w:val="1247"/>
    <w:uiPriority w:val="0"/>
    <w:qFormat/>
    <w:pPr>
      <w:ind w:firstLine="502"/>
      <w:spacing w:line="360" w:lineRule="auto"/>
      <w:tabs>
        <w:tab w:val="left" w:pos="0" w:leader="none"/>
      </w:tabs>
    </w:pPr>
    <w:rPr>
      <w:rFonts w:ascii="宋体" w:eastAsia="宋体"/>
      <w:b/>
      <w:bCs/>
      <w:sz w:val="24"/>
    </w:rPr>
  </w:style>
  <w:style w:type="paragraph" w:styleId="760">
    <w:name w:val="endnote text"/>
    <w:basedOn w:val="734"/>
    <w:link w:val="969"/>
    <w:uiPriority w:val="99"/>
    <w:semiHidden/>
    <w:unhideWhenUsed/>
    <w:qFormat/>
    <w:rPr>
      <w:sz w:val="20"/>
    </w:rPr>
  </w:style>
  <w:style w:type="paragraph" w:styleId="761">
    <w:name w:val="Balloon Text"/>
    <w:basedOn w:val="734"/>
    <w:link w:val="1244"/>
    <w:uiPriority w:val="0"/>
    <w:qFormat/>
    <w:rPr>
      <w:sz w:val="18"/>
      <w:szCs w:val="18"/>
    </w:rPr>
  </w:style>
  <w:style w:type="paragraph" w:styleId="762">
    <w:name w:val="Footer"/>
    <w:basedOn w:val="734"/>
    <w:next w:val="763"/>
    <w:link w:val="1301"/>
    <w:uiPriority w:val="0"/>
    <w:unhideWhenUsed/>
    <w:qFormat/>
    <w:pPr>
      <w:jc w:val="left"/>
      <w:tabs>
        <w:tab w:val="center" w:pos="4153" w:leader="none"/>
        <w:tab w:val="right" w:pos="8306" w:leader="none"/>
      </w:tabs>
    </w:pPr>
    <w:rPr>
      <w:sz w:val="18"/>
      <w:szCs w:val="18"/>
    </w:rPr>
  </w:style>
  <w:style w:type="paragraph" w:styleId="763" w:customStyle="1">
    <w:name w:val="Char Char Char Char Char Char Char Char Char Char Char Char Char"/>
    <w:basedOn w:val="764"/>
    <w:next w:val="734"/>
    <w:uiPriority w:val="0"/>
    <w:qFormat/>
    <w:pPr>
      <w:ind w:left="0" w:firstLine="3584"/>
      <w:spacing w:before="0" w:after="160" w:line="240" w:lineRule="exact"/>
    </w:pPr>
  </w:style>
  <w:style w:type="paragraph" w:styleId="764" w:customStyle="1">
    <w:name w:val="标题 11"/>
    <w:basedOn w:val="734"/>
    <w:next w:val="734"/>
    <w:uiPriority w:val="0"/>
    <w:qFormat/>
    <w:pPr>
      <w:ind w:left="432" w:firstLine="18"/>
      <w:spacing w:before="340" w:after="330" w:line="578" w:lineRule="auto"/>
      <w:outlineLvl w:val="0"/>
    </w:pPr>
  </w:style>
  <w:style w:type="paragraph" w:styleId="765">
    <w:name w:val="envelope return"/>
    <w:basedOn w:val="734"/>
    <w:uiPriority w:val="0"/>
    <w:qFormat/>
    <w:rPr>
      <w:rFonts w:ascii="Arial" w:hAnsi="Arial" w:eastAsia="宋体"/>
    </w:rPr>
  </w:style>
  <w:style w:type="paragraph" w:styleId="766">
    <w:name w:val="Header"/>
    <w:basedOn w:val="735"/>
    <w:next w:val="758"/>
    <w:link w:val="130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4"/>
    <w:next w:val="734"/>
    <w:uiPriority w:val="0"/>
    <w:qFormat/>
    <w:pPr>
      <w:jc w:val="left"/>
    </w:pPr>
    <w:rPr>
      <w:sz w:val="24"/>
    </w:rPr>
  </w:style>
  <w:style w:type="paragraph" w:styleId="768">
    <w:name w:val="toc 4"/>
    <w:basedOn w:val="734"/>
    <w:next w:val="734"/>
    <w:uiPriority w:val="39"/>
    <w:unhideWhenUsed/>
    <w:qFormat/>
    <w:pPr>
      <w:ind w:left="850"/>
      <w:spacing w:after="57"/>
    </w:pPr>
  </w:style>
  <w:style w:type="paragraph" w:styleId="769">
    <w:name w:val="Subtitle"/>
    <w:basedOn w:val="734"/>
    <w:next w:val="734"/>
    <w:link w:val="855"/>
    <w:uiPriority w:val="11"/>
    <w:qFormat/>
    <w:pPr>
      <w:spacing w:before="200" w:after="200"/>
    </w:pPr>
    <w:rPr>
      <w:sz w:val="24"/>
      <w:szCs w:val="24"/>
    </w:rPr>
  </w:style>
  <w:style w:type="paragraph" w:styleId="770">
    <w:name w:val="footnote text"/>
    <w:basedOn w:val="734"/>
    <w:link w:val="1271"/>
    <w:uiPriority w:val="0"/>
    <w:semiHidden/>
    <w:qFormat/>
    <w:pPr>
      <w:jc w:val="left"/>
    </w:pPr>
    <w:rPr>
      <w:sz w:val="18"/>
    </w:rPr>
  </w:style>
  <w:style w:type="paragraph" w:styleId="771">
    <w:name w:val="toc 6"/>
    <w:basedOn w:val="734"/>
    <w:next w:val="734"/>
    <w:uiPriority w:val="39"/>
    <w:unhideWhenUsed/>
    <w:qFormat/>
    <w:pPr>
      <w:ind w:left="1417"/>
      <w:spacing w:after="57"/>
    </w:pPr>
  </w:style>
  <w:style w:type="paragraph" w:styleId="772">
    <w:name w:val="Body Text Indent 3"/>
    <w:basedOn w:val="734"/>
    <w:link w:val="1202"/>
    <w:uiPriority w:val="0"/>
    <w:qFormat/>
    <w:pPr>
      <w:ind w:firstLine="617"/>
      <w:spacing w:line="360" w:lineRule="auto"/>
    </w:pPr>
    <w:rPr>
      <w:rFonts w:eastAsia="宋体"/>
      <w:sz w:val="24"/>
      <w:szCs w:val="24"/>
    </w:rPr>
  </w:style>
  <w:style w:type="paragraph" w:styleId="773">
    <w:name w:val="table of figures"/>
    <w:basedOn w:val="734"/>
    <w:next w:val="734"/>
    <w:uiPriority w:val="99"/>
    <w:unhideWhenUsed/>
    <w:qFormat/>
  </w:style>
  <w:style w:type="paragraph" w:styleId="774">
    <w:name w:val="toc 2"/>
    <w:basedOn w:val="734"/>
    <w:next w:val="734"/>
    <w:uiPriority w:val="39"/>
    <w:qFormat/>
    <w:pPr>
      <w:ind w:left="420"/>
    </w:pPr>
  </w:style>
  <w:style w:type="paragraph" w:styleId="775">
    <w:name w:val="toc 9"/>
    <w:basedOn w:val="734"/>
    <w:next w:val="734"/>
    <w:uiPriority w:val="0"/>
    <w:semiHidden/>
    <w:qFormat/>
    <w:pPr>
      <w:ind w:left="3360"/>
    </w:pPr>
  </w:style>
  <w:style w:type="paragraph" w:styleId="776">
    <w:name w:val="Body Text 2"/>
    <w:basedOn w:val="734"/>
    <w:link w:val="1289"/>
    <w:uiPriority w:val="0"/>
    <w:qFormat/>
    <w:pPr>
      <w:jc w:val="left"/>
      <w:spacing w:after="120" w:line="480" w:lineRule="auto"/>
      <w:widowControl/>
    </w:pPr>
    <w:rPr>
      <w:rFonts w:eastAsia="宋体"/>
      <w:sz w:val="24"/>
      <w:szCs w:val="24"/>
    </w:rPr>
  </w:style>
  <w:style w:type="paragraph" w:styleId="777">
    <w:name w:val="HTML Preformatted"/>
    <w:basedOn w:val="734"/>
    <w:link w:val="12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78">
    <w:name w:val="Normal (Web)"/>
    <w:basedOn w:val="734"/>
    <w:uiPriority w:val="99"/>
    <w:qFormat/>
    <w:pPr>
      <w:jc w:val="left"/>
      <w:spacing w:before="100" w:beforeAutospacing="1" w:after="100" w:afterAutospacing="1"/>
      <w:widowControl/>
    </w:pPr>
    <w:rPr>
      <w:rFonts w:ascii="宋体" w:hAnsi="宋体" w:eastAsia="宋体"/>
      <w:color w:val="000000"/>
      <w:sz w:val="24"/>
      <w:szCs w:val="24"/>
    </w:rPr>
  </w:style>
  <w:style w:type="paragraph" w:styleId="779">
    <w:name w:val="index 1"/>
    <w:basedOn w:val="734"/>
    <w:next w:val="734"/>
    <w:uiPriority w:val="0"/>
    <w:unhideWhenUsed/>
    <w:qFormat/>
  </w:style>
  <w:style w:type="paragraph" w:styleId="780">
    <w:name w:val="Title"/>
    <w:basedOn w:val="781"/>
    <w:link w:val="1272"/>
    <w:uiPriority w:val="0"/>
    <w:qFormat/>
    <w:pPr>
      <w:jc w:val="center"/>
      <w:spacing w:before="240" w:after="60" w:line="576" w:lineRule="auto"/>
    </w:pPr>
    <w:rPr>
      <w:rFonts w:ascii="Arial" w:hAnsi="Arial" w:eastAsia="宋体"/>
      <w:sz w:val="36"/>
      <w:szCs w:val="32"/>
    </w:rPr>
  </w:style>
  <w:style w:type="paragraph" w:styleId="781" w:customStyle="1">
    <w:name w:val="标题 111"/>
    <w:basedOn w:val="734"/>
    <w:next w:val="734"/>
    <w:link w:val="1233"/>
    <w:uiPriority w:val="9"/>
    <w:qFormat/>
    <w:pPr>
      <w:keepLines/>
      <w:keepNext/>
      <w:spacing w:before="340" w:after="330" w:line="578" w:lineRule="auto"/>
      <w:outlineLvl w:val="0"/>
    </w:pPr>
    <w:rPr>
      <w:b/>
      <w:sz w:val="44"/>
    </w:rPr>
  </w:style>
  <w:style w:type="paragraph" w:styleId="782">
    <w:name w:val="annotation subject"/>
    <w:basedOn w:val="750"/>
    <w:next w:val="750"/>
    <w:link w:val="1278"/>
    <w:uiPriority w:val="0"/>
    <w:qFormat/>
    <w:rPr>
      <w:b/>
      <w:bCs/>
    </w:rPr>
  </w:style>
  <w:style w:type="paragraph" w:styleId="783">
    <w:name w:val="Body Text First Indent"/>
    <w:basedOn w:val="751"/>
    <w:link w:val="1277"/>
    <w:uiPriority w:val="99"/>
    <w:unhideWhenUsed/>
    <w:qFormat/>
    <w:pPr>
      <w:ind w:firstLine="420"/>
      <w:jc w:val="left"/>
    </w:pPr>
    <w:rPr>
      <w:rFonts w:ascii="Calibri" w:hAnsi="Calibri" w:eastAsia="宋体"/>
      <w:sz w:val="28"/>
    </w:rPr>
  </w:style>
  <w:style w:type="paragraph" w:styleId="784">
    <w:name w:val="Body Text First Indent 2"/>
    <w:basedOn w:val="752"/>
    <w:uiPriority w:val="99"/>
    <w:unhideWhenUsed/>
    <w:qFormat/>
    <w:pPr>
      <w:ind w:firstLine="420"/>
    </w:pPr>
  </w:style>
  <w:style w:type="table" w:styleId="785">
    <w:name w:val="Table Grid"/>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uiPriority w:val="0"/>
    <w:qFormat/>
    <w:rPr>
      <w:rFonts w:cs="Times New Roman"/>
      <w:b/>
      <w:bCs/>
    </w:rPr>
  </w:style>
  <w:style w:type="character" w:styleId="787">
    <w:name w:val="endnote reference"/>
    <w:basedOn w:val="744"/>
    <w:uiPriority w:val="99"/>
    <w:semiHidden/>
    <w:unhideWhenUsed/>
    <w:qFormat/>
    <w:rPr>
      <w:vertAlign w:val="superscript"/>
    </w:rPr>
  </w:style>
  <w:style w:type="character" w:styleId="788">
    <w:name w:val="page number"/>
    <w:basedOn w:val="744"/>
    <w:uiPriority w:val="0"/>
    <w:qFormat/>
  </w:style>
  <w:style w:type="character" w:styleId="789">
    <w:name w:val="FollowedHyperlink"/>
    <w:basedOn w:val="744"/>
    <w:uiPriority w:val="99"/>
    <w:qFormat/>
    <w:rPr>
      <w:color w:val="800080"/>
      <w:u w:val="none"/>
    </w:rPr>
  </w:style>
  <w:style w:type="character" w:styleId="790">
    <w:name w:val="Emphasis"/>
    <w:uiPriority w:val="20"/>
    <w:qFormat/>
    <w:rPr>
      <w:i/>
      <w:iCs/>
    </w:rPr>
  </w:style>
  <w:style w:type="character" w:styleId="791">
    <w:name w:val="HTML Typewriter"/>
    <w:uiPriority w:val="0"/>
    <w:qFormat/>
    <w:rPr>
      <w:rFonts w:ascii="黑体" w:hAnsi="Courier New" w:eastAsia="黑体" w:cs="Courier New"/>
      <w:sz w:val="14"/>
      <w:szCs w:val="14"/>
    </w:rPr>
  </w:style>
  <w:style w:type="character" w:styleId="792">
    <w:name w:val="Hyperlink"/>
    <w:basedOn w:val="744"/>
    <w:uiPriority w:val="99"/>
    <w:qFormat/>
    <w:rPr>
      <w:color w:val="000000"/>
      <w:u w:val="none"/>
    </w:rPr>
  </w:style>
  <w:style w:type="character" w:styleId="793">
    <w:name w:val="annotation reference"/>
    <w:uiPriority w:val="0"/>
    <w:semiHidden/>
    <w:qFormat/>
    <w:rPr>
      <w:sz w:val="21"/>
      <w:szCs w:val="21"/>
    </w:rPr>
  </w:style>
  <w:style w:type="character" w:styleId="794">
    <w:name w:val="footnote reference"/>
    <w:basedOn w:val="744"/>
    <w:uiPriority w:val="0"/>
    <w:semiHidden/>
    <w:qFormat/>
    <w:rPr>
      <w:vertAlign w:val="superscript"/>
    </w:rPr>
  </w:style>
  <w:style w:type="table" w:styleId="795" w:customStyle="1">
    <w:name w:val="Plain Table 1"/>
    <w:basedOn w:val="74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4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4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4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4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4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4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4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4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4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4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Heading"/>
    <w:uiPriority w:val="39"/>
    <w:unhideWhenUsed/>
    <w:rPr>
      <w:rFonts w:hint="default" w:ascii="Times New Roman" w:hAnsi="Times New Roman" w:eastAsia="宋体" w:cs="Times New Roman"/>
    </w:rPr>
  </w:style>
  <w:style w:type="table" w:styleId="815"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标题1"/>
    <w:uiPriority w:val="39"/>
    <w:unhideWhenUsed/>
    <w:qFormat/>
    <w:rPr>
      <w:rFonts w:hint="default" w:ascii="Times New Roman" w:hAnsi="Times New Roman" w:eastAsia="宋体" w:cs="Times New Roman"/>
      <w:lang w:val="en-US" w:eastAsia="zh-CN" w:bidi="ar-SA"/>
    </w:rPr>
  </w:style>
  <w:style w:type="paragraph" w:styleId="835" w:customStyle="1">
    <w:name w:val="TOC 标题112"/>
    <w:uiPriority w:val="39"/>
    <w:unhideWhenUsed/>
    <w:qFormat/>
    <w:rPr>
      <w:rFonts w:hint="default" w:ascii="Times New Roman" w:hAnsi="Times New Roman" w:eastAsia="宋体" w:cs="Times New Roman"/>
      <w:lang w:val="en-US" w:eastAsia="zh-CN" w:bidi="ar-SA"/>
    </w:rPr>
  </w:style>
  <w:style w:type="paragraph" w:styleId="836" w:customStyle="1">
    <w:name w:val="一级条标题"/>
    <w:basedOn w:val="837"/>
    <w:next w:val="838"/>
    <w:uiPriority w:val="0"/>
    <w:unhideWhenUsed/>
    <w:qFormat/>
    <w:pPr>
      <w:ind w:left="420"/>
      <w:spacing w:line="240" w:lineRule="auto"/>
      <w:outlineLvl w:val="2"/>
    </w:pPr>
  </w:style>
  <w:style w:type="paragraph" w:styleId="837" w:customStyle="1">
    <w:name w:val="章标题"/>
    <w:next w:val="734"/>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838" w:customStyle="1">
    <w:name w:val="段"/>
    <w:next w:val="73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39" w:customStyle="1">
    <w:name w:val="Subtitle Char"/>
    <w:basedOn w:val="744"/>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Calibri" w:hAnsi="Calibri" w:eastAsia="宋体" w:cs="Times New Roman"/>
      <w:lang w:val="en-US" w:eastAsia="zh-CN" w:bidi="ar-SA"/>
    </w:rPr>
  </w:style>
  <w:style w:type="character" w:styleId="844" w:customStyle="1">
    <w:name w:val="Heading 1 Char"/>
    <w:basedOn w:val="744"/>
    <w:uiPriority w:val="9"/>
    <w:qFormat/>
    <w:rPr>
      <w:rFonts w:ascii="Arial" w:hAnsi="Arial" w:eastAsia="Arial" w:cs="Arial"/>
      <w:sz w:val="40"/>
      <w:szCs w:val="40"/>
    </w:rPr>
  </w:style>
  <w:style w:type="character" w:styleId="845" w:customStyle="1">
    <w:name w:val="Heading 2 Char"/>
    <w:basedOn w:val="744"/>
    <w:uiPriority w:val="9"/>
    <w:qFormat/>
    <w:rPr>
      <w:rFonts w:ascii="Arial" w:hAnsi="Arial" w:eastAsia="Arial" w:cs="Arial"/>
      <w:sz w:val="34"/>
    </w:rPr>
  </w:style>
  <w:style w:type="character" w:styleId="846" w:customStyle="1">
    <w:name w:val="Heading 3 Char"/>
    <w:basedOn w:val="744"/>
    <w:uiPriority w:val="9"/>
    <w:qFormat/>
    <w:rPr>
      <w:rFonts w:ascii="Arial" w:hAnsi="Arial" w:eastAsia="Arial" w:cs="Arial"/>
      <w:sz w:val="30"/>
      <w:szCs w:val="30"/>
    </w:rPr>
  </w:style>
  <w:style w:type="character" w:styleId="847" w:customStyle="1">
    <w:name w:val="Heading 4 Char"/>
    <w:basedOn w:val="744"/>
    <w:uiPriority w:val="9"/>
    <w:qFormat/>
    <w:rPr>
      <w:rFonts w:ascii="Arial" w:hAnsi="Arial" w:eastAsia="Arial" w:cs="Arial"/>
      <w:b/>
      <w:bCs/>
      <w:sz w:val="26"/>
      <w:szCs w:val="26"/>
    </w:rPr>
  </w:style>
  <w:style w:type="character" w:styleId="848" w:customStyle="1">
    <w:name w:val="Heading 5 Char"/>
    <w:basedOn w:val="744"/>
    <w:uiPriority w:val="9"/>
    <w:qFormat/>
    <w:rPr>
      <w:rFonts w:ascii="Arial" w:hAnsi="Arial" w:eastAsia="Arial" w:cs="Arial"/>
      <w:b/>
      <w:bCs/>
      <w:sz w:val="24"/>
      <w:szCs w:val="24"/>
    </w:rPr>
  </w:style>
  <w:style w:type="character" w:styleId="849" w:customStyle="1">
    <w:name w:val="Heading 6 Char"/>
    <w:basedOn w:val="744"/>
    <w:uiPriority w:val="9"/>
    <w:qFormat/>
    <w:rPr>
      <w:rFonts w:ascii="Arial" w:hAnsi="Arial" w:eastAsia="Arial" w:cs="Arial"/>
      <w:b/>
      <w:bCs/>
      <w:sz w:val="22"/>
      <w:szCs w:val="22"/>
    </w:rPr>
  </w:style>
  <w:style w:type="character" w:styleId="850" w:customStyle="1">
    <w:name w:val="Heading 7 Char"/>
    <w:basedOn w:val="744"/>
    <w:uiPriority w:val="9"/>
    <w:qFormat/>
    <w:rPr>
      <w:rFonts w:ascii="Arial" w:hAnsi="Arial" w:eastAsia="Arial" w:cs="Arial"/>
      <w:b/>
      <w:bCs/>
      <w:i/>
      <w:iCs/>
      <w:sz w:val="22"/>
      <w:szCs w:val="22"/>
    </w:rPr>
  </w:style>
  <w:style w:type="character" w:styleId="851" w:customStyle="1">
    <w:name w:val="Heading 8 Char"/>
    <w:basedOn w:val="744"/>
    <w:uiPriority w:val="9"/>
    <w:qFormat/>
    <w:rPr>
      <w:rFonts w:ascii="Arial" w:hAnsi="Arial" w:eastAsia="Arial" w:cs="Arial"/>
      <w:i/>
      <w:iCs/>
      <w:sz w:val="22"/>
      <w:szCs w:val="22"/>
    </w:rPr>
  </w:style>
  <w:style w:type="character" w:styleId="852" w:customStyle="1">
    <w:name w:val="Heading 9 Char"/>
    <w:basedOn w:val="744"/>
    <w:uiPriority w:val="9"/>
    <w:qFormat/>
    <w:rPr>
      <w:rFonts w:ascii="Arial" w:hAnsi="Arial" w:eastAsia="Arial" w:cs="Arial"/>
      <w:i/>
      <w:iCs/>
      <w:sz w:val="21"/>
      <w:szCs w:val="21"/>
    </w:rPr>
  </w:style>
  <w:style w:type="paragraph" w:styleId="853">
    <w:name w:val="No Spacing"/>
    <w:uiPriority w:val="1"/>
    <w:qFormat/>
    <w:rPr>
      <w:rFonts w:hint="default" w:ascii="Calibri" w:hAnsi="Calibri" w:eastAsia="宋体" w:cs="Times New Roman"/>
      <w:lang w:val="en-US" w:eastAsia="zh-CN" w:bidi="ar-SA"/>
    </w:rPr>
  </w:style>
  <w:style w:type="character" w:styleId="854" w:customStyle="1">
    <w:name w:val="Title Char"/>
    <w:basedOn w:val="744"/>
    <w:uiPriority w:val="10"/>
    <w:qFormat/>
    <w:rPr>
      <w:sz w:val="48"/>
      <w:szCs w:val="48"/>
    </w:rPr>
  </w:style>
  <w:style w:type="character" w:styleId="855" w:customStyle="1">
    <w:name w:val="副标题 字符"/>
    <w:basedOn w:val="744"/>
    <w:link w:val="769"/>
    <w:uiPriority w:val="11"/>
    <w:qFormat/>
    <w:rPr>
      <w:sz w:val="24"/>
      <w:szCs w:val="24"/>
    </w:rPr>
  </w:style>
  <w:style w:type="paragraph" w:styleId="856">
    <w:name w:val="Quote"/>
    <w:basedOn w:val="734"/>
    <w:next w:val="734"/>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34"/>
    <w:next w:val="734"/>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paragraph" w:styleId="860" w:customStyle="1">
    <w:name w:val="题注1"/>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61" w:customStyle="1">
    <w:name w:val="Caption Char"/>
    <w:uiPriority w:val="99"/>
    <w:qFormat/>
  </w:style>
  <w:style w:type="table" w:styleId="862"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3" w:customStyle="1">
    <w:name w:val="Grid Table 1 Light - Accent 1"/>
    <w:basedOn w:val="7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basedOn w:val="7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basedOn w:val="7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basedOn w:val="7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basedOn w:val="7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basedOn w:val="7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basedOn w:val="7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basedOn w:val="7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basedOn w:val="7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basedOn w:val="7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basedOn w:val="7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basedOn w:val="7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4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4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4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4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4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basedOn w:val="7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basedOn w:val="7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basedOn w:val="7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basedOn w:val="7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basedOn w:val="7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basedOn w:val="7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basedOn w:val="7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basedOn w:val="7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basedOn w:val="7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basedOn w:val="7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basedOn w:val="7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basedOn w:val="7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basedOn w:val="7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basedOn w:val="7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basedOn w:val="7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basedOn w:val="74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basedOn w:val="74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basedOn w:val="74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basedOn w:val="7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basedOn w:val="7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basedOn w:val="7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basedOn w:val="74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uiPriority w:val="99"/>
    <w:qFormat/>
    <w:rPr>
      <w:sz w:val="18"/>
    </w:rPr>
  </w:style>
  <w:style w:type="character" w:styleId="969" w:customStyle="1">
    <w:name w:val="尾注文本 字符"/>
    <w:link w:val="760"/>
    <w:uiPriority w:val="99"/>
    <w:qFormat/>
    <w:rPr>
      <w:sz w:val="20"/>
    </w:rPr>
  </w:style>
  <w:style w:type="paragraph" w:styleId="970" w:customStyle="1">
    <w:name w:val="TOC 标题11"/>
    <w:uiPriority w:val="39"/>
    <w:unhideWhenUsed/>
    <w:qFormat/>
    <w:rPr>
      <w:rFonts w:hint="default" w:ascii="Calibri" w:hAnsi="Calibri" w:eastAsia="宋体" w:cs="Times New Roman"/>
      <w:lang w:val="en-US" w:eastAsia="zh-CN" w:bidi="ar-SA"/>
    </w:rPr>
  </w:style>
  <w:style w:type="paragraph" w:styleId="971" w:customStyle="1">
    <w:name w:val="标题 21"/>
    <w:basedOn w:val="734"/>
    <w:next w:val="734"/>
    <w:link w:val="1246"/>
    <w:uiPriority w:val="9"/>
    <w:qFormat/>
    <w:pPr>
      <w:jc w:val="left"/>
      <w:keepLines/>
      <w:keepNext/>
      <w:outlineLvl w:val="1"/>
    </w:pPr>
    <w:rPr>
      <w:rFonts w:ascii="宋体" w:hAnsi="宋体"/>
      <w:b/>
    </w:rPr>
  </w:style>
  <w:style w:type="paragraph" w:styleId="972" w:customStyle="1">
    <w:name w:val="标题 31"/>
    <w:basedOn w:val="734"/>
    <w:next w:val="734"/>
    <w:link w:val="1248"/>
    <w:uiPriority w:val="0"/>
    <w:qFormat/>
    <w:pPr>
      <w:jc w:val="left"/>
      <w:keepLines/>
      <w:keepNext/>
      <w:outlineLvl w:val="2"/>
    </w:pPr>
    <w:rPr>
      <w:b/>
    </w:rPr>
  </w:style>
  <w:style w:type="paragraph" w:styleId="973" w:customStyle="1">
    <w:name w:val="标题 41"/>
    <w:basedOn w:val="734"/>
    <w:next w:val="734"/>
    <w:link w:val="1229"/>
    <w:uiPriority w:val="9"/>
    <w:qFormat/>
    <w:pPr>
      <w:keepLines/>
      <w:keepNext/>
      <w:spacing w:before="280" w:after="290" w:line="376" w:lineRule="auto"/>
      <w:outlineLvl w:val="3"/>
    </w:pPr>
    <w:rPr>
      <w:rFonts w:ascii="Arial" w:hAnsi="Arial" w:eastAsia="黑体"/>
      <w:b/>
      <w:bCs/>
      <w:sz w:val="28"/>
      <w:szCs w:val="28"/>
    </w:rPr>
  </w:style>
  <w:style w:type="paragraph" w:styleId="974" w:customStyle="1">
    <w:name w:val="标题 51"/>
    <w:basedOn w:val="734"/>
    <w:next w:val="734"/>
    <w:link w:val="1235"/>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975" w:customStyle="1">
    <w:name w:val="标题 61"/>
    <w:basedOn w:val="734"/>
    <w:next w:val="976"/>
    <w:link w:val="1237"/>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976" w:customStyle="1">
    <w:name w:val="Normal Indent1"/>
    <w:basedOn w:val="734"/>
    <w:link w:val="1194"/>
    <w:uiPriority w:val="0"/>
    <w:qFormat/>
    <w:pPr>
      <w:ind w:firstLine="420"/>
      <w:jc w:val="left"/>
    </w:pPr>
    <w:rPr>
      <w:sz w:val="24"/>
    </w:rPr>
  </w:style>
  <w:style w:type="paragraph" w:styleId="977" w:customStyle="1">
    <w:name w:val="标题 71"/>
    <w:basedOn w:val="734"/>
    <w:next w:val="976"/>
    <w:link w:val="1274"/>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978" w:customStyle="1">
    <w:name w:val="标题 81"/>
    <w:basedOn w:val="734"/>
    <w:next w:val="976"/>
    <w:link w:val="119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79" w:customStyle="1">
    <w:name w:val="标题 91"/>
    <w:basedOn w:val="734"/>
    <w:next w:val="976"/>
    <w:link w:val="1276"/>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980" w:customStyle="1">
    <w:name w:val="页脚1"/>
    <w:basedOn w:val="734"/>
    <w:link w:val="1268"/>
    <w:uiPriority w:val="99"/>
    <w:unhideWhenUsed/>
    <w:qFormat/>
    <w:pPr>
      <w:jc w:val="left"/>
      <w:tabs>
        <w:tab w:val="center" w:pos="4153" w:leader="none"/>
        <w:tab w:val="right" w:pos="8306" w:leader="none"/>
      </w:tabs>
    </w:pPr>
    <w:rPr>
      <w:rFonts w:eastAsia="宋体"/>
      <w:sz w:val="18"/>
      <w:szCs w:val="18"/>
    </w:rPr>
  </w:style>
  <w:style w:type="paragraph" w:styleId="981" w:customStyle="1">
    <w:name w:val="页眉1"/>
    <w:basedOn w:val="734"/>
    <w:link w:val="1234"/>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82" w:customStyle="1">
    <w:name w:val="首行缩进"/>
    <w:basedOn w:val="734"/>
    <w:uiPriority w:val="0"/>
    <w:qFormat/>
    <w:pPr>
      <w:ind w:firstLine="480"/>
    </w:pPr>
    <w:rPr>
      <w:lang w:val="zh-CN"/>
    </w:rPr>
  </w:style>
  <w:style w:type="paragraph" w:styleId="983" w:customStyle="1">
    <w:name w:val="正文1"/>
    <w:basedOn w:val="734"/>
    <w:next w:val="734"/>
    <w:uiPriority w:val="0"/>
    <w:qFormat/>
    <w:pPr>
      <w:ind w:left="420" w:firstLine="527"/>
      <w:spacing w:before="120" w:line="360" w:lineRule="auto"/>
    </w:pPr>
    <w:rPr>
      <w:rFonts w:ascii="宋体" w:hAnsi="宋体"/>
    </w:rPr>
  </w:style>
  <w:style w:type="paragraph" w:styleId="984" w:customStyle="1">
    <w:name w:val="a文档正文"/>
    <w:basedOn w:val="734"/>
    <w:link w:val="1231"/>
    <w:uiPriority w:val="0"/>
    <w:qFormat/>
    <w:pPr>
      <w:ind w:firstLine="480"/>
      <w:spacing w:line="360" w:lineRule="auto"/>
    </w:pPr>
    <w:rPr>
      <w:rFonts w:ascii="Tahoma" w:hAnsi="Tahoma" w:eastAsia="仿宋_GB2312"/>
      <w:sz w:val="28"/>
    </w:rPr>
  </w:style>
  <w:style w:type="paragraph" w:styleId="985" w:customStyle="1">
    <w:name w:val="纯文本1"/>
    <w:basedOn w:val="734"/>
    <w:next w:val="986"/>
    <w:uiPriority w:val="0"/>
    <w:qFormat/>
    <w:rPr>
      <w:rFonts w:ascii="宋体" w:hAnsi="Courier New"/>
    </w:rPr>
  </w:style>
  <w:style w:type="paragraph" w:styleId="986" w:customStyle="1">
    <w:name w:val="xl76"/>
    <w:basedOn w:val="734"/>
    <w:next w:val="987"/>
    <w:uiPriority w:val="0"/>
    <w:qFormat/>
    <w:pPr>
      <w:spacing w:before="280" w:after="280"/>
      <w:widowControl/>
    </w:pPr>
    <w:rPr>
      <w:rFonts w:ascii="宋体"/>
      <w:sz w:val="20"/>
    </w:rPr>
  </w:style>
  <w:style w:type="paragraph" w:styleId="987" w:customStyle="1">
    <w:name w:val="目录 41"/>
    <w:next w:val="734"/>
    <w:uiPriority w:val="0"/>
    <w:qFormat/>
    <w:pPr>
      <w:ind w:left="850"/>
      <w:jc w:val="both"/>
    </w:pPr>
    <w:rPr>
      <w:rFonts w:hint="default" w:ascii="Times New Roman" w:hAnsi="Times New Roman" w:eastAsia="宋体" w:cs="Times New Roman"/>
      <w:sz w:val="21"/>
      <w:lang w:val="en-US" w:eastAsia="zh-CN" w:bidi="ar-SA"/>
    </w:rPr>
  </w:style>
  <w:style w:type="paragraph" w:styleId="988" w:customStyle="1">
    <w:name w:val="纯文本2"/>
    <w:basedOn w:val="734"/>
    <w:link w:val="1264"/>
    <w:uiPriority w:val="0"/>
    <w:qFormat/>
    <w:rPr>
      <w:rFonts w:ascii="宋体" w:hAnsi="Courier New"/>
    </w:rPr>
  </w:style>
  <w:style w:type="paragraph" w:styleId="989" w:customStyle="1">
    <w:name w:val="xl8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0" w:customStyle="1">
    <w:name w:val="xl8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1" w:customStyle="1">
    <w:name w:val="xl14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2" w:customStyle="1">
    <w:name w:val="招标正文"/>
    <w:basedOn w:val="734"/>
    <w:link w:val="1256"/>
    <w:uiPriority w:val="0"/>
    <w:qFormat/>
    <w:pPr>
      <w:ind w:firstLine="480"/>
      <w:spacing w:line="360" w:lineRule="auto"/>
    </w:pPr>
    <w:rPr>
      <w:rFonts w:ascii="宋体" w:eastAsia="宋体"/>
      <w:sz w:val="24"/>
      <w:szCs w:val="24"/>
    </w:rPr>
  </w:style>
  <w:style w:type="paragraph" w:styleId="993" w:customStyle="1">
    <w:name w:val="xl16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4" w:customStyle="1">
    <w:name w:val="Plain Text1"/>
    <w:basedOn w:val="734"/>
    <w:uiPriority w:val="99"/>
    <w:qFormat/>
    <w:rPr>
      <w:rFonts w:ascii="宋体" w:hAnsi="Courier New"/>
    </w:rPr>
  </w:style>
  <w:style w:type="paragraph" w:styleId="995" w:customStyle="1">
    <w:name w:val="xl66"/>
    <w:basedOn w:val="734"/>
    <w:uiPriority w:val="0"/>
    <w:qFormat/>
    <w:pPr>
      <w:jc w:val="center"/>
      <w:spacing w:before="100" w:beforeAutospacing="1" w:after="100" w:afterAutospacing="1"/>
      <w:widowControl/>
    </w:pPr>
    <w:rPr>
      <w:rFonts w:ascii="宋体" w:hAnsi="宋体" w:eastAsia="宋体" w:cs="宋体"/>
      <w:sz w:val="24"/>
      <w:szCs w:val="24"/>
    </w:rPr>
  </w:style>
  <w:style w:type="paragraph" w:styleId="996" w:customStyle="1">
    <w:name w:val="xl8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7" w:customStyle="1">
    <w:name w:val="文字"/>
    <w:basedOn w:val="734"/>
    <w:uiPriority w:val="0"/>
    <w:qFormat/>
    <w:pPr>
      <w:ind w:right="-210" w:firstLine="556"/>
      <w:spacing w:line="312" w:lineRule="auto"/>
      <w:tabs>
        <w:tab w:val="left" w:pos="8520" w:leader="none"/>
      </w:tabs>
    </w:pPr>
    <w:rPr>
      <w:rFonts w:ascii="楷体_GB2312"/>
      <w:sz w:val="28"/>
    </w:rPr>
  </w:style>
  <w:style w:type="paragraph" w:styleId="998" w:customStyle="1">
    <w:name w:val="xl12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9" w:customStyle="1">
    <w:name w:val="WPS Plain"/>
    <w:uiPriority w:val="0"/>
    <w:qFormat/>
    <w:rPr>
      <w:rFonts w:hint="default" w:ascii="Times New Roman" w:hAnsi="Times New Roman" w:eastAsia="宋体" w:cs="Times New Roman"/>
      <w:lang w:val="en-US" w:eastAsia="zh-CN" w:bidi="ar-SA"/>
    </w:rPr>
  </w:style>
  <w:style w:type="paragraph" w:styleId="1000" w:customStyle="1">
    <w:name w:val="xl54"/>
    <w:basedOn w:val="734"/>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01" w:customStyle="1">
    <w:name w:val="Char1"/>
    <w:basedOn w:val="734"/>
    <w:uiPriority w:val="0"/>
    <w:qFormat/>
    <w:rPr>
      <w:rFonts w:ascii="仿宋_GB2312" w:eastAsia="仿宋_GB2312"/>
      <w:b/>
      <w:sz w:val="32"/>
      <w:szCs w:val="32"/>
    </w:rPr>
  </w:style>
  <w:style w:type="paragraph" w:styleId="1002" w:customStyle="1">
    <w:name w:val="xl8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3" w:customStyle="1">
    <w:name w:val="xl90"/>
    <w:basedOn w:val="73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xl15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5" w:customStyle="1">
    <w:name w:val="Char1 Char Char Char Char Char Char Char Char Char Char Char"/>
    <w:basedOn w:val="734"/>
    <w:uiPriority w:val="0"/>
    <w:qFormat/>
    <w:pPr>
      <w:ind w:left="432" w:hanging="432"/>
      <w:pageBreakBefore/>
      <w:tabs>
        <w:tab w:val="left" w:pos="432" w:leader="none"/>
      </w:tabs>
    </w:pPr>
    <w:rPr>
      <w:rFonts w:ascii="Tahoma" w:hAnsi="Tahoma" w:eastAsia="宋体"/>
      <w:sz w:val="24"/>
    </w:rPr>
  </w:style>
  <w:style w:type="paragraph" w:styleId="1006" w:customStyle="1">
    <w:name w:val="xl16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7" w:customStyle="1">
    <w:name w:val="xl7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8" w:customStyle="1">
    <w:name w:val="编号1"/>
    <w:basedOn w:val="734"/>
    <w:uiPriority w:val="0"/>
    <w:qFormat/>
    <w:pPr>
      <w:ind w:left="432" w:right="210" w:hanging="432"/>
      <w:tabs>
        <w:tab w:val="left" w:pos="360" w:leader="none"/>
      </w:tabs>
    </w:pPr>
    <w:rPr>
      <w:rFonts w:ascii="宋体" w:hAnsi="宋体" w:eastAsia="宋体"/>
      <w:spacing w:val="10"/>
      <w:sz w:val="21"/>
      <w:szCs w:val="24"/>
    </w:rPr>
  </w:style>
  <w:style w:type="paragraph" w:styleId="1009" w:customStyle="1">
    <w:name w:val="分标题"/>
    <w:basedOn w:val="734"/>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1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11" w:customStyle="1">
    <w:name w:val="xl106"/>
    <w:basedOn w:val="73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12" w:customStyle="1">
    <w:name w:val="xl15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customStyle="1">
    <w:name w:val="xl72"/>
    <w:basedOn w:val="734"/>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14" w:customStyle="1">
    <w:name w:val="xl17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5" w:customStyle="1">
    <w:name w:val="xl198"/>
    <w:basedOn w:val="734"/>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16" w:customStyle="1">
    <w:name w:val="xl14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7" w:customStyle="1">
    <w:name w:val="xl11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8" w:customStyle="1">
    <w:name w:val="xl13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9" w:customStyle="1">
    <w:name w:val="Char Char Char"/>
    <w:basedOn w:val="734"/>
    <w:uiPriority w:val="0"/>
    <w:qFormat/>
    <w:pPr>
      <w:ind w:left="780" w:hanging="420"/>
      <w:tabs>
        <w:tab w:val="left" w:pos="1545" w:leader="none"/>
      </w:tabs>
    </w:pPr>
    <w:rPr>
      <w:rFonts w:eastAsia="宋体"/>
      <w:sz w:val="21"/>
      <w:szCs w:val="24"/>
    </w:rPr>
  </w:style>
  <w:style w:type="paragraph" w:styleId="1020" w:customStyle="1">
    <w:name w:val="Char"/>
    <w:basedOn w:val="734"/>
    <w:uiPriority w:val="0"/>
    <w:qFormat/>
    <w:pPr>
      <w:jc w:val="left"/>
      <w:spacing w:after="160" w:line="240" w:lineRule="exact"/>
      <w:widowControl/>
    </w:pPr>
    <w:rPr>
      <w:rFonts w:ascii="Verdana" w:hAnsi="Verdana" w:eastAsia="仿宋_GB2312"/>
      <w:sz w:val="24"/>
      <w:lang w:eastAsia="en-US"/>
    </w:rPr>
  </w:style>
  <w:style w:type="paragraph" w:styleId="1021" w:customStyle="1">
    <w:name w:val="xl16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2" w:customStyle="1">
    <w:name w:val="xl93"/>
    <w:basedOn w:val="734"/>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23" w:customStyle="1">
    <w:name w:val="样式1"/>
    <w:basedOn w:val="734"/>
    <w:uiPriority w:val="0"/>
    <w:qFormat/>
    <w:pPr>
      <w:tabs>
        <w:tab w:val="left" w:pos="709" w:leader="none"/>
      </w:tabs>
    </w:pPr>
    <w:rPr>
      <w:rFonts w:ascii="宋体" w:hAnsi="宋体" w:eastAsia="宋体"/>
      <w:sz w:val="21"/>
      <w:szCs w:val="24"/>
    </w:rPr>
  </w:style>
  <w:style w:type="paragraph" w:styleId="1024" w:customStyle="1">
    <w:name w:val="xl18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5" w:customStyle="1">
    <w:name w:val="xl14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6" w:customStyle="1">
    <w:name w:val="xl10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27" w:customStyle="1">
    <w:name w:val="xl12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8" w:customStyle="1">
    <w:name w:val="CM42"/>
    <w:basedOn w:val="734"/>
    <w:next w:val="734"/>
    <w:uiPriority w:val="99"/>
    <w:qFormat/>
    <w:pPr>
      <w:jc w:val="left"/>
      <w:spacing w:line="616" w:lineRule="atLeast"/>
    </w:pPr>
    <w:rPr>
      <w:rFonts w:ascii="宋体" w:hAnsi="Calibri" w:eastAsia="宋体"/>
      <w:sz w:val="24"/>
      <w:szCs w:val="24"/>
    </w:rPr>
  </w:style>
  <w:style w:type="paragraph" w:styleId="1029" w:customStyle="1">
    <w:name w:val="xl12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0" w:customStyle="1">
    <w:name w:val="xl15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1" w:customStyle="1">
    <w:name w:val="xl13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32" w:customStyle="1">
    <w:name w:val="xl2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33" w:customStyle="1">
    <w:name w:val="xl12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4" w:customStyle="1">
    <w:name w:val="font6"/>
    <w:basedOn w:val="734"/>
    <w:uiPriority w:val="0"/>
    <w:qFormat/>
    <w:pPr>
      <w:jc w:val="left"/>
      <w:spacing w:before="100" w:beforeAutospacing="1" w:after="100" w:afterAutospacing="1"/>
      <w:widowControl/>
    </w:pPr>
    <w:rPr>
      <w:rFonts w:ascii="宋体" w:hAnsi="宋体" w:eastAsia="宋体" w:cs="宋体"/>
      <w:sz w:val="18"/>
      <w:szCs w:val="18"/>
    </w:rPr>
  </w:style>
  <w:style w:type="paragraph" w:styleId="1035" w:customStyle="1">
    <w:name w:val="xl12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6" w:customStyle="1">
    <w:name w:val="xl196"/>
    <w:basedOn w:val="734"/>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37" w:customStyle="1">
    <w:name w:val="xl18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8" w:customStyle="1">
    <w:name w:val="xl19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9"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40" w:customStyle="1">
    <w:name w:val="xl172"/>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1" w:customStyle="1">
    <w:name w:val="xl17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2" w:customStyle="1">
    <w:name w:val="xl13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44" w:customStyle="1">
    <w:name w:val="节标题"/>
    <w:basedOn w:val="734"/>
    <w:uiPriority w:val="0"/>
    <w:qFormat/>
    <w:pPr>
      <w:numPr>
        <w:ilvl w:val="0"/>
        <w:numId w:val="1"/>
      </w:numPr>
      <w:spacing w:before="120" w:after="120" w:line="360" w:lineRule="exact"/>
      <w:outlineLvl w:val="1"/>
    </w:pPr>
    <w:rPr>
      <w:rFonts w:eastAsia="宋体"/>
      <w:b/>
      <w:bCs/>
      <w:sz w:val="28"/>
    </w:rPr>
  </w:style>
  <w:style w:type="paragraph" w:styleId="1045" w:customStyle="1">
    <w:name w:val="xl8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6" w:customStyle="1">
    <w:name w:val="xl77"/>
    <w:basedOn w:val="73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47" w:customStyle="1">
    <w:name w:val="xl132"/>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8" w:customStyle="1">
    <w:name w:val="xl74"/>
    <w:basedOn w:val="734"/>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9" w:customStyle="1">
    <w:name w:val="xl135"/>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0" w:customStyle="1">
    <w:name w:val="列出段落1"/>
    <w:basedOn w:val="734"/>
    <w:link w:val="1258"/>
    <w:uiPriority w:val="99"/>
    <w:qFormat/>
    <w:pPr>
      <w:contextualSpacing/>
      <w:ind w:left="720"/>
      <w:jc w:val="left"/>
      <w:widowControl/>
    </w:pPr>
    <w:rPr>
      <w:rFonts w:ascii="Arial" w:hAnsi="Arial" w:eastAsia="黑体"/>
      <w:sz w:val="24"/>
      <w:szCs w:val="24"/>
      <w:lang w:eastAsia="en-US"/>
    </w:rPr>
  </w:style>
  <w:style w:type="paragraph" w:styleId="1051" w:customStyle="1">
    <w:name w:val="五级文本"/>
    <w:basedOn w:val="734"/>
    <w:uiPriority w:val="0"/>
    <w:qFormat/>
    <w:pPr>
      <w:ind w:firstLine="100"/>
      <w:spacing w:line="400" w:lineRule="exact"/>
    </w:pPr>
    <w:rPr>
      <w:rFonts w:ascii="宋体" w:hAnsi="宋体" w:eastAsia="宋体"/>
      <w:sz w:val="24"/>
      <w:szCs w:val="24"/>
    </w:rPr>
  </w:style>
  <w:style w:type="paragraph" w:styleId="1052" w:customStyle="1">
    <w:name w:val="xl175"/>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3" w:customStyle="1">
    <w:name w:val="xl19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4" w:customStyle="1">
    <w:name w:val="font9"/>
    <w:basedOn w:val="734"/>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55" w:customStyle="1">
    <w:name w:val="xl73"/>
    <w:basedOn w:val="734"/>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6" w:customStyle="1">
    <w:name w:val="默认段落字体 Para Char Char Char Char Char Char Char"/>
    <w:basedOn w:val="734"/>
    <w:uiPriority w:val="0"/>
    <w:qFormat/>
    <w:pPr>
      <w:spacing w:line="360" w:lineRule="auto"/>
    </w:pPr>
    <w:rPr>
      <w:rFonts w:ascii="Tahoma" w:hAnsi="Tahoma" w:eastAsia="宋体"/>
      <w:sz w:val="24"/>
    </w:rPr>
  </w:style>
  <w:style w:type="paragraph" w:styleId="1057" w:customStyle="1">
    <w:name w:val="xl11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8" w:customStyle="1">
    <w:name w:val="xl18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9" w:customStyle="1">
    <w:name w:val="纯文本21"/>
    <w:basedOn w:val="734"/>
    <w:uiPriority w:val="0"/>
    <w:qFormat/>
    <w:rPr>
      <w:rFonts w:hint="eastAsia" w:ascii="宋体" w:hAnsi="Courier New"/>
      <w:sz w:val="28"/>
    </w:rPr>
  </w:style>
  <w:style w:type="paragraph" w:styleId="1060" w:customStyle="1">
    <w:name w:val="xl125"/>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1" w:customStyle="1">
    <w:name w:val="索引 11"/>
    <w:basedOn w:val="734"/>
    <w:next w:val="734"/>
    <w:uiPriority w:val="0"/>
    <w:qFormat/>
  </w:style>
  <w:style w:type="paragraph" w:styleId="1062" w:customStyle="1">
    <w:name w:val="xl17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表格标题"/>
    <w:basedOn w:val="1065"/>
    <w:next w:val="1065"/>
    <w:uiPriority w:val="0"/>
    <w:qFormat/>
    <w:rPr>
      <w:rFonts w:eastAsia="黑体"/>
      <w:bCs/>
      <w:sz w:val="24"/>
    </w:rPr>
  </w:style>
  <w:style w:type="paragraph" w:styleId="1065" w:customStyle="1">
    <w:name w:val="表格内容"/>
    <w:basedOn w:val="734"/>
    <w:uiPriority w:val="0"/>
    <w:qFormat/>
    <w:pPr>
      <w:jc w:val="center"/>
      <w:spacing w:line="360" w:lineRule="auto"/>
    </w:pPr>
    <w:rPr>
      <w:rFonts w:eastAsia="宋体" w:cs="宋体"/>
      <w:sz w:val="18"/>
    </w:rPr>
  </w:style>
  <w:style w:type="paragraph" w:styleId="1066" w:customStyle="1">
    <w:name w:val="纯文本3"/>
    <w:basedOn w:val="734"/>
    <w:uiPriority w:val="0"/>
    <w:qFormat/>
    <w:rPr>
      <w:rFonts w:ascii="宋体" w:hAnsi="Courier New"/>
    </w:rPr>
  </w:style>
  <w:style w:type="paragraph" w:styleId="1067" w:customStyle="1">
    <w:name w:val="xl16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8" w:customStyle="1">
    <w:name w:val="引用1"/>
    <w:basedOn w:val="734"/>
    <w:next w:val="734"/>
    <w:link w:val="1227"/>
    <w:uiPriority w:val="0"/>
    <w:qFormat/>
    <w:rPr>
      <w:rFonts w:eastAsia="仿宋_GB2312"/>
      <w:iCs/>
      <w:color w:val="000000"/>
      <w:sz w:val="28"/>
      <w:szCs w:val="24"/>
    </w:rPr>
  </w:style>
  <w:style w:type="paragraph" w:styleId="1069" w:customStyle="1">
    <w:name w:val="xl17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0" w:customStyle="1">
    <w:name w:val="方案正文"/>
    <w:basedOn w:val="734"/>
    <w:link w:val="1208"/>
    <w:uiPriority w:val="0"/>
    <w:qFormat/>
    <w:pPr>
      <w:spacing w:line="360" w:lineRule="auto"/>
    </w:pPr>
    <w:rPr>
      <w:rFonts w:eastAsia="宋体"/>
      <w:sz w:val="24"/>
    </w:rPr>
  </w:style>
  <w:style w:type="paragraph" w:styleId="1071" w:customStyle="1">
    <w:name w:val="Char Char Char Char Char Char Char Char Char1 Char"/>
    <w:basedOn w:val="1072"/>
    <w:uiPriority w:val="0"/>
    <w:qFormat/>
    <w:pPr>
      <w:spacing w:line="360" w:lineRule="auto"/>
    </w:pPr>
  </w:style>
  <w:style w:type="paragraph" w:styleId="1072" w:customStyle="1">
    <w:name w:val="文档结构图1"/>
    <w:basedOn w:val="734"/>
    <w:uiPriority w:val="0"/>
    <w:qFormat/>
    <w:pPr>
      <w:shd w:val="clear" w:color="auto" w:fill="000080"/>
    </w:pPr>
    <w:rPr>
      <w:rFonts w:eastAsia="宋体"/>
      <w:sz w:val="21"/>
      <w:szCs w:val="24"/>
    </w:rPr>
  </w:style>
  <w:style w:type="paragraph" w:styleId="1073" w:customStyle="1">
    <w:name w:val="正文文本 31"/>
    <w:basedOn w:val="734"/>
    <w:uiPriority w:val="0"/>
    <w:qFormat/>
    <w:rPr>
      <w:rFonts w:eastAsia="宋体"/>
      <w:sz w:val="24"/>
      <w:szCs w:val="24"/>
    </w:rPr>
  </w:style>
  <w:style w:type="paragraph" w:styleId="1074" w:customStyle="1">
    <w:name w:val="xl11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75" w:customStyle="1">
    <w:name w:val="xl13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6"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77" w:customStyle="1">
    <w:name w:val="xl19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8" w:customStyle="1">
    <w:name w:val="xl8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9" w:customStyle="1">
    <w:name w:val="日期1"/>
    <w:basedOn w:val="734"/>
    <w:next w:val="734"/>
    <w:uiPriority w:val="0"/>
    <w:qFormat/>
    <w:rPr>
      <w:rFonts w:ascii="宋体" w:hAnsi="宋体"/>
      <w:sz w:val="24"/>
    </w:rPr>
  </w:style>
  <w:style w:type="paragraph" w:styleId="1080" w:customStyle="1">
    <w:name w:val="xl11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1" w:customStyle="1">
    <w:name w:val="Char Char Char Char Char Char Char"/>
    <w:basedOn w:val="734"/>
    <w:link w:val="1204"/>
    <w:uiPriority w:val="0"/>
    <w:qFormat/>
    <w:pPr>
      <w:ind w:firstLine="480"/>
      <w:spacing w:line="360" w:lineRule="auto"/>
    </w:pPr>
    <w:rPr>
      <w:rFonts w:ascii="Tahoma" w:hAnsi="Tahoma" w:eastAsia="宋体"/>
      <w:sz w:val="24"/>
    </w:rPr>
  </w:style>
  <w:style w:type="paragraph" w:styleId="1082" w:customStyle="1">
    <w:name w:val="List Paragraph1"/>
    <w:basedOn w:val="734"/>
    <w:uiPriority w:val="0"/>
    <w:qFormat/>
    <w:pPr>
      <w:ind w:firstLine="420"/>
    </w:pPr>
    <w:rPr>
      <w:rFonts w:ascii="Calibri" w:hAnsi="Calibri" w:eastAsia="宋体"/>
      <w:sz w:val="21"/>
      <w:szCs w:val="22"/>
    </w:rPr>
  </w:style>
  <w:style w:type="paragraph" w:styleId="1083" w:customStyle="1">
    <w:name w:val="正文文本 21"/>
    <w:basedOn w:val="734"/>
    <w:uiPriority w:val="0"/>
    <w:qFormat/>
    <w:pPr>
      <w:spacing w:after="120" w:line="480" w:lineRule="auto"/>
    </w:pPr>
    <w:rPr>
      <w:rFonts w:eastAsia="宋体"/>
      <w:sz w:val="21"/>
      <w:szCs w:val="24"/>
    </w:rPr>
  </w:style>
  <w:style w:type="paragraph" w:styleId="1084" w:customStyle="1">
    <w:name w:val="xl91"/>
    <w:basedOn w:val="73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5" w:customStyle="1">
    <w:name w:val="Char Char Char Char Char Char Char Char Char1 Char1"/>
    <w:basedOn w:val="749"/>
    <w:uiPriority w:val="0"/>
    <w:qFormat/>
    <w:pPr>
      <w:spacing w:line="360" w:lineRule="auto"/>
      <w:shd w:val="clear" w:color="auto" w:fill="000080"/>
    </w:pPr>
    <w:rPr>
      <w:rFonts w:ascii="Tahoma" w:hAnsi="Tahoma"/>
      <w:sz w:val="24"/>
      <w:szCs w:val="24"/>
    </w:rPr>
  </w:style>
  <w:style w:type="paragraph" w:styleId="1086" w:customStyle="1">
    <w:name w:val="p0"/>
    <w:basedOn w:val="734"/>
    <w:uiPriority w:val="0"/>
    <w:qFormat/>
    <w:pPr>
      <w:widowControl/>
    </w:pPr>
    <w:rPr>
      <w:rFonts w:eastAsia="宋体"/>
      <w:szCs w:val="26"/>
    </w:rPr>
  </w:style>
  <w:style w:type="paragraph" w:styleId="1087" w:customStyle="1">
    <w:name w:val="font7"/>
    <w:basedOn w:val="734"/>
    <w:uiPriority w:val="0"/>
    <w:qFormat/>
    <w:pPr>
      <w:jc w:val="left"/>
      <w:spacing w:before="100" w:beforeAutospacing="1" w:after="100" w:afterAutospacing="1"/>
      <w:widowControl/>
    </w:pPr>
    <w:rPr>
      <w:rFonts w:ascii="宋体" w:hAnsi="宋体" w:eastAsia="宋体" w:cs="宋体"/>
      <w:sz w:val="18"/>
      <w:szCs w:val="18"/>
    </w:rPr>
  </w:style>
  <w:style w:type="paragraph" w:styleId="1088" w:customStyle="1">
    <w:name w:val="xl8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89" w:customStyle="1">
    <w:name w:val="???¡ì????¡ì????¡§???¡ì?¡ì???¡ì?o??????¡§???¡ì?¡ì?"/>
    <w:basedOn w:val="734"/>
    <w:uiPriority w:val="0"/>
    <w:qFormat/>
    <w:pPr>
      <w:jc w:val="left"/>
      <w:spacing w:line="360" w:lineRule="auto"/>
      <w:widowControl/>
    </w:pPr>
    <w:rPr>
      <w:rFonts w:eastAsia="宋体"/>
      <w:sz w:val="21"/>
    </w:rPr>
  </w:style>
  <w:style w:type="paragraph" w:styleId="1090" w:customStyle="1">
    <w:name w:val="正文文本缩进 21"/>
    <w:basedOn w:val="734"/>
    <w:uiPriority w:val="0"/>
    <w:qFormat/>
    <w:pPr>
      <w:ind w:firstLine="502"/>
      <w:spacing w:line="360" w:lineRule="auto"/>
    </w:pPr>
    <w:rPr>
      <w:rFonts w:ascii="宋体" w:eastAsia="宋体"/>
      <w:sz w:val="24"/>
    </w:rPr>
  </w:style>
  <w:style w:type="paragraph" w:styleId="1091" w:customStyle="1">
    <w:name w:val="xl19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092" w:customStyle="1">
    <w:name w:val="xl15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3" w:customStyle="1">
    <w:name w:val="xl17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xl8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5" w:customStyle="1">
    <w:name w:val="xl10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6" w:customStyle="1">
    <w:name w:val="xl11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7" w:customStyle="1">
    <w:name w:val="xl185"/>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8" w:customStyle="1">
    <w:name w:val="表头"/>
    <w:basedOn w:val="734"/>
    <w:link w:val="1232"/>
    <w:uiPriority w:val="0"/>
    <w:qFormat/>
    <w:pPr>
      <w:jc w:val="center"/>
      <w:spacing w:line="320" w:lineRule="atLeast"/>
    </w:pPr>
    <w:rPr>
      <w:rFonts w:eastAsia="黑体"/>
      <w:spacing w:val="-10"/>
      <w:sz w:val="20"/>
    </w:rPr>
  </w:style>
  <w:style w:type="paragraph" w:styleId="1099" w:customStyle="1">
    <w:name w:val="xl17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0" w:customStyle="1">
    <w:name w:val="xl18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xl87"/>
    <w:basedOn w:val="73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02" w:customStyle="1">
    <w:name w:val="xl14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3" w:customStyle="1">
    <w:name w:val="+正文"/>
    <w:basedOn w:val="734"/>
    <w:link w:val="1250"/>
    <w:uiPriority w:val="0"/>
    <w:qFormat/>
    <w:pPr>
      <w:ind w:firstLine="200"/>
      <w:spacing w:line="360" w:lineRule="auto"/>
    </w:pPr>
    <w:rPr>
      <w:rFonts w:eastAsia="宋体"/>
      <w:sz w:val="24"/>
    </w:rPr>
  </w:style>
  <w:style w:type="paragraph" w:styleId="1104" w:customStyle="1">
    <w:name w:val="xl15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5" w:customStyle="1">
    <w:name w:val="正文文本缩进1"/>
    <w:basedOn w:val="734"/>
    <w:uiPriority w:val="0"/>
    <w:qFormat/>
    <w:pPr>
      <w:ind w:left="570"/>
      <w:spacing w:line="520" w:lineRule="exact"/>
    </w:pPr>
    <w:rPr>
      <w:rFonts w:ascii="方正仿宋简体" w:hAnsi="创艺简仿宋" w:eastAsia="方正仿宋简体"/>
      <w:sz w:val="24"/>
    </w:rPr>
  </w:style>
  <w:style w:type="paragraph" w:styleId="1106" w:customStyle="1">
    <w:name w:val="宋体&amp;Time5#"/>
    <w:basedOn w:val="734"/>
    <w:link w:val="1224"/>
    <w:uiPriority w:val="0"/>
    <w:qFormat/>
    <w:pPr>
      <w:jc w:val="center"/>
    </w:pPr>
    <w:rPr>
      <w:rFonts w:eastAsia="Times New Roman"/>
      <w:sz w:val="20"/>
      <w:szCs w:val="21"/>
    </w:rPr>
  </w:style>
  <w:style w:type="paragraph" w:styleId="1107" w:customStyle="1">
    <w:name w:val="xl18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8" w:customStyle="1">
    <w:name w:val="CM7"/>
    <w:basedOn w:val="734"/>
    <w:next w:val="734"/>
    <w:uiPriority w:val="99"/>
    <w:qFormat/>
    <w:pPr>
      <w:jc w:val="left"/>
      <w:spacing w:line="620" w:lineRule="atLeast"/>
    </w:pPr>
    <w:rPr>
      <w:rFonts w:ascii="宋体" w:hAnsi="Calibri" w:eastAsia="宋体"/>
      <w:sz w:val="24"/>
      <w:szCs w:val="24"/>
    </w:rPr>
  </w:style>
  <w:style w:type="paragraph" w:styleId="1109" w:customStyle="1">
    <w:name w:val="纯文本12"/>
    <w:basedOn w:val="734"/>
    <w:uiPriority w:val="0"/>
    <w:qFormat/>
    <w:rPr>
      <w:rFonts w:ascii="宋体" w:hAnsi="宋体" w:cs="宋体"/>
    </w:rPr>
  </w:style>
  <w:style w:type="paragraph" w:styleId="1110" w:customStyle="1">
    <w:name w:val="_Style 2"/>
    <w:basedOn w:val="1072"/>
    <w:uiPriority w:val="0"/>
    <w:qFormat/>
    <w:pPr>
      <w:spacing w:line="360" w:lineRule="auto"/>
    </w:pPr>
  </w:style>
  <w:style w:type="paragraph" w:styleId="1111" w:customStyle="1">
    <w:name w:val="xl13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xl64"/>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13" w:customStyle="1">
    <w:name w:val="xl11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xl75"/>
    <w:basedOn w:val="734"/>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5" w:customStyle="1">
    <w:name w:val="并列样式"/>
    <w:basedOn w:val="734"/>
    <w:next w:val="734"/>
    <w:uiPriority w:val="0"/>
    <w:qFormat/>
    <w:pPr>
      <w:ind w:left="839" w:hanging="419"/>
      <w:spacing w:before="120" w:after="120" w:line="360" w:lineRule="exact"/>
      <w:tabs>
        <w:tab w:val="left" w:pos="839" w:leader="none"/>
      </w:tabs>
    </w:pPr>
    <w:rPr>
      <w:rFonts w:eastAsia="宋体"/>
      <w:sz w:val="24"/>
    </w:rPr>
  </w:style>
  <w:style w:type="paragraph" w:styleId="1116" w:customStyle="1">
    <w:name w:val="xl17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7" w:customStyle="1">
    <w:name w:val="xl16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8" w:customStyle="1">
    <w:name w:val="my正文"/>
    <w:basedOn w:val="734"/>
    <w:link w:val="1267"/>
    <w:uiPriority w:val="0"/>
    <w:qFormat/>
    <w:pPr>
      <w:ind w:firstLine="480"/>
      <w:spacing w:line="360" w:lineRule="auto"/>
    </w:pPr>
    <w:rPr>
      <w:rFonts w:eastAsia="宋体"/>
      <w:sz w:val="24"/>
      <w:szCs w:val="24"/>
    </w:rPr>
  </w:style>
  <w:style w:type="paragraph" w:styleId="1119" w:customStyle="1">
    <w:name w:val="xl68"/>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20" w:customStyle="1">
    <w:name w:val="xl197"/>
    <w:basedOn w:val="734"/>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21" w:customStyle="1">
    <w:name w:val="xl13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2" w:customStyle="1">
    <w:name w:val="xl16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3" w:customStyle="1">
    <w:name w:val="xl12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4" w:customStyle="1">
    <w:name w:val="xl92"/>
    <w:basedOn w:val="734"/>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25" w:customStyle="1">
    <w:name w:val="表蕊"/>
    <w:basedOn w:val="734"/>
    <w:link w:val="1281"/>
    <w:uiPriority w:val="0"/>
    <w:qFormat/>
    <w:pPr>
      <w:jc w:val="left"/>
      <w:spacing w:line="320" w:lineRule="atLeast"/>
    </w:pPr>
    <w:rPr>
      <w:spacing w:val="-10"/>
      <w:sz w:val="20"/>
    </w:rPr>
  </w:style>
  <w:style w:type="paragraph" w:styleId="1126" w:customStyle="1">
    <w:name w:val="xl12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7" w:customStyle="1">
    <w:name w:val="xl14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8" w:customStyle="1">
    <w:name w:val="xl65"/>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29" w:customStyle="1">
    <w:name w:val="Char Char1 Char Char Char Char Char Char Char"/>
    <w:basedOn w:val="734"/>
    <w:uiPriority w:val="0"/>
    <w:qFormat/>
    <w:rPr>
      <w:rFonts w:eastAsia="宋体"/>
      <w:sz w:val="21"/>
    </w:rPr>
  </w:style>
  <w:style w:type="paragraph" w:styleId="1130" w:customStyle="1">
    <w:name w:val="xl11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分层标题"/>
    <w:basedOn w:val="734"/>
    <w:uiPriority w:val="0"/>
    <w:qFormat/>
    <w:pPr>
      <w:numPr>
        <w:ilvl w:val="2"/>
        <w:numId w:val="1"/>
      </w:numPr>
      <w:spacing w:before="120" w:after="120" w:line="360" w:lineRule="exact"/>
      <w:outlineLvl w:val="4"/>
    </w:pPr>
    <w:rPr>
      <w:rFonts w:eastAsia="宋体"/>
      <w:b/>
      <w:sz w:val="24"/>
      <w:szCs w:val="24"/>
    </w:rPr>
  </w:style>
  <w:style w:type="paragraph" w:styleId="1132" w:customStyle="1">
    <w:name w:val="样式4"/>
    <w:basedOn w:val="734"/>
    <w:uiPriority w:val="0"/>
    <w:qFormat/>
    <w:pPr>
      <w:jc w:val="left"/>
      <w:spacing w:before="100" w:beforeAutospacing="1" w:after="100" w:afterAutospacing="1"/>
      <w:widowControl/>
    </w:pPr>
    <w:rPr>
      <w:rFonts w:ascii="宋体" w:hAnsi="宋体" w:eastAsia="宋体" w:cs="宋体"/>
      <w:sz w:val="18"/>
      <w:szCs w:val="18"/>
    </w:rPr>
  </w:style>
  <w:style w:type="paragraph" w:styleId="1133" w:customStyle="1">
    <w:name w:val="xl107"/>
    <w:basedOn w:val="734"/>
    <w:uiPriority w:val="0"/>
    <w:qFormat/>
    <w:pPr>
      <w:jc w:val="center"/>
      <w:spacing w:before="100" w:beforeAutospacing="1" w:after="100" w:afterAutospacing="1"/>
      <w:widowControl/>
    </w:pPr>
    <w:rPr>
      <w:rFonts w:ascii="宋体" w:hAnsi="宋体" w:eastAsia="宋体" w:cs="宋体"/>
      <w:sz w:val="24"/>
      <w:szCs w:val="24"/>
    </w:rPr>
  </w:style>
  <w:style w:type="paragraph" w:styleId="1134" w:customStyle="1">
    <w:name w:val="font5"/>
    <w:basedOn w:val="734"/>
    <w:uiPriority w:val="0"/>
    <w:qFormat/>
    <w:pPr>
      <w:jc w:val="left"/>
      <w:spacing w:before="100" w:beforeAutospacing="1" w:after="100" w:afterAutospacing="1"/>
      <w:widowControl/>
    </w:pPr>
    <w:rPr>
      <w:rFonts w:ascii="宋体" w:hAnsi="宋体" w:eastAsia="宋体" w:cs="宋体"/>
      <w:sz w:val="18"/>
      <w:szCs w:val="18"/>
    </w:rPr>
  </w:style>
  <w:style w:type="paragraph" w:styleId="1135"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36" w:customStyle="1">
    <w:name w:val="xl12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xl11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p16"/>
    <w:basedOn w:val="734"/>
    <w:uiPriority w:val="0"/>
    <w:qFormat/>
    <w:pPr>
      <w:ind w:firstLine="540"/>
      <w:spacing w:line="360" w:lineRule="auto"/>
      <w:widowControl/>
    </w:pPr>
    <w:rPr>
      <w:rFonts w:eastAsia="宋体"/>
      <w:sz w:val="24"/>
      <w:szCs w:val="24"/>
    </w:rPr>
  </w:style>
  <w:style w:type="paragraph" w:styleId="1139" w:customStyle="1">
    <w:name w:val="xl69"/>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40" w:customStyle="1">
    <w:name w:val="xl15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1" w:customStyle="1">
    <w:name w:val="_Style 207"/>
    <w:basedOn w:val="781"/>
    <w:next w:val="734"/>
    <w:uiPriority w:val="39"/>
    <w:qFormat/>
    <w:pPr>
      <w:outlineLvl w:val="9"/>
    </w:pPr>
    <w:rPr>
      <w:bCs/>
      <w:szCs w:val="44"/>
    </w:rPr>
  </w:style>
  <w:style w:type="paragraph" w:styleId="1142" w:customStyle="1">
    <w:name w:val="xl70"/>
    <w:basedOn w:val="73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43" w:customStyle="1">
    <w:name w:val="xl15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4" w:customStyle="1">
    <w:name w:val="xl18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5"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146" w:customStyle="1">
    <w:name w:val="xl15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47" w:customStyle="1">
    <w:name w:val="xl16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8" w:customStyle="1">
    <w:name w:val="xl145"/>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9" w:customStyle="1">
    <w:name w:val="_Style 12"/>
    <w:basedOn w:val="749"/>
    <w:uiPriority w:val="0"/>
    <w:qFormat/>
    <w:pPr>
      <w:jc w:val="left"/>
      <w:spacing w:line="360" w:lineRule="auto"/>
      <w:shd w:val="clear" w:color="auto" w:fill="000080"/>
      <w:widowControl/>
    </w:pPr>
    <w:rPr>
      <w:rFonts w:ascii="Times New Roman"/>
      <w:sz w:val="24"/>
      <w:szCs w:val="20"/>
    </w:rPr>
  </w:style>
  <w:style w:type="paragraph" w:styleId="1150" w:customStyle="1">
    <w:name w:val="xl170"/>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1" w:customStyle="1">
    <w:name w:val="xl195"/>
    <w:basedOn w:val="734"/>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52" w:customStyle="1">
    <w:name w:val="Char Char Char Char"/>
    <w:basedOn w:val="734"/>
    <w:next w:val="734"/>
    <w:uiPriority w:val="0"/>
    <w:qFormat/>
    <w:pPr>
      <w:spacing w:line="360" w:lineRule="auto"/>
      <w:shd w:val="clear" w:color="auto" w:fill="000080"/>
    </w:pPr>
    <w:rPr>
      <w:rFonts w:eastAsia="宋体"/>
      <w:sz w:val="24"/>
      <w:szCs w:val="24"/>
    </w:rPr>
  </w:style>
  <w:style w:type="paragraph" w:styleId="1153" w:customStyle="1">
    <w:name w:val="xl18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msonormal"/>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55" w:customStyle="1">
    <w:name w:val="Char Char Char1 Char Char Char Char"/>
    <w:basedOn w:val="734"/>
    <w:uiPriority w:val="0"/>
    <w:qFormat/>
    <w:pPr>
      <w:jc w:val="left"/>
      <w:spacing w:after="160" w:line="240" w:lineRule="exact"/>
      <w:widowControl/>
    </w:pPr>
    <w:rPr>
      <w:rFonts w:eastAsia="宋体"/>
      <w:sz w:val="24"/>
      <w:szCs w:val="24"/>
    </w:rPr>
  </w:style>
  <w:style w:type="paragraph" w:styleId="1156" w:customStyle="1">
    <w:name w:val="正文文本缩进 31"/>
    <w:basedOn w:val="734"/>
    <w:uiPriority w:val="0"/>
    <w:qFormat/>
    <w:pPr>
      <w:ind w:firstLine="504"/>
      <w:spacing w:line="360" w:lineRule="auto"/>
      <w:tabs>
        <w:tab w:val="left" w:pos="0" w:leader="none"/>
      </w:tabs>
    </w:pPr>
    <w:rPr>
      <w:rFonts w:ascii="宋体" w:eastAsia="宋体"/>
      <w:b/>
      <w:bCs/>
      <w:sz w:val="24"/>
      <w:szCs w:val="24"/>
    </w:rPr>
  </w:style>
  <w:style w:type="paragraph" w:styleId="1157" w:customStyle="1">
    <w:name w:val="xl16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8" w:customStyle="1">
    <w:name w:val="xl16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9" w:customStyle="1">
    <w:name w:val="xl12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0" w:customStyle="1">
    <w:name w:val="Char1 Char Char Char"/>
    <w:basedOn w:val="734"/>
    <w:uiPriority w:val="0"/>
    <w:qFormat/>
    <w:pPr>
      <w:ind w:left="840" w:hanging="420"/>
      <w:tabs>
        <w:tab w:val="left" w:pos="840" w:leader="none"/>
      </w:tabs>
    </w:pPr>
    <w:rPr>
      <w:rFonts w:eastAsia="仿宋_GB2312"/>
      <w:sz w:val="30"/>
    </w:rPr>
  </w:style>
  <w:style w:type="paragraph" w:styleId="1161" w:customStyle="1">
    <w:name w:val="xl71"/>
    <w:basedOn w:val="73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62" w:customStyle="1">
    <w:name w:val="xl18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63" w:customStyle="1">
    <w:name w:val="???¡§???¡ì?¡ì???¡ì?a???????¡§???¡ì?¡ì?"/>
    <w:basedOn w:val="734"/>
    <w:uiPriority w:val="0"/>
    <w:qFormat/>
    <w:pPr>
      <w:jc w:val="left"/>
      <w:widowControl/>
      <w:tabs>
        <w:tab w:val="decimal" w:pos="0" w:leader="none"/>
      </w:tabs>
    </w:pPr>
    <w:rPr>
      <w:rFonts w:eastAsia="宋体"/>
      <w:sz w:val="21"/>
    </w:rPr>
  </w:style>
  <w:style w:type="paragraph" w:styleId="1164" w:customStyle="1">
    <w:name w:val="xl160"/>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修订1"/>
    <w:uiPriority w:val="0"/>
    <w:qFormat/>
    <w:rPr>
      <w:rFonts w:hint="default" w:ascii="Times New Roman" w:hAnsi="Times New Roman" w:eastAsia="宋体" w:cs="Times New Roman"/>
      <w:sz w:val="21"/>
      <w:szCs w:val="24"/>
      <w:lang w:val="en-US" w:eastAsia="zh-CN" w:bidi="ar-SA"/>
    </w:rPr>
  </w:style>
  <w:style w:type="paragraph" w:styleId="1166" w:customStyle="1">
    <w:name w:val="xl67"/>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67" w:customStyle="1">
    <w:name w:val="xl13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8" w:customStyle="1">
    <w:name w:val="xl15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9" w:customStyle="1">
    <w:name w:val="xl14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0" w:customStyle="1">
    <w:name w:val="普通(网站)1"/>
    <w:basedOn w:val="734"/>
    <w:uiPriority w:val="0"/>
    <w:qFormat/>
    <w:pPr>
      <w:jc w:val="left"/>
      <w:widowControl/>
    </w:pPr>
    <w:rPr>
      <w:rFonts w:ascii="宋体" w:hAnsi="宋体" w:eastAsia="宋体" w:cs="宋体"/>
      <w:sz w:val="24"/>
      <w:szCs w:val="24"/>
    </w:rPr>
  </w:style>
  <w:style w:type="paragraph" w:styleId="1171" w:customStyle="1">
    <w:name w:val="xl14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72" w:customStyle="1">
    <w:name w:val="Char2"/>
    <w:basedOn w:val="734"/>
    <w:uiPriority w:val="0"/>
    <w:qFormat/>
    <w:rPr>
      <w:rFonts w:ascii="仿宋_GB2312" w:eastAsia="仿宋_GB2312"/>
      <w:b/>
      <w:sz w:val="32"/>
      <w:szCs w:val="32"/>
    </w:rPr>
  </w:style>
  <w:style w:type="paragraph" w:styleId="1173" w:customStyle="1">
    <w:name w:val="正文2"/>
    <w:basedOn w:val="734"/>
    <w:uiPriority w:val="0"/>
    <w:qFormat/>
    <w:pPr>
      <w:ind w:firstLine="200"/>
      <w:jc w:val="left"/>
      <w:spacing w:after="160" w:line="360" w:lineRule="auto"/>
      <w:widowControl/>
    </w:pPr>
    <w:rPr>
      <w:rFonts w:eastAsia="宋体"/>
      <w:sz w:val="21"/>
    </w:rPr>
  </w:style>
  <w:style w:type="paragraph" w:styleId="1174" w:customStyle="1">
    <w:name w:val="tabletext"/>
    <w:basedOn w:val="734"/>
    <w:uiPriority w:val="0"/>
    <w:qFormat/>
    <w:pPr>
      <w:jc w:val="left"/>
      <w:spacing w:before="100" w:beforeAutospacing="1" w:after="100" w:afterAutospacing="1"/>
      <w:widowControl/>
    </w:pPr>
    <w:rPr>
      <w:rFonts w:ascii="宋体" w:hAnsi="宋体" w:eastAsia="宋体" w:cs="宋体"/>
      <w:sz w:val="24"/>
      <w:szCs w:val="24"/>
    </w:rPr>
  </w:style>
  <w:style w:type="paragraph" w:styleId="1175" w:customStyle="1">
    <w:name w:val="xl15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6" w:customStyle="1">
    <w:name w:val="font8"/>
    <w:basedOn w:val="734"/>
    <w:uiPriority w:val="0"/>
    <w:qFormat/>
    <w:pPr>
      <w:jc w:val="left"/>
      <w:spacing w:before="100" w:beforeAutospacing="1" w:after="100" w:afterAutospacing="1"/>
      <w:widowControl/>
    </w:pPr>
    <w:rPr>
      <w:rFonts w:ascii="宋体" w:hAnsi="宋体" w:eastAsia="宋体" w:cs="宋体"/>
      <w:color w:val="000000"/>
      <w:sz w:val="20"/>
    </w:rPr>
  </w:style>
  <w:style w:type="paragraph" w:styleId="1177" w:customStyle="1">
    <w:name w:val="四号线第四级"/>
    <w:basedOn w:val="734"/>
    <w:uiPriority w:val="0"/>
    <w:qFormat/>
    <w:pPr>
      <w:ind w:left="600" w:hanging="420"/>
      <w:tabs>
        <w:tab w:val="left" w:pos="600" w:leader="none"/>
      </w:tabs>
    </w:pPr>
    <w:rPr>
      <w:rFonts w:eastAsia="宋体"/>
      <w:sz w:val="21"/>
      <w:szCs w:val="24"/>
    </w:rPr>
  </w:style>
  <w:style w:type="paragraph" w:styleId="1178" w:customStyle="1">
    <w:name w:val="Char Char Char1 Char"/>
    <w:basedOn w:val="734"/>
    <w:uiPriority w:val="0"/>
    <w:qFormat/>
    <w:pPr>
      <w:jc w:val="left"/>
      <w:spacing w:line="240" w:lineRule="exact"/>
      <w:widowControl/>
    </w:pPr>
    <w:rPr>
      <w:rFonts w:ascii="Verdana" w:hAnsi="Verdana" w:eastAsia="宋体"/>
      <w:sz w:val="20"/>
      <w:lang w:eastAsia="en-US"/>
    </w:rPr>
  </w:style>
  <w:style w:type="paragraph" w:styleId="1179" w:customStyle="1">
    <w:name w:val="xl180"/>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0" w:customStyle="1">
    <w:name w:val="xl11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1" w:customStyle="1">
    <w:name w:val="无间隔1"/>
    <w:link w:val="1282"/>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182" w:customStyle="1">
    <w:name w:val="xl8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3" w:customStyle="1">
    <w:name w:val="xl193"/>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4" w:customStyle="1">
    <w:name w:val="xl2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85" w:customStyle="1">
    <w:name w:val="文本块1"/>
    <w:basedOn w:val="734"/>
    <w:link w:val="1291"/>
    <w:uiPriority w:val="0"/>
    <w:qFormat/>
    <w:pPr>
      <w:ind w:left="420" w:right="-294"/>
      <w:spacing w:line="320" w:lineRule="exact"/>
    </w:pPr>
    <w:rPr>
      <w:rFonts w:ascii="宋体" w:eastAsia="宋体"/>
      <w:sz w:val="24"/>
    </w:rPr>
  </w:style>
  <w:style w:type="paragraph" w:styleId="1186"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187" w:customStyle="1">
    <w:name w:val="xl13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8" w:customStyle="1">
    <w:name w:val="xl7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9" w:customStyle="1">
    <w:name w:val="xl14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90">
    <w:name w:val="List Paragraph"/>
    <w:basedOn w:val="734"/>
    <w:uiPriority w:val="34"/>
    <w:qFormat/>
    <w:pPr>
      <w:ind w:firstLine="420"/>
    </w:pPr>
  </w:style>
  <w:style w:type="paragraph" w:styleId="1191" w:customStyle="1">
    <w:name w:val="xl14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92" w:customStyle="1">
    <w:name w:val="xl11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3"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94" w:customStyle="1">
    <w:name w:val="正文缩进 Char Char"/>
    <w:link w:val="976"/>
    <w:uiPriority w:val="0"/>
    <w:qFormat/>
    <w:rPr>
      <w:rFonts w:eastAsia="楷体_GB2312"/>
      <w:sz w:val="24"/>
    </w:rPr>
  </w:style>
  <w:style w:type="character" w:styleId="1195" w:customStyle="1">
    <w:name w:val="font122"/>
    <w:uiPriority w:val="0"/>
    <w:qFormat/>
    <w:rPr>
      <w:rFonts w:hint="eastAsia" w:ascii="宋体" w:hAnsi="宋体" w:eastAsia="宋体" w:cs="宋体"/>
      <w:color w:val="000000"/>
      <w:sz w:val="20"/>
      <w:szCs w:val="20"/>
      <w:u w:val="none"/>
    </w:rPr>
  </w:style>
  <w:style w:type="character" w:styleId="1196" w:customStyle="1">
    <w:name w:val="15"/>
    <w:basedOn w:val="744"/>
    <w:uiPriority w:val="0"/>
    <w:qFormat/>
    <w:rPr>
      <w:rFonts w:ascii="Verdana" w:hAnsi="Verdana" w:cs="Times New Roman"/>
      <w:color w:val="c90000"/>
      <w:sz w:val="18"/>
    </w:rPr>
  </w:style>
  <w:style w:type="character" w:styleId="1197" w:customStyle="1">
    <w:name w:val="标题 8 Char"/>
    <w:link w:val="978"/>
    <w:uiPriority w:val="0"/>
    <w:qFormat/>
    <w:rPr>
      <w:rFonts w:ascii="Arial" w:hAnsi="Arial" w:eastAsia="黑体" w:cs="Times New Roman"/>
      <w:sz w:val="24"/>
      <w:szCs w:val="20"/>
    </w:rPr>
  </w:style>
  <w:style w:type="character" w:styleId="1198" w:customStyle="1">
    <w:name w:val="HTML 预设格式 Char1"/>
    <w:uiPriority w:val="99"/>
    <w:semiHidden/>
    <w:qFormat/>
    <w:rPr>
      <w:rFonts w:ascii="Courier New" w:hAnsi="Courier New" w:eastAsia="楷体_GB2312" w:cs="Courier New"/>
      <w:sz w:val="20"/>
      <w:szCs w:val="20"/>
    </w:rPr>
  </w:style>
  <w:style w:type="character" w:styleId="1199" w:customStyle="1">
    <w:name w:val="Char Char4"/>
    <w:uiPriority w:val="0"/>
    <w:qFormat/>
    <w:rPr>
      <w:rFonts w:eastAsia="楷体_GB2312"/>
      <w:sz w:val="18"/>
      <w:lang w:val="en-US" w:eastAsia="zh-CN" w:bidi="ar-SA"/>
    </w:rPr>
  </w:style>
  <w:style w:type="character" w:styleId="1200" w:customStyle="1">
    <w:name w:val="NormalCharacter"/>
    <w:uiPriority w:val="0"/>
    <w:qFormat/>
  </w:style>
  <w:style w:type="character" w:styleId="1201" w:customStyle="1">
    <w:name w:val="表正文 Char"/>
    <w:uiPriority w:val="0"/>
    <w:qFormat/>
    <w:rPr>
      <w:rFonts w:eastAsia="楷体_GB2312"/>
      <w:sz w:val="24"/>
      <w:lang w:val="en-US" w:eastAsia="zh-CN" w:bidi="ar-SA"/>
    </w:rPr>
  </w:style>
  <w:style w:type="character" w:styleId="1202" w:customStyle="1">
    <w:name w:val="正文文本缩进 3 字符"/>
    <w:link w:val="772"/>
    <w:uiPriority w:val="0"/>
    <w:qFormat/>
    <w:rPr>
      <w:sz w:val="24"/>
      <w:szCs w:val="24"/>
    </w:rPr>
  </w:style>
  <w:style w:type="character" w:styleId="1203" w:customStyle="1">
    <w:name w:val="hang1"/>
    <w:basedOn w:val="744"/>
    <w:uiPriority w:val="0"/>
    <w:qFormat/>
  </w:style>
  <w:style w:type="character" w:styleId="1204" w:customStyle="1">
    <w:name w:val="Char Char Char Char Char Char Char Char"/>
    <w:link w:val="1081"/>
    <w:uiPriority w:val="0"/>
    <w:qFormat/>
    <w:rPr>
      <w:rFonts w:ascii="Tahoma" w:hAnsi="Tahoma"/>
      <w:sz w:val="24"/>
    </w:rPr>
  </w:style>
  <w:style w:type="character" w:styleId="1205" w:customStyle="1">
    <w:name w:val="纯文本 字符"/>
    <w:link w:val="756"/>
    <w:uiPriority w:val="99"/>
    <w:qFormat/>
    <w:rPr>
      <w:rFonts w:ascii="宋体" w:hAnsi="Courier New" w:eastAsia="楷体_GB2312"/>
      <w:sz w:val="26"/>
    </w:rPr>
  </w:style>
  <w:style w:type="character" w:styleId="1206" w:customStyle="1">
    <w:name w:val="页码1"/>
    <w:basedOn w:val="744"/>
    <w:uiPriority w:val="0"/>
    <w:qFormat/>
  </w:style>
  <w:style w:type="character" w:styleId="1207" w:customStyle="1">
    <w:name w:val="批注框文本 Char1"/>
    <w:uiPriority w:val="99"/>
    <w:semiHidden/>
    <w:qFormat/>
    <w:rPr>
      <w:rFonts w:ascii="Times New Roman" w:hAnsi="Times New Roman" w:eastAsia="楷体_GB2312" w:cs="Times New Roman"/>
      <w:sz w:val="18"/>
      <w:szCs w:val="18"/>
    </w:rPr>
  </w:style>
  <w:style w:type="character" w:styleId="1208" w:customStyle="1">
    <w:name w:val="方案正文 Char"/>
    <w:link w:val="1070"/>
    <w:uiPriority w:val="0"/>
    <w:qFormat/>
    <w:rPr>
      <w:rFonts w:eastAsia="宋体"/>
      <w:sz w:val="24"/>
    </w:rPr>
  </w:style>
  <w:style w:type="character" w:styleId="1209" w:customStyle="1">
    <w:name w:val="Char Char1"/>
    <w:uiPriority w:val="0"/>
    <w:qFormat/>
    <w:rPr>
      <w:rFonts w:eastAsia="楷体_GB2312"/>
      <w:b/>
      <w:bCs/>
      <w:sz w:val="26"/>
    </w:rPr>
  </w:style>
  <w:style w:type="character" w:styleId="1210" w:customStyle="1">
    <w:name w:val="正文文本缩进 2 Char1"/>
    <w:uiPriority w:val="99"/>
    <w:semiHidden/>
    <w:qFormat/>
    <w:rPr>
      <w:rFonts w:ascii="Times New Roman" w:hAnsi="Times New Roman" w:eastAsia="楷体_GB2312" w:cs="Times New Roman"/>
      <w:sz w:val="26"/>
      <w:szCs w:val="20"/>
    </w:rPr>
  </w:style>
  <w:style w:type="character" w:styleId="1211" w:customStyle="1">
    <w:name w:val="正文文本 字符"/>
    <w:link w:val="751"/>
    <w:uiPriority w:val="99"/>
    <w:semiHidden/>
    <w:qFormat/>
    <w:rPr>
      <w:rFonts w:ascii="Times New Roman" w:hAnsi="Times New Roman" w:eastAsia="楷体_GB2312" w:cs="Times New Roman"/>
      <w:sz w:val="26"/>
      <w:szCs w:val="20"/>
    </w:rPr>
  </w:style>
  <w:style w:type="character" w:styleId="1212" w:customStyle="1">
    <w:name w:val="Footer Char"/>
    <w:uiPriority w:val="0"/>
    <w:qFormat/>
    <w:rPr>
      <w:rFonts w:ascii="Times New Roman" w:hAnsi="Times New Roman" w:eastAsia="楷体_GB2312" w:cs="Times New Roman"/>
      <w:sz w:val="20"/>
      <w:szCs w:val="20"/>
    </w:rPr>
  </w:style>
  <w:style w:type="character" w:styleId="1213" w:customStyle="1">
    <w:name w:val="font31"/>
    <w:uiPriority w:val="0"/>
    <w:qFormat/>
    <w:rPr>
      <w:rFonts w:hint="eastAsia" w:ascii="宋体" w:hAnsi="宋体" w:eastAsia="宋体" w:cs="宋体"/>
      <w:color w:val="000000"/>
      <w:sz w:val="22"/>
      <w:szCs w:val="22"/>
      <w:u w:val="none"/>
    </w:rPr>
  </w:style>
  <w:style w:type="character" w:styleId="1214" w:customStyle="1">
    <w:name w:val="Char Char3"/>
    <w:uiPriority w:val="0"/>
    <w:qFormat/>
    <w:rPr>
      <w:rFonts w:ascii="方正仿宋简体" w:hAnsi="创艺简仿宋" w:eastAsia="方正仿宋简体"/>
      <w:sz w:val="24"/>
      <w:lang w:val="en-US" w:eastAsia="zh-CN" w:bidi="ar-SA"/>
    </w:rPr>
  </w:style>
  <w:style w:type="character" w:styleId="1215" w:customStyle="1">
    <w:name w:val="正文首行缩进 Char2"/>
    <w:basedOn w:val="1211"/>
    <w:uiPriority w:val="99"/>
    <w:semiHidden/>
    <w:qFormat/>
    <w:rPr>
      <w:rFonts w:ascii="Times New Roman" w:hAnsi="Times New Roman" w:eastAsia="楷体_GB2312" w:cs="Times New Roman"/>
      <w:sz w:val="26"/>
      <w:szCs w:val="20"/>
    </w:rPr>
  </w:style>
  <w:style w:type="character" w:styleId="1216" w:customStyle="1">
    <w:name w:val="font01"/>
    <w:uiPriority w:val="0"/>
    <w:qFormat/>
    <w:rPr>
      <w:rFonts w:hint="eastAsia" w:ascii="宋体" w:hAnsi="宋体" w:eastAsia="宋体" w:cs="宋体"/>
      <w:color w:val="000000"/>
      <w:sz w:val="20"/>
      <w:szCs w:val="20"/>
      <w:u w:val="none"/>
    </w:rPr>
  </w:style>
  <w:style w:type="character" w:styleId="1217" w:customStyle="1">
    <w:name w:val="五级文本 Char Char"/>
    <w:uiPriority w:val="0"/>
    <w:qFormat/>
    <w:rPr>
      <w:rFonts w:ascii="宋体" w:hAnsi="宋体" w:eastAsia="宋体"/>
      <w:sz w:val="24"/>
      <w:szCs w:val="24"/>
      <w:lang w:val="en-US" w:eastAsia="zh-CN"/>
    </w:rPr>
  </w:style>
  <w:style w:type="character" w:styleId="1218" w:customStyle="1">
    <w:name w:val="批注文字 字符"/>
    <w:link w:val="750"/>
    <w:uiPriority w:val="0"/>
    <w:semiHidden/>
    <w:qFormat/>
    <w:rPr>
      <w:rFonts w:eastAsia="楷体_GB2312"/>
      <w:sz w:val="26"/>
    </w:rPr>
  </w:style>
  <w:style w:type="character" w:styleId="1219" w:customStyle="1">
    <w:name w:val="font201"/>
    <w:uiPriority w:val="0"/>
    <w:qFormat/>
    <w:rPr>
      <w:rFonts w:ascii="Symbol" w:hAnsi="Symbol" w:cs="Symbol"/>
      <w:color w:val="000000"/>
      <w:sz w:val="20"/>
      <w:szCs w:val="20"/>
      <w:u w:val="none"/>
    </w:rPr>
  </w:style>
  <w:style w:type="character" w:styleId="1220" w:customStyle="1">
    <w:name w:val="lineheigh201"/>
    <w:basedOn w:val="744"/>
    <w:uiPriority w:val="0"/>
    <w:qFormat/>
  </w:style>
  <w:style w:type="character" w:styleId="1221" w:customStyle="1">
    <w:name w:val="文档结构图 字符"/>
    <w:link w:val="749"/>
    <w:uiPriority w:val="0"/>
    <w:qFormat/>
    <w:rPr>
      <w:rFonts w:ascii="宋体"/>
      <w:sz w:val="18"/>
      <w:szCs w:val="18"/>
    </w:rPr>
  </w:style>
  <w:style w:type="character" w:styleId="1222" w:customStyle="1">
    <w:name w:val="正文缩进 Char"/>
    <w:uiPriority w:val="0"/>
    <w:qFormat/>
    <w:rPr>
      <w:rFonts w:eastAsia="楷体_GB2312"/>
      <w:sz w:val="24"/>
    </w:rPr>
  </w:style>
  <w:style w:type="character" w:styleId="1223" w:customStyle="1">
    <w:name w:val="Char Char6"/>
    <w:uiPriority w:val="0"/>
    <w:semiHidden/>
    <w:qFormat/>
    <w:rPr>
      <w:rFonts w:eastAsia="楷体_GB2312"/>
      <w:b/>
      <w:sz w:val="26"/>
      <w:lang w:val="en-US" w:eastAsia="zh-CN" w:bidi="ar-SA"/>
    </w:rPr>
  </w:style>
  <w:style w:type="character" w:styleId="1224" w:customStyle="1">
    <w:name w:val="宋体&amp;Time5# Char"/>
    <w:link w:val="1106"/>
    <w:uiPriority w:val="0"/>
    <w:qFormat/>
    <w:rPr>
      <w:rFonts w:ascii="Calibri" w:hAnsi="Calibri" w:eastAsia="Times New Roman"/>
      <w:szCs w:val="21"/>
    </w:rPr>
  </w:style>
  <w:style w:type="character" w:styleId="1225" w:customStyle="1">
    <w:name w:val="Header Char"/>
    <w:uiPriority w:val="0"/>
    <w:qFormat/>
    <w:rPr>
      <w:rFonts w:ascii="Times New Roman" w:hAnsi="Times New Roman" w:eastAsia="楷体_GB2312" w:cs="Times New Roman"/>
      <w:sz w:val="20"/>
      <w:szCs w:val="20"/>
    </w:rPr>
  </w:style>
  <w:style w:type="character" w:styleId="1226" w:customStyle="1">
    <w:name w:val="font11"/>
    <w:basedOn w:val="744"/>
    <w:uiPriority w:val="0"/>
    <w:qFormat/>
    <w:rPr>
      <w:rFonts w:hint="eastAsia" w:ascii="宋体" w:hAnsi="宋体" w:eastAsia="宋体" w:cs="宋体"/>
      <w:color w:val="000000"/>
      <w:sz w:val="20"/>
      <w:szCs w:val="20"/>
      <w:u w:val="none"/>
    </w:rPr>
  </w:style>
  <w:style w:type="character" w:styleId="1227" w:customStyle="1">
    <w:name w:val="引用 Char"/>
    <w:link w:val="1068"/>
    <w:uiPriority w:val="0"/>
    <w:qFormat/>
    <w:rPr>
      <w:rFonts w:eastAsia="仿宋_GB2312"/>
      <w:iCs/>
      <w:color w:val="000000"/>
      <w:sz w:val="28"/>
      <w:szCs w:val="24"/>
    </w:rPr>
  </w:style>
  <w:style w:type="character" w:styleId="1228" w:customStyle="1">
    <w:name w:val="apple-converted-space"/>
    <w:basedOn w:val="744"/>
    <w:uiPriority w:val="0"/>
    <w:qFormat/>
  </w:style>
  <w:style w:type="character" w:styleId="1229" w:customStyle="1">
    <w:name w:val="标题 4 Char"/>
    <w:link w:val="973"/>
    <w:uiPriority w:val="9"/>
    <w:qFormat/>
    <w:rPr>
      <w:rFonts w:ascii="Arial" w:hAnsi="Arial" w:eastAsia="黑体" w:cs="Times New Roman"/>
      <w:b/>
      <w:bCs/>
      <w:sz w:val="28"/>
      <w:szCs w:val="28"/>
    </w:rPr>
  </w:style>
  <w:style w:type="character" w:styleId="1230" w:customStyle="1">
    <w:name w:val="正文文本缩进 Char1"/>
    <w:uiPriority w:val="99"/>
    <w:semiHidden/>
    <w:qFormat/>
    <w:rPr>
      <w:rFonts w:ascii="Times New Roman" w:hAnsi="Times New Roman" w:eastAsia="楷体_GB2312" w:cs="Times New Roman"/>
      <w:sz w:val="26"/>
      <w:szCs w:val="20"/>
    </w:rPr>
  </w:style>
  <w:style w:type="character" w:styleId="1231" w:customStyle="1">
    <w:name w:val="a文档正文 Char Char"/>
    <w:link w:val="984"/>
    <w:uiPriority w:val="0"/>
    <w:qFormat/>
    <w:rPr>
      <w:rFonts w:ascii="Tahoma" w:hAnsi="Tahoma" w:eastAsia="仿宋_GB2312"/>
      <w:sz w:val="28"/>
    </w:rPr>
  </w:style>
  <w:style w:type="character" w:styleId="1232" w:customStyle="1">
    <w:name w:val="表头 Char"/>
    <w:link w:val="1098"/>
    <w:uiPriority w:val="0"/>
    <w:qFormat/>
    <w:rPr>
      <w:rFonts w:eastAsia="黑体"/>
      <w:spacing w:val="-10"/>
    </w:rPr>
  </w:style>
  <w:style w:type="character" w:styleId="1233" w:customStyle="1">
    <w:name w:val="标题 1 Char"/>
    <w:link w:val="781"/>
    <w:uiPriority w:val="9"/>
    <w:qFormat/>
    <w:rPr>
      <w:rFonts w:ascii="Times New Roman" w:hAnsi="Times New Roman" w:eastAsia="楷体_GB2312" w:cs="Times New Roman"/>
      <w:b/>
      <w:sz w:val="44"/>
      <w:szCs w:val="20"/>
    </w:rPr>
  </w:style>
  <w:style w:type="character" w:styleId="1234" w:customStyle="1">
    <w:name w:val="页眉 Char"/>
    <w:link w:val="981"/>
    <w:uiPriority w:val="99"/>
    <w:qFormat/>
    <w:rPr>
      <w:sz w:val="18"/>
      <w:szCs w:val="18"/>
    </w:rPr>
  </w:style>
  <w:style w:type="character" w:styleId="1235" w:customStyle="1">
    <w:name w:val="标题 5 Char"/>
    <w:link w:val="974"/>
    <w:uiPriority w:val="9"/>
    <w:qFormat/>
    <w:rPr>
      <w:rFonts w:ascii="宋体" w:hAnsi="宋体" w:eastAsia="宋体" w:cs="Times New Roman"/>
      <w:b/>
      <w:bCs/>
      <w:sz w:val="28"/>
      <w:szCs w:val="28"/>
    </w:rPr>
  </w:style>
  <w:style w:type="character" w:styleId="1236" w:customStyle="1">
    <w:name w:val="font61"/>
    <w:uiPriority w:val="0"/>
    <w:qFormat/>
    <w:rPr>
      <w:rFonts w:ascii="Arial" w:hAnsi="Arial" w:cs="Arial"/>
      <w:color w:val="000000"/>
      <w:sz w:val="18"/>
      <w:szCs w:val="18"/>
    </w:rPr>
  </w:style>
  <w:style w:type="character" w:styleId="1237" w:customStyle="1">
    <w:name w:val="标题 6 Char"/>
    <w:link w:val="975"/>
    <w:uiPriority w:val="0"/>
    <w:qFormat/>
    <w:rPr>
      <w:rFonts w:ascii="Arial" w:hAnsi="Arial" w:eastAsia="黑体" w:cs="Times New Roman"/>
      <w:b/>
      <w:sz w:val="24"/>
      <w:szCs w:val="20"/>
    </w:rPr>
  </w:style>
  <w:style w:type="character" w:styleId="1238" w:customStyle="1">
    <w:name w:val="日期 字符"/>
    <w:link w:val="758"/>
    <w:uiPriority w:val="0"/>
    <w:qFormat/>
    <w:rPr>
      <w:rFonts w:ascii="宋体" w:hAnsi="宋体" w:eastAsia="楷体_GB2312"/>
      <w:sz w:val="24"/>
    </w:rPr>
  </w:style>
  <w:style w:type="character" w:styleId="1239" w:customStyle="1">
    <w:name w:val="正文首行缩进 Char1"/>
    <w:basedOn w:val="1240"/>
    <w:uiPriority w:val="0"/>
    <w:qFormat/>
    <w:rPr>
      <w:rFonts w:ascii="楷体_GB2312" w:eastAsia="楷体_GB2312"/>
      <w:sz w:val="28"/>
    </w:rPr>
  </w:style>
  <w:style w:type="character" w:styleId="1240" w:customStyle="1">
    <w:name w:val="正文文本 Char"/>
    <w:uiPriority w:val="99"/>
    <w:qFormat/>
    <w:rPr>
      <w:rFonts w:ascii="楷体_GB2312" w:eastAsia="楷体_GB2312"/>
      <w:sz w:val="28"/>
    </w:rPr>
  </w:style>
  <w:style w:type="character" w:styleId="1241" w:customStyle="1">
    <w:name w:val="三级目录1 Char"/>
    <w:uiPriority w:val="0"/>
    <w:qFormat/>
    <w:rPr>
      <w:rFonts w:ascii="宋体" w:hAnsi="宋体" w:eastAsia="宋体"/>
      <w:b/>
      <w:sz w:val="24"/>
      <w:szCs w:val="24"/>
      <w:lang w:val="en-US" w:eastAsia="zh-CN"/>
    </w:rPr>
  </w:style>
  <w:style w:type="character" w:styleId="1242" w:customStyle="1">
    <w:name w:val="纯文本 Char1"/>
    <w:uiPriority w:val="99"/>
    <w:semiHidden/>
    <w:qFormat/>
    <w:rPr>
      <w:rFonts w:ascii="宋体" w:hAnsi="Courier New" w:eastAsia="宋体" w:cs="Courier New"/>
      <w:szCs w:val="21"/>
    </w:rPr>
  </w:style>
  <w:style w:type="character" w:styleId="1243" w:customStyle="1">
    <w:name w:val="Char Char22"/>
    <w:uiPriority w:val="0"/>
    <w:qFormat/>
    <w:rPr>
      <w:rFonts w:ascii="Cambria" w:hAnsi="Cambria" w:eastAsia="宋体" w:cs="Times New Roman"/>
      <w:b/>
      <w:bCs/>
      <w:sz w:val="32"/>
      <w:szCs w:val="32"/>
    </w:rPr>
  </w:style>
  <w:style w:type="character" w:styleId="1244" w:customStyle="1">
    <w:name w:val="批注框文本 字符"/>
    <w:link w:val="761"/>
    <w:uiPriority w:val="0"/>
    <w:qFormat/>
    <w:rPr>
      <w:rFonts w:eastAsia="楷体_GB2312"/>
      <w:sz w:val="18"/>
      <w:szCs w:val="18"/>
    </w:rPr>
  </w:style>
  <w:style w:type="character" w:styleId="1245" w:customStyle="1">
    <w:name w:val="Char Char2"/>
    <w:uiPriority w:val="0"/>
    <w:qFormat/>
    <w:rPr>
      <w:rFonts w:eastAsia="楷体_GB2312"/>
      <w:sz w:val="26"/>
    </w:rPr>
  </w:style>
  <w:style w:type="character" w:styleId="1246" w:customStyle="1">
    <w:name w:val="标题 2 Char"/>
    <w:link w:val="971"/>
    <w:uiPriority w:val="9"/>
    <w:qFormat/>
    <w:rPr>
      <w:rFonts w:ascii="宋体" w:hAnsi="宋体" w:eastAsia="楷体_GB2312" w:cs="Times New Roman"/>
      <w:b/>
      <w:sz w:val="26"/>
      <w:szCs w:val="20"/>
    </w:rPr>
  </w:style>
  <w:style w:type="character" w:styleId="1247" w:customStyle="1">
    <w:name w:val="正文文本缩进 2 字符"/>
    <w:link w:val="759"/>
    <w:uiPriority w:val="0"/>
    <w:qFormat/>
    <w:rPr>
      <w:rFonts w:ascii="宋体"/>
      <w:b/>
      <w:bCs/>
      <w:sz w:val="24"/>
    </w:rPr>
  </w:style>
  <w:style w:type="character" w:styleId="1248" w:customStyle="1">
    <w:name w:val="标题 3 Char"/>
    <w:link w:val="972"/>
    <w:uiPriority w:val="0"/>
    <w:qFormat/>
    <w:rPr>
      <w:rFonts w:ascii="Times New Roman" w:hAnsi="Times New Roman" w:eastAsia="楷体_GB2312" w:cs="Times New Roman"/>
      <w:b/>
      <w:sz w:val="26"/>
      <w:szCs w:val="20"/>
    </w:rPr>
  </w:style>
  <w:style w:type="character" w:styleId="1249" w:customStyle="1">
    <w:name w:val="t_tag"/>
    <w:basedOn w:val="744"/>
    <w:uiPriority w:val="0"/>
    <w:qFormat/>
  </w:style>
  <w:style w:type="character" w:styleId="1250" w:customStyle="1">
    <w:name w:val="+正文 Char3"/>
    <w:link w:val="1103"/>
    <w:uiPriority w:val="0"/>
    <w:qFormat/>
    <w:rPr>
      <w:sz w:val="24"/>
    </w:rPr>
  </w:style>
  <w:style w:type="character" w:styleId="1251" w:customStyle="1">
    <w:name w:val="font12"/>
    <w:uiPriority w:val="0"/>
    <w:qFormat/>
    <w:rPr>
      <w:rFonts w:hint="eastAsia" w:ascii="宋体" w:hAnsi="宋体" w:eastAsia="宋体" w:cs="宋体"/>
      <w:color w:val="000000"/>
      <w:sz w:val="18"/>
      <w:szCs w:val="18"/>
      <w:u w:val="none"/>
    </w:rPr>
  </w:style>
  <w:style w:type="character" w:styleId="1252" w:customStyle="1">
    <w:name w:val="标题 Char1"/>
    <w:uiPriority w:val="10"/>
    <w:qFormat/>
    <w:rPr>
      <w:rFonts w:ascii="Cambria" w:hAnsi="Cambria" w:eastAsia="宋体" w:cs="Times New Roman"/>
      <w:b/>
      <w:bCs/>
      <w:sz w:val="32"/>
      <w:szCs w:val="32"/>
    </w:rPr>
  </w:style>
  <w:style w:type="character" w:styleId="1253" w:customStyle="1">
    <w:name w:val="Plain Text Char"/>
    <w:uiPriority w:val="0"/>
    <w:qFormat/>
    <w:rPr>
      <w:rFonts w:ascii="宋体" w:hAnsi="Courier New" w:eastAsia="楷体_GB2312"/>
      <w:sz w:val="26"/>
    </w:rPr>
  </w:style>
  <w:style w:type="character" w:styleId="1254" w:customStyle="1">
    <w:name w:val="UserStyle_58"/>
    <w:uiPriority w:val="0"/>
    <w:qFormat/>
  </w:style>
  <w:style w:type="character" w:styleId="1255" w:customStyle="1">
    <w:name w:val="Char Char5"/>
    <w:uiPriority w:val="0"/>
    <w:qFormat/>
    <w:rPr>
      <w:rFonts w:eastAsia="楷体_GB2312"/>
      <w:sz w:val="18"/>
      <w:lang w:val="en-US" w:eastAsia="zh-CN" w:bidi="ar-SA"/>
    </w:rPr>
  </w:style>
  <w:style w:type="character" w:styleId="1256" w:customStyle="1">
    <w:name w:val="招标正文 Char"/>
    <w:link w:val="992"/>
    <w:uiPriority w:val="0"/>
    <w:qFormat/>
    <w:rPr>
      <w:rFonts w:ascii="宋体" w:eastAsia="宋体"/>
      <w:sz w:val="24"/>
      <w:szCs w:val="24"/>
    </w:rPr>
  </w:style>
  <w:style w:type="character" w:styleId="1257" w:customStyle="1">
    <w:name w:val="font101"/>
    <w:uiPriority w:val="0"/>
    <w:qFormat/>
    <w:rPr>
      <w:rFonts w:hint="eastAsia" w:ascii="宋体" w:hAnsi="宋体" w:eastAsia="宋体" w:cs="宋体"/>
      <w:color w:val="ff0000"/>
      <w:sz w:val="22"/>
      <w:szCs w:val="22"/>
      <w:u w:val="none"/>
    </w:rPr>
  </w:style>
  <w:style w:type="character" w:styleId="1258" w:customStyle="1">
    <w:name w:val="列出段落 Char"/>
    <w:link w:val="1050"/>
    <w:uiPriority w:val="99"/>
    <w:qFormat/>
    <w:rPr>
      <w:rFonts w:ascii="Arial" w:hAnsi="Arial" w:eastAsia="黑体"/>
      <w:sz w:val="24"/>
      <w:szCs w:val="24"/>
      <w:lang w:eastAsia="en-US"/>
    </w:rPr>
  </w:style>
  <w:style w:type="character" w:styleId="1259" w:customStyle="1">
    <w:name w:val="font141"/>
    <w:uiPriority w:val="0"/>
    <w:qFormat/>
    <w:rPr>
      <w:rFonts w:hint="eastAsia" w:ascii="宋体" w:hAnsi="宋体" w:eastAsia="宋体" w:cs="宋体"/>
      <w:color w:val="ff0000"/>
      <w:sz w:val="22"/>
      <w:szCs w:val="22"/>
      <w:u w:val="none"/>
    </w:rPr>
  </w:style>
  <w:style w:type="character" w:styleId="1260" w:customStyle="1">
    <w:name w:val="HTML 打字机1"/>
    <w:uiPriority w:val="0"/>
    <w:qFormat/>
    <w:rPr>
      <w:rFonts w:ascii="黑体" w:hAnsi="Courier New" w:eastAsia="黑体"/>
      <w:sz w:val="14"/>
    </w:rPr>
  </w:style>
  <w:style w:type="character" w:styleId="1261" w:customStyle="1">
    <w:name w:val="正文文本缩进 3 Char1"/>
    <w:uiPriority w:val="99"/>
    <w:semiHidden/>
    <w:qFormat/>
    <w:rPr>
      <w:rFonts w:ascii="Times New Roman" w:hAnsi="Times New Roman" w:eastAsia="楷体_GB2312" w:cs="Times New Roman"/>
      <w:sz w:val="16"/>
      <w:szCs w:val="16"/>
    </w:rPr>
  </w:style>
  <w:style w:type="character" w:styleId="1262" w:customStyle="1">
    <w:name w:val="apple-style-span"/>
    <w:uiPriority w:val="0"/>
    <w:qFormat/>
  </w:style>
  <w:style w:type="character" w:styleId="1263" w:customStyle="1">
    <w:name w:val="font81"/>
    <w:uiPriority w:val="0"/>
    <w:qFormat/>
    <w:rPr>
      <w:rFonts w:hint="eastAsia" w:ascii="宋体" w:hAnsi="宋体" w:eastAsia="宋体" w:cs="宋体"/>
      <w:color w:val="000000"/>
      <w:sz w:val="20"/>
      <w:szCs w:val="20"/>
      <w:u w:val="none"/>
    </w:rPr>
  </w:style>
  <w:style w:type="character" w:styleId="1264" w:customStyle="1">
    <w:name w:val="Plain Text Char Char"/>
    <w:link w:val="988"/>
    <w:uiPriority w:val="0"/>
    <w:qFormat/>
    <w:rPr>
      <w:rFonts w:ascii="宋体" w:hAnsi="Courier New" w:eastAsia="楷体_GB2312"/>
      <w:sz w:val="26"/>
    </w:rPr>
  </w:style>
  <w:style w:type="character" w:styleId="1265" w:customStyle="1">
    <w:name w:val="font51"/>
    <w:uiPriority w:val="0"/>
    <w:qFormat/>
    <w:rPr>
      <w:rFonts w:hint="default" w:ascii="Times New Roman" w:hAnsi="Times New Roman" w:cs="Times New Roman"/>
      <w:color w:val="000000"/>
      <w:sz w:val="21"/>
      <w:szCs w:val="21"/>
      <w:u w:val="none"/>
    </w:rPr>
  </w:style>
  <w:style w:type="character" w:styleId="1266" w:customStyle="1">
    <w:name w:val="日期 Char1"/>
    <w:uiPriority w:val="99"/>
    <w:semiHidden/>
    <w:qFormat/>
    <w:rPr>
      <w:rFonts w:ascii="Times New Roman" w:hAnsi="Times New Roman" w:eastAsia="楷体_GB2312" w:cs="Times New Roman"/>
      <w:sz w:val="26"/>
      <w:szCs w:val="20"/>
    </w:rPr>
  </w:style>
  <w:style w:type="character" w:styleId="1267" w:customStyle="1">
    <w:name w:val="my正文 Char"/>
    <w:link w:val="1118"/>
    <w:uiPriority w:val="0"/>
    <w:qFormat/>
    <w:rPr>
      <w:sz w:val="24"/>
      <w:szCs w:val="24"/>
    </w:rPr>
  </w:style>
  <w:style w:type="character" w:styleId="1268" w:customStyle="1">
    <w:name w:val="页脚 Char"/>
    <w:link w:val="980"/>
    <w:uiPriority w:val="99"/>
    <w:qFormat/>
    <w:rPr>
      <w:sz w:val="18"/>
      <w:szCs w:val="18"/>
    </w:rPr>
  </w:style>
  <w:style w:type="character" w:styleId="1269" w:customStyle="1">
    <w:name w:val="font21"/>
    <w:uiPriority w:val="0"/>
    <w:qFormat/>
    <w:rPr>
      <w:rFonts w:hint="eastAsia" w:ascii="宋体" w:hAnsi="宋体" w:eastAsia="宋体"/>
      <w:color w:val="000000"/>
      <w:sz w:val="21"/>
      <w:szCs w:val="21"/>
      <w:u w:val="none"/>
    </w:rPr>
  </w:style>
  <w:style w:type="character" w:styleId="1270" w:customStyle="1">
    <w:name w:val="批注文字 Char1"/>
    <w:uiPriority w:val="99"/>
    <w:semiHidden/>
    <w:qFormat/>
    <w:rPr>
      <w:rFonts w:ascii="Times New Roman" w:hAnsi="Times New Roman" w:eastAsia="楷体_GB2312" w:cs="Times New Roman"/>
      <w:sz w:val="26"/>
      <w:szCs w:val="20"/>
    </w:rPr>
  </w:style>
  <w:style w:type="character" w:styleId="1271" w:customStyle="1">
    <w:name w:val="脚注文本 字符"/>
    <w:link w:val="770"/>
    <w:uiPriority w:val="0"/>
    <w:semiHidden/>
    <w:qFormat/>
    <w:rPr>
      <w:rFonts w:ascii="Times New Roman" w:hAnsi="Times New Roman" w:eastAsia="楷体_GB2312" w:cs="Times New Roman"/>
      <w:sz w:val="18"/>
      <w:szCs w:val="20"/>
    </w:rPr>
  </w:style>
  <w:style w:type="character" w:styleId="1272" w:customStyle="1">
    <w:name w:val="标题 字符"/>
    <w:link w:val="780"/>
    <w:uiPriority w:val="0"/>
    <w:qFormat/>
    <w:rPr>
      <w:rFonts w:ascii="Arial" w:hAnsi="Arial" w:cs="Arial"/>
      <w:b/>
      <w:sz w:val="36"/>
      <w:szCs w:val="32"/>
    </w:rPr>
  </w:style>
  <w:style w:type="character" w:styleId="1273" w:customStyle="1">
    <w:name w:val="正文文本缩进 字符"/>
    <w:link w:val="752"/>
    <w:uiPriority w:val="0"/>
    <w:qFormat/>
    <w:rPr>
      <w:rFonts w:ascii="方正仿宋简体" w:hAnsi="创艺简仿宋" w:eastAsia="方正仿宋简体"/>
      <w:sz w:val="24"/>
    </w:rPr>
  </w:style>
  <w:style w:type="character" w:styleId="1274" w:customStyle="1">
    <w:name w:val="标题 7 Char"/>
    <w:link w:val="977"/>
    <w:uiPriority w:val="0"/>
    <w:qFormat/>
    <w:rPr>
      <w:rFonts w:ascii="Times New Roman" w:hAnsi="Times New Roman" w:eastAsia="宋体" w:cs="Times New Roman"/>
      <w:b/>
      <w:sz w:val="24"/>
      <w:szCs w:val="20"/>
    </w:rPr>
  </w:style>
  <w:style w:type="character" w:styleId="1275" w:customStyle="1">
    <w:name w:val="HTML 预设格式 字符"/>
    <w:link w:val="777"/>
    <w:uiPriority w:val="0"/>
    <w:qFormat/>
    <w:rPr>
      <w:rFonts w:ascii="黑体" w:hAnsi="Courier New" w:eastAsia="黑体" w:cs="楷体_GB2312"/>
    </w:rPr>
  </w:style>
  <w:style w:type="character" w:styleId="1276" w:customStyle="1">
    <w:name w:val="标题 9 Char"/>
    <w:link w:val="979"/>
    <w:uiPriority w:val="0"/>
    <w:qFormat/>
    <w:rPr>
      <w:rFonts w:ascii="Arial" w:hAnsi="Arial" w:eastAsia="黑体" w:cs="Times New Roman"/>
      <w:szCs w:val="20"/>
    </w:rPr>
  </w:style>
  <w:style w:type="character" w:styleId="1277" w:customStyle="1">
    <w:name w:val="正文文本首行缩进 字符"/>
    <w:link w:val="783"/>
    <w:uiPriority w:val="99"/>
    <w:qFormat/>
    <w:rPr>
      <w:sz w:val="28"/>
    </w:rPr>
  </w:style>
  <w:style w:type="character" w:styleId="1278" w:customStyle="1">
    <w:name w:val="批注主题 字符"/>
    <w:link w:val="782"/>
    <w:uiPriority w:val="0"/>
    <w:qFormat/>
    <w:rPr>
      <w:rFonts w:ascii="Times New Roman" w:hAnsi="Times New Roman" w:eastAsia="楷体_GB2312" w:cs="Times New Roman"/>
      <w:b/>
      <w:bCs/>
      <w:sz w:val="26"/>
      <w:szCs w:val="20"/>
    </w:rPr>
  </w:style>
  <w:style w:type="character" w:styleId="1279" w:customStyle="1">
    <w:name w:val="Table Text Char Char Char Char Char Char"/>
    <w:uiPriority w:val="0"/>
    <w:qFormat/>
    <w:rPr>
      <w:rFonts w:ascii="Arial" w:hAnsi="Arial" w:eastAsia="宋体" w:cs="Arial"/>
      <w:sz w:val="18"/>
      <w:szCs w:val="18"/>
      <w:lang w:val="en-US" w:eastAsia="zh-CN"/>
    </w:rPr>
  </w:style>
  <w:style w:type="character" w:styleId="1280" w:customStyle="1">
    <w:name w:val="Char Char8"/>
    <w:uiPriority w:val="0"/>
    <w:qFormat/>
    <w:rPr>
      <w:rFonts w:eastAsia="楷体_GB2312"/>
      <w:b/>
      <w:sz w:val="44"/>
      <w:lang w:val="en-US" w:eastAsia="zh-CN" w:bidi="ar-SA"/>
    </w:rPr>
  </w:style>
  <w:style w:type="character" w:styleId="1281" w:customStyle="1">
    <w:name w:val="表蕊 Char2"/>
    <w:link w:val="1125"/>
    <w:uiPriority w:val="0"/>
    <w:qFormat/>
    <w:rPr>
      <w:rFonts w:eastAsia="楷体_GB2312"/>
      <w:spacing w:val="-10"/>
    </w:rPr>
  </w:style>
  <w:style w:type="character" w:styleId="1282" w:customStyle="1">
    <w:name w:val="无间隔 Char"/>
    <w:link w:val="1181"/>
    <w:uiPriority w:val="0"/>
    <w:qFormat/>
    <w:rPr>
      <w:rFonts w:eastAsia="仿宋_GB2312"/>
      <w:sz w:val="28"/>
      <w:szCs w:val="24"/>
      <w:lang w:val="en-US" w:eastAsia="zh-CN" w:bidi="ar-SA"/>
    </w:rPr>
  </w:style>
  <w:style w:type="character" w:styleId="1283" w:customStyle="1">
    <w:name w:val="font111"/>
    <w:uiPriority w:val="0"/>
    <w:qFormat/>
    <w:rPr>
      <w:rFonts w:hint="eastAsia" w:ascii="宋体" w:hAnsi="宋体" w:eastAsia="宋体" w:cs="宋体"/>
      <w:b/>
      <w:color w:val="000000"/>
      <w:sz w:val="20"/>
      <w:szCs w:val="20"/>
      <w:u w:val="none"/>
    </w:rPr>
  </w:style>
  <w:style w:type="character" w:styleId="1284" w:customStyle="1">
    <w:name w:val="文档结构图 Char1"/>
    <w:uiPriority w:val="99"/>
    <w:semiHidden/>
    <w:qFormat/>
    <w:rPr>
      <w:rFonts w:ascii="宋体" w:hAnsi="Times New Roman" w:eastAsia="宋体" w:cs="Times New Roman"/>
      <w:sz w:val="18"/>
      <w:szCs w:val="18"/>
    </w:rPr>
  </w:style>
  <w:style w:type="character" w:styleId="1285" w:customStyle="1">
    <w:name w:val="font171"/>
    <w:uiPriority w:val="0"/>
    <w:qFormat/>
    <w:rPr>
      <w:rFonts w:ascii="Wingdings 2" w:hAnsi="Wingdings 2" w:eastAsia="Wingdings 2" w:cs="Wingdings 2"/>
      <w:color w:val="000000"/>
      <w:sz w:val="20"/>
      <w:szCs w:val="20"/>
      <w:u w:val="none"/>
    </w:rPr>
  </w:style>
  <w:style w:type="character" w:styleId="1286" w:customStyle="1">
    <w:name w:val="Char Char"/>
    <w:uiPriority w:val="0"/>
    <w:semiHidden/>
    <w:qFormat/>
    <w:rPr>
      <w:rFonts w:ascii="宋体" w:eastAsia="宋体"/>
      <w:sz w:val="18"/>
      <w:szCs w:val="18"/>
      <w:lang w:val="en-US" w:eastAsia="zh-CN" w:bidi="ar-SA"/>
    </w:rPr>
  </w:style>
  <w:style w:type="character" w:styleId="1287" w:customStyle="1">
    <w:name w:val="font71"/>
    <w:uiPriority w:val="0"/>
    <w:qFormat/>
    <w:rPr>
      <w:rFonts w:hint="default" w:ascii="Times New Roman" w:hAnsi="Times New Roman" w:cs="Times New Roman"/>
      <w:color w:val="000000"/>
      <w:sz w:val="21"/>
      <w:szCs w:val="21"/>
      <w:u w:val="none"/>
    </w:rPr>
  </w:style>
  <w:style w:type="character" w:styleId="1288" w:customStyle="1">
    <w:name w:val="Char Char7"/>
    <w:uiPriority w:val="0"/>
    <w:semiHidden/>
    <w:qFormat/>
    <w:rPr>
      <w:rFonts w:ascii="宋体" w:hAnsi="宋体" w:eastAsia="楷体_GB2312"/>
      <w:b/>
      <w:sz w:val="26"/>
      <w:lang w:val="en-US" w:eastAsia="zh-CN" w:bidi="ar-SA"/>
    </w:rPr>
  </w:style>
  <w:style w:type="character" w:styleId="1289" w:customStyle="1">
    <w:name w:val="正文文本 2 字符"/>
    <w:link w:val="776"/>
    <w:uiPriority w:val="0"/>
    <w:qFormat/>
    <w:rPr>
      <w:rFonts w:ascii="Times New Roman" w:hAnsi="Times New Roman" w:eastAsia="宋体" w:cs="Times New Roman"/>
      <w:sz w:val="24"/>
      <w:szCs w:val="24"/>
    </w:rPr>
  </w:style>
  <w:style w:type="character" w:styleId="1290" w:customStyle="1">
    <w:name w:val="font41"/>
    <w:basedOn w:val="744"/>
    <w:uiPriority w:val="0"/>
    <w:qFormat/>
    <w:rPr>
      <w:rFonts w:hint="eastAsia" w:ascii="宋体" w:hAnsi="宋体" w:eastAsia="宋体" w:cs="宋体"/>
      <w:b/>
      <w:color w:val="000000"/>
      <w:sz w:val="20"/>
      <w:szCs w:val="20"/>
      <w:u w:val="none"/>
    </w:rPr>
  </w:style>
  <w:style w:type="character" w:styleId="1291" w:customStyle="1">
    <w:name w:val="文本块 Char"/>
    <w:link w:val="1185"/>
    <w:uiPriority w:val="0"/>
    <w:qFormat/>
    <w:rPr>
      <w:rFonts w:ascii="宋体"/>
      <w:sz w:val="24"/>
    </w:rPr>
  </w:style>
  <w:style w:type="table" w:styleId="1292" w:customStyle="1">
    <w:name w:val="网格型1"/>
    <w:basedOn w:val="74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3" w:customStyle="1">
    <w:name w:val="纯文本4"/>
    <w:basedOn w:val="734"/>
    <w:uiPriority w:val="0"/>
    <w:qFormat/>
    <w:rPr>
      <w:rFonts w:ascii="宋体" w:hAnsi="Courier New"/>
    </w:rPr>
  </w:style>
  <w:style w:type="paragraph" w:styleId="1294" w:customStyle="1">
    <w:name w:val="财政-标题一"/>
    <w:basedOn w:val="734"/>
    <w:uiPriority w:val="0"/>
    <w:qFormat/>
    <w:pPr>
      <w:numPr>
        <w:ilvl w:val="0"/>
        <w:numId w:val="2"/>
      </w:numPr>
      <w:outlineLvl w:val="0"/>
    </w:pPr>
    <w:rPr>
      <w:rFonts w:ascii="Calibri" w:hAnsi="Calibri" w:eastAsia="华文中宋"/>
      <w:b/>
      <w:sz w:val="44"/>
      <w:szCs w:val="21"/>
    </w:rPr>
  </w:style>
  <w:style w:type="paragraph" w:styleId="1295"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296" w:customStyle="1">
    <w:name w:val="UserStyle_9"/>
    <w:basedOn w:val="734"/>
    <w:uiPriority w:val="0"/>
    <w:qFormat/>
    <w:pPr>
      <w:numPr>
        <w:ilvl w:val="2"/>
        <w:numId w:val="2"/>
      </w:numPr>
    </w:pPr>
    <w:rPr>
      <w:rFonts w:eastAsia="华文中宋"/>
      <w:sz w:val="32"/>
      <w:szCs w:val="21"/>
    </w:rPr>
  </w:style>
  <w:style w:type="paragraph" w:styleId="1297" w:customStyle="1">
    <w:name w:val="書式なし1"/>
    <w:basedOn w:val="734"/>
    <w:uiPriority w:val="0"/>
    <w:qFormat/>
    <w:rPr>
      <w:rFonts w:ascii="宋体" w:hAnsi="Courier New" w:cs="宋体"/>
    </w:rPr>
  </w:style>
  <w:style w:type="paragraph" w:styleId="1298" w:customStyle="1">
    <w:name w:val="正文缩进1"/>
    <w:basedOn w:val="734"/>
    <w:next w:val="734"/>
    <w:uiPriority w:val="0"/>
    <w:qFormat/>
    <w:pPr>
      <w:ind w:firstLine="420"/>
      <w:jc w:val="left"/>
    </w:pPr>
    <w:rPr>
      <w:sz w:val="24"/>
    </w:rPr>
  </w:style>
  <w:style w:type="character" w:styleId="1299" w:customStyle="1">
    <w:name w:val="超链接1"/>
    <w:uiPriority w:val="0"/>
    <w:qFormat/>
    <w:rPr>
      <w:rFonts w:ascii="Times New Roman" w:hAnsi="Times New Roman" w:eastAsia="楷体_GB2312" w:cs="Times New Roman"/>
      <w:sz w:val="26"/>
      <w:lang w:val="en-US" w:eastAsia="zh-CN" w:bidi="ar-SA"/>
    </w:rPr>
  </w:style>
  <w:style w:type="character" w:styleId="1300" w:customStyle="1">
    <w:name w:val="要点1"/>
    <w:uiPriority w:val="0"/>
    <w:qFormat/>
    <w:rPr>
      <w:rFonts w:ascii="Times New Roman" w:hAnsi="Times New Roman" w:eastAsia="宋体" w:cs="Times New Roman"/>
      <w:b/>
    </w:rPr>
  </w:style>
  <w:style w:type="character" w:styleId="1301" w:customStyle="1">
    <w:name w:val="页脚 字符"/>
    <w:basedOn w:val="744"/>
    <w:link w:val="762"/>
    <w:uiPriority w:val="0"/>
    <w:qFormat/>
    <w:rPr>
      <w:rFonts w:ascii="Times New Roman" w:hAnsi="Times New Roman" w:eastAsia="楷体_GB2312"/>
      <w:sz w:val="18"/>
      <w:szCs w:val="18"/>
    </w:rPr>
  </w:style>
  <w:style w:type="character" w:styleId="1302" w:customStyle="1">
    <w:name w:val="页眉 字符"/>
    <w:basedOn w:val="744"/>
    <w:link w:val="766"/>
    <w:uiPriority w:val="0"/>
    <w:qFormat/>
    <w:rPr>
      <w:rFonts w:ascii="Times New Roman" w:hAnsi="Times New Roman" w:eastAsia="楷体_GB2312"/>
      <w:sz w:val="18"/>
      <w:szCs w:val="18"/>
    </w:rPr>
  </w:style>
  <w:style w:type="paragraph" w:styleId="1303" w:customStyle="1">
    <w:name w:val="标题 411"/>
    <w:basedOn w:val="734"/>
    <w:next w:val="734"/>
    <w:uiPriority w:val="9"/>
    <w:qFormat/>
    <w:pPr>
      <w:keepLines/>
      <w:keepNext/>
      <w:spacing w:line="400" w:lineRule="exact"/>
      <w:outlineLvl w:val="3"/>
    </w:pPr>
    <w:rPr>
      <w:rFonts w:ascii="宋体" w:hAnsi="Arial" w:eastAsia="宋体"/>
      <w:b/>
      <w:bCs/>
      <w:sz w:val="24"/>
      <w:szCs w:val="28"/>
    </w:rPr>
  </w:style>
  <w:style w:type="paragraph" w:styleId="1304" w:customStyle="1">
    <w:name w:val="Table Paragraph"/>
    <w:basedOn w:val="734"/>
    <w:uiPriority w:val="1"/>
    <w:qFormat/>
    <w:pPr>
      <w:jc w:val="left"/>
    </w:pPr>
    <w:rPr>
      <w:sz w:val="24"/>
    </w:rPr>
  </w:style>
  <w:style w:type="table" w:styleId="130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306" w:customStyle="1">
    <w:name w:val="标题 22"/>
    <w:basedOn w:val="734"/>
    <w:next w:val="734"/>
    <w:uiPriority w:val="0"/>
    <w:qFormat/>
    <w:pPr>
      <w:ind w:left="576" w:firstLine="24"/>
      <w:spacing w:before="260" w:after="260" w:line="416" w:lineRule="auto"/>
      <w:outlineLvl w:val="1"/>
    </w:pPr>
  </w:style>
  <w:style w:type="character" w:styleId="1307" w:customStyle="1">
    <w:name w:val="font121"/>
    <w:basedOn w:val="744"/>
    <w:uiPriority w:val="0"/>
    <w:qFormat/>
    <w:rPr>
      <w:rFonts w:ascii="Arial" w:hAnsi="Arial" w:cs="Arial"/>
      <w:color w:val="000000"/>
      <w:sz w:val="20"/>
      <w:szCs w:val="20"/>
      <w:u w:val="none"/>
    </w:rPr>
  </w:style>
  <w:style w:type="character" w:styleId="1308" w:customStyle="1">
    <w:name w:val="font131"/>
    <w:basedOn w:val="744"/>
    <w:uiPriority w:val="0"/>
    <w:qFormat/>
    <w:rPr>
      <w:rFonts w:ascii="微软雅黑" w:hAnsi="微软雅黑" w:eastAsia="微软雅黑" w:cs="微软雅黑"/>
      <w:color w:val="000000"/>
      <w:sz w:val="20"/>
      <w:szCs w:val="20"/>
      <w:u w:val="none"/>
    </w:rPr>
  </w:style>
  <w:style w:type="paragraph" w:styleId="1309" w:customStyle="1">
    <w:name w:val="纯文本111"/>
    <w:basedOn w:val="734"/>
    <w:uiPriority w:val="0"/>
    <w:qFormat/>
    <w:rPr>
      <w:rFonts w:ascii="宋体" w:hAnsi="Courier New"/>
    </w:rPr>
  </w:style>
  <w:style w:type="paragraph" w:styleId="1310" w:customStyle="1">
    <w:name w:val="字元5"/>
    <w:basedOn w:val="734"/>
    <w:uiPriority w:val="0"/>
    <w:qFormat/>
    <w:rPr>
      <w:rFonts w:ascii="宋体" w:hAnsi="宋体"/>
      <w:sz w:val="24"/>
      <w:lang w:eastAsia="en-US"/>
    </w:rPr>
  </w:style>
  <w:style w:type="numbering" w:styleId="32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200</cp:revision>
  <dcterms:created xsi:type="dcterms:W3CDTF">2022-06-09T02:28:00Z</dcterms:created>
  <dcterms:modified xsi:type="dcterms:W3CDTF">2026-05-26T03:40:37Z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B13C9C213C224A1AA45E194C1A487B5A_13</vt:lpwstr>
  </property>
  <property fmtid="{D5CDD505-2E9C-101B-9397-08002B2CF9AE}" pid="4" name="KSOTemplateDocerSaveRecord">
    <vt:lpwstr>eyJoZGlkIjoiYjMxYWU2MGRiMGI4YTMwMjM2ZWNkYzE0ZmQyNjBjYWQiLCJ1c2VySWQiOiI1NzgyNTk0OTgifQ==</vt:lpwstr>
  </property>
</Properties>
</file>