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89"/>
        <w:rPr>
          <w:rFonts w:hint="eastAsia" w:ascii="宋体" w:hAnsi="宋体" w:eastAsia="宋体" w:cs="宋体"/>
          <w:color w:val="000000"/>
          <w:sz w:val="20"/>
          <w:highlight w:val="none"/>
        </w:rPr>
      </w:pPr>
      <w:r/>
      <w:bookmarkStart w:id="0" w:name="EB3ace3d43b98b41779337deb808be6fa3"/>
      <w:r>
        <w:rPr>
          <w:rFonts w:hint="eastAsia" w:ascii="宋体" w:hAnsi="宋体" w:eastAsia="宋体" w:cs="宋体"/>
          <w:color w:val="000000"/>
          <w:sz w:val="20"/>
          <w:highlight w:val="none"/>
        </w:rPr>
        <w:t xml:space="preserve"> </w:t>
      </w:r>
      <w:bookmarkEnd w:id="0"/>
      <w:r/>
      <w:bookmarkStart w:id="1" w:name="EB57dd2a69e2b54b0cb3f5c2f03a1ab7bf"/>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sz w:val="20"/>
          <w:highlight w:val="none"/>
        </w:rPr>
      </w:r>
      <w:r/>
    </w:p>
    <w:p>
      <w:pPr>
        <w:pStyle w:val="102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9"/>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9"/>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989"/>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989"/>
        <w:jc w:val="center"/>
        <w:rPr>
          <w:rFonts w:hint="eastAsia" w:ascii="宋体" w:hAnsi="宋体" w:eastAsia="宋体" w:cs="宋体"/>
          <w:color w:val="000000"/>
          <w:sz w:val="82"/>
          <w:szCs w:val="72"/>
          <w:highlight w:val="none"/>
        </w:rPr>
      </w:pPr>
      <w:r>
        <w:rPr>
          <w:rFonts w:hint="eastAsia" w:ascii="宋体" w:hAnsi="宋体" w:eastAsia="宋体" w:cs="宋体"/>
          <w:color w:val="000000"/>
          <w:sz w:val="82"/>
          <w:szCs w:val="72"/>
          <w:highlight w:val="none"/>
        </w:rPr>
        <w:t xml:space="preserve">招  标  文  件</w:t>
      </w:r>
      <w:r>
        <w:rPr>
          <w:rFonts w:hint="eastAsia" w:ascii="宋体" w:hAnsi="宋体" w:eastAsia="宋体" w:cs="宋体"/>
          <w:color w:val="000000"/>
          <w:sz w:val="82"/>
          <w:szCs w:val="72"/>
          <w:highlight w:val="none"/>
        </w:rPr>
      </w:r>
      <w:r/>
    </w:p>
    <w:p>
      <w:pPr>
        <w:pStyle w:val="989"/>
        <w:ind w:firstLine="1980"/>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9"/>
        <w:ind w:firstLine="1980"/>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9"/>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261"/>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845" w:type="dxa"/>
        <w:tblLayout w:type="fixed"/>
        <w:tblCellMar>
          <w:left w:w="108" w:type="dxa"/>
          <w:top w:w="0" w:type="dxa"/>
          <w:right w:w="108" w:type="dxa"/>
          <w:bottom w:w="0" w:type="dxa"/>
        </w:tblCellMar>
        <w:tblLook w:val="04A0" w:firstRow="1" w:lastRow="0" w:firstColumn="1" w:lastColumn="0" w:noHBand="0" w:noVBand="1"/>
      </w:tblPr>
      <w:tblGrid>
        <w:gridCol w:w="2069"/>
        <w:gridCol w:w="5953"/>
      </w:tblGrid>
      <w:tr>
        <w:trPr/>
        <w:tc>
          <w:tcPr>
            <w:tcBorders>
              <w:top w:val="none" w:color="000000" w:sz="0" w:space="0"/>
              <w:left w:val="none" w:color="000000" w:sz="0" w:space="0"/>
              <w:bottom w:val="none" w:color="000000" w:sz="0" w:space="0"/>
              <w:right w:val="none" w:color="000000" w:sz="0" w:space="0"/>
            </w:tcBorders>
            <w:tcW w:w="2069" w:type="dxa"/>
            <w:vAlign w:val="top"/>
            <w:textDirection w:val="lrTb"/>
            <w:noWrap w:val="false"/>
          </w:tcPr>
          <w:p>
            <w:pPr>
              <w:pStyle w:val="989"/>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3" w:type="dxa"/>
            <w:vAlign w:val="top"/>
            <w:textDirection w:val="lrTb"/>
            <w:noWrap w:val="false"/>
          </w:tcPr>
          <w:p>
            <w:pPr>
              <w:pStyle w:val="989"/>
              <w:jc w:val="left"/>
              <w:spacing w:line="500" w:lineRule="exac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宿迁学院医务室医疗服务托管采购项目</w:t>
            </w:r>
            <w:r>
              <w:rPr>
                <w:rFonts w:hint="eastAsia" w:ascii="宋体" w:hAnsi="宋体" w:eastAsia="宋体" w:cs="宋体"/>
                <w:color w:val="000000"/>
                <w:sz w:val="36"/>
                <w:szCs w:val="36"/>
                <w:highlight w:val="none"/>
                <w:lang w:eastAsia="zh-CN"/>
              </w:rPr>
            </w:r>
            <w:r/>
          </w:p>
        </w:tc>
      </w:tr>
      <w:tr>
        <w:trPr/>
        <w:tc>
          <w:tcPr>
            <w:tcBorders>
              <w:top w:val="none" w:color="000000" w:sz="0" w:space="0"/>
              <w:left w:val="none" w:color="000000" w:sz="0" w:space="0"/>
              <w:bottom w:val="none" w:color="000000" w:sz="0" w:space="0"/>
              <w:right w:val="none" w:color="000000" w:sz="0" w:space="0"/>
            </w:tcBorders>
            <w:tcW w:w="2069" w:type="dxa"/>
            <w:vAlign w:val="top"/>
            <w:textDirection w:val="lrTb"/>
            <w:noWrap w:val="false"/>
          </w:tcPr>
          <w:p>
            <w:pPr>
              <w:pStyle w:val="989"/>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3" w:type="dxa"/>
            <w:vAlign w:val="top"/>
            <w:textDirection w:val="lrTb"/>
            <w:noWrap w:val="false"/>
          </w:tcPr>
          <w:p>
            <w:pPr>
              <w:pStyle w:val="989"/>
              <w:jc w:val="left"/>
              <w:spacing w:line="500" w:lineRule="exac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JSZC-320000-JING-G2026-0017</w:t>
            </w:r>
            <w:r>
              <w:rPr>
                <w:rFonts w:hint="eastAsia" w:ascii="宋体" w:hAnsi="宋体" w:eastAsia="宋体" w:cs="宋体"/>
                <w:color w:val="000000"/>
                <w:sz w:val="36"/>
                <w:szCs w:val="36"/>
                <w:highlight w:val="none"/>
                <w:lang w:eastAsia="zh-CN"/>
              </w:rPr>
            </w:r>
            <w:r/>
          </w:p>
        </w:tc>
      </w:tr>
    </w:tbl>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710" w:type="dxa"/>
        <w:tblLayout w:type="autofit"/>
        <w:tblCellMar>
          <w:left w:w="108" w:type="dxa"/>
          <w:top w:w="0" w:type="dxa"/>
          <w:right w:w="108" w:type="dxa"/>
          <w:bottom w:w="0" w:type="dxa"/>
        </w:tblCellMar>
        <w:tblLook w:val="04A0" w:firstRow="1" w:lastRow="0" w:firstColumn="1" w:lastColumn="0" w:noHBand="0" w:noVBand="1"/>
      </w:tblPr>
      <w:tblGrid>
        <w:gridCol w:w="2570"/>
        <w:gridCol w:w="5476"/>
      </w:tblGrid>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989"/>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采购人：</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989"/>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lang w:eastAsia="zh-CN"/>
              </w:rPr>
              <w:t xml:space="preserve">宿迁学院</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989"/>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采购代理机构：</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989"/>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lang w:eastAsia="zh-CN"/>
              </w:rPr>
              <w:t xml:space="preserve">江苏经天纬地建设项目管理有限公司</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989"/>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日  期：</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989"/>
              <w:rPr>
                <w:rFonts w:hint="eastAsia" w:ascii="宋体" w:hAnsi="宋体" w:eastAsia="宋体" w:cs="宋体"/>
                <w:color w:val="000000"/>
                <w:highlight w:val="none"/>
              </w:rPr>
            </w:pPr>
            <w:r/>
            <w:bookmarkStart w:id="2" w:name="EB011e21966a4746ceac4488705cfdd813"/>
            <w:r>
              <w:rPr>
                <w:rFonts w:hint="eastAsia" w:ascii="宋体" w:hAnsi="宋体" w:eastAsia="宋体" w:cs="宋体"/>
                <w:color w:val="000000"/>
                <w:sz w:val="36"/>
                <w:szCs w:val="36"/>
                <w:highlight w:val="none"/>
              </w:rPr>
              <w:t xml:space="preserve">202</w:t>
            </w:r>
            <w:r>
              <w:rPr>
                <w:rFonts w:hint="eastAsia" w:ascii="宋体" w:hAnsi="宋体" w:eastAsia="宋体" w:cs="宋体"/>
                <w:color w:val="000000"/>
                <w:sz w:val="36"/>
                <w:szCs w:val="36"/>
                <w:highlight w:val="none"/>
                <w:lang w:val="en-US" w:eastAsia="zh-CN"/>
              </w:rPr>
              <w:t xml:space="preserve">6</w:t>
            </w:r>
            <w:r>
              <w:rPr>
                <w:rFonts w:hint="eastAsia" w:ascii="宋体" w:hAnsi="宋体" w:eastAsia="宋体" w:cs="宋体"/>
                <w:color w:val="000000"/>
                <w:sz w:val="36"/>
                <w:szCs w:val="36"/>
                <w:highlight w:val="none"/>
              </w:rPr>
              <w:t xml:space="preserve">年</w:t>
            </w:r>
            <w:r>
              <w:rPr>
                <w:rFonts w:hint="eastAsia" w:ascii="宋体" w:hAnsi="宋体" w:eastAsia="宋体" w:cs="宋体"/>
                <w:color w:val="000000"/>
                <w:sz w:val="36"/>
                <w:szCs w:val="36"/>
                <w:highlight w:val="none"/>
                <w:lang w:val="en-US" w:eastAsia="zh-CN"/>
              </w:rPr>
              <w:t xml:space="preserve">5</w:t>
            </w:r>
            <w:r>
              <w:rPr>
                <w:rFonts w:hint="eastAsia" w:ascii="宋体" w:hAnsi="宋体" w:eastAsia="宋体" w:cs="宋体"/>
                <w:color w:val="000000"/>
                <w:sz w:val="36"/>
                <w:szCs w:val="36"/>
                <w:highlight w:val="none"/>
              </w:rPr>
              <w:t xml:space="preserve">月</w:t>
            </w:r>
            <w:r>
              <w:rPr>
                <w:rFonts w:hint="eastAsia" w:ascii="宋体" w:hAnsi="宋体" w:eastAsia="宋体" w:cs="宋体"/>
                <w:color w:val="000000"/>
                <w:sz w:val="36"/>
                <w:szCs w:val="36"/>
                <w:highlight w:val="none"/>
                <w:lang w:val="en-US" w:eastAsia="zh-CN"/>
              </w:rPr>
              <w:t xml:space="preserve">25</w:t>
            </w:r>
            <w:r>
              <w:rPr>
                <w:rFonts w:hint="eastAsia" w:ascii="宋体" w:hAnsi="宋体" w:eastAsia="宋体" w:cs="宋体"/>
                <w:color w:val="000000"/>
                <w:sz w:val="36"/>
                <w:szCs w:val="36"/>
                <w:highlight w:val="none"/>
              </w:rPr>
              <w:t xml:space="preserve">日</w:t>
            </w:r>
            <w:bookmarkEnd w:id="2"/>
            <w:r>
              <w:rPr>
                <w:rFonts w:hint="eastAsia" w:ascii="宋体" w:hAnsi="宋体" w:eastAsia="宋体" w:cs="宋体"/>
                <w:color w:val="000000"/>
                <w:highlight w:val="none"/>
              </w:rPr>
            </w:r>
            <w:r/>
          </w:p>
        </w:tc>
      </w:tr>
    </w:tbl>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rPr>
          <w:rFonts w:hint="eastAsia" w:ascii="宋体" w:hAnsi="宋体" w:eastAsia="宋体" w:cs="宋体"/>
          <w:color w:val="000000"/>
          <w:sz w:val="20"/>
          <w:highlight w:val="none"/>
        </w:rPr>
      </w:pPr>
      <w:r/>
      <w:bookmarkStart w:id="3" w:name="EB06f4f849a067447382c5c19bd1747a07"/>
      <w:r>
        <w:rPr>
          <w:rFonts w:hint="eastAsia" w:ascii="宋体" w:hAnsi="宋体" w:eastAsia="宋体" w:cs="宋体"/>
          <w:color w:val="000000"/>
          <w:sz w:val="20"/>
          <w:highlight w:val="none"/>
        </w:rPr>
        <w:t xml:space="preserve"> </w:t>
      </w:r>
      <w:bookmarkEnd w:id="3"/>
      <w:r>
        <w:rPr>
          <w:rFonts w:hint="eastAsia" w:ascii="宋体" w:hAnsi="宋体" w:eastAsia="宋体" w:cs="宋体"/>
          <w:color w:val="000000"/>
          <w:sz w:val="20"/>
          <w:highlight w:val="none"/>
        </w:rPr>
      </w:r>
      <w:r/>
    </w:p>
    <w:p>
      <w:pPr>
        <w:pStyle w:val="989"/>
        <w:jc w:val="center"/>
        <w:keepLines/>
        <w:keepNext/>
        <w:pageBreakBefore/>
        <w:rPr>
          <w:rFonts w:hint="eastAsia" w:ascii="宋体" w:hAnsi="宋体" w:eastAsia="宋体" w:cs="宋体"/>
          <w:b/>
          <w:color w:val="000000"/>
          <w:sz w:val="32"/>
          <w:szCs w:val="32"/>
          <w:highlight w:val="none"/>
        </w:rPr>
        <w:sectPr>
          <w:footerReference w:type="default" r:id="rId10"/>
          <w:footnotePr/>
          <w:endnotePr/>
          <w:type w:val="continuous"/>
          <w:pgSz w:w="11906" w:h="16838" w:orient="portrait"/>
          <w:pgMar w:top="1440" w:right="1474" w:bottom="1440" w:left="1588"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br w:type="page" w:clear="all"/>
      </w:r>
      <w:r/>
    </w:p>
    <w:p>
      <w:pPr>
        <w:pStyle w:val="989"/>
        <w:jc w:val="center"/>
        <w:keepLines/>
        <w:keepNext/>
        <w:pageBreakBefore/>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1040"/>
        <w:tabs>
          <w:tab w:val="right" w:pos="8844" w:leader="dot"/>
        </w:tabs>
        <w:rPr>
          <w:color w:val="000000"/>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"1-3"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_Toc28897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第一部分  投标邀请函</w:t>
      </w:r>
      <w:r>
        <w:rPr>
          <w:color w:val="000000"/>
          <w:highlight w:val="none"/>
        </w:rPr>
        <w:tab/>
      </w:r>
      <w:r>
        <w:rPr>
          <w:color w:val="000000"/>
          <w:highlight w:val="none"/>
        </w:rPr>
        <w:fldChar w:fldCharType="begin"/>
      </w:r>
      <w:r>
        <w:rPr>
          <w:color w:val="000000"/>
          <w:highlight w:val="none"/>
        </w:rPr>
        <w:instrText xml:space="preserve"> PAGEREF _Toc28897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1040"/>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_Toc2451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第二部分  投标人须知</w:t>
      </w:r>
      <w:r>
        <w:rPr>
          <w:color w:val="000000"/>
          <w:highlight w:val="none"/>
        </w:rPr>
        <w:tab/>
      </w:r>
      <w:r>
        <w:rPr>
          <w:color w:val="000000"/>
          <w:highlight w:val="none"/>
        </w:rPr>
        <w:fldChar w:fldCharType="begin"/>
      </w:r>
      <w:r>
        <w:rPr>
          <w:color w:val="000000"/>
          <w:highlight w:val="none"/>
        </w:rPr>
        <w:instrText xml:space="preserve"> PAGEREF _Toc2451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1040"/>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_Toc22162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第三部分  评标办法</w:t>
      </w:r>
      <w:r>
        <w:rPr>
          <w:color w:val="000000"/>
          <w:highlight w:val="none"/>
        </w:rPr>
        <w:tab/>
      </w:r>
      <w:r>
        <w:rPr>
          <w:color w:val="000000"/>
          <w:highlight w:val="none"/>
        </w:rPr>
        <w:fldChar w:fldCharType="begin"/>
      </w:r>
      <w:r>
        <w:rPr>
          <w:color w:val="000000"/>
          <w:highlight w:val="none"/>
        </w:rPr>
        <w:instrText xml:space="preserve"> PAGEREF _Toc22162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1040"/>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_Toc7706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第四部分  采购需求</w:t>
      </w:r>
      <w:r>
        <w:rPr>
          <w:color w:val="000000"/>
          <w:highlight w:val="none"/>
        </w:rPr>
        <w:tab/>
      </w:r>
      <w:r>
        <w:rPr>
          <w:color w:val="000000"/>
          <w:highlight w:val="none"/>
        </w:rPr>
        <w:fldChar w:fldCharType="begin"/>
      </w:r>
      <w:r>
        <w:rPr>
          <w:color w:val="000000"/>
          <w:highlight w:val="none"/>
        </w:rPr>
        <w:instrText xml:space="preserve"> PAGEREF _Toc7706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1040"/>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_Toc26635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第五部分  合同格式及条款</w:t>
      </w:r>
      <w:r>
        <w:rPr>
          <w:color w:val="000000"/>
          <w:highlight w:val="none"/>
        </w:rPr>
        <w:tab/>
      </w:r>
      <w:r>
        <w:rPr>
          <w:color w:val="000000"/>
          <w:highlight w:val="none"/>
        </w:rPr>
        <w:fldChar w:fldCharType="begin"/>
      </w:r>
      <w:r>
        <w:rPr>
          <w:color w:val="000000"/>
          <w:highlight w:val="none"/>
        </w:rPr>
        <w:instrText xml:space="preserve"> PAGEREF _Toc26635 \h </w:instrText>
      </w:r>
      <w:r>
        <w:rPr>
          <w:color w:val="000000"/>
          <w:highlight w:val="none"/>
        </w:rPr>
        <w:fldChar w:fldCharType="separate"/>
      </w:r>
      <w:r>
        <w:rPr>
          <w:color w:val="000000"/>
          <w:highlight w:val="none"/>
        </w:rPr>
        <w:t xml:space="preserve">41</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1040"/>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_Toc4652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第六部分  投标文件格式</w:t>
      </w:r>
      <w:r>
        <w:rPr>
          <w:color w:val="000000"/>
          <w:highlight w:val="none"/>
        </w:rPr>
        <w:tab/>
      </w:r>
      <w:r>
        <w:rPr>
          <w:color w:val="000000"/>
          <w:highlight w:val="none"/>
        </w:rPr>
        <w:fldChar w:fldCharType="begin"/>
      </w:r>
      <w:r>
        <w:rPr>
          <w:color w:val="000000"/>
          <w:highlight w:val="none"/>
        </w:rPr>
        <w:instrText xml:space="preserve"> PAGEREF _Toc4652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szCs w:val="32"/>
          <w:highlight w:val="none"/>
        </w:rPr>
        <w:fldChar w:fldCharType="end"/>
      </w:r>
      <w:r>
        <w:rPr>
          <w:rFonts w:hint="eastAsia" w:ascii="宋体" w:hAnsi="宋体" w:eastAsia="宋体" w:cs="宋体"/>
          <w:color w:val="000000"/>
          <w:highlight w:val="none"/>
        </w:rPr>
      </w:r>
      <w:r/>
    </w:p>
    <w:p>
      <w:pPr>
        <w:pStyle w:val="989"/>
        <w:rPr>
          <w:rFonts w:hint="eastAsia" w:ascii="宋体" w:hAnsi="宋体" w:eastAsia="宋体" w:cs="宋体"/>
          <w:color w:val="000000"/>
          <w:highlight w:val="none"/>
        </w:rPr>
      </w:pPr>
      <w:r/>
      <w:bookmarkStart w:id="4" w:name="EB924ce97e40fd4b0a9c4a10df7a70fe42"/>
      <w:r>
        <w:rPr>
          <w:rFonts w:hint="eastAsia" w:ascii="宋体" w:hAnsi="宋体" w:eastAsia="宋体" w:cs="宋体"/>
          <w:color w:val="000000"/>
          <w:sz w:val="20"/>
          <w:highlight w:val="none"/>
        </w:rPr>
        <w:t xml:space="preserve"> </w:t>
      </w:r>
      <w:bookmarkEnd w:id="4"/>
      <w:r>
        <w:rPr>
          <w:rFonts w:hint="eastAsia" w:ascii="宋体" w:hAnsi="宋体" w:eastAsia="宋体" w:cs="宋体"/>
          <w:color w:val="000000"/>
          <w:highlight w:val="none"/>
        </w:rPr>
      </w:r>
      <w:r/>
    </w:p>
    <w:p>
      <w:pPr>
        <w:pStyle w:val="989"/>
        <w:jc w:val="center"/>
        <w:keepLines/>
        <w:keepNext/>
        <w:pageBreakBefore/>
        <w:rPr>
          <w:rFonts w:hint="eastAsia" w:ascii="宋体" w:hAnsi="宋体" w:eastAsia="宋体" w:cs="宋体"/>
          <w:b/>
          <w:color w:val="000000"/>
          <w:sz w:val="44"/>
          <w:szCs w:val="44"/>
          <w:highlight w:val="none"/>
        </w:rPr>
        <w:sectPr>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0"/>
      </w:pPr>
      <w:r/>
      <w:bookmarkStart w:id="5" w:name="_Toc81575152"/>
      <w:r/>
      <w:bookmarkStart w:id="6" w:name="_Toc81575189"/>
      <w:r>
        <w:rPr>
          <w:rFonts w:hint="eastAsia" w:ascii="宋体" w:hAnsi="宋体" w:eastAsia="宋体" w:cs="宋体"/>
          <w:b/>
          <w:color w:val="000000"/>
          <w:sz w:val="44"/>
          <w:szCs w:val="44"/>
          <w:highlight w:val="none"/>
        </w:rPr>
      </w:r>
      <w:r/>
    </w:p>
    <w:p>
      <w:pPr>
        <w:pStyle w:val="989"/>
        <w:jc w:val="center"/>
        <w:keepLines/>
        <w:keepNext/>
        <w:pageBreakBefore/>
        <w:rPr>
          <w:rFonts w:hint="eastAsia" w:ascii="宋体" w:hAnsi="宋体" w:eastAsia="宋体" w:cs="宋体"/>
          <w:color w:val="000000"/>
          <w:sz w:val="24"/>
          <w:highlight w:val="none"/>
        </w:rPr>
        <w:outlineLvl w:val="0"/>
      </w:pPr>
      <w:r/>
      <w:bookmarkStart w:id="7" w:name="_Toc28897"/>
      <w:r>
        <w:rPr>
          <w:rFonts w:hint="eastAsia" w:ascii="宋体" w:hAnsi="宋体" w:eastAsia="宋体" w:cs="宋体"/>
          <w:b/>
          <w:color w:val="000000"/>
          <w:sz w:val="44"/>
          <w:szCs w:val="44"/>
          <w:highlight w:val="none"/>
        </w:rPr>
        <w:t xml:space="preserve">第一部分  投标邀请函</w:t>
      </w:r>
      <w:bookmarkEnd w:id="5"/>
      <w:r/>
      <w:bookmarkEnd w:id="6"/>
      <w:r/>
      <w:bookmarkEnd w:id="7"/>
      <w:r>
        <w:rPr>
          <w:rFonts w:hint="eastAsia" w:ascii="宋体" w:hAnsi="宋体" w:eastAsia="宋体" w:cs="宋体"/>
          <w:color w:val="000000"/>
          <w:sz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8" w:name="_Toc81575153"/>
      <w:r/>
      <w:bookmarkStart w:id="9" w:name="_Toc81575190"/>
      <w:r>
        <w:rPr>
          <w:rFonts w:hint="eastAsia" w:ascii="宋体" w:hAnsi="宋体" w:eastAsia="宋体" w:cs="宋体"/>
          <w:caps w:val="0"/>
          <w:color w:val="000000"/>
          <w:sz w:val="24"/>
          <w:szCs w:val="24"/>
          <w:highlight w:val="none"/>
        </w:rPr>
        <w:t xml:space="preserve">受</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宿迁学院</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江苏经天纬地建设项目管理有限公司</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就</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宿迁学院医务室医疗服务托管采购项目</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JSZC-320000-JING-G2026-0017</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u w:val="single"/>
          <w:lang w:eastAsia="zh-CN"/>
        </w:rPr>
        <w:t xml:space="preserve">宿迁学院医务室医疗服务托管采购项目</w:t>
      </w:r>
      <w:r>
        <w:rPr>
          <w:rFonts w:hint="eastAsia" w:ascii="宋体" w:hAnsi="宋体" w:eastAsia="宋体" w:cs="宋体"/>
          <w:caps w:val="0"/>
          <w:color w:val="000000"/>
          <w:sz w:val="24"/>
          <w:szCs w:val="24"/>
          <w:highlight w:val="none"/>
        </w:rPr>
        <w:t xml:space="preserve"> 招标项目的潜在投标人可在</w:t>
      </w:r>
      <w:r>
        <w:rPr>
          <w:rFonts w:hint="eastAsia" w:ascii="宋体" w:hAnsi="宋体" w:eastAsia="宋体" w:cs="宋体"/>
          <w:caps w:val="0"/>
          <w:color w:val="000000"/>
          <w:sz w:val="24"/>
          <w:szCs w:val="24"/>
          <w:highlight w:val="none"/>
          <w:u w:val="single"/>
          <w:lang w:eastAsia="zh-CN"/>
        </w:rPr>
        <w:t xml:space="preserve">“苏采云“系统 (网址: http://jszfcg.jsczt.cn/)</w:t>
      </w:r>
      <w:r>
        <w:rPr>
          <w:rFonts w:hint="eastAsia" w:ascii="宋体" w:hAnsi="宋体" w:eastAsia="宋体" w:cs="宋体"/>
          <w:caps w:val="0"/>
          <w:color w:val="000000"/>
          <w:sz w:val="24"/>
          <w:szCs w:val="24"/>
          <w:highlight w:val="none"/>
          <w:u w:val="none"/>
          <w:lang w:eastAsia="zh-CN"/>
        </w:rPr>
        <w:t xml:space="preserve">获取</w:t>
      </w:r>
      <w:r>
        <w:rPr>
          <w:rFonts w:hint="eastAsia" w:ascii="宋体" w:hAnsi="宋体" w:eastAsia="宋体" w:cs="宋体"/>
          <w:caps w:val="0"/>
          <w:color w:val="000000"/>
          <w:sz w:val="24"/>
          <w:szCs w:val="24"/>
          <w:highlight w:val="none"/>
        </w:rPr>
        <w:t xml:space="preserve">招标文件，并于</w:t>
      </w:r>
      <w:r>
        <w:rPr>
          <w:rFonts w:hint="eastAsia" w:ascii="宋体" w:hAnsi="宋体" w:eastAsia="宋体" w:cs="宋体"/>
          <w:caps w:val="0"/>
          <w:color w:val="000000"/>
          <w:sz w:val="24"/>
          <w:szCs w:val="24"/>
          <w:highlight w:val="none"/>
          <w:u w:val="single"/>
          <w:lang w:val="en-US" w:eastAsia="zh-CN"/>
        </w:rPr>
        <w:t xml:space="preserve">2026</w:t>
      </w:r>
      <w:r>
        <w:rPr>
          <w:rFonts w:hint="eastAsia" w:ascii="宋体" w:hAnsi="宋体" w:eastAsia="宋体" w:cs="宋体"/>
          <w:bCs/>
          <w:caps w:val="0"/>
          <w:color w:val="000000"/>
          <w:sz w:val="24"/>
          <w:szCs w:val="24"/>
          <w:highlight w:val="none"/>
          <w:u w:val="single"/>
        </w:rPr>
        <w:t xml:space="preserve">年</w:t>
      </w:r>
      <w:r>
        <w:rPr>
          <w:rFonts w:hint="eastAsia" w:ascii="宋体" w:hAnsi="宋体" w:eastAsia="宋体" w:cs="宋体"/>
          <w:bCs/>
          <w:caps w:val="0"/>
          <w:color w:val="000000"/>
          <w:sz w:val="24"/>
          <w:szCs w:val="24"/>
          <w:highlight w:val="none"/>
          <w:u w:val="single"/>
          <w:lang w:val="en-US" w:eastAsia="zh-CN"/>
        </w:rPr>
        <w:t xml:space="preserve">6</w:t>
      </w:r>
      <w:r>
        <w:rPr>
          <w:rFonts w:hint="eastAsia" w:ascii="宋体" w:hAnsi="宋体" w:eastAsia="宋体" w:cs="宋体"/>
          <w:bCs/>
          <w:caps w:val="0"/>
          <w:color w:val="000000"/>
          <w:sz w:val="24"/>
          <w:szCs w:val="24"/>
          <w:highlight w:val="none"/>
          <w:u w:val="single"/>
        </w:rPr>
        <w:t xml:space="preserve">月</w:t>
      </w:r>
      <w:r>
        <w:rPr>
          <w:rFonts w:hint="eastAsia" w:ascii="宋体" w:hAnsi="宋体" w:eastAsia="宋体" w:cs="宋体"/>
          <w:bCs/>
          <w:caps w:val="0"/>
          <w:color w:val="000000"/>
          <w:sz w:val="24"/>
          <w:szCs w:val="24"/>
          <w:highlight w:val="none"/>
          <w:u w:val="single"/>
          <w:lang w:val="en-US" w:eastAsia="zh-CN"/>
        </w:rPr>
        <w:t xml:space="preserve">16</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09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北京时间）前递交投标文件</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404"/>
        <w:ind w:firstLine="321"/>
        <w:pageBreakBefore w:val="0"/>
        <w:spacing w:before="0" w:after="0" w:line="560" w:lineRule="exact"/>
        <w:rPr>
          <w:rFonts w:hint="eastAsia" w:ascii="宋体" w:hAnsi="宋体" w:eastAsia="宋体" w:cs="宋体"/>
          <w:caps w:val="0"/>
          <w:color w:val="000000"/>
          <w:highlight w:val="none"/>
        </w:rPr>
        <w:outlineLvl w:val="9"/>
      </w:pPr>
      <w:r/>
      <w:bookmarkStart w:id="10" w:name="_Toc35393790"/>
      <w:r/>
      <w:bookmarkStart w:id="11" w:name="_Toc38985263"/>
      <w:r/>
      <w:bookmarkStart w:id="12" w:name="_Toc9919"/>
      <w:r/>
      <w:bookmarkStart w:id="13" w:name="_Toc28359079"/>
      <w:r/>
      <w:bookmarkStart w:id="14" w:name="_Toc28359002"/>
      <w:r/>
      <w:bookmarkStart w:id="15" w:name="_Toc35393621"/>
      <w:r/>
      <w:bookmarkStart w:id="16" w:name="_Hlk24379207"/>
      <w:r>
        <w:rPr>
          <w:rFonts w:hint="eastAsia" w:ascii="宋体" w:hAnsi="宋体" w:eastAsia="宋体" w:cs="宋体"/>
          <w:caps w:val="0"/>
          <w:color w:val="000000"/>
          <w:highlight w:val="none"/>
        </w:rPr>
        <w:t xml:space="preserve">一、项目基本情况</w:t>
      </w:r>
      <w:bookmarkEnd w:id="10"/>
      <w:r/>
      <w:bookmarkEnd w:id="11"/>
      <w:r/>
      <w:bookmarkEnd w:id="12"/>
      <w:r/>
      <w:bookmarkEnd w:id="13"/>
      <w:r/>
      <w:bookmarkEnd w:id="14"/>
      <w:r/>
      <w:bookmarkEnd w:id="15"/>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1.项目编号：</w:t>
      </w:r>
      <w:r>
        <w:rPr>
          <w:rFonts w:hint="eastAsia" w:ascii="宋体" w:hAnsi="宋体" w:eastAsia="宋体" w:cs="宋体"/>
          <w:caps w:val="0"/>
          <w:color w:val="000000"/>
          <w:sz w:val="24"/>
          <w:szCs w:val="24"/>
          <w:highlight w:val="none"/>
          <w:lang w:eastAsia="zh-CN"/>
        </w:rPr>
        <w:t xml:space="preserve">JSZC-320000-JING-G2026-0017</w:t>
      </w:r>
      <w:r>
        <w:rPr>
          <w:rFonts w:hint="eastAsia" w:ascii="宋体" w:hAnsi="宋体" w:eastAsia="宋体" w:cs="宋体"/>
          <w:caps w:val="0"/>
          <w:color w:val="000000"/>
          <w:sz w:val="24"/>
          <w:szCs w:val="24"/>
          <w:highlight w:val="none"/>
          <w:lang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宿迁学院医务室医疗服务托管采购项目</w:t>
      </w:r>
      <w:r>
        <w:rPr>
          <w:rFonts w:hint="eastAsia" w:ascii="宋体" w:hAnsi="宋体" w:eastAsia="宋体" w:cs="宋体"/>
          <w:caps w:val="0"/>
          <w:color w:val="000000"/>
          <w:sz w:val="24"/>
          <w:szCs w:val="24"/>
          <w:highlight w:val="none"/>
          <w:lang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bookmarkEnd w:id="16"/>
      <w:r>
        <w:rPr>
          <w:rFonts w:hint="eastAsia" w:ascii="宋体" w:hAnsi="宋体" w:eastAsia="宋体" w:cs="宋体"/>
          <w:caps w:val="0"/>
          <w:color w:val="000000"/>
          <w:sz w:val="24"/>
          <w:szCs w:val="24"/>
          <w:highlight w:val="none"/>
        </w:rPr>
        <w:t xml:space="preserve">3.预算金额：</w:t>
      </w:r>
      <w:r>
        <w:rPr>
          <w:rFonts w:hint="eastAsia" w:ascii="宋体" w:hAnsi="宋体" w:eastAsia="宋体" w:cs="宋体"/>
          <w:caps w:val="0"/>
          <w:color w:val="000000"/>
          <w:sz w:val="24"/>
          <w:szCs w:val="24"/>
          <w:highlight w:val="none"/>
          <w:lang w:val="en-US" w:eastAsia="zh-CN"/>
        </w:rPr>
        <w:t xml:space="preserve">270万元</w:t>
      </w:r>
      <w:r>
        <w:rPr>
          <w:rFonts w:hint="eastAsia" w:ascii="宋体" w:hAnsi="宋体" w:eastAsia="宋体" w:cs="宋体"/>
          <w:caps w:val="0"/>
          <w:color w:val="000000"/>
          <w:sz w:val="24"/>
          <w:szCs w:val="24"/>
          <w:highlight w:val="none"/>
          <w:lang w:val="en-US"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4.本项目设定最高限价</w:t>
      </w:r>
      <w:r>
        <w:rPr>
          <w:rFonts w:hint="eastAsia" w:ascii="宋体" w:hAnsi="宋体" w:eastAsia="宋体" w:cs="宋体"/>
          <w:caps w:val="0"/>
          <w:color w:val="000000"/>
          <w:sz w:val="24"/>
          <w:szCs w:val="24"/>
          <w:highlight w:val="none"/>
          <w:lang w:eastAsia="zh-CN"/>
        </w:rPr>
        <w:t xml:space="preserve">，最高限价</w:t>
      </w:r>
      <w:r>
        <w:rPr>
          <w:rFonts w:hint="eastAsia" w:ascii="宋体" w:hAnsi="宋体" w:eastAsia="宋体" w:cs="宋体"/>
          <w:caps w:val="0"/>
          <w:color w:val="000000"/>
          <w:sz w:val="24"/>
          <w:szCs w:val="24"/>
          <w:highlight w:val="none"/>
          <w:lang w:val="en-US" w:eastAsia="zh-CN"/>
        </w:rPr>
        <w:t xml:space="preserve">270万元（</w:t>
      </w:r>
      <w:r>
        <w:rPr>
          <w:rFonts w:hint="eastAsia" w:ascii="Times New Roman" w:hAnsi="Times New Roman" w:cs="仿宋"/>
          <w:color w:val="000000"/>
          <w:sz w:val="24"/>
          <w:szCs w:val="24"/>
          <w:highlight w:val="none"/>
          <w:lang w:val="en-US" w:eastAsia="zh-CN"/>
        </w:rPr>
        <w:t xml:space="preserve">90万/年</w:t>
      </w:r>
      <w:r>
        <w:rPr>
          <w:rFonts w:hint="eastAsia" w:ascii="宋体" w:hAnsi="宋体" w:eastAsia="宋体" w:cs="宋体"/>
          <w:caps w:val="0"/>
          <w:color w:val="000000"/>
          <w:sz w:val="24"/>
          <w:szCs w:val="24"/>
          <w:highlight w:val="none"/>
          <w:lang w:val="en-US" w:eastAsia="zh-CN"/>
        </w:rPr>
        <w:t xml:space="preserve">）</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高于此限价作无效标处理</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val="en-US" w:eastAsia="zh-CN"/>
        </w:rPr>
        <w:t xml:space="preserve">为切实保障宿迁学院新校区全体在校师生、教职工的日常诊疗、突发疾病应急救治、健康体检及校园公共卫生服务需求，规范校园医务室运营管理，现对新校区医务室实行专业医疗机构托管运营服务招标，具体详见招标文件第四章采购需求</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6.</w:t>
      </w:r>
      <w:r>
        <w:rPr>
          <w:rFonts w:hint="eastAsia" w:ascii="宋体" w:hAnsi="宋体" w:eastAsia="宋体" w:cs="宋体"/>
          <w:caps w:val="0"/>
          <w:color w:val="000000"/>
          <w:sz w:val="24"/>
          <w:szCs w:val="24"/>
          <w:highlight w:val="none"/>
          <w:lang w:val="en-US" w:eastAsia="zh-CN"/>
        </w:rPr>
        <w:t xml:space="preserve">合同履行期限</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eastAsia="zh-CN"/>
        </w:rPr>
        <w:t xml:space="preserve">3年</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注：合同服务期开始时间为中标机构实际进驻时间开始</w:t>
      </w:r>
      <w:r>
        <w:rPr>
          <w:rFonts w:hint="eastAsia" w:ascii="宋体" w:hAnsi="宋体" w:eastAsia="宋体" w:cs="宋体"/>
          <w:caps w:val="0"/>
          <w:color w:val="000000"/>
          <w:sz w:val="24"/>
          <w:szCs w:val="24"/>
          <w:highlight w:val="none"/>
          <w:lang w:val="en-US" w:eastAsia="zh-CN"/>
        </w:rPr>
        <w:t xml:space="preserve">计</w:t>
      </w:r>
      <w:r>
        <w:rPr>
          <w:rFonts w:hint="eastAsia" w:ascii="宋体" w:hAnsi="宋体" w:eastAsia="宋体" w:cs="宋体"/>
          <w:caps w:val="0"/>
          <w:color w:val="000000"/>
          <w:sz w:val="24"/>
          <w:szCs w:val="24"/>
          <w:highlight w:val="none"/>
        </w:rPr>
        <w:t xml:space="preserve">算，以采购人发出的进驻通知单为准。</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.本项目</w:t>
      </w:r>
      <w:r>
        <w:rPr>
          <w:rFonts w:hint="eastAsia" w:ascii="宋体" w:hAnsi="宋体" w:eastAsia="宋体" w:cs="宋体"/>
          <w:caps w:val="0"/>
          <w:color w:val="000000"/>
          <w:sz w:val="24"/>
          <w:szCs w:val="24"/>
          <w:highlight w:val="none"/>
          <w:u w:val="single"/>
          <w:lang w:val="en-US" w:eastAsia="zh-CN"/>
        </w:rPr>
        <w:t xml:space="preserve">不接受</w:t>
      </w:r>
      <w:r>
        <w:rPr>
          <w:rFonts w:hint="eastAsia" w:ascii="宋体" w:hAnsi="宋体" w:eastAsia="宋体" w:cs="宋体"/>
          <w:caps w:val="0"/>
          <w:color w:val="000000"/>
          <w:sz w:val="24"/>
          <w:szCs w:val="24"/>
          <w:highlight w:val="none"/>
        </w:rPr>
        <w:t xml:space="preserve">联合体投标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bookmarkStart w:id="17" w:name="_Toc35393622"/>
      <w:r/>
      <w:bookmarkStart w:id="18" w:name="_Toc38985264"/>
      <w:r/>
      <w:bookmarkStart w:id="19" w:name="_Toc28359080"/>
      <w:r/>
      <w:bookmarkStart w:id="20" w:name="_Toc28359003"/>
      <w:r/>
      <w:bookmarkStart w:id="21" w:name="_Toc35393791"/>
      <w:r/>
      <w:bookmarkStart w:id="22" w:name="_Toc22314"/>
      <w:r>
        <w:rPr>
          <w:rFonts w:hint="eastAsia" w:ascii="宋体" w:hAnsi="宋体" w:eastAsia="宋体" w:cs="宋体"/>
          <w:caps w:val="0"/>
          <w:color w:val="000000"/>
          <w:highlight w:val="none"/>
        </w:rPr>
        <w:t xml:space="preserve">二、申请人的资格要求：</w:t>
      </w:r>
      <w:bookmarkEnd w:id="17"/>
      <w:r/>
      <w:bookmarkEnd w:id="18"/>
      <w:r/>
      <w:bookmarkEnd w:id="19"/>
      <w:r/>
      <w:bookmarkEnd w:id="20"/>
      <w:r/>
      <w:bookmarkEnd w:id="21"/>
      <w:r/>
      <w:bookmarkEnd w:id="22"/>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23" w:name="_Toc35393623"/>
      <w:r/>
      <w:bookmarkStart w:id="24" w:name="_Toc28359081"/>
      <w:r/>
      <w:bookmarkStart w:id="25" w:name="_Toc38985265"/>
      <w:r/>
      <w:bookmarkStart w:id="26" w:name="_Toc35393792"/>
      <w:r/>
      <w:bookmarkStart w:id="27" w:name="_Toc28359004"/>
      <w:r>
        <w:rPr>
          <w:rFonts w:hint="eastAsia" w:ascii="宋体" w:hAnsi="宋体" w:eastAsia="宋体" w:cs="宋体"/>
          <w:caps w:val="0"/>
          <w:color w:val="000000"/>
          <w:sz w:val="24"/>
          <w:szCs w:val="24"/>
          <w:highlight w:val="none"/>
        </w:rPr>
        <w:t xml:space="preserve">（一）通用资格要求</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eastAsia="宋体" w:cs="宋体"/>
          <w:caps w:val="0"/>
          <w:color w:val="000000"/>
          <w:sz w:val="24"/>
          <w:szCs w:val="24"/>
          <w:highlight w:val="none"/>
          <w:lang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3.落实政府</w:t>
      </w:r>
      <w:r>
        <w:rPr>
          <w:rFonts w:hint="eastAsia" w:ascii="宋体" w:hAnsi="宋体" w:eastAsia="宋体" w:cs="宋体"/>
          <w:caps w:val="0"/>
          <w:color w:val="000000"/>
          <w:sz w:val="24"/>
          <w:szCs w:val="24"/>
          <w:highlight w:val="none"/>
        </w:rPr>
        <w:t xml:space="preserve">采购政策需满足的资格要求：</w:t>
      </w:r>
      <w:r>
        <w:rPr>
          <w:rFonts w:hint="eastAsia" w:ascii="宋体" w:hAnsi="宋体" w:eastAsia="宋体" w:cs="宋体"/>
          <w:caps w:val="0"/>
          <w:color w:val="000000"/>
          <w:sz w:val="24"/>
          <w:szCs w:val="24"/>
          <w:highlight w:val="none"/>
          <w:lang w:val="en-US" w:eastAsia="zh-CN"/>
        </w:rPr>
        <w:t xml:space="preserve">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val="en-US"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（二）本项目的特定资格要求</w:t>
      </w:r>
      <w:r>
        <w:rPr>
          <w:rFonts w:hint="eastAsia" w:ascii="宋体" w:hAnsi="宋体" w:eastAsia="宋体" w:cs="宋体"/>
          <w:caps w:val="0"/>
          <w:color w:val="000000"/>
          <w:sz w:val="24"/>
          <w:szCs w:val="24"/>
          <w:highlight w:val="none"/>
          <w:lang w:eastAsia="zh-CN"/>
        </w:rPr>
        <w:t xml:space="preserve">：持有有效期内的《医疗机构执业</w:t>
      </w:r>
      <w:r>
        <w:rPr>
          <w:rFonts w:hint="eastAsia" w:ascii="宋体" w:hAnsi="宋体" w:eastAsia="宋体" w:cs="宋体"/>
          <w:caps w:val="0"/>
          <w:color w:val="000000"/>
          <w:sz w:val="24"/>
          <w:szCs w:val="24"/>
          <w:highlight w:val="none"/>
          <w:lang w:eastAsia="zh-CN"/>
        </w:rPr>
        <w:t xml:space="preserve">许可证》或《诊所备案凭证》</w:t>
      </w:r>
      <w:r>
        <w:rPr>
          <w:rFonts w:hint="eastAsia" w:ascii="宋体" w:hAnsi="宋体" w:eastAsia="宋体" w:cs="宋体"/>
          <w:caps w:val="0"/>
          <w:color w:val="000000"/>
          <w:sz w:val="24"/>
          <w:szCs w:val="24"/>
          <w:highlight w:val="none"/>
          <w:lang w:val="en-US" w:eastAsia="zh-CN"/>
        </w:rPr>
        <w:t xml:space="preserve">。</w:t>
      </w:r>
      <w:r>
        <w:rPr>
          <w:rFonts w:hint="eastAsia" w:ascii="宋体" w:hAnsi="宋体" w:eastAsia="宋体" w:cs="宋体"/>
          <w:caps w:val="0"/>
          <w:color w:val="000000"/>
          <w:sz w:val="24"/>
          <w:szCs w:val="24"/>
          <w:highlight w:val="none"/>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bookmarkStart w:id="28" w:name="_Toc30959"/>
      <w:r>
        <w:rPr>
          <w:rFonts w:hint="eastAsia" w:ascii="宋体" w:hAnsi="宋体" w:eastAsia="宋体" w:cs="宋体"/>
          <w:caps w:val="0"/>
          <w:color w:val="000000"/>
          <w:highlight w:val="none"/>
        </w:rPr>
        <w:t xml:space="preserve">三、获取招标文件</w:t>
      </w:r>
      <w:bookmarkEnd w:id="23"/>
      <w:r/>
      <w:bookmarkEnd w:id="24"/>
      <w:r/>
      <w:bookmarkEnd w:id="25"/>
      <w:r/>
      <w:bookmarkEnd w:id="26"/>
      <w:r/>
      <w:bookmarkEnd w:id="27"/>
      <w:r/>
      <w:bookmarkEnd w:id="28"/>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29" w:name="_Toc28359005"/>
      <w:r/>
      <w:bookmarkStart w:id="30" w:name="_Toc28359082"/>
      <w:r/>
      <w:bookmarkStart w:id="31" w:name="_Toc38985266"/>
      <w:r/>
      <w:bookmarkStart w:id="32" w:name="_Toc35393793"/>
      <w:r/>
      <w:bookmarkStart w:id="33" w:name="_Toc35393624"/>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时间：</w:t>
      </w:r>
      <w:r>
        <w:rPr>
          <w:rFonts w:hint="eastAsia" w:ascii="宋体" w:hAnsi="宋体" w:eastAsia="宋体" w:cs="宋体"/>
          <w:caps w:val="0"/>
          <w:color w:val="000000"/>
          <w:sz w:val="24"/>
          <w:szCs w:val="24"/>
          <w:highlight w:val="none"/>
          <w:lang w:val="en-US" w:eastAsia="zh-CN"/>
        </w:rPr>
        <w:t xml:space="preserve">自招标文件公告发布之日起5个工作日</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2.方式：投标人应在招标文件提供的时间内，通过“苏采云”系统（网址： http://jszfcg.jsczt.cn/），使用CA锁登录系统后，找到本项目获取招标文件（后缀名为“.kedt”）。</w:t>
      </w:r>
      <w:r>
        <w:rPr>
          <w:rFonts w:hint="eastAsia" w:ascii="宋体" w:hAnsi="宋体" w:eastAsia="宋体" w:cs="宋体"/>
          <w:caps w:val="0"/>
          <w:color w:val="000000"/>
          <w:sz w:val="24"/>
          <w:szCs w:val="24"/>
          <w:highlight w:val="none"/>
          <w:lang w:val="en-US"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34" w:name="EB0c44ff4da61f4af989d119fe214be450"/>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本项目共分一个包。</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未按要求获取招标文件导致无法投标的，后果自负（其投标文件不予接受）。</w:t>
      </w:r>
      <w:bookmarkEnd w:id="34"/>
      <w:r>
        <w:rPr>
          <w:rFonts w:hint="eastAsia" w:ascii="宋体" w:hAnsi="宋体" w:eastAsia="宋体" w:cs="宋体"/>
          <w:caps w:val="0"/>
          <w:color w:val="000000"/>
          <w:sz w:val="24"/>
          <w:szCs w:val="24"/>
          <w:highlight w:val="none"/>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bookmarkStart w:id="35" w:name="_Toc24129"/>
      <w:r>
        <w:rPr>
          <w:rFonts w:hint="eastAsia" w:ascii="宋体" w:hAnsi="宋体" w:eastAsia="宋体" w:cs="宋体"/>
          <w:caps w:val="0"/>
          <w:color w:val="000000"/>
          <w:highlight w:val="none"/>
        </w:rPr>
        <w:t xml:space="preserve">四、提交投标文件</w:t>
      </w:r>
      <w:bookmarkEnd w:id="29"/>
      <w:r/>
      <w:bookmarkEnd w:id="30"/>
      <w:r>
        <w:rPr>
          <w:rFonts w:hint="eastAsia" w:ascii="宋体" w:hAnsi="宋体" w:eastAsia="宋体" w:cs="宋体"/>
          <w:caps w:val="0"/>
          <w:color w:val="000000"/>
          <w:highlight w:val="none"/>
        </w:rPr>
        <w:t xml:space="preserve">截止时间、开标时间和地点</w:t>
      </w:r>
      <w:bookmarkEnd w:id="31"/>
      <w:r/>
      <w:bookmarkEnd w:id="32"/>
      <w:r/>
      <w:bookmarkEnd w:id="33"/>
      <w:r/>
      <w:bookmarkEnd w:id="35"/>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bCs/>
          <w:caps w:val="0"/>
          <w:color w:val="000000"/>
          <w:sz w:val="24"/>
          <w:szCs w:val="24"/>
          <w:highlight w:val="none"/>
          <w:u w:val="single"/>
        </w:rPr>
        <w:outlineLvl w:val="9"/>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single"/>
          <w:lang w:val="en-US" w:eastAsia="zh-CN"/>
        </w:rPr>
        <w:t xml:space="preserve">2026年6月16日9点30分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bCs/>
          <w:caps w:val="0"/>
          <w:color w:val="000000"/>
          <w:sz w:val="24"/>
          <w:szCs w:val="24"/>
          <w:highlight w:val="none"/>
          <w:u w:val="singl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2.地点：</w:t>
      </w:r>
      <w:r>
        <w:rPr>
          <w:rFonts w:hint="eastAsia" w:ascii="宋体" w:hAnsi="宋体" w:eastAsia="宋体" w:cs="宋体"/>
          <w:caps w:val="0"/>
          <w:color w:val="000000"/>
          <w:sz w:val="24"/>
          <w:szCs w:val="24"/>
          <w:highlight w:val="none"/>
          <w:lang w:eastAsia="zh-CN"/>
        </w:rPr>
        <w:t xml:space="preserve">“苏采云“系统 (网址: http://jszfcg.jsczt.cn/)</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bookmarkStart w:id="36" w:name="_Toc28359084"/>
      <w:r/>
      <w:bookmarkStart w:id="37" w:name="_Toc35393794"/>
      <w:r/>
      <w:bookmarkStart w:id="38" w:name="_Toc38985267"/>
      <w:r/>
      <w:bookmarkStart w:id="39" w:name="_Toc28359007"/>
      <w:r/>
      <w:bookmarkStart w:id="40" w:name="_Toc25434"/>
      <w:r/>
      <w:bookmarkStart w:id="41" w:name="_Toc35393625"/>
      <w:r>
        <w:rPr>
          <w:rFonts w:hint="eastAsia" w:ascii="宋体" w:hAnsi="宋体" w:eastAsia="宋体" w:cs="宋体"/>
          <w:caps w:val="0"/>
          <w:color w:val="000000"/>
          <w:highlight w:val="none"/>
        </w:rPr>
        <w:t xml:space="preserve">五、公告期限</w:t>
      </w:r>
      <w:bookmarkEnd w:id="36"/>
      <w:r/>
      <w:bookmarkEnd w:id="37"/>
      <w:r/>
      <w:bookmarkEnd w:id="38"/>
      <w:r/>
      <w:bookmarkEnd w:id="39"/>
      <w:r/>
      <w:bookmarkEnd w:id="40"/>
      <w:r/>
      <w:bookmarkEnd w:id="41"/>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42" w:name="_Toc35393795"/>
      <w:r/>
      <w:bookmarkStart w:id="43" w:name="_Toc38985268"/>
      <w:r/>
      <w:bookmarkStart w:id="44" w:name="_Toc35393626"/>
      <w:r>
        <w:rPr>
          <w:rFonts w:hint="eastAsia" w:ascii="宋体" w:hAnsi="宋体" w:eastAsia="宋体" w:cs="宋体"/>
          <w:caps w:val="0"/>
          <w:color w:val="000000"/>
          <w:sz w:val="24"/>
          <w:szCs w:val="24"/>
          <w:highlight w:val="none"/>
        </w:rPr>
        <w:t xml:space="preserve">自本公告发布之日起5个工作日。</w:t>
      </w:r>
      <w:r>
        <w:rPr>
          <w:rFonts w:hint="eastAsia" w:ascii="宋体" w:hAnsi="宋体" w:eastAsia="宋体" w:cs="宋体"/>
          <w:caps w:val="0"/>
          <w:color w:val="000000"/>
          <w:sz w:val="24"/>
          <w:szCs w:val="24"/>
          <w:highlight w:val="none"/>
        </w:rPr>
      </w:r>
      <w:r/>
    </w:p>
    <w:p>
      <w:pPr>
        <w:pStyle w:val="1404"/>
        <w:ind w:firstLine="643"/>
        <w:pageBreakBefore w:val="0"/>
        <w:spacing w:before="0" w:after="0" w:line="560" w:lineRule="exact"/>
        <w:rPr>
          <w:rFonts w:hint="eastAsia" w:ascii="宋体" w:hAnsi="宋体" w:eastAsia="宋体" w:cs="宋体"/>
          <w:caps w:val="0"/>
          <w:color w:val="000000"/>
          <w:highlight w:val="none"/>
        </w:rPr>
        <w:outlineLvl w:val="9"/>
      </w:pPr>
      <w:r/>
      <w:bookmarkStart w:id="45" w:name="_Toc13844"/>
      <w:r>
        <w:rPr>
          <w:rFonts w:hint="eastAsia" w:ascii="宋体" w:hAnsi="宋体" w:eastAsia="宋体" w:cs="宋体"/>
          <w:caps w:val="0"/>
          <w:color w:val="000000"/>
          <w:highlight w:val="none"/>
        </w:rPr>
        <w:t xml:space="preserve">六、其他补充事宜</w:t>
      </w:r>
      <w:bookmarkEnd w:id="42"/>
      <w:r/>
      <w:bookmarkEnd w:id="43"/>
      <w:r/>
      <w:bookmarkEnd w:id="44"/>
      <w:r/>
      <w:bookmarkEnd w:id="45"/>
      <w:r>
        <w:rPr>
          <w:rFonts w:hint="eastAsia" w:ascii="宋体" w:hAnsi="宋体" w:eastAsia="宋体" w:cs="宋体"/>
          <w:caps w:val="0"/>
          <w:color w:val="000000"/>
          <w:highlight w:val="none"/>
        </w:rPr>
      </w:r>
      <w:r/>
    </w:p>
    <w:p>
      <w:pPr>
        <w:pStyle w:val="1404"/>
        <w:ind w:left="0" w:firstLine="643"/>
        <w:pageBreakBefore w:val="0"/>
        <w:spacing w:before="0" w:after="0" w:line="560" w:lineRule="exact"/>
        <w:rPr>
          <w:rFonts w:hint="eastAsia" w:ascii="宋体" w:hAnsi="宋体" w:eastAsia="宋体" w:cs="宋体"/>
          <w:b w:val="0"/>
          <w:bCs w:val="0"/>
          <w:caps w:val="0"/>
          <w:color w:val="000000"/>
          <w:sz w:val="24"/>
          <w:szCs w:val="24"/>
          <w:highlight w:val="none"/>
          <w:lang w:val="en-US" w:eastAsia="zh-CN" w:bidi="ar-SA"/>
        </w:rPr>
        <w:outlineLvl w:val="9"/>
      </w:pPr>
      <w:r/>
      <w:bookmarkStart w:id="46" w:name="_Toc16693"/>
      <w:r/>
      <w:bookmarkStart w:id="47" w:name="_Toc38985269"/>
      <w:r/>
      <w:bookmarkStart w:id="48" w:name="_Toc28359008"/>
      <w:r/>
      <w:bookmarkStart w:id="49" w:name="_Toc35393796"/>
      <w:r/>
      <w:bookmarkStart w:id="50" w:name="_Toc35393627"/>
      <w:r/>
      <w:bookmarkStart w:id="51" w:name="_Toc28359085"/>
      <w:r>
        <w:rPr>
          <w:rFonts w:hint="eastAsia" w:ascii="宋体" w:hAnsi="宋体" w:eastAsia="宋体" w:cs="宋体"/>
          <w:b w:val="0"/>
          <w:bCs w:val="0"/>
          <w:caps w:val="0"/>
          <w:color w:val="000000"/>
          <w:sz w:val="24"/>
          <w:szCs w:val="24"/>
          <w:highlight w:val="none"/>
          <w:lang w:val="en-US" w:eastAsia="zh-CN" w:bidi="ar-SA"/>
        </w:rPr>
        <w:t xml:space="preserve">“CA”数字证书办理：“苏采云”系统目前仅支持“苏采云”系统下的意源CA。省内各地区办理的“苏采云”系统下的意源CA全省通用。</w:t>
      </w:r>
      <w:r>
        <w:rPr>
          <w:rFonts w:hint="eastAsia" w:ascii="宋体" w:hAnsi="宋体" w:eastAsia="宋体" w:cs="宋体"/>
          <w:b w:val="0"/>
          <w:bCs w:val="0"/>
          <w:caps w:val="0"/>
          <w:color w:val="000000"/>
          <w:sz w:val="24"/>
          <w:szCs w:val="24"/>
          <w:highlight w:val="none"/>
          <w:lang w:val="en-US" w:eastAsia="zh-CN" w:bidi="ar-SA"/>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rPr>
          <w:rFonts w:hint="eastAsia" w:ascii="宋体" w:hAnsi="宋体" w:eastAsia="宋体" w:cs="宋体"/>
          <w:caps w:val="0"/>
          <w:color w:val="000000"/>
          <w:highlight w:val="none"/>
        </w:rPr>
        <w:t xml:space="preserve">七、本次招标联系方式</w:t>
      </w:r>
      <w:bookmarkEnd w:id="46"/>
      <w:r/>
      <w:bookmarkEnd w:id="47"/>
      <w:r/>
      <w:bookmarkEnd w:id="48"/>
      <w:r/>
      <w:bookmarkEnd w:id="49"/>
      <w:r/>
      <w:bookmarkEnd w:id="50"/>
      <w:r/>
      <w:bookmarkEnd w:id="51"/>
      <w:r>
        <w:rPr>
          <w:rFonts w:hint="eastAsia" w:ascii="宋体" w:hAnsi="宋体" w:eastAsia="宋体" w:cs="宋体"/>
          <w:caps w:val="0"/>
          <w:color w:val="000000"/>
          <w:highlight w:val="none"/>
        </w:rPr>
      </w:r>
      <w:r/>
    </w:p>
    <w:p>
      <w:pPr>
        <w:pStyle w:val="989"/>
        <w:ind w:left="0" w:firstLine="480"/>
        <w:jc w:val="left"/>
        <w:keepLines w:val="0"/>
        <w:keepNext w:val="0"/>
        <w:pageBreakBefore w:val="0"/>
        <w:spacing w:line="560" w:lineRule="exact"/>
        <w:widowControl/>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1.采购人信息</w:t>
      </w:r>
      <w:r>
        <w:rPr>
          <w:rFonts w:hint="eastAsia" w:ascii="宋体" w:hAnsi="宋体" w:eastAsia="宋体" w:cs="宋体"/>
          <w:caps w:val="0"/>
          <w:color w:val="000000"/>
          <w:sz w:val="24"/>
          <w:szCs w:val="24"/>
          <w:highlight w:val="none"/>
        </w:rPr>
      </w:r>
      <w:r/>
    </w:p>
    <w:p>
      <w:pPr>
        <w:pStyle w:val="989"/>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宿迁学院</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989"/>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地址：江苏省宿迁市黄河南路399号</w:t>
      </w:r>
      <w:r>
        <w:rPr>
          <w:rFonts w:hint="eastAsia" w:ascii="宋体" w:hAnsi="宋体" w:eastAsia="宋体" w:cs="宋体"/>
          <w:caps w:val="0"/>
          <w:color w:val="000000"/>
          <w:sz w:val="24"/>
          <w:szCs w:val="24"/>
          <w:highlight w:val="none"/>
          <w:u w:val="none"/>
        </w:rPr>
      </w:r>
      <w:r/>
    </w:p>
    <w:p>
      <w:pPr>
        <w:pStyle w:val="989"/>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eastAsia="zh-CN"/>
        </w:rPr>
        <w:t xml:space="preserve">王老师</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989"/>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lang w:eastAsia="zh-CN"/>
        </w:rPr>
        <w:outlineLvl w:val="9"/>
      </w:pPr>
      <w:r>
        <w:rPr>
          <w:rFonts w:hint="eastAsia" w:ascii="宋体" w:hAnsi="宋体" w:eastAsia="宋体" w:cs="宋体"/>
          <w:caps w:val="0"/>
          <w:color w:val="000000"/>
          <w:sz w:val="24"/>
          <w:szCs w:val="24"/>
          <w:highlight w:val="none"/>
          <w:u w:val="none"/>
        </w:rPr>
        <w:t xml:space="preserve">联系方式：</w:t>
      </w:r>
      <w:bookmarkStart w:id="52" w:name="_Toc28359009"/>
      <w:r/>
      <w:bookmarkStart w:id="53" w:name="_Toc28359086"/>
      <w:r>
        <w:rPr>
          <w:rFonts w:hint="eastAsia" w:ascii="宋体" w:hAnsi="宋体" w:eastAsia="宋体" w:cs="宋体"/>
          <w:caps w:val="0"/>
          <w:color w:val="000000"/>
          <w:sz w:val="24"/>
          <w:szCs w:val="24"/>
          <w:highlight w:val="none"/>
          <w:u w:val="none"/>
          <w:lang w:eastAsia="zh-CN"/>
        </w:rPr>
        <w:t xml:space="preserve">15951298790</w:t>
      </w:r>
      <w:r>
        <w:rPr>
          <w:rFonts w:hint="eastAsia" w:ascii="宋体" w:hAnsi="宋体" w:eastAsia="宋体" w:cs="宋体"/>
          <w:caps w:val="0"/>
          <w:color w:val="000000"/>
          <w:sz w:val="24"/>
          <w:szCs w:val="24"/>
          <w:highlight w:val="none"/>
          <w:u w:val="none"/>
          <w:lang w:eastAsia="zh-CN"/>
        </w:rPr>
      </w:r>
      <w:r/>
    </w:p>
    <w:p>
      <w:pPr>
        <w:pStyle w:val="989"/>
        <w:ind w:left="0" w:firstLine="480"/>
        <w:jc w:val="left"/>
        <w:keepLines w:val="0"/>
        <w:keepNext w:val="0"/>
        <w:pageBreakBefore w:val="0"/>
        <w:spacing w:line="560" w:lineRule="exact"/>
        <w:widowControl/>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w:t>
      </w:r>
      <w:bookmarkEnd w:id="52"/>
      <w:r/>
      <w:bookmarkEnd w:id="53"/>
      <w:r>
        <w:rPr>
          <w:rFonts w:hint="eastAsia" w:ascii="宋体" w:hAnsi="宋体" w:eastAsia="宋体" w:cs="宋体"/>
          <w:caps w:val="0"/>
          <w:color w:val="000000"/>
          <w:sz w:val="24"/>
          <w:szCs w:val="24"/>
          <w:highlight w:val="none"/>
        </w:rPr>
        <w:t xml:space="preserve">采购代理机构信息</w:t>
      </w:r>
      <w:r>
        <w:rPr>
          <w:rFonts w:hint="eastAsia" w:ascii="宋体" w:hAnsi="宋体" w:eastAsia="宋体" w:cs="宋体"/>
          <w:caps w:val="0"/>
          <w:color w:val="000000"/>
          <w:sz w:val="24"/>
          <w:szCs w:val="24"/>
          <w:highlight w:val="none"/>
        </w:rPr>
      </w:r>
      <w:r/>
    </w:p>
    <w:p>
      <w:pPr>
        <w:pStyle w:val="989"/>
        <w:ind w:left="0" w:firstLine="480"/>
        <w:jc w:val="left"/>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江苏经天纬地建设项目管理有限公司</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989"/>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lang w:eastAsia="zh-CN"/>
        </w:rPr>
        <w:outlineLvl w:val="9"/>
      </w:pPr>
      <w:r>
        <w:rPr>
          <w:rFonts w:hint="eastAsia" w:ascii="宋体" w:hAnsi="宋体" w:eastAsia="宋体" w:cs="宋体"/>
          <w:caps w:val="0"/>
          <w:color w:val="000000"/>
          <w:sz w:val="24"/>
          <w:szCs w:val="24"/>
          <w:highlight w:val="none"/>
          <w:u w:val="none"/>
        </w:rPr>
        <w:t xml:space="preserve">地　址：</w:t>
      </w:r>
      <w:r>
        <w:rPr>
          <w:rFonts w:hint="eastAsia" w:ascii="宋体" w:hAnsi="宋体" w:eastAsia="宋体" w:cs="宋体"/>
          <w:caps w:val="0"/>
          <w:color w:val="000000"/>
          <w:sz w:val="24"/>
          <w:szCs w:val="24"/>
          <w:highlight w:val="none"/>
          <w:u w:val="none"/>
          <w:lang w:eastAsia="zh-CN"/>
        </w:rPr>
        <w:t xml:space="preserve">宿豫区金融财富广场C栋15楼1502</w:t>
      </w:r>
      <w:r>
        <w:rPr>
          <w:rFonts w:hint="eastAsia" w:ascii="宋体" w:hAnsi="宋体" w:eastAsia="宋体" w:cs="宋体"/>
          <w:caps w:val="0"/>
          <w:color w:val="000000"/>
          <w:sz w:val="24"/>
          <w:szCs w:val="24"/>
          <w:highlight w:val="none"/>
          <w:u w:val="none"/>
          <w:lang w:eastAsia="zh-CN"/>
        </w:rPr>
      </w:r>
      <w:r/>
    </w:p>
    <w:p>
      <w:pPr>
        <w:pStyle w:val="989"/>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eastAsia="zh-CN"/>
        </w:rPr>
        <w:t xml:space="preserve">赵心妍</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989"/>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lang w:val="en-US" w:eastAsia="zh-CN"/>
        </w:rPr>
        <w:outlineLvl w:val="9"/>
      </w:pPr>
      <w:r>
        <w:rPr>
          <w:rFonts w:hint="eastAsia" w:ascii="宋体" w:hAnsi="宋体" w:eastAsia="宋体" w:cs="宋体"/>
          <w:caps w:val="0"/>
          <w:color w:val="000000"/>
          <w:sz w:val="24"/>
          <w:szCs w:val="24"/>
          <w:highlight w:val="none"/>
          <w:u w:val="none"/>
        </w:rPr>
        <w:t xml:space="preserve">联系方式：</w:t>
      </w:r>
      <w:bookmarkStart w:id="54" w:name="_Toc28359087"/>
      <w:r/>
      <w:bookmarkStart w:id="55" w:name="_Toc28359010"/>
      <w:r>
        <w:rPr>
          <w:rFonts w:hint="eastAsia" w:ascii="宋体" w:hAnsi="宋体" w:eastAsia="宋体" w:cs="宋体"/>
          <w:caps w:val="0"/>
          <w:color w:val="000000"/>
          <w:sz w:val="24"/>
          <w:szCs w:val="24"/>
          <w:highlight w:val="none"/>
          <w:u w:val="none"/>
          <w:lang w:val="en-US" w:eastAsia="zh-CN"/>
        </w:rPr>
        <w:t xml:space="preserve">19825705911</w:t>
      </w:r>
      <w:r>
        <w:rPr>
          <w:rFonts w:hint="eastAsia" w:ascii="宋体" w:hAnsi="宋体" w:eastAsia="宋体" w:cs="宋体"/>
          <w:caps w:val="0"/>
          <w:color w:val="000000"/>
          <w:sz w:val="24"/>
          <w:szCs w:val="24"/>
          <w:highlight w:val="none"/>
          <w:u w:val="none"/>
          <w:lang w:val="en-US" w:eastAsia="zh-CN"/>
        </w:rPr>
      </w:r>
      <w:r/>
    </w:p>
    <w:p>
      <w:pPr>
        <w:pStyle w:val="1404"/>
        <w:ind w:left="0" w:firstLine="643"/>
        <w:pageBreakBefore w:val="0"/>
        <w:spacing w:before="0" w:after="0" w:line="560" w:lineRule="exact"/>
        <w:rPr>
          <w:rFonts w:hint="eastAsia" w:ascii="宋体" w:hAnsi="宋体" w:eastAsia="宋体" w:cs="宋体"/>
          <w:caps w:val="0"/>
          <w:color w:val="000000"/>
          <w:highlight w:val="none"/>
        </w:rPr>
        <w:outlineLvl w:val="9"/>
      </w:pPr>
      <w:r/>
      <w:bookmarkEnd w:id="54"/>
      <w:r/>
      <w:bookmarkEnd w:id="55"/>
      <w:r/>
      <w:bookmarkStart w:id="56" w:name="_Toc17352"/>
      <w:r>
        <w:rPr>
          <w:rFonts w:hint="eastAsia" w:ascii="宋体" w:hAnsi="宋体" w:eastAsia="宋体" w:cs="宋体"/>
          <w:caps w:val="0"/>
          <w:color w:val="000000"/>
          <w:highlight w:val="none"/>
        </w:rPr>
        <w:t xml:space="preserve">八、其他</w:t>
      </w:r>
      <w:bookmarkEnd w:id="56"/>
      <w:r>
        <w:rPr>
          <w:rFonts w:hint="eastAsia" w:ascii="宋体" w:hAnsi="宋体" w:eastAsia="宋体" w:cs="宋体"/>
          <w:caps w:val="0"/>
          <w:color w:val="000000"/>
          <w:highlight w:val="none"/>
        </w:rPr>
      </w:r>
      <w:r/>
    </w:p>
    <w:p>
      <w:pPr>
        <w:pStyle w:val="989"/>
        <w:ind w:left="0" w:firstLine="480"/>
        <w:keepLines w:val="0"/>
        <w:keepNext w:val="0"/>
        <w:pageBreakBefore w:val="0"/>
        <w:spacing w:line="560" w:lineRule="exact"/>
        <w:widowControl w:val="off"/>
        <w:rPr>
          <w:rFonts w:hint="eastAsia" w:ascii="宋体" w:hAnsi="宋体" w:eastAsia="宋体" w:cs="宋体"/>
          <w:b w:val="0"/>
          <w:bCs w:val="0"/>
          <w:iCs/>
          <w:caps w:val="0"/>
          <w:color w:val="000000"/>
          <w:sz w:val="24"/>
          <w:highlight w:val="none"/>
          <w:lang w:val="en-US" w:eastAsia="zh-CN"/>
        </w:rPr>
        <w:outlineLvl w:val="9"/>
      </w:pPr>
      <w:r>
        <w:rPr>
          <w:rFonts w:hint="eastAsia" w:ascii="宋体" w:hAnsi="宋体" w:eastAsia="宋体" w:cs="宋体"/>
          <w:b w:val="0"/>
          <w:bCs w:val="0"/>
          <w:iCs/>
          <w:caps w:val="0"/>
          <w:color w:val="000000"/>
          <w:sz w:val="24"/>
          <w:highlight w:val="none"/>
          <w:lang w:val="en-US" w:eastAsia="zh-CN"/>
        </w:rPr>
        <w:t xml:space="preserve">1.有关本次招标的事项若存在变动或修改，敬请及时关注“江苏政府采购网”等平台更正公告。</w:t>
      </w:r>
      <w:r>
        <w:rPr>
          <w:rFonts w:hint="eastAsia" w:ascii="宋体" w:hAnsi="宋体" w:eastAsia="宋体" w:cs="宋体"/>
          <w:b w:val="0"/>
          <w:bCs w:val="0"/>
          <w:iCs/>
          <w:caps w:val="0"/>
          <w:color w:val="000000"/>
          <w:sz w:val="24"/>
          <w:highlight w:val="none"/>
          <w:lang w:val="en-US" w:eastAsia="zh-CN"/>
        </w:rPr>
      </w:r>
      <w:r/>
    </w:p>
    <w:p>
      <w:pPr>
        <w:pStyle w:val="989"/>
        <w:ind w:left="0" w:firstLine="482"/>
        <w:keepLines w:val="0"/>
        <w:keepNext w:val="0"/>
        <w:pageBreakBefore w:val="0"/>
        <w:spacing w:line="560" w:lineRule="exact"/>
        <w:widowControl w:val="off"/>
        <w:tabs>
          <w:tab w:val="left" w:pos="900" w:leader="none"/>
        </w:tabs>
        <w:rPr>
          <w:rFonts w:hint="eastAsia" w:ascii="宋体" w:hAnsi="宋体" w:eastAsia="宋体" w:cs="宋体"/>
          <w:bCs/>
          <w:caps w:val="0"/>
          <w:color w:val="000000"/>
          <w:sz w:val="24"/>
          <w:szCs w:val="24"/>
          <w:highlight w:val="none"/>
        </w:rPr>
        <w:outlineLvl w:val="9"/>
      </w:pPr>
      <w:r>
        <w:rPr>
          <w:rFonts w:hint="eastAsia" w:ascii="宋体" w:hAnsi="宋体" w:eastAsia="宋体" w:cs="宋体"/>
          <w:b/>
          <w:bCs/>
          <w:iCs/>
          <w:caps w:val="0"/>
          <w:color w:val="000000"/>
          <w:sz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rPr>
          <w:rFonts w:hint="eastAsia" w:ascii="宋体" w:hAnsi="宋体" w:eastAsia="宋体" w:cs="宋体"/>
          <w:bCs/>
          <w:caps w:val="0"/>
          <w:color w:val="000000"/>
          <w:sz w:val="24"/>
          <w:szCs w:val="24"/>
          <w:highlight w:val="none"/>
        </w:rPr>
      </w:r>
      <w:r/>
    </w:p>
    <w:p>
      <w:pPr>
        <w:pStyle w:val="989"/>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bookmarkStart w:id="57" w:name="_Toc2451"/>
      <w:r>
        <w:rPr>
          <w:rFonts w:hint="eastAsia" w:ascii="宋体" w:hAnsi="宋体" w:eastAsia="宋体" w:cs="宋体"/>
          <w:b/>
          <w:color w:val="000000"/>
          <w:sz w:val="44"/>
          <w:szCs w:val="44"/>
          <w:highlight w:val="none"/>
        </w:rPr>
        <w:t xml:space="preserve">第二部分  投标人须知</w:t>
      </w:r>
      <w:bookmarkEnd w:id="8"/>
      <w:r/>
      <w:bookmarkEnd w:id="9"/>
      <w:r/>
      <w:bookmarkEnd w:id="57"/>
      <w:r>
        <w:rPr>
          <w:rFonts w:hint="eastAsia" w:ascii="宋体" w:hAnsi="宋体" w:eastAsia="宋体" w:cs="宋体"/>
          <w:b/>
          <w:color w:val="000000"/>
          <w:sz w:val="44"/>
          <w:szCs w:val="44"/>
          <w:highlight w:val="none"/>
        </w:rPr>
      </w:r>
      <w:r/>
    </w:p>
    <w:p>
      <w:pPr>
        <w:pStyle w:val="991"/>
        <w:keepLines w:val="0"/>
        <w:keepNext w:val="0"/>
        <w:rPr>
          <w:rFonts w:hint="eastAsia" w:ascii="宋体" w:hAnsi="宋体" w:eastAsia="宋体" w:cs="宋体"/>
          <w:color w:val="000000"/>
          <w:highlight w:val="none"/>
        </w:rPr>
      </w:pPr>
      <w:r/>
      <w:bookmarkStart w:id="58" w:name="_Toc81575191"/>
      <w:r/>
      <w:bookmarkStart w:id="59" w:name="_Toc81575154"/>
      <w:r/>
      <w:bookmarkStart w:id="60" w:name="_Toc18398"/>
      <w:r/>
      <w:bookmarkStart w:id="61" w:name="_Toc24068"/>
      <w:r>
        <w:rPr>
          <w:rFonts w:hint="eastAsia" w:ascii="宋体" w:hAnsi="宋体" w:eastAsia="宋体" w:cs="宋体"/>
          <w:color w:val="000000"/>
          <w:highlight w:val="none"/>
        </w:rPr>
        <w:t xml:space="preserve">投标人须知前附表：</w:t>
      </w:r>
      <w:bookmarkEnd w:id="58"/>
      <w:r/>
      <w:bookmarkEnd w:id="59"/>
      <w:r/>
      <w:bookmarkEnd w:id="60"/>
      <w:r/>
      <w:bookmarkEnd w:id="61"/>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pStyle w:val="98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5786" w:type="dxa"/>
            <w:vAlign w:val="center"/>
            <w:textDirection w:val="lrTb"/>
            <w:noWrap w:val="false"/>
          </w:tcPr>
          <w:p>
            <w:pPr>
              <w:pStyle w:val="98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bookmarkStart w:id="62" w:name="EB9a5853ee094f4f0ea6ec3169265f6f2c"/>
            <w:r>
              <w:rPr>
                <w:rFonts w:hint="eastAsia" w:ascii="宋体" w:hAnsi="宋体" w:eastAsia="宋体" w:cs="宋体"/>
                <w:color w:val="000000"/>
                <w:sz w:val="24"/>
                <w:szCs w:val="24"/>
                <w:highlight w:val="none"/>
              </w:rPr>
              <w:t xml:space="preserve"> </w:t>
            </w:r>
            <w:r>
              <w:rPr>
                <w:rFonts w:ascii="Wingdings 2" w:hAnsi="Wingdings 2" w:eastAsia="Wingdings 2" w:cs="Wingdings 2"/>
                <w:color w:val="000000"/>
                <w:sz w:val="24"/>
                <w:szCs w:val="24"/>
                <w:highlight w:val="none"/>
              </w:rPr>
              <w:t xml:space="preserve">£</w:t>
            </w:r>
            <w:r>
              <w:rPr>
                <w:rFonts w:hint="eastAsia" w:ascii="宋体" w:hAnsi="宋体" w:eastAsia="宋体" w:cs="宋体"/>
                <w:color w:val="000000"/>
                <w:sz w:val="24"/>
                <w:szCs w:val="24"/>
                <w:highlight w:val="none"/>
              </w:rPr>
              <w:t xml:space="preserve"> </w:t>
            </w:r>
            <w:bookmarkEnd w:id="62"/>
            <w:r>
              <w:rPr>
                <w:rFonts w:hint="eastAsia" w:ascii="宋体" w:hAnsi="宋体" w:eastAsia="宋体" w:cs="宋体"/>
                <w:color w:val="000000"/>
                <w:sz w:val="24"/>
                <w:szCs w:val="24"/>
                <w:highlight w:val="none"/>
              </w:rPr>
              <w:t xml:space="preserve">货物</w:t>
            </w:r>
            <w:bookmarkStart w:id="63" w:name="EBd5c6c026f9674c39b21b31ecd0c1e7fa"/>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bookmarkEnd w:id="63"/>
            <w:r>
              <w:rPr>
                <w:rFonts w:hint="eastAsia" w:ascii="宋体" w:hAnsi="宋体" w:eastAsia="宋体" w:cs="宋体"/>
                <w:color w:val="000000"/>
                <w:sz w:val="24"/>
                <w:szCs w:val="24"/>
                <w:highlight w:val="none"/>
              </w:rPr>
              <w:t xml:space="preserve">服务</w:t>
            </w:r>
            <w:bookmarkStart w:id="64" w:name="EBf7d2a4f44ecb4166a93ea852e73be69f"/>
            <w:r>
              <w:rPr>
                <w:rFonts w:hint="eastAsia" w:ascii="宋体" w:hAnsi="宋体" w:eastAsia="宋体" w:cs="宋体"/>
                <w:color w:val="000000"/>
                <w:sz w:val="24"/>
                <w:szCs w:val="24"/>
                <w:highlight w:val="none"/>
              </w:rPr>
              <w:t xml:space="preserve"> □ </w:t>
            </w:r>
            <w:bookmarkEnd w:id="64"/>
            <w:r>
              <w:rPr>
                <w:rFonts w:hint="eastAsia" w:ascii="宋体" w:hAnsi="宋体" w:eastAsia="宋体" w:cs="宋体"/>
                <w:color w:val="000000"/>
                <w:sz w:val="24"/>
                <w:szCs w:val="24"/>
                <w:highlight w:val="none"/>
              </w:rPr>
              <w:t xml:space="preserve">工程 采购。</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本项目不收取投标保证金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widowControl/>
              <w:rPr>
                <w:rFonts w:hint="eastAsia" w:ascii="宋体" w:hAnsi="宋体" w:eastAsia="宋体" w:cs="宋体"/>
                <w:color w:val="000000"/>
                <w:sz w:val="24"/>
                <w:szCs w:val="24"/>
                <w:highlight w:val="none"/>
              </w:rPr>
            </w:pPr>
            <w:r/>
            <w:bookmarkStart w:id="65" w:name="EBd40b5fb42f2944a3b45e579ce3941f02"/>
            <w:r>
              <w:rPr>
                <w:rFonts w:hint="eastAsia" w:ascii="宋体" w:hAnsi="宋体" w:eastAsia="宋体" w:cs="宋体"/>
                <w:color w:val="000000"/>
                <w:sz w:val="24"/>
                <w:szCs w:val="24"/>
                <w:highlight w:val="none"/>
              </w:rPr>
              <w:t xml:space="preserve">60</w:t>
            </w:r>
            <w:bookmarkEnd w:id="65"/>
            <w:r>
              <w:rPr>
                <w:rFonts w:hint="eastAsia" w:ascii="宋体" w:hAnsi="宋体" w:eastAsia="宋体" w:cs="宋体"/>
                <w:color w:val="000000"/>
                <w:sz w:val="24"/>
                <w:szCs w:val="24"/>
                <w:highlight w:val="none"/>
              </w:rPr>
              <w:t xml:space="preserve">日（从提交投标文件截止之日起算）</w:t>
            </w:r>
            <w:r>
              <w:rPr>
                <w:rFonts w:hint="eastAsia" w:ascii="宋体" w:hAnsi="宋体" w:eastAsia="宋体" w:cs="宋体"/>
                <w:color w:val="000000"/>
                <w:sz w:val="24"/>
                <w:szCs w:val="24"/>
                <w:highlight w:val="none"/>
              </w:rPr>
            </w:r>
            <w:r/>
          </w:p>
        </w:tc>
      </w:tr>
      <w:tr>
        <w:trPr>
          <w:trHeight w:val="339"/>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电子投标文件1份，中标后提供</w:t>
            </w:r>
            <w:r>
              <w:rPr>
                <w:rFonts w:hint="eastAsia" w:ascii="宋体" w:hAnsi="宋体" w:eastAsia="宋体" w:cs="宋体"/>
                <w:color w:val="000000"/>
                <w:sz w:val="24"/>
                <w:szCs w:val="24"/>
                <w:highlight w:val="none"/>
              </w:rPr>
              <w:t xml:space="preserve">3份</w:t>
            </w:r>
            <w:r>
              <w:rPr>
                <w:rFonts w:hint="eastAsia" w:ascii="宋体" w:hAnsi="宋体" w:eastAsia="宋体" w:cs="宋体"/>
                <w:color w:val="000000"/>
                <w:sz w:val="24"/>
                <w:szCs w:val="24"/>
                <w:highlight w:val="none"/>
              </w:rPr>
              <w:t xml:space="preserve">纸质投标文件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widowControl/>
              <w:rPr>
                <w:rFonts w:hint="eastAsia" w:ascii="宋体" w:hAnsi="宋体" w:eastAsia="宋体" w:cs="宋体"/>
                <w:color w:val="000000"/>
                <w:sz w:val="24"/>
                <w:szCs w:val="24"/>
                <w:highlight w:val="none"/>
              </w:rPr>
            </w:pPr>
            <w:r/>
            <w:bookmarkStart w:id="66" w:name="EB01ad4d0610b94c8dbc88b91e6c2e3007"/>
            <w:r>
              <w:rPr>
                <w:rFonts w:hint="eastAsia" w:ascii="宋体" w:hAnsi="宋体" w:eastAsia="宋体" w:cs="宋体"/>
                <w:color w:val="000000"/>
                <w:sz w:val="24"/>
                <w:szCs w:val="24"/>
                <w:highlight w:val="none"/>
              </w:rPr>
              <w:t xml:space="preserve"> □ </w:t>
            </w:r>
            <w:bookmarkEnd w:id="66"/>
            <w:r>
              <w:rPr>
                <w:rFonts w:hint="eastAsia" w:ascii="宋体" w:hAnsi="宋体" w:eastAsia="宋体" w:cs="宋体"/>
                <w:color w:val="000000"/>
                <w:sz w:val="24"/>
                <w:szCs w:val="24"/>
                <w:highlight w:val="none"/>
              </w:rPr>
              <w:t xml:space="preserve">最低评标价法；</w:t>
            </w:r>
            <w:bookmarkStart w:id="67" w:name="EB60edc45a715b46df9501002f44e6ae26"/>
            <w:r>
              <w:rPr>
                <w:rFonts w:hint="eastAsia" w:ascii="宋体" w:hAnsi="宋体" w:eastAsia="宋体" w:cs="宋体"/>
                <w:color w:val="000000"/>
                <w:sz w:val="24"/>
                <w:szCs w:val="24"/>
                <w:highlight w:val="none"/>
              </w:rPr>
              <w:t xml:space="preserve"> ☑ </w:t>
            </w:r>
            <w:bookmarkEnd w:id="67"/>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p>
            <w:pPr>
              <w:pStyle w:val="989"/>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具体评标办法详见招标文件第三部分。</w:t>
            </w:r>
            <w:r>
              <w:rPr>
                <w:rFonts w:hint="eastAsia" w:ascii="宋体" w:hAnsi="宋体" w:eastAsia="宋体" w:cs="宋体"/>
                <w:color w:val="000000"/>
                <w:sz w:val="24"/>
                <w:szCs w:val="24"/>
                <w:highlight w:val="none"/>
              </w:rPr>
            </w:r>
            <w:r/>
          </w:p>
          <w:p>
            <w:pPr>
              <w:pStyle w:val="989"/>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评标委员会按照招标文件规定评标办法和标准推荐1-3名中标候选人。</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widowControl/>
              <w:rPr>
                <w:rFonts w:hint="eastAsia" w:ascii="宋体" w:hAnsi="宋体" w:eastAsia="宋体" w:cs="宋体"/>
                <w:color w:val="000000"/>
                <w:sz w:val="24"/>
                <w:szCs w:val="24"/>
                <w:highlight w:val="none"/>
                <w:lang w:eastAsia="zh-CN"/>
              </w:rPr>
            </w:pPr>
            <w:r>
              <w:rPr>
                <w:rFonts w:hint="eastAsia" w:ascii="Times New Roman" w:hAnsi="Times New Roman" w:cs="仿宋"/>
                <w:color w:val="000000"/>
                <w:sz w:val="24"/>
                <w:szCs w:val="24"/>
                <w:highlight w:val="none"/>
              </w:rPr>
              <w:t xml:space="preserve">代理服务费：按计价格【2002】1980号文件规定标准的40%计取，评委费据实结算。</w:t>
            </w:r>
            <w:r>
              <w:rPr>
                <w:rFonts w:hint="eastAsia" w:ascii="宋体" w:hAnsi="宋体" w:cs="宋体"/>
                <w:color w:val="000000"/>
                <w:sz w:val="24"/>
                <w:szCs w:val="24"/>
                <w:highlight w:val="none"/>
              </w:rPr>
              <w:t xml:space="preserve">可使用数字人民币支付。</w:t>
            </w:r>
            <w:r>
              <w:rPr>
                <w:rFonts w:hint="eastAsia" w:ascii="宋体" w:hAnsi="宋体" w:eastAsia="宋体" w:cs="宋体"/>
                <w:color w:val="000000"/>
                <w:sz w:val="24"/>
                <w:szCs w:val="24"/>
                <w:highlight w:val="none"/>
                <w:lang w:eastAsia="zh-CN"/>
              </w:rPr>
            </w:r>
            <w:r/>
          </w:p>
        </w:tc>
      </w:tr>
      <w:tr>
        <w:trPr/>
        <w:tc>
          <w:tcPr>
            <w:tcW w:w="959" w:type="dxa"/>
            <w:vAlign w:val="center"/>
            <w:textDirection w:val="lrTb"/>
            <w:noWrap w:val="false"/>
          </w:tcPr>
          <w:p>
            <w:pPr>
              <w:pStyle w:val="989"/>
              <w:jc w:val="center"/>
              <w:rPr>
                <w:rFonts w:hint="eastAsia" w:ascii="宋体" w:hAnsi="宋体" w:eastAsia="宋体" w:cs="宋体"/>
                <w:color w:val="000000"/>
                <w:sz w:val="24"/>
                <w:szCs w:val="24"/>
                <w:highlight w:val="none"/>
                <w:lang w:eastAsia="zh-CN"/>
              </w:rPr>
            </w:pPr>
            <w:r/>
            <w:bookmarkStart w:id="68" w:name="EB379186c95d8d4f5892d49bb86c4339ef"/>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89"/>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文件设置“□”的,以□内打√项内容为准。</w:t>
            </w:r>
            <w:r>
              <w:rPr>
                <w:rFonts w:hint="eastAsia" w:ascii="宋体" w:hAnsi="宋体" w:eastAsia="宋体" w:cs="宋体"/>
                <w:color w:val="000000"/>
                <w:sz w:val="24"/>
                <w:szCs w:val="24"/>
                <w:highlight w:val="none"/>
              </w:rPr>
            </w:r>
            <w:r/>
          </w:p>
          <w:p>
            <w:pPr>
              <w:pStyle w:val="989"/>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2、踏勘现场：本项目不组织踏勘现场，各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自行踏勘，费用自理。因未踏勘或未仔细踏勘造成的损失自负。</w:t>
            </w:r>
            <w:r>
              <w:rPr>
                <w:rFonts w:hint="eastAsia" w:ascii="宋体" w:hAnsi="宋体" w:eastAsia="宋体" w:cs="宋体"/>
                <w:color w:val="000000"/>
                <w:sz w:val="24"/>
                <w:szCs w:val="24"/>
                <w:highlight w:val="none"/>
              </w:rPr>
            </w:r>
            <w:r/>
          </w:p>
          <w:p>
            <w:pPr>
              <w:pStyle w:val="989"/>
              <w:spacing w:line="3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信用信息查询截止时间：资格审查结束前。由采购人在资格审查现场查询信用信息，网页截屏打印，查询结果留存并归档</w:t>
            </w:r>
            <w:r>
              <w:rPr>
                <w:rFonts w:hint="eastAsia" w:ascii="宋体" w:hAnsi="宋体" w:eastAsia="宋体" w:cs="宋体"/>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tc>
      </w:tr>
    </w:tbl>
    <w:p>
      <w:pPr>
        <w:pStyle w:val="989"/>
        <w:rPr>
          <w:rFonts w:hint="eastAsia" w:ascii="宋体" w:hAnsi="宋体" w:eastAsia="宋体" w:cs="宋体"/>
          <w:color w:val="000000"/>
          <w:highlight w:val="none"/>
        </w:rPr>
      </w:pPr>
      <w:r>
        <w:rPr>
          <w:rFonts w:hint="eastAsia" w:ascii="宋体" w:hAnsi="宋体" w:eastAsia="宋体" w:cs="宋体"/>
          <w:color w:val="000000"/>
          <w:sz w:val="20"/>
          <w:highlight w:val="none"/>
        </w:rPr>
        <w:t xml:space="preserve"> </w:t>
      </w:r>
      <w:bookmarkEnd w:id="68"/>
      <w:r>
        <w:rPr>
          <w:rFonts w:hint="eastAsia" w:ascii="宋体" w:hAnsi="宋体" w:eastAsia="宋体" w:cs="宋体"/>
          <w:color w:val="000000"/>
          <w:highlight w:val="none"/>
        </w:rPr>
      </w:r>
      <w:r/>
    </w:p>
    <w:p>
      <w:pPr>
        <w:pStyle w:val="989"/>
        <w:rPr>
          <w:rFonts w:hint="eastAsia" w:ascii="宋体" w:hAnsi="宋体" w:eastAsia="宋体" w:cs="宋体"/>
          <w:color w:val="000000"/>
          <w:sz w:val="20"/>
          <w:highlight w:val="none"/>
        </w:rPr>
      </w:pPr>
      <w:r/>
      <w:bookmarkStart w:id="69" w:name="EB57e60e2185ad4f8aa3291d2c5afbcc97"/>
      <w:r>
        <w:rPr>
          <w:rFonts w:hint="eastAsia" w:ascii="宋体" w:hAnsi="宋体" w:eastAsia="宋体" w:cs="宋体"/>
          <w:color w:val="000000"/>
          <w:sz w:val="20"/>
          <w:highlight w:val="none"/>
        </w:rPr>
        <w:t xml:space="preserve"> </w:t>
      </w:r>
      <w:bookmarkEnd w:id="69"/>
      <w:r/>
      <w:bookmarkStart w:id="70" w:name="EBc91228392f1e4db5bf2f171a6b6a36cc"/>
      <w:r>
        <w:rPr>
          <w:rFonts w:hint="eastAsia" w:ascii="宋体" w:hAnsi="宋体" w:eastAsia="宋体" w:cs="宋体"/>
          <w:color w:val="000000"/>
          <w:sz w:val="20"/>
          <w:highlight w:val="none"/>
        </w:rPr>
        <w:t xml:space="preserve"> </w:t>
      </w:r>
      <w:bookmarkEnd w:id="70"/>
      <w:r>
        <w:rPr>
          <w:rFonts w:hint="eastAsia" w:ascii="宋体" w:hAnsi="宋体" w:eastAsia="宋体" w:cs="宋体"/>
          <w:color w:val="000000"/>
          <w:sz w:val="20"/>
          <w:highlight w:val="none"/>
        </w:rPr>
      </w:r>
      <w:r/>
    </w:p>
    <w:p>
      <w:pPr>
        <w:pStyle w:val="1060"/>
        <w:ind w:left="420" w:firstLine="40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60"/>
        <w:ind w:left="420" w:firstLine="40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291"/>
        <w:ind w:firstLine="643"/>
        <w:jc w:val="center"/>
        <w:rPr>
          <w:rFonts w:hint="eastAsia" w:ascii="宋体" w:hAnsi="宋体" w:eastAsia="宋体" w:cs="宋体"/>
          <w:b/>
          <w:color w:val="000000"/>
          <w:highlight w:val="none"/>
          <w:lang w:val="en-US" w:eastAsia="zh-CN"/>
        </w:rPr>
        <w:outlineLvl w:val="1"/>
      </w:pPr>
      <w:r/>
      <w:bookmarkStart w:id="71" w:name="_Toc81575192"/>
      <w:r/>
      <w:bookmarkStart w:id="72" w:name="_Toc81575155"/>
      <w:r>
        <w:rPr>
          <w:rFonts w:hint="eastAsia" w:ascii="宋体" w:hAnsi="宋体" w:eastAsia="宋体" w:cs="宋体"/>
          <w:color w:val="000000"/>
          <w:highlight w:val="none"/>
        </w:rPr>
        <w:br w:type="page" w:clear="all"/>
      </w:r>
      <w:bookmarkEnd w:id="71"/>
      <w:r/>
      <w:bookmarkEnd w:id="72"/>
      <w:r/>
      <w:bookmarkStart w:id="73" w:name="_Toc20956"/>
      <w:r/>
      <w:bookmarkStart w:id="74" w:name="_Toc28142"/>
      <w:r>
        <w:rPr>
          <w:rFonts w:hint="eastAsia" w:ascii="宋体" w:hAnsi="宋体" w:eastAsia="宋体" w:cs="宋体"/>
          <w:b/>
          <w:color w:val="000000"/>
          <w:highlight w:val="none"/>
          <w:lang w:val="en-US" w:eastAsia="zh-CN"/>
        </w:rPr>
        <w:t xml:space="preserve">一、总 则</w:t>
      </w:r>
      <w:bookmarkEnd w:id="73"/>
      <w:r/>
      <w:bookmarkEnd w:id="74"/>
      <w:r>
        <w:rPr>
          <w:rFonts w:hint="eastAsia" w:ascii="宋体" w:hAnsi="宋体" w:eastAsia="宋体" w:cs="宋体"/>
          <w:b/>
          <w:color w:val="000000"/>
          <w:highlight w:val="none"/>
          <w:lang w:val="en-US" w:eastAsia="zh-CN"/>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1.招标方式</w:t>
      </w:r>
      <w:r>
        <w:rPr>
          <w:rFonts w:hint="eastAsia" w:ascii="宋体" w:hAnsi="宋体" w:eastAsia="宋体" w:cs="宋体"/>
          <w:b/>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本次招标采取公开招标方式。</w:t>
      </w:r>
      <w:r>
        <w:rPr>
          <w:rFonts w:hint="eastAsia" w:ascii="宋体" w:hAnsi="宋体" w:eastAsia="宋体" w:cs="宋体"/>
          <w:color w:val="000000"/>
          <w:sz w:val="24"/>
          <w:szCs w:val="22"/>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2.合格的投标人</w:t>
      </w:r>
      <w:r>
        <w:rPr>
          <w:rFonts w:hint="eastAsia" w:ascii="宋体" w:hAnsi="宋体" w:eastAsia="宋体" w:cs="宋体"/>
          <w:b/>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2.1合格的投标人必须符合招标文件第一部分《投标邀请函》第二条及须知前附表相关规定，且具备完成本项目的能力，中标后不允许转包。</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2.2合格的投标人应遵守《中华人民共和国政府采购法》《中华人民共和国政府采购法实施条例》《中华人民共和国民法典（第三编合同）》等有关法律法规。</w:t>
      </w:r>
      <w:r>
        <w:rPr>
          <w:rFonts w:hint="eastAsia" w:ascii="宋体" w:hAnsi="宋体" w:eastAsia="宋体" w:cs="宋体"/>
          <w:color w:val="000000"/>
          <w:sz w:val="24"/>
          <w:szCs w:val="22"/>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3.适用法律</w:t>
      </w:r>
      <w:r>
        <w:rPr>
          <w:rFonts w:hint="eastAsia" w:ascii="宋体" w:hAnsi="宋体" w:eastAsia="宋体" w:cs="宋体"/>
          <w:b/>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本次招标及由本次招标产生的合同受到中华人民共和国的相关法律法规制约和保护。</w:t>
      </w:r>
      <w:r>
        <w:rPr>
          <w:rFonts w:hint="eastAsia" w:ascii="宋体" w:hAnsi="宋体" w:eastAsia="宋体" w:cs="宋体"/>
          <w:color w:val="000000"/>
          <w:sz w:val="24"/>
          <w:szCs w:val="22"/>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4.投标费用</w:t>
      </w:r>
      <w:r>
        <w:rPr>
          <w:rFonts w:hint="eastAsia" w:ascii="宋体" w:hAnsi="宋体" w:eastAsia="宋体" w:cs="宋体"/>
          <w:b/>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投标人应自行承担所有参加投标有关的费用。</w:t>
      </w:r>
      <w:r>
        <w:rPr>
          <w:rFonts w:hint="eastAsia" w:ascii="宋体" w:hAnsi="宋体" w:eastAsia="宋体" w:cs="宋体"/>
          <w:color w:val="000000"/>
          <w:sz w:val="24"/>
          <w:szCs w:val="22"/>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5.相同品牌产品投标</w:t>
      </w:r>
      <w:r>
        <w:rPr>
          <w:rFonts w:hint="eastAsia" w:ascii="宋体" w:hAnsi="宋体" w:eastAsia="宋体" w:cs="宋体"/>
          <w:b/>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5.3非单一产品采购项目，采购人确定核心产品，并在招标文件中载明。多家投标人提供的核心产品品牌相同的，按前两款规定处理。</w:t>
      </w:r>
      <w:r>
        <w:rPr>
          <w:rFonts w:hint="eastAsia" w:ascii="宋体" w:hAnsi="宋体" w:eastAsia="宋体" w:cs="宋体"/>
          <w:color w:val="000000"/>
          <w:sz w:val="24"/>
          <w:szCs w:val="22"/>
          <w:highlight w:val="none"/>
          <w:lang w:val="en-US" w:eastAsia="zh-CN" w:bidi="ar-SA"/>
        </w:rPr>
      </w:r>
      <w:r/>
    </w:p>
    <w:p>
      <w:pPr>
        <w:pStyle w:val="989"/>
        <w:ind w:firstLine="420"/>
        <w:rPr>
          <w:rFonts w:hint="eastAsia" w:ascii="宋体" w:hAnsi="宋体" w:eastAsia="宋体" w:cs="宋体"/>
          <w:color w:val="000000"/>
          <w:highlight w:val="none"/>
        </w:rPr>
      </w:pPr>
      <w:r/>
      <w:bookmarkStart w:id="75" w:name="EB03f11de025af49a0b0680fbbffa2bc40"/>
      <w:r/>
      <w:bookmarkEnd w:id="75"/>
      <w:r>
        <w:rPr>
          <w:rFonts w:hint="eastAsia" w:ascii="宋体" w:hAnsi="宋体" w:eastAsia="宋体" w:cs="宋体"/>
          <w:color w:val="000000"/>
          <w:highlight w:val="none"/>
        </w:rPr>
      </w:r>
      <w:r/>
    </w:p>
    <w:p>
      <w:pPr>
        <w:pStyle w:val="98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6.政府采购政策</w:t>
      </w:r>
      <w:r>
        <w:rPr>
          <w:rFonts w:hint="eastAsia" w:ascii="宋体" w:hAnsi="宋体" w:eastAsia="宋体" w:cs="宋体"/>
          <w:b/>
          <w:color w:val="000000"/>
          <w:sz w:val="24"/>
          <w:highlight w:val="none"/>
        </w:rPr>
      </w:r>
      <w:r/>
    </w:p>
    <w:p>
      <w:pPr>
        <w:pStyle w:val="989"/>
        <w:ind w:firstLine="482"/>
        <w:spacing w:line="500" w:lineRule="exact"/>
        <w:rPr>
          <w:rFonts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rPr>
        <w:t xml:space="preserve">本项目落实的政府采购政策为应序号为</w:t>
      </w:r>
      <w:r>
        <w:rPr>
          <w:rFonts w:hint="eastAsia" w:ascii="宋体" w:hAnsi="宋体" w:eastAsia="宋体" w:cs="宋体"/>
          <w:color w:val="000000"/>
          <w:sz w:val="24"/>
          <w:highlight w:val="none"/>
          <w:u w:val="single"/>
        </w:rPr>
        <w:t xml:space="preserve">6.1</w:t>
      </w:r>
      <w:r>
        <w:rPr>
          <w:rFonts w:hint="eastAsia" w:ascii="宋体" w:hAnsi="宋体" w:eastAsia="宋体" w:cs="宋体"/>
          <w:color w:val="000000"/>
          <w:sz w:val="24"/>
          <w:highlight w:val="none"/>
          <w:u w:val="single"/>
          <w:lang w:val="en-US" w:eastAsia="zh-CN"/>
        </w:rPr>
        <w:t xml:space="preserve">、6.3</w:t>
      </w:r>
      <w:r>
        <w:rPr>
          <w:rFonts w:ascii="宋体" w:hAnsi="宋体" w:eastAsia="宋体" w:cs="宋体"/>
          <w:b/>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6.1中小企业政策</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b/>
          <w:bCs/>
          <w:color w:val="000000"/>
          <w:sz w:val="24"/>
          <w:highlight w:val="none"/>
          <w:u w:val="singl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b/>
          <w:bCs/>
          <w:color w:val="000000"/>
          <w:sz w:val="24"/>
          <w:highlight w:val="none"/>
          <w:u w:val="single"/>
        </w:rPr>
        <w:t xml:space="preserve">其他未列明行业</w:t>
      </w:r>
      <w:r>
        <w:rPr>
          <w:rFonts w:hint="eastAsia" w:ascii="宋体" w:hAnsi="宋体" w:eastAsia="宋体" w:cs="宋体"/>
          <w:b/>
          <w:bCs/>
          <w:color w:val="000000"/>
          <w:sz w:val="24"/>
          <w:highlight w:val="none"/>
          <w:u w:val="singl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本项目按以下第</w:t>
      </w:r>
      <w:r>
        <w:rPr>
          <w:rFonts w:hint="eastAsia" w:ascii="宋体" w:hAnsi="宋体" w:eastAsia="宋体" w:cs="宋体"/>
          <w:b/>
          <w:bCs/>
          <w:color w:val="000000"/>
          <w:sz w:val="24"/>
          <w:highlight w:val="none"/>
          <w:u w:val="single"/>
        </w:rPr>
        <w:t xml:space="preserve">（</w:t>
      </w:r>
      <w:r>
        <w:rPr>
          <w:rFonts w:hint="eastAsia" w:ascii="宋体" w:hAnsi="宋体" w:eastAsia="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rPr>
        <w:t xml:space="preserve">）</w:t>
      </w:r>
      <w:r>
        <w:rPr>
          <w:rFonts w:hint="eastAsia" w:ascii="宋体" w:hAnsi="宋体" w:eastAsia="宋体" w:cs="宋体"/>
          <w:color w:val="000000"/>
          <w:sz w:val="24"/>
          <w:highlight w:val="none"/>
        </w:rPr>
        <w:t xml:space="preserve">项政策确定本项目落实的中小企业政策：</w:t>
      </w:r>
      <w:r>
        <w:rPr>
          <w:rFonts w:hint="eastAsia" w:ascii="宋体" w:hAnsi="宋体" w:eastAsia="宋体" w:cs="宋体"/>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（1）本项目专门面向中小企业（含监狱与戒毒企业、残疾人福利企业）采购。</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w:t>
      </w:r>
      <w:r>
        <w:rPr>
          <w:rFonts w:hint="eastAsia" w:ascii="Times New Roman" w:hAnsi="Times New Roman" w:cs="仿宋"/>
          <w:color w:val="000000"/>
          <w:sz w:val="24"/>
          <w:highlight w:val="none"/>
        </w:rPr>
        <w:t xml:space="preserve">对符合规定情形的小微企业</w:t>
      </w:r>
      <w:r>
        <w:rPr>
          <w:rFonts w:hint="eastAsia" w:ascii="宋体" w:hAnsi="宋体" w:eastAsia="宋体" w:cs="宋体"/>
          <w:color w:val="000000"/>
          <w:sz w:val="24"/>
          <w:szCs w:val="22"/>
          <w:highlight w:val="none"/>
          <w:lang w:val="en-US" w:eastAsia="zh-CN" w:bidi="ar-SA"/>
        </w:rPr>
        <w:t xml:space="preserve">报价给予</w:t>
      </w:r>
      <w:r>
        <w:rPr>
          <w:rFonts w:hint="eastAsia" w:ascii="宋体" w:hAnsi="宋体" w:eastAsia="宋体" w:cs="宋体"/>
          <w:b/>
          <w:bCs/>
          <w:color w:val="000000"/>
          <w:sz w:val="24"/>
          <w:szCs w:val="22"/>
          <w:highlight w:val="none"/>
          <w:u w:val="single"/>
          <w:lang w:val="en-US" w:eastAsia="zh-CN" w:bidi="ar-SA"/>
        </w:rPr>
        <w:t xml:space="preserve">10%</w:t>
      </w:r>
      <w:r>
        <w:rPr>
          <w:rFonts w:hint="eastAsia" w:ascii="宋体" w:hAnsi="宋体" w:eastAsia="宋体" w:cs="宋体"/>
          <w:color w:val="000000"/>
          <w:sz w:val="24"/>
          <w:szCs w:val="22"/>
          <w:highlight w:val="none"/>
          <w:lang w:val="en-US" w:eastAsia="zh-CN" w:bidi="ar-SA"/>
        </w:rPr>
        <w:t xml:space="preserve">的扣除，用扣除后的价格参加评审。</w:t>
      </w:r>
      <w:r>
        <w:rPr>
          <w:rFonts w:hint="eastAsia" w:ascii="宋体" w:hAnsi="宋体" w:eastAsia="宋体" w:cs="宋体"/>
          <w:color w:val="000000"/>
          <w:sz w:val="24"/>
          <w:szCs w:val="22"/>
          <w:highlight w:val="none"/>
          <w:lang w:val="en-US" w:eastAsia="zh-CN" w:bidi="ar-SA"/>
        </w:rPr>
      </w:r>
      <w:r/>
    </w:p>
    <w:p>
      <w:pPr>
        <w:pStyle w:val="989"/>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eastAsia="宋体" w:cs="仿宋"/>
          <w:color w:val="000000"/>
          <w:sz w:val="24"/>
          <w:highlight w:val="none"/>
        </w:rPr>
      </w:r>
      <w:r/>
    </w:p>
    <w:p>
      <w:pPr>
        <w:pStyle w:val="989"/>
        <w:ind w:firstLine="480"/>
        <w:jc w:val="both"/>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 政府采购节能产品、环境标志产品</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6.2.1</w:t>
      </w:r>
      <w:r>
        <w:rPr>
          <w:rFonts w:hint="eastAsia" w:ascii="宋体" w:hAnsi="宋体" w:eastAsia="宋体" w:cs="宋体"/>
          <w:b/>
          <w:bCs/>
          <w:color w:val="000000"/>
          <w:sz w:val="24"/>
          <w:szCs w:val="22"/>
          <w:highlight w:val="none"/>
          <w:lang w:val="en-US" w:eastAsia="zh-CN" w:bidi="ar-SA"/>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b/>
          <w:bCs/>
          <w:color w:val="000000"/>
          <w:sz w:val="24"/>
          <w:szCs w:val="22"/>
          <w:highlight w:val="none"/>
          <w:lang w:val="en-US" w:eastAsia="zh-CN" w:bidi="ar-SA"/>
        </w:rPr>
      </w:r>
      <w:r/>
    </w:p>
    <w:p>
      <w:pPr>
        <w:pStyle w:val="989"/>
        <w:ind w:firstLine="482"/>
        <w:jc w:val="both"/>
        <w:spacing w:line="500" w:lineRule="exact"/>
        <w:widowControl w:val="off"/>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6.2.2采购人拟采购的产品属于政府强制采购的节能产品品目清单范围的，投标人须提供国家确定的认证机构出具的、处于有效期之内的节能产品认证证书的，否则无效标处理。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b/>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6.2.3采购人拟采购的产品属于优先采购的节能环保品目清单范围的，按以下条件优先采购：</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采用综合评分法的项目，对提供有效节能环保证书的投标人加分。</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采用最低评标价法的项目，同等条件下优先推荐提供有效节能环保证书多的投标人为中标人。</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6.3政府采购需求标准</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6.3.1商品包装、快递包装政府采购需求标准（试行）</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 6.3.2绿色数据中心政府采购需求标准（试行）</w:t>
      </w:r>
      <w:r>
        <w:rPr>
          <w:rFonts w:hint="eastAsia" w:ascii="宋体" w:hAnsi="宋体" w:eastAsia="宋体" w:cs="宋体"/>
          <w:color w:val="000000"/>
          <w:sz w:val="24"/>
          <w:szCs w:val="22"/>
          <w:highlight w:val="none"/>
          <w:lang w:val="en-US" w:eastAsia="zh-CN" w:bidi="ar-SA"/>
        </w:rPr>
      </w:r>
      <w:r/>
    </w:p>
    <w:p>
      <w:pPr>
        <w:pStyle w:val="989"/>
        <w:ind w:firstLine="480"/>
        <w:jc w:val="both"/>
        <w:spacing w:line="500" w:lineRule="exact"/>
        <w:widowControl w:val="off"/>
        <w:rPr>
          <w:rFonts w:hint="eastAsia" w:ascii="宋体" w:hAnsi="宋体" w:eastAsia="宋体" w:cs="宋体"/>
          <w:b/>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为加快数据中心绿色转型，根据财政部 生态环境部 工业和信息化部关于印发《绿色数据中心政府采购需求标准（试行）》的通知，本项目如涉及绿色数据中心，具体需求详见第四部分采购需求。</w:t>
      </w:r>
      <w:r>
        <w:rPr>
          <w:rFonts w:hint="eastAsia" w:ascii="宋体" w:hAnsi="宋体" w:eastAsia="宋体" w:cs="宋体"/>
          <w:b/>
          <w:color w:val="000000"/>
          <w:sz w:val="24"/>
          <w:szCs w:val="22"/>
          <w:highlight w:val="none"/>
          <w:lang w:val="en-US" w:eastAsia="zh-CN" w:bidi="ar-SA"/>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76" w:name="_Toc24837"/>
      <w:r/>
      <w:bookmarkStart w:id="77" w:name="_Toc4523"/>
      <w:r/>
      <w:bookmarkStart w:id="78" w:name="_Toc29306"/>
      <w:r/>
      <w:bookmarkStart w:id="79" w:name="_Toc81575156"/>
      <w:r/>
      <w:bookmarkStart w:id="80" w:name="_Toc81575193"/>
      <w:r>
        <w:rPr>
          <w:rFonts w:hint="eastAsia" w:ascii="宋体" w:hAnsi="宋体" w:eastAsia="宋体" w:cs="宋体"/>
          <w:b/>
          <w:color w:val="000000"/>
          <w:sz w:val="32"/>
          <w:szCs w:val="24"/>
          <w:highlight w:val="none"/>
          <w:lang w:val="en-US" w:eastAsia="zh-CN" w:bidi="ar-SA"/>
        </w:rPr>
        <w:t xml:space="preserve">二、招标文件</w:t>
      </w:r>
      <w:bookmarkEnd w:id="76"/>
      <w:r/>
      <w:bookmarkEnd w:id="77"/>
      <w:r/>
      <w:bookmarkEnd w:id="78"/>
      <w:r/>
      <w:bookmarkEnd w:id="79"/>
      <w:r/>
      <w:bookmarkEnd w:id="80"/>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7.招标文件构成</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7.1招标文件由以下部分组成：</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第一部分：投标邀请函；</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第二部分：投标人须知； </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第三部分：资格审查及评分办法；</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第四部分：采购需求；</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第五部分：合同格式及条款；</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第六部分：投标文件格式。</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请仔细检查招标文件是否齐全，如有缺漏请立即与代理机构联系解决。</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8.招标文件的澄清</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任何要求对招标文件澄清的投标人，均应在招标文件提供截止时间之前提出，采购代理机构对规定时间内收到的澄清要求予以答复，答复不包括问题的来源。</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9.招标文件的修改</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9.2招标文件的修改将在原公告媒体上发布更正公告，并对投标人具有约束力。 </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9.4采购代理机构发出的所有补充、修改和变更文件均作为招标文件的组成部分，与招标文件具有同等法律效力。 </w:t>
      </w:r>
      <w:r>
        <w:rPr>
          <w:rFonts w:hint="eastAsia" w:ascii="宋体" w:hAnsi="宋体" w:eastAsia="宋体" w:cs="宋体"/>
          <w:color w:val="000000"/>
          <w:sz w:val="24"/>
          <w:highlight w:val="none"/>
        </w:rPr>
      </w:r>
      <w:r/>
    </w:p>
    <w:p>
      <w:pPr>
        <w:pStyle w:val="989"/>
        <w:ind w:firstLine="420"/>
        <w:rPr>
          <w:rFonts w:hint="eastAsia" w:ascii="宋体" w:hAnsi="宋体" w:eastAsia="宋体" w:cs="宋体"/>
          <w:color w:val="000000"/>
          <w:highlight w:val="none"/>
        </w:rPr>
      </w:pPr>
      <w:r/>
      <w:bookmarkStart w:id="81" w:name="EBec71fc1696a240c4b620fe1e00b2ce58"/>
      <w:r/>
      <w:bookmarkEnd w:id="81"/>
      <w:r/>
      <w:bookmarkStart w:id="82" w:name="EB453bde7f4ddc418fae2aad9fbcd82554"/>
      <w:r/>
      <w:bookmarkEnd w:id="82"/>
      <w:r/>
      <w:bookmarkStart w:id="83" w:name="EB2154fb7cf02b4b0980c6759aa29ee4ed"/>
      <w:r/>
      <w:bookmarkEnd w:id="83"/>
      <w:r>
        <w:rPr>
          <w:rFonts w:hint="eastAsia" w:ascii="宋体" w:hAnsi="宋体" w:eastAsia="宋体" w:cs="宋体"/>
          <w:color w:val="000000"/>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84" w:name="_Toc2717"/>
      <w:r/>
      <w:bookmarkStart w:id="85" w:name="_Toc81575194"/>
      <w:r/>
      <w:bookmarkStart w:id="86" w:name="_Toc5756"/>
      <w:r/>
      <w:bookmarkStart w:id="87" w:name="_Toc81575157"/>
      <w:r/>
      <w:bookmarkStart w:id="88" w:name="_Toc11461"/>
      <w:r>
        <w:rPr>
          <w:rFonts w:hint="eastAsia" w:ascii="宋体" w:hAnsi="宋体" w:eastAsia="宋体" w:cs="宋体"/>
          <w:b/>
          <w:color w:val="000000"/>
          <w:sz w:val="32"/>
          <w:szCs w:val="24"/>
          <w:highlight w:val="none"/>
          <w:lang w:val="en-US" w:eastAsia="zh-CN" w:bidi="ar-SA"/>
        </w:rPr>
        <w:t xml:space="preserve">三、投标文件的编制</w:t>
      </w:r>
      <w:bookmarkEnd w:id="84"/>
      <w:r/>
      <w:bookmarkEnd w:id="85"/>
      <w:r/>
      <w:bookmarkEnd w:id="86"/>
      <w:r/>
      <w:bookmarkEnd w:id="87"/>
      <w:r/>
      <w:bookmarkEnd w:id="88"/>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10.投标文件的编制要求</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10.2投标文件应当对招标文件有关</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color w:val="000000"/>
          <w:sz w:val="24"/>
          <w:highlight w:val="none"/>
        </w:rPr>
        <w:t xml:space="preserve">、投标有效期、质量要求、技术标准和要求、招标范围等实质性内容作出响应。</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10.3中标后按相关要求提供与电子投标文件一致的纸质打印投标文件。 </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1.6投标人应当通过“苏采云”系统提交数据电文形式的投标文件（即电子投标）。未进行投标文件提交并解密的投标人，按照无效响应处理（因“苏采云”系统导致解密失败的除外）。</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11.投标文件构成</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11.1投标声明及承诺函。</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11.2法人授权书；</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11.3报价文件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11.3.1开标一览表；</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11.3.2投标报价明细表。</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11.4综合评审评分项相关技术文件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11.5商务文件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bookmarkStart w:id="89" w:name="EBdc2c24f6358343e896cd43bd6621a619"/>
      <w:r>
        <w:rPr>
          <w:rFonts w:hint="eastAsia" w:ascii="宋体" w:hAnsi="宋体" w:eastAsia="宋体" w:cs="宋体"/>
          <w:color w:val="000000"/>
          <w:sz w:val="24"/>
          <w:highlight w:val="none"/>
        </w:rPr>
        <w:t xml:space="preserve">11.5.1投标人承担的类似项目业绩一览表；</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11.5.2其他商务文件。</w:t>
      </w:r>
      <w:bookmarkEnd w:id="89"/>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11.6投标人认为有必要提供的其他材料。</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如标书制作工具中的格式和内容与“</w:t>
      </w:r>
      <w:r>
        <w:rPr>
          <w:rFonts w:hint="eastAsia" w:ascii="宋体" w:hAnsi="宋体" w:eastAsia="宋体" w:cs="宋体"/>
          <w:color w:val="000000"/>
          <w:sz w:val="24"/>
          <w:highlight w:val="none"/>
          <w:lang w:eastAsia="zh-CN"/>
        </w:rPr>
        <w:t xml:space="preserve">江苏省政府采购网</w:t>
      </w:r>
      <w:r>
        <w:rPr>
          <w:rFonts w:hint="eastAsia" w:ascii="宋体" w:hAnsi="宋体" w:eastAsia="宋体" w:cs="宋体"/>
          <w:color w:val="000000"/>
          <w:sz w:val="24"/>
          <w:highlight w:val="none"/>
        </w:rPr>
        <w:t xml:space="preserve">”发布的招标文件不一致，请以“</w:t>
      </w:r>
      <w:r>
        <w:rPr>
          <w:rFonts w:hint="eastAsia" w:ascii="宋体" w:hAnsi="宋体" w:eastAsia="宋体" w:cs="宋体"/>
          <w:color w:val="000000"/>
          <w:sz w:val="24"/>
          <w:highlight w:val="none"/>
          <w:lang w:eastAsia="zh-CN"/>
        </w:rPr>
        <w:t xml:space="preserve">江苏省政府采购网</w:t>
      </w:r>
      <w:r>
        <w:rPr>
          <w:rFonts w:hint="eastAsia" w:ascii="宋体" w:hAnsi="宋体" w:eastAsia="宋体" w:cs="宋体"/>
          <w:color w:val="000000"/>
          <w:sz w:val="24"/>
          <w:highlight w:val="none"/>
        </w:rPr>
        <w:t xml:space="preserve">”发布的招标文件为准。</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bookmarkStart w:id="90" w:name="EBc50e2bb832bb43068403b10c1cce6141"/>
      <w:r>
        <w:rPr>
          <w:rFonts w:hint="eastAsia" w:ascii="宋体" w:hAnsi="宋体" w:eastAsia="宋体" w:cs="宋体"/>
          <w:b/>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w:t>
      </w:r>
      <w:r>
        <w:rPr>
          <w:rFonts w:hint="eastAsia" w:ascii="宋体" w:hAnsi="宋体" w:eastAsia="宋体" w:cs="宋体"/>
          <w:b/>
          <w:color w:val="000000"/>
          <w:sz w:val="24"/>
          <w:highlight w:val="none"/>
          <w:lang w:val="en-US" w:eastAsia="zh-CN"/>
        </w:rPr>
        <w:t xml:space="preserve">在</w:t>
      </w:r>
      <w:r>
        <w:rPr>
          <w:rFonts w:hint="eastAsia" w:ascii="宋体" w:hAnsi="宋体" w:eastAsia="宋体" w:cs="宋体"/>
          <w:b/>
          <w:color w:val="000000"/>
          <w:sz w:val="24"/>
          <w:highlight w:val="none"/>
        </w:rPr>
        <w:t xml:space="preserve">开标时携带了证书证明资料的原件，但电子投标文件中未包含相关资料电子件的，评标委员会可以视同其未提供。</w:t>
      </w:r>
      <w:bookmarkEnd w:id="90"/>
      <w:r>
        <w:rPr>
          <w:rFonts w:hint="eastAsia" w:ascii="宋体" w:hAnsi="宋体" w:eastAsia="宋体" w:cs="宋体"/>
          <w:b/>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12.投标文件的加密</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投标人应使用经苏采云系统认可的电子商务认证授权机构（CA认证中心）颁发的数字证书对其电子投标文件认证并加密，未按要求加密并认证的投标文件，不予受理。</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13.投标报价</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13.1报价为一次报价，于开标会议当场宣读。</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13.2本项目不接受备选的投标方案或有选择的报价，只允许有一个报价。投标报价内容包括：</w:t>
      </w:r>
      <w:r>
        <w:rPr>
          <w:rFonts w:hint="eastAsia" w:ascii="宋体" w:hAnsi="宋体" w:eastAsia="宋体" w:cs="宋体"/>
          <w:b/>
          <w:bCs/>
          <w:color w:val="000000"/>
          <w:sz w:val="24"/>
          <w:szCs w:val="24"/>
          <w:highlight w:val="none"/>
        </w:rPr>
        <w:t xml:space="preserve">医护人员薪酬、药品及医用耗材采购费用、专业设备投入及运维费用、医疗废</w:t>
      </w:r>
      <w:r>
        <w:rPr>
          <w:rFonts w:hint="eastAsia" w:ascii="宋体" w:hAnsi="宋体" w:eastAsia="宋体" w:cs="宋体"/>
          <w:b/>
          <w:bCs/>
          <w:color w:val="000000"/>
          <w:sz w:val="24"/>
          <w:szCs w:val="24"/>
          <w:highlight w:val="none"/>
        </w:rPr>
        <w:t xml:space="preserve">物处理费用、包装、运输、装卸、保险</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税金等完成本项目所涉及的一切相关费用。</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13.3报价注意事项：投标人报价时应充分考虑所有可能影响到报价的因素，一旦评标结束最终中标，如发生漏、缺、少项，都将被认为是中标人的报价让利行为，损失自负。</w:t>
      </w:r>
      <w:r>
        <w:rPr>
          <w:rFonts w:hint="eastAsia" w:ascii="宋体" w:hAnsi="宋体" w:eastAsia="宋体" w:cs="宋体"/>
          <w:b/>
          <w:bCs/>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14.投标保证金</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bookmarkStart w:id="91" w:name="EB183a0bf075204c54a4ff090f1aecaaa7"/>
      <w:r>
        <w:rPr>
          <w:rFonts w:hint="eastAsia" w:ascii="宋体" w:hAnsi="宋体" w:eastAsia="宋体" w:cs="宋体"/>
          <w:color w:val="000000"/>
          <w:sz w:val="24"/>
          <w:highlight w:val="none"/>
        </w:rPr>
        <w:t xml:space="preserve">本项目不收取投标保证金。</w:t>
      </w:r>
      <w:bookmarkEnd w:id="91"/>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15.投标有效期</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15.1在投标人须知前附表规定的投标有效期内，投标有效期从提交投标文件的截止之日起算。投标有效期不足的投标，在评标时将其视为投标无效。</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宋体" w:hAnsi="宋体" w:eastAsia="宋体" w:cs="宋体"/>
          <w:color w:val="000000"/>
          <w:sz w:val="24"/>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92" w:name="_Toc81575158"/>
      <w:r/>
      <w:bookmarkStart w:id="93" w:name="_Toc81575195"/>
      <w:r/>
      <w:bookmarkStart w:id="94" w:name="_Toc18329"/>
      <w:r/>
      <w:bookmarkStart w:id="95" w:name="_Toc23443"/>
      <w:r/>
      <w:bookmarkStart w:id="96" w:name="_Toc2130"/>
      <w:r>
        <w:rPr>
          <w:rFonts w:hint="eastAsia" w:ascii="宋体" w:hAnsi="宋体" w:eastAsia="宋体" w:cs="宋体"/>
          <w:b/>
          <w:color w:val="000000"/>
          <w:sz w:val="32"/>
          <w:szCs w:val="24"/>
          <w:highlight w:val="none"/>
          <w:lang w:val="en-US" w:eastAsia="zh-CN" w:bidi="ar-SA"/>
        </w:rPr>
        <w:t xml:space="preserve">四、投标文件的提交</w:t>
      </w:r>
      <w:bookmarkEnd w:id="92"/>
      <w:r/>
      <w:bookmarkEnd w:id="93"/>
      <w:r/>
      <w:bookmarkEnd w:id="94"/>
      <w:r/>
      <w:bookmarkEnd w:id="95"/>
      <w:r/>
      <w:bookmarkEnd w:id="96"/>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16.投标文件的提交</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16.2除招标文件另有规定外，投标人所提交的投标文件不予退还。</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16.3网上投标文件的修改和撤回：在投标截止时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前，投标人可以撤回或重新提交投标文件，投标文件以最终完成上传的为准。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16.4采购代理机构可以通过修改招标文件酌情延长投标文件接收截止日期，在此情况下，投标人的所有权利和义务以及投标人受制约的截止日期均应以延长后新的截止日期为准。</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17.投标文件被拒绝接收的情形</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17.1在招标文件规定的投标截止时间后上传的投标文件。</w:t>
      </w:r>
      <w:r>
        <w:rPr>
          <w:rFonts w:hint="eastAsia" w:ascii="宋体" w:hAnsi="宋体" w:eastAsia="宋体" w:cs="宋体"/>
          <w:color w:val="000000"/>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97" w:name="_Toc212"/>
      <w:r/>
      <w:bookmarkStart w:id="98" w:name="_Toc81575159"/>
      <w:r/>
      <w:bookmarkStart w:id="99" w:name="_Toc26208"/>
      <w:r/>
      <w:bookmarkStart w:id="100" w:name="_Toc8841"/>
      <w:r/>
      <w:bookmarkStart w:id="101" w:name="_Toc81575196"/>
      <w:r>
        <w:rPr>
          <w:rFonts w:hint="eastAsia" w:ascii="宋体" w:hAnsi="宋体" w:eastAsia="宋体" w:cs="宋体"/>
          <w:b/>
          <w:color w:val="000000"/>
          <w:sz w:val="32"/>
          <w:szCs w:val="24"/>
          <w:highlight w:val="none"/>
          <w:lang w:val="en-US" w:eastAsia="zh-CN" w:bidi="ar-SA"/>
        </w:rPr>
        <w:t xml:space="preserve">五、无效标、废标、串通投标认定条款</w:t>
      </w:r>
      <w:bookmarkEnd w:id="97"/>
      <w:r/>
      <w:bookmarkEnd w:id="98"/>
      <w:r/>
      <w:bookmarkEnd w:id="99"/>
      <w:r/>
      <w:bookmarkEnd w:id="100"/>
      <w:r/>
      <w:bookmarkEnd w:id="101"/>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18.无效投标条款</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bookmarkStart w:id="102" w:name="EB94942e5430df4fb8a077f3cf7667f212"/>
      <w:r>
        <w:rPr>
          <w:rFonts w:hint="eastAsia" w:ascii="宋体" w:hAnsi="宋体" w:eastAsia="宋体" w:cs="宋体"/>
          <w:color w:val="000000"/>
          <w:sz w:val="24"/>
          <w:highlight w:val="none"/>
        </w:rPr>
        <w:t xml:space="preserve">18.1投标人不符合招标文件规定资格要求的或未按规定提交资质证件的；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18.2投标文件签署、盖章不符合招标文件要求的；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18.3未按招标文件要求提供电子投标文件，或者在苏采云系统规定的时间内未成功解密电子投标文件；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18.4报价超过招标文件中规定的预算金额或者最高限价的；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18.5投标文件出现重大偏离，未对招标文件进行实质性响应的（★部分为实质性要求）；</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18.6投标文件含有采购人不能接受的附加条件的；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18.7投标人有本招标文件规定的恶意串通投标情形的；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18.8其他评标委员会认为有必要取消的投标；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18.9法律法规规定的其他情况。</w:t>
      </w:r>
      <w:bookmarkEnd w:id="102"/>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19.废标条款</w:t>
      </w:r>
      <w:r>
        <w:rPr>
          <w:rFonts w:hint="eastAsia" w:ascii="宋体" w:hAnsi="宋体" w:eastAsia="宋体" w:cs="宋体"/>
          <w:b/>
          <w:bCs/>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19.1符合专业条件的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或者对招标文件作实质响应的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不足三家的；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19.2出现影响采购公正的违法、违规行为的；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19.3投标人的报价均超过了采购预算，且采购人不能支付的；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19.4因重大变故，采购任务取消的。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19.5评标委员会认定招标文件存在歧义、重大缺陷导致评审工作无法进行。</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19.6因苏采云系统故障原因造成开标不成功的。</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不足三家情形处理</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21.取消中标候选人资格条款</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21.1提供虚假材料谋取中标的；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21.2采取不正当手段诋毁、排挤其他投标人的；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21.3与采购人、其他投标人或者采购代理机构恶意串通的；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21.4向采购人、采购代理机构行贿或者提供其他不正当利益的；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21.5未在规定时间内与采购人签订采购合同的；</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21.6法律法规规定的其他情况。</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22.串通投标的情形</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有下列情形之一的，属于恶意串通投标：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的投标情况，并修改其投标文件；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22.2评审活动开始前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直接或间接从采购人或采购代理机构处获得评标委员会组成人员情况；</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接受采购人或采购代理机构授意撤换、修改投标文件；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之间协商投标报价、技术方案等投标文件实质性内容；</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22.5属于同一集团、协会、商会等组织成员的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按照该组织要求协同投标；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22.6</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之间事先约定由某一特定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中标、中标；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22.7</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之间商定部分</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放弃投标或者放弃中标、中标；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与采购人或采购代理机构之间、</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相互之间为谋求特定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中标或者排斥其他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的其他串通行为；</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有下列情形之一的，视为投标人串通投标，其投标无效：</w:t>
      </w:r>
      <w:r>
        <w:rPr>
          <w:rFonts w:hint="eastAsia" w:ascii="宋体" w:hAnsi="宋体" w:eastAsia="宋体" w:cs="宋体"/>
          <w:b/>
          <w:bCs/>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22.9不同投标人的投标文件由同一单位或者个人编制；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22.10不同投标人委托同一单位或者个人办理投标事宜；</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22.11不同投标人的投标文件载明的项目管理成员或者联系人员为同一人；</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22.12不同投标人的投标文件异常一致或者投标报价呈规律性差异；</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22.13不同投标人的投标文件相互混装；</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22.14不同投标人的投标保证金从同一单位或者个人的账户转出。</w:t>
      </w:r>
      <w:bookmarkStart w:id="103" w:name="_Toc20026"/>
      <w:r/>
      <w:bookmarkStart w:id="104" w:name="_Toc81575197"/>
      <w:r/>
      <w:bookmarkStart w:id="105" w:name="_Toc24370"/>
      <w:r/>
      <w:bookmarkStart w:id="106" w:name="_Toc81575160"/>
      <w:r>
        <w:rPr>
          <w:rFonts w:hint="eastAsia" w:ascii="宋体" w:hAnsi="宋体" w:eastAsia="宋体" w:cs="宋体"/>
          <w:color w:val="000000"/>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107" w:name="_Toc24905"/>
      <w:r>
        <w:rPr>
          <w:rFonts w:hint="eastAsia" w:ascii="宋体" w:hAnsi="宋体" w:eastAsia="宋体" w:cs="宋体"/>
          <w:b/>
          <w:color w:val="000000"/>
          <w:sz w:val="32"/>
          <w:szCs w:val="24"/>
          <w:highlight w:val="none"/>
          <w:lang w:val="en-US" w:eastAsia="zh-CN" w:bidi="ar-SA"/>
        </w:rPr>
        <w:t xml:space="preserve">六、开标、资格审查、评标程序</w:t>
      </w:r>
      <w:bookmarkEnd w:id="103"/>
      <w:r/>
      <w:bookmarkEnd w:id="104"/>
      <w:r/>
      <w:bookmarkEnd w:id="105"/>
      <w:r/>
      <w:bookmarkEnd w:id="106"/>
      <w:r/>
      <w:bookmarkEnd w:id="107"/>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23.开标会议</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23.1代理机构项目负责人按招标文件规定的时间、地点组织公开开标。采购单位代表及有关工作人员参加，政府采购监管部门代表视情况参与监管。</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23.2开标会议由代理机构项目负责人主持。</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23.3开标时投标人应使用CA证书参与投标文件解密。投标人用于解密的CA证书应为该投标文件生成加密、上传的同一把CA证书。</w:t>
      </w:r>
      <w:r>
        <w:rPr>
          <w:rFonts w:hint="eastAsia" w:ascii="宋体" w:hAnsi="宋体" w:eastAsia="宋体" w:cs="宋体"/>
          <w:b/>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23.3.1采用不见面开标的项目，投标人应登录“苏采云”系统“开标大厅”或进入</w:t>
      </w:r>
      <w:r>
        <w:rPr>
          <w:rFonts w:hint="eastAsia" w:ascii="宋体" w:hAnsi="宋体" w:eastAsia="宋体" w:cs="宋体"/>
          <w:b/>
          <w:color w:val="000000"/>
          <w:sz w:val="24"/>
          <w:highlight w:val="none"/>
          <w:lang w:eastAsia="zh-CN"/>
        </w:rPr>
        <w:t xml:space="preserve">江苏省政府采购网</w:t>
      </w:r>
      <w:r>
        <w:rPr>
          <w:rFonts w:hint="eastAsia" w:ascii="宋体" w:hAnsi="宋体" w:eastAsia="宋体" w:cs="宋体"/>
          <w:b/>
          <w:color w:val="000000"/>
          <w:sz w:val="24"/>
          <w:highlight w:val="none"/>
        </w:rPr>
        <w:t xml:space="preserve">，点击“政府采购管理交易系统（苏采云）”进入系统“开标大厅”，在系统约定时间内使用CA证书解密，未成功解密的视为其放弃投标。　　　　　</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23.4苏采云系统将自动对项目进行开标，开标会议上将公布投标人名称、投标报价等主要内容。</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采用现场开标的项目，开标过程的相关记录，由参加开标的各投标人代表和相关工作人员签字确认。投标人未参加开标的，视同认可开标结果。</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23.5投标人在开、评标全过程中应保持通信畅通，及时登录</w:t>
      </w:r>
      <w:r>
        <w:rPr>
          <w:rFonts w:hint="eastAsia" w:ascii="宋体" w:hAnsi="宋体" w:eastAsia="宋体" w:cs="宋体"/>
          <w:b/>
          <w:bCs/>
          <w:color w:val="000000"/>
          <w:sz w:val="24"/>
          <w:highlight w:val="none"/>
        </w:rPr>
        <w:t xml:space="preserve">苏采云系统</w:t>
      </w:r>
      <w:r>
        <w:rPr>
          <w:rFonts w:hint="eastAsia" w:ascii="宋体" w:hAnsi="宋体" w:eastAsia="宋体" w:cs="宋体"/>
          <w:color w:val="000000"/>
          <w:sz w:val="24"/>
          <w:highlight w:val="none"/>
        </w:rPr>
        <w:t xml:space="preserve">查阅、答复相关信息，并安排专人与代理机构及评标委员会联系。</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24.开标流程</w:t>
      </w:r>
      <w:r>
        <w:rPr>
          <w:rFonts w:hint="eastAsia" w:ascii="宋体" w:hAnsi="宋体" w:eastAsia="宋体" w:cs="宋体"/>
          <w:b/>
          <w:bCs/>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24.1不见面开标主要程序：主持人按下列程序进行开标，开标按分包顺序进行。</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24.1.1开标主持；</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24.1.2投标人对电子投标文件解密；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24.1.3唱标；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24.1.4开标会议结束。</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投标人如果对开标过程和开标记录有疑义，应当根据《操作手册》规定提出，如苏采云系统中《开标记录表》宣布后规定时间内未提出的，视同认可开标结果。</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25.资格审查</w:t>
      </w:r>
      <w:r>
        <w:rPr>
          <w:rFonts w:hint="eastAsia" w:ascii="宋体" w:hAnsi="宋体" w:eastAsia="宋体" w:cs="宋体"/>
          <w:b/>
          <w:color w:val="000000"/>
          <w:sz w:val="24"/>
          <w:highlight w:val="none"/>
        </w:rPr>
      </w:r>
      <w:r/>
    </w:p>
    <w:p>
      <w:pPr>
        <w:pStyle w:val="989"/>
        <w:ind w:firstLine="420"/>
        <w:spacing w:line="561"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08" w:name="EBa9c0a2c9e523494487594c65b2a92370"/>
      <w:r>
        <w:rPr>
          <w:rFonts w:hint="eastAsia" w:ascii="宋体" w:hAnsi="宋体" w:eastAsia="宋体" w:cs="宋体"/>
          <w:color w:val="000000"/>
          <w:sz w:val="24"/>
          <w:highlight w:val="none"/>
        </w:rPr>
        <w:t xml:space="preserve">25.1开标结束后，采购人依法根据招标文件的规定对投标人的资格证明文件等进行审查。</w:t>
      </w:r>
      <w:bookmarkEnd w:id="108"/>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26.评标委员会</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27.评标原则</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“公平、公正、客观、择优”为评标的基本原则，以招标文件和投标文件为评标的基本依据，并按照招标文件规定的评标方法和评标标准进行评标。评标委员会将根据这一原则，公正、平等地对待各投标人。</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28.评标程序</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9" w:name="EB1499356fad43416eb16398733accabf7"/>
      <w:r>
        <w:rPr>
          <w:rFonts w:hint="eastAsia" w:ascii="宋体" w:hAnsi="宋体" w:eastAsia="宋体" w:cs="宋体"/>
          <w:color w:val="000000"/>
          <w:sz w:val="24"/>
          <w:highlight w:val="none"/>
        </w:rPr>
        <w:t xml:space="preserve">所谓重大偏离是指投标人投标文件中所述设备质量、技术规格、数量、</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color w:val="000000"/>
          <w:sz w:val="24"/>
          <w:highlight w:val="none"/>
        </w:rPr>
        <w:t xml:space="preserve">和服务等明显不能满足招标文件要求。</w:t>
      </w:r>
      <w:bookmarkEnd w:id="109"/>
      <w:r>
        <w:rPr>
          <w:rFonts w:hint="eastAsia" w:ascii="宋体" w:hAnsi="宋体" w:eastAsia="宋体" w:cs="宋体"/>
          <w:color w:val="000000"/>
          <w:sz w:val="24"/>
          <w:highlight w:val="none"/>
        </w:rPr>
        <w:t xml:space="preserve">重大偏离的认定须经评标委员会三分之二以上同意。</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评标委员会判断“投标文件”的响应性，仅基于“投标文件”本身而不靠外部证据。对非实质性响应的投标文件，投标人不能通过修正或撤销不符之处，而使其成为实质性响应。</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28.2澄清有关问题。</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28.2.2需要</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进行澄清、说明和补正的，评委会将通过苏采云系统向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28.2.2投标文件报价出现前后不一致的，除招标文件另有规定外，按照下列规定修正：</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②大写金额和小写金额不一致的，以大写金额为准；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③单价金额小数点或者百分比有明显错位的，以开标一览表的总价为准，并修改单价；</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④总价金额与按单价汇总金额不一致的，以单价金额计算结果为准。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2</w:t>
      </w:r>
      <w:r>
        <w:rPr>
          <w:rFonts w:hint="eastAsia" w:ascii="宋体" w:hAnsi="宋体" w:eastAsia="宋体" w:cs="宋体"/>
          <w:b/>
          <w:bCs/>
          <w:color w:val="000000"/>
          <w:sz w:val="24"/>
          <w:szCs w:val="21"/>
          <w:highlight w:val="none"/>
          <w:lang w:val="en-US" w:eastAsia="zh-CN"/>
        </w:rPr>
        <w:t xml:space="preserve">8</w:t>
      </w:r>
      <w:r>
        <w:rPr>
          <w:rFonts w:hint="eastAsia" w:ascii="宋体" w:hAnsi="宋体" w:eastAsia="宋体" w:cs="宋体"/>
          <w:b/>
          <w:bCs/>
          <w:color w:val="000000"/>
          <w:sz w:val="24"/>
          <w:szCs w:val="21"/>
          <w:highlight w:val="none"/>
        </w:rPr>
        <w:t xml:space="preserve">.</w:t>
      </w:r>
      <w:r>
        <w:rPr>
          <w:rFonts w:hint="eastAsia" w:ascii="宋体" w:hAnsi="宋体" w:eastAsia="宋体" w:cs="宋体"/>
          <w:b/>
          <w:bCs/>
          <w:color w:val="000000"/>
          <w:sz w:val="24"/>
          <w:szCs w:val="21"/>
          <w:highlight w:val="none"/>
          <w:lang w:val="en-US" w:eastAsia="zh-CN"/>
        </w:rPr>
        <w:t xml:space="preserve">3.1</w:t>
      </w:r>
      <w:r>
        <w:rPr>
          <w:rFonts w:hint="eastAsia" w:ascii="宋体" w:hAnsi="宋体" w:eastAsia="宋体" w:cs="宋体"/>
          <w:b/>
          <w:bCs/>
          <w:color w:val="000000"/>
          <w:sz w:val="24"/>
          <w:szCs w:val="21"/>
          <w:highlight w:val="none"/>
        </w:rPr>
        <w:t xml:space="preserve">评审过程中出现下列情形之一的，评标委员会应当启动异常低价响应审查程序：</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（1）投标（响应）报价低于全部通过符合性审查</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投标（响应）报价平均值的50%的，即投标（响应）报价＜全部通过符合性审查</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投标（响应）报价平均值×50%；</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（2）投标（响应）报价低于通过符合性审查的次低报价</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投标（响应）报价50%的，即投标（响应）报价＜通过符合性审查的次低报价</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投标（响应）报价×50%；</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（3）投标（响应）报价低于采购项目最高限价45%的，即投标（响应）报价＜采购项目最高限价×45%；</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（4）评审委员会基于专业判断，认为</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报价过低，有可能影响产品质量或者不能诚信履约的其他情形。</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2</w:t>
      </w:r>
      <w:r>
        <w:rPr>
          <w:rFonts w:hint="eastAsia" w:ascii="宋体" w:hAnsi="宋体" w:eastAsia="宋体" w:cs="宋体"/>
          <w:b/>
          <w:bCs/>
          <w:color w:val="000000"/>
          <w:sz w:val="24"/>
          <w:szCs w:val="21"/>
          <w:highlight w:val="none"/>
          <w:lang w:val="en-US" w:eastAsia="zh-CN"/>
        </w:rPr>
        <w:t xml:space="preserve">8</w:t>
      </w:r>
      <w:r>
        <w:rPr>
          <w:rFonts w:hint="eastAsia" w:ascii="宋体" w:hAnsi="宋体" w:eastAsia="宋体" w:cs="宋体"/>
          <w:b/>
          <w:bCs/>
          <w:color w:val="000000"/>
          <w:sz w:val="24"/>
          <w:szCs w:val="21"/>
          <w:highlight w:val="none"/>
        </w:rPr>
        <w:t xml:space="preserve">.</w:t>
      </w:r>
      <w:r>
        <w:rPr>
          <w:rFonts w:hint="eastAsia" w:ascii="宋体" w:hAnsi="宋体" w:eastAsia="宋体" w:cs="宋体"/>
          <w:b/>
          <w:bCs/>
          <w:color w:val="000000"/>
          <w:sz w:val="24"/>
          <w:szCs w:val="21"/>
          <w:highlight w:val="none"/>
          <w:lang w:val="en-US" w:eastAsia="zh-CN"/>
        </w:rPr>
        <w:t xml:space="preserve">3.2</w:t>
      </w:r>
      <w:r>
        <w:rPr>
          <w:rFonts w:hint="eastAsia" w:ascii="宋体" w:hAnsi="宋体" w:eastAsia="宋体" w:cs="宋体"/>
          <w:b/>
          <w:bCs/>
          <w:color w:val="000000"/>
          <w:sz w:val="24"/>
          <w:szCs w:val="21"/>
          <w:highlight w:val="none"/>
        </w:rPr>
        <w:t xml:space="preserve">评审委员会启动异常低价投标(响应)审查后，属于前述第1项至第4项情形的，应当要求相关</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的合理时间一般不少于30分钟。其中，属于第3项情形，</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已随投标(响应)文件一并提交相关书面说明及必要的证明材料的，在评审现场可不再重复提交。</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1"/>
          <w:highlight w:val="none"/>
        </w:rPr>
      </w:r>
      <w:r/>
    </w:p>
    <w:p>
      <w:pPr>
        <w:pStyle w:val="989"/>
        <w:ind w:firstLine="420"/>
        <w:spacing w:line="561"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异常低价投标(响应)审查的启动原因、审查意见和审查结果应当在评审报告中记录，并随</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28.4比较。评标委员会将按招标文件中规定的评标方法和标准，对符合性检查合格的投标文件进行商务和技术评比。</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28.5推荐中标候选人。评标委员会按照招标文件中规定的评标方法和标准推荐中标候选人。</w:t>
      </w:r>
      <w:r>
        <w:rPr>
          <w:rFonts w:hint="eastAsia" w:ascii="宋体" w:hAnsi="宋体" w:eastAsia="宋体" w:cs="宋体"/>
          <w:color w:val="000000"/>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110" w:name="_Toc81575161"/>
      <w:r/>
      <w:bookmarkStart w:id="111" w:name="_Toc8580"/>
      <w:r/>
      <w:bookmarkStart w:id="112" w:name="_Toc6494"/>
      <w:r/>
      <w:bookmarkStart w:id="113" w:name="_Toc81575198"/>
      <w:r/>
      <w:bookmarkStart w:id="114" w:name="_Toc5785"/>
      <w:r>
        <w:rPr>
          <w:rFonts w:hint="eastAsia" w:ascii="宋体" w:hAnsi="宋体" w:eastAsia="宋体" w:cs="宋体"/>
          <w:b/>
          <w:color w:val="000000"/>
          <w:sz w:val="32"/>
          <w:szCs w:val="24"/>
          <w:highlight w:val="none"/>
          <w:lang w:val="en-US" w:eastAsia="zh-CN" w:bidi="ar-SA"/>
        </w:rPr>
        <w:t xml:space="preserve">七、中标及合同签订</w:t>
      </w:r>
      <w:bookmarkEnd w:id="110"/>
      <w:r/>
      <w:bookmarkEnd w:id="111"/>
      <w:r/>
      <w:bookmarkEnd w:id="112"/>
      <w:r/>
      <w:bookmarkEnd w:id="113"/>
      <w:r/>
      <w:bookmarkEnd w:id="114"/>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29.确定中标人</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确定之日起2个工作日内，采购人或采购代理机构将在财政部门指定信息媒体上发布中标结果，中标公告的公告期限为 1个工作日。</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29.2在中标结果公告期届满前，中标人被列为失信被执行人的，取消其中标资格，并重新确定中标人。</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29.3采购人不得通过对样品进行检测、对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进行考察等方式改变评审结果。</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29.4采购人应当自收到评审报告之日起5个工作日内在评审报告推荐的中标候选人中按顺序确定中标人。</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30.中标通知书</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30.1中标结果确定后，交易中心将向中标人发出中标通知书。请中标人使用CA数字证书登录“苏采云系统”及时下载中标通知书。中标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可自行下载打印《中标通知书》《中标通知书》将作为授予合同资格的唯一合法依据。中标通知书发出后，采购人不得违法改变中标结果，中标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不得放弃中标。中标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放弃中标的，应当依法承担相应的法律责任。</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30.2中标通知书发出之日起5个工作日内，中标人应提供3份与网上投标文件一致的纸质打印投标文件。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30.3采用综合评分法评审的，未中标的投标人可于中标结果公告期限届满之日起通过苏采云系统查看自己的评审得分及排序情况。</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30.4项目采购采用最低评标（审）价法的，公告中标、中标结果时应当同时公告因落实政府采购政策等原因进行价格扣除后中标、中标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的评审报价；项目采购采用综合评分法的，公告中标、中标结果时应当同时公告中标、中标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的评审总得分。</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31.签订和公告合同</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31.1采购人与中标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应当在中标通知书发出之日起15日内签订政府采购合同。招标文件、中标人的投标文件以及评标过程中有关澄清文件均作为合同附件。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拒绝与采购人签订合同的，采购人可以按照评审报告推荐的中标候选人名单排序，确定下一候选人为中标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，也可以重新开展政府采购活动。</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31.3采购人在自合同签订之日起2个工作日内，将合同在指定的媒体上公告。</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32.履约保证金</w:t>
      </w:r>
      <w:r>
        <w:rPr>
          <w:rFonts w:hint="eastAsia" w:ascii="宋体" w:hAnsi="宋体" w:eastAsia="宋体" w:cs="宋体"/>
          <w:b/>
          <w:color w:val="000000"/>
          <w:sz w:val="24"/>
          <w:highlight w:val="none"/>
        </w:rPr>
      </w:r>
      <w:r/>
    </w:p>
    <w:p>
      <w:pPr>
        <w:pStyle w:val="989"/>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
          <w:bCs w:val="0"/>
          <w:color w:val="000000"/>
          <w:sz w:val="24"/>
          <w:highlight w:val="none"/>
          <w:u w:val="single"/>
        </w:rPr>
        <w:t xml:space="preserve">（</w:t>
      </w:r>
      <w:r>
        <w:rPr>
          <w:rFonts w:hint="eastAsia" w:ascii="宋体" w:hAnsi="宋体" w:eastAsia="宋体" w:cs="宋体"/>
          <w:b/>
          <w:bCs w:val="0"/>
          <w:color w:val="000000"/>
          <w:sz w:val="24"/>
          <w:highlight w:val="none"/>
          <w:u w:val="single"/>
          <w:lang w:val="en-US" w:eastAsia="zh-CN"/>
        </w:rPr>
        <w:t xml:space="preserve">1</w:t>
      </w:r>
      <w:r>
        <w:rPr>
          <w:rFonts w:hint="eastAsia" w:ascii="宋体" w:hAnsi="宋体" w:eastAsia="宋体" w:cs="宋体"/>
          <w:b/>
          <w:bCs w:val="0"/>
          <w:color w:val="000000"/>
          <w:sz w:val="24"/>
          <w:highlight w:val="none"/>
          <w:u w:val="single"/>
        </w:rPr>
        <w:t xml:space="preserve">）</w:t>
      </w:r>
      <w:r>
        <w:rPr>
          <w:rFonts w:hint="eastAsia" w:ascii="宋体" w:hAnsi="宋体" w:eastAsia="宋体" w:cs="宋体"/>
          <w:bCs/>
          <w:color w:val="000000"/>
          <w:sz w:val="24"/>
          <w:highlight w:val="none"/>
          <w:lang w:val="zh-CN"/>
        </w:rPr>
        <w:t xml:space="preserve">方式确定履约保证收取方式。</w:t>
      </w:r>
      <w:r>
        <w:rPr>
          <w:rFonts w:hint="eastAsia" w:ascii="宋体" w:hAnsi="宋体" w:eastAsia="宋体" w:cs="宋体"/>
          <w:bCs/>
          <w:color w:val="000000"/>
          <w:sz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（1）不收取履约保证金。</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（2）本项目收取履约保证</w:t>
      </w:r>
      <w:r>
        <w:rPr>
          <w:rFonts w:hint="eastAsia" w:ascii="宋体" w:hAnsi="宋体" w:eastAsia="宋体" w:cs="宋体"/>
          <w:bCs/>
          <w:color w:val="000000"/>
          <w:sz w:val="24"/>
          <w:szCs w:val="24"/>
          <w:highlight w:val="none"/>
        </w:rPr>
        <w:t xml:space="preserve">金</w:t>
      </w:r>
      <w:r>
        <w:rPr>
          <w:rFonts w:hint="eastAsia" w:ascii="宋体" w:hAnsi="宋体" w:eastAsia="宋体" w:cs="宋体"/>
          <w:bCs/>
          <w:color w:val="000000"/>
          <w:sz w:val="24"/>
          <w:szCs w:val="24"/>
          <w:highlight w:val="none"/>
          <w:lang w:val="zh-CN"/>
        </w:rPr>
        <w:t xml:space="preserve">应在采购合同签订前提交，履约保证金的金额：按采购合同总价的</w:t>
      </w:r>
      <w:r>
        <w:rPr>
          <w:rFonts w:hint="eastAsia" w:ascii="宋体" w:hAnsi="宋体" w:eastAsia="宋体" w:cs="宋体"/>
          <w:b/>
          <w:bCs w:val="0"/>
          <w:strike w:val="0"/>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使用江苏政府采购电子履约保函（保险）代缴履约保证金，按采购合同价的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
          <w:bCs w:val="0"/>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zh-CN"/>
        </w:rPr>
        <w:t xml:space="preserve">%</w:t>
      </w:r>
      <w:r>
        <w:rPr>
          <w:rFonts w:ascii="Times New Roman" w:hAnsi="Times New Roman" w:eastAsia="宋体" w:cs="Times New Roman"/>
          <w:color w:val="000000"/>
          <w:sz w:val="24"/>
          <w:szCs w:val="24"/>
          <w:highlight w:val="none"/>
          <w:u w:val="single"/>
        </w:rPr>
        <w:t xml:space="preserve">（以履约保证金原提交金额的6折）</w:t>
      </w:r>
      <w:r>
        <w:rPr>
          <w:rFonts w:hint="eastAsia" w:ascii="宋体" w:hAnsi="宋体" w:eastAsia="宋体" w:cs="宋体"/>
          <w:bCs/>
          <w:color w:val="000000"/>
          <w:sz w:val="24"/>
          <w:szCs w:val="24"/>
          <w:highlight w:val="none"/>
          <w:lang w:val="zh-CN"/>
        </w:rPr>
        <w:t xml:space="preserve">）计取。除银行电汇、网上银行、数字人外，投标人还可选用银行保函、担保公司的保证担保或保险公司的保证保险等多种形式向采购人缴纳；</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履约保证金退还的方式：</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履约保证金退还的条件：</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eastAsia="zh-CN"/>
        </w:rPr>
        <w:t xml:space="preserve">按合同约定完成节日提货凭证供货，经采购人确认无误后退还</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履约保证金退还时间：</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highlight w:val="none"/>
        </w:rPr>
        <w:t xml:space="preserve">采购人收到投标人退付申请后5个工作日内退还</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履约保证金不予退还情形：</w:t>
      </w:r>
      <w:r>
        <w:rPr>
          <w:rFonts w:hint="eastAsia" w:ascii="宋体" w:hAnsi="宋体" w:eastAsia="宋体" w:cs="宋体"/>
          <w:bCs/>
          <w:color w:val="000000"/>
          <w:sz w:val="24"/>
          <w:szCs w:val="24"/>
          <w:highlight w:val="none"/>
          <w:lang w:val="zh-CN"/>
        </w:rPr>
      </w:r>
      <w:r/>
    </w:p>
    <w:p>
      <w:pPr>
        <w:pStyle w:val="989"/>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szCs w:val="24"/>
          <w:highlight w:val="none"/>
          <w:lang w:val="zh-CN"/>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989"/>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w:t>
      </w:r>
      <w:r>
        <w:rPr>
          <w:rFonts w:hint="eastAsia" w:ascii="宋体" w:hAnsi="宋体" w:eastAsia="宋体" w:cs="宋体"/>
          <w:bCs/>
          <w:color w:val="000000"/>
          <w:sz w:val="24"/>
          <w:highlight w:val="none"/>
          <w:lang w:val="zh-CN"/>
        </w:rPr>
      </w:r>
      <w:r/>
    </w:p>
    <w:p>
      <w:pPr>
        <w:pStyle w:val="989"/>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除应当退还履约保证金外，还应当按中国人民银行同期贷款基准利率上浮20％后的利率支付逾期资金占用费，但因投标人自身原因导致无法及时退还的除外。</w:t>
      </w:r>
      <w:r>
        <w:rPr>
          <w:rFonts w:hint="eastAsia" w:ascii="宋体" w:hAnsi="宋体" w:eastAsia="宋体" w:cs="宋体"/>
          <w:bCs/>
          <w:color w:val="000000"/>
          <w:sz w:val="24"/>
          <w:highlight w:val="none"/>
          <w:lang w:val="zh-CN"/>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33.线上融资</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中小微企业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可通过中征应收账款融资服务平台（网址：https://www.crcrfsp.com），凭借中标通知书或政府采购合同向金融机构申请融资。</w:t>
      </w:r>
      <w:r>
        <w:rPr>
          <w:rFonts w:hint="eastAsia" w:ascii="宋体" w:hAnsi="宋体" w:eastAsia="宋体" w:cs="宋体"/>
          <w:color w:val="000000"/>
          <w:sz w:val="24"/>
          <w:highlight w:val="none"/>
        </w:rPr>
      </w:r>
      <w:r/>
    </w:p>
    <w:p>
      <w:pPr>
        <w:pStyle w:val="989"/>
        <w:ind w:firstLine="482"/>
        <w:spacing w:line="500" w:lineRule="exact"/>
        <w:rPr>
          <w:rFonts w:hint="eastAsia" w:ascii="宋体" w:hAnsi="宋体" w:eastAsia="宋体" w:cs="宋体"/>
          <w:b/>
          <w:color w:val="000000"/>
          <w:sz w:val="24"/>
          <w:highlight w:val="none"/>
        </w:rPr>
      </w:pPr>
      <w:r/>
      <w:bookmarkStart w:id="115" w:name="EBb07a540bbba846748e1de4dbefab2ad1"/>
      <w:r/>
      <w:bookmarkEnd w:id="115"/>
      <w:r>
        <w:rPr>
          <w:rFonts w:hint="eastAsia" w:ascii="宋体" w:hAnsi="宋体" w:eastAsia="宋体" w:cs="宋体"/>
          <w:b/>
          <w:color w:val="000000"/>
          <w:sz w:val="24"/>
          <w:highlight w:val="none"/>
        </w:rPr>
        <w:t xml:space="preserve">34.合同履行</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34.1政府采购合同订立后，合同各方不得擅自变更、中止或者终止合同。</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34.2政府采购合同履行中，采购人需追加与合同标的相同的货物、工程或者服务的，在不改变合同其他条款的前提下，可以与中标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签订补充合同，但所补充合同的采购金额不得超过原采购金额的10%。</w:t>
      </w:r>
      <w:r>
        <w:rPr>
          <w:rFonts w:hint="eastAsia" w:ascii="宋体" w:hAnsi="宋体" w:eastAsia="宋体" w:cs="宋体"/>
          <w:color w:val="000000"/>
          <w:sz w:val="24"/>
          <w:highlight w:val="none"/>
        </w:rPr>
      </w:r>
      <w:r/>
    </w:p>
    <w:p>
      <w:pPr>
        <w:pStyle w:val="989"/>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116" w:name="_Toc14927"/>
      <w:r/>
      <w:bookmarkStart w:id="117" w:name="_Toc81575162"/>
      <w:r/>
      <w:bookmarkStart w:id="118" w:name="_Toc7550"/>
      <w:r/>
      <w:bookmarkStart w:id="119" w:name="_Toc27103"/>
      <w:r/>
      <w:bookmarkStart w:id="120" w:name="_Toc81575199"/>
      <w:r>
        <w:rPr>
          <w:rFonts w:hint="eastAsia" w:ascii="宋体" w:hAnsi="宋体" w:eastAsia="宋体" w:cs="宋体"/>
          <w:b/>
          <w:color w:val="000000"/>
          <w:sz w:val="32"/>
          <w:szCs w:val="24"/>
          <w:highlight w:val="none"/>
          <w:lang w:val="en-US" w:eastAsia="zh-CN" w:bidi="ar-SA"/>
        </w:rPr>
        <w:t xml:space="preserve">八、验收及付款</w:t>
      </w:r>
      <w:bookmarkEnd w:id="116"/>
      <w:r/>
      <w:bookmarkEnd w:id="117"/>
      <w:r/>
      <w:bookmarkEnd w:id="118"/>
      <w:r/>
      <w:bookmarkEnd w:id="119"/>
      <w:r/>
      <w:bookmarkEnd w:id="120"/>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rPr>
        <w:t xml:space="preserve">35.验收</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考核</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89"/>
        <w:ind w:firstLine="480"/>
        <w:spacing w:line="500" w:lineRule="exact"/>
        <w:rPr>
          <w:rFonts w:hint="eastAsia" w:ascii="宋体" w:hAnsi="宋体" w:eastAsia="宋体" w:cs="宋体"/>
          <w:color w:val="000000"/>
          <w:sz w:val="24"/>
          <w:highlight w:val="none"/>
          <w:lang w:eastAsia="zh-CN"/>
        </w:rPr>
      </w:pPr>
      <w:r/>
      <w:bookmarkStart w:id="121" w:name="EBbbb2492ed6b84c9193a6bb6f72a512f3"/>
      <w:r>
        <w:rPr>
          <w:rFonts w:hint="eastAsia" w:ascii="宋体" w:hAnsi="宋体" w:eastAsia="宋体" w:cs="宋体"/>
          <w:color w:val="000000"/>
          <w:sz w:val="24"/>
          <w:highlight w:val="none"/>
        </w:rPr>
        <w:t xml:space="preserve">采购人应当组成验收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小组，验收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人员应当按照约定的验收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标准，对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的履约情况开展验收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结束后，验收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人员应当出具验收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考核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报告并签字。政府向社会公众提供的公共服务项目，验收结果应当向社会公告</w:t>
      </w:r>
      <w:bookmarkEnd w:id="121"/>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36.付款</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bookmarkStart w:id="122" w:name="EBec7f529f50594afd871ea9378869e456"/>
      <w:r>
        <w:rPr>
          <w:rFonts w:hint="eastAsia" w:ascii="宋体" w:hAnsi="宋体" w:eastAsia="宋体" w:cs="宋体"/>
          <w:color w:val="000000"/>
          <w:sz w:val="24"/>
          <w:highlight w:val="none"/>
        </w:rPr>
        <w:t xml:space="preserve">按照付款方式，采购人及时办理付款手续。对于满足合同约定支付条件的，自收到发票后</w:t>
      </w:r>
      <w:r>
        <w:rPr>
          <w:rFonts w:hint="eastAsia" w:ascii="宋体" w:hAnsi="宋体" w:eastAsia="宋体" w:cs="宋体"/>
          <w:b/>
          <w:bCs/>
          <w:color w:val="000000"/>
          <w:sz w:val="24"/>
          <w:highlight w:val="none"/>
        </w:rPr>
        <w:t xml:space="preserve">10个工作日</w:t>
      </w:r>
      <w:r>
        <w:rPr>
          <w:rFonts w:hint="eastAsia" w:ascii="宋体" w:hAnsi="宋体" w:eastAsia="宋体" w:cs="宋体"/>
          <w:color w:val="000000"/>
          <w:sz w:val="24"/>
          <w:highlight w:val="none"/>
        </w:rPr>
        <w:t xml:space="preserve">内将资金支付到合同约定的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账户或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数字人民币账户。</w:t>
      </w:r>
      <w:bookmarkEnd w:id="122"/>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预付款：合同金额的10%，合同签订后按规定支付；</w:t>
      </w:r>
      <w:r>
        <w:rPr>
          <w:rFonts w:hint="eastAsia"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进度款：</w:t>
      </w:r>
      <w:r>
        <w:rPr>
          <w:rFonts w:hint="eastAsia" w:ascii="宋体" w:hAnsi="宋体" w:eastAsia="宋体" w:cs="宋体"/>
          <w:color w:val="000000"/>
          <w:sz w:val="24"/>
          <w:highlight w:val="none"/>
        </w:rPr>
        <w:t xml:space="preserve">服务费按</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结算，</w:t>
      </w:r>
      <w:r>
        <w:rPr>
          <w:rFonts w:hint="eastAsia" w:ascii="宋体" w:hAnsi="宋体" w:eastAsia="宋体" w:cs="宋体"/>
          <w:color w:val="000000"/>
          <w:sz w:val="24"/>
          <w:highlight w:val="none"/>
          <w:lang w:eastAsia="zh-CN"/>
        </w:rPr>
        <w:t xml:space="preserve">由采购人主管部门确认付款金额</w:t>
      </w:r>
      <w:r>
        <w:rPr>
          <w:rFonts w:hint="eastAsia" w:ascii="宋体" w:hAnsi="宋体" w:eastAsia="宋体" w:cs="宋体"/>
          <w:color w:val="000000"/>
          <w:sz w:val="24"/>
          <w:highlight w:val="none"/>
        </w:rPr>
        <w:t xml:space="preserve">；每</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考核得分达9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分以上（含9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分）学校全额支付本</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服务费，9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分以下每扣1分，该</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度服务费扣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000元；每年考核有两次分值低于85分，或有一次分值低于80分的，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有权提前终止合同（</w:t>
      </w:r>
      <w:r>
        <w:rPr>
          <w:rFonts w:hint="eastAsia" w:ascii="宋体" w:hAnsi="宋体" w:eastAsia="宋体" w:cs="宋体"/>
          <w:b/>
          <w:bCs/>
          <w:color w:val="000000"/>
          <w:sz w:val="24"/>
          <w:highlight w:val="none"/>
          <w:lang w:val="en-US" w:eastAsia="zh-CN"/>
        </w:rPr>
        <w:t xml:space="preserve">年度考核得分包括两部分，分别为宿迁学院医务室考核标准、医务室服务质量调查问卷</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各占比50%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宿迁学院医务室考核标准、医务室服务质量调查问卷</w:t>
      </w:r>
      <w:r>
        <w:rPr>
          <w:rFonts w:hint="eastAsia" w:ascii="宋体" w:hAnsi="宋体" w:eastAsia="宋体" w:cs="宋体"/>
          <w:b/>
          <w:bCs/>
          <w:color w:val="000000"/>
          <w:sz w:val="24"/>
          <w:highlight w:val="none"/>
        </w:rPr>
        <w:t xml:space="preserve">详见</w:t>
      </w:r>
      <w:r>
        <w:rPr>
          <w:rFonts w:hint="eastAsia" w:ascii="宋体" w:hAnsi="宋体" w:eastAsia="宋体" w:cs="宋体"/>
          <w:b/>
          <w:bCs/>
          <w:color w:val="000000"/>
          <w:sz w:val="24"/>
          <w:highlight w:val="none"/>
          <w:lang w:val="en-US" w:eastAsia="zh-CN"/>
        </w:rPr>
        <w:t xml:space="preserve">合同</w:t>
      </w:r>
      <w:r>
        <w:rPr>
          <w:rFonts w:hint="eastAsia" w:ascii="宋体" w:hAnsi="宋体" w:eastAsia="宋体" w:cs="宋体"/>
          <w:b/>
          <w:bCs/>
          <w:color w:val="000000"/>
          <w:sz w:val="24"/>
          <w:highlight w:val="none"/>
        </w:rPr>
        <w:t xml:space="preserve">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每月考核1次，年度考核得分为当年度12个月考核得分平均值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ind w:firstLine="480"/>
        <w:spacing w:line="5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首次进度款支付时扣除预付款。</w:t>
      </w:r>
      <w:r>
        <w:rPr>
          <w:rFonts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注：在签订合同时，中标人明确表示无需预付款或者主动要求降低预付款比例的金额，采购人可不适用预付款规定。</w:t>
      </w:r>
      <w:r>
        <w:rPr>
          <w:rFonts w:hint="eastAsia"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ind w:firstLine="643"/>
        <w:jc w:val="center"/>
        <w:rPr>
          <w:rFonts w:hint="eastAsia" w:ascii="宋体" w:hAnsi="宋体" w:eastAsia="宋体" w:cs="宋体"/>
          <w:b/>
          <w:color w:val="000000"/>
          <w:sz w:val="32"/>
          <w:szCs w:val="24"/>
          <w:highlight w:val="none"/>
          <w:lang w:val="en-US" w:eastAsia="zh-CN" w:bidi="ar-SA"/>
        </w:rPr>
        <w:outlineLvl w:val="1"/>
      </w:pPr>
      <w:r/>
      <w:bookmarkStart w:id="123" w:name="EB859756b3800e4c948b9ef2cc4c48f3fa"/>
      <w:r/>
      <w:bookmarkEnd w:id="123"/>
      <w:r/>
      <w:bookmarkStart w:id="124" w:name="EB277cdb9ada634793b6698cebd3ac7144"/>
      <w:r/>
      <w:bookmarkEnd w:id="124"/>
      <w:r/>
      <w:bookmarkStart w:id="125" w:name="_Toc12263"/>
      <w:r/>
      <w:bookmarkStart w:id="126" w:name="_Toc25046"/>
      <w:r/>
      <w:bookmarkStart w:id="127" w:name="_Toc27933"/>
      <w:r/>
      <w:bookmarkStart w:id="128" w:name="_Toc81575200"/>
      <w:r/>
      <w:bookmarkStart w:id="129" w:name="_Toc81575163"/>
      <w:r>
        <w:rPr>
          <w:rFonts w:hint="eastAsia" w:ascii="宋体" w:hAnsi="宋体" w:eastAsia="宋体" w:cs="宋体"/>
          <w:b/>
          <w:color w:val="000000"/>
          <w:sz w:val="32"/>
          <w:szCs w:val="24"/>
          <w:highlight w:val="none"/>
          <w:lang w:val="en-US" w:eastAsia="zh-CN" w:bidi="ar-SA"/>
        </w:rPr>
        <w:t xml:space="preserve">九、质疑与投诉</w:t>
      </w:r>
      <w:bookmarkEnd w:id="125"/>
      <w:r/>
      <w:bookmarkEnd w:id="126"/>
      <w:r/>
      <w:bookmarkEnd w:id="127"/>
      <w:r/>
      <w:bookmarkEnd w:id="128"/>
      <w:r/>
      <w:bookmarkEnd w:id="129"/>
      <w:r>
        <w:rPr>
          <w:rFonts w:hint="eastAsia" w:ascii="宋体" w:hAnsi="宋体" w:eastAsia="宋体" w:cs="宋体"/>
          <w:b/>
          <w:color w:val="000000"/>
          <w:sz w:val="32"/>
          <w:szCs w:val="24"/>
          <w:highlight w:val="none"/>
          <w:lang w:val="en-US" w:eastAsia="zh-CN" w:bidi="ar-SA"/>
        </w:rPr>
      </w:r>
      <w:r/>
    </w:p>
    <w:p>
      <w:pPr>
        <w:pStyle w:val="989"/>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37.质疑与投诉</w:t>
      </w:r>
      <w:r>
        <w:rPr>
          <w:rFonts w:hint="eastAsia" w:ascii="宋体" w:hAnsi="宋体" w:eastAsia="宋体" w:cs="宋体"/>
          <w:b/>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sz w:val="24"/>
          <w:szCs w:val="24"/>
          <w:highlight w:val="none"/>
        </w:rPr>
        <w:t xml:space="preserve">以书面形式向采购人或者其委托的采购代理机构提出质疑</w:t>
      </w:r>
      <w:r>
        <w:rPr>
          <w:rFonts w:hint="eastAsia" w:ascii="宋体" w:hAnsi="宋体" w:eastAsia="宋体" w:cs="宋体"/>
          <w:color w:val="000000"/>
          <w:sz w:val="24"/>
          <w:highlight w:val="none"/>
        </w:rPr>
        <w:t xml:space="preserve">。质疑超出采购机构代理范围的，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应当向采购人提出。</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本项目接收质疑函的方式：</w:t>
      </w:r>
      <w:bookmarkStart w:id="130" w:name="EB56bd2a40e102476eadbb1fc6a9202461"/>
      <w:r/>
      <w:bookmarkEnd w:id="130"/>
      <w:r>
        <w:rPr>
          <w:rFonts w:hint="eastAsia" w:ascii="宋体" w:hAnsi="宋体" w:eastAsia="宋体" w:cs="宋体"/>
          <w:color w:val="000000"/>
          <w:sz w:val="24"/>
          <w:highlight w:val="none"/>
        </w:rPr>
        <w:t xml:space="preserve">现场接收或邮寄接收。</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bookmarkStart w:id="131" w:name="EB587bd491a3fd493c8e729d1eaa56203a"/>
      <w:r/>
      <w:bookmarkEnd w:id="131"/>
      <w:r>
        <w:rPr>
          <w:rFonts w:hint="eastAsia" w:ascii="宋体" w:hAnsi="宋体" w:eastAsia="宋体" w:cs="宋体"/>
          <w:color w:val="000000"/>
          <w:sz w:val="24"/>
          <w:highlight w:val="none"/>
          <w:lang w:val="en-US" w:eastAsia="zh-CN"/>
        </w:rPr>
        <w:t xml:space="preserve">宿迁学院、</w:t>
      </w:r>
      <w:r>
        <w:rPr>
          <w:rFonts w:hint="eastAsia" w:ascii="宋体" w:hAnsi="宋体" w:eastAsia="宋体" w:cs="宋体"/>
          <w:color w:val="000000"/>
          <w:sz w:val="24"/>
          <w:highlight w:val="none"/>
          <w:lang w:eastAsia="zh-CN"/>
        </w:rPr>
        <w:t xml:space="preserve">江苏经天纬地建设项目管理有限公司</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bookmarkStart w:id="132" w:name="EB5b41b423f63941cebdd46b3e34fcab34"/>
      <w:r/>
      <w:bookmarkEnd w:id="132"/>
      <w:r>
        <w:rPr>
          <w:rFonts w:hint="eastAsia" w:ascii="宋体" w:hAnsi="宋体" w:eastAsia="宋体" w:cs="宋体"/>
          <w:caps w:val="0"/>
          <w:color w:val="000000"/>
          <w:sz w:val="24"/>
          <w:szCs w:val="24"/>
          <w:highlight w:val="none"/>
          <w:u w:val="none"/>
          <w:lang w:eastAsia="zh-CN"/>
        </w:rPr>
        <w:t xml:space="preserve">15951298790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19825705911</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讯地址：</w:t>
      </w:r>
      <w:bookmarkStart w:id="133" w:name="EB572fd27c0a4b41898944b1b4aad84cb2"/>
      <w:r/>
      <w:bookmarkEnd w:id="133"/>
      <w:r>
        <w:rPr>
          <w:rFonts w:hint="eastAsia" w:ascii="宋体" w:hAnsi="宋体" w:eastAsia="宋体" w:cs="宋体"/>
          <w:color w:val="000000"/>
          <w:sz w:val="24"/>
          <w:highlight w:val="none"/>
        </w:rPr>
        <w:t xml:space="preserve">江苏省宿迁市黄河南路399号</w:t>
      </w:r>
      <w:r>
        <w:rPr>
          <w:rFonts w:hint="eastAsia" w:ascii="宋体" w:hAnsi="宋体" w:eastAsia="宋体" w:cs="宋体"/>
          <w:color w:val="000000"/>
          <w:sz w:val="24"/>
          <w:highlight w:val="none"/>
          <w:lang w:eastAsia="zh-CN"/>
        </w:rPr>
        <w:t xml:space="preserve">、宿豫区金融财富广场C栋15楼1502</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应知其权益受到损害之日，是指：</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（1）对本项目采购文件提出质疑的，为获取采购文件之日或者采购文件公告期限届满之日；</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（2）对本项目采购过程提出质疑的，为各采购程序环节结束之日；</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（3）对本项目中标或者中标结果提出质疑的，为中标或者中标结果公告期限届满之日。</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37.3质疑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应当是参与所质疑项目采购活动的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。潜在</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已依法获取其可质疑的采购文件的，方可对该文件提出质疑。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在法定质疑期内应一次性提出针对同一采购程序环节的质疑。</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提出质疑应当提交质疑函和必要的证明材料。质疑函的必备内容：</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的姓名或者名称、地址、邮编、联系人及联系电话；</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（2）质疑项目的名称、编号；</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（3）获取采购文件的时间。</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（4）具体、明确的质疑事项和质疑事项相关的请求；</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（5）事实依据；</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（6）必要的法律依据；</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（7）提出质疑的日期；</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为自然人的，由本人签字；</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为法人或者其他组织的，应当由法定代表人、主要负责人，或者其授权代表签字或者盖章，并加盖公章。</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委托代理人进行质疑的，代理人同时应当提交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签署的授权委托书。授权委托书载明代理人的姓名或者名称、代理事项、具体权限、期限和相关事项。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为自然人的，授权委托书应当由本人签字；</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为法人或者其他组织的，授权委托书应当由法定代表人、主要负责人签字或者盖章，并加盖单位公章。</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37.5采购人、采购代理机构在收到质疑函后7个工作日内作出答复，并以书面形式通知质疑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和其他有关</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，但质疑答复的内容不涉及商业秘密。</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37.6质疑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jc w:val="center"/>
        <w:keepLines/>
        <w:keepNext/>
        <w:pageBreakBefore/>
        <w:rPr>
          <w:rFonts w:hint="eastAsia" w:ascii="宋体" w:hAnsi="宋体" w:eastAsia="宋体" w:cs="宋体"/>
          <w:color w:val="000000"/>
          <w:sz w:val="24"/>
          <w:highlight w:val="none"/>
        </w:rPr>
        <w:outlineLvl w:val="0"/>
      </w:pPr>
      <w:r/>
      <w:bookmarkStart w:id="134" w:name="_Toc81575201"/>
      <w:r/>
      <w:bookmarkStart w:id="135" w:name="_Toc22162"/>
      <w:r/>
      <w:bookmarkStart w:id="136" w:name="_Toc81575164"/>
      <w:r>
        <w:rPr>
          <w:rFonts w:hint="eastAsia" w:ascii="宋体" w:hAnsi="宋体" w:eastAsia="宋体" w:cs="宋体"/>
          <w:b/>
          <w:color w:val="000000"/>
          <w:sz w:val="44"/>
          <w:szCs w:val="44"/>
          <w:highlight w:val="none"/>
        </w:rPr>
        <w:t xml:space="preserve">第三部分  评标办法</w:t>
      </w:r>
      <w:bookmarkEnd w:id="134"/>
      <w:r/>
      <w:bookmarkEnd w:id="135"/>
      <w:r/>
      <w:bookmarkEnd w:id="136"/>
      <w:r>
        <w:rPr>
          <w:rFonts w:hint="eastAsia" w:ascii="宋体" w:hAnsi="宋体" w:eastAsia="宋体" w:cs="宋体"/>
          <w:color w:val="000000"/>
          <w:sz w:val="24"/>
          <w:highlight w:val="none"/>
        </w:rPr>
      </w:r>
      <w:r/>
    </w:p>
    <w:p>
      <w:pPr>
        <w:pStyle w:val="989"/>
        <w:jc w:val="both"/>
        <w:keepLines w:val="0"/>
        <w:pageBreakBefore w:val="0"/>
        <w:spacing w:line="560" w:lineRule="exact"/>
        <w:widowControl w:val="off"/>
        <w:rPr>
          <w:rFonts w:hint="eastAsia" w:ascii="宋体" w:hAnsi="宋体" w:eastAsia="宋体" w:cs="宋体"/>
          <w:caps w:val="0"/>
          <w:color w:val="000000"/>
          <w:sz w:val="24"/>
          <w:highlight w:val="none"/>
        </w:rPr>
      </w:pPr>
      <w:r/>
      <w:bookmarkStart w:id="137" w:name="EBd5bea3a3c3254523b93c8abaa514fb10"/>
      <w:r/>
      <w:bookmarkEnd w:id="137"/>
      <w:r/>
      <w:bookmarkStart w:id="138" w:name="_Toc81575168"/>
      <w:r/>
      <w:bookmarkStart w:id="139" w:name="_Toc81575205"/>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aps w:val="0"/>
          <w:color w:val="000000"/>
          <w:sz w:val="24"/>
          <w:highlight w:val="none"/>
        </w:rPr>
      </w:r>
      <w:r/>
    </w:p>
    <w:tbl>
      <w:tblPr>
        <w:tblW w:w="500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22"/>
        <w:gridCol w:w="4523"/>
      </w:tblGrid>
      <w:tr>
        <w:trPr/>
        <w:tc>
          <w:tcPr>
            <w:tcW w:w="4427" w:type="dxa"/>
            <w:vAlign w:val="center"/>
            <w:textDirection w:val="lrTb"/>
            <w:noWrap w:val="false"/>
          </w:tcPr>
          <w:p>
            <w:pPr>
              <w:pStyle w:val="989"/>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资格审查因素</w:t>
            </w:r>
            <w:r>
              <w:rPr>
                <w:rFonts w:hint="eastAsia" w:ascii="宋体" w:hAnsi="宋体" w:eastAsia="宋体" w:cs="宋体"/>
                <w:caps w:val="0"/>
                <w:color w:val="000000"/>
                <w:sz w:val="21"/>
                <w:szCs w:val="22"/>
                <w:highlight w:val="none"/>
                <w:lang w:val="en-US" w:eastAsia="zh-CN" w:bidi="ar-SA"/>
              </w:rPr>
            </w:r>
            <w:r/>
          </w:p>
        </w:tc>
        <w:tc>
          <w:tcPr>
            <w:tcW w:w="4427" w:type="dxa"/>
            <w:vAlign w:val="center"/>
            <w:textDirection w:val="lrTb"/>
            <w:noWrap w:val="false"/>
          </w:tcPr>
          <w:p>
            <w:pPr>
              <w:pStyle w:val="989"/>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投标声明及承诺函</w:t>
            </w:r>
            <w:r>
              <w:rPr>
                <w:rFonts w:hint="eastAsia" w:ascii="宋体" w:hAnsi="宋体" w:eastAsia="宋体" w:cs="宋体"/>
                <w:caps w:val="0"/>
                <w:color w:val="000000"/>
                <w:sz w:val="21"/>
                <w:szCs w:val="22"/>
                <w:highlight w:val="none"/>
                <w:lang w:val="en-US" w:eastAsia="zh-CN" w:bidi="ar-SA"/>
              </w:rPr>
            </w:r>
            <w:r/>
          </w:p>
        </w:tc>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信用信息</w:t>
            </w:r>
            <w:r>
              <w:rPr>
                <w:rFonts w:hint="eastAsia" w:ascii="宋体" w:hAnsi="宋体" w:eastAsia="宋体" w:cs="宋体"/>
                <w:caps w:val="0"/>
                <w:color w:val="000000"/>
                <w:sz w:val="21"/>
                <w:szCs w:val="22"/>
                <w:highlight w:val="none"/>
                <w:rtl w:val="0"/>
                <w:lang w:val="en-US" w:eastAsia="zh-CN" w:bidi="ar-SA"/>
              </w:rPr>
            </w:r>
            <w:r/>
          </w:p>
        </w:tc>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rtl w:val="0"/>
                <w:lang w:val="en-US" w:eastAsia="zh-CN" w:bidi="ar-SA"/>
              </w:rPr>
            </w:r>
            <w:r/>
          </w:p>
        </w:tc>
      </w:tr>
      <w:tr>
        <w:trPr/>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特定资格条件</w:t>
            </w:r>
            <w:r>
              <w:rPr>
                <w:rFonts w:hint="eastAsia" w:ascii="宋体" w:hAnsi="宋体" w:eastAsia="宋体" w:cs="宋体"/>
                <w:caps w:val="0"/>
                <w:color w:val="000000"/>
                <w:sz w:val="21"/>
                <w:szCs w:val="22"/>
                <w:highlight w:val="none"/>
                <w:rtl w:val="0"/>
                <w:lang w:val="en-US" w:eastAsia="zh-CN" w:bidi="ar-SA"/>
              </w:rPr>
            </w:r>
            <w:r/>
          </w:p>
        </w:tc>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rtl w:val="0"/>
                <w:lang w:val="en-US" w:eastAsia="zh-CN" w:bidi="ar-SA"/>
              </w:rPr>
            </w:r>
            <w:r/>
          </w:p>
        </w:tc>
      </w:tr>
      <w:tr>
        <w:trPr/>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联合体投标</w:t>
            </w:r>
            <w:r>
              <w:rPr>
                <w:rFonts w:hint="eastAsia" w:ascii="宋体" w:hAnsi="宋体" w:eastAsia="宋体" w:cs="宋体"/>
                <w:caps w:val="0"/>
                <w:color w:val="000000"/>
                <w:sz w:val="21"/>
                <w:szCs w:val="22"/>
                <w:highlight w:val="none"/>
                <w:lang w:val="en-US" w:eastAsia="zh-CN" w:bidi="ar-SA"/>
              </w:rPr>
            </w:r>
            <w:r/>
          </w:p>
        </w:tc>
        <w:tc>
          <w:tcPr>
            <w:tcW w:w="442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不接受联合体投标</w:t>
            </w:r>
            <w:r>
              <w:rPr>
                <w:rFonts w:hint="eastAsia" w:ascii="宋体" w:hAnsi="宋体" w:eastAsia="宋体" w:cs="宋体"/>
                <w:caps w:val="0"/>
                <w:color w:val="000000"/>
                <w:sz w:val="21"/>
                <w:szCs w:val="22"/>
                <w:highlight w:val="none"/>
                <w:lang w:val="en-US" w:eastAsia="zh-CN" w:bidi="ar-SA"/>
              </w:rPr>
            </w:r>
            <w:r/>
          </w:p>
        </w:tc>
      </w:tr>
    </w:tbl>
    <w:p>
      <w:pPr>
        <w:pStyle w:val="989"/>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000000"/>
          <w:sz w:val="24"/>
          <w:highlight w:val="none"/>
        </w:rPr>
      </w:r>
      <w:r/>
    </w:p>
    <w:tbl>
      <w:tblPr>
        <w:tblW w:w="501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26"/>
        <w:gridCol w:w="4533"/>
      </w:tblGrid>
      <w:tr>
        <w:trPr/>
        <w:tc>
          <w:tcPr>
            <w:tcW w:w="4431" w:type="dxa"/>
            <w:vAlign w:val="center"/>
            <w:textDirection w:val="lrTb"/>
            <w:noWrap w:val="false"/>
          </w:tcPr>
          <w:p>
            <w:pPr>
              <w:pStyle w:val="989"/>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989"/>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技术标准和要求</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989"/>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bl>
    <w:p>
      <w:pPr>
        <w:pStyle w:val="989"/>
        <w:jc w:val="both"/>
        <w:spacing w:line="500" w:lineRule="exact"/>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rPr>
          <w:rFonts w:hint="eastAsia" w:ascii="宋体" w:hAnsi="宋体" w:eastAsia="宋体" w:cs="宋体"/>
          <w:b/>
          <w:caps w:val="0"/>
          <w:color w:val="000000"/>
          <w:sz w:val="28"/>
          <w:szCs w:val="22"/>
          <w:highlight w:val="none"/>
          <w:lang w:val="en-US" w:eastAsia="zh-CN"/>
        </w:rPr>
      </w:r>
      <w:r/>
    </w:p>
    <w:p>
      <w:pPr>
        <w:pStyle w:val="989"/>
        <w:ind w:firstLine="482"/>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报价相同的，按技术指标优劣顺序排列。</w:t>
      </w:r>
      <w:r>
        <w:rPr>
          <w:rFonts w:hint="eastAsia" w:ascii="宋体" w:hAnsi="宋体" w:eastAsia="宋体" w:cs="宋体"/>
          <w:caps w:val="0"/>
          <w:color w:val="000000"/>
          <w:sz w:val="24"/>
          <w:highlight w:val="none"/>
        </w:rPr>
      </w:r>
      <w:r/>
    </w:p>
    <w:p>
      <w:pPr>
        <w:pStyle w:val="989"/>
        <w:ind w:firstLine="480"/>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aps w:val="0"/>
          <w:color w:val="000000"/>
          <w:sz w:val="24"/>
          <w:highlight w:val="none"/>
        </w:rPr>
      </w:r>
      <w:r/>
    </w:p>
    <w:p>
      <w:pPr>
        <w:pStyle w:val="989"/>
        <w:ind w:firstLine="480"/>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rPr>
          <w:rFonts w:hint="eastAsia" w:ascii="宋体" w:hAnsi="宋体" w:eastAsia="宋体" w:cs="宋体"/>
          <w:caps w:val="0"/>
          <w:color w:val="000000"/>
          <w:sz w:val="24"/>
          <w:highlight w:val="none"/>
        </w:rPr>
      </w:r>
      <w:r/>
    </w:p>
    <w:p>
      <w:pPr>
        <w:pStyle w:val="989"/>
        <w:ind w:firstLine="482"/>
        <w:jc w:val="left"/>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二</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bookmarkStart w:id="140" w:name="EBe0cfd1035ea44f689f97db50fccddc8b"/>
      <w:r>
        <w:rPr>
          <w:rFonts w:hint="eastAsia" w:ascii="宋体" w:hAnsi="宋体" w:eastAsia="宋体" w:cs="宋体"/>
          <w:caps w:val="0"/>
          <w:color w:val="000000"/>
          <w:sz w:val="24"/>
          <w:highlight w:val="none"/>
        </w:rPr>
      </w:r>
      <w:r/>
    </w:p>
    <w:tbl>
      <w:tblPr>
        <w:tblW w:w="537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69"/>
        <w:gridCol w:w="1472"/>
        <w:gridCol w:w="1297"/>
        <w:gridCol w:w="5382"/>
      </w:tblGrid>
      <w:tr>
        <w:trPr>
          <w:trHeight w:val="451"/>
        </w:trPr>
        <w:tc>
          <w:tcPr>
            <w:gridSpan w:val="2"/>
            <w:tcW w:w="3041" w:type="dxa"/>
            <w:vAlign w:val="center"/>
            <w:textDirection w:val="lrTb"/>
            <w:noWrap w:val="false"/>
          </w:tcPr>
          <w:p>
            <w:pPr>
              <w:pStyle w:val="989"/>
              <w:jc w:val="center"/>
              <w:spacing w:after="0" w:afterAutospacing="0"/>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rtl w:val="0"/>
                <w:lang w:val="en-US" w:eastAsia="zh-CN" w:bidi="ar-SA"/>
              </w:rPr>
              <w:t xml:space="preserve">评审因素</w:t>
            </w:r>
            <w:r>
              <w:rPr>
                <w:rFonts w:hint="eastAsia" w:ascii="宋体" w:hAnsi="宋体" w:eastAsia="宋体" w:cs="宋体"/>
                <w:b/>
                <w:bCs/>
                <w:color w:val="000000"/>
                <w:sz w:val="21"/>
                <w:szCs w:val="22"/>
                <w:highlight w:val="none"/>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rtl w:val="0"/>
                <w:lang w:val="en-US" w:eastAsia="zh-CN" w:bidi="ar-SA"/>
              </w:rPr>
              <w:t xml:space="preserve">分数</w:t>
            </w:r>
            <w:r>
              <w:rPr>
                <w:rFonts w:hint="eastAsia" w:ascii="宋体" w:hAnsi="宋体" w:eastAsia="宋体" w:cs="宋体"/>
                <w:b/>
                <w:bCs/>
                <w:color w:val="000000"/>
                <w:sz w:val="21"/>
                <w:szCs w:val="22"/>
                <w:highlight w:val="none"/>
                <w:lang w:val="en-US" w:eastAsia="zh-CN" w:bidi="ar-SA"/>
              </w:rPr>
            </w:r>
            <w:r/>
          </w:p>
        </w:tc>
        <w:tc>
          <w:tcPr>
            <w:tcW w:w="2767" w:type="dxa"/>
            <w:vAlign w:val="center"/>
            <w:textDirection w:val="lrTb"/>
            <w:noWrap w:val="false"/>
          </w:tcPr>
          <w:p>
            <w:pPr>
              <w:pStyle w:val="989"/>
              <w:jc w:val="center"/>
              <w:spacing w:after="0" w:afterAutospacing="0"/>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rtl w:val="0"/>
                <w:lang w:val="en-US" w:eastAsia="zh-CN" w:bidi="ar-SA"/>
              </w:rPr>
              <w:t xml:space="preserve">评审标准</w:t>
            </w:r>
            <w:r>
              <w:rPr>
                <w:rFonts w:hint="eastAsia" w:ascii="宋体" w:hAnsi="宋体" w:eastAsia="宋体" w:cs="宋体"/>
                <w:b/>
                <w:bCs/>
                <w:color w:val="000000"/>
                <w:sz w:val="21"/>
                <w:szCs w:val="22"/>
                <w:highlight w:val="none"/>
                <w:lang w:val="en-US" w:eastAsia="zh-CN" w:bidi="ar-SA"/>
              </w:rPr>
            </w:r>
            <w:r/>
          </w:p>
        </w:tc>
      </w:tr>
      <w:tr>
        <w:trPr>
          <w:trHeight w:val="90"/>
        </w:trPr>
        <w:tc>
          <w:tcPr>
            <w:tcW w:w="807" w:type="dxa"/>
            <w:vAlign w:val="center"/>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报价分</w:t>
            </w:r>
            <w:r>
              <w:rPr>
                <w:rFonts w:hint="eastAsia" w:ascii="宋体" w:hAnsi="宋体" w:eastAsia="宋体" w:cs="宋体"/>
                <w:color w:val="000000"/>
                <w:sz w:val="21"/>
                <w:szCs w:val="22"/>
                <w:highlight w:val="none"/>
                <w:lang w:val="en-US" w:eastAsia="zh-CN" w:bidi="ar-SA"/>
              </w:rPr>
            </w:r>
            <w:r/>
          </w:p>
        </w:tc>
        <w:tc>
          <w:tcPr>
            <w:tcW w:w="756"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投标报价</w:t>
            </w:r>
            <w:r>
              <w:rPr>
                <w:rFonts w:hint="eastAsia" w:ascii="宋体" w:hAnsi="宋体" w:eastAsia="宋体" w:cs="宋体"/>
                <w:color w:val="000000"/>
                <w:sz w:val="21"/>
                <w:szCs w:val="22"/>
                <w:highlight w:val="none"/>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10.00</w:t>
            </w:r>
            <w:r>
              <w:rPr>
                <w:rFonts w:hint="eastAsia" w:ascii="宋体" w:hAnsi="宋体" w:eastAsia="宋体" w:cs="宋体"/>
                <w:color w:val="000000"/>
                <w:sz w:val="21"/>
                <w:szCs w:val="22"/>
                <w:highlight w:val="none"/>
                <w:lang w:val="en-US" w:eastAsia="zh-CN" w:bidi="ar-SA"/>
              </w:rPr>
            </w:r>
            <w:r/>
          </w:p>
        </w:tc>
        <w:tc>
          <w:tcPr>
            <w:tcW w:w="2767" w:type="dxa"/>
            <w:vAlign w:val="center"/>
            <w:textDirection w:val="lrTb"/>
            <w:noWrap w:val="false"/>
          </w:tcPr>
          <w:p>
            <w:pPr>
              <w:pStyle w:val="989"/>
              <w:jc w:val="left"/>
              <w:spacing w:after="0" w:afterAutospacing="0"/>
              <w:widowControl w:val="off"/>
              <w:rPr>
                <w:rFonts w:hint="eastAsia"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采用低价优先法计算，即满足招标文件要求且投标价格最低的投标报价为评标基准价，其价格分为满分。其他投标人投标报价得分＝（评标基准价/投标报价）*10。</w:t>
            </w:r>
            <w:r>
              <w:rPr>
                <w:rFonts w:hint="eastAsia" w:ascii="宋体" w:hAnsi="宋体" w:eastAsia="宋体" w:cs="宋体"/>
                <w:color w:val="000000"/>
                <w:highlight w:val="none"/>
                <w:rtl w:val="0"/>
                <w:lang w:val="en-US" w:eastAsia="zh-CN"/>
              </w:rPr>
            </w:r>
            <w:r/>
          </w:p>
          <w:p>
            <w:pPr>
              <w:pStyle w:val="989"/>
              <w:jc w:val="left"/>
              <w:spacing w:after="0" w:afterAutospacing="0"/>
              <w:widowControl w:val="off"/>
              <w:rPr>
                <w:rFonts w:hint="eastAsia"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注：符合规定的小微企业（含监狱企业和残疾人福利单位）报价给予10%的扣除，用扣除后的价格参加评审。</w:t>
            </w:r>
            <w:r>
              <w:rPr>
                <w:rFonts w:hint="eastAsia" w:ascii="宋体" w:hAnsi="宋体" w:eastAsia="宋体" w:cs="宋体"/>
                <w:color w:val="000000"/>
                <w:highlight w:val="none"/>
                <w:rtl w:val="0"/>
                <w:lang w:val="en-US" w:eastAsia="zh-CN"/>
              </w:rPr>
            </w:r>
            <w:r/>
          </w:p>
        </w:tc>
      </w:tr>
      <w:tr>
        <w:trPr>
          <w:trHeight w:val="90"/>
        </w:trPr>
        <w:tc>
          <w:tcPr>
            <w:tcW w:w="807" w:type="dxa"/>
            <w:vAlign w:val="center"/>
            <w:vMerge w:val="restart"/>
            <w:textDirection w:val="lrTb"/>
            <w:noWrap w:val="false"/>
          </w:tcPr>
          <w:p>
            <w:pPr>
              <w:pStyle w:val="989"/>
              <w:jc w:val="left"/>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技术响应</w:t>
            </w:r>
            <w:r>
              <w:rPr>
                <w:rFonts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急诊应急及转诊服务响应</w:t>
            </w:r>
            <w:r>
              <w:rPr>
                <w:rFonts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highlight w:val="none"/>
                <w:rtl w:val="0"/>
                <w:lang w:val="en-US" w:eastAsia="zh-CN"/>
              </w:rPr>
              <w:t xml:space="preserve">10.00</w:t>
            </w:r>
            <w:r>
              <w:rPr>
                <w:rFonts w:hint="eastAsia" w:ascii="宋体" w:hAnsi="宋体" w:eastAsia="宋体" w:cs="宋体"/>
                <w:color w:val="000000"/>
                <w:sz w:val="21"/>
                <w:szCs w:val="22"/>
                <w:highlight w:val="none"/>
                <w:rtl w:val="0"/>
                <w:lang w:val="en-US" w:eastAsia="zh-CN" w:bidi="ar-SA"/>
              </w:rPr>
            </w:r>
            <w:r/>
          </w:p>
        </w:tc>
        <w:tc>
          <w:tcPr>
            <w:tcW w:w="2767" w:type="dxa"/>
            <w:vAlign w:val="center"/>
            <w:textDirection w:val="lrTb"/>
            <w:noWrap w:val="false"/>
          </w:tcPr>
          <w:p>
            <w:pPr>
              <w:pStyle w:val="989"/>
              <w:numPr>
                <w:ilvl w:val="0"/>
                <w:numId w:val="0"/>
              </w:numPr>
              <w:jc w:val="left"/>
              <w:spacing w:after="0" w:afterAutospacing="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响应时效（4分）：建立明确的急救响应制度，在校园内发生突发急症时，15分钟内医护人员到达现场（宿迁学院新校区）进行初步处置的得4分；25分钟内到达的得3分，45分钟内到达的得1分。（提供急救相应制度及能够到达的时间的证明材料，否则不得分）</w:t>
            </w:r>
            <w:r>
              <w:rPr>
                <w:rFonts w:hint="eastAsia" w:ascii="宋体" w:hAnsi="宋体" w:eastAsia="宋体" w:cs="宋体"/>
                <w:color w:val="000000"/>
                <w:highlight w:val="none"/>
                <w:lang w:val="en-US" w:eastAsia="zh-CN"/>
              </w:rPr>
            </w:r>
            <w:r/>
          </w:p>
          <w:p>
            <w:pPr>
              <w:pStyle w:val="989"/>
              <w:numPr>
                <w:ilvl w:val="0"/>
                <w:numId w:val="0"/>
              </w:numPr>
              <w:jc w:val="left"/>
              <w:spacing w:after="0" w:afterAutospacing="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2.转诊预案与演练（4分）：制定完善的《校园突发公共卫生事件急诊应急转诊预案》得2分（提供预案文本，未提供不得分）；承诺每年至少开展1次联合演练得2分（提供承诺书，格式自拟，未提供不得分）</w:t>
            </w:r>
            <w:r>
              <w:rPr>
                <w:rFonts w:hint="eastAsia" w:ascii="宋体" w:hAnsi="宋体" w:eastAsia="宋体" w:cs="宋体"/>
                <w:color w:val="000000"/>
                <w:highlight w:val="none"/>
                <w:lang w:val="en-US" w:eastAsia="zh-CN"/>
              </w:rPr>
            </w:r>
            <w:r/>
          </w:p>
          <w:p>
            <w:pPr>
              <w:pStyle w:val="989"/>
              <w:numPr>
                <w:ilvl w:val="0"/>
                <w:numId w:val="0"/>
              </w:numPr>
              <w:jc w:val="left"/>
              <w:spacing w:after="0" w:afterAutospacing="0"/>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3.事故报告制度（2分）：建立严格的急诊事件上报与复盘制度，对校园内发生的伤害或疾病事件需完整记录并向校方相关部门汇报。（提供报告流程，未提供不得分）</w:t>
            </w:r>
            <w:r>
              <w:rPr>
                <w:rFonts w:hint="eastAsia" w:ascii="宋体" w:hAnsi="宋体" w:eastAsia="宋体" w:cs="宋体"/>
                <w:color w:val="000000"/>
                <w:szCs w:val="21"/>
                <w:highlight w:val="none"/>
              </w:rPr>
            </w:r>
            <w:r/>
          </w:p>
        </w:tc>
      </w:tr>
      <w:tr>
        <w:trPr>
          <w:trHeight w:val="90"/>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健康体检服务响应</w:t>
            </w:r>
            <w:r>
              <w:rPr>
                <w:rFonts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highlight w:val="none"/>
                <w:rtl w:val="0"/>
                <w:lang w:val="en-US" w:eastAsia="zh-CN"/>
              </w:rPr>
              <w:t xml:space="preserve">10.00</w:t>
            </w:r>
            <w:r>
              <w:rPr>
                <w:rFonts w:ascii="宋体" w:hAnsi="宋体" w:eastAsia="宋体" w:cs="宋体"/>
                <w:color w:val="000000"/>
                <w:sz w:val="21"/>
                <w:szCs w:val="22"/>
                <w:highlight w:val="none"/>
                <w:rtl w:val="0"/>
                <w:lang w:val="en-US" w:eastAsia="zh-CN" w:bidi="ar-SA"/>
              </w:rPr>
            </w:r>
            <w:r/>
          </w:p>
        </w:tc>
        <w:tc>
          <w:tcPr>
            <w:tcW w:w="2767" w:type="dxa"/>
            <w:vAlign w:val="center"/>
            <w:textDirection w:val="lrTb"/>
            <w:noWrap w:val="false"/>
          </w:tcPr>
          <w:p>
            <w:pPr>
              <w:pStyle w:val="989"/>
              <w:jc w:val="left"/>
              <w:spacing w:after="0" w:afterAutospacing="0"/>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入校体检全流程实施方案（10分）：制定完整且贴合校园实际、采购需求的入校体检专项方案，（地点：校医院；时间，9月5日-9月8日，体检备注：建筑工程学院，工管1.工管2，在9月6日15点到16点期间考试；期限：4天；人数约4O00人；学院和班级及人数详见第四章采购需求相关表格，自行制定计划)，新生体检严格遵循“苏教体艺[2018]8号”(该文件详见第四章采购需求部分，除“苏教体艺[</w:t>
            </w:r>
            <w:r>
              <w:rPr>
                <w:rFonts w:hint="eastAsia" w:ascii="宋体" w:hAnsi="宋体" w:eastAsia="宋体" w:cs="宋体"/>
                <w:color w:val="000000"/>
                <w:sz w:val="21"/>
                <w:szCs w:val="21"/>
                <w:highlight w:val="none"/>
                <w:lang w:val="en-US" w:eastAsia="zh-CN" w:bidi="ar-SA"/>
              </w:rPr>
              <w:t xml:space="preserve">2018]8号”之外，额外加PPD筛查)。体检时间安排精准对接校园教学计划，采取分学院、分班级、错峰错时体检模式，提前制定详细排班表，严控单时段体检人数，高效推进体检工作。错峰排班机制完善，贴合教学节奏。方案分类清晰、项目全面，区域划分（候检区、检查区、采血区、休息区）、动线规划，实现分区隔离、单向通行，避免校内人员交叉聚集，不干扰正常教学秩序。方案细节完善、动线科学合理，完全适配校园教学与体检双重需求，得10分；方案有分类，但部分专项项目缺失，得6分；方案粗略，无明确场地及动线规划，得2分；未提供不得分。</w:t>
            </w:r>
            <w:r>
              <w:rPr>
                <w:rFonts w:ascii="宋体" w:hAnsi="宋体" w:eastAsia="宋体" w:cs="宋体"/>
                <w:color w:val="000000"/>
                <w:sz w:val="21"/>
                <w:szCs w:val="21"/>
                <w:highlight w:val="none"/>
                <w:lang w:val="en-US" w:eastAsia="zh-CN" w:bidi="ar-SA"/>
              </w:rPr>
            </w:r>
            <w:r/>
          </w:p>
        </w:tc>
      </w:tr>
      <w:tr>
        <w:trPr>
          <w:trHeight w:val="90"/>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学院大型活动医疗保障服务响应</w:t>
            </w:r>
            <w:r>
              <w:rPr>
                <w:rFonts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highlight w:val="none"/>
                <w:rtl w:val="0"/>
                <w:lang w:val="en-US" w:eastAsia="zh-CN"/>
              </w:rPr>
              <w:t xml:space="preserve">10.00</w:t>
            </w:r>
            <w:r>
              <w:rPr>
                <w:rFonts w:hint="eastAsia" w:ascii="宋体" w:hAnsi="宋体" w:eastAsia="宋体" w:cs="宋体"/>
                <w:color w:val="000000"/>
                <w:sz w:val="21"/>
                <w:szCs w:val="22"/>
                <w:highlight w:val="none"/>
                <w:rtl w:val="0"/>
                <w:lang w:val="en-US" w:eastAsia="zh-CN" w:bidi="ar-SA"/>
              </w:rPr>
            </w:r>
            <w:r/>
          </w:p>
        </w:tc>
        <w:tc>
          <w:tcPr>
            <w:tcW w:w="2767" w:type="dxa"/>
            <w:vAlign w:val="center"/>
            <w:textDirection w:val="lrTb"/>
            <w:noWrap w:val="false"/>
          </w:tcPr>
          <w:p>
            <w:pPr>
              <w:pStyle w:val="989"/>
              <w:jc w:val="left"/>
              <w:spacing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针对学院新生军训（地点：校内三个田径场，时间：9月5日-9月18日8：00-11:30,14:00-17:30，人数：约4000人）制定专属医疗保障方案，贴合活动规模、场地布局、参与人数、风险等级，明确保障范围、服务时长、岗位职责，方案贴合校园户外需求。方案内容全面详实覆盖上述所有内容得5分；方案通用无针对性，仅覆盖一半以上内容，得3分；其他情况得1分。</w:t>
            </w:r>
            <w:r>
              <w:rPr>
                <w:rFonts w:hint="eastAsia" w:ascii="宋体" w:hAnsi="宋体" w:eastAsia="宋体" w:cs="宋体"/>
                <w:color w:val="000000"/>
                <w:sz w:val="21"/>
                <w:szCs w:val="21"/>
                <w:highlight w:val="none"/>
                <w:lang w:val="en-US" w:eastAsia="zh-CN" w:bidi="ar-SA"/>
              </w:rPr>
            </w:r>
            <w:r/>
          </w:p>
          <w:p>
            <w:pPr>
              <w:pStyle w:val="989"/>
              <w:jc w:val="left"/>
              <w:spacing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风险预判与防控：全面梳理大型活动常见健康风险（中暑、外伤晕厥、过敏、突发疾病、踩踏擦伤等），制定针对性预防及处置措施，提前排查场地医疗安全隐患。风险预判全面、防控措施具体得3分；风险预判不足、防控措施缺乏得1分。</w:t>
            </w:r>
            <w:r>
              <w:rPr>
                <w:rFonts w:hint="eastAsia" w:ascii="宋体" w:hAnsi="宋体" w:eastAsia="宋体" w:cs="宋体"/>
                <w:color w:val="000000"/>
                <w:sz w:val="21"/>
                <w:szCs w:val="21"/>
                <w:highlight w:val="none"/>
                <w:lang w:val="en-US" w:eastAsia="zh-CN" w:bidi="ar-SA"/>
              </w:rPr>
            </w:r>
            <w:r/>
          </w:p>
          <w:p>
            <w:pPr>
              <w:pStyle w:val="989"/>
              <w:jc w:val="left"/>
              <w:spacing w:after="0" w:afterAutospacing="0"/>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3.急救物资与设备配置：现场配备药品设备清单和急救物资。药品、设备及物资清单清晰明确。物资设备齐全合规、满足各类突发状况处置得2分；物资设备不足，无法满足保障需求得1分；其他情况不得分。</w:t>
            </w:r>
            <w:r>
              <w:rPr>
                <w:rFonts w:ascii="宋体" w:hAnsi="宋体" w:eastAsia="宋体" w:cs="宋体"/>
                <w:color w:val="000000"/>
                <w:sz w:val="21"/>
                <w:szCs w:val="21"/>
                <w:highlight w:val="none"/>
                <w:lang w:val="en-US" w:eastAsia="zh-CN" w:bidi="ar-SA"/>
              </w:rPr>
            </w:r>
            <w:r/>
          </w:p>
        </w:tc>
      </w:tr>
      <w:tr>
        <w:trPr>
          <w:trHeight w:val="90"/>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公共卫生服务</w:t>
            </w:r>
            <w:r>
              <w:rPr>
                <w:rFonts w:hint="eastAsia"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10.00</w:t>
            </w:r>
            <w:r>
              <w:rPr>
                <w:rFonts w:hint="eastAsia" w:ascii="宋体" w:hAnsi="宋体" w:eastAsia="宋体" w:cs="宋体"/>
                <w:color w:val="000000"/>
                <w:highlight w:val="none"/>
                <w:rtl w:val="0"/>
                <w:lang w:val="en-US" w:eastAsia="zh-CN"/>
              </w:rPr>
            </w:r>
            <w:r/>
          </w:p>
        </w:tc>
        <w:tc>
          <w:tcPr>
            <w:tcW w:w="2767" w:type="dxa"/>
            <w:vAlign w:val="center"/>
            <w:textDirection w:val="lrTb"/>
            <w:noWrap w:val="false"/>
          </w:tcPr>
          <w:p>
            <w:pPr>
              <w:pStyle w:val="989"/>
              <w:numPr>
                <w:ilvl w:val="0"/>
                <w:numId w:val="0"/>
              </w:numPr>
              <w:jc w:val="left"/>
              <w:keepLines w:val="0"/>
              <w:keepNext w:val="0"/>
              <w:spacing w:before="0" w:beforeAutospacing="0" w:after="0" w:afterAutospacing="0"/>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1.制度与预案（5分）：建立健全完整的校园突发公共卫生事件应急预案，明确日常防控、疫情发现、报告、隔离、转运全流程。制度体系完整、流程清晰，可直接落地执行得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分；仅有通用制度，</w:t>
            </w:r>
            <w:r>
              <w:rPr>
                <w:rFonts w:hint="eastAsia" w:ascii="宋体" w:hAnsi="宋体" w:eastAsia="宋体" w:cs="宋体"/>
                <w:color w:val="000000"/>
                <w:highlight w:val="none"/>
                <w:lang w:val="en-US" w:eastAsia="zh-CN"/>
              </w:rPr>
              <w:t xml:space="preserve">未贴合项目实际情况，流程不闭环</w:t>
            </w:r>
            <w:r>
              <w:rPr>
                <w:rFonts w:hint="eastAsia" w:ascii="宋体" w:hAnsi="宋体" w:eastAsia="宋体" w:cs="宋体"/>
                <w:color w:val="000000"/>
                <w:highlight w:val="none"/>
                <w:lang w:eastAsia="zh-CN"/>
              </w:rPr>
              <w:t xml:space="preserve">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sz w:val="21"/>
                <w:szCs w:val="21"/>
                <w:highlight w:val="none"/>
                <w:lang w:val="en-US" w:eastAsia="zh-CN" w:bidi="ar-SA"/>
              </w:rPr>
              <w:t xml:space="preserve">其他情况不得分。</w:t>
            </w:r>
            <w:r>
              <w:rPr>
                <w:rFonts w:hint="eastAsia" w:ascii="宋体" w:hAnsi="宋体" w:eastAsia="宋体" w:cs="宋体"/>
                <w:color w:val="000000"/>
                <w:highlight w:val="none"/>
                <w:lang w:eastAsia="zh-CN"/>
              </w:rPr>
            </w:r>
            <w:r/>
          </w:p>
          <w:p>
            <w:pPr>
              <w:pStyle w:val="989"/>
              <w:numPr>
                <w:ilvl w:val="0"/>
                <w:numId w:val="0"/>
              </w:numPr>
              <w:jc w:val="left"/>
              <w:keepLines w:val="0"/>
              <w:keepNext w:val="0"/>
              <w:spacing w:before="0" w:beforeAutospacing="0" w:after="0" w:afterAutospacing="0"/>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2.重点人群健康管理（3分）：对有哮喘、心脏病、过敏史等慢性疾病或特殊健康状况的学生建立重点关注台账，制定个性化健康指导方案，并定期与家长、辅导员沟通。（</w:t>
            </w:r>
            <w:r>
              <w:rPr>
                <w:rFonts w:hint="eastAsia" w:ascii="宋体" w:hAnsi="宋体" w:eastAsia="宋体" w:cs="宋体"/>
                <w:color w:val="000000"/>
                <w:highlight w:val="none"/>
                <w:lang w:val="en-US" w:eastAsia="zh-CN"/>
              </w:rPr>
              <w:t xml:space="preserve">提供承诺书，格式自拟，否则不得分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89"/>
              <w:numPr>
                <w:ilvl w:val="0"/>
                <w:numId w:val="0"/>
              </w:numPr>
              <w:jc w:val="left"/>
              <w:keepLines w:val="0"/>
              <w:keepNext w:val="0"/>
              <w:spacing w:before="0" w:beforeAutospacing="0" w:after="0" w:afterAutospacing="0"/>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3.常态化宣教（2分）：每学期至少开展4次主题健康科普（如营养膳食、禁毒防艾、近视防控、心理健康</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highlight w:val="none"/>
                <w:lang w:eastAsia="zh-CN"/>
              </w:rPr>
              <w:t xml:space="preserve">），并利用校园广播、宣传栏、公众号等渠道进行健康知识普及。（</w:t>
            </w:r>
            <w:r>
              <w:rPr>
                <w:rFonts w:hint="eastAsia" w:ascii="宋体" w:hAnsi="宋体" w:eastAsia="宋体" w:cs="宋体"/>
                <w:color w:val="000000"/>
                <w:highlight w:val="none"/>
                <w:lang w:val="en-US" w:eastAsia="zh-CN"/>
              </w:rPr>
              <w:t xml:space="preserve">提供承诺书，格式自拟，否则不得分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r>
      <w:tr>
        <w:trPr>
          <w:trHeight w:val="90"/>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设施设备</w:t>
            </w:r>
            <w:r>
              <w:rPr>
                <w:rFonts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18.00</w:t>
            </w:r>
            <w:r>
              <w:rPr>
                <w:rFonts w:ascii="宋体" w:hAnsi="宋体" w:eastAsia="宋体" w:cs="宋体"/>
                <w:color w:val="000000"/>
                <w:highlight w:val="none"/>
                <w:rtl w:val="0"/>
                <w:lang w:val="en-US" w:eastAsia="zh-CN"/>
              </w:rPr>
            </w:r>
            <w:r/>
          </w:p>
        </w:tc>
        <w:tc>
          <w:tcPr>
            <w:tcW w:w="2767" w:type="dxa"/>
            <w:vAlign w:val="center"/>
            <w:textDirection w:val="lrTb"/>
            <w:noWrap w:val="false"/>
          </w:tcPr>
          <w:p>
            <w:pPr>
              <w:pStyle w:val="989"/>
              <w:numPr>
                <w:ilvl w:val="0"/>
                <w:numId w:val="0"/>
              </w:numPr>
              <w:jc w:val="left"/>
              <w:keepLines w:val="0"/>
              <w:keepNext w:val="0"/>
              <w:spacing w:before="0" w:beforeAutospacing="0" w:after="0" w:afterAutospacing="0"/>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Cs w:val="21"/>
                <w:highlight w:val="none"/>
                <w:lang w:val="en-US" w:eastAsia="zh-CN"/>
              </w:rPr>
              <w:t xml:space="preserve">针对采购文件“第四部分、采购需求”中“投标医疗机构需提供设备清单”要求，共30个，每缺少一个设备扣0.6分。（提供设备购买发票或资产清单或承诺在中标后合同签订前采购完成该设备的承诺函（格式自拟））</w:t>
            </w:r>
            <w:r>
              <w:rPr>
                <w:rFonts w:ascii="宋体" w:hAnsi="宋体" w:eastAsia="宋体" w:cs="宋体"/>
                <w:color w:val="000000"/>
                <w:szCs w:val="21"/>
                <w:highlight w:val="none"/>
                <w:lang w:val="en-US" w:eastAsia="zh-CN"/>
              </w:rPr>
            </w:r>
            <w:r/>
          </w:p>
        </w:tc>
      </w:tr>
      <w:tr>
        <w:trPr>
          <w:trHeight w:val="90"/>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ascii="宋体" w:hAnsi="宋体" w:eastAsia="宋体" w:cs="宋体"/>
                <w:b/>
                <w:bCs/>
                <w:color w:val="000000"/>
                <w:spacing w:val="0"/>
                <w:sz w:val="24"/>
                <w:szCs w:val="24"/>
                <w:highlight w:val="none"/>
                <w:lang w:val="en-US" w:eastAsia="zh-CN"/>
              </w:rPr>
            </w:pPr>
            <w:r>
              <w:rPr>
                <w:rFonts w:hint="eastAsia" w:ascii="宋体" w:hAnsi="宋体" w:eastAsia="宋体" w:cs="宋体"/>
                <w:color w:val="000000"/>
                <w:sz w:val="21"/>
                <w:szCs w:val="22"/>
                <w:highlight w:val="none"/>
                <w:rtl w:val="0"/>
                <w:lang w:val="en-US" w:eastAsia="zh-CN" w:bidi="ar-SA"/>
              </w:rPr>
              <w:t xml:space="preserve">诊疗科室设置响应</w:t>
            </w:r>
            <w:r>
              <w:rPr>
                <w:rFonts w:ascii="宋体" w:hAnsi="宋体" w:eastAsia="宋体" w:cs="宋体"/>
                <w:b/>
                <w:bCs/>
                <w:color w:val="000000"/>
                <w:spacing w:val="0"/>
                <w:sz w:val="24"/>
                <w:szCs w:val="24"/>
                <w:highlight w:val="none"/>
                <w:lang w:val="en-US" w:eastAsia="zh-CN"/>
              </w:rPr>
            </w:r>
            <w:r/>
          </w:p>
        </w:tc>
        <w:tc>
          <w:tcPr>
            <w:tcW w:w="667" w:type="dxa"/>
            <w:vAlign w:val="center"/>
            <w:textDirection w:val="lrTb"/>
            <w:noWrap w:val="false"/>
          </w:tcPr>
          <w:p>
            <w:pPr>
              <w:pStyle w:val="989"/>
              <w:jc w:val="center"/>
              <w:spacing w:after="0" w:afterAutospacing="0"/>
              <w:widowControl w:val="off"/>
              <w:rPr>
                <w:rFonts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12.00</w:t>
            </w:r>
            <w:r>
              <w:rPr>
                <w:rFonts w:ascii="宋体" w:hAnsi="宋体" w:eastAsia="宋体" w:cs="宋体"/>
                <w:color w:val="000000"/>
                <w:highlight w:val="none"/>
                <w:rtl w:val="0"/>
                <w:lang w:val="en-US" w:eastAsia="zh-CN"/>
              </w:rPr>
            </w:r>
            <w:r/>
          </w:p>
        </w:tc>
        <w:tc>
          <w:tcPr>
            <w:tcW w:w="2767" w:type="dxa"/>
            <w:vAlign w:val="center"/>
            <w:textDirection w:val="lrTb"/>
            <w:noWrap w:val="false"/>
          </w:tcPr>
          <w:p>
            <w:pPr>
              <w:pStyle w:val="989"/>
              <w:numPr>
                <w:ilvl w:val="0"/>
                <w:numId w:val="0"/>
              </w:numPr>
              <w:jc w:val="left"/>
              <w:spacing w:after="0" w:afterAutospacing="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1.专科设置完整性与适配性（</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设置</w:t>
            </w:r>
            <w:r>
              <w:rPr>
                <w:rFonts w:hint="eastAsia" w:ascii="宋体" w:hAnsi="宋体" w:eastAsia="宋体" w:cs="宋体"/>
                <w:color w:val="000000"/>
                <w:szCs w:val="21"/>
                <w:highlight w:val="none"/>
              </w:rPr>
              <w:t xml:space="preserve">内科（细分专科）：涵盖呼吸内科、消化内科、心血管内科、神经内科、</w:t>
            </w:r>
            <w:r>
              <w:rPr>
                <w:rFonts w:hint="eastAsia" w:ascii="宋体" w:hAnsi="宋体" w:eastAsia="宋体" w:cs="宋体"/>
                <w:color w:val="000000"/>
                <w:szCs w:val="21"/>
                <w:highlight w:val="none"/>
                <w:lang w:eastAsia="zh-CN"/>
              </w:rPr>
              <w:t xml:space="preserve">内分泌科</w:t>
            </w:r>
            <w:r>
              <w:rPr>
                <w:rFonts w:hint="eastAsia" w:ascii="宋体" w:hAnsi="宋体" w:eastAsia="宋体" w:cs="宋体"/>
                <w:color w:val="000000"/>
                <w:szCs w:val="21"/>
                <w:highlight w:val="none"/>
              </w:rPr>
              <w:t xml:space="preserve">，肾内科等，外科（细分专科）：涵盖普通外科、骨科、泌尿外科、神经外科、胸外科等，妇科、五官科、疼痛康复理疗科等特色专科，满足</w:t>
            </w:r>
            <w:r>
              <w:rPr>
                <w:rFonts w:hint="eastAsia" w:ascii="宋体" w:hAnsi="宋体" w:eastAsia="宋体" w:cs="宋体"/>
                <w:color w:val="000000"/>
                <w:szCs w:val="21"/>
                <w:highlight w:val="none"/>
                <w:lang w:val="en-US" w:eastAsia="zh-CN"/>
              </w:rPr>
              <w:t xml:space="preserve">师生在</w:t>
            </w:r>
            <w:r>
              <w:rPr>
                <w:rFonts w:hint="eastAsia" w:ascii="宋体" w:hAnsi="宋体" w:eastAsia="宋体" w:cs="宋体"/>
                <w:color w:val="000000"/>
                <w:szCs w:val="21"/>
                <w:highlight w:val="none"/>
              </w:rPr>
              <w:t xml:space="preserve">健康</w:t>
            </w:r>
            <w:r>
              <w:rPr>
                <w:rFonts w:hint="eastAsia" w:ascii="宋体" w:hAnsi="宋体" w:eastAsia="宋体" w:cs="宋体"/>
                <w:color w:val="000000"/>
                <w:szCs w:val="21"/>
                <w:highlight w:val="none"/>
                <w:lang w:val="en-US" w:eastAsia="zh-CN"/>
              </w:rPr>
              <w:t xml:space="preserve">方面各种</w:t>
            </w:r>
            <w:r>
              <w:rPr>
                <w:rFonts w:hint="eastAsia" w:ascii="宋体" w:hAnsi="宋体" w:eastAsia="宋体" w:cs="宋体"/>
                <w:color w:val="000000"/>
                <w:szCs w:val="21"/>
                <w:highlight w:val="none"/>
              </w:rPr>
              <w:t xml:space="preserve">个性化就医需求，提升医疗服务覆盖面。</w:t>
            </w:r>
            <w:r>
              <w:rPr>
                <w:rFonts w:hint="eastAsia" w:ascii="宋体" w:hAnsi="宋体" w:eastAsia="宋体" w:cs="宋体"/>
                <w:color w:val="000000"/>
                <w:szCs w:val="21"/>
                <w:highlight w:val="none"/>
              </w:rPr>
            </w:r>
            <w:r/>
          </w:p>
          <w:p>
            <w:pPr>
              <w:pStyle w:val="989"/>
              <w:numPr>
                <w:ilvl w:val="0"/>
                <w:numId w:val="0"/>
              </w:numPr>
              <w:jc w:val="left"/>
              <w:spacing w:after="0" w:afterAutospacing="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具有10</w:t>
            </w:r>
            <w:r>
              <w:rPr>
                <w:rFonts w:hint="eastAsia" w:ascii="宋体" w:hAnsi="宋体" w:eastAsia="宋体" w:cs="宋体"/>
                <w:color w:val="000000"/>
                <w:szCs w:val="21"/>
                <w:highlight w:val="none"/>
              </w:rPr>
              <w:t xml:space="preserve">项及以上特色专科得</w:t>
            </w:r>
            <w:r>
              <w:rPr>
                <w:rFonts w:hint="eastAsia" w:ascii="宋体" w:hAnsi="宋体" w:eastAsia="宋体" w:cs="宋体"/>
                <w:color w:val="000000"/>
                <w:szCs w:val="21"/>
                <w:highlight w:val="none"/>
                <w:lang w:val="en-US" w:eastAsia="zh-CN"/>
              </w:rPr>
              <w:t xml:space="preserve">6分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每缺少1项扣0.6分（提供相应证明材料，未提供不得分）</w:t>
            </w:r>
            <w:r>
              <w:rPr>
                <w:rFonts w:hint="eastAsia" w:ascii="宋体" w:hAnsi="宋体" w:eastAsia="宋体" w:cs="宋体"/>
                <w:color w:val="000000"/>
                <w:szCs w:val="21"/>
                <w:highlight w:val="none"/>
              </w:rPr>
            </w:r>
            <w:r/>
          </w:p>
          <w:p>
            <w:pPr>
              <w:pStyle w:val="989"/>
              <w:numPr>
                <w:ilvl w:val="0"/>
                <w:numId w:val="0"/>
              </w:numPr>
              <w:jc w:val="left"/>
              <w:spacing w:after="0" w:afterAutospacing="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2.专科医师资质（</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各专科执业医师具备合法有效的医师</w:t>
            </w:r>
            <w:r>
              <w:rPr>
                <w:rFonts w:hint="eastAsia" w:ascii="宋体" w:hAnsi="宋体" w:eastAsia="宋体" w:cs="宋体"/>
                <w:color w:val="000000"/>
                <w:szCs w:val="21"/>
                <w:highlight w:val="none"/>
                <w:lang w:val="en-US" w:eastAsia="zh-CN"/>
              </w:rPr>
              <w:t xml:space="preserve">职称</w:t>
            </w:r>
            <w:r>
              <w:rPr>
                <w:rFonts w:hint="eastAsia" w:ascii="宋体" w:hAnsi="宋体" w:eastAsia="宋体" w:cs="宋体"/>
                <w:color w:val="000000"/>
                <w:szCs w:val="21"/>
                <w:highlight w:val="none"/>
              </w:rPr>
              <w:t xml:space="preserve">证书，</w:t>
            </w:r>
            <w:r>
              <w:rPr>
                <w:rFonts w:hint="eastAsia" w:ascii="宋体" w:hAnsi="宋体" w:eastAsia="宋体" w:cs="宋体"/>
                <w:color w:val="000000"/>
                <w:szCs w:val="21"/>
                <w:highlight w:val="none"/>
                <w:lang w:val="en-US" w:eastAsia="zh-CN"/>
              </w:rPr>
              <w:t xml:space="preserve">专业方向</w:t>
            </w:r>
            <w:r>
              <w:rPr>
                <w:rFonts w:hint="eastAsia" w:ascii="宋体" w:hAnsi="宋体" w:eastAsia="宋体" w:cs="宋体"/>
                <w:color w:val="000000"/>
                <w:szCs w:val="21"/>
                <w:highlight w:val="none"/>
              </w:rPr>
              <w:t xml:space="preserve">与对应专科一致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专科包括但不限于上述第1条中所述14项</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提供10个及以上的不同专科医师职称证书且所提供医师主执业地点在投标单位的得6分，每缺少1个扣0.6分。（提供医师职称证书、医疗机构电子化注册信息系统截屏或者其他医师主执业地点在投标单位的证明材料，未提供不得分）</w:t>
            </w:r>
            <w:r>
              <w:rPr>
                <w:rFonts w:hint="eastAsia" w:ascii="宋体" w:hAnsi="宋体" w:eastAsia="宋体" w:cs="宋体"/>
                <w:color w:val="000000"/>
                <w:szCs w:val="21"/>
                <w:highlight w:val="none"/>
              </w:rPr>
            </w:r>
            <w:r/>
          </w:p>
        </w:tc>
      </w:tr>
      <w:tr>
        <w:trPr>
          <w:trHeight w:val="90"/>
        </w:trPr>
        <w:tc>
          <w:tcPr>
            <w:tcW w:w="807" w:type="dxa"/>
            <w:vAlign w:val="center"/>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企业经营业绩、信誉</w:t>
            </w:r>
            <w:r>
              <w:rPr>
                <w:rFonts w:hint="eastAsia" w:ascii="宋体" w:hAnsi="宋体" w:eastAsia="宋体" w:cs="宋体"/>
                <w:color w:val="000000"/>
                <w:sz w:val="21"/>
                <w:szCs w:val="22"/>
                <w:highlight w:val="none"/>
                <w:rtl w:val="0"/>
                <w:lang w:val="en-US" w:eastAsia="zh-CN" w:bidi="ar-SA"/>
              </w:rPr>
            </w:r>
            <w:r/>
          </w:p>
        </w:tc>
        <w:tc>
          <w:tcPr>
            <w:tcW w:w="756"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企业业绩</w:t>
            </w:r>
            <w:r>
              <w:rPr>
                <w:rFonts w:hint="eastAsia"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2.00</w:t>
            </w:r>
            <w:r>
              <w:rPr>
                <w:rFonts w:hint="eastAsia" w:ascii="宋体" w:hAnsi="宋体" w:eastAsia="宋体" w:cs="宋体"/>
                <w:color w:val="000000"/>
                <w:sz w:val="21"/>
                <w:szCs w:val="22"/>
                <w:highlight w:val="none"/>
                <w:rtl w:val="0"/>
                <w:lang w:val="en-US" w:eastAsia="zh-CN" w:bidi="ar-SA"/>
              </w:rPr>
            </w:r>
            <w:r/>
          </w:p>
        </w:tc>
        <w:tc>
          <w:tcPr>
            <w:tcW w:w="2767" w:type="dxa"/>
            <w:vAlign w:val="center"/>
            <w:textDirection w:val="lrTb"/>
            <w:noWrap w:val="false"/>
          </w:tcPr>
          <w:p>
            <w:pPr>
              <w:pStyle w:val="989"/>
              <w:jc w:val="left"/>
              <w:spacing w:after="0" w:afterAutospacing="0"/>
              <w:widowControl w:val="off"/>
              <w:rPr>
                <w:rFonts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投标人自2023年1月1日以来（以合同签订的日期为准），承担过类似项目业绩的，每有一个业绩得1分，最高得2分。</w:t>
            </w:r>
            <w:r>
              <w:rPr>
                <w:rFonts w:ascii="宋体" w:hAnsi="宋体" w:eastAsia="宋体" w:cs="宋体"/>
                <w:color w:val="000000"/>
                <w:sz w:val="21"/>
                <w:szCs w:val="22"/>
                <w:highlight w:val="none"/>
                <w:rtl w:val="0"/>
                <w:lang w:val="en-US" w:eastAsia="zh-CN" w:bidi="ar-SA"/>
              </w:rPr>
            </w:r>
            <w:r/>
          </w:p>
          <w:p>
            <w:pPr>
              <w:pStyle w:val="989"/>
              <w:jc w:val="left"/>
              <w:spacing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注：1、须提供项目采购合同电子件。采购合同主要内容、标的须清晰可见，否则不得分。</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提供的相关业绩将随</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结果一并公开。</w:t>
            </w:r>
            <w:r>
              <w:rPr>
                <w:rFonts w:hint="eastAsia" w:ascii="宋体" w:hAnsi="宋体" w:eastAsia="宋体" w:cs="宋体"/>
                <w:color w:val="000000"/>
                <w:sz w:val="21"/>
                <w:szCs w:val="21"/>
                <w:highlight w:val="none"/>
                <w:lang w:val="en-US" w:eastAsia="zh-CN" w:bidi="ar-SA"/>
              </w:rPr>
            </w:r>
            <w:r/>
          </w:p>
        </w:tc>
      </w:tr>
      <w:tr>
        <w:trPr/>
        <w:tc>
          <w:tcPr>
            <w:tcW w:w="807" w:type="dxa"/>
            <w:vAlign w:val="center"/>
            <w:vMerge w:val="restart"/>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项目服务方案</w:t>
            </w:r>
            <w:r>
              <w:rPr>
                <w:rFonts w:hint="eastAsia" w:ascii="宋体" w:hAnsi="宋体" w:eastAsia="宋体" w:cs="宋体"/>
                <w:color w:val="000000"/>
                <w:sz w:val="21"/>
                <w:szCs w:val="22"/>
                <w:highlight w:val="none"/>
                <w:lang w:val="en-US" w:eastAsia="zh-CN" w:bidi="ar-SA"/>
              </w:rPr>
            </w:r>
            <w:r/>
          </w:p>
        </w:tc>
        <w:tc>
          <w:tcPr>
            <w:tcW w:w="756" w:type="dxa"/>
            <w:vAlign w:val="center"/>
            <w:textDirection w:val="lrTb"/>
            <w:noWrap w:val="false"/>
          </w:tcPr>
          <w:p>
            <w:pPr>
              <w:pStyle w:val="989"/>
              <w:jc w:val="center"/>
              <w:spacing w:after="0" w:afterAutospacing="0"/>
              <w:shd w:val="clear" w:color="auto" w:fill="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托管服务整体方案</w:t>
            </w:r>
            <w:r>
              <w:rPr>
                <w:rFonts w:hint="eastAsia" w:ascii="宋体" w:hAnsi="宋体" w:eastAsia="宋体" w:cs="宋体"/>
                <w:color w:val="000000"/>
                <w:sz w:val="21"/>
                <w:szCs w:val="22"/>
                <w:highlight w:val="none"/>
                <w:lang w:val="en-US" w:eastAsia="zh-CN" w:bidi="ar-SA"/>
              </w:rPr>
            </w:r>
            <w:r/>
          </w:p>
        </w:tc>
        <w:tc>
          <w:tcPr>
            <w:tcW w:w="667" w:type="dxa"/>
            <w:vAlign w:val="center"/>
            <w:textDirection w:val="lrTb"/>
            <w:noWrap w:val="false"/>
          </w:tcPr>
          <w:p>
            <w:pPr>
              <w:pStyle w:val="989"/>
              <w:jc w:val="center"/>
              <w:spacing w:after="0" w:afterAutospacing="0"/>
              <w:shd w:val="clear" w:color="auto" w:fill="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10.00</w:t>
            </w:r>
            <w:r>
              <w:rPr>
                <w:rFonts w:hint="eastAsia" w:ascii="宋体" w:hAnsi="宋体" w:eastAsia="宋体" w:cs="宋体"/>
                <w:color w:val="000000"/>
                <w:sz w:val="21"/>
                <w:szCs w:val="22"/>
                <w:highlight w:val="none"/>
                <w:lang w:val="en-US" w:eastAsia="zh-CN" w:bidi="ar-SA"/>
              </w:rPr>
            </w:r>
            <w:r/>
          </w:p>
        </w:tc>
        <w:tc>
          <w:tcPr>
            <w:tcW w:w="2767" w:type="dxa"/>
            <w:vAlign w:val="center"/>
            <w:textDirection w:val="lrTb"/>
            <w:noWrap w:val="false"/>
          </w:tcPr>
          <w:p>
            <w:pPr>
              <w:pStyle w:val="989"/>
              <w:numPr>
                <w:ilvl w:val="0"/>
                <w:numId w:val="0"/>
              </w:numPr>
              <w:jc w:val="left"/>
              <w:keepLines w:val="0"/>
              <w:keepNext w:val="0"/>
              <w:spacing w:before="0" w:beforeAutospacing="0" w:after="0" w:afterAutospacing="0"/>
              <w:widowControl w:val="off"/>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Cs w:val="21"/>
                <w:highlight w:val="none"/>
              </w:rPr>
              <w:t xml:space="preserve">对</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根据本项目实际需求提供</w:t>
            </w:r>
            <w:r>
              <w:rPr>
                <w:rFonts w:hint="eastAsia" w:ascii="宋体" w:hAnsi="宋体" w:eastAsia="宋体" w:cs="宋体"/>
                <w:color w:val="000000"/>
                <w:sz w:val="21"/>
                <w:szCs w:val="22"/>
                <w:highlight w:val="none"/>
                <w:rtl w:val="0"/>
                <w:lang w:val="en-US" w:eastAsia="zh-CN" w:bidi="ar-SA"/>
              </w:rPr>
              <w:t xml:space="preserve">托管服务整体方案</w:t>
            </w:r>
            <w:r>
              <w:rPr>
                <w:rFonts w:hint="eastAsia" w:ascii="宋体" w:hAnsi="宋体" w:eastAsia="宋体" w:cs="宋体"/>
                <w:color w:val="000000"/>
                <w:szCs w:val="21"/>
                <w:highlight w:val="none"/>
              </w:rPr>
              <w:t xml:space="preserve">，内容包括但不限于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89"/>
              <w:numPr>
                <w:ilvl w:val="0"/>
                <w:numId w:val="0"/>
              </w:numPr>
              <w:jc w:val="left"/>
              <w:keepLines w:val="0"/>
              <w:keepNext w:val="0"/>
              <w:spacing w:before="0" w:beforeAutospacing="0" w:after="0" w:afterAutospacing="0"/>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Cs w:val="21"/>
                <w:highlight w:val="none"/>
                <w:lang w:val="en-US" w:eastAsia="zh-CN"/>
              </w:rPr>
              <w:t xml:space="preserve">1.方案整体适配性：服务方案全面贴合新校区师生医疗需求，涵盖日常诊疗、健康管理、防疫防控等核心内容。方案内容完整、科学、与校医院功能定位精准、服务内容全面、流程清晰、落地情况优于采购需求得5分；满足采购需求得3分；其他情况不得分。</w:t>
            </w:r>
            <w:r>
              <w:rPr>
                <w:rFonts w:ascii="宋体" w:hAnsi="宋体" w:eastAsia="宋体" w:cs="宋体"/>
                <w:color w:val="000000"/>
                <w:szCs w:val="21"/>
                <w:highlight w:val="none"/>
                <w:lang w:val="en-US" w:eastAsia="zh-CN"/>
              </w:rPr>
            </w:r>
            <w:r/>
          </w:p>
          <w:p>
            <w:pPr>
              <w:pStyle w:val="989"/>
              <w:numPr>
                <w:ilvl w:val="0"/>
                <w:numId w:val="0"/>
              </w:numPr>
              <w:jc w:val="left"/>
              <w:keepLines w:val="0"/>
              <w:keepNext w:val="0"/>
              <w:spacing w:before="0" w:beforeAutospacing="0" w:after="0" w:afterAutospacing="0"/>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Cs w:val="21"/>
                <w:highlight w:val="none"/>
                <w:lang w:val="en-US" w:eastAsia="zh-CN"/>
              </w:rPr>
              <w:t xml:space="preserve">2.初期进驻筹备：进驻前人员培训、设备调试、药品储备、场地消毒等筹备计划完善，进驻交接流程规范，能快速对接校方完成资质备案，快速落地常态化医疗服务。方案内容完整、思路清晰、落地情况优于采购需求得3分；满足采购需求得1分；其他情况不得分。</w:t>
            </w:r>
            <w:r>
              <w:rPr>
                <w:rFonts w:ascii="宋体" w:hAnsi="宋体" w:eastAsia="宋体" w:cs="宋体"/>
                <w:color w:val="000000"/>
                <w:szCs w:val="21"/>
                <w:highlight w:val="none"/>
                <w:lang w:val="en-US" w:eastAsia="zh-CN"/>
              </w:rPr>
            </w:r>
            <w:r/>
          </w:p>
          <w:p>
            <w:pPr>
              <w:pStyle w:val="989"/>
              <w:numPr>
                <w:ilvl w:val="0"/>
                <w:numId w:val="0"/>
              </w:numPr>
              <w:jc w:val="left"/>
              <w:keepLines w:val="0"/>
              <w:keepNext w:val="0"/>
              <w:spacing w:before="0" w:beforeAutospacing="0" w:after="0" w:afterAutospacing="0"/>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Cs w:val="21"/>
                <w:highlight w:val="none"/>
                <w:lang w:val="en-US" w:eastAsia="zh-CN"/>
              </w:rPr>
              <w:t xml:space="preserve">3.后期运营监管：建立常态化内部监管机制，服务质量考核、医疗安全自查、服务台账管理规范；主动配合校方监督检查，落实整改要求，定期汇报服务情况。方案内容完整、科学、优于采购需求得2分；满足采购需求得1分；其他情况不得分。</w:t>
            </w:r>
            <w:r>
              <w:rPr>
                <w:rFonts w:ascii="宋体" w:hAnsi="宋体" w:eastAsia="宋体" w:cs="宋体"/>
                <w:color w:val="000000"/>
                <w:szCs w:val="21"/>
                <w:highlight w:val="none"/>
                <w:lang w:val="en-US" w:eastAsia="zh-CN"/>
              </w:rPr>
            </w:r>
            <w:r/>
          </w:p>
        </w:tc>
      </w:tr>
      <w:tr>
        <w:trPr/>
        <w:tc>
          <w:tcPr>
            <w:tcW w:w="807" w:type="dxa"/>
            <w:vAlign w:val="center"/>
            <w:vMerge w:val="continue"/>
            <w:textDirection w:val="lrTb"/>
            <w:noWrap w:val="false"/>
          </w:tcPr>
          <w:p>
            <w:pPr>
              <w:pStyle w:val="989"/>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6" w:type="dxa"/>
            <w:vAlign w:val="center"/>
            <w:textDirection w:val="lrTb"/>
            <w:noWrap w:val="false"/>
          </w:tcPr>
          <w:p>
            <w:pPr>
              <w:pStyle w:val="989"/>
              <w:jc w:val="center"/>
              <w:spacing w:after="0" w:afterAutospacing="0"/>
              <w:shd w:val="clear" w:color="auto" w:fill="auto"/>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lang w:val="en-US" w:eastAsia="zh-CN" w:bidi="ar-SA"/>
              </w:rPr>
              <w:t xml:space="preserve">管理制度比较</w:t>
            </w:r>
            <w:r>
              <w:rPr>
                <w:rFonts w:hint="eastAsia" w:ascii="宋体" w:hAnsi="宋体" w:eastAsia="宋体" w:cs="宋体"/>
                <w:color w:val="000000"/>
                <w:sz w:val="21"/>
                <w:szCs w:val="22"/>
                <w:highlight w:val="none"/>
                <w:rtl w:val="0"/>
                <w:lang w:val="en-US" w:eastAsia="zh-CN" w:bidi="ar-SA"/>
              </w:rPr>
            </w:r>
            <w:r/>
          </w:p>
        </w:tc>
        <w:tc>
          <w:tcPr>
            <w:tcW w:w="667" w:type="dxa"/>
            <w:vAlign w:val="center"/>
            <w:textDirection w:val="lrTb"/>
            <w:noWrap w:val="false"/>
          </w:tcPr>
          <w:p>
            <w:pPr>
              <w:pStyle w:val="989"/>
              <w:jc w:val="center"/>
              <w:spacing w:after="0" w:afterAutospacing="0"/>
              <w:shd w:val="clear" w:color="auto" w:fill="auto"/>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8.00</w:t>
            </w:r>
            <w:r>
              <w:rPr>
                <w:rFonts w:hint="eastAsia" w:ascii="宋体" w:hAnsi="宋体" w:eastAsia="宋体" w:cs="宋体"/>
                <w:color w:val="000000"/>
                <w:sz w:val="21"/>
                <w:szCs w:val="22"/>
                <w:highlight w:val="none"/>
                <w:rtl w:val="0"/>
                <w:lang w:val="en-US" w:eastAsia="zh-CN" w:bidi="ar-SA"/>
              </w:rPr>
            </w:r>
            <w:r/>
          </w:p>
        </w:tc>
        <w:tc>
          <w:tcPr>
            <w:tcW w:w="2767" w:type="dxa"/>
            <w:vAlign w:val="center"/>
            <w:textDirection w:val="lrTb"/>
            <w:noWrap w:val="false"/>
          </w:tcPr>
          <w:p>
            <w:pPr>
              <w:pStyle w:val="989"/>
              <w:numPr>
                <w:ilvl w:val="0"/>
                <w:numId w:val="0"/>
              </w:numPr>
              <w:jc w:val="left"/>
              <w:keepLines w:val="0"/>
              <w:keepNext w:val="0"/>
              <w:spacing w:before="0" w:beforeAutospacing="0" w:after="0" w:afterAutospacing="0"/>
              <w:widowControl w:val="off"/>
              <w:rPr>
                <w:rFonts w:hint="eastAsia" w:ascii="宋体" w:hAnsi="宋体" w:eastAsia="宋体" w:cs="宋体"/>
                <w:color w:val="000000"/>
                <w:sz w:val="21"/>
                <w:szCs w:val="2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1"/>
                <w:szCs w:val="22"/>
                <w:highlight w:val="none"/>
                <w:lang w:bidi="ar-SA"/>
              </w:rPr>
              <w:t xml:space="preserve">根据</w:t>
            </w:r>
            <w:r>
              <w:rPr>
                <w:rFonts w:hint="eastAsia" w:ascii="宋体" w:hAnsi="宋体" w:eastAsia="宋体" w:cs="宋体"/>
                <w:caps w:val="0"/>
                <w:color w:val="000000"/>
                <w:sz w:val="21"/>
                <w:szCs w:val="22"/>
                <w:highlight w:val="none"/>
                <w:lang w:eastAsia="zh-CN" w:bidi="ar-SA"/>
              </w:rPr>
              <w:t xml:space="preserve">投标单位</w:t>
            </w:r>
            <w:r>
              <w:rPr>
                <w:rFonts w:hint="eastAsia" w:ascii="宋体" w:hAnsi="宋体" w:eastAsia="宋体" w:cs="宋体"/>
                <w:caps w:val="0"/>
                <w:color w:val="000000"/>
                <w:sz w:val="21"/>
                <w:szCs w:val="22"/>
                <w:highlight w:val="none"/>
                <w:lang w:val="en-US" w:eastAsia="zh-CN" w:bidi="ar-SA"/>
              </w:rPr>
              <w:t xml:space="preserve">医院</w:t>
            </w:r>
            <w:r>
              <w:rPr>
                <w:rFonts w:hint="eastAsia" w:ascii="宋体" w:hAnsi="宋体" w:eastAsia="宋体" w:cs="宋体"/>
                <w:caps w:val="0"/>
                <w:color w:val="000000"/>
                <w:sz w:val="21"/>
                <w:szCs w:val="22"/>
                <w:highlight w:val="none"/>
                <w:lang w:bidi="ar-SA"/>
              </w:rPr>
              <w:t xml:space="preserve">管理制度（</w:t>
            </w:r>
            <w:r>
              <w:rPr>
                <w:rFonts w:hint="eastAsia" w:ascii="宋体" w:hAnsi="宋体" w:eastAsia="宋体" w:cs="宋体"/>
                <w:caps w:val="0"/>
                <w:color w:val="000000"/>
                <w:sz w:val="21"/>
                <w:szCs w:val="22"/>
                <w:highlight w:val="none"/>
                <w:lang w:val="en-US" w:eastAsia="zh-CN" w:bidi="ar-SA"/>
              </w:rPr>
              <w:t xml:space="preserve">医疗</w:t>
            </w:r>
            <w:r>
              <w:rPr>
                <w:rFonts w:hint="eastAsia" w:ascii="宋体" w:hAnsi="宋体" w:eastAsia="宋体" w:cs="宋体"/>
                <w:caps w:val="0"/>
                <w:color w:val="000000"/>
                <w:sz w:val="21"/>
                <w:szCs w:val="22"/>
                <w:highlight w:val="none"/>
                <w:lang w:bidi="ar-SA"/>
              </w:rPr>
              <w:t xml:space="preserve">管理、</w:t>
            </w:r>
            <w:r>
              <w:rPr>
                <w:rFonts w:hint="eastAsia" w:ascii="宋体" w:hAnsi="宋体" w:eastAsia="宋体" w:cs="宋体"/>
                <w:caps w:val="0"/>
                <w:color w:val="000000"/>
                <w:sz w:val="21"/>
                <w:szCs w:val="22"/>
                <w:highlight w:val="none"/>
                <w:lang w:val="en-US" w:eastAsia="zh-CN" w:bidi="ar-SA"/>
              </w:rPr>
              <w:t xml:space="preserve">护理</w:t>
            </w:r>
            <w:r>
              <w:rPr>
                <w:rFonts w:hint="eastAsia" w:ascii="宋体" w:hAnsi="宋体" w:eastAsia="宋体" w:cs="宋体"/>
                <w:caps w:val="0"/>
                <w:color w:val="000000"/>
                <w:sz w:val="21"/>
                <w:szCs w:val="22"/>
                <w:highlight w:val="none"/>
                <w:lang w:bidi="ar-SA"/>
              </w:rPr>
              <w:t xml:space="preserve">管理、</w:t>
            </w:r>
            <w:r>
              <w:rPr>
                <w:rFonts w:hint="eastAsia" w:ascii="宋体" w:hAnsi="宋体" w:eastAsia="宋体" w:cs="宋体"/>
                <w:caps w:val="0"/>
                <w:color w:val="000000"/>
                <w:sz w:val="21"/>
                <w:szCs w:val="22"/>
                <w:highlight w:val="none"/>
                <w:lang w:val="en-US" w:eastAsia="zh-CN" w:bidi="ar-SA"/>
              </w:rPr>
              <w:t xml:space="preserve">院感</w:t>
            </w:r>
            <w:r>
              <w:rPr>
                <w:rFonts w:hint="eastAsia" w:ascii="宋体" w:hAnsi="宋体" w:eastAsia="宋体" w:cs="宋体"/>
                <w:caps w:val="0"/>
                <w:color w:val="000000"/>
                <w:sz w:val="21"/>
                <w:szCs w:val="22"/>
                <w:highlight w:val="none"/>
                <w:lang w:bidi="ar-SA"/>
              </w:rPr>
              <w:t xml:space="preserve">管理</w:t>
            </w:r>
            <w:r>
              <w:rPr>
                <w:rFonts w:hint="eastAsia" w:ascii="宋体" w:hAnsi="宋体" w:eastAsia="宋体" w:cs="宋体"/>
                <w:caps w:val="0"/>
                <w:color w:val="000000"/>
                <w:sz w:val="21"/>
                <w:szCs w:val="22"/>
                <w:highlight w:val="none"/>
                <w:lang w:eastAsia="zh-CN" w:bidi="ar-SA"/>
              </w:rPr>
              <w:t xml:space="preserve">）</w:t>
            </w:r>
            <w:r>
              <w:rPr>
                <w:rFonts w:hint="eastAsia" w:ascii="宋体" w:hAnsi="宋体" w:eastAsia="宋体" w:cs="宋体"/>
                <w:caps w:val="0"/>
                <w:color w:val="000000"/>
                <w:sz w:val="21"/>
                <w:szCs w:val="22"/>
                <w:highlight w:val="none"/>
                <w:lang w:val="en-US" w:eastAsia="zh-CN" w:bidi="ar-SA"/>
              </w:rPr>
              <w:t xml:space="preserve">是否对本项目有针对性及可操作性进行评审，能</w:t>
            </w:r>
            <w:r>
              <w:rPr>
                <w:rFonts w:hint="eastAsia" w:ascii="宋体" w:hAnsi="宋体" w:eastAsia="宋体" w:cs="宋体"/>
                <w:color w:val="000000"/>
                <w:szCs w:val="21"/>
                <w:highlight w:val="none"/>
              </w:rPr>
              <w:t xml:space="preserve">高效推进项目实施</w:t>
            </w:r>
            <w:r>
              <w:rPr>
                <w:rFonts w:hint="eastAsia" w:ascii="宋体" w:hAnsi="宋体" w:eastAsia="宋体" w:cs="宋体"/>
                <w:caps w:val="0"/>
                <w:color w:val="000000"/>
                <w:sz w:val="21"/>
                <w:szCs w:val="22"/>
                <w:highlight w:val="none"/>
                <w:lang w:val="en-US" w:eastAsia="zh-CN" w:bidi="ar-SA"/>
              </w:rPr>
              <w:t xml:space="preserve">优于采购</w:t>
            </w:r>
            <w:r>
              <w:rPr>
                <w:rFonts w:hint="eastAsia" w:ascii="宋体" w:hAnsi="宋体" w:eastAsia="宋体" w:cs="宋体"/>
                <w:caps w:val="0"/>
                <w:color w:val="000000"/>
                <w:sz w:val="21"/>
                <w:szCs w:val="22"/>
                <w:highlight w:val="none"/>
                <w:lang w:bidi="ar-SA"/>
              </w:rPr>
              <w:t xml:space="preserve">需求的得</w:t>
            </w:r>
            <w:r>
              <w:rPr>
                <w:rFonts w:hint="eastAsia" w:ascii="宋体" w:hAnsi="宋体" w:eastAsia="宋体" w:cs="宋体"/>
                <w:caps w:val="0"/>
                <w:color w:val="000000"/>
                <w:sz w:val="21"/>
                <w:szCs w:val="22"/>
                <w:highlight w:val="none"/>
                <w:lang w:val="en-US" w:eastAsia="zh-CN" w:bidi="ar-SA"/>
              </w:rPr>
              <w:t xml:space="preserve">8</w:t>
            </w:r>
            <w:r>
              <w:rPr>
                <w:rFonts w:hint="eastAsia" w:ascii="宋体" w:hAnsi="宋体" w:eastAsia="宋体" w:cs="宋体"/>
                <w:caps w:val="0"/>
                <w:color w:val="000000"/>
                <w:sz w:val="21"/>
                <w:szCs w:val="22"/>
                <w:highlight w:val="none"/>
                <w:lang w:bidi="ar-SA"/>
              </w:rPr>
              <w:t xml:space="preserve">分；</w:t>
            </w:r>
            <w:r>
              <w:rPr>
                <w:rFonts w:hint="eastAsia" w:ascii="宋体" w:hAnsi="宋体" w:eastAsia="宋体" w:cs="宋体"/>
                <w:color w:val="000000"/>
                <w:szCs w:val="21"/>
                <w:highlight w:val="none"/>
              </w:rPr>
              <w:t xml:space="preserve">满足采购需求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aps w:val="0"/>
                <w:color w:val="000000"/>
                <w:sz w:val="21"/>
                <w:szCs w:val="22"/>
                <w:highlight w:val="none"/>
                <w:lang w:bidi="ar-SA"/>
              </w:rPr>
              <w:t xml:space="preserve">得</w:t>
            </w:r>
            <w:r>
              <w:rPr>
                <w:rFonts w:hint="eastAsia" w:ascii="宋体" w:hAnsi="宋体" w:eastAsia="宋体" w:cs="宋体"/>
                <w:caps w:val="0"/>
                <w:color w:val="000000"/>
                <w:sz w:val="21"/>
                <w:szCs w:val="22"/>
                <w:highlight w:val="none"/>
                <w:lang w:val="en-US" w:eastAsia="zh-CN" w:bidi="ar-SA"/>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aps w:val="0"/>
                <w:color w:val="000000"/>
                <w:sz w:val="21"/>
                <w:szCs w:val="22"/>
                <w:highlight w:val="none"/>
                <w:lang w:bidi="ar-SA"/>
              </w:rPr>
              <w:t xml:space="preserve">方案存在缺陷，</w:t>
            </w:r>
            <w:r>
              <w:rPr>
                <w:rFonts w:hint="eastAsia" w:ascii="宋体" w:hAnsi="宋体" w:eastAsia="宋体" w:cs="宋体"/>
                <w:caps w:val="0"/>
                <w:color w:val="000000"/>
                <w:sz w:val="21"/>
                <w:szCs w:val="22"/>
                <w:highlight w:val="none"/>
                <w:lang w:val="en-US" w:eastAsia="zh-CN" w:bidi="ar-SA"/>
              </w:rPr>
              <w:t xml:space="preserve">无法保证能够推进</w:t>
            </w:r>
            <w:r>
              <w:rPr>
                <w:rFonts w:hint="eastAsia" w:ascii="宋体" w:hAnsi="宋体" w:eastAsia="宋体" w:cs="宋体"/>
                <w:color w:val="000000"/>
                <w:szCs w:val="21"/>
                <w:highlight w:val="none"/>
              </w:rPr>
              <w:t xml:space="preserve">项目实施</w:t>
            </w:r>
            <w:r>
              <w:rPr>
                <w:rFonts w:hint="eastAsia" w:ascii="宋体" w:hAnsi="宋体" w:eastAsia="宋体" w:cs="宋体"/>
                <w:caps w:val="0"/>
                <w:color w:val="000000"/>
                <w:sz w:val="21"/>
                <w:szCs w:val="22"/>
                <w:highlight w:val="none"/>
                <w:lang w:bidi="ar-SA"/>
              </w:rPr>
              <w:t xml:space="preserve">的得</w:t>
            </w:r>
            <w:r>
              <w:rPr>
                <w:rFonts w:hint="eastAsia" w:ascii="宋体" w:hAnsi="宋体" w:eastAsia="宋体" w:cs="宋体"/>
                <w:caps w:val="0"/>
                <w:color w:val="000000"/>
                <w:sz w:val="21"/>
                <w:szCs w:val="22"/>
                <w:highlight w:val="none"/>
                <w:lang w:val="en-US" w:eastAsia="zh-CN" w:bidi="ar-SA"/>
              </w:rPr>
              <w:t xml:space="preserve">2</w:t>
            </w:r>
            <w:r>
              <w:rPr>
                <w:rFonts w:hint="eastAsia" w:ascii="宋体" w:hAnsi="宋体" w:eastAsia="宋体" w:cs="宋体"/>
                <w:caps w:val="0"/>
                <w:color w:val="000000"/>
                <w:sz w:val="21"/>
                <w:szCs w:val="22"/>
                <w:highlight w:val="none"/>
                <w:lang w:bidi="ar-SA"/>
              </w:rPr>
              <w:t xml:space="preserve">分；</w:t>
            </w:r>
            <w:r>
              <w:rPr>
                <w:rFonts w:hint="eastAsia" w:ascii="宋体" w:hAnsi="宋体" w:eastAsia="宋体" w:cs="宋体"/>
                <w:color w:val="000000"/>
                <w:szCs w:val="21"/>
                <w:highlight w:val="none"/>
              </w:rPr>
              <w:t xml:space="preserve">其他情况不得分。</w:t>
            </w:r>
            <w:r>
              <w:rPr>
                <w:rFonts w:hint="eastAsia" w:ascii="宋体" w:hAnsi="宋体" w:eastAsia="宋体" w:cs="宋体"/>
                <w:color w:val="000000"/>
                <w:sz w:val="21"/>
                <w:szCs w:val="22"/>
                <w:highlight w:val="none"/>
                <w:rtl w:val="0"/>
                <w:lang w:val="en-US" w:eastAsia="zh-CN" w:bidi="ar-SA"/>
              </w:rPr>
            </w:r>
            <w:r/>
          </w:p>
        </w:tc>
      </w:tr>
    </w:tbl>
    <w:p>
      <w:pPr>
        <w:pStyle w:val="989"/>
        <w:rPr>
          <w:rFonts w:hint="eastAsia" w:ascii="宋体" w:hAnsi="宋体" w:eastAsia="宋体" w:cs="宋体"/>
          <w:caps w:val="0"/>
          <w:color w:val="000000"/>
          <w:highlight w:val="none"/>
        </w:rPr>
      </w:pPr>
      <w:r>
        <w:rPr>
          <w:rFonts w:hint="eastAsia" w:ascii="宋体" w:hAnsi="宋体" w:eastAsia="宋体" w:cs="宋体"/>
          <w:caps w:val="0"/>
          <w:color w:val="000000"/>
          <w:sz w:val="20"/>
          <w:highlight w:val="none"/>
        </w:rPr>
        <w:t xml:space="preserve"> </w:t>
      </w:r>
      <w:bookmarkEnd w:id="140"/>
      <w:r>
        <w:rPr>
          <w:rFonts w:hint="eastAsia" w:ascii="宋体" w:hAnsi="宋体" w:eastAsia="宋体" w:cs="宋体"/>
          <w:caps w:val="0"/>
          <w:color w:val="000000"/>
          <w:highlight w:val="none"/>
        </w:rPr>
      </w:r>
      <w:r/>
    </w:p>
    <w:p>
      <w:pPr>
        <w:pStyle w:val="989"/>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w:t>
      </w:r>
      <w:r>
        <w:rPr>
          <w:rFonts w:hint="eastAsia" w:ascii="宋体" w:hAnsi="宋体" w:eastAsia="宋体" w:cs="宋体"/>
          <w:b/>
          <w:caps w:val="0"/>
          <w:color w:val="000000"/>
          <w:sz w:val="24"/>
          <w:highlight w:val="none"/>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989"/>
        <w:numPr>
          <w:ilvl w:val="0"/>
          <w:numId w:val="0"/>
        </w:numPr>
        <w:ind w:firstLine="482"/>
        <w:keepLines w:val="0"/>
        <w:keepNext w:val="0"/>
        <w:pageBreakBefore w:val="0"/>
        <w:spacing w:afterAutospacing="0" w:line="56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rPr>
          <w:rFonts w:hint="eastAsia" w:ascii="宋体" w:hAnsi="宋体" w:eastAsia="宋体" w:cs="宋体"/>
          <w:b/>
          <w:caps w:val="0"/>
          <w:color w:val="000000"/>
          <w:sz w:val="24"/>
          <w:highlight w:val="none"/>
          <w:lang w:val="en-US" w:eastAsia="zh-CN"/>
        </w:rPr>
      </w:r>
      <w:r/>
    </w:p>
    <w:p>
      <w:pPr>
        <w:pStyle w:val="989"/>
        <w:numPr>
          <w:ilvl w:val="0"/>
          <w:numId w:val="0"/>
        </w:numPr>
        <w:ind w:firstLine="482"/>
        <w:keepLines w:val="0"/>
        <w:keepNext w:val="0"/>
        <w:pageBreakBefore w:val="0"/>
        <w:spacing w:line="560" w:lineRule="exact"/>
        <w:widowControl w:val="off"/>
        <w:rPr>
          <w:rFonts w:hint="eastAsia" w:ascii="宋体" w:hAnsi="宋体" w:eastAsia="宋体" w:cs="宋体"/>
          <w:b/>
          <w:caps w:val="0"/>
          <w:color w:val="000000"/>
          <w:sz w:val="24"/>
          <w:highlight w:val="none"/>
        </w:rPr>
      </w:pPr>
      <w:r>
        <w:rPr>
          <w:rFonts w:hint="eastAsia" w:ascii="宋体" w:hAnsi="宋体" w:eastAsia="宋体" w:cs="宋体"/>
          <w:b/>
          <w:bCs/>
          <w:caps w:val="0"/>
          <w:color w:val="000000"/>
          <w:sz w:val="24"/>
          <w:highlight w:val="none"/>
        </w:rPr>
        <w:t xml:space="preserve">本项目落实的政府采购政策</w:t>
      </w:r>
      <w:r>
        <w:rPr>
          <w:rFonts w:hint="eastAsia" w:ascii="宋体" w:hAnsi="宋体" w:eastAsia="宋体" w:cs="宋体"/>
          <w:b/>
          <w:bCs/>
          <w:caps w:val="0"/>
          <w:color w:val="000000"/>
          <w:sz w:val="24"/>
          <w:highlight w:val="none"/>
          <w:lang w:val="en-US" w:eastAsia="zh-CN"/>
        </w:rPr>
        <w:t xml:space="preserve">对应以下序号为</w:t>
      </w:r>
      <w:r>
        <w:rPr>
          <w:rFonts w:hint="eastAsia" w:ascii="宋体" w:hAnsi="宋体" w:eastAsia="宋体" w:cs="宋体"/>
          <w:b/>
          <w:bCs/>
          <w:caps w:val="0"/>
          <w:color w:val="000000"/>
          <w:sz w:val="24"/>
          <w:highlight w:val="none"/>
          <w:u w:val="single"/>
          <w:lang w:val="en-US" w:eastAsia="zh-CN"/>
        </w:rPr>
        <w:t xml:space="preserve"> 1、2、4  </w:t>
      </w:r>
      <w:r>
        <w:rPr>
          <w:rFonts w:hint="eastAsia" w:ascii="宋体" w:hAnsi="宋体" w:eastAsia="宋体" w:cs="宋体"/>
          <w:b/>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1、采购本国货物、工程和服务</w:t>
      </w:r>
      <w:r>
        <w:rPr>
          <w:rFonts w:hint="eastAsia" w:ascii="宋体" w:hAnsi="宋体" w:eastAsia="宋体" w:cs="宋体"/>
          <w:caps w:val="0"/>
          <w:color w:val="000000"/>
          <w:sz w:val="24"/>
          <w:highlight w:val="none"/>
          <w:lang w:val="en-US" w:eastAsia="zh-CN"/>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none"/>
          <w:lang w:val="en-US" w:eastAsia="zh-CN"/>
        </w:rPr>
        <w:t xml:space="preserve">是否采购进口产品以采购需求中确定的为准。</w:t>
      </w:r>
      <w:r>
        <w:rPr>
          <w:rFonts w:hint="eastAsia" w:ascii="宋体" w:hAnsi="宋体" w:eastAsia="宋体" w:cs="宋体"/>
          <w:caps w:val="0"/>
          <w:color w:val="000000"/>
          <w:sz w:val="24"/>
          <w:highlight w:val="none"/>
          <w:lang w:val="en-US" w:eastAsia="zh-CN"/>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中小企业政策</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w:t>
      </w:r>
      <w:r>
        <w:rPr>
          <w:rFonts w:hint="eastAsia" w:ascii="宋体" w:hAnsi="宋体" w:eastAsia="宋体" w:cs="宋体"/>
          <w:caps w:val="0"/>
          <w:color w:val="000000"/>
          <w:sz w:val="24"/>
          <w:highlight w:val="none"/>
          <w:lang w:val="en-US" w:eastAsia="zh-CN"/>
        </w:rPr>
        <w:t xml:space="preserve">种政策确定本项目落实的中小企业政策：</w:t>
      </w:r>
      <w:r>
        <w:rPr>
          <w:rFonts w:hint="eastAsia" w:ascii="宋体" w:hAnsi="宋体" w:eastAsia="宋体" w:cs="宋体"/>
          <w:caps w:val="0"/>
          <w:color w:val="000000"/>
          <w:sz w:val="24"/>
          <w:highlight w:val="none"/>
          <w:lang w:val="en-US" w:eastAsia="zh-CN"/>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本项目专门面向中小企业（含监狱企业、残疾人福利企业）采购。</w:t>
      </w:r>
      <w:r>
        <w:rPr>
          <w:rFonts w:hint="eastAsia" w:ascii="宋体" w:hAnsi="宋体" w:eastAsia="宋体" w:cs="宋体"/>
          <w:caps w:val="0"/>
          <w:color w:val="000000"/>
          <w:sz w:val="24"/>
          <w:highlight w:val="none"/>
        </w:rPr>
      </w:r>
      <w:r/>
    </w:p>
    <w:p>
      <w:pPr>
        <w:pStyle w:val="989"/>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（2）对符合规定情形的小微企业报价给予</w:t>
      </w:r>
      <w:r>
        <w:rPr>
          <w:rFonts w:hint="eastAsia" w:ascii="Times New Roman" w:hAnsi="Times New Roman" w:eastAsia="宋体" w:cs="仿宋"/>
          <w:color w:val="000000"/>
          <w:sz w:val="24"/>
          <w:highlight w:val="none"/>
          <w:u w:val="single"/>
        </w:rPr>
        <w:t xml:space="preserve">1</w:t>
      </w:r>
      <w:r>
        <w:rPr>
          <w:rFonts w:hint="eastAsia" w:ascii="Times New Roman" w:hAnsi="Times New Roman" w:eastAsia="宋体" w:cs="仿宋"/>
          <w:color w:val="000000"/>
          <w:sz w:val="24"/>
          <w:highlight w:val="none"/>
          <w:u w:val="single"/>
          <w:lang w:val="en-US" w:eastAsia="zh-CN"/>
        </w:rPr>
        <w:t xml:space="preserve">0</w:t>
      </w:r>
      <w:r>
        <w:rPr>
          <w:rFonts w:hint="eastAsia" w:ascii="Times New Roman" w:hAnsi="Times New Roman" w:eastAsia="宋体" w:cs="仿宋"/>
          <w:color w:val="000000"/>
          <w:sz w:val="24"/>
          <w:highlight w:val="none"/>
          <w:u w:val="single"/>
        </w:rPr>
        <w:t xml:space="preserve">%</w:t>
      </w:r>
      <w:r>
        <w:rPr>
          <w:rFonts w:hint="eastAsia" w:ascii="Times New Roman" w:hAnsi="Times New Roman" w:eastAsia="宋体" w:cs="仿宋"/>
          <w:color w:val="000000"/>
          <w:sz w:val="24"/>
          <w:highlight w:val="none"/>
        </w:rPr>
        <w:t xml:space="preserve">扣除，用扣除后的价格参加评审。</w:t>
      </w:r>
      <w:r>
        <w:rPr>
          <w:rFonts w:ascii="Times New Roman" w:hAnsi="Times New Roman" w:eastAsia="宋体" w:cs="仿宋"/>
          <w:color w:val="000000"/>
          <w:sz w:val="24"/>
          <w:highlight w:val="none"/>
        </w:rPr>
      </w:r>
      <w:r/>
    </w:p>
    <w:p>
      <w:pPr>
        <w:pStyle w:val="989"/>
        <w:ind w:firstLine="480"/>
        <w:keepLines w:val="0"/>
        <w:keepNext w:val="0"/>
        <w:pageBreakBefore w:val="0"/>
        <w:spacing w:line="56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eastAsia="宋体" w:cs="仿宋"/>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投标人须知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“采购需求”相关内容为准。）</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rPr>
        <w:t xml:space="preserve">政府采购节能产品、环境标志产品</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采购人拟采购的产品属于优先采购的节能环保品目清单范围的，按以下条件优先采购：</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采用综合评分法的项目，对提供有效节能环保证书的投标人加分。</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商品包装、快递包装政府采购需求标准（试行）</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绿色数据中心政府采购需求标准（试行）</w:t>
      </w:r>
      <w:r>
        <w:rPr>
          <w:rFonts w:hint="eastAsia" w:ascii="宋体" w:hAnsi="宋体" w:eastAsia="宋体" w:cs="宋体"/>
          <w:caps w:val="0"/>
          <w:color w:val="000000"/>
          <w:sz w:val="24"/>
          <w:highlight w:val="none"/>
        </w:rPr>
      </w:r>
      <w:r/>
    </w:p>
    <w:p>
      <w:pPr>
        <w:pStyle w:val="989"/>
        <w:ind w:firstLine="480"/>
        <w:keepLines w:val="0"/>
        <w:keepNext w:val="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highlight w:val="none"/>
        </w:rPr>
      </w:r>
      <w:r/>
    </w:p>
    <w:p>
      <w:pPr>
        <w:pStyle w:val="989"/>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9"/>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9"/>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bookmarkStart w:id="141" w:name="_Toc7706"/>
      <w:r>
        <w:rPr>
          <w:rFonts w:hint="eastAsia" w:ascii="宋体" w:hAnsi="宋体" w:eastAsia="宋体" w:cs="宋体"/>
          <w:b/>
          <w:color w:val="000000"/>
          <w:sz w:val="44"/>
          <w:szCs w:val="44"/>
          <w:highlight w:val="none"/>
        </w:rPr>
        <w:t xml:space="preserve">第四部分  采购需求</w:t>
      </w:r>
      <w:bookmarkEnd w:id="138"/>
      <w:r/>
      <w:bookmarkEnd w:id="139"/>
      <w:r/>
      <w:bookmarkEnd w:id="141"/>
      <w:r>
        <w:rPr>
          <w:rFonts w:hint="eastAsia" w:ascii="宋体" w:hAnsi="宋体" w:eastAsia="宋体" w:cs="宋体"/>
          <w:b/>
          <w:color w:val="000000"/>
          <w:sz w:val="44"/>
          <w:szCs w:val="44"/>
          <w:highlight w:val="none"/>
        </w:rPr>
      </w:r>
      <w:r/>
    </w:p>
    <w:p>
      <w:pPr>
        <w:pStyle w:val="989"/>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bookmarkStart w:id="142" w:name="_Toc81575207"/>
      <w:r/>
      <w:bookmarkStart w:id="143" w:name="_Toc81575170"/>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rPr>
      </w:r>
      <w:r/>
    </w:p>
    <w:p>
      <w:pPr>
        <w:pStyle w:val="989"/>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b/>
          <w:bCs/>
          <w:color w:val="000000"/>
          <w:sz w:val="24"/>
          <w:highlight w:val="none"/>
          <w:u w:val="single"/>
        </w:rPr>
        <w:t xml:space="preserve">其他未列明行业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89"/>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lang w:val="en-US" w:eastAsia="zh-CN"/>
        </w:rPr>
        <w:t xml:space="preserve">（接受/不接受）进口产品。</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一、项目概况</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（一）为切实保障宿迁学院新校区全体在校师生、教职工的日常</w:t>
      </w:r>
      <w:r>
        <w:rPr>
          <w:rFonts w:hint="eastAsia" w:ascii="宋体" w:hAnsi="宋体" w:eastAsia="宋体" w:cs="宋体"/>
          <w:caps w:val="0"/>
          <w:color w:val="000000"/>
          <w:sz w:val="24"/>
          <w:szCs w:val="24"/>
          <w:highlight w:val="none"/>
          <w:lang w:val="en-US" w:eastAsia="zh-CN"/>
        </w:rPr>
        <w:t xml:space="preserve">诊疗</w:t>
      </w:r>
      <w:r>
        <w:rPr>
          <w:rFonts w:hint="eastAsia" w:ascii="宋体" w:hAnsi="宋体" w:eastAsia="宋体" w:cs="宋体"/>
          <w:b w:val="0"/>
          <w:bCs w:val="0"/>
          <w:color w:val="000000"/>
          <w:spacing w:val="0"/>
          <w:sz w:val="24"/>
          <w:szCs w:val="24"/>
          <w:highlight w:val="none"/>
          <w:lang w:val="en-US" w:eastAsia="zh-CN"/>
        </w:rPr>
        <w:t xml:space="preserve">、突发疾病应急救治、健康体检及校园公共卫生服务需求，规范校园医务室运营管理，现对新校区医务室实行专业医疗机构托管运营服务招标。中标医疗机构需严格遵照国家医疗卫生法律法规、校园管理规定及本采购需求所有条款，全面负责医务室日常诊疗、人员管理、设备运维、药品供应、医保结算、健康体检、应急转诊等全流程运营工作，为全校师生提供便捷、安全、优质、普惠的校园医疗服务，切实保障校园医疗服务有序高效开展。</w:t>
      </w:r>
      <w:r>
        <w:rPr>
          <w:rFonts w:hint="eastAsia" w:ascii="宋体" w:hAnsi="宋体" w:eastAsia="宋体" w:cs="宋体"/>
          <w:b w:val="0"/>
          <w:bCs w:val="0"/>
          <w:color w:val="000000"/>
          <w:spacing w:val="0"/>
          <w:sz w:val="24"/>
          <w:szCs w:val="24"/>
          <w:highlight w:val="none"/>
          <w:lang w:val="en-US" w:eastAsia="zh-CN"/>
        </w:rPr>
      </w:r>
      <w:r/>
    </w:p>
    <w:p>
      <w:pPr>
        <w:pStyle w:val="989"/>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b w:val="0"/>
          <w:bCs w:val="0"/>
          <w:color w:val="000000"/>
          <w:spacing w:val="0"/>
          <w:sz w:val="24"/>
          <w:szCs w:val="24"/>
          <w:highlight w:val="none"/>
          <w:lang w:val="en-US" w:eastAsia="zh-CN"/>
        </w:rPr>
        <w:t xml:space="preserve">（二）</w:t>
      </w:r>
      <w:r>
        <w:rPr>
          <w:rFonts w:hint="eastAsia" w:ascii="宋体" w:hAnsi="宋体" w:eastAsia="宋体" w:cs="宋体"/>
          <w:caps w:val="0"/>
          <w:color w:val="000000"/>
          <w:sz w:val="24"/>
          <w:szCs w:val="24"/>
          <w:highlight w:val="none"/>
        </w:rPr>
        <w:t xml:space="preserve">预算金额：</w:t>
      </w:r>
      <w:r>
        <w:rPr>
          <w:rFonts w:hint="eastAsia" w:ascii="宋体" w:hAnsi="宋体" w:eastAsia="宋体" w:cs="宋体"/>
          <w:caps w:val="0"/>
          <w:color w:val="000000"/>
          <w:sz w:val="24"/>
          <w:szCs w:val="24"/>
          <w:highlight w:val="none"/>
          <w:lang w:val="en-US" w:eastAsia="zh-CN"/>
        </w:rPr>
        <w:t xml:space="preserve">270万元</w:t>
      </w:r>
      <w:r>
        <w:rPr>
          <w:rFonts w:hint="eastAsia" w:ascii="宋体" w:hAnsi="宋体" w:eastAsia="宋体" w:cs="宋体"/>
          <w:caps w:val="0"/>
          <w:color w:val="000000"/>
          <w:sz w:val="24"/>
          <w:szCs w:val="24"/>
          <w:highlight w:val="none"/>
          <w:lang w:val="en-US" w:eastAsia="zh-CN"/>
        </w:rPr>
      </w:r>
      <w:r/>
    </w:p>
    <w:p>
      <w:pPr>
        <w:pStyle w:val="989"/>
        <w:ind w:left="0" w:firstLine="480"/>
        <w:keepLines w:val="0"/>
        <w:keepNext w:val="0"/>
        <w:pageBreakBefore w:val="0"/>
        <w:spacing w:line="560" w:lineRule="exact"/>
        <w:widowControl w:val="off"/>
        <w:rPr>
          <w:rFonts w:hint="eastAsia" w:ascii="宋体" w:hAnsi="宋体" w:eastAsia="宋体" w:cs="宋体"/>
          <w:b/>
          <w:bCs/>
          <w:caps w:val="0"/>
          <w:color w:val="ff0000"/>
          <w:sz w:val="24"/>
          <w:szCs w:val="24"/>
          <w:highlight w:val="none"/>
        </w:rPr>
        <w:outlineLvl w:val="9"/>
      </w:pPr>
      <w:r>
        <w:rPr>
          <w:rFonts w:hint="eastAsia" w:ascii="宋体" w:hAnsi="宋体" w:eastAsia="宋体" w:cs="宋体"/>
          <w:b/>
          <w:bCs/>
          <w:color w:val="ff0000"/>
          <w:spacing w:val="0"/>
          <w:sz w:val="24"/>
          <w:szCs w:val="24"/>
          <w:highlight w:val="none"/>
          <w:lang w:val="en-US" w:eastAsia="zh-CN"/>
        </w:rPr>
        <w:t xml:space="preserve">（三）</w:t>
      </w:r>
      <w:r>
        <w:rPr>
          <w:rFonts w:hint="eastAsia" w:ascii="宋体" w:hAnsi="宋体" w:eastAsia="宋体" w:cs="宋体"/>
          <w:b/>
          <w:bCs/>
          <w:caps w:val="0"/>
          <w:color w:val="ff0000"/>
          <w:sz w:val="24"/>
          <w:szCs w:val="24"/>
          <w:highlight w:val="none"/>
        </w:rPr>
        <w:t xml:space="preserve">本项目设定最高限价</w:t>
      </w:r>
      <w:r>
        <w:rPr>
          <w:rFonts w:hint="eastAsia" w:ascii="宋体" w:hAnsi="宋体" w:eastAsia="宋体" w:cs="宋体"/>
          <w:b/>
          <w:bCs/>
          <w:caps w:val="0"/>
          <w:color w:val="ff0000"/>
          <w:sz w:val="24"/>
          <w:szCs w:val="24"/>
          <w:highlight w:val="none"/>
          <w:lang w:eastAsia="zh-CN"/>
        </w:rPr>
        <w:t xml:space="preserve">，最高限价为</w:t>
      </w:r>
      <w:r>
        <w:rPr>
          <w:rFonts w:hint="eastAsia" w:ascii="宋体" w:hAnsi="宋体" w:eastAsia="宋体" w:cs="宋体"/>
          <w:b/>
          <w:bCs/>
          <w:caps w:val="0"/>
          <w:color w:val="ff0000"/>
          <w:sz w:val="24"/>
          <w:szCs w:val="24"/>
          <w:highlight w:val="none"/>
          <w:lang w:val="en-US" w:eastAsia="zh-CN"/>
        </w:rPr>
        <w:t xml:space="preserve">270万元（</w:t>
      </w:r>
      <w:r>
        <w:rPr>
          <w:rFonts w:hint="eastAsia" w:ascii="Times New Roman" w:hAnsi="Times New Roman" w:eastAsia="宋体" w:cs="仿宋"/>
          <w:b/>
          <w:bCs/>
          <w:color w:val="ff0000"/>
          <w:sz w:val="24"/>
          <w:szCs w:val="24"/>
          <w:highlight w:val="none"/>
          <w:lang w:val="en-US" w:eastAsia="zh-CN"/>
        </w:rPr>
        <w:t xml:space="preserve">90万/年</w:t>
      </w:r>
      <w:r>
        <w:rPr>
          <w:rFonts w:hint="eastAsia" w:ascii="宋体" w:hAnsi="宋体" w:eastAsia="宋体" w:cs="宋体"/>
          <w:b/>
          <w:bCs/>
          <w:caps w:val="0"/>
          <w:color w:val="ff0000"/>
          <w:sz w:val="24"/>
          <w:szCs w:val="24"/>
          <w:highlight w:val="none"/>
          <w:lang w:val="en-US" w:eastAsia="zh-CN"/>
        </w:rPr>
        <w:t xml:space="preserve">），高于此限价作无效标处理。（注：默认年度服务费为270/3=</w:t>
      </w:r>
      <w:r>
        <w:rPr>
          <w:rFonts w:hint="eastAsia" w:ascii="Times New Roman" w:hAnsi="Times New Roman" w:eastAsia="宋体" w:cs="仿宋"/>
          <w:b/>
          <w:bCs/>
          <w:color w:val="ff0000"/>
          <w:sz w:val="24"/>
          <w:szCs w:val="24"/>
          <w:highlight w:val="none"/>
          <w:lang w:val="en-US" w:eastAsia="zh-CN"/>
        </w:rPr>
        <w:t xml:space="preserve">90万/年，续签合同价为年度服务费</w:t>
      </w:r>
      <w:r>
        <w:rPr>
          <w:rFonts w:hint="eastAsia" w:ascii="宋体" w:hAnsi="宋体" w:eastAsia="宋体" w:cs="宋体"/>
          <w:b/>
          <w:bCs/>
          <w:caps w:val="0"/>
          <w:color w:val="ff0000"/>
          <w:sz w:val="24"/>
          <w:szCs w:val="24"/>
          <w:highlight w:val="none"/>
          <w:lang w:val="en-US" w:eastAsia="zh-CN"/>
        </w:rPr>
        <w:t xml:space="preserve">）</w:t>
      </w:r>
      <w:r>
        <w:rPr>
          <w:rFonts w:hint="eastAsia" w:ascii="宋体" w:hAnsi="宋体" w:eastAsia="宋体" w:cs="宋体"/>
          <w:b/>
          <w:bCs/>
          <w:caps w:val="0"/>
          <w:color w:val="ff0000"/>
          <w:sz w:val="24"/>
          <w:szCs w:val="24"/>
          <w:highlight w:val="none"/>
        </w:rPr>
        <w:t xml:space="preserve">。</w:t>
      </w:r>
      <w:r>
        <w:rPr>
          <w:rFonts w:hint="eastAsia" w:ascii="宋体" w:hAnsi="宋体" w:eastAsia="宋体" w:cs="宋体"/>
          <w:b/>
          <w:bCs/>
          <w:caps w:val="0"/>
          <w:color w:val="ff0000"/>
          <w:sz w:val="24"/>
          <w:szCs w:val="24"/>
          <w:highlight w:val="none"/>
        </w:rPr>
      </w:r>
      <w:r/>
    </w:p>
    <w:p>
      <w:pPr>
        <w:pStyle w:val="989"/>
        <w:numPr>
          <w:ilvl w:val="0"/>
          <w:numId w:val="0"/>
        </w:numPr>
        <w:ind w:firstLine="482"/>
        <w:jc w:val="left"/>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二、合同履行期限：</w:t>
      </w:r>
      <w:r>
        <w:rPr>
          <w:rFonts w:hint="eastAsia" w:ascii="宋体" w:hAnsi="宋体" w:eastAsia="宋体" w:cs="宋体"/>
          <w:caps w:val="0"/>
          <w:color w:val="000000"/>
          <w:sz w:val="24"/>
          <w:szCs w:val="24"/>
          <w:highlight w:val="none"/>
          <w:lang w:val="en-US" w:eastAsia="zh-CN"/>
        </w:rPr>
        <w:t xml:space="preserve">3年（合同1年1签，每年度考核合格方可继续履行合同，考核不合格，采购人有权不再续签合同）</w:t>
      </w:r>
      <w:r>
        <w:rPr>
          <w:rFonts w:hint="eastAsia" w:ascii="宋体" w:hAnsi="宋体" w:eastAsia="宋体" w:cs="宋体"/>
          <w:color w:val="000000"/>
          <w:sz w:val="24"/>
          <w:szCs w:val="24"/>
          <w:highlight w:val="none"/>
          <w:lang w:val="en-US" w:eastAsia="zh-CN"/>
        </w:rPr>
        <w:t xml:space="preserve">考核标准详见合同附件。</w:t>
      </w:r>
      <w:r>
        <w:rPr>
          <w:rFonts w:hint="eastAsia" w:ascii="宋体" w:hAnsi="宋体" w:eastAsia="宋体" w:cs="宋体"/>
          <w:caps w:val="0"/>
          <w:color w:val="000000"/>
          <w:sz w:val="24"/>
          <w:szCs w:val="24"/>
          <w:highlight w:val="none"/>
          <w:lang w:val="en-US" w:eastAsia="zh-CN"/>
        </w:rPr>
      </w:r>
      <w:r/>
    </w:p>
    <w:p>
      <w:pPr>
        <w:pStyle w:val="989"/>
        <w:numPr>
          <w:ilvl w:val="0"/>
          <w:numId w:val="0"/>
        </w:numPr>
        <w:ind w:left="0" w:firstLine="48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outlineLvl w:val="9"/>
      </w:pPr>
      <w:r>
        <w:rPr>
          <w:rFonts w:hint="eastAsia" w:ascii="宋体" w:hAnsi="宋体" w:eastAsia="宋体" w:cs="宋体"/>
          <w:caps w:val="0"/>
          <w:color w:val="000000"/>
          <w:sz w:val="24"/>
          <w:szCs w:val="24"/>
          <w:highlight w:val="none"/>
        </w:rPr>
        <w:t xml:space="preserve">注：合同服务期开始时间为中标机构实际进驻时间开始</w:t>
      </w:r>
      <w:r>
        <w:rPr>
          <w:rFonts w:hint="eastAsia" w:ascii="宋体" w:hAnsi="宋体" w:eastAsia="宋体" w:cs="宋体"/>
          <w:caps w:val="0"/>
          <w:color w:val="000000"/>
          <w:sz w:val="24"/>
          <w:szCs w:val="24"/>
          <w:highlight w:val="none"/>
          <w:lang w:val="en-US" w:eastAsia="zh-CN"/>
        </w:rPr>
        <w:t xml:space="preserve">计</w:t>
      </w:r>
      <w:r>
        <w:rPr>
          <w:rFonts w:hint="eastAsia" w:ascii="宋体" w:hAnsi="宋体" w:eastAsia="宋体" w:cs="宋体"/>
          <w:caps w:val="0"/>
          <w:color w:val="000000"/>
          <w:sz w:val="24"/>
          <w:szCs w:val="24"/>
          <w:highlight w:val="none"/>
        </w:rPr>
        <w:t xml:space="preserve">算，以采购人发出的进驻通知单为准。</w:t>
      </w:r>
      <w:r>
        <w:rPr>
          <w:rFonts w:hint="eastAsia" w:ascii="方正仿宋_GB2312" w:hAnsi="方正仿宋_GB2312" w:eastAsia="方正仿宋_GB2312" w:cs="方正仿宋_GB2312"/>
          <w:color w:val="000000"/>
          <w:sz w:val="32"/>
          <w:szCs w:val="32"/>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三、核心医疗服务内容要求</w: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（一）日常诊疗服务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托管机构须依法持证执业，医护人员资质齐全、相对稳定，严格执行首诊负责、医疗核心制度，规范开展常见病、多发病诊治、基础护理及外伤处置，做好病历与就诊登记。及时处置急危重症并规范转诊。落实传染病监测报告、健康宣教、消毒隔离及医疗废物规范处置。药品耗材合法采购、合理使用，杜绝过期及违规用药。服从学校统一管理，严守医疗安全，保护师生隐私，接受监督考核，确保服务规范高效。</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（二）急诊应急及转诊服务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建立完善的急诊急救转诊预案，配备专业急救用品，对校园突发急症、外伤、休克等病患第一时间开展初步急救处置；同步启动转诊流程，利用自身医院及周边上级医院绿色通道，快速、安全完成重症病患转诊，全程做好对接，保障救治及时性。</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（三）健康体检服务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中标机构需依托自身体检资质及设备，全面承接宿迁学院新校区师生入学体检、年度体检、专项健康体检等服务，制定科学合理的体检套餐，出具规范体检报告，提供体检结果解读、健康指导、健康档案建立等配套服务，体检流程便捷、收费合理，贴合校园师生需求。新生体检严格遵循体检标准“</w:t>
      </w:r>
      <w:r>
        <w:rPr>
          <w:rFonts w:hint="eastAsia" w:ascii="宋体" w:hAnsi="宋体" w:eastAsia="宋体" w:cs="宋体"/>
          <w:b w:val="0"/>
          <w:bCs w:val="0"/>
          <w:color w:val="000000"/>
          <w:spacing w:val="0"/>
          <w:sz w:val="24"/>
          <w:szCs w:val="24"/>
          <w:highlight w:val="none"/>
          <w:lang w:val="en-US" w:eastAsia="zh-CN"/>
        </w:rPr>
        <w:t xml:space="preserve">苏教体艺[2018]8号</w:t>
      </w:r>
      <w:r>
        <w:rPr>
          <w:rFonts w:hint="eastAsia" w:ascii="宋体" w:hAnsi="宋体" w:eastAsia="宋体" w:cs="宋体"/>
          <w:b w:val="0"/>
          <w:bCs w:val="0"/>
          <w:color w:val="000000"/>
          <w:spacing w:val="0"/>
          <w:sz w:val="24"/>
          <w:szCs w:val="24"/>
          <w:highlight w:val="none"/>
          <w:lang w:val="en-US" w:eastAsia="zh-CN"/>
        </w:rPr>
        <w:t xml:space="preserve">”。</w:t>
      </w:r>
      <w:r>
        <mc:AlternateContent>
          <mc:Choice Requires="wpg">
            <w:drawing>
              <wp:inline xmlns:wp="http://schemas.openxmlformats.org/drawingml/2006/wordprocessingDrawing" distT="0" distB="0" distL="0" distR="0">
                <wp:extent cx="5600090" cy="695716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00090" cy="695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1.0pt;height:547.8pt;mso-wrap-distance-left:0.0pt;mso-wrap-distance-top:0.0pt;mso-wrap-distance-right:0.0pt;mso-wrap-distance-bottom:0.0pt;" stroked="f">
                <v:path textboxrect="0,0,0,0"/>
                <v:imagedata r:id="rId15" o:title=""/>
              </v:shape>
            </w:pict>
          </mc:Fallback>
        </mc:AlternateContent>
      </w:r>
      <w:r>
        <w:rPr>
          <w:rFonts w:ascii="宋体" w:hAnsi="宋体" w:eastAsia="宋体" w:cs="宋体"/>
          <w:b w:val="0"/>
          <w:bCs w:val="0"/>
          <w:color w:val="000000"/>
          <w:spacing w:val="0"/>
          <w:sz w:val="24"/>
          <w:szCs w:val="24"/>
          <w:highlight w:val="none"/>
          <w:lang w:val="en-US" w:eastAsia="zh-CN"/>
        </w:rPr>
      </w:r>
      <w:r/>
    </w:p>
    <w:p>
      <w:pPr>
        <w:pStyle w:val="989"/>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mc:AlternateContent>
          <mc:Choice Requires="wpg">
            <w:drawing>
              <wp:inline xmlns:wp="http://schemas.openxmlformats.org/drawingml/2006/wordprocessingDrawing" distT="0" distB="0" distL="0" distR="0">
                <wp:extent cx="5603240" cy="823170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03240" cy="82317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1.2pt;height:648.2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pacing w:val="0"/>
          <w:sz w:val="24"/>
          <w:szCs w:val="24"/>
          <w:highlight w:val="none"/>
          <w:lang w:val="en-US" w:eastAsia="zh-CN"/>
        </w:rPr>
      </w:r>
      <w:r/>
    </w:p>
    <w:p>
      <w:pPr>
        <w:pStyle w:val="989"/>
        <w:ind w:right="0"/>
        <w:jc w:val="left"/>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mc:AlternateContent>
          <mc:Choice Requires="wpg">
            <w:drawing>
              <wp:inline xmlns:wp="http://schemas.openxmlformats.org/drawingml/2006/wordprocessingDrawing" distT="0" distB="0" distL="0" distR="0">
                <wp:extent cx="5609374" cy="824095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09374" cy="8240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1.7pt;height:648.9pt;mso-wrap-distance-left:0.0pt;mso-wrap-distance-top:0.0pt;mso-wrap-distance-right:0.0pt;mso-wrap-distance-bottom:0.0pt;" stroked="f">
                <v:path textboxrect="0,0,0,0"/>
                <v:imagedata r:id="rId17" o:title=""/>
              </v:shape>
            </w:pict>
          </mc:Fallback>
        </mc:AlternateContent>
      </w:r>
      <w:r/>
    </w:p>
    <w:p>
      <w:pPr>
        <w:pStyle w:val="989"/>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r w:type="page" w:clear="all"/>
      </w:r>
      <w:r>
        <mc:AlternateContent>
          <mc:Choice Requires="wpg">
            <w:drawing>
              <wp:inline xmlns:wp="http://schemas.openxmlformats.org/drawingml/2006/wordprocessingDrawing" distT="0" distB="0" distL="0" distR="0">
                <wp:extent cx="5616296" cy="830369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16296" cy="830369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2.2pt;height:65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w:rPr>
          <w:rFonts w:hint="eastAsia" w:ascii="宋体" w:hAnsi="宋体" w:eastAsia="宋体" w:cs="宋体"/>
          <w:b/>
          <w:bCs/>
          <w:color w:val="000000"/>
          <w:spacing w:val="0"/>
          <w:sz w:val="24"/>
          <w:szCs w:val="24"/>
          <w:highlight w:val="none"/>
          <w:lang w:val="en-US" w:eastAsia="zh-CN"/>
        </w:rPr>
        <w:t xml:space="preserve">（四）学院大型活动医疗保障服务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保障范围：全面承担学校各类大型活动现场医疗保障，包括但不限于开学典礼、毕业典礼、运动会、军训、文艺汇演、体育赛事、大型考试、校外集体活动等。</w:t>
      </w:r>
      <w:r>
        <w:rPr>
          <w:rFonts w:hint="eastAsia" w:ascii="宋体" w:hAnsi="宋体" w:eastAsia="宋体" w:cs="宋体"/>
          <w:b w:val="0"/>
          <w:bCs w:val="0"/>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服务要求：现场提供医疗处置、健康咨询、轻症救治；遇突发重伤、急危重症立即实施现场急救，并快速启动院内绿色通道，无缝衔接转诊救治；保障结束后及时整理医疗保障台账，向学校报备。</w:t>
      </w:r>
      <w:r>
        <w:rPr>
          <w:rFonts w:hint="eastAsia" w:ascii="宋体" w:hAnsi="宋体" w:eastAsia="宋体" w:cs="宋体"/>
          <w:b w:val="0"/>
          <w:bCs w:val="0"/>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响应要求：学校提前通知即可安排，保障时间与活动全程同步，服从学校统一调度，保障零差错、零延误。</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（五）公共卫生服务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配合学校开展传染病预防监测、上报及防控宣教，建立师生健康档案，开展校园健康知识讲座、卫生防疫宣传，落实校园公共卫生管理要求。</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四、医护人员配置及服务时间要求</w: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（一）服务时间</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医务室实行</w:t>
      </w:r>
      <w:r>
        <w:rPr>
          <w:rFonts w:hint="eastAsia" w:ascii="宋体" w:hAnsi="宋体" w:eastAsia="宋体" w:cs="宋体"/>
          <w:b/>
          <w:bCs/>
          <w:color w:val="000000"/>
          <w:sz w:val="24"/>
          <w:szCs w:val="24"/>
          <w:highlight w:val="none"/>
          <w:lang w:val="en-US" w:eastAsia="zh-CN" w:bidi="ar"/>
        </w:rPr>
        <w:t xml:space="preserve">24 小时不间断诊疗服务</w:t>
      </w:r>
      <w:r>
        <w:rPr>
          <w:rFonts w:hint="eastAsia" w:ascii="宋体" w:hAnsi="宋体" w:eastAsia="宋体" w:cs="宋体"/>
          <w:color w:val="000000"/>
          <w:sz w:val="24"/>
          <w:szCs w:val="24"/>
          <w:highlight w:val="none"/>
          <w:lang w:val="en-US" w:eastAsia="zh-CN" w:bidi="ar"/>
        </w:rPr>
        <w:t xml:space="preserve">，无节假日、无休息日，全天候为师生提供医疗服务，保障师生随时就医需求。</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（二）人员配置</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所有上岗医护人员必须持有合法有效的执业资格证书、职称证书，持证上岗，无不良执业记录，经学校审核备案后方可上岗，职称要求：主治医生及以上，</w:t>
      </w:r>
      <w:r>
        <w:rPr>
          <w:rFonts w:hint="eastAsia" w:ascii="宋体" w:hAnsi="宋体" w:eastAsia="宋体" w:cs="宋体"/>
          <w:color w:val="000000"/>
          <w:sz w:val="24"/>
          <w:szCs w:val="24"/>
          <w:highlight w:val="none"/>
        </w:rPr>
        <w:t xml:space="preserve">主管</w:t>
      </w:r>
      <w:r>
        <w:rPr>
          <w:rFonts w:hint="eastAsia" w:ascii="宋体" w:hAnsi="宋体" w:eastAsia="宋体" w:cs="宋体"/>
          <w:color w:val="000000"/>
          <w:sz w:val="24"/>
          <w:szCs w:val="24"/>
          <w:highlight w:val="none"/>
          <w:lang w:val="en-US" w:eastAsia="zh-CN" w:bidi="ar"/>
        </w:rPr>
        <w:t xml:space="preserve">护师及以上。且人员配置严格按照以下标准执行：</w:t>
      </w:r>
      <w:r>
        <w:rPr>
          <w:rFonts w:hint="eastAsia" w:ascii="宋体" w:hAnsi="宋体" w:eastAsia="宋体" w:cs="宋体"/>
          <w:color w:val="000000"/>
          <w:sz w:val="24"/>
          <w:szCs w:val="24"/>
          <w:highlight w:val="none"/>
        </w:rPr>
      </w:r>
      <w:r/>
    </w:p>
    <w:p>
      <w:pPr>
        <w:pStyle w:val="989"/>
        <w:numPr>
          <w:ilvl w:val="0"/>
          <w:numId w:val="4"/>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白班</w:t>
      </w:r>
      <w:r>
        <w:rPr>
          <w:rFonts w:hint="eastAsia" w:ascii="宋体" w:hAnsi="宋体" w:eastAsia="宋体" w:cs="宋体"/>
          <w:color w:val="000000"/>
          <w:sz w:val="24"/>
          <w:szCs w:val="24"/>
          <w:highlight w:val="none"/>
        </w:rPr>
        <w:t xml:space="preserve">固定配置</w:t>
      </w:r>
      <w:r>
        <w:rPr>
          <w:rFonts w:hint="eastAsia" w:ascii="宋体" w:hAnsi="宋体" w:eastAsia="宋体" w:cs="宋体"/>
          <w:b/>
          <w:bCs/>
          <w:color w:val="000000"/>
          <w:sz w:val="24"/>
          <w:szCs w:val="24"/>
          <w:highlight w:val="none"/>
        </w:rPr>
        <w:t xml:space="preserve">2 名执业医师、2 名执业护士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夜班</w:t>
      </w:r>
      <w:r>
        <w:rPr>
          <w:rFonts w:hint="eastAsia" w:ascii="宋体" w:hAnsi="宋体" w:eastAsia="宋体" w:cs="宋体"/>
          <w:color w:val="000000"/>
          <w:sz w:val="24"/>
          <w:szCs w:val="24"/>
          <w:highlight w:val="none"/>
        </w:rPr>
        <w:t xml:space="preserve">固定配置</w:t>
      </w:r>
      <w:r>
        <w:rPr>
          <w:rFonts w:hint="eastAsia" w:ascii="宋体" w:hAnsi="宋体" w:eastAsia="宋体" w:cs="宋体"/>
          <w:b/>
          <w:bCs/>
          <w:color w:val="000000"/>
          <w:sz w:val="24"/>
          <w:szCs w:val="24"/>
          <w:highlight w:val="none"/>
        </w:rPr>
        <w:t xml:space="preserve">1 名执业医师、1 名执业护士</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9"/>
        <w:numPr>
          <w:ilvl w:val="0"/>
          <w:numId w:val="4"/>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医师需具备全科</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专科诊疗资质，护士需熟练掌握基础护理、急救操作、院感防控等技能，</w:t>
      </w:r>
      <w:r>
        <w:rPr>
          <w:rFonts w:hint="eastAsia" w:ascii="宋体" w:hAnsi="宋体" w:eastAsia="宋体" w:cs="宋体"/>
          <w:color w:val="000000"/>
          <w:sz w:val="24"/>
          <w:szCs w:val="24"/>
          <w:highlight w:val="none"/>
          <w:lang w:eastAsia="zh-CN"/>
        </w:rPr>
        <w:t xml:space="preserve">熟练掌握常用的药品名称、剂量、浓度、用法用量、禁忌及不良反应。</w:t>
      </w:r>
      <w:r>
        <w:rPr>
          <w:rFonts w:hint="eastAsia" w:ascii="宋体" w:hAnsi="宋体" w:eastAsia="宋体" w:cs="宋体"/>
          <w:color w:val="000000"/>
          <w:sz w:val="24"/>
          <w:szCs w:val="24"/>
          <w:highlight w:val="none"/>
        </w:rPr>
      </w:r>
      <w:r/>
    </w:p>
    <w:p>
      <w:pPr>
        <w:pStyle w:val="989"/>
        <w:numPr>
          <w:ilvl w:val="0"/>
          <w:numId w:val="4"/>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医护人员需具备丰富的急诊急救、突发外伤、急症处置经验，负责夜间突发疾病、外伤急救、初步处置及转诊对接工作。</w:t>
      </w:r>
      <w:r>
        <w:rPr>
          <w:rFonts w:hint="eastAsia" w:ascii="宋体" w:hAnsi="宋体" w:eastAsia="宋体" w:cs="宋体"/>
          <w:color w:val="000000"/>
          <w:sz w:val="24"/>
          <w:szCs w:val="24"/>
          <w:highlight w:val="none"/>
        </w:rPr>
      </w:r>
      <w:r/>
    </w:p>
    <w:p>
      <w:pPr>
        <w:pStyle w:val="989"/>
        <w:numPr>
          <w:ilvl w:val="0"/>
          <w:numId w:val="4"/>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需配备专科循环坐诊医师，所有医护人员需遵守学校校园管理规章制度，服从学校后勤、卫生管理部门的监督管理，定期参与校园公共卫生培训、应急急救演练。</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五、诊疗科室设置及循环坐诊要求</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中标医疗机构需按照以下科室设置，安排对应专业资质医师</w:t>
      </w:r>
      <w:r>
        <w:rPr>
          <w:rFonts w:hint="eastAsia" w:ascii="宋体" w:hAnsi="宋体" w:eastAsia="宋体" w:cs="宋体"/>
          <w:b/>
          <w:bCs/>
          <w:color w:val="000000"/>
          <w:sz w:val="24"/>
          <w:szCs w:val="24"/>
          <w:highlight w:val="none"/>
          <w:lang w:val="en-US" w:eastAsia="zh-CN" w:bidi="ar"/>
        </w:rPr>
        <w:t xml:space="preserve">定期循环坐诊</w:t>
      </w:r>
      <w:r>
        <w:rPr>
          <w:rFonts w:hint="eastAsia" w:ascii="宋体" w:hAnsi="宋体" w:eastAsia="宋体" w:cs="宋体"/>
          <w:color w:val="000000"/>
          <w:sz w:val="24"/>
          <w:szCs w:val="24"/>
          <w:highlight w:val="none"/>
          <w:lang w:val="en-US" w:eastAsia="zh-CN" w:bidi="ar"/>
        </w:rPr>
        <w:t xml:space="preserve">，全覆盖满足师生各类常见病、多发病诊疗需求，具体科室及服务范围如下：</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全科</w:t>
      </w:r>
      <w:r>
        <w:rPr>
          <w:rFonts w:hint="eastAsia" w:ascii="宋体" w:hAnsi="宋体" w:eastAsia="宋体" w:cs="宋体"/>
          <w:color w:val="000000"/>
          <w:sz w:val="24"/>
          <w:szCs w:val="24"/>
          <w:highlight w:val="none"/>
        </w:rPr>
        <w:t xml:space="preserve">：负责师生常见病、多发病的初步诊断、常规治疗、健康咨询、慢病初步管理、转诊初步评估等基础医疗服务，承担日常综合诊疗核心工作。</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内科（细分专科）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涵盖呼吸内科、消化内科、心血管内科、神经内科、</w:t>
      </w:r>
      <w:r>
        <w:rPr>
          <w:rFonts w:hint="eastAsia" w:ascii="宋体" w:hAnsi="宋体" w:eastAsia="宋体" w:cs="宋体"/>
          <w:color w:val="000000"/>
          <w:sz w:val="24"/>
          <w:szCs w:val="24"/>
          <w:highlight w:val="none"/>
          <w:lang w:eastAsia="zh-CN"/>
        </w:rPr>
        <w:t xml:space="preserve">内分泌科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肾内科等，</w:t>
      </w:r>
      <w:r>
        <w:rPr>
          <w:rFonts w:hint="eastAsia" w:ascii="宋体" w:hAnsi="宋体" w:eastAsia="宋体" w:cs="宋体"/>
          <w:color w:val="000000"/>
          <w:sz w:val="24"/>
          <w:szCs w:val="24"/>
          <w:highlight w:val="none"/>
        </w:rPr>
        <w:t xml:space="preserve">针</w:t>
      </w:r>
      <w:r>
        <w:rPr>
          <w:rFonts w:hint="eastAsia" w:ascii="宋体" w:hAnsi="宋体" w:eastAsia="宋体" w:cs="宋体"/>
          <w:color w:val="000000"/>
          <w:sz w:val="24"/>
          <w:szCs w:val="24"/>
          <w:highlight w:val="none"/>
        </w:rPr>
        <w:t xml:space="preserve">对感冒、肺炎、肠胃炎、高血压、头痛头晕、血糖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尿酸</w:t>
      </w:r>
      <w:r>
        <w:rPr>
          <w:rFonts w:hint="eastAsia" w:ascii="宋体" w:hAnsi="宋体" w:eastAsia="宋体" w:cs="宋体"/>
          <w:color w:val="000000"/>
          <w:sz w:val="24"/>
          <w:szCs w:val="24"/>
          <w:highlight w:val="none"/>
        </w:rPr>
        <w:t xml:space="preserve">异常等内科各类病症开展专业诊疗、症状缓解、病情监测服务。</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外科（细分专科）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涵盖普通外科、骨科、泌尿外科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神经外科、胸外科</w:t>
      </w:r>
      <w:r>
        <w:rPr>
          <w:rFonts w:hint="eastAsia" w:ascii="宋体" w:hAnsi="宋体" w:eastAsia="宋体" w:cs="宋体"/>
          <w:color w:val="000000"/>
          <w:sz w:val="24"/>
          <w:szCs w:val="24"/>
          <w:highlight w:val="none"/>
        </w:rPr>
        <w:t xml:space="preserve">，负责浅表伤口清创缝合、皮肤软组织损伤、关节扭伤、骨折初步固定、泌尿系统轻症等外科病症处置，开展简单外科小操作。</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妇科</w:t>
      </w:r>
      <w:r>
        <w:rPr>
          <w:rFonts w:hint="eastAsia" w:ascii="宋体" w:hAnsi="宋体" w:eastAsia="宋体" w:cs="宋体"/>
          <w:color w:val="000000"/>
          <w:sz w:val="24"/>
          <w:szCs w:val="24"/>
          <w:highlight w:val="none"/>
        </w:rPr>
        <w:t xml:space="preserve">：为女性师生提供常见妇科疾病诊疗、经期保健指导、妇科健康咨询、轻症妇科问题处置服务，疑难病症及时对接转诊。</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五官科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涵盖眼科、耳鼻喉科、口腔科，负责结膜炎、干眼症、鼻炎、咽炎、扁桃体炎、口腔溃疡、牙痛等常见五官科病症初步诊疗与处理。</w:t>
      </w:r>
      <w:r>
        <w:rPr>
          <w:rFonts w:hint="eastAsia" w:ascii="宋体" w:hAnsi="宋体" w:eastAsia="宋体" w:cs="宋体"/>
          <w:color w:val="000000"/>
          <w:sz w:val="24"/>
          <w:szCs w:val="24"/>
          <w:highlight w:val="none"/>
        </w:rPr>
      </w:r>
      <w:r/>
    </w:p>
    <w:p>
      <w:pPr>
        <w:pStyle w:val="989"/>
        <w:numPr>
          <w:ilvl w:val="0"/>
          <w:numId w:val="5"/>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康复科</w:t>
      </w:r>
      <w:r>
        <w:rPr>
          <w:rFonts w:hint="eastAsia" w:ascii="宋体" w:hAnsi="宋体" w:eastAsia="宋体" w:cs="宋体"/>
          <w:color w:val="000000"/>
          <w:sz w:val="24"/>
          <w:szCs w:val="24"/>
          <w:highlight w:val="none"/>
        </w:rPr>
        <w:t xml:space="preserve">：针对师生运动损伤、肌肉劳损、关节疼痛、颈椎腰椎不适等问题，提供康复理疗、按摩、康复指导、疼痛缓解等服务。</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六、医疗设备权责及配置要求</w:t>
      </w:r>
      <w:r>
        <w:rPr>
          <w:rFonts w:hint="eastAsia" w:ascii="宋体" w:hAnsi="宋体" w:eastAsia="宋体" w:cs="宋体"/>
          <w:b/>
          <w:bCs/>
          <w:color w:val="000000"/>
          <w:spacing w:val="0"/>
          <w:sz w:val="24"/>
          <w:szCs w:val="24"/>
          <w:highlight w:val="none"/>
          <w:lang w:val="en-US" w:eastAsia="zh-CN"/>
        </w:rPr>
      </w:r>
      <w:r/>
    </w:p>
    <w:p>
      <w:pPr>
        <w:pStyle w:val="989"/>
        <w:numPr>
          <w:ilvl w:val="0"/>
          <w:numId w:val="6"/>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宿迁学院提供设备</w:t>
      </w:r>
      <w:r>
        <w:rPr>
          <w:rFonts w:hint="eastAsia" w:ascii="宋体" w:hAnsi="宋体" w:eastAsia="宋体" w:cs="宋体"/>
          <w:color w:val="000000"/>
          <w:sz w:val="24"/>
          <w:szCs w:val="24"/>
          <w:highlight w:val="none"/>
        </w:rPr>
        <w:t xml:space="preserve">：学校为医务室配备基础医疗及办公设备，包含治疗车、抢救车、病床推车、诊疗床、办公桌椅、电脑、打印机、基础储物柜等，负责该类设备的初始投放，中标机构负责日常使用、维护、清洁及保管，确保设备完好。</w:t>
      </w:r>
      <w:r>
        <w:rPr>
          <w:rFonts w:hint="eastAsia" w:ascii="宋体" w:hAnsi="宋体" w:eastAsia="宋体" w:cs="宋体"/>
          <w:color w:val="000000"/>
          <w:sz w:val="24"/>
          <w:szCs w:val="24"/>
          <w:highlight w:val="none"/>
        </w:rPr>
      </w:r>
      <w:r/>
    </w:p>
    <w:p>
      <w:pPr>
        <w:pStyle w:val="989"/>
        <w:numPr>
          <w:ilvl w:val="0"/>
          <w:numId w:val="6"/>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中标医疗机构提供设备</w:t>
      </w:r>
      <w:r>
        <w:rPr>
          <w:rFonts w:hint="eastAsia" w:ascii="宋体" w:hAnsi="宋体" w:eastAsia="宋体" w:cs="宋体"/>
          <w:b/>
          <w:bCs/>
          <w:color w:val="000000"/>
          <w:sz w:val="24"/>
          <w:szCs w:val="24"/>
          <w:highlight w:val="none"/>
          <w:lang w:val="en-US" w:eastAsia="zh-CN"/>
        </w:rPr>
        <w:t xml:space="preserve">清单</w:t>
      </w:r>
      <w:r>
        <w:rPr>
          <w:rFonts w:hint="eastAsia" w:ascii="宋体" w:hAnsi="宋体" w:eastAsia="宋体" w:cs="宋体"/>
          <w:color w:val="000000"/>
          <w:sz w:val="24"/>
          <w:szCs w:val="24"/>
          <w:highlight w:val="none"/>
        </w:rPr>
        <w:t xml:space="preserve">：除学校提供的基础设备外，医务室开展各专科诊疗、急诊急救、健康体检、院感防控等所需的</w:t>
      </w:r>
      <w:r>
        <w:rPr>
          <w:rFonts w:hint="eastAsia" w:ascii="宋体" w:hAnsi="宋体" w:eastAsia="宋体" w:cs="宋体"/>
          <w:b/>
          <w:bCs/>
          <w:color w:val="000000"/>
          <w:sz w:val="24"/>
          <w:szCs w:val="24"/>
          <w:highlight w:val="none"/>
        </w:rPr>
        <w:t xml:space="preserve">所有特殊医疗设备、专业诊疗设备、急救设备、体检设备、医用耗材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en-US" w:eastAsia="zh-CN"/>
        </w:rPr>
        <w:t xml:space="preserve">清单见下表</w:t>
      </w:r>
      <w:r>
        <w:rPr>
          <w:rFonts w:hint="eastAsia" w:ascii="宋体" w:hAnsi="宋体" w:eastAsia="宋体" w:cs="宋体"/>
          <w:b/>
          <w:bCs/>
          <w:color w:val="000000"/>
          <w:sz w:val="24"/>
          <w:szCs w:val="24"/>
          <w:highlight w:val="none"/>
          <w:lang w:val="en-US" w:eastAsia="zh-CN"/>
        </w:rPr>
        <w:t xml:space="preserve">，提供设备购买发票或资产清单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，均由中标医疗机构全额投入、配备、运维及更新，设备需符合国家医疗设备安全标准，满足日常诊疗及体检工作需求。</w:t>
      </w:r>
      <w:r>
        <w:rPr>
          <w:rFonts w:hint="eastAsia" w:ascii="宋体" w:hAnsi="宋体" w:eastAsia="宋体" w:cs="宋体"/>
          <w:color w:val="000000"/>
          <w:sz w:val="24"/>
          <w:szCs w:val="24"/>
          <w:highlight w:val="none"/>
        </w:rPr>
      </w:r>
      <w:r/>
    </w:p>
    <w:p>
      <w:pPr>
        <w:pStyle w:val="989"/>
        <w:numPr>
          <w:ilvl w:val="0"/>
          <w:numId w:val="0"/>
        </w:num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医疗机构</w:t>
      </w:r>
      <w:r>
        <w:rPr>
          <w:rFonts w:hint="eastAsia" w:ascii="宋体" w:hAnsi="宋体" w:eastAsia="宋体" w:cs="宋体"/>
          <w:b/>
          <w:bCs/>
          <w:color w:val="000000"/>
          <w:sz w:val="24"/>
          <w:szCs w:val="24"/>
          <w:highlight w:val="none"/>
          <w:lang w:val="en-US" w:eastAsia="zh-CN"/>
        </w:rPr>
        <w:t xml:space="preserve">需</w:t>
      </w:r>
      <w:r>
        <w:rPr>
          <w:rFonts w:hint="eastAsia" w:ascii="宋体" w:hAnsi="宋体" w:eastAsia="宋体" w:cs="宋体"/>
          <w:b/>
          <w:bCs/>
          <w:color w:val="000000"/>
          <w:sz w:val="24"/>
          <w:szCs w:val="24"/>
          <w:highlight w:val="none"/>
        </w:rPr>
        <w:t xml:space="preserve">提供设备</w:t>
      </w:r>
      <w:r>
        <w:rPr>
          <w:rFonts w:hint="eastAsia" w:ascii="宋体" w:hAnsi="宋体" w:eastAsia="宋体" w:cs="宋体"/>
          <w:b/>
          <w:bCs/>
          <w:color w:val="000000"/>
          <w:sz w:val="24"/>
          <w:szCs w:val="24"/>
          <w:highlight w:val="none"/>
          <w:lang w:val="en-US" w:eastAsia="zh-CN"/>
        </w:rPr>
        <w:t xml:space="preserve">清单</w:t>
      </w:r>
      <w:r>
        <w:rPr>
          <w:rFonts w:hint="eastAsia" w:ascii="宋体" w:hAnsi="宋体" w:eastAsia="宋体" w:cs="宋体"/>
          <w:color w:val="000000"/>
          <w:sz w:val="24"/>
          <w:szCs w:val="24"/>
          <w:highlight w:val="none"/>
        </w:rPr>
      </w:r>
      <w:r/>
    </w:p>
    <w:tbl>
      <w:tblPr>
        <w:tblW w:w="905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2"/>
        <w:gridCol w:w="3329"/>
        <w:gridCol w:w="892"/>
        <w:gridCol w:w="4036"/>
      </w:tblGrid>
      <w:tr>
        <w:trPr>
          <w:trHeight w:val="333"/>
        </w:trPr>
        <w:tc>
          <w:tcPr>
            <w:tcW w:w="1044"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0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rPr>
                <w:rFonts w:hint="eastAsia" w:ascii="宋体" w:hAnsi="宋体" w:eastAsia="宋体" w:cs="宋体"/>
                <w:i w:val="0"/>
                <w:iCs w:val="0"/>
                <w:color w:val="000000"/>
                <w:sz w:val="24"/>
                <w:szCs w:val="24"/>
                <w:u w:val="none"/>
              </w:rPr>
            </w:r>
            <w:r/>
          </w:p>
        </w:tc>
        <w:tc>
          <w:tcPr>
            <w:tcW w:w="1044"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294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MRI</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全自动化学发光分析仪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X射线计算机体层摄影设备(CT)</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全自动凝血分析仪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悬吊DR</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糖化血红蛋白分析仪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移动DR</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白带分析仪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胃肠机</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高压蒸汽灭菌锅</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数字化乳腺钼靶X线摄影设备(DBT)</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血沉仪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彩超机</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输液泵</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动脉硬化检测仪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肺功能检测仪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心脏起搏除颤仪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超声经颅多普勒</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电子上消化道内窥镜</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双能射线骨密度仪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电子结肠内窥镜（高清）</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全自动粪便分析仪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心电监护仪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全自动尿液分析仪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心电图机</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全自动血细胞分析仪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康复理疗设备1</w:t>
            </w:r>
            <w:r>
              <w:rPr>
                <w:rFonts w:ascii="宋体" w:hAnsi="宋体" w:eastAsia="宋体" w:cs="宋体"/>
                <w:i w:val="0"/>
                <w:iCs w:val="0"/>
                <w:color w:val="000000"/>
                <w:sz w:val="24"/>
                <w:szCs w:val="24"/>
                <w:u w:val="none"/>
                <w:lang w:val="en-US" w:eastAsia="zh-CN"/>
              </w:rPr>
            </w:r>
            <w:r/>
          </w:p>
        </w:tc>
      </w:tr>
      <w:tr>
        <w:trPr>
          <w:trHeight w:val="341"/>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全自动生化分析仪 </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康复理疗设备2（29和30项不得是同一种）</w:t>
            </w:r>
            <w:r>
              <w:rPr>
                <w:rFonts w:hint="eastAsia" w:ascii="宋体" w:hAnsi="宋体" w:eastAsia="宋体" w:cs="宋体"/>
                <w:i w:val="0"/>
                <w:iCs w:val="0"/>
                <w:color w:val="000000"/>
                <w:sz w:val="24"/>
                <w:szCs w:val="24"/>
                <w:u w:val="none"/>
              </w:rPr>
            </w:r>
            <w:r/>
          </w:p>
        </w:tc>
      </w:tr>
    </w:tbl>
    <w:p>
      <w:pPr>
        <w:pStyle w:val="989"/>
        <w:numPr>
          <w:ilvl w:val="0"/>
          <w:numId w:val="6"/>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所有医疗设备需定期校准、维护，建立完善的设备管理台账，确保设备正常运行，保障诊疗、急救、体检工作安全开展。</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七、药品及医保服务要求</w:t>
      </w:r>
      <w:r>
        <w:rPr>
          <w:rFonts w:hint="eastAsia" w:ascii="宋体" w:hAnsi="宋体" w:eastAsia="宋体" w:cs="宋体"/>
          <w:b/>
          <w:bCs/>
          <w:color w:val="000000"/>
          <w:spacing w:val="0"/>
          <w:sz w:val="24"/>
          <w:szCs w:val="24"/>
          <w:highlight w:val="none"/>
          <w:lang w:val="en-US" w:eastAsia="zh-CN"/>
        </w:rPr>
      </w:r>
      <w:r/>
    </w:p>
    <w:p>
      <w:pPr>
        <w:pStyle w:val="989"/>
        <w:numPr>
          <w:ilvl w:val="0"/>
          <w:numId w:val="7"/>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药品供应与定价</w:t>
      </w:r>
      <w:r>
        <w:rPr>
          <w:rFonts w:hint="eastAsia" w:ascii="宋体" w:hAnsi="宋体" w:eastAsia="宋体" w:cs="宋体"/>
          <w:color w:val="000000"/>
          <w:sz w:val="24"/>
          <w:szCs w:val="24"/>
          <w:highlight w:val="none"/>
        </w:rPr>
        <w:t xml:space="preserve">：医务室所有临床使用药品，</w:t>
      </w:r>
      <w:r>
        <w:rPr>
          <w:rFonts w:hint="eastAsia" w:ascii="宋体" w:hAnsi="宋体" w:eastAsia="宋体" w:cs="宋体"/>
          <w:color w:val="000000"/>
          <w:sz w:val="24"/>
          <w:szCs w:val="24"/>
          <w:highlight w:val="none"/>
          <w:lang w:val="en-US" w:eastAsia="zh-CN"/>
        </w:rPr>
        <w:t xml:space="preserve">均需为</w:t>
      </w:r>
      <w:r>
        <w:rPr>
          <w:rFonts w:hint="eastAsia" w:ascii="宋体" w:hAnsi="宋体" w:eastAsia="宋体" w:cs="宋体"/>
          <w:b/>
          <w:bCs/>
          <w:color w:val="000000"/>
          <w:sz w:val="24"/>
          <w:szCs w:val="24"/>
          <w:highlight w:val="none"/>
        </w:rPr>
        <w:t xml:space="preserve">国家集中采购药品</w:t>
      </w:r>
      <w:r>
        <w:rPr>
          <w:rFonts w:hint="eastAsia" w:ascii="宋体" w:hAnsi="宋体" w:eastAsia="宋体" w:cs="宋体"/>
          <w:color w:val="000000"/>
          <w:sz w:val="24"/>
          <w:szCs w:val="24"/>
          <w:highlight w:val="none"/>
        </w:rPr>
        <w:t xml:space="preserve">，严格执行</w:t>
      </w:r>
      <w:r>
        <w:rPr>
          <w:rFonts w:hint="eastAsia" w:ascii="宋体" w:hAnsi="宋体" w:eastAsia="宋体" w:cs="宋体"/>
          <w:b/>
          <w:bCs/>
          <w:color w:val="000000"/>
          <w:sz w:val="24"/>
          <w:szCs w:val="24"/>
          <w:highlight w:val="none"/>
        </w:rPr>
        <w:t xml:space="preserve">药品零差价销售政策</w:t>
      </w:r>
      <w:r>
        <w:rPr>
          <w:rFonts w:hint="eastAsia" w:ascii="宋体" w:hAnsi="宋体" w:eastAsia="宋体" w:cs="宋体"/>
          <w:color w:val="000000"/>
          <w:sz w:val="24"/>
          <w:szCs w:val="24"/>
          <w:highlight w:val="none"/>
        </w:rPr>
        <w:t xml:space="preserve">，不加收任何额外费用，切实让利在校学生；药品储备充足、品类齐全，覆盖日常诊疗、急诊急救需求，药品质量合格、在有效期内，严禁使用过期、劣质药品。</w:t>
      </w:r>
      <w:r>
        <w:rPr>
          <w:rFonts w:hint="eastAsia" w:ascii="宋体" w:hAnsi="宋体" w:eastAsia="宋体" w:cs="宋体"/>
          <w:color w:val="000000"/>
          <w:sz w:val="24"/>
          <w:szCs w:val="24"/>
          <w:highlight w:val="none"/>
        </w:rPr>
      </w:r>
      <w:r/>
    </w:p>
    <w:p>
      <w:pPr>
        <w:pStyle w:val="989"/>
        <w:numPr>
          <w:ilvl w:val="0"/>
          <w:numId w:val="7"/>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医保报销服务</w:t>
      </w:r>
      <w:r>
        <w:rPr>
          <w:rFonts w:hint="eastAsia" w:ascii="宋体" w:hAnsi="宋体" w:eastAsia="宋体" w:cs="宋体"/>
          <w:color w:val="000000"/>
          <w:sz w:val="24"/>
          <w:szCs w:val="24"/>
          <w:highlight w:val="none"/>
        </w:rPr>
        <w:t xml:space="preserve">：开通医保实时结算系统，师生就诊购药、诊疗均可正常享受国家医保报销政策，严格执行医保药品目录、诊疗项目目录，规范医保结算流程，杜绝骗保、违规结算等行为，主动配合医保部门及学校开展医保核查工作。</w:t>
      </w:r>
      <w:r>
        <w:rPr>
          <w:rFonts w:hint="eastAsia" w:ascii="宋体" w:hAnsi="宋体" w:eastAsia="宋体" w:cs="宋体"/>
          <w:color w:val="000000"/>
          <w:sz w:val="24"/>
          <w:szCs w:val="24"/>
          <w:highlight w:val="none"/>
        </w:rPr>
      </w:r>
      <w:r/>
    </w:p>
    <w:p>
      <w:pPr>
        <w:pStyle w:val="989"/>
        <w:numPr>
          <w:ilvl w:val="0"/>
          <w:numId w:val="7"/>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药品管理</w:t>
      </w:r>
      <w:r>
        <w:rPr>
          <w:rFonts w:hint="eastAsia" w:ascii="宋体" w:hAnsi="宋体" w:eastAsia="宋体" w:cs="宋体"/>
          <w:color w:val="000000"/>
          <w:sz w:val="24"/>
          <w:szCs w:val="24"/>
          <w:highlight w:val="none"/>
        </w:rPr>
        <w:t xml:space="preserve">：建立完善的药品采购、储存、领用、盘点制度，做好药品恒温、防潮、避光储存，规范特殊药品管理，定期清理过期药品，保障师生用药安全。</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八、其他要求</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医护人员薪酬、药品及医用耗材采购费用、专业设备投入及运维费用、医疗废物处理费用</w:t>
      </w:r>
      <w:r>
        <w:rPr>
          <w:rFonts w:hint="eastAsia" w:ascii="宋体" w:hAnsi="宋体" w:eastAsia="宋体" w:cs="宋体"/>
          <w:b/>
          <w:bCs/>
          <w:color w:val="000000"/>
          <w:sz w:val="24"/>
          <w:szCs w:val="24"/>
          <w:highlight w:val="none"/>
          <w:lang w:val="en-US" w:eastAsia="zh-CN"/>
        </w:rPr>
        <w:t xml:space="preserve">由中标机构负责</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学校不再额外支付任何运营相关费用。</w:t>
      </w:r>
      <w:r>
        <w:rPr>
          <w:rFonts w:hint="eastAsia" w:ascii="宋体" w:hAnsi="宋体" w:eastAsia="宋体" w:cs="宋体"/>
          <w:color w:val="000000"/>
          <w:sz w:val="24"/>
          <w:szCs w:val="24"/>
          <w:highlight w:val="none"/>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中标医疗机构需按照学校财务管理制度，定期报送经费使用明细、药品采购清单、医保结算报表、服务台账等资料，接受学校财务、后勤管理部门的监督、审核与审计，确保经费使用规范、透明、合规。</w:t>
      </w:r>
      <w:r>
        <w:rPr>
          <w:rFonts w:hint="eastAsia" w:ascii="宋体" w:hAnsi="宋体" w:eastAsia="宋体" w:cs="宋体"/>
          <w:color w:val="000000"/>
          <w:sz w:val="24"/>
          <w:szCs w:val="24"/>
          <w:highlight w:val="none"/>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投标机构具备完善的医疗服务体系、急诊急救能力、健康体检资质及成熟的校园医疗服务经验，医疗质量、院感防控、医保管理均符合国家、宿迁市卫生健康部门及医保部门管理标准。</w:t>
      </w:r>
      <w:r>
        <w:rPr>
          <w:rFonts w:hint="eastAsia" w:ascii="宋体" w:hAnsi="宋体" w:eastAsia="宋体" w:cs="宋体"/>
          <w:color w:val="000000"/>
          <w:sz w:val="24"/>
          <w:szCs w:val="24"/>
          <w:highlight w:val="none"/>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trike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trike w:val="0"/>
          <w:color w:val="000000"/>
          <w:sz w:val="24"/>
          <w:szCs w:val="24"/>
          <w:highlight w:val="none"/>
          <w:lang w:val="en-US" w:eastAsia="zh-CN"/>
        </w:rPr>
        <w:t xml:space="preserve">★4.中标单位</w:t>
      </w:r>
      <w:r>
        <w:rPr>
          <w:rFonts w:hint="eastAsia" w:ascii="宋体" w:hAnsi="宋体" w:eastAsia="宋体" w:cs="宋体"/>
          <w:b/>
          <w:bCs/>
          <w:strike w:val="0"/>
          <w:color w:val="000000"/>
          <w:sz w:val="24"/>
          <w:szCs w:val="24"/>
          <w:highlight w:val="none"/>
          <w:lang w:val="en-US" w:eastAsia="zh-CN"/>
        </w:rPr>
        <w:t xml:space="preserve">须为校医院配备与本单位共用的医疗业务信息系统，提供医疗信息安全保障（提供承诺书，否则作无效标处理）。</w:t>
      </w:r>
      <w:r>
        <w:rPr>
          <w:rFonts w:hint="eastAsia" w:ascii="宋体" w:hAnsi="宋体" w:eastAsia="宋体" w:cs="宋体"/>
          <w:b/>
          <w:bCs/>
          <w:strike w:val="0"/>
          <w:color w:val="000000"/>
          <w:sz w:val="24"/>
          <w:szCs w:val="24"/>
          <w:highlight w:val="none"/>
          <w:lang w:val="en-US" w:eastAsia="zh-CN"/>
        </w:rPr>
      </w:r>
      <w:r/>
    </w:p>
    <w:p>
      <w:pPr>
        <w:pStyle w:val="989"/>
        <w:ind w:firstLine="482"/>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lang w:val="en-US" w:eastAsia="zh-CN"/>
        </w:rPr>
        <w:t xml:space="preserve">5.乙方需承诺按照甲方需求，在行政部门许可下将自身执业地点延伸到甲方提供的医疗服务地点。（提供承诺书，否则作无效标处理）</w:t>
      </w:r>
      <w:r>
        <w:rPr>
          <w:rFonts w:ascii="宋体" w:hAnsi="宋体" w:eastAsia="宋体" w:cs="宋体"/>
          <w:b/>
          <w:bCs/>
          <w:color w:val="000000"/>
          <w:sz w:val="24"/>
          <w:highlight w:val="none"/>
          <w:lang w:val="en-US" w:eastAsia="zh-CN"/>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bidi="ar-SA"/>
        </w:rPr>
        <w:t xml:space="preserve">九、</w:t>
      </w:r>
      <w:r>
        <w:rPr>
          <w:rFonts w:hint="eastAsia" w:ascii="宋体" w:hAnsi="宋体" w:eastAsia="宋体" w:cs="宋体"/>
          <w:b/>
          <w:bCs/>
          <w:color w:val="000000"/>
          <w:spacing w:val="0"/>
          <w:sz w:val="24"/>
          <w:szCs w:val="24"/>
          <w:highlight w:val="none"/>
          <w:lang w:val="en-US" w:eastAsia="zh-CN"/>
        </w:rPr>
        <w:t xml:space="preserve">付款方式</w:t>
      </w:r>
      <w:r>
        <w:rPr>
          <w:rFonts w:hint="eastAsia" w:ascii="宋体" w:hAnsi="宋体" w:eastAsia="宋体" w:cs="宋体"/>
          <w:b/>
          <w:bCs/>
          <w:color w:val="000000"/>
          <w:spacing w:val="0"/>
          <w:sz w:val="24"/>
          <w:szCs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按照付款方式，采购人及时办理付款手续。对于满足合同约定支付条件的，自收到发票后</w:t>
      </w:r>
      <w:r>
        <w:rPr>
          <w:rFonts w:hint="eastAsia" w:ascii="宋体" w:hAnsi="宋体" w:eastAsia="宋体" w:cs="宋体"/>
          <w:b/>
          <w:bCs/>
          <w:color w:val="000000"/>
          <w:sz w:val="24"/>
          <w:highlight w:val="none"/>
        </w:rPr>
        <w:t xml:space="preserve">10个工作日</w:t>
      </w:r>
      <w:r>
        <w:rPr>
          <w:rFonts w:hint="eastAsia" w:ascii="宋体" w:hAnsi="宋体" w:eastAsia="宋体" w:cs="宋体"/>
          <w:color w:val="000000"/>
          <w:sz w:val="24"/>
          <w:highlight w:val="none"/>
        </w:rPr>
        <w:t xml:space="preserve">内将资金支付到合同约定的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账户或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数字人民币账户。</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预付款：合同金额的10%，合同签订后按规定支付；</w:t>
      </w:r>
      <w:r>
        <w:rPr>
          <w:rFonts w:hint="eastAsia"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进度款：</w:t>
      </w:r>
      <w:r>
        <w:rPr>
          <w:rFonts w:hint="eastAsia" w:ascii="宋体" w:hAnsi="宋体" w:eastAsia="宋体" w:cs="宋体"/>
          <w:color w:val="000000"/>
          <w:sz w:val="24"/>
          <w:highlight w:val="none"/>
        </w:rPr>
        <w:t xml:space="preserve">服务费按</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结算，</w:t>
      </w:r>
      <w:r>
        <w:rPr>
          <w:rFonts w:hint="eastAsia" w:ascii="宋体" w:hAnsi="宋体" w:eastAsia="宋体" w:cs="宋体"/>
          <w:color w:val="000000"/>
          <w:sz w:val="24"/>
          <w:highlight w:val="none"/>
          <w:lang w:eastAsia="zh-CN"/>
        </w:rPr>
        <w:t xml:space="preserve">由采购人主管部门确认付款金额</w:t>
      </w:r>
      <w:r>
        <w:rPr>
          <w:rFonts w:hint="eastAsia" w:ascii="宋体" w:hAnsi="宋体" w:eastAsia="宋体" w:cs="宋体"/>
          <w:color w:val="000000"/>
          <w:sz w:val="24"/>
          <w:highlight w:val="none"/>
        </w:rPr>
        <w:t xml:space="preserve">；每</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考核得分达9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分以上（含9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分）学校全额支付本</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服务费，9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分以下每扣1分，该</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度服务费扣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000元；每年考核有两次分值低于85分，或有一次分值低于80分的，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有权提前终止合同（</w:t>
      </w:r>
      <w:r>
        <w:rPr>
          <w:rFonts w:hint="eastAsia" w:ascii="宋体" w:hAnsi="宋体" w:eastAsia="宋体" w:cs="宋体"/>
          <w:b/>
          <w:bCs/>
          <w:color w:val="000000"/>
          <w:sz w:val="24"/>
          <w:highlight w:val="none"/>
          <w:lang w:val="en-US" w:eastAsia="zh-CN"/>
        </w:rPr>
        <w:t xml:space="preserve">年度考核得分包括两部分，分别为宿迁学院医务室考核标准、医务室服务质量调查问卷</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各占比50%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宿迁学院医务室考核标准、医务室服务质量调查问卷</w:t>
      </w:r>
      <w:r>
        <w:rPr>
          <w:rFonts w:hint="eastAsia" w:ascii="宋体" w:hAnsi="宋体" w:eastAsia="宋体" w:cs="宋体"/>
          <w:b/>
          <w:bCs/>
          <w:color w:val="000000"/>
          <w:sz w:val="24"/>
          <w:highlight w:val="none"/>
        </w:rPr>
        <w:t xml:space="preserve">详见</w:t>
      </w:r>
      <w:r>
        <w:rPr>
          <w:rFonts w:hint="eastAsia" w:ascii="宋体" w:hAnsi="宋体" w:eastAsia="宋体" w:cs="宋体"/>
          <w:b/>
          <w:bCs/>
          <w:color w:val="000000"/>
          <w:sz w:val="24"/>
          <w:highlight w:val="none"/>
          <w:lang w:val="en-US" w:eastAsia="zh-CN"/>
        </w:rPr>
        <w:t xml:space="preserve">合同</w:t>
      </w:r>
      <w:r>
        <w:rPr>
          <w:rFonts w:hint="eastAsia" w:ascii="宋体" w:hAnsi="宋体" w:eastAsia="宋体" w:cs="宋体"/>
          <w:b/>
          <w:bCs/>
          <w:color w:val="000000"/>
          <w:sz w:val="24"/>
          <w:highlight w:val="none"/>
        </w:rPr>
        <w:t xml:space="preserve">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每月考核1次，年度考核得分为当年度12个月考核得分平均值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ind w:firstLine="480"/>
        <w:spacing w:line="5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首次进度款支付时扣除预付款。</w:t>
      </w:r>
      <w:r>
        <w:rPr>
          <w:rFonts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注：在签订合同时，中标人明确表示无需预付款或者主动要求降低预付款比例的金额，采购人可不适用预付款规定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bidi="ar-SA"/>
        </w:rPr>
        <w:t xml:space="preserve">十、服务监督与违约责任</w:t>
      </w:r>
      <w:r>
        <w:rPr>
          <w:rFonts w:hint="eastAsia" w:ascii="宋体" w:hAnsi="宋体" w:eastAsia="宋体" w:cs="宋体"/>
          <w:b/>
          <w:bCs/>
          <w:color w:val="000000"/>
          <w:spacing w:val="0"/>
          <w:sz w:val="24"/>
          <w:szCs w:val="24"/>
          <w:highlight w:val="none"/>
          <w:lang w:val="en-US" w:eastAsia="zh-CN" w:bidi="ar-SA"/>
        </w:rPr>
      </w:r>
      <w:r/>
    </w:p>
    <w:p>
      <w:pPr>
        <w:pStyle w:val="989"/>
        <w:numPr>
          <w:ilvl w:val="0"/>
          <w:numId w:val="8"/>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中标医疗机构需无条件接受</w:t>
      </w:r>
      <w:r>
        <w:rPr>
          <w:rFonts w:hint="eastAsia" w:ascii="宋体" w:hAnsi="宋体" w:eastAsia="宋体" w:cs="宋体"/>
          <w:strike w:val="0"/>
          <w:color w:val="000000"/>
          <w:sz w:val="24"/>
          <w:szCs w:val="24"/>
          <w:highlight w:val="none"/>
          <w:lang w:val="en-US" w:eastAsia="zh-CN"/>
        </w:rPr>
        <w:t xml:space="preserve">采购人业务管理部门、</w:t>
      </w:r>
      <w:r>
        <w:rPr>
          <w:rFonts w:hint="eastAsia" w:ascii="宋体" w:hAnsi="宋体" w:eastAsia="宋体" w:cs="宋体"/>
          <w:color w:val="000000"/>
          <w:sz w:val="24"/>
          <w:szCs w:val="24"/>
          <w:highlight w:val="none"/>
        </w:rPr>
        <w:t xml:space="preserve">卫生健康</w:t>
      </w:r>
      <w:r>
        <w:rPr>
          <w:rFonts w:hint="eastAsia" w:ascii="宋体" w:hAnsi="宋体" w:eastAsia="宋体" w:cs="宋体"/>
          <w:color w:val="000000"/>
          <w:sz w:val="24"/>
          <w:szCs w:val="24"/>
          <w:highlight w:val="none"/>
          <w:lang w:val="en-US" w:eastAsia="zh-CN"/>
        </w:rPr>
        <w:t xml:space="preserve">主管部门及</w:t>
      </w:r>
      <w:r>
        <w:rPr>
          <w:rFonts w:hint="eastAsia" w:ascii="宋体" w:hAnsi="宋体" w:eastAsia="宋体" w:cs="宋体"/>
          <w:color w:val="000000"/>
          <w:sz w:val="24"/>
          <w:szCs w:val="24"/>
          <w:highlight w:val="none"/>
        </w:rPr>
        <w:t xml:space="preserve">医保部门的</w:t>
      </w:r>
      <w:r>
        <w:rPr>
          <w:rFonts w:hint="eastAsia" w:ascii="宋体" w:hAnsi="宋体" w:eastAsia="宋体" w:cs="宋体"/>
          <w:color w:val="000000"/>
          <w:sz w:val="24"/>
          <w:szCs w:val="24"/>
          <w:highlight w:val="none"/>
          <w:lang w:val="en-US" w:eastAsia="zh-CN"/>
        </w:rPr>
        <w:t xml:space="preserve">行业</w:t>
      </w:r>
      <w:r>
        <w:rPr>
          <w:rFonts w:hint="eastAsia" w:ascii="宋体" w:hAnsi="宋体" w:eastAsia="宋体" w:cs="宋体"/>
          <w:color w:val="000000"/>
          <w:sz w:val="24"/>
          <w:szCs w:val="24"/>
          <w:highlight w:val="none"/>
        </w:rPr>
        <w:t xml:space="preserve">监督管理，严格履行本采购需求及托管合同约定的所有服务条款。</w:t>
      </w:r>
      <w:r>
        <w:rPr>
          <w:rFonts w:hint="eastAsia" w:ascii="宋体" w:hAnsi="宋体" w:eastAsia="宋体" w:cs="宋体"/>
          <w:color w:val="000000"/>
          <w:sz w:val="24"/>
          <w:szCs w:val="24"/>
          <w:highlight w:val="none"/>
        </w:rPr>
      </w:r>
      <w:r/>
    </w:p>
    <w:p>
      <w:pPr>
        <w:pStyle w:val="989"/>
        <w:numPr>
          <w:ilvl w:val="0"/>
          <w:numId w:val="8"/>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若出现人员配置不足、24 小时服务缺位、药品加价、医保违规结算、体检服务不规范、急诊转诊不及时、医疗服务质量不达标等问题，学校有权要求中标机构限期整改；整改不到位或情节严重的，学校有权单方面终止托管合同，由此产生的一切损失、法律责任由中标机构全部承担。</w:t>
      </w:r>
      <w:r>
        <w:rPr>
          <w:rFonts w:hint="eastAsia" w:ascii="宋体" w:hAnsi="宋体" w:eastAsia="宋体" w:cs="宋体"/>
          <w:color w:val="000000"/>
          <w:sz w:val="24"/>
          <w:szCs w:val="24"/>
          <w:highlight w:val="none"/>
        </w:rPr>
      </w:r>
      <w:r/>
    </w:p>
    <w:p>
      <w:pPr>
        <w:pStyle w:val="98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因中标机构诊疗操作不当、管理疏漏、设备故障等医疗</w:t>
      </w:r>
      <w:r>
        <w:rPr>
          <w:rFonts w:hint="eastAsia" w:ascii="宋体" w:hAnsi="宋体" w:eastAsia="宋体" w:cs="宋体"/>
          <w:color w:val="000000"/>
          <w:sz w:val="24"/>
          <w:szCs w:val="24"/>
          <w:highlight w:val="none"/>
          <w:lang w:val="en-US" w:eastAsia="zh-CN"/>
        </w:rPr>
        <w:t xml:space="preserve">责任</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rPr>
        <w:t xml:space="preserve">引发</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医疗纠纷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经济赔偿及法律后果均由中标医疗机构承担，与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无任何关联。</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十一、商品包装、快递包装政府采购需求标准（试行）</w:t>
      </w:r>
      <w:r>
        <w:rPr>
          <w:rFonts w:hint="eastAsia" w:ascii="宋体" w:hAnsi="宋体" w:eastAsia="宋体" w:cs="宋体"/>
          <w:b/>
          <w:bCs/>
          <w:color w:val="000000"/>
          <w:spacing w:val="0"/>
          <w:sz w:val="24"/>
          <w:szCs w:val="24"/>
          <w:highlight w:val="none"/>
          <w:lang w:val="en-US" w:eastAsia="zh-CN"/>
        </w:rPr>
      </w:r>
      <w:r/>
    </w:p>
    <w:p>
      <w:pPr>
        <w:pStyle w:val="989"/>
        <w:ind w:firstLine="480"/>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宋体" w:hAnsi="宋体" w:eastAsia="宋体" w:cs="宋体"/>
          <w:b w:val="0"/>
          <w:bCs w:val="0"/>
          <w:i w:val="0"/>
          <w:iCs w:val="0"/>
          <w:caps w:val="0"/>
          <w:color w:val="000000"/>
          <w:sz w:val="24"/>
          <w:highlight w:val="none"/>
          <w:u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十二、采购本国货物、工程和服务</w:t>
      </w:r>
      <w:r>
        <w:rPr>
          <w:rFonts w:hint="eastAsia" w:ascii="宋体" w:hAnsi="宋体" w:eastAsia="宋体" w:cs="宋体"/>
          <w:b/>
          <w:bCs/>
          <w:color w:val="000000"/>
          <w:spacing w:val="0"/>
          <w:sz w:val="24"/>
          <w:szCs w:val="24"/>
          <w:highlight w:val="none"/>
          <w:lang w:val="en-US" w:eastAsia="zh-CN"/>
        </w:rPr>
      </w:r>
      <w:r/>
    </w:p>
    <w:p>
      <w:pPr>
        <w:pStyle w:val="989"/>
        <w:ind w:firstLine="480"/>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r>
        <w:rPr>
          <w:rFonts w:hint="eastAsia" w:ascii="宋体" w:hAnsi="宋体" w:eastAsia="宋体" w:cs="宋体"/>
          <w:b w:val="0"/>
          <w:bCs w:val="0"/>
          <w:i w:val="0"/>
          <w:iCs w:val="0"/>
          <w:caps w:val="0"/>
          <w:color w:val="000000"/>
          <w:sz w:val="24"/>
          <w:highlight w:val="none"/>
          <w:u w:val="none"/>
          <w:lang w:val="en-US" w:eastAsia="zh-CN"/>
        </w:rPr>
      </w:r>
      <w:r/>
    </w:p>
    <w:p>
      <w:pPr>
        <w:pStyle w:val="989"/>
        <w:numPr>
          <w:ilvl w:val="0"/>
          <w:numId w:val="0"/>
        </w:numPr>
        <w:ind w:firstLine="480"/>
        <w:keepLines w:val="0"/>
        <w:keepNext w:val="0"/>
        <w:pageBreakBefore w:val="0"/>
        <w:spacing w:line="360" w:lineRule="auto"/>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十三、项目服务要求</w:t>
      </w:r>
      <w:r>
        <w:rPr>
          <w:rFonts w:hint="eastAsia" w:ascii="宋体" w:hAnsi="宋体" w:eastAsia="宋体" w:cs="宋体"/>
          <w:b/>
          <w:bCs/>
          <w:i w:val="0"/>
          <w:iCs w:val="0"/>
          <w:caps w:val="0"/>
          <w:color w:val="000000"/>
          <w:sz w:val="24"/>
          <w:highlight w:val="none"/>
          <w:u w:val="none"/>
          <w:lang w:val="en-US" w:eastAsia="zh-CN"/>
        </w:rPr>
      </w:r>
      <w:r/>
    </w:p>
    <w:p>
      <w:pPr>
        <w:pStyle w:val="989"/>
        <w:ind w:firstLine="482"/>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1、项目托管整体服务方案</w:t>
      </w:r>
      <w:r>
        <w:rPr>
          <w:rFonts w:hint="eastAsia" w:ascii="宋体" w:hAnsi="宋体" w:eastAsia="宋体" w:cs="宋体"/>
          <w:b w:val="0"/>
          <w:bCs w:val="0"/>
          <w:i w:val="0"/>
          <w:iCs w:val="0"/>
          <w:caps w:val="0"/>
          <w:color w:val="000000"/>
          <w:sz w:val="24"/>
          <w:highlight w:val="none"/>
          <w:u w:val="none"/>
          <w:lang w:val="en-US" w:eastAsia="zh-CN"/>
        </w:rPr>
      </w:r>
      <w:r/>
    </w:p>
    <w:p>
      <w:pPr>
        <w:pStyle w:val="989"/>
        <w:ind w:firstLine="482"/>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针对本项目提供</w:t>
      </w:r>
      <w:r>
        <w:rPr>
          <w:rFonts w:hint="eastAsia" w:ascii="宋体" w:hAnsi="宋体" w:eastAsia="宋体" w:cs="宋体"/>
          <w:b w:val="0"/>
          <w:bCs w:val="0"/>
          <w:i w:val="0"/>
          <w:iCs w:val="0"/>
          <w:caps w:val="0"/>
          <w:color w:val="000000"/>
          <w:sz w:val="24"/>
          <w:highlight w:val="none"/>
          <w:u w:val="none"/>
          <w:lang w:val="en-US" w:eastAsia="zh-CN"/>
        </w:rPr>
        <w:t xml:space="preserve">项目托管整体服务方案</w:t>
      </w:r>
      <w:r>
        <w:rPr>
          <w:rFonts w:hint="eastAsia" w:ascii="宋体" w:hAnsi="宋体" w:eastAsia="宋体" w:cs="宋体"/>
          <w:b w:val="0"/>
          <w:bCs w:val="0"/>
          <w:i w:val="0"/>
          <w:iCs w:val="0"/>
          <w:caps w:val="0"/>
          <w:color w:val="000000"/>
          <w:sz w:val="24"/>
          <w:highlight w:val="none"/>
          <w:u w:val="none"/>
          <w:lang w:val="en-US" w:eastAsia="zh-CN"/>
        </w:rPr>
        <w:t xml:space="preserve">，内容包括但不限于项目方案整体计划，初期进驻筹备，后期运营监管等。</w:t>
      </w:r>
      <w:r>
        <w:rPr>
          <w:rFonts w:hint="eastAsia" w:ascii="宋体" w:hAnsi="宋体" w:eastAsia="宋体" w:cs="宋体"/>
          <w:b w:val="0"/>
          <w:bCs w:val="0"/>
          <w:i w:val="0"/>
          <w:iCs w:val="0"/>
          <w:caps w:val="0"/>
          <w:color w:val="000000"/>
          <w:sz w:val="24"/>
          <w:highlight w:val="none"/>
          <w:u w:val="none"/>
          <w:lang w:val="en-US" w:eastAsia="zh-CN"/>
        </w:rPr>
      </w:r>
      <w:r/>
    </w:p>
    <w:p>
      <w:pPr>
        <w:pStyle w:val="989"/>
        <w:ind w:firstLine="482"/>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szCs w:val="22"/>
          <w:highlight w:val="none"/>
          <w:lang w:val="en-US" w:eastAsia="zh-CN" w:bidi="ar-SA"/>
        </w:rPr>
        <w:t xml:space="preserve">2、</w:t>
      </w:r>
      <w:r>
        <w:rPr>
          <w:rFonts w:hint="eastAsia" w:ascii="宋体" w:hAnsi="宋体" w:eastAsia="宋体" w:cs="宋体"/>
          <w:b w:val="0"/>
          <w:bCs w:val="0"/>
          <w:i w:val="0"/>
          <w:iCs w:val="0"/>
          <w:caps w:val="0"/>
          <w:color w:val="000000"/>
          <w:sz w:val="24"/>
          <w:highlight w:val="none"/>
          <w:u w:val="none"/>
          <w:lang w:val="en-US" w:eastAsia="zh-CN"/>
        </w:rPr>
        <w:t xml:space="preserve">投标单位应具备医院管理制度。</w:t>
      </w:r>
      <w:r>
        <w:rPr>
          <w:rFonts w:hint="eastAsia" w:ascii="宋体" w:hAnsi="宋体" w:eastAsia="宋体" w:cs="宋体"/>
          <w:b w:val="0"/>
          <w:bCs w:val="0"/>
          <w:i w:val="0"/>
          <w:iCs w:val="0"/>
          <w:caps w:val="0"/>
          <w:color w:val="000000"/>
          <w:sz w:val="24"/>
          <w:highlight w:val="none"/>
          <w:u w:val="none"/>
          <w:lang w:val="en-US" w:eastAsia="zh-CN"/>
        </w:rPr>
      </w:r>
      <w:r/>
    </w:p>
    <w:p>
      <w:pPr>
        <w:pStyle w:val="989"/>
        <w:numPr>
          <w:ilvl w:val="0"/>
          <w:numId w:val="0"/>
        </w:numPr>
        <w:ind w:left="0" w:firstLine="480"/>
        <w:keepLines w:val="0"/>
        <w:keepNext w:val="0"/>
        <w:pageBreakBefore w:val="0"/>
        <w:spacing w:line="360" w:lineRule="auto"/>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szCs w:val="22"/>
          <w:highlight w:val="none"/>
          <w:lang w:val="en-US" w:eastAsia="zh-CN" w:bidi="ar-SA"/>
        </w:rPr>
        <w:t xml:space="preserve">3、</w:t>
      </w:r>
      <w:r>
        <w:rPr>
          <w:rFonts w:hint="eastAsia" w:ascii="宋体" w:hAnsi="宋体" w:eastAsia="宋体" w:cs="宋体"/>
          <w:b w:val="0"/>
          <w:bCs w:val="0"/>
          <w:i w:val="0"/>
          <w:iCs w:val="0"/>
          <w:caps w:val="0"/>
          <w:color w:val="000000"/>
          <w:sz w:val="24"/>
          <w:highlight w:val="none"/>
          <w:u w:val="none"/>
          <w:lang w:val="en-US" w:eastAsia="zh-CN"/>
        </w:rPr>
        <w:t xml:space="preserve">学院和班级及人数</w:t>
      </w:r>
      <w:r>
        <w:rPr>
          <w:rFonts w:hint="eastAsia" w:ascii="宋体" w:hAnsi="宋体" w:eastAsia="宋体" w:cs="宋体"/>
          <w:b w:val="0"/>
          <w:bCs w:val="0"/>
          <w:i w:val="0"/>
          <w:iCs w:val="0"/>
          <w:caps w:val="0"/>
          <w:color w:val="000000"/>
          <w:sz w:val="24"/>
          <w:highlight w:val="none"/>
          <w:u w:val="none"/>
          <w:lang w:val="en-US" w:eastAsia="zh-CN"/>
        </w:rPr>
      </w:r>
      <w:r/>
    </w:p>
    <w:tbl>
      <w:tblPr>
        <w:tblW w:w="5999" w:type="dxa"/>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1840"/>
        <w:gridCol w:w="1861"/>
      </w:tblGrid>
      <w:tr>
        <w:trPr>
          <w:trHeight w:val="127"/>
        </w:trPr>
        <w:tc>
          <w:tcPr>
            <w:shd w:val="clear" w:color="auto" w:fill="21a9b8"/>
            <w:tcW w:w="2298" w:type="dxa"/>
            <w:vAlign w:val="center"/>
            <w:textDirection w:val="lrTb"/>
            <w:noWrap w:val="false"/>
          </w:tcPr>
          <w:p>
            <w:pPr>
              <w:pStyle w:val="989"/>
              <w:jc w:val="left"/>
              <w:keepLines w:val="0"/>
              <w:keepNext w:val="0"/>
              <w:pageBreakBefore w:val="0"/>
              <w:widowControl/>
              <w:rPr>
                <w:rFonts w:hint="eastAsia" w:ascii="宋体" w:hAnsi="宋体" w:eastAsia="宋体" w:cs="宋体"/>
                <w:b/>
                <w:bCs/>
                <w:i w:val="0"/>
                <w:iCs w:val="0"/>
                <w:color w:val="ffffff"/>
                <w:sz w:val="15"/>
                <w:szCs w:val="15"/>
                <w:u w:val="none"/>
                <w:lang w:val="en-US" w:eastAsia="zh-CN" w:bidi="ar-SA"/>
              </w:rPr>
              <w:suppressLineNumbers w:val="0"/>
            </w:pPr>
            <w:r>
              <w:rPr>
                <w:rFonts w:hint="eastAsia" w:ascii="宋体" w:hAnsi="宋体" w:eastAsia="宋体" w:cs="宋体"/>
                <w:b/>
                <w:bCs/>
                <w:i w:val="0"/>
                <w:iCs w:val="0"/>
                <w:color w:val="ffffff"/>
                <w:sz w:val="15"/>
                <w:szCs w:val="15"/>
                <w:u w:val="none"/>
                <w:lang w:val="en-US" w:eastAsia="zh-CN" w:bidi="ar"/>
              </w:rPr>
              <w:t xml:space="preserve">学院</w:t>
            </w:r>
            <w:r>
              <w:rPr>
                <w:rFonts w:hint="eastAsia" w:ascii="宋体" w:hAnsi="宋体" w:eastAsia="宋体" w:cs="宋体"/>
                <w:b/>
                <w:bCs/>
                <w:i w:val="0"/>
                <w:iCs w:val="0"/>
                <w:color w:val="ffffff"/>
                <w:sz w:val="15"/>
                <w:szCs w:val="15"/>
                <w:u w:val="none"/>
                <w:lang w:val="en-US" w:eastAsia="zh-CN" w:bidi="ar-SA"/>
              </w:rPr>
            </w:r>
            <w:r/>
          </w:p>
        </w:tc>
        <w:tc>
          <w:tcPr>
            <w:shd w:val="clear" w:color="auto" w:fill="21a9b8"/>
            <w:tcW w:w="1840" w:type="dxa"/>
            <w:vAlign w:val="center"/>
            <w:textDirection w:val="lrTb"/>
            <w:noWrap w:val="false"/>
          </w:tcPr>
          <w:p>
            <w:pPr>
              <w:pStyle w:val="989"/>
              <w:jc w:val="left"/>
              <w:keepLines w:val="0"/>
              <w:keepNext w:val="0"/>
              <w:pageBreakBefore w:val="0"/>
              <w:widowControl/>
              <w:rPr>
                <w:rFonts w:hint="eastAsia" w:ascii="宋体" w:hAnsi="宋体" w:eastAsia="宋体" w:cs="宋体"/>
                <w:b/>
                <w:bCs/>
                <w:i w:val="0"/>
                <w:iCs w:val="0"/>
                <w:color w:val="ffffff"/>
                <w:sz w:val="15"/>
                <w:szCs w:val="15"/>
                <w:u w:val="none"/>
                <w:lang w:val="en-US" w:eastAsia="zh-CN" w:bidi="ar-SA"/>
              </w:rPr>
              <w:suppressLineNumbers w:val="0"/>
            </w:pPr>
            <w:r>
              <w:rPr>
                <w:rFonts w:hint="eastAsia" w:ascii="宋体" w:hAnsi="宋体" w:eastAsia="宋体" w:cs="宋体"/>
                <w:b/>
                <w:bCs/>
                <w:i w:val="0"/>
                <w:iCs w:val="0"/>
                <w:color w:val="ffffff"/>
                <w:sz w:val="15"/>
                <w:szCs w:val="15"/>
                <w:u w:val="none"/>
                <w:lang w:val="en-US" w:eastAsia="zh-CN" w:bidi="ar"/>
              </w:rPr>
              <w:t xml:space="preserve">专业班级</w:t>
            </w:r>
            <w:r>
              <w:rPr>
                <w:rFonts w:hint="eastAsia" w:ascii="宋体" w:hAnsi="宋体" w:eastAsia="宋体" w:cs="宋体"/>
                <w:b/>
                <w:bCs/>
                <w:i w:val="0"/>
                <w:iCs w:val="0"/>
                <w:color w:val="ffffff"/>
                <w:sz w:val="15"/>
                <w:szCs w:val="15"/>
                <w:u w:val="none"/>
                <w:lang w:val="en-US" w:eastAsia="zh-CN" w:bidi="ar-SA"/>
              </w:rPr>
            </w:r>
            <w:r/>
          </w:p>
        </w:tc>
        <w:tc>
          <w:tcPr>
            <w:shd w:val="clear" w:color="auto" w:fill="21a9b8"/>
            <w:tcW w:w="1861" w:type="dxa"/>
            <w:vAlign w:val="center"/>
            <w:textDirection w:val="lrTb"/>
            <w:noWrap w:val="false"/>
          </w:tcPr>
          <w:p>
            <w:pPr>
              <w:pStyle w:val="989"/>
              <w:jc w:val="left"/>
              <w:keepLines w:val="0"/>
              <w:keepNext w:val="0"/>
              <w:pageBreakBefore w:val="0"/>
              <w:widowControl/>
              <w:rPr>
                <w:rFonts w:hint="eastAsia" w:ascii="宋体" w:hAnsi="宋体" w:eastAsia="宋体" w:cs="宋体"/>
                <w:b/>
                <w:bCs/>
                <w:i w:val="0"/>
                <w:iCs w:val="0"/>
                <w:color w:val="ffffff"/>
                <w:sz w:val="15"/>
                <w:szCs w:val="15"/>
                <w:u w:val="none"/>
                <w:lang w:val="en-US" w:eastAsia="zh-CN" w:bidi="ar-SA"/>
              </w:rPr>
              <w:suppressLineNumbers w:val="0"/>
            </w:pPr>
            <w:r>
              <w:rPr>
                <w:rFonts w:hint="eastAsia" w:ascii="宋体" w:hAnsi="宋体" w:eastAsia="宋体" w:cs="宋体"/>
                <w:b/>
                <w:bCs/>
                <w:i w:val="0"/>
                <w:iCs w:val="0"/>
                <w:color w:val="ffffff"/>
                <w:sz w:val="15"/>
                <w:szCs w:val="15"/>
                <w:u w:val="none"/>
                <w:lang w:val="en-US" w:eastAsia="zh-CN" w:bidi="ar"/>
              </w:rPr>
              <w:t xml:space="preserve">人数</w:t>
            </w:r>
            <w:r>
              <w:rPr>
                <w:rFonts w:hint="eastAsia" w:ascii="宋体" w:hAnsi="宋体" w:eastAsia="宋体" w:cs="宋体"/>
                <w:b/>
                <w:bCs/>
                <w:i w:val="0"/>
                <w:iCs w:val="0"/>
                <w:color w:val="ffffff"/>
                <w:sz w:val="15"/>
                <w:szCs w:val="15"/>
                <w:u w:val="none"/>
                <w:lang w:val="en-US" w:eastAsia="zh-CN" w:bidi="ar-SA"/>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行管1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行管2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数字1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数字2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应急1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物流1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物流2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财管1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财管2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经济管理学院</w:t>
            </w:r>
            <w:r>
              <w:rPr>
                <w:rStyle w:val="1419"/>
                <w:sz w:val="15"/>
                <w:szCs w:val="15"/>
                <w:lang w:val="en-US" w:eastAsia="zh-CN" w:bidi="ar"/>
              </w:rPr>
              <w:t xml:space="preserve">834人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人资1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法控1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电商1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电商2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会计1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会计2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金融1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金融2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电子1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电子2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计科1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计科2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智能1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智能2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信息工程学院</w:t>
            </w:r>
            <w:r>
              <w:rPr>
                <w:rStyle w:val="1419"/>
                <w:sz w:val="15"/>
                <w:szCs w:val="15"/>
                <w:lang w:val="en-US" w:eastAsia="zh-CN" w:bidi="ar"/>
              </w:rPr>
              <w:t xml:space="preserve">600人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软件1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软件2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通信1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通信2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物联1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物联2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机电1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机电2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自动化1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自动化2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机制1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机电工程学院</w:t>
            </w:r>
            <w:r>
              <w:rPr>
                <w:rStyle w:val="1419"/>
                <w:sz w:val="15"/>
                <w:szCs w:val="15"/>
                <w:lang w:val="en-US" w:eastAsia="zh-CN" w:bidi="ar"/>
              </w:rPr>
              <w:t xml:space="preserve">550人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机制2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材控1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智造1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智造2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新汽1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新汽2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材料1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材料2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生物与材料工程学</w:t>
            </w:r>
            <w:r>
              <w:rPr>
                <w:rStyle w:val="1419"/>
                <w:sz w:val="15"/>
                <w:szCs w:val="15"/>
                <w:lang w:val="en-US" w:eastAsia="zh-CN" w:bidi="ar"/>
              </w:rPr>
              <w:t xml:space="preserve">院 250人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生物1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园林1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化学1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测绘1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测绘2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建筑工程学院</w:t>
            </w:r>
            <w:r>
              <w:rPr>
                <w:rStyle w:val="1419"/>
                <w:sz w:val="15"/>
                <w:szCs w:val="15"/>
                <w:lang w:val="en-US" w:eastAsia="zh-CN" w:bidi="ar"/>
              </w:rPr>
              <w:t xml:space="preserve">300人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工管1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工管2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土木1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智建1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数学1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数学2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数据1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数理学院</w:t>
            </w:r>
            <w:r>
              <w:rPr>
                <w:rStyle w:val="1419"/>
                <w:sz w:val="15"/>
                <w:szCs w:val="15"/>
                <w:lang w:val="en-US" w:eastAsia="zh-CN" w:bidi="ar"/>
              </w:rPr>
              <w:t xml:space="preserve">330人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数据2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信科1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物理1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光电1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中文1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中文2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教师教育学院</w:t>
            </w:r>
            <w:r>
              <w:rPr>
                <w:rStyle w:val="1419"/>
                <w:sz w:val="15"/>
                <w:szCs w:val="15"/>
                <w:lang w:val="en-US" w:eastAsia="zh-CN" w:bidi="ar"/>
              </w:rPr>
              <w:t xml:space="preserve">286人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中师1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中师2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小教1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学前1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美师1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美师2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环设1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数媒1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数媒2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艺术与传媒学院</w:t>
            </w:r>
            <w:r>
              <w:rPr>
                <w:rStyle w:val="1419"/>
                <w:sz w:val="15"/>
                <w:szCs w:val="15"/>
                <w:lang w:val="en-US" w:eastAsia="zh-CN" w:bidi="ar"/>
              </w:rPr>
              <w:t xml:space="preserve">310人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音学1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音学2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音师1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音师2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产设1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英语1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英语2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外国语学院</w:t>
            </w:r>
            <w:r>
              <w:rPr>
                <w:rStyle w:val="1419"/>
                <w:sz w:val="15"/>
                <w:szCs w:val="15"/>
                <w:lang w:val="en-US" w:eastAsia="zh-CN" w:bidi="ar"/>
              </w:rPr>
              <w:t xml:space="preserve">170人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英师1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英师2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英师3</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马克思主义学院</w:t>
            </w:r>
            <w:r>
              <w:rPr>
                <w:rStyle w:val="1419"/>
                <w:sz w:val="15"/>
                <w:szCs w:val="15"/>
                <w:lang w:val="en-US" w:eastAsia="zh-CN" w:bidi="ar"/>
              </w:rPr>
              <w:t xml:space="preserve">80人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政教1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政教2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体育学院</w:t>
            </w:r>
            <w:r>
              <w:rPr>
                <w:rStyle w:val="1419"/>
                <w:sz w:val="15"/>
                <w:szCs w:val="15"/>
                <w:lang w:val="en-US" w:eastAsia="zh-CN" w:bidi="ar"/>
              </w:rPr>
              <w:t xml:space="preserve"> 40人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体师1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Z人资1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Z人资2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Z材控1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Z材控2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Z材料1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Z材料2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Z园林1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ascii="Arial" w:hAnsi="Arial" w:eastAsia="宋体" w:cs="Arial"/>
                <w:i w:val="0"/>
                <w:iCs w:val="0"/>
                <w:color w:val="000000"/>
                <w:sz w:val="20"/>
                <w:szCs w:val="20"/>
                <w:u w:val="none"/>
              </w:rPr>
            </w:pPr>
            <w:r>
              <w:rPr>
                <w:rFonts w:ascii="Arial" w:hAnsi="Arial" w:eastAsia="宋体" w:cs="Arial"/>
                <w:i w:val="0"/>
                <w:iCs w:val="0"/>
                <w:color w:val="000000"/>
                <w:sz w:val="20"/>
                <w:szCs w:val="20"/>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Z园林2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w:t>
            </w:r>
            <w:r>
              <w:rPr>
                <w:rFonts w:hint="eastAsia" w:ascii="宋体" w:hAnsi="宋体" w:eastAsia="宋体" w:cs="宋体"/>
                <w:i w:val="0"/>
                <w:iCs w:val="0"/>
                <w:color w:val="000000"/>
                <w:sz w:val="15"/>
                <w:szCs w:val="15"/>
                <w:u w:val="none"/>
              </w:rPr>
            </w:r>
            <w:r/>
          </w:p>
        </w:tc>
      </w:tr>
      <w:tr>
        <w:trPr>
          <w:trHeight w:val="95"/>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专升本</w:t>
            </w:r>
            <w:r>
              <w:rPr>
                <w:rStyle w:val="1419"/>
                <w:sz w:val="15"/>
                <w:szCs w:val="15"/>
                <w:lang w:val="en-US" w:eastAsia="zh-CN" w:bidi="ar"/>
              </w:rPr>
              <w:t xml:space="preserve"> 681人</w:t>
            </w: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Z土木1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Z土木2</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Z中文1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Z音乐1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Z环设1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w:t>
            </w:r>
            <w:r>
              <w:rPr>
                <w:rFonts w:hint="eastAsia" w:ascii="宋体" w:hAnsi="宋体" w:eastAsia="宋体" w:cs="宋体"/>
                <w:i w:val="0"/>
                <w:iCs w:val="0"/>
                <w:color w:val="000000"/>
                <w:sz w:val="15"/>
                <w:szCs w:val="15"/>
                <w:u w:val="none"/>
              </w:rPr>
            </w:r>
            <w:r/>
          </w:p>
        </w:tc>
      </w:tr>
      <w:tr>
        <w:trPr>
          <w:trHeight w:val="117"/>
        </w:trPr>
        <w:tc>
          <w:tcPr>
            <w:tcW w:w="2298" w:type="dxa"/>
            <w:vAlign w:val="center"/>
            <w:textDirection w:val="lrTb"/>
            <w:noWrap/>
          </w:tcPr>
          <w:p>
            <w:pPr>
              <w:pStyle w:val="989"/>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Z美术1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rPr>
                <w:rFonts w:hint="eastAsia" w:ascii="宋体" w:hAnsi="宋体" w:eastAsia="宋体" w:cs="宋体"/>
                <w:i w:val="0"/>
                <w:iCs w:val="0"/>
                <w:color w:val="000000"/>
                <w:sz w:val="15"/>
                <w:szCs w:val="15"/>
                <w:u w:val="none"/>
              </w:rPr>
            </w:r>
            <w:r/>
          </w:p>
        </w:tc>
      </w:tr>
      <w:tr>
        <w:trPr>
          <w:trHeight w:val="102"/>
        </w:trPr>
        <w:tc>
          <w:tcPr>
            <w:tcW w:w="2298"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tcW w:w="1840"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Z日语1</w:t>
            </w:r>
            <w:r>
              <w:rPr>
                <w:rFonts w:hint="eastAsia" w:ascii="宋体" w:hAnsi="宋体" w:eastAsia="宋体" w:cs="宋体"/>
                <w:i w:val="0"/>
                <w:iCs w:val="0"/>
                <w:color w:val="000000"/>
                <w:sz w:val="15"/>
                <w:szCs w:val="15"/>
                <w:u w:val="none"/>
              </w:rPr>
            </w:r>
            <w:r/>
          </w:p>
        </w:tc>
        <w:tc>
          <w:tcPr>
            <w:tcW w:w="1861" w:type="dxa"/>
            <w:vAlign w:val="center"/>
            <w:textDirection w:val="lrTb"/>
            <w:noWrap w:val="false"/>
          </w:tcPr>
          <w:p>
            <w:pPr>
              <w:pStyle w:val="989"/>
              <w:jc w:val="left"/>
              <w:keepLines w:val="0"/>
              <w:keepNext w:val="0"/>
              <w:pageBreakBefore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rPr>
                <w:rFonts w:hint="eastAsia" w:ascii="宋体" w:hAnsi="宋体" w:eastAsia="宋体" w:cs="宋体"/>
                <w:i w:val="0"/>
                <w:iCs w:val="0"/>
                <w:color w:val="000000"/>
                <w:sz w:val="15"/>
                <w:szCs w:val="15"/>
                <w:u w:val="none"/>
              </w:rPr>
            </w:r>
            <w:r/>
          </w:p>
        </w:tc>
      </w:tr>
    </w:tbl>
    <w:p>
      <w:pPr>
        <w:pStyle w:val="989"/>
        <w:jc w:val="center"/>
        <w:keepLines/>
        <w:keepNext/>
        <w:pageBreakBefore/>
        <w:rPr>
          <w:rFonts w:hint="eastAsia" w:ascii="宋体" w:hAnsi="宋体" w:eastAsia="宋体" w:cs="宋体"/>
          <w:b/>
          <w:color w:val="000000"/>
          <w:sz w:val="44"/>
          <w:szCs w:val="44"/>
          <w:highlight w:val="none"/>
        </w:rPr>
        <w:outlineLvl w:val="0"/>
      </w:pPr>
      <w:r/>
      <w:bookmarkStart w:id="144" w:name="_Toc26635"/>
      <w:r>
        <w:rPr>
          <w:rFonts w:hint="eastAsia" w:ascii="宋体" w:hAnsi="宋体" w:eastAsia="宋体" w:cs="宋体"/>
          <w:b/>
          <w:color w:val="000000"/>
          <w:sz w:val="44"/>
          <w:szCs w:val="44"/>
          <w:highlight w:val="none"/>
        </w:rPr>
        <w:t xml:space="preserve">第五部分  合同格式及条款</w:t>
      </w:r>
      <w:bookmarkEnd w:id="144"/>
      <w:r>
        <w:rPr>
          <w:rFonts w:hint="eastAsia" w:ascii="宋体" w:hAnsi="宋体" w:eastAsia="宋体" w:cs="宋体"/>
          <w:b/>
          <w:color w:val="000000"/>
          <w:sz w:val="44"/>
          <w:szCs w:val="44"/>
          <w:highlight w:val="none"/>
        </w:rPr>
      </w:r>
      <w:r/>
    </w:p>
    <w:p>
      <w:pPr>
        <w:pStyle w:val="989"/>
        <w:ind w:left="180" w:firstLine="723"/>
        <w:jc w:val="center"/>
        <w:spacing w:line="440" w:lineRule="exact"/>
        <w:rPr>
          <w:rFonts w:hint="eastAsia" w:ascii="宋体" w:hAnsi="宋体" w:eastAsia="宋体" w:cs="宋体"/>
          <w:b/>
          <w:color w:val="000000"/>
          <w:sz w:val="36"/>
          <w:szCs w:val="36"/>
          <w:highlight w:val="none"/>
        </w:rPr>
      </w:pPr>
      <w:r/>
      <w:bookmarkStart w:id="145" w:name="EB92fb24a891e34ea29920d90c75406592"/>
      <w:r>
        <w:rPr>
          <w:rFonts w:hint="eastAsia" w:ascii="宋体" w:hAnsi="宋体" w:eastAsia="宋体" w:cs="宋体"/>
          <w:b/>
          <w:color w:val="000000"/>
          <w:sz w:val="36"/>
          <w:szCs w:val="36"/>
          <w:highlight w:val="none"/>
        </w:rPr>
      </w:r>
      <w:r/>
    </w:p>
    <w:p>
      <w:pPr>
        <w:pStyle w:val="989"/>
        <w:ind w:left="0" w:right="0" w:firstLine="0"/>
        <w:keepLines w:val="0"/>
        <w:pageBreakBefore w:val="0"/>
        <w:spacing w:line="360" w:lineRule="auto"/>
        <w:shd w:val="clear" w:color="auto" w:fill="auto"/>
        <w:rPr>
          <w:rFonts w:ascii="Times New Roman" w:hAnsi="Times New Roman" w:eastAsia="宋体" w:cs="Times New Roman"/>
          <w:bCs/>
          <w:caps w:val="0"/>
          <w:color w:val="000000"/>
          <w:sz w:val="24"/>
          <w:highlight w:val="none"/>
        </w:rPr>
      </w:pPr>
      <w:r/>
      <w:bookmarkEnd w:id="145"/>
      <w:r>
        <w:rPr>
          <w:rFonts w:hint="eastAsia" w:ascii="Times New Roman" w:hAnsi="Times New Roman" w:eastAsia="宋体" w:cs="Times New Roman"/>
          <w:bCs/>
          <w:caps w:val="0"/>
          <w:color w:val="000000"/>
          <w:sz w:val="24"/>
          <w:highlight w:val="none"/>
        </w:rPr>
        <w:t xml:space="preserve">以下为中标后</w:t>
      </w:r>
      <w:r>
        <w:rPr>
          <w:rFonts w:hint="eastAsia" w:ascii="Times New Roman" w:hAnsi="Times New Roman" w:eastAsia="宋体" w:cs="Times New Roman"/>
          <w:bCs/>
          <w:caps w:val="0"/>
          <w:color w:val="000000"/>
          <w:sz w:val="24"/>
          <w:highlight w:val="none"/>
          <w:lang w:eastAsia="zh-CN"/>
        </w:rPr>
        <w:t xml:space="preserve">签订</w:t>
      </w:r>
      <w:r>
        <w:rPr>
          <w:rFonts w:hint="eastAsia" w:ascii="Times New Roman" w:hAnsi="Times New Roman" w:eastAsia="宋体" w:cs="Times New Roman"/>
          <w:bCs/>
          <w:caps w:val="0"/>
          <w:color w:val="000000"/>
          <w:sz w:val="24"/>
          <w:highlight w:val="none"/>
        </w:rPr>
        <w:t xml:space="preserve">本项目合同的通用条款，投标人不得提出实质性的修改。</w:t>
      </w:r>
      <w:r>
        <w:rPr>
          <w:rFonts w:ascii="Times New Roman" w:hAnsi="Times New Roman" w:eastAsia="宋体" w:cs="Times New Roman"/>
          <w:bCs/>
          <w:caps w:val="0"/>
          <w:color w:val="000000"/>
          <w:sz w:val="24"/>
          <w:highlight w:val="none"/>
        </w:rPr>
      </w:r>
      <w:r/>
    </w:p>
    <w:p>
      <w:pPr>
        <w:pStyle w:val="989"/>
        <w:ind w:left="0" w:right="0" w:firstLine="0"/>
        <w:keepLines w:val="0"/>
        <w:pageBreakBefore w:val="0"/>
        <w:spacing w:line="360" w:lineRule="auto"/>
        <w:shd w:val="clear" w:color="auto" w:fill="auto"/>
        <w:rPr>
          <w:rFonts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关于专用条款将由采购人与投标人结合本项目具体情况协商后签订。</w:t>
      </w:r>
      <w:r>
        <w:rPr>
          <w:rFonts w:ascii="Times New Roman" w:hAnsi="Times New Roman" w:eastAsia="宋体" w:cs="Times New Roman"/>
          <w:bCs/>
          <w:caps w:val="0"/>
          <w:color w:val="000000"/>
          <w:sz w:val="24"/>
          <w:highlight w:val="none"/>
        </w:rPr>
      </w:r>
      <w:r/>
    </w:p>
    <w:p>
      <w:pPr>
        <w:pStyle w:val="989"/>
        <w:ind w:firstLine="480"/>
        <w:jc w:val="both"/>
        <w:keepLines w:val="0"/>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146" w:name="_Hlt16619369"/>
      <w:r/>
      <w:bookmarkEnd w:id="146"/>
      <w:r>
        <w:rPr>
          <w:rFonts w:hint="eastAsia" w:ascii="宋体" w:hAnsi="宋体" w:eastAsia="宋体" w:cs="宋体"/>
          <w:color w:val="000000"/>
          <w:sz w:val="24"/>
          <w:szCs w:val="22"/>
          <w:highlight w:val="none"/>
          <w:lang w:val="en-US" w:eastAsia="zh-CN" w:bidi="ar-SA"/>
        </w:rPr>
        <w:t xml:space="preserve">采购单位（全称）：</w:t>
      </w:r>
      <w:r>
        <w:rPr>
          <w:rFonts w:hint="eastAsia" w:ascii="宋体" w:hAnsi="宋体" w:eastAsia="宋体" w:cs="宋体"/>
          <w:color w:val="000000"/>
          <w:sz w:val="24"/>
          <w:szCs w:val="22"/>
          <w:highlight w:val="none"/>
          <w:u w:val="single"/>
          <w:lang w:val="en-US" w:eastAsia="zh-CN" w:bidi="ar-SA"/>
        </w:rPr>
        <w:t xml:space="preserve">                                    </w:t>
      </w:r>
      <w:r>
        <w:rPr>
          <w:rFonts w:hint="eastAsia" w:ascii="宋体" w:hAnsi="宋体" w:eastAsia="宋体" w:cs="宋体"/>
          <w:color w:val="000000"/>
          <w:sz w:val="24"/>
          <w:szCs w:val="22"/>
          <w:highlight w:val="none"/>
          <w:lang w:val="en-US" w:eastAsia="zh-CN" w:bidi="ar-SA"/>
        </w:rPr>
        <w:t xml:space="preserve">（简称甲方）</w:t>
      </w:r>
      <w:r>
        <w:rPr>
          <w:rFonts w:hint="eastAsia" w:ascii="宋体" w:hAnsi="宋体" w:eastAsia="宋体" w:cs="宋体"/>
          <w:color w:val="000000"/>
          <w:sz w:val="24"/>
          <w:szCs w:val="24"/>
          <w:highlight w:val="none"/>
          <w:lang w:val="en-US" w:eastAsia="zh-CN" w:bidi="ar-SA"/>
        </w:rPr>
      </w:r>
      <w:r/>
    </w:p>
    <w:p>
      <w:pPr>
        <w:pStyle w:val="989"/>
        <w:ind w:firstLine="480"/>
        <w:jc w:val="both"/>
        <w:keepLines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中标人（全称）：</w:t>
      </w:r>
      <w:r>
        <w:rPr>
          <w:rFonts w:hint="eastAsia" w:ascii="宋体" w:hAnsi="宋体" w:eastAsia="宋体" w:cs="宋体"/>
          <w:color w:val="000000"/>
          <w:sz w:val="24"/>
          <w:szCs w:val="22"/>
          <w:highlight w:val="none"/>
          <w:u w:val="single"/>
          <w:lang w:val="en-US" w:eastAsia="zh-CN" w:bidi="ar-SA"/>
        </w:rPr>
        <w:t xml:space="preserve">                                  </w:t>
      </w:r>
      <w:r>
        <w:rPr>
          <w:rFonts w:hint="eastAsia" w:ascii="宋体" w:hAnsi="宋体" w:eastAsia="宋体" w:cs="宋体"/>
          <w:color w:val="000000"/>
          <w:sz w:val="24"/>
          <w:szCs w:val="22"/>
          <w:highlight w:val="none"/>
          <w:lang w:val="en-US" w:eastAsia="zh-CN" w:bidi="ar-SA"/>
        </w:rPr>
        <w:t xml:space="preserve">（简称乙方）</w:t>
      </w:r>
      <w:r>
        <w:rPr>
          <w:rFonts w:hint="eastAsia" w:ascii="宋体" w:hAnsi="宋体" w:eastAsia="宋体" w:cs="宋体"/>
          <w:color w:val="000000"/>
          <w:sz w:val="24"/>
          <w:szCs w:val="22"/>
          <w:highlight w:val="none"/>
          <w:lang w:val="en-US" w:eastAsia="zh-CN" w:bidi="ar-SA"/>
        </w:rPr>
      </w:r>
      <w:r/>
    </w:p>
    <w:p>
      <w:pPr>
        <w:pStyle w:val="989"/>
        <w:ind w:firstLine="480"/>
        <w:jc w:val="both"/>
        <w:keepLines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color w:val="000000"/>
          <w:sz w:val="24"/>
          <w:szCs w:val="22"/>
          <w:highlight w:val="none"/>
          <w:u w:val="single"/>
          <w:lang w:val="en-US" w:eastAsia="zh-CN" w:bidi="ar-SA"/>
        </w:rPr>
        <w:t xml:space="preserve">      </w:t>
      </w:r>
      <w:r>
        <w:rPr>
          <w:rFonts w:hint="eastAsia" w:ascii="宋体" w:hAnsi="宋体" w:eastAsia="宋体" w:cs="宋体"/>
          <w:bCs/>
          <w:color w:val="000000"/>
          <w:sz w:val="24"/>
          <w:szCs w:val="22"/>
          <w:highlight w:val="none"/>
          <w:lang w:val="en-US" w:eastAsia="zh-CN" w:bidi="ar-SA"/>
        </w:rPr>
        <w:t xml:space="preserve">相关</w:t>
      </w:r>
      <w:r>
        <w:rPr>
          <w:rFonts w:hint="eastAsia" w:ascii="宋体" w:hAnsi="宋体" w:eastAsia="宋体" w:cs="宋体"/>
          <w:color w:val="000000"/>
          <w:sz w:val="24"/>
          <w:szCs w:val="22"/>
          <w:highlight w:val="none"/>
          <w:lang w:val="en-US" w:eastAsia="zh-CN" w:bidi="ar-SA"/>
        </w:rPr>
        <w:t xml:space="preserve">事项协商一致，达成如下合同条款：</w:t>
      </w:r>
      <w:r>
        <w:rPr>
          <w:rFonts w:hint="eastAsia" w:ascii="宋体" w:hAnsi="宋体" w:eastAsia="宋体" w:cs="宋体"/>
          <w:color w:val="000000"/>
          <w:sz w:val="24"/>
          <w:szCs w:val="22"/>
          <w:highlight w:val="none"/>
          <w:lang w:val="en-US" w:eastAsia="zh-CN" w:bidi="ar-SA"/>
        </w:rPr>
      </w:r>
      <w:r/>
    </w:p>
    <w:p>
      <w:pPr>
        <w:pStyle w:val="989"/>
        <w:numPr>
          <w:ilvl w:val="0"/>
          <w:numId w:val="0"/>
        </w:numPr>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rPr>
        <w:t xml:space="preserve">合同金额及履行期限</w:t>
      </w:r>
      <w:r>
        <w:rPr>
          <w:rFonts w:ascii="宋体" w:hAnsi="宋体" w:eastAsia="宋体" w:cs="宋体"/>
          <w:b/>
          <w:bCs/>
          <w:color w:val="000000"/>
          <w:sz w:val="24"/>
          <w:szCs w:val="24"/>
          <w:highlight w:val="none"/>
          <w:lang w:val="en-US"/>
        </w:rPr>
      </w:r>
      <w:r/>
    </w:p>
    <w:p>
      <w:pPr>
        <w:pStyle w:val="98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.合同金额：宿迁学院医务室医疗服务托管服务费 </w:t>
      </w:r>
      <w:r>
        <w:rPr>
          <w:rFonts w:hint="eastAsia" w:ascii="宋体" w:hAnsi="宋体" w:eastAsia="宋体" w:cs="宋体"/>
          <w:color w:val="000000"/>
          <w:sz w:val="24"/>
          <w:szCs w:val="24"/>
          <w:highlight w:val="none"/>
          <w:u w:val="single"/>
          <w:lang w:val="en-US" w:eastAsia="zh-CN"/>
        </w:rPr>
        <w:t xml:space="preserve">         元/年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9"/>
        <w:numPr>
          <w:ilvl w:val="0"/>
          <w:numId w:val="0"/>
        </w:numPr>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2.合同履行期限：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aps w:val="0"/>
          <w:color w:val="000000"/>
          <w:sz w:val="24"/>
          <w:szCs w:val="24"/>
          <w:highlight w:val="none"/>
          <w:lang w:val="en-US" w:eastAsia="zh-CN"/>
        </w:rPr>
        <w:t xml:space="preserve">（合同1年1签，每年度考核合格方可继续履行合同，考核不合格，采购人有权不再续签合同）</w:t>
      </w:r>
      <w:r>
        <w:rPr>
          <w:rFonts w:hint="eastAsia" w:ascii="宋体" w:hAnsi="宋体" w:eastAsia="宋体" w:cs="宋体"/>
          <w:caps w:val="0"/>
          <w:color w:val="000000"/>
          <w:sz w:val="24"/>
          <w:szCs w:val="24"/>
          <w:highlight w:val="none"/>
          <w:lang w:val="en-US" w:eastAsia="zh-CN"/>
        </w:rPr>
      </w:r>
      <w:r/>
    </w:p>
    <w:p>
      <w:pPr>
        <w:pStyle w:val="989"/>
        <w:numPr>
          <w:ilvl w:val="0"/>
          <w:numId w:val="0"/>
        </w:numPr>
        <w:ind w:left="0" w:firstLine="480"/>
        <w:keepLines w:val="0"/>
        <w:keepNext w:val="0"/>
        <w:pageBreakBefore w:val="0"/>
        <w:spacing w:line="56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aps w:val="0"/>
          <w:color w:val="000000"/>
          <w:sz w:val="24"/>
          <w:szCs w:val="24"/>
          <w:highlight w:val="none"/>
        </w:rPr>
        <w:t xml:space="preserve">注：合同服务期开始时间为中标机构实际进驻时间开始</w:t>
      </w:r>
      <w:r>
        <w:rPr>
          <w:rFonts w:hint="eastAsia" w:ascii="宋体" w:hAnsi="宋体" w:eastAsia="宋体" w:cs="宋体"/>
          <w:caps w:val="0"/>
          <w:color w:val="000000"/>
          <w:sz w:val="24"/>
          <w:szCs w:val="24"/>
          <w:highlight w:val="none"/>
          <w:lang w:val="en-US" w:eastAsia="zh-CN"/>
        </w:rPr>
        <w:t xml:space="preserve">计</w:t>
      </w:r>
      <w:r>
        <w:rPr>
          <w:rFonts w:hint="eastAsia" w:ascii="宋体" w:hAnsi="宋体" w:eastAsia="宋体" w:cs="宋体"/>
          <w:caps w:val="0"/>
          <w:color w:val="000000"/>
          <w:sz w:val="24"/>
          <w:szCs w:val="24"/>
          <w:highlight w:val="none"/>
        </w:rPr>
        <w:t xml:space="preserve">算，以采购人发出的进驻通知单为准。</w:t>
      </w:r>
      <w:r>
        <w:rPr>
          <w:rFonts w:ascii="宋体" w:hAnsi="宋体" w:eastAsia="宋体" w:cs="宋体"/>
          <w:color w:val="000000"/>
          <w:sz w:val="24"/>
          <w:szCs w:val="24"/>
          <w:highlight w:val="none"/>
          <w:lang w:val="en-US" w:eastAsia="zh-CN"/>
        </w:rPr>
      </w:r>
      <w:r/>
    </w:p>
    <w:p>
      <w:pPr>
        <w:pStyle w:val="989"/>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二、付款方式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按照付款方式，采购人及时办理付款手续。对于满足合同约定支付条件的，自收到发票后</w:t>
      </w:r>
      <w:r>
        <w:rPr>
          <w:rFonts w:hint="eastAsia" w:ascii="宋体" w:hAnsi="宋体" w:eastAsia="宋体" w:cs="宋体"/>
          <w:b/>
          <w:bCs/>
          <w:color w:val="000000"/>
          <w:sz w:val="24"/>
          <w:highlight w:val="none"/>
        </w:rPr>
        <w:t xml:space="preserve">10个工作日</w:t>
      </w:r>
      <w:r>
        <w:rPr>
          <w:rFonts w:hint="eastAsia" w:ascii="宋体" w:hAnsi="宋体" w:eastAsia="宋体" w:cs="宋体"/>
          <w:color w:val="000000"/>
          <w:sz w:val="24"/>
          <w:highlight w:val="none"/>
        </w:rPr>
        <w:t xml:space="preserve">内将资金支付到合同约定的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账户或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数字人民币账户。</w:t>
      </w:r>
      <w:r>
        <w:rPr>
          <w:rFonts w:hint="eastAsia" w:ascii="宋体" w:hAnsi="宋体" w:eastAsia="宋体" w:cs="宋体"/>
          <w:color w:val="000000"/>
          <w:sz w:val="24"/>
          <w:highlight w:val="none"/>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预付款：合同金额的10%，合同签订后按规定支付；</w:t>
      </w:r>
      <w:r>
        <w:rPr>
          <w:rFonts w:hint="eastAsia"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进度款：</w:t>
      </w:r>
      <w:r>
        <w:rPr>
          <w:rFonts w:hint="eastAsia" w:ascii="宋体" w:hAnsi="宋体" w:eastAsia="宋体" w:cs="宋体"/>
          <w:color w:val="000000"/>
          <w:sz w:val="24"/>
          <w:highlight w:val="none"/>
        </w:rPr>
        <w:t xml:space="preserve">服务费按</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结算，</w:t>
      </w:r>
      <w:r>
        <w:rPr>
          <w:rFonts w:hint="eastAsia" w:ascii="宋体" w:hAnsi="宋体" w:eastAsia="宋体" w:cs="宋体"/>
          <w:color w:val="000000"/>
          <w:sz w:val="24"/>
          <w:highlight w:val="none"/>
          <w:lang w:eastAsia="zh-CN"/>
        </w:rPr>
        <w:t xml:space="preserve">由采购人主管部门确认付款金额</w:t>
      </w:r>
      <w:r>
        <w:rPr>
          <w:rFonts w:hint="eastAsia" w:ascii="宋体" w:hAnsi="宋体" w:eastAsia="宋体" w:cs="宋体"/>
          <w:color w:val="000000"/>
          <w:sz w:val="24"/>
          <w:highlight w:val="none"/>
        </w:rPr>
        <w:t xml:space="preserve">；每</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考核得分达9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分以上（含9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分）学校全额支付本</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服务费，9</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分以下每扣1分，该</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rPr>
        <w:t xml:space="preserve">度服务费扣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000元；每年考核有两次分值低于85分，或有一次分值低于80分的，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有权提前终止合同（</w:t>
      </w:r>
      <w:r>
        <w:rPr>
          <w:rFonts w:hint="eastAsia" w:ascii="宋体" w:hAnsi="宋体" w:eastAsia="宋体" w:cs="宋体"/>
          <w:b/>
          <w:bCs/>
          <w:color w:val="000000"/>
          <w:sz w:val="24"/>
          <w:highlight w:val="none"/>
          <w:lang w:val="en-US" w:eastAsia="zh-CN"/>
        </w:rPr>
        <w:t xml:space="preserve">年度考核得分包括两部分，分别为宿迁学院医务室考核标准、医务室服务质量调查问卷</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各占比50%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宿迁学院医务室考核标准、医务室服务质量调查问卷</w:t>
      </w:r>
      <w:r>
        <w:rPr>
          <w:rFonts w:hint="eastAsia" w:ascii="宋体" w:hAnsi="宋体" w:eastAsia="宋体" w:cs="宋体"/>
          <w:b/>
          <w:bCs/>
          <w:color w:val="000000"/>
          <w:sz w:val="24"/>
          <w:highlight w:val="none"/>
        </w:rPr>
        <w:t xml:space="preserve">详见</w:t>
      </w:r>
      <w:r>
        <w:rPr>
          <w:rFonts w:hint="eastAsia" w:ascii="宋体" w:hAnsi="宋体" w:eastAsia="宋体" w:cs="宋体"/>
          <w:b/>
          <w:bCs/>
          <w:color w:val="000000"/>
          <w:sz w:val="24"/>
          <w:highlight w:val="none"/>
          <w:lang w:val="en-US" w:eastAsia="zh-CN"/>
        </w:rPr>
        <w:t xml:space="preserve">合同</w:t>
      </w:r>
      <w:r>
        <w:rPr>
          <w:rFonts w:hint="eastAsia" w:ascii="宋体" w:hAnsi="宋体" w:eastAsia="宋体" w:cs="宋体"/>
          <w:b/>
          <w:bCs/>
          <w:color w:val="000000"/>
          <w:sz w:val="24"/>
          <w:highlight w:val="none"/>
        </w:rPr>
        <w:t xml:space="preserve">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每月考核1次，年度考核得分为当年度12个月考核得分平均值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ind w:firstLine="480"/>
        <w:spacing w:line="5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首次进度款支付时扣除预付款。</w:t>
      </w:r>
      <w:r>
        <w:rPr>
          <w:rFonts w:ascii="宋体" w:hAnsi="宋体" w:eastAsia="宋体" w:cs="宋体"/>
          <w:color w:val="000000"/>
          <w:sz w:val="24"/>
          <w:highlight w:val="none"/>
          <w:lang w:val="en-US" w:eastAsia="zh-CN"/>
        </w:rPr>
      </w:r>
      <w:r/>
    </w:p>
    <w:p>
      <w:pPr>
        <w:pStyle w:val="989"/>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注：在签订合同时，中标人明确表示无需预付款或者主动要求降低预付款比例的金额，采购人可不适用预付款规定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三、核心医疗服务内容要求</w: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（一）日常诊疗服务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托管机构须依法持证执业，医护人员资质齐全、相对稳定，严格执行首诊负责、医疗核心制度，规范开展常见病、多发病诊治、基础护理及外伤处置，做好病历与就诊登记。及时处置急危重症并规范转诊。落实传染病监测报告、健康宣教、消毒隔离及医疗废物规范处置。药品耗材合法采购、合理使用，杜绝过期及违规用药。服从学校统一管理，严守医疗安全，保护师生隐私，接受监督考核，确保服务规范高效。</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（二）急诊应急及转诊服务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建立完善的急诊急救转诊预案，配备专业急救用品，对校园突发急症、外伤、休克等病患第一时间开展初步急救处置；同步启动转诊流程，利用自身医院及周边上级医院绿色通道，快速、安全完成重症病患转诊，全程做好对接，保障救治及时性。</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（三）健康体检服务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中标机构需依托自身体检资质及设备，全面承接宿迁学院新校区师生入学体检、年度体检、专项健康体检等服务，制定科学合理的体检套餐，出具规范体检报告，提供体检结果解读、健康指导、健康档案建立等配套服务，体检流程便捷、收费合理，贴合校园师生需求。新生体检严格遵循体检标准“苏教体艺[2018]8号”。</w:t>
      </w:r>
      <w:r>
        <w:rPr>
          <w:rFonts w:eastAsia="宋体" w:cs="Times New Roman"/>
        </w:rPr>
        <mc:AlternateContent>
          <mc:Choice Requires="wpg">
            <w:drawing>
              <wp:inline xmlns:wp="http://schemas.openxmlformats.org/drawingml/2006/wordprocessingDrawing" distT="0" distB="0" distL="0" distR="0">
                <wp:extent cx="5600090" cy="695716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00090" cy="695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1.0pt;height:547.8pt;mso-wrap-distance-left:0.0pt;mso-wrap-distance-top:0.0pt;mso-wrap-distance-right:0.0pt;mso-wrap-distance-bottom:0.0pt;" stroked="f">
                <v:path textboxrect="0,0,0,0"/>
                <v:imagedata r:id="rId19" o:title=""/>
              </v:shape>
            </w:pict>
          </mc:Fallback>
        </mc:AlternateContent>
      </w:r>
      <w:r>
        <w:rPr>
          <w:rFonts w:ascii="宋体" w:hAnsi="宋体" w:eastAsia="宋体" w:cs="宋体"/>
          <w:b w:val="0"/>
          <w:bCs w:val="0"/>
          <w:color w:val="000000"/>
          <w:spacing w:val="0"/>
          <w:sz w:val="24"/>
          <w:szCs w:val="24"/>
          <w:highlight w:val="none"/>
          <w:lang w:val="en-US" w:eastAsia="zh-CN"/>
        </w:rPr>
      </w:r>
      <w:r/>
    </w:p>
    <w:p>
      <w:pPr>
        <w:pStyle w:val="989"/>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w:rPr>
          <w:rFonts w:eastAsia="宋体" w:cs="Times New Roman"/>
        </w:rPr>
        <mc:AlternateContent>
          <mc:Choice Requires="wpg">
            <w:drawing>
              <wp:inline xmlns:wp="http://schemas.openxmlformats.org/drawingml/2006/wordprocessingDrawing" distT="0" distB="0" distL="0" distR="0">
                <wp:extent cx="5603240" cy="823170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03240" cy="82317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1.2pt;height:648.2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color w:val="000000"/>
          <w:spacing w:val="0"/>
          <w:sz w:val="24"/>
          <w:szCs w:val="24"/>
          <w:highlight w:val="none"/>
          <w:lang w:val="en-US" w:eastAsia="zh-CN"/>
        </w:rPr>
      </w:r>
      <w:r/>
    </w:p>
    <w:p>
      <w:pPr>
        <w:pStyle w:val="989"/>
        <w:ind w:right="0"/>
        <w:jc w:val="left"/>
        <w:keepLines w:val="0"/>
        <w:keepNext w:val="0"/>
        <w:pageBreakBefore w:val="0"/>
        <w:spacing w:before="0" w:beforeAutospacing="0" w:after="0" w:afterAutospacing="0" w:line="360" w:lineRule="auto"/>
        <w:widowControl/>
        <w:rPr>
          <w:rFonts w:eastAsia="宋体" w:cs="Times New Roma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w:rPr>
          <w:rFonts w:eastAsia="宋体" w:cs="Times New Roman"/>
        </w:rPr>
        <mc:AlternateContent>
          <mc:Choice Requires="wpg">
            <w:drawing>
              <wp:inline xmlns:wp="http://schemas.openxmlformats.org/drawingml/2006/wordprocessingDrawing" distT="0" distB="0" distL="0" distR="0">
                <wp:extent cx="5609374" cy="824095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09374" cy="8240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1.7pt;height:648.9pt;mso-wrap-distance-left:0.0pt;mso-wrap-distance-top:0.0pt;mso-wrap-distance-right:0.0pt;mso-wrap-distance-bottom:0.0pt;" stroked="f">
                <v:path textboxrect="0,0,0,0"/>
                <v:imagedata r:id="rId21" o:title=""/>
              </v:shape>
            </w:pict>
          </mc:Fallback>
        </mc:AlternateContent>
      </w:r>
      <w:r>
        <w:rPr>
          <w:rFonts w:eastAsia="宋体" w:cs="Times New Roman"/>
        </w:rPr>
      </w:r>
      <w:r/>
    </w:p>
    <w:p>
      <w:pPr>
        <w:pStyle w:val="989"/>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eastAsia="宋体" w:cs="Times New Roman"/>
        </w:rPr>
        <w:br w:type="page" w:clear="all"/>
      </w:r>
      <w:r>
        <w:rPr>
          <w:rFonts w:eastAsia="宋体" w:cs="Times New Roman"/>
        </w:rPr>
        <mc:AlternateContent>
          <mc:Choice Requires="wpg">
            <w:drawing>
              <wp:inline xmlns:wp="http://schemas.openxmlformats.org/drawingml/2006/wordprocessingDrawing" distT="0" distB="0" distL="0" distR="0">
                <wp:extent cx="5616296" cy="830369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616296" cy="8303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2.2pt;height:653.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br w:type="page" w:clear="all"/>
      </w:r>
      <w:r>
        <w:rPr>
          <w:rFonts w:hint="eastAsia" w:ascii="宋体" w:hAnsi="宋体" w:eastAsia="宋体" w:cs="宋体"/>
          <w:b/>
          <w:bCs/>
          <w:color w:val="000000"/>
          <w:spacing w:val="0"/>
          <w:sz w:val="24"/>
          <w:szCs w:val="24"/>
          <w:highlight w:val="none"/>
          <w:lang w:val="en-US" w:eastAsia="zh-CN"/>
        </w:rPr>
        <w:t xml:space="preserve">（四）学院大型活动医疗保障服务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保障范围：全面承担学校各类大型活动现场医疗保障，包括但不限于开学典礼、毕业典礼、运动会、军训、文艺汇演、体育赛事、大型考试、校外集体活动等。</w:t>
      </w:r>
      <w:r>
        <w:rPr>
          <w:rFonts w:hint="eastAsia" w:ascii="宋体" w:hAnsi="宋体" w:eastAsia="宋体" w:cs="宋体"/>
          <w:b w:val="0"/>
          <w:bCs w:val="0"/>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服务要求：现场提供医疗处置、健康咨询、轻症救治；遇突发重伤、急危重症立即实施现场急救，并快速启动院内绿色通道，无缝衔接转诊救治；保障结束后及时整理医疗保障台账，向学校报备。</w:t>
      </w:r>
      <w:r>
        <w:rPr>
          <w:rFonts w:hint="eastAsia" w:ascii="宋体" w:hAnsi="宋体" w:eastAsia="宋体" w:cs="宋体"/>
          <w:b w:val="0"/>
          <w:bCs w:val="0"/>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响应要求：学校提前通知即可安排，保障时间与活动全程同步，服从学校统一调度，保障零差错、零延误。</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（五）公共卫生服务</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配合学校开展传染病预防监测、上报及防控宣教，建立师生健康档案，开展校园健康知识讲座、卫生防疫宣传，落实校园公共卫生管理要求。</w:t>
      </w:r>
      <w:r>
        <w:rPr>
          <w:rFonts w:hint="eastAsia" w:ascii="宋体" w:hAnsi="宋体" w:eastAsia="宋体" w:cs="宋体"/>
          <w:b w:val="0"/>
          <w:bCs w:val="0"/>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四、医护人员配置及服务时间要求</w:t>
      </w:r>
      <w:r>
        <w:rPr>
          <w:rFonts w:hint="eastAsia" w:ascii="宋体" w:hAnsi="宋体" w:eastAsia="宋体" w:cs="宋体"/>
          <w:b/>
          <w:bCs/>
          <w:color w:val="000000"/>
          <w:spacing w:val="0"/>
          <w:sz w:val="24"/>
          <w:szCs w:val="24"/>
          <w:highlight w:val="none"/>
          <w:lang w:val="en-US" w:eastAsia="zh-CN"/>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（一）服务时间</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医务室实行</w:t>
      </w:r>
      <w:r>
        <w:rPr>
          <w:rFonts w:hint="eastAsia" w:ascii="宋体" w:hAnsi="宋体" w:eastAsia="宋体" w:cs="宋体"/>
          <w:b/>
          <w:bCs/>
          <w:color w:val="000000"/>
          <w:sz w:val="24"/>
          <w:szCs w:val="24"/>
          <w:highlight w:val="none"/>
          <w:lang w:val="en-US" w:eastAsia="zh-CN" w:bidi="ar"/>
        </w:rPr>
        <w:t xml:space="preserve">24 小时不间断诊疗服务</w:t>
      </w:r>
      <w:r>
        <w:rPr>
          <w:rFonts w:hint="eastAsia" w:ascii="宋体" w:hAnsi="宋体" w:eastAsia="宋体" w:cs="宋体"/>
          <w:color w:val="000000"/>
          <w:sz w:val="24"/>
          <w:szCs w:val="24"/>
          <w:highlight w:val="none"/>
          <w:lang w:val="en-US" w:eastAsia="zh-CN" w:bidi="ar"/>
        </w:rPr>
        <w:t xml:space="preserve">，无节假日、无休息日，全天候为师生提供医疗服务，保障师生随时就医需求。</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（二）人员配置</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所有上岗医护人员必须持有合法有效的执业资格证书、职称证书，持证上岗，无不良执业记录，经学校审核备案后方可上岗，职称要求：主治医生及以上，</w:t>
      </w:r>
      <w:r>
        <w:rPr>
          <w:rFonts w:hint="eastAsia" w:ascii="宋体" w:hAnsi="宋体" w:eastAsia="宋体" w:cs="宋体"/>
          <w:color w:val="000000"/>
          <w:sz w:val="24"/>
          <w:szCs w:val="24"/>
          <w:highlight w:val="none"/>
        </w:rPr>
        <w:t xml:space="preserve">主管</w:t>
      </w:r>
      <w:r>
        <w:rPr>
          <w:rFonts w:hint="eastAsia" w:ascii="宋体" w:hAnsi="宋体" w:eastAsia="宋体" w:cs="宋体"/>
          <w:color w:val="000000"/>
          <w:sz w:val="24"/>
          <w:szCs w:val="24"/>
          <w:highlight w:val="none"/>
          <w:lang w:val="en-US" w:eastAsia="zh-CN" w:bidi="ar"/>
        </w:rPr>
        <w:t xml:space="preserve">护师及以上。且人员配置严格按照以下标准执行：</w:t>
      </w:r>
      <w:r>
        <w:rPr>
          <w:rFonts w:hint="eastAsia" w:ascii="宋体" w:hAnsi="宋体" w:eastAsia="宋体" w:cs="宋体"/>
          <w:color w:val="000000"/>
          <w:sz w:val="24"/>
          <w:szCs w:val="24"/>
          <w:highlight w:val="none"/>
        </w:rPr>
      </w:r>
      <w:r/>
    </w:p>
    <w:p>
      <w:pPr>
        <w:pStyle w:val="989"/>
        <w:numPr>
          <w:ilvl w:val="0"/>
          <w:numId w:val="9"/>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白班</w:t>
      </w:r>
      <w:r>
        <w:rPr>
          <w:rFonts w:hint="eastAsia" w:ascii="宋体" w:hAnsi="宋体" w:eastAsia="宋体" w:cs="宋体"/>
          <w:color w:val="000000"/>
          <w:sz w:val="24"/>
          <w:szCs w:val="24"/>
          <w:highlight w:val="none"/>
        </w:rPr>
        <w:t xml:space="preserve">固定配置</w:t>
      </w:r>
      <w:r>
        <w:rPr>
          <w:rFonts w:hint="eastAsia" w:ascii="宋体" w:hAnsi="宋体" w:eastAsia="宋体" w:cs="宋体"/>
          <w:b/>
          <w:bCs/>
          <w:color w:val="000000"/>
          <w:sz w:val="24"/>
          <w:szCs w:val="24"/>
          <w:highlight w:val="none"/>
        </w:rPr>
        <w:t xml:space="preserve">2 名执业医师、2 名执业护士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夜班</w:t>
      </w:r>
      <w:r>
        <w:rPr>
          <w:rFonts w:hint="eastAsia" w:ascii="宋体" w:hAnsi="宋体" w:eastAsia="宋体" w:cs="宋体"/>
          <w:color w:val="000000"/>
          <w:sz w:val="24"/>
          <w:szCs w:val="24"/>
          <w:highlight w:val="none"/>
        </w:rPr>
        <w:t xml:space="preserve">固定配置</w:t>
      </w:r>
      <w:r>
        <w:rPr>
          <w:rFonts w:hint="eastAsia" w:ascii="宋体" w:hAnsi="宋体" w:eastAsia="宋体" w:cs="宋体"/>
          <w:b/>
          <w:bCs/>
          <w:color w:val="000000"/>
          <w:sz w:val="24"/>
          <w:szCs w:val="24"/>
          <w:highlight w:val="none"/>
        </w:rPr>
        <w:t xml:space="preserve">1 名执业医师、1 名执业护士</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9"/>
        <w:numPr>
          <w:ilvl w:val="0"/>
          <w:numId w:val="9"/>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医师需具备全科</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专科诊疗资质，护士需熟练掌握基础护理、急救操作、院感防控等技能，</w:t>
      </w:r>
      <w:r>
        <w:rPr>
          <w:rFonts w:hint="eastAsia" w:ascii="宋体" w:hAnsi="宋体" w:eastAsia="宋体" w:cs="宋体"/>
          <w:color w:val="000000"/>
          <w:sz w:val="24"/>
          <w:szCs w:val="24"/>
          <w:highlight w:val="none"/>
          <w:lang w:eastAsia="zh-CN"/>
        </w:rPr>
        <w:t xml:space="preserve">熟练掌握常用的药品名称、剂量、浓度、用法用量、禁忌及不良反应。</w:t>
      </w:r>
      <w:r>
        <w:rPr>
          <w:rFonts w:hint="eastAsia" w:ascii="宋体" w:hAnsi="宋体" w:eastAsia="宋体" w:cs="宋体"/>
          <w:color w:val="000000"/>
          <w:sz w:val="24"/>
          <w:szCs w:val="24"/>
          <w:highlight w:val="none"/>
        </w:rPr>
      </w:r>
      <w:r/>
    </w:p>
    <w:p>
      <w:pPr>
        <w:pStyle w:val="989"/>
        <w:numPr>
          <w:ilvl w:val="0"/>
          <w:numId w:val="9"/>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医护人员需具备丰富的急诊急救、突发外伤、急症处置经验，负责夜间突发疾病、外伤急救、初步处置及转诊对接工作。</w:t>
      </w:r>
      <w:r>
        <w:rPr>
          <w:rFonts w:hint="eastAsia" w:ascii="宋体" w:hAnsi="宋体" w:eastAsia="宋体" w:cs="宋体"/>
          <w:color w:val="000000"/>
          <w:sz w:val="24"/>
          <w:szCs w:val="24"/>
          <w:highlight w:val="none"/>
        </w:rPr>
      </w:r>
      <w:r/>
    </w:p>
    <w:p>
      <w:pPr>
        <w:pStyle w:val="989"/>
        <w:numPr>
          <w:ilvl w:val="0"/>
          <w:numId w:val="9"/>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需配备专科循环坐诊医师，所有医护人员需遵守学校校园管理规章制度，服从学校后勤、卫生管理部门的监督管理，定期参与校园公共卫生培训、应急急救演练。</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五、诊疗科室设置及循环坐诊要求</w:t>
      </w:r>
      <w:r>
        <w:rPr>
          <w:rFonts w:hint="eastAsia" w:ascii="宋体" w:hAnsi="宋体" w:eastAsia="宋体" w:cs="宋体"/>
          <w:b/>
          <w:bCs/>
          <w:color w:val="000000"/>
          <w:spacing w:val="0"/>
          <w:sz w:val="24"/>
          <w:szCs w:val="24"/>
          <w:highlight w:val="none"/>
          <w:lang w:val="en-US" w:eastAsia="zh-CN"/>
        </w:rPr>
      </w:r>
      <w:r/>
    </w:p>
    <w:p>
      <w:pPr>
        <w:pStyle w:val="98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中标医疗机构需按照以下科室设置，安排对应专业资质医师</w:t>
      </w:r>
      <w:r>
        <w:rPr>
          <w:rFonts w:hint="eastAsia" w:ascii="宋体" w:hAnsi="宋体" w:eastAsia="宋体" w:cs="宋体"/>
          <w:b/>
          <w:bCs/>
          <w:color w:val="000000"/>
          <w:sz w:val="24"/>
          <w:szCs w:val="24"/>
          <w:highlight w:val="none"/>
          <w:lang w:val="en-US" w:eastAsia="zh-CN" w:bidi="ar"/>
        </w:rPr>
        <w:t xml:space="preserve">定期循环坐诊</w:t>
      </w:r>
      <w:r>
        <w:rPr>
          <w:rFonts w:hint="eastAsia" w:ascii="宋体" w:hAnsi="宋体" w:eastAsia="宋体" w:cs="宋体"/>
          <w:color w:val="000000"/>
          <w:sz w:val="24"/>
          <w:szCs w:val="24"/>
          <w:highlight w:val="none"/>
          <w:lang w:val="en-US" w:eastAsia="zh-CN" w:bidi="ar"/>
        </w:rPr>
        <w:t xml:space="preserve">，全覆盖满足师生各类常见病、多发病诊疗需求，具体科室及服务范围如下：</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全科</w:t>
      </w:r>
      <w:r>
        <w:rPr>
          <w:rFonts w:hint="eastAsia" w:ascii="宋体" w:hAnsi="宋体" w:eastAsia="宋体" w:cs="宋体"/>
          <w:color w:val="000000"/>
          <w:sz w:val="24"/>
          <w:szCs w:val="24"/>
          <w:highlight w:val="none"/>
        </w:rPr>
        <w:t xml:space="preserve">：负责师生常见病、多发病的初步诊断、常规治疗、健康咨询、慢病初步管理、转诊初步评估等基础医疗服务，承担日常综合诊疗核心工作。</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内科（细分专科）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涵盖呼吸内科、消化内科、心血管内科、神经内科、</w:t>
      </w:r>
      <w:r>
        <w:rPr>
          <w:rFonts w:hint="eastAsia" w:ascii="宋体" w:hAnsi="宋体" w:eastAsia="宋体" w:cs="宋体"/>
          <w:color w:val="000000"/>
          <w:sz w:val="24"/>
          <w:szCs w:val="24"/>
          <w:highlight w:val="none"/>
          <w:lang w:eastAsia="zh-CN"/>
        </w:rPr>
        <w:t xml:space="preserve">内分泌科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肾内科等，</w:t>
      </w:r>
      <w:r>
        <w:rPr>
          <w:rFonts w:hint="eastAsia" w:ascii="宋体" w:hAnsi="宋体" w:eastAsia="宋体" w:cs="宋体"/>
          <w:color w:val="000000"/>
          <w:sz w:val="24"/>
          <w:szCs w:val="24"/>
          <w:highlight w:val="none"/>
        </w:rPr>
        <w:t xml:space="preserve">针对感冒、肺炎、肠胃炎、高血压、头痛头晕、血糖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尿酸</w:t>
      </w:r>
      <w:r>
        <w:rPr>
          <w:rFonts w:hint="eastAsia" w:ascii="宋体" w:hAnsi="宋体" w:eastAsia="宋体" w:cs="宋体"/>
          <w:color w:val="000000"/>
          <w:sz w:val="24"/>
          <w:szCs w:val="24"/>
          <w:highlight w:val="none"/>
        </w:rPr>
        <w:t xml:space="preserve">异常等内科各类病症开展专业诊疗、症状缓解、病情监测服务。</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外科（细分专科）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涵盖普通外科、骨科、泌尿外科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神经外科、胸外科</w:t>
      </w:r>
      <w:r>
        <w:rPr>
          <w:rFonts w:hint="eastAsia" w:ascii="宋体" w:hAnsi="宋体" w:eastAsia="宋体" w:cs="宋体"/>
          <w:color w:val="000000"/>
          <w:sz w:val="24"/>
          <w:szCs w:val="24"/>
          <w:highlight w:val="none"/>
        </w:rPr>
        <w:t xml:space="preserve">，负责浅表伤口清创缝合、皮肤软组织损伤、关节扭伤、骨折初步固定、泌尿系统轻症等外科病症处置，开展简单外科小操作。</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妇科</w:t>
      </w:r>
      <w:r>
        <w:rPr>
          <w:rFonts w:hint="eastAsia" w:ascii="宋体" w:hAnsi="宋体" w:eastAsia="宋体" w:cs="宋体"/>
          <w:color w:val="000000"/>
          <w:sz w:val="24"/>
          <w:szCs w:val="24"/>
          <w:highlight w:val="none"/>
        </w:rPr>
        <w:t xml:space="preserve">：为女性师生提供常见妇科疾病诊疗、经期保健指导、妇科健康咨询、轻症妇科问题处置服务，疑难病症及时对接转诊。</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五官科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涵盖眼科、耳鼻喉科、口腔科，负责结膜炎、干眼症、鼻炎、咽炎、扁桃体炎、口腔溃疡、牙痛等常见五官科病症初步诊疗与处理。</w:t>
      </w:r>
      <w:r>
        <w:rPr>
          <w:rFonts w:hint="eastAsia" w:ascii="宋体" w:hAnsi="宋体" w:eastAsia="宋体" w:cs="宋体"/>
          <w:color w:val="000000"/>
          <w:sz w:val="24"/>
          <w:szCs w:val="24"/>
          <w:highlight w:val="none"/>
        </w:rPr>
      </w:r>
      <w:r/>
    </w:p>
    <w:p>
      <w:pPr>
        <w:pStyle w:val="989"/>
        <w:numPr>
          <w:ilvl w:val="0"/>
          <w:numId w:val="10"/>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康复科</w:t>
      </w:r>
      <w:r>
        <w:rPr>
          <w:rFonts w:hint="eastAsia" w:ascii="宋体" w:hAnsi="宋体" w:eastAsia="宋体" w:cs="宋体"/>
          <w:color w:val="000000"/>
          <w:sz w:val="24"/>
          <w:szCs w:val="24"/>
          <w:highlight w:val="none"/>
        </w:rPr>
        <w:t xml:space="preserve">：针对师生运动损伤、肌肉劳损、关节疼痛、颈椎腰椎不适等问题，提供康复理疗、按摩、康复指导、疼痛缓解等服务。</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六、医疗设备权责及配置要求</w:t>
      </w:r>
      <w:r>
        <w:rPr>
          <w:rFonts w:hint="eastAsia" w:ascii="宋体" w:hAnsi="宋体" w:eastAsia="宋体" w:cs="宋体"/>
          <w:b/>
          <w:bCs/>
          <w:color w:val="000000"/>
          <w:spacing w:val="0"/>
          <w:sz w:val="24"/>
          <w:szCs w:val="24"/>
          <w:highlight w:val="none"/>
          <w:lang w:val="en-US" w:eastAsia="zh-CN"/>
        </w:rPr>
      </w:r>
      <w:r/>
    </w:p>
    <w:p>
      <w:pPr>
        <w:pStyle w:val="989"/>
        <w:numPr>
          <w:ilvl w:val="0"/>
          <w:numId w:val="11"/>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宿迁学院提供设备</w:t>
      </w:r>
      <w:r>
        <w:rPr>
          <w:rFonts w:hint="eastAsia" w:ascii="宋体" w:hAnsi="宋体" w:eastAsia="宋体" w:cs="宋体"/>
          <w:color w:val="000000"/>
          <w:sz w:val="24"/>
          <w:szCs w:val="24"/>
          <w:highlight w:val="none"/>
        </w:rPr>
        <w:t xml:space="preserve">：学校为医务室配备基础医疗及办公设备，包含治疗车、抢救车、病床推车、诊疗床、办公桌椅、电脑、打印机、基础储物柜等，负责该类设备的初始投放，中标机构负责日常使用、维护、清洁及保管，确保设备完好。</w:t>
      </w:r>
      <w:r>
        <w:rPr>
          <w:rFonts w:hint="eastAsia" w:ascii="宋体" w:hAnsi="宋体" w:eastAsia="宋体" w:cs="宋体"/>
          <w:color w:val="000000"/>
          <w:sz w:val="24"/>
          <w:szCs w:val="24"/>
          <w:highlight w:val="none"/>
        </w:rPr>
      </w:r>
      <w:r/>
    </w:p>
    <w:p>
      <w:pPr>
        <w:pStyle w:val="989"/>
        <w:numPr>
          <w:ilvl w:val="0"/>
          <w:numId w:val="11"/>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中标医疗机构提供设备</w:t>
      </w:r>
      <w:r>
        <w:rPr>
          <w:rFonts w:hint="eastAsia" w:ascii="宋体" w:hAnsi="宋体" w:eastAsia="宋体" w:cs="宋体"/>
          <w:b/>
          <w:bCs/>
          <w:color w:val="000000"/>
          <w:sz w:val="24"/>
          <w:szCs w:val="24"/>
          <w:highlight w:val="none"/>
          <w:lang w:val="en-US" w:eastAsia="zh-CN"/>
        </w:rPr>
        <w:t xml:space="preserve">清单</w:t>
      </w:r>
      <w:r>
        <w:rPr>
          <w:rFonts w:hint="eastAsia" w:ascii="宋体" w:hAnsi="宋体" w:eastAsia="宋体" w:cs="宋体"/>
          <w:color w:val="000000"/>
          <w:sz w:val="24"/>
          <w:szCs w:val="24"/>
          <w:highlight w:val="none"/>
        </w:rPr>
        <w:t xml:space="preserve">：除学校提供的基础设备外，医务室开展各专科诊疗、急诊急救、健康体检、院感防控等所需的</w:t>
      </w:r>
      <w:r>
        <w:rPr>
          <w:rFonts w:hint="eastAsia" w:ascii="宋体" w:hAnsi="宋体" w:eastAsia="宋体" w:cs="宋体"/>
          <w:b/>
          <w:bCs/>
          <w:color w:val="000000"/>
          <w:sz w:val="24"/>
          <w:szCs w:val="24"/>
          <w:highlight w:val="none"/>
        </w:rPr>
        <w:t xml:space="preserve">所有特殊医疗设备、专业诊疗设备、急救设备、体检设备、医用耗材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设备清单见下表，提供设备购买发票或资产清单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，均由中标医疗机构全额投入、配备、运维及更新，设备需符合国家医疗设备安全标准，满足日常诊疗及体检工作需求。</w:t>
      </w:r>
      <w:r>
        <w:rPr>
          <w:rFonts w:hint="eastAsia" w:ascii="宋体" w:hAnsi="宋体" w:eastAsia="宋体" w:cs="宋体"/>
          <w:color w:val="000000"/>
          <w:sz w:val="24"/>
          <w:szCs w:val="24"/>
          <w:highlight w:val="none"/>
        </w:rPr>
      </w:r>
      <w:r/>
    </w:p>
    <w:p>
      <w:pPr>
        <w:pStyle w:val="989"/>
        <w:numPr>
          <w:ilvl w:val="0"/>
          <w:numId w:val="0"/>
        </w:num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医疗机构</w:t>
      </w:r>
      <w:r>
        <w:rPr>
          <w:rFonts w:hint="eastAsia" w:ascii="宋体" w:hAnsi="宋体" w:eastAsia="宋体" w:cs="宋体"/>
          <w:b/>
          <w:bCs/>
          <w:color w:val="000000"/>
          <w:sz w:val="24"/>
          <w:szCs w:val="24"/>
          <w:highlight w:val="none"/>
          <w:lang w:val="en-US" w:eastAsia="zh-CN"/>
        </w:rPr>
        <w:t xml:space="preserve">需</w:t>
      </w:r>
      <w:r>
        <w:rPr>
          <w:rFonts w:hint="eastAsia" w:ascii="宋体" w:hAnsi="宋体" w:eastAsia="宋体" w:cs="宋体"/>
          <w:b/>
          <w:bCs/>
          <w:color w:val="000000"/>
          <w:sz w:val="24"/>
          <w:szCs w:val="24"/>
          <w:highlight w:val="none"/>
        </w:rPr>
        <w:t xml:space="preserve">提供设备</w:t>
      </w:r>
      <w:r>
        <w:rPr>
          <w:rFonts w:hint="eastAsia" w:ascii="宋体" w:hAnsi="宋体" w:eastAsia="宋体" w:cs="宋体"/>
          <w:b/>
          <w:bCs/>
          <w:color w:val="000000"/>
          <w:sz w:val="24"/>
          <w:szCs w:val="24"/>
          <w:highlight w:val="none"/>
          <w:lang w:val="en-US" w:eastAsia="zh-CN"/>
        </w:rPr>
        <w:t xml:space="preserve">清单</w:t>
      </w:r>
      <w:r>
        <w:rPr>
          <w:rFonts w:hint="eastAsia" w:ascii="宋体" w:hAnsi="宋体" w:eastAsia="宋体" w:cs="宋体"/>
          <w:color w:val="000000"/>
          <w:sz w:val="24"/>
          <w:szCs w:val="24"/>
          <w:highlight w:val="none"/>
        </w:rPr>
      </w:r>
      <w:r/>
    </w:p>
    <w:tbl>
      <w:tblPr>
        <w:tblW w:w="905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2"/>
        <w:gridCol w:w="3329"/>
        <w:gridCol w:w="892"/>
        <w:gridCol w:w="4036"/>
      </w:tblGrid>
      <w:tr>
        <w:trPr>
          <w:trHeight w:val="333"/>
        </w:trPr>
        <w:tc>
          <w:tcPr>
            <w:tcW w:w="1044"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0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rPr>
                <w:rFonts w:hint="eastAsia" w:ascii="宋体" w:hAnsi="宋体" w:eastAsia="宋体" w:cs="宋体"/>
                <w:i w:val="0"/>
                <w:iCs w:val="0"/>
                <w:color w:val="000000"/>
                <w:sz w:val="24"/>
                <w:szCs w:val="24"/>
                <w:u w:val="none"/>
              </w:rPr>
            </w:r>
            <w:r/>
          </w:p>
        </w:tc>
        <w:tc>
          <w:tcPr>
            <w:tcW w:w="1044"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294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MRI</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全自动化学发光分析仪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X射线计算机体层摄影设备(CT)</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全自动凝血分析仪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悬吊DR</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糖化血红蛋白分析仪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移动DR</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白带分析仪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胃肠机</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高压蒸汽灭菌锅</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数字化乳腺钼靶X线摄影设备(DBT)</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血沉仪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彩超机</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输液泵</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动脉硬化检测仪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肺功能检测仪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心脏起搏除颤仪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超声经颅多普勒</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电子上消化道内窥镜</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双能射线骨密度仪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电子结肠内窥镜（高清）</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全自动粪便分析仪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心电监护仪</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全自动尿液分析仪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心电图机</w:t>
            </w:r>
            <w:r>
              <w:rPr>
                <w:rFonts w:hint="eastAsia" w:ascii="宋体" w:hAnsi="宋体" w:eastAsia="宋体" w:cs="宋体"/>
                <w:i w:val="0"/>
                <w:iCs w:val="0"/>
                <w:color w:val="000000"/>
                <w:sz w:val="24"/>
                <w:szCs w:val="24"/>
                <w:u w:val="none"/>
              </w:rPr>
            </w:r>
            <w:r/>
          </w:p>
        </w:tc>
      </w:tr>
      <w:tr>
        <w:trPr>
          <w:trHeight w:val="333"/>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全自动血细胞分析仪</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康复理疗设备1</w:t>
            </w:r>
            <w:r>
              <w:rPr>
                <w:rFonts w:ascii="宋体" w:hAnsi="宋体" w:eastAsia="宋体" w:cs="宋体"/>
                <w:i w:val="0"/>
                <w:iCs w:val="0"/>
                <w:color w:val="000000"/>
                <w:sz w:val="24"/>
                <w:szCs w:val="24"/>
                <w:u w:val="none"/>
                <w:lang w:val="en-US" w:eastAsia="zh-CN"/>
              </w:rPr>
            </w:r>
            <w:r/>
          </w:p>
        </w:tc>
      </w:tr>
      <w:tr>
        <w:trPr>
          <w:trHeight w:val="341"/>
        </w:trPr>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329"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全自动生化分析仪 </w:t>
            </w:r>
            <w:r>
              <w:rPr>
                <w:rFonts w:hint="eastAsia" w:ascii="宋体" w:hAnsi="宋体" w:eastAsia="宋体" w:cs="宋体"/>
                <w:i w:val="0"/>
                <w:iCs w:val="0"/>
                <w:color w:val="000000"/>
                <w:sz w:val="24"/>
                <w:szCs w:val="24"/>
                <w:u w:val="none"/>
              </w:rPr>
            </w:r>
            <w:r/>
          </w:p>
        </w:tc>
        <w:tc>
          <w:tcPr>
            <w:tcW w:w="892"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036" w:type="dxa"/>
            <w:vAlign w:val="center"/>
            <w:textDirection w:val="lrTb"/>
            <w:noWrap/>
          </w:tcPr>
          <w:p>
            <w:pPr>
              <w:pStyle w:val="98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康复理疗设备2（29和30项不得是同一种）</w:t>
            </w:r>
            <w:r>
              <w:rPr>
                <w:rFonts w:hint="eastAsia" w:ascii="宋体" w:hAnsi="宋体" w:eastAsia="宋体" w:cs="宋体"/>
                <w:i w:val="0"/>
                <w:iCs w:val="0"/>
                <w:color w:val="000000"/>
                <w:sz w:val="24"/>
                <w:szCs w:val="24"/>
                <w:u w:val="none"/>
              </w:rPr>
            </w:r>
            <w:r/>
          </w:p>
        </w:tc>
      </w:tr>
    </w:tbl>
    <w:p>
      <w:pPr>
        <w:pStyle w:val="989"/>
        <w:numPr>
          <w:ilvl w:val="0"/>
          <w:numId w:val="11"/>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所有医疗设备需定期校准、维护，建立完善的设备管理台账，确保设备正常运行，保障诊疗、急救、体检工作安全开展。</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七、药品及医保服务要求</w:t>
      </w:r>
      <w:r>
        <w:rPr>
          <w:rFonts w:hint="eastAsia" w:ascii="宋体" w:hAnsi="宋体" w:eastAsia="宋体" w:cs="宋体"/>
          <w:b/>
          <w:bCs/>
          <w:color w:val="000000"/>
          <w:spacing w:val="0"/>
          <w:sz w:val="24"/>
          <w:szCs w:val="24"/>
          <w:highlight w:val="none"/>
          <w:lang w:val="en-US" w:eastAsia="zh-CN"/>
        </w:rPr>
      </w:r>
      <w:r/>
    </w:p>
    <w:p>
      <w:pPr>
        <w:pStyle w:val="989"/>
        <w:numPr>
          <w:ilvl w:val="0"/>
          <w:numId w:val="12"/>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药品供应与定价</w:t>
      </w:r>
      <w:r>
        <w:rPr>
          <w:rFonts w:hint="eastAsia" w:ascii="宋体" w:hAnsi="宋体" w:eastAsia="宋体" w:cs="宋体"/>
          <w:color w:val="000000"/>
          <w:sz w:val="24"/>
          <w:szCs w:val="24"/>
          <w:highlight w:val="none"/>
        </w:rPr>
        <w:t xml:space="preserve">：医务室所有临床使用药品，</w:t>
      </w:r>
      <w:r>
        <w:rPr>
          <w:rFonts w:hint="eastAsia" w:ascii="宋体" w:hAnsi="宋体" w:eastAsia="宋体" w:cs="宋体"/>
          <w:color w:val="000000"/>
          <w:sz w:val="24"/>
          <w:szCs w:val="24"/>
          <w:highlight w:val="none"/>
          <w:lang w:val="en-US" w:eastAsia="zh-CN"/>
        </w:rPr>
        <w:t xml:space="preserve">均需为</w:t>
      </w:r>
      <w:r>
        <w:rPr>
          <w:rFonts w:hint="eastAsia" w:ascii="宋体" w:hAnsi="宋体" w:eastAsia="宋体" w:cs="宋体"/>
          <w:b/>
          <w:bCs/>
          <w:color w:val="000000"/>
          <w:sz w:val="24"/>
          <w:szCs w:val="24"/>
          <w:highlight w:val="none"/>
        </w:rPr>
        <w:t xml:space="preserve">国家集中采购药品</w:t>
      </w:r>
      <w:r>
        <w:rPr>
          <w:rFonts w:hint="eastAsia" w:ascii="宋体" w:hAnsi="宋体" w:eastAsia="宋体" w:cs="宋体"/>
          <w:color w:val="000000"/>
          <w:sz w:val="24"/>
          <w:szCs w:val="24"/>
          <w:highlight w:val="none"/>
        </w:rPr>
        <w:t xml:space="preserve">，严格执行</w:t>
      </w:r>
      <w:r>
        <w:rPr>
          <w:rFonts w:hint="eastAsia" w:ascii="宋体" w:hAnsi="宋体" w:eastAsia="宋体" w:cs="宋体"/>
          <w:b/>
          <w:bCs/>
          <w:color w:val="000000"/>
          <w:sz w:val="24"/>
          <w:szCs w:val="24"/>
          <w:highlight w:val="none"/>
        </w:rPr>
        <w:t xml:space="preserve">药品零差价销售政策</w:t>
      </w:r>
      <w:r>
        <w:rPr>
          <w:rFonts w:hint="eastAsia" w:ascii="宋体" w:hAnsi="宋体" w:eastAsia="宋体" w:cs="宋体"/>
          <w:color w:val="000000"/>
          <w:sz w:val="24"/>
          <w:szCs w:val="24"/>
          <w:highlight w:val="none"/>
        </w:rPr>
        <w:t xml:space="preserve">，不加收任何额外费用，切实让利在校学生；药品储备充足、品类齐全，覆盖日常诊疗、急诊急救需求，药品质量合格、在有效期内，严禁使用过期、劣质药品。</w:t>
      </w:r>
      <w:r>
        <w:rPr>
          <w:rFonts w:hint="eastAsia" w:ascii="宋体" w:hAnsi="宋体" w:eastAsia="宋体" w:cs="宋体"/>
          <w:color w:val="000000"/>
          <w:sz w:val="24"/>
          <w:szCs w:val="24"/>
          <w:highlight w:val="none"/>
        </w:rPr>
      </w:r>
      <w:r/>
    </w:p>
    <w:p>
      <w:pPr>
        <w:pStyle w:val="989"/>
        <w:numPr>
          <w:ilvl w:val="0"/>
          <w:numId w:val="12"/>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医保报销服务</w:t>
      </w:r>
      <w:r>
        <w:rPr>
          <w:rFonts w:hint="eastAsia" w:ascii="宋体" w:hAnsi="宋体" w:eastAsia="宋体" w:cs="宋体"/>
          <w:color w:val="000000"/>
          <w:sz w:val="24"/>
          <w:szCs w:val="24"/>
          <w:highlight w:val="none"/>
        </w:rPr>
        <w:t xml:space="preserve">：开通医保实时结算系统，师生就诊购药、诊疗均可正常享受国家医保报销政策，严格执行医保药品目录、诊疗项目目录，规范医保结算流程，杜绝骗保、违规结算等行为，主动配合医保部门及学校开展医保核查工作。</w:t>
      </w:r>
      <w:r>
        <w:rPr>
          <w:rFonts w:hint="eastAsia" w:ascii="宋体" w:hAnsi="宋体" w:eastAsia="宋体" w:cs="宋体"/>
          <w:color w:val="000000"/>
          <w:sz w:val="24"/>
          <w:szCs w:val="24"/>
          <w:highlight w:val="none"/>
        </w:rPr>
      </w:r>
      <w:r/>
    </w:p>
    <w:p>
      <w:pPr>
        <w:pStyle w:val="989"/>
        <w:numPr>
          <w:ilvl w:val="0"/>
          <w:numId w:val="12"/>
        </w:numPr>
        <w:ind w:left="0" w:right="0" w:firstLine="482"/>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药品管理</w:t>
      </w:r>
      <w:r>
        <w:rPr>
          <w:rFonts w:hint="eastAsia" w:ascii="宋体" w:hAnsi="宋体" w:eastAsia="宋体" w:cs="宋体"/>
          <w:color w:val="000000"/>
          <w:sz w:val="24"/>
          <w:szCs w:val="24"/>
          <w:highlight w:val="none"/>
        </w:rPr>
        <w:t xml:space="preserve">：建立完善的药品采购、储存、领用、盘点制度，做好药品恒温、防潮、避光储存，规范特殊药品管理，定期清理过期药品，保障师生用药安全。</w:t>
      </w:r>
      <w:r>
        <w:rPr>
          <w:rFonts w:hint="eastAsia" w:ascii="宋体" w:hAnsi="宋体" w:eastAsia="宋体" w:cs="宋体"/>
          <w:color w:val="000000"/>
          <w:sz w:val="24"/>
          <w:szCs w:val="24"/>
          <w:highlight w:val="none"/>
        </w:rPr>
      </w:r>
      <w:r/>
    </w:p>
    <w:p>
      <w:pPr>
        <w:pStyle w:val="989"/>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八、其他要求</w:t>
      </w:r>
      <w:r>
        <w:rPr>
          <w:rFonts w:hint="eastAsia" w:ascii="宋体" w:hAnsi="宋体" w:eastAsia="宋体" w:cs="宋体"/>
          <w:b/>
          <w:bCs/>
          <w:color w:val="000000"/>
          <w:spacing w:val="0"/>
          <w:sz w:val="24"/>
          <w:szCs w:val="24"/>
          <w:highlight w:val="none"/>
          <w:lang w:val="en-US" w:eastAsia="zh-CN"/>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医护人员薪酬、药品及医用耗材采购费用、专业设备投入及运维费用、医疗废物处理费用</w:t>
      </w:r>
      <w:r>
        <w:rPr>
          <w:rFonts w:hint="eastAsia" w:ascii="宋体" w:hAnsi="宋体" w:eastAsia="宋体" w:cs="宋体"/>
          <w:b/>
          <w:bCs/>
          <w:color w:val="000000"/>
          <w:sz w:val="24"/>
          <w:szCs w:val="24"/>
          <w:highlight w:val="none"/>
          <w:lang w:val="en-US" w:eastAsia="zh-CN"/>
        </w:rPr>
        <w:t xml:space="preserve">由中标机构负责</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学校不再额外支付任何运营相关费用。</w:t>
      </w:r>
      <w:r>
        <w:rPr>
          <w:rFonts w:hint="eastAsia" w:ascii="宋体" w:hAnsi="宋体" w:eastAsia="宋体" w:cs="宋体"/>
          <w:color w:val="000000"/>
          <w:sz w:val="24"/>
          <w:szCs w:val="24"/>
          <w:highlight w:val="none"/>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中标医疗机构需按照学校财务管理制度，定期报送经费使用明细、药品采购清单、医保结算报表、服务台账等资料，接受学校财务、后勤管理部门的监督、审核与审计，确保经费使用规范、透明、合规。</w:t>
      </w:r>
      <w:r>
        <w:rPr>
          <w:rFonts w:hint="eastAsia" w:ascii="宋体" w:hAnsi="宋体" w:eastAsia="宋体" w:cs="宋体"/>
          <w:color w:val="000000"/>
          <w:sz w:val="24"/>
          <w:szCs w:val="24"/>
          <w:highlight w:val="none"/>
        </w:rPr>
      </w:r>
      <w:r/>
    </w:p>
    <w:p>
      <w:pPr>
        <w:pStyle w:val="989"/>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投标机构具备完善的医疗服务体系、急诊急救能力、健康体检资质及成熟的校园医疗服务经验，医疗质量、院感防控、医保管理均符合国家、宿迁市卫生健康部门及医保部门管理标准。</w:t>
      </w:r>
      <w:r>
        <w:rPr>
          <w:rFonts w:hint="eastAsia" w:ascii="宋体" w:hAnsi="宋体" w:eastAsia="宋体" w:cs="宋体"/>
          <w:color w:val="000000"/>
          <w:sz w:val="24"/>
          <w:szCs w:val="24"/>
          <w:highlight w:val="none"/>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trike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trike w:val="0"/>
          <w:color w:val="000000"/>
          <w:sz w:val="24"/>
          <w:szCs w:val="24"/>
          <w:highlight w:val="none"/>
          <w:lang w:val="en-US" w:eastAsia="zh-CN"/>
        </w:rPr>
        <w:t xml:space="preserve">★4.中标单位须为校医院配备与本单位共用的医疗业务信息系统，提供医疗信息安全保障（提供承诺书，否则作无效标处理）。</w:t>
      </w:r>
      <w:r>
        <w:rPr>
          <w:rFonts w:hint="eastAsia" w:ascii="宋体" w:hAnsi="宋体" w:eastAsia="宋体" w:cs="宋体"/>
          <w:b/>
          <w:bCs/>
          <w:strike w:val="0"/>
          <w:color w:val="000000"/>
          <w:sz w:val="24"/>
          <w:szCs w:val="24"/>
          <w:highlight w:val="none"/>
          <w:lang w:val="en-US" w:eastAsia="zh-CN"/>
        </w:rPr>
      </w:r>
      <w:r/>
    </w:p>
    <w:p>
      <w:pPr>
        <w:pStyle w:val="989"/>
        <w:ind w:firstLine="482"/>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lang w:val="en-US" w:eastAsia="zh-CN"/>
        </w:rPr>
        <w:t xml:space="preserve">5.乙方需承诺按照甲方需求，在行政部门许可下将自身执业地点延伸到甲方提供的医疗服务地点。（提供承诺书，否则作无效标处理）</w:t>
      </w:r>
      <w:r>
        <w:rPr>
          <w:rFonts w:ascii="宋体" w:hAnsi="宋体" w:eastAsia="宋体" w:cs="宋体"/>
          <w:b/>
          <w:bCs/>
          <w:color w:val="000000"/>
          <w:sz w:val="24"/>
          <w:highlight w:val="none"/>
          <w:lang w:val="en-US" w:eastAsia="zh-CN"/>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pacing w:val="0"/>
          <w:sz w:val="24"/>
          <w:szCs w:val="24"/>
          <w:highlight w:val="none"/>
          <w:lang w:val="en-US" w:eastAsia="zh-CN" w:bidi="ar-SA"/>
        </w:rPr>
        <w:t xml:space="preserve">九、服务监督与违约责任</w:t>
      </w:r>
      <w:r>
        <w:rPr>
          <w:rFonts w:hint="eastAsia" w:ascii="宋体" w:hAnsi="宋体" w:eastAsia="宋体" w:cs="宋体"/>
          <w:b/>
          <w:bCs/>
          <w:color w:val="000000"/>
          <w:spacing w:val="0"/>
          <w:sz w:val="24"/>
          <w:szCs w:val="24"/>
          <w:highlight w:val="none"/>
          <w:lang w:val="en-US" w:eastAsia="zh-CN" w:bidi="ar-SA"/>
        </w:rPr>
      </w:r>
      <w:r/>
    </w:p>
    <w:p>
      <w:pPr>
        <w:pStyle w:val="989"/>
        <w:numPr>
          <w:ilvl w:val="0"/>
          <w:numId w:val="13"/>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中标医疗机构需无条件接受</w:t>
      </w:r>
      <w:r>
        <w:rPr>
          <w:rFonts w:hint="eastAsia" w:ascii="宋体" w:hAnsi="宋体" w:eastAsia="宋体" w:cs="宋体"/>
          <w:strike w:val="0"/>
          <w:color w:val="000000"/>
          <w:sz w:val="24"/>
          <w:szCs w:val="24"/>
          <w:highlight w:val="none"/>
          <w:lang w:val="en-US" w:eastAsia="zh-CN"/>
        </w:rPr>
        <w:t xml:space="preserve">采购人业务管理部门、</w:t>
      </w:r>
      <w:r>
        <w:rPr>
          <w:rFonts w:hint="eastAsia" w:ascii="宋体" w:hAnsi="宋体" w:eastAsia="宋体" w:cs="宋体"/>
          <w:color w:val="000000"/>
          <w:sz w:val="24"/>
          <w:szCs w:val="24"/>
          <w:highlight w:val="none"/>
        </w:rPr>
        <w:t xml:space="preserve">卫生健康</w:t>
      </w:r>
      <w:r>
        <w:rPr>
          <w:rFonts w:hint="eastAsia" w:ascii="宋体" w:hAnsi="宋体" w:eastAsia="宋体" w:cs="宋体"/>
          <w:color w:val="000000"/>
          <w:sz w:val="24"/>
          <w:szCs w:val="24"/>
          <w:highlight w:val="none"/>
          <w:lang w:val="en-US" w:eastAsia="zh-CN"/>
        </w:rPr>
        <w:t xml:space="preserve">主管部门及</w:t>
      </w:r>
      <w:r>
        <w:rPr>
          <w:rFonts w:hint="eastAsia" w:ascii="宋体" w:hAnsi="宋体" w:eastAsia="宋体" w:cs="宋体"/>
          <w:color w:val="000000"/>
          <w:sz w:val="24"/>
          <w:szCs w:val="24"/>
          <w:highlight w:val="none"/>
        </w:rPr>
        <w:t xml:space="preserve">医保部门的</w:t>
      </w:r>
      <w:r>
        <w:rPr>
          <w:rFonts w:hint="eastAsia" w:ascii="宋体" w:hAnsi="宋体" w:eastAsia="宋体" w:cs="宋体"/>
          <w:color w:val="000000"/>
          <w:sz w:val="24"/>
          <w:szCs w:val="24"/>
          <w:highlight w:val="none"/>
          <w:lang w:val="en-US" w:eastAsia="zh-CN"/>
        </w:rPr>
        <w:t xml:space="preserve">行业</w:t>
      </w:r>
      <w:r>
        <w:rPr>
          <w:rFonts w:hint="eastAsia" w:ascii="宋体" w:hAnsi="宋体" w:eastAsia="宋体" w:cs="宋体"/>
          <w:color w:val="000000"/>
          <w:sz w:val="24"/>
          <w:szCs w:val="24"/>
          <w:highlight w:val="none"/>
        </w:rPr>
        <w:t xml:space="preserve">监督管理，严格履行本采购需求及托管合同约定的所有服务条款。</w:t>
      </w:r>
      <w:r>
        <w:rPr>
          <w:rFonts w:hint="eastAsia" w:ascii="宋体" w:hAnsi="宋体" w:eastAsia="宋体" w:cs="宋体"/>
          <w:color w:val="000000"/>
          <w:sz w:val="24"/>
          <w:szCs w:val="24"/>
          <w:highlight w:val="none"/>
        </w:rPr>
      </w:r>
      <w:r/>
    </w:p>
    <w:p>
      <w:pPr>
        <w:pStyle w:val="989"/>
        <w:numPr>
          <w:ilvl w:val="0"/>
          <w:numId w:val="13"/>
        </w:numPr>
        <w:ind w:left="0" w:right="0" w:firstLine="480"/>
        <w:jc w:val="left"/>
        <w:keepLines w:val="0"/>
        <w:keepNext w:val="0"/>
        <w:pageBreakBefore w:val="0"/>
        <w:spacing w:before="0" w:beforeAutospacing="0" w:after="0" w:afterAutospacing="0" w:line="360" w:lineRule="auto"/>
        <w:widowControl/>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若出现人员配置不足、24 小时服务缺位、药品加价、医保违规结算、体检服务不规范、急诊转诊不及时、医疗服务质量不达标等问题，学校有权要求中标机构限期整改；整改不到位或情节严重的，学校有权单方面终止托管合同，由此产生的一切损失、法律责任由中标机构全部承担。</w:t>
      </w:r>
      <w:r>
        <w:rPr>
          <w:rFonts w:hint="eastAsia" w:ascii="宋体" w:hAnsi="宋体" w:eastAsia="宋体" w:cs="宋体"/>
          <w:color w:val="000000"/>
          <w:sz w:val="24"/>
          <w:szCs w:val="24"/>
          <w:highlight w:val="none"/>
        </w:rPr>
      </w:r>
      <w:r/>
    </w:p>
    <w:p>
      <w:pPr>
        <w:pStyle w:val="98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因中标机构诊疗操作不当、管理疏漏、设备故障等医疗</w:t>
      </w:r>
      <w:r>
        <w:rPr>
          <w:rFonts w:hint="eastAsia" w:ascii="宋体" w:hAnsi="宋体" w:eastAsia="宋体" w:cs="宋体"/>
          <w:color w:val="000000"/>
          <w:sz w:val="24"/>
          <w:szCs w:val="24"/>
          <w:highlight w:val="none"/>
          <w:lang w:val="en-US" w:eastAsia="zh-CN"/>
        </w:rPr>
        <w:t xml:space="preserve">责任</w:t>
      </w:r>
      <w:r>
        <w:rPr>
          <w:rFonts w:hint="eastAsia" w:ascii="宋体" w:hAnsi="宋体" w:eastAsia="宋体" w:cs="宋体"/>
          <w:color w:val="000000"/>
          <w:sz w:val="24"/>
          <w:szCs w:val="24"/>
          <w:highlight w:val="none"/>
        </w:rPr>
        <w:t xml:space="preserve">事故引发</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医疗纠纷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经济赔偿及法律后果均由中标医疗机构承担，与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无任何关联。</w:t>
      </w:r>
      <w:r>
        <w:rPr>
          <w:rFonts w:hint="eastAsia" w:ascii="宋体" w:hAnsi="宋体" w:eastAsia="宋体" w:cs="宋体"/>
          <w:color w:val="000000"/>
          <w:sz w:val="24"/>
          <w:szCs w:val="24"/>
          <w:highlight w:val="none"/>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、甲方的权利和义务</w:t>
      </w:r>
      <w:r>
        <w:rPr>
          <w:rFonts w:hint="eastAsia" w:ascii="宋体" w:hAnsi="宋体" w:eastAsia="宋体" w:cs="宋体"/>
          <w:b/>
          <w:bCs/>
          <w:color w:val="000000"/>
          <w:sz w:val="24"/>
          <w:szCs w:val="24"/>
          <w:highlight w:val="none"/>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1.及时提供符合要求的场地，及时完成场所的基本装潢，及时提供必要办公、值班的设施设备及医护人员的住宿安排，保证水电正常使用。</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2.对乙方的服务进行师生满意度调查，根据调查结果提出整改意见。</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3.为乙方办理人员和车辆出入证、人员就餐饭卡等必要的手续。</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4.甲方对乙方派驻人员的意识形态管理按照学校的相关文件规定执行。</w:t>
      </w:r>
      <w:r>
        <w:rPr>
          <w:rFonts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5.制订医务室管理考核规定，并按规定对乙方进行全方位的监管。</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6.对乙方的医疗管理、医疗服务、医疗设备、药品质量、医疗收费等进行例行检查和日常考核，对违约违规行为进行追究。包括建议乙方撤换不适合在校工作的医务人员。</w:t>
      </w:r>
      <w:r>
        <w:rPr>
          <w:rFonts w:hint="eastAsia" w:ascii="宋体" w:hAnsi="宋体" w:eastAsia="宋体" w:cs="宋体"/>
          <w:color w:val="000000"/>
          <w:sz w:val="24"/>
          <w:highlight w:val="none"/>
          <w:lang w:val="en-US" w:eastAsia="zh-CN"/>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乙</w:t>
      </w:r>
      <w:r>
        <w:rPr>
          <w:rFonts w:hint="eastAsia" w:ascii="宋体" w:hAnsi="宋体" w:eastAsia="宋体" w:cs="宋体"/>
          <w:b/>
          <w:bCs/>
          <w:color w:val="000000"/>
          <w:sz w:val="24"/>
          <w:szCs w:val="24"/>
          <w:highlight w:val="none"/>
        </w:rPr>
        <w:t xml:space="preserve">方的权利和义务</w:t>
      </w:r>
      <w:r>
        <w:rPr>
          <w:rFonts w:hint="eastAsia" w:ascii="宋体" w:hAnsi="宋体" w:eastAsia="宋体" w:cs="宋体"/>
          <w:b/>
          <w:bCs/>
          <w:color w:val="000000"/>
          <w:sz w:val="24"/>
          <w:szCs w:val="24"/>
          <w:highlight w:val="none"/>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足额配备投标响应的医务人员。医生、护士等员工资料、信息应提供给甲方审核备案。按照劳动协议法等相关规定规范用工，所有用工费用或劳动协议争议与甲方无关。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按照约定和相关规定配备常规医疗设备</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产权归乙方所有</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。确保配备的医疗设备符合国家相关卫生标准、质量标准。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按照约定和国家对高等学校医疗保健的有关规定和卫健部门对医疗保健管理的相关要求，为甲方提供规范化的医疗卫生服务。主要负责常见病，多发病的诊断、治疗工作。对不能救治的急、重症病人应及时转诊，并通知甲方管理部门。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建立健全传染病防控机制和突发公共卫生事件应急预案。及时向学校通报传染病信息。负责学校传染病的初级预防、报告工作。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协助甲方做好饮食卫生、教学卫生、环境卫生等工作实施业务指导和监督。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乙方保证医务室所售药品质量符合国家标准，所售药品均需为国家集中采购药品，严格执行药品零差价销售政策。 </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负责每月出一期健康专栏，指导师生自我保健。积极为师生提供健康保健及心理卫生咨询、健康教育等良好的医疗保健措施。</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8.医务室以乙方为独立责任人，不得以甲方名义与第三方签订任何协议(协议)。乙方应对医疗服务负责，自主经营，自负盈亏。</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医务室所有场地只能从事与校内医务保障相关的工作，乙方不得将医务室作为其他用途或者从事医务活动以外的其他行为，不得以任何名义转借、转让、分包给第三方。并自觉遵守甲方的有关规定，接受甲方监管。</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10.乙方应主动接受国家药检、卫生、物价等有关职能部门的监督指导。</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11.甲乙双方共同建立师生对医务室医疗水平、服务、环境、收费等项目的满意度调查体系，乙方应根据师生意见和建议不断改进工作，同时将满意度纳入考核。</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12.乙方应建立完整的医务室诊疗登记档案，所产生的记录、资料、数据属双方所有，乙方应归档保管，乙方不得拒绝甲方管理人员对其查询、检查和影印。</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13.乙方应按卫健部门相关规范，负责对医疗垃圾、医疗废弃物的收集与处理工作。</w:t>
      </w:r>
      <w:r>
        <w:rPr>
          <w:rFonts w:hint="eastAsia" w:ascii="宋体" w:hAnsi="宋体" w:eastAsia="宋体" w:cs="宋体"/>
          <w:color w:val="000000"/>
          <w:sz w:val="24"/>
          <w:highlight w:val="none"/>
          <w:lang w:val="en-US" w:eastAsia="zh-CN"/>
        </w:rPr>
      </w:r>
      <w:r/>
    </w:p>
    <w:p>
      <w:pPr>
        <w:pStyle w:val="989"/>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14.为甲方全体师生提供24小时应急就医绿色通道。</w:t>
      </w:r>
      <w:r>
        <w:rPr>
          <w:rFonts w:hint="eastAsia" w:ascii="宋体" w:hAnsi="宋体" w:eastAsia="宋体" w:cs="宋体"/>
          <w:color w:val="000000"/>
          <w:sz w:val="24"/>
          <w:highlight w:val="none"/>
          <w:lang w:val="en-US" w:eastAsia="zh-CN"/>
        </w:rPr>
      </w:r>
      <w:r/>
    </w:p>
    <w:p>
      <w:pPr>
        <w:pStyle w:val="989"/>
        <w:ind w:firstLine="482"/>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15.乙方需承诺按照甲方需求，在行政部门许可下将自身执业地点延伸到甲方提供的医疗服务地点。（提供承诺书，否则作无效标处理）</w:t>
      </w:r>
      <w:r>
        <w:rPr>
          <w:rFonts w:ascii="宋体" w:hAnsi="宋体" w:eastAsia="宋体" w:cs="宋体"/>
          <w:b/>
          <w:bCs/>
          <w:color w:val="000000"/>
          <w:sz w:val="24"/>
          <w:highlight w:val="none"/>
          <w:lang w:val="en-US" w:eastAsia="zh-CN"/>
        </w:rPr>
      </w:r>
      <w:r/>
    </w:p>
    <w:p>
      <w:pPr>
        <w:pStyle w:val="989"/>
        <w:ind w:firstLine="482"/>
        <w:spacing w:line="360" w:lineRule="auto"/>
        <w:rPr>
          <w:rFonts w:hint="eastAsia" w:ascii="宋体" w:hAnsi="宋体" w:eastAsia="宋体" w:cs="宋体"/>
          <w:i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iCs/>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1、甲方无正当理由拒</w:t>
      </w:r>
      <w:r>
        <w:rPr>
          <w:rFonts w:hint="eastAsia" w:ascii="宋体" w:hAnsi="宋体" w:eastAsia="宋体" w:cs="宋体"/>
          <w:color w:val="000000"/>
          <w:sz w:val="24"/>
          <w:szCs w:val="24"/>
          <w:highlight w:val="none"/>
          <w:lang w:val="en-US" w:eastAsia="zh-CN"/>
        </w:rPr>
        <w:t xml:space="preserve">绝</w:t>
      </w:r>
      <w:r>
        <w:rPr>
          <w:rFonts w:hint="eastAsia" w:ascii="宋体" w:hAnsi="宋体" w:eastAsia="宋体" w:cs="宋体"/>
          <w:color w:val="000000"/>
          <w:sz w:val="24"/>
          <w:szCs w:val="24"/>
          <w:highlight w:val="none"/>
        </w:rPr>
        <w:t xml:space="preserve">接受服务的，甲方向乙方偿付合同款项百分之五作为违约金。</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1、不可抗力是指严重的自然灾害和灾难（如台风、洪水、地震、火灾和爆炸等）、战争（不论是否宣战）、叛乱、动乱等等。</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3、不可抗力事件发生后，应立即通知对方，并寄送有关权威机构出具的证明。</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4、不可抗力事件延续120天以上，双方应通过友好协商，确定是否继续履行合同。</w:t>
      </w:r>
      <w:r>
        <w:rPr>
          <w:rFonts w:hint="eastAsia" w:ascii="宋体" w:hAnsi="宋体" w:eastAsia="宋体" w:cs="宋体"/>
          <w:color w:val="000000"/>
          <w:sz w:val="24"/>
          <w:szCs w:val="24"/>
          <w:highlight w:val="none"/>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十四</w:t>
      </w:r>
      <w:r>
        <w:rPr>
          <w:rFonts w:hint="eastAsia" w:ascii="宋体" w:hAnsi="宋体" w:eastAsia="宋体" w:cs="宋体"/>
          <w:b/>
          <w:bCs/>
          <w:color w:val="000000"/>
          <w:sz w:val="24"/>
          <w:szCs w:val="24"/>
          <w:highlight w:val="none"/>
        </w:rPr>
        <w:t xml:space="preserve">、合同终止和解除</w:t>
      </w:r>
      <w:r>
        <w:rPr>
          <w:rFonts w:hint="eastAsia" w:ascii="宋体" w:hAnsi="宋体" w:eastAsia="宋体" w:cs="宋体"/>
          <w:b/>
          <w:bCs/>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1、在合同有效期内，一方不得擅自变更或解除此合同，如未经双方同意，擅自变更或解除合同方支付对方全年托管服务费用10%的违约赔偿金，并赔偿实际损失；</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2、乙方出现重大医疗事故造成严重后果的或出现其他违反合同约定的，甲方有权单方解除合同；</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3、乙方应保证在本合同履行期间始终具有有效的《医疗机构执业许可证》</w:t>
      </w:r>
      <w:r>
        <w:rPr>
          <w:rFonts w:hint="eastAsia" w:ascii="宋体" w:hAnsi="宋体" w:eastAsia="宋体" w:cs="宋体"/>
          <w:caps w:val="0"/>
          <w:color w:val="000000"/>
          <w:sz w:val="24"/>
          <w:szCs w:val="24"/>
          <w:highlight w:val="none"/>
          <w:lang w:eastAsia="zh-CN"/>
        </w:rPr>
        <w:t xml:space="preserve">或《诊所备案凭证》</w:t>
      </w:r>
      <w:r>
        <w:rPr>
          <w:rFonts w:hint="eastAsia" w:ascii="宋体" w:hAnsi="宋体" w:eastAsia="宋体" w:cs="宋体"/>
          <w:color w:val="000000"/>
          <w:sz w:val="24"/>
          <w:szCs w:val="24"/>
          <w:highlight w:val="none"/>
        </w:rPr>
        <w:t xml:space="preserve">，否则甲方有权即时终止合同。</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highlight w:val="none"/>
        </w:rPr>
        <w:t xml:space="preserve">每年考核有两次分值低于85分，或有一次分值低于80分的，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有权提前终止合同（考核标准详见</w:t>
      </w:r>
      <w:r>
        <w:rPr>
          <w:rFonts w:hint="eastAsia" w:ascii="宋体" w:hAnsi="宋体" w:eastAsia="宋体" w:cs="宋体"/>
          <w:color w:val="000000"/>
          <w:sz w:val="24"/>
          <w:highlight w:val="none"/>
          <w:lang w:val="en-US" w:eastAsia="zh-CN"/>
        </w:rPr>
        <w:t xml:space="preserve">合同</w:t>
      </w: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每月考核1次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98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5、除上述外，</w:t>
      </w:r>
      <w:r>
        <w:rPr>
          <w:rFonts w:hint="eastAsia" w:ascii="宋体" w:hAnsi="宋体" w:eastAsia="宋体" w:cs="宋体"/>
          <w:color w:val="000000"/>
          <w:sz w:val="24"/>
          <w:szCs w:val="24"/>
          <w:highlight w:val="none"/>
        </w:rPr>
        <w:t xml:space="preserve">乙方有下列行为之一的，甲方有权解除协议，收回医务室，乙方应赔偿甲方相应经济损失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①转租(包括部分出租)、转借医务室房屋。</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②未经甲方书面同意，改变房屋用途(包括超出经营项目范围)和结构。</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③利用承租房屋存放危险物品或进行违法活动。</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④造成医疗事故。</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⑤未按协议相关要求，经甲方多次要求整改，而未达到预期效果。</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⑥以甲方名义与第三方签订经济、劳动以及各种社会活动协议(协议)。</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⑦由于乙方过失，对甲方造成经济损失或负面影响。</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协议履行期内，甲、乙任何一方如因其他原因需提前解除协议，须提前60天书面向对方申请，得到对方同意后可以解除协议。</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由于乙方管理不善、员工失职而造成的医疗纠纷、医疗事故，由乙方承担全部责任，与甲方无涉。</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由于乙方以及所聘员工原因对甲方造成负面影响的，乙方应承担法律责任或赔偿由此而造成的经济损失。</w:t>
      </w:r>
      <w:r>
        <w:rPr>
          <w:rFonts w:hint="eastAsia" w:ascii="宋体" w:hAnsi="宋体" w:eastAsia="宋体" w:cs="宋体"/>
          <w:color w:val="000000"/>
          <w:sz w:val="24"/>
          <w:szCs w:val="24"/>
          <w:highlight w:val="none"/>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十五</w:t>
      </w:r>
      <w:r>
        <w:rPr>
          <w:rFonts w:hint="eastAsia" w:ascii="宋体" w:hAnsi="宋体" w:eastAsia="宋体" w:cs="宋体"/>
          <w:b/>
          <w:bCs/>
          <w:color w:val="000000"/>
          <w:sz w:val="24"/>
          <w:szCs w:val="24"/>
          <w:highlight w:val="none"/>
        </w:rPr>
        <w:t xml:space="preserve">、争议解决</w:t>
      </w:r>
      <w:r>
        <w:rPr>
          <w:rFonts w:hint="eastAsia" w:ascii="宋体" w:hAnsi="宋体" w:eastAsia="宋体" w:cs="宋体"/>
          <w:b/>
          <w:bCs/>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本合同在履行中如发生争议，双方应友好协商解决，若经协商不能达成协议时，双方均可向甲方所在地人民法院提起诉讼。</w:t>
      </w:r>
      <w:r>
        <w:rPr>
          <w:rFonts w:hint="eastAsia" w:ascii="宋体" w:hAnsi="宋体" w:eastAsia="宋体" w:cs="宋体"/>
          <w:color w:val="000000"/>
          <w:sz w:val="24"/>
          <w:szCs w:val="24"/>
          <w:highlight w:val="none"/>
        </w:rPr>
      </w:r>
      <w:r/>
    </w:p>
    <w:p>
      <w:pPr>
        <w:pStyle w:val="98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十六</w:t>
      </w:r>
      <w:r>
        <w:rPr>
          <w:rFonts w:hint="eastAsia" w:ascii="宋体" w:hAnsi="宋体" w:eastAsia="宋体" w:cs="宋体"/>
          <w:b/>
          <w:bCs/>
          <w:color w:val="000000"/>
          <w:sz w:val="24"/>
          <w:szCs w:val="24"/>
          <w:highlight w:val="none"/>
        </w:rPr>
        <w:t xml:space="preserve">、合同生效及其它</w:t>
      </w:r>
      <w:r>
        <w:rPr>
          <w:rFonts w:hint="eastAsia" w:ascii="宋体" w:hAnsi="宋体" w:eastAsia="宋体" w:cs="宋体"/>
          <w:b/>
          <w:bCs/>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1、合同经采购代理机构加盖骑缝章，甲乙双方代表签字（或盖章）并加盖公章（或合同章）后生效，生效合同在合同签订后2个工作日内上传苏采云系统进行网上公示及备案。</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2、甲方的采购文件和乙方的响应文件及响应承诺等作为本合同不可分割的一部分，乙方必须严格遵守执行。</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3、本合同未尽事宜，遵照《中华人民共和国民法典》有关条文执行。</w:t>
      </w:r>
      <w:r>
        <w:rPr>
          <w:rFonts w:hint="eastAsia" w:ascii="宋体" w:hAnsi="宋体" w:eastAsia="宋体" w:cs="宋体"/>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4、本合同一式伍份，甲方、乙方各执贰份，采购代理机构壹份，各份均具备同等法律效力。</w:t>
      </w:r>
      <w:r>
        <w:rPr>
          <w:rFonts w:hint="eastAsia" w:ascii="宋体" w:hAnsi="宋体" w:eastAsia="宋体" w:cs="宋体"/>
          <w:color w:val="000000"/>
          <w:sz w:val="24"/>
          <w:szCs w:val="24"/>
          <w:highlight w:val="none"/>
        </w:rPr>
      </w:r>
      <w:r/>
    </w:p>
    <w:p>
      <w:pPr>
        <w:pStyle w:val="98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法定代表人或授权代表签字：         法定代表人或授权代表签字：</w:t>
      </w:r>
      <w:r>
        <w:rPr>
          <w:rFonts w:hint="eastAsia" w:ascii="宋体" w:hAnsi="宋体" w:eastAsia="宋体" w:cs="宋体"/>
          <w:color w:val="000000"/>
          <w:sz w:val="24"/>
          <w:szCs w:val="24"/>
          <w:highlight w:val="none"/>
        </w:rPr>
      </w:r>
      <w:r/>
    </w:p>
    <w:p>
      <w:pPr>
        <w:pStyle w:val="989"/>
        <w:ind w:firstLine="480"/>
        <w:jc w:val="left"/>
        <w:keepLines w:val="0"/>
        <w:keepNext w:val="0"/>
        <w:pageBreakBefore w:val="0"/>
        <w:spacing w:line="360" w:lineRule="auto"/>
        <w:widowControl/>
        <w:rPr>
          <w:rFonts w:hint="eastAsia" w:ascii="宋体" w:hAnsi="宋体" w:cs="宋体"/>
          <w:color w:val="000000"/>
          <w:sz w:val="24"/>
          <w:szCs w:val="24"/>
          <w:highlight w:val="none"/>
          <w:lang w:val="en-US" w:eastAsia="zh-CN"/>
        </w:rPr>
        <w:sectPr>
          <w:footerReference w:type="default" r:id="rId12"/>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val="en-US" w:eastAsia="zh-CN" w:bidi="ar-SA"/>
        </w:rPr>
        <w:t xml:space="preserve">年  月  日                         年   月</w:t>
      </w:r>
      <w:r>
        <w:rPr>
          <w:rFonts w:hint="eastAsia" w:ascii="宋体" w:hAnsi="宋体" w:eastAsia="宋体" w:cs="宋体"/>
          <w:color w:val="000000"/>
          <w:sz w:val="28"/>
          <w:szCs w:val="28"/>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日</w:t>
      </w:r>
      <w:r>
        <w:rPr>
          <w:rFonts w:hint="eastAsia" w:ascii="宋体" w:hAnsi="宋体" w:cs="宋体"/>
          <w:color w:val="000000"/>
          <w:sz w:val="24"/>
          <w:szCs w:val="24"/>
          <w:highlight w:val="none"/>
          <w:lang w:val="en-US" w:eastAsia="zh-CN"/>
        </w:rPr>
      </w:r>
      <w:r/>
    </w:p>
    <w:p>
      <w:pPr>
        <w:pStyle w:val="989"/>
        <w:rPr>
          <w:rFonts w:hint="eastAsia" w:ascii="宋体" w:hAnsi="宋体" w:cs="宋体"/>
          <w:b/>
          <w:bCs w:val="0"/>
          <w:caps w:val="0"/>
          <w:color w:val="000000"/>
          <w:sz w:val="28"/>
          <w:szCs w:val="20"/>
          <w:highlight w:val="none"/>
          <w:lang w:val="en-US" w:eastAsia="zh-CN"/>
        </w:rPr>
        <w:sectPr>
          <w:footerReference w:type="default" r:id="rId13"/>
          <w:footnotePr/>
          <w:endnotePr/>
          <w:type w:val="continuous"/>
          <w:pgSz w:w="11906" w:h="16838" w:orient="portrait"/>
          <w:pgMar w:top="1440" w:right="1304" w:bottom="1440" w:left="1418" w:header="851" w:footer="992" w:gutter="0"/>
          <w:pgNumType w:start="1"/>
          <w:cols w:num="1" w:sep="0" w:space="1701" w:equalWidth="1"/>
          <w:docGrid w:linePitch="360"/>
        </w:sectPr>
      </w:pPr>
      <w:r>
        <w:rPr>
          <w:rFonts w:hint="eastAsia" w:ascii="宋体" w:hAnsi="宋体" w:cs="宋体"/>
          <w:b/>
          <w:bCs w:val="0"/>
          <w:caps w:val="0"/>
          <w:color w:val="000000"/>
          <w:sz w:val="28"/>
          <w:szCs w:val="20"/>
          <w:highlight w:val="none"/>
          <w:lang w:val="en-US" w:eastAsia="zh-CN"/>
        </w:rPr>
        <w:br w:type="page" w:clear="all"/>
      </w:r>
      <w:r/>
    </w:p>
    <w:p>
      <w:pPr>
        <w:pStyle w:val="989"/>
        <w:rPr>
          <w:rFonts w:hint="eastAsia" w:ascii="宋体" w:hAnsi="宋体" w:eastAsia="宋体" w:cs="宋体"/>
          <w:b/>
          <w:bCs w:val="0"/>
          <w:caps w:val="0"/>
          <w:color w:val="000000"/>
          <w:sz w:val="28"/>
          <w:szCs w:val="20"/>
          <w:highlight w:val="none"/>
          <w:lang w:val="en-US" w:eastAsia="zh-CN"/>
        </w:rPr>
      </w:pPr>
      <w:r>
        <w:rPr>
          <w:rFonts w:hint="eastAsia" w:ascii="宋体" w:hAnsi="宋体" w:eastAsia="宋体" w:cs="宋体"/>
          <w:b/>
          <w:bCs w:val="0"/>
          <w:caps w:val="0"/>
          <w:color w:val="000000"/>
          <w:sz w:val="28"/>
          <w:szCs w:val="20"/>
          <w:highlight w:val="none"/>
          <w:lang w:val="en-US" w:eastAsia="zh-CN"/>
        </w:rPr>
        <w:t xml:space="preserve">附件1：宿迁学院医务室考核标准</w:t>
      </w:r>
      <w:r>
        <w:rPr>
          <w:rFonts w:hint="eastAsia" w:ascii="宋体" w:hAnsi="宋体" w:eastAsia="宋体" w:cs="宋体"/>
          <w:b/>
          <w:bCs w:val="0"/>
          <w:caps w:val="0"/>
          <w:color w:val="000000"/>
          <w:sz w:val="28"/>
          <w:szCs w:val="20"/>
          <w:highlight w:val="none"/>
          <w:lang w:val="en-US" w:eastAsia="zh-CN"/>
        </w:rPr>
      </w:r>
      <w:r/>
    </w:p>
    <w:tbl>
      <w:tblPr>
        <w:tblW w:w="1424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698"/>
        <w:gridCol w:w="10294"/>
        <w:gridCol w:w="990"/>
        <w:gridCol w:w="1560"/>
      </w:tblGrid>
      <w:tr>
        <w:trPr>
          <w:trHeight w:val="414"/>
        </w:trPr>
        <w:tc>
          <w:tcPr>
            <w:gridSpan w:val="5"/>
            <w:tcW w:w="14240" w:type="dxa"/>
            <w:vAlign w:val="center"/>
            <w:textDirection w:val="lrTb"/>
            <w:noWrap/>
          </w:tcPr>
          <w:p>
            <w:pPr>
              <w:pStyle w:val="989"/>
              <w:jc w:val="center"/>
              <w:keepLines w:val="0"/>
              <w:keepNext w:val="0"/>
              <w:widowControl/>
              <w:rPr>
                <w:rFonts w:ascii="宋体" w:hAnsi="宋体" w:eastAsia="宋体" w:cs="宋体"/>
                <w:b/>
                <w:bCs/>
                <w:i w:val="0"/>
                <w:iCs w:val="0"/>
                <w:color w:val="000000"/>
                <w:sz w:val="32"/>
                <w:szCs w:val="32"/>
                <w:highlight w:val="none"/>
                <w:u w:val="none"/>
                <w:lang w:val="en-US"/>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宿迁学院医务室考核标准（参考版，进场后以最新考核版本为准）</w:t>
            </w:r>
            <w:r>
              <w:rPr>
                <w:rFonts w:ascii="宋体" w:hAnsi="宋体" w:eastAsia="宋体" w:cs="宋体"/>
                <w:b/>
                <w:bCs/>
                <w:i w:val="0"/>
                <w:iCs w:val="0"/>
                <w:color w:val="000000"/>
                <w:sz w:val="32"/>
                <w:szCs w:val="32"/>
                <w:highlight w:val="none"/>
                <w:u w:val="none"/>
                <w:lang w:val="en-US"/>
              </w:rPr>
            </w:r>
            <w:r/>
          </w:p>
        </w:tc>
      </w:tr>
      <w:tr>
        <w:trPr>
          <w:trHeight w:val="630"/>
        </w:trPr>
        <w:tc>
          <w:tcPr>
            <w:tcW w:w="698" w:type="dxa"/>
            <w:vAlign w:val="center"/>
            <w:textDirection w:val="lrTb"/>
            <w:noWrap/>
          </w:tcPr>
          <w:p>
            <w:pPr>
              <w:pStyle w:val="9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698" w:type="dxa"/>
            <w:vAlign w:val="center"/>
            <w:textDirection w:val="lrTb"/>
            <w:noWrap/>
          </w:tcPr>
          <w:p>
            <w:pPr>
              <w:pStyle w:val="9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10294" w:type="dxa"/>
            <w:vAlign w:val="center"/>
            <w:textDirection w:val="lrTb"/>
            <w:noWrap/>
          </w:tcPr>
          <w:p>
            <w:pPr>
              <w:pStyle w:val="989"/>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工作标准</w:t>
            </w:r>
            <w:r>
              <w:rPr>
                <w:rFonts w:hint="eastAsia" w:ascii="宋体" w:hAnsi="宋体" w:eastAsia="宋体" w:cs="宋体"/>
                <w:b/>
                <w:bCs/>
                <w:i w:val="0"/>
                <w:iCs w:val="0"/>
                <w:color w:val="000000"/>
                <w:sz w:val="24"/>
                <w:szCs w:val="24"/>
                <w:highlight w:val="none"/>
                <w:u w:val="none"/>
              </w:rPr>
            </w:r>
            <w:r/>
          </w:p>
        </w:tc>
        <w:tc>
          <w:tcPr>
            <w:tcW w:w="990" w:type="dxa"/>
            <w:vAlign w:val="center"/>
            <w:textDirection w:val="lrTb"/>
            <w:noWrap w:val="false"/>
          </w:tcPr>
          <w:p>
            <w:pPr>
              <w:pStyle w:val="9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考核标准</w:t>
            </w:r>
            <w:r>
              <w:rPr>
                <w:rFonts w:hint="eastAsia" w:ascii="宋体" w:hAnsi="宋体" w:eastAsia="宋体" w:cs="宋体"/>
                <w:b/>
                <w:bCs/>
                <w:i w:val="0"/>
                <w:iCs w:val="0"/>
                <w:color w:val="000000"/>
                <w:sz w:val="24"/>
                <w:szCs w:val="24"/>
                <w:highlight w:val="none"/>
                <w:u w:val="none"/>
              </w:rPr>
            </w:r>
            <w:r/>
          </w:p>
        </w:tc>
        <w:tc>
          <w:tcPr>
            <w:tcW w:w="1560" w:type="dxa"/>
            <w:vAlign w:val="center"/>
            <w:textDirection w:val="lrTb"/>
            <w:noWrap/>
          </w:tcPr>
          <w:p>
            <w:pPr>
              <w:pStyle w:val="9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扣分原因</w:t>
            </w:r>
            <w:r>
              <w:rPr>
                <w:rFonts w:hint="eastAsia" w:ascii="宋体" w:hAnsi="宋体" w:eastAsia="宋体" w:cs="宋体"/>
                <w:b/>
                <w:bCs/>
                <w:i w:val="0"/>
                <w:iCs w:val="0"/>
                <w:color w:val="000000"/>
                <w:sz w:val="24"/>
                <w:szCs w:val="24"/>
                <w:highlight w:val="none"/>
                <w:u w:val="none"/>
              </w:rPr>
            </w:r>
            <w:r/>
          </w:p>
        </w:tc>
      </w:tr>
      <w:tr>
        <w:trPr>
          <w:trHeight w:val="294"/>
        </w:trPr>
        <w:tc>
          <w:tcPr>
            <w:tcW w:w="698" w:type="dxa"/>
            <w:vAlign w:val="center"/>
            <w:vMerge w:val="restart"/>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rPr>
            </w:r>
            <w:r/>
          </w:p>
        </w:tc>
        <w:tc>
          <w:tcPr>
            <w:tcW w:w="652" w:type="dxa"/>
            <w:vAlign w:val="center"/>
            <w:vMerge w:val="restart"/>
            <w:textDirection w:val="lrTb"/>
            <w:noWrap w:val="false"/>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职业规范（10分）</w:t>
            </w: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1.热爱本职工作，遵守法律法规，严格执行学校有关规章制度。</w:t>
            </w:r>
            <w:r>
              <w:rPr>
                <w:rFonts w:hint="eastAsia" w:ascii="宋体" w:hAnsi="宋体" w:eastAsia="宋体" w:cs="宋体"/>
                <w:i w:val="0"/>
                <w:iCs w:val="0"/>
                <w:color w:val="000000"/>
                <w:sz w:val="22"/>
                <w:szCs w:val="22"/>
                <w:highlight w:val="none"/>
                <w:u w:val="none"/>
              </w:rPr>
            </w:r>
            <w:r/>
          </w:p>
        </w:tc>
        <w:tc>
          <w:tcPr>
            <w:tcW w:w="99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一项不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符合扣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2分/次</w:t>
            </w: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2.职责明确，医护人员知晓工作内容及职责。</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highlight w:val="none"/>
                <w:u w:val="none"/>
                <w:lang w:val="en-US" w:eastAsia="zh-CN" w:bidi="ar"/>
              </w:rPr>
              <w:t xml:space="preserve">3.严格执行各项医疗护理制度，医生按相关疾病诊疗规范诊治，开药必须有处方，护理遵从医嘱执行制度及查对制度，以保患者安全，杜绝差错事故的发生。</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highlight w:val="none"/>
                <w:u w:val="none"/>
                <w:lang w:val="en-US" w:eastAsia="zh-CN" w:bidi="ar"/>
              </w:rPr>
              <w:t xml:space="preserve">4.医务室工作人员必须具备相应执业资格并注册，具备3年以上的全科临床经验。</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294" w:type="dxa"/>
            <w:vAlign w:val="center"/>
            <w:textDirection w:val="lrTb"/>
            <w:noWrap/>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5.上班期间不得做私活，玩手机。</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restart"/>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rFonts w:hint="eastAsia" w:ascii="宋体" w:hAnsi="宋体" w:eastAsia="宋体" w:cs="宋体"/>
                <w:b/>
                <w:bCs/>
                <w:i w:val="0"/>
                <w:iCs w:val="0"/>
                <w:color w:val="000000"/>
                <w:sz w:val="22"/>
                <w:szCs w:val="22"/>
                <w:highlight w:val="none"/>
                <w:u w:val="none"/>
              </w:rPr>
            </w:r>
            <w:r/>
          </w:p>
        </w:tc>
        <w:tc>
          <w:tcPr>
            <w:tcW w:w="652" w:type="dxa"/>
            <w:vAlign w:val="center"/>
            <w:vMerge w:val="restart"/>
            <w:textDirection w:val="lrTb"/>
            <w:noWrap w:val="false"/>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服务规范（30分）</w:t>
            </w: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1.医务室应保持环境清洁整齐，医务人员仪容仪表规范整洁。</w:t>
            </w:r>
            <w:r>
              <w:rPr>
                <w:rFonts w:hint="eastAsia" w:ascii="宋体" w:hAnsi="宋体" w:eastAsia="宋体" w:cs="宋体"/>
                <w:i w:val="0"/>
                <w:iCs w:val="0"/>
                <w:color w:val="000000"/>
                <w:sz w:val="22"/>
                <w:szCs w:val="22"/>
                <w:highlight w:val="none"/>
                <w:u w:val="none"/>
              </w:rPr>
            </w:r>
            <w:r/>
          </w:p>
        </w:tc>
        <w:tc>
          <w:tcPr>
            <w:tcW w:w="99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一项不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符合扣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2分/次</w:t>
            </w: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医生未穿工作服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2.各区域各种规章制度、岗位职责、抢救流程上墙，并严格执行。</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3.提供24小时医疗服务，工作期间不得擅自离开工作岗位（急诊急救例外）。夜间至少安排2名医务人员同时值班（1名医生、1名护士），并保证有一名女性医务人员。</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4.建立健全传染病防控机制和公共卫生事件应急预案，及时跟学校通报传染病信息，负责传染病初级预防及报告工作。</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5.协助校方做好饮食卫生、教学卫生、环境卫生等工作实施业务指导和监督工作。</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6.根据高等学校医疗保健的有关规定，为校方提供规范化的卫生服务，对不能救治的急、重症病人应及时转诊，并有效通知校方。</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7.加强候诊教育，宣传卫生防疫知识。负责每月出一期健康专栏，指导师生自我保健（有计划、有执行、有图片记录）。</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8.自觉遵守校方的有关规定，接受校方监管。</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9.医务室专业人员协助校方做好疫情防控工作。包括流行病学调查、隔离区医疗废物处理、隔离人员或特殊人群信息登记等。</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10.不能泄露患者隐私及个人信息。</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11.积极协助做好校方各类大型活动的医疗保障工作。</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12.及时整改校方对师生的满意度调查意见。抽样随访就诊记录，校方每月对教职工及学生进行满意度调查，满意度不低于90%。</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13.就医要有登记，有病历记载。配药要有处方，并建立医疗档案。</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14.医务室各类交接记录、药品出售记录等台账填写及时完整。所有就诊消费记录须有正式发票交给就诊者，医务室存档备校方监督。</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15.发生不良事件积极上报，并及时报告给校方相关部门，不得隐瞒。</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restart"/>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rFonts w:hint="eastAsia" w:ascii="宋体" w:hAnsi="宋体" w:eastAsia="宋体" w:cs="宋体"/>
                <w:b/>
                <w:bCs/>
                <w:i w:val="0"/>
                <w:iCs w:val="0"/>
                <w:color w:val="000000"/>
                <w:sz w:val="22"/>
                <w:szCs w:val="22"/>
                <w:highlight w:val="none"/>
                <w:u w:val="none"/>
              </w:rPr>
            </w:r>
            <w:r/>
          </w:p>
        </w:tc>
        <w:tc>
          <w:tcPr>
            <w:tcW w:w="652" w:type="dxa"/>
            <w:vAlign w:val="center"/>
            <w:vMerge w:val="restart"/>
            <w:textDirection w:val="lrTb"/>
            <w:noWrap w:val="false"/>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color w:val="000000"/>
                <w:sz w:val="22"/>
                <w:highlight w:val="none"/>
                <w:u w:val="none"/>
                <w:lang w:val="en-US" w:eastAsia="zh-CN" w:bidi="ar"/>
              </w:rPr>
              <w:t xml:space="preserve">药品管理   （30分）</w:t>
            </w: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1.医务室购进药品后必须认真查对及验收，经采购人员及药品验收人员校对后，双方签字才能入库。入库和出库记录要一致。</w:t>
            </w:r>
            <w:r>
              <w:rPr>
                <w:rFonts w:hint="eastAsia" w:ascii="宋体" w:hAnsi="宋体" w:eastAsia="宋体" w:cs="宋体"/>
                <w:i w:val="0"/>
                <w:iCs w:val="0"/>
                <w:color w:val="000000"/>
                <w:sz w:val="22"/>
                <w:szCs w:val="22"/>
                <w:highlight w:val="none"/>
                <w:u w:val="none"/>
              </w:rPr>
            </w:r>
            <w:r/>
          </w:p>
        </w:tc>
        <w:tc>
          <w:tcPr>
            <w:tcW w:w="99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一项不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符合扣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2分/次</w:t>
            </w: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弯盘用后未及时浸泡消毒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2.购进药品要有合法票据，并依据原始票据建立购进记录，进货单位、购货数量、日期、生产企业及药物通用名称。</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3.确保药品和配备的医疗设备符合国家相关卫生标准。对常用药品和检查项目明码标价挂墙公示。不得在医务室销售禁用药、伪劣药，及其他不相干的物品。医务室工作人员不得私自采购药品兜售给就诊人员。</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4.坚持安全用药管理制度，不得给就诊师生使用无医嘱的任何药物。</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5.护士执行医嘱时，严格执行查对制度，并将不良反应、副作用及时告知，避免差错事故的发生。</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6.发药时要告诉学生安全使用药品，并在药袋上写明服药剂次、服药时间、药量等。告知病人不许超常服药，警惕用药过量引起的药物中毒。</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7.根据季节和气候变化，坚持做好温湿度管理和观测工作，确保药品储存安全。根据药品性能及要求，分别存放于适温，阴凉的地方。</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8.各种药品耗材按规定分区摆放，药品与非药品分开；处方药与非处方药分开；内服药与外用药分开；品种及性质相互影响，易串味药分开。</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9.各区域药品、物品标识齐全，高危药品有标识。同种药品按有效期远近顺序摆放，有效期近的摆在最外面。近效期6个月药品要有近效期标识，小于3个月近效期药品不得出售。</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10.冰箱内药品分区摆放，温度适宜，备冰袋。</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11.库房及药房，货架要保持清洁卫生，定期打扫和消毒，做好防盗防火、防潮湿、防腐、防污染工作。距离地面≧20厘米，距离墙面≧5厘米，距离天花板≧50厘米。</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12.为满足学生要求，根据《药品管理法》等有关规定，医务室在保持拆零用具清洁卫生的前提下，把药品拆零后发给来就诊病人。但在内服药袋上必须清楚的写明药品名称、规格、使用剂量、方法。</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13.所有药品耗材需建立台账，有交接、质控记录，有签名。</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14.抢救车定位摆放、定人管理，有每班交接登记本，所有药品、物品标识齐全，处于备用状态。建立使用登记本。</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62"/>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执行《药品不良反应监测管理办法（试行）》的规定：所有危及生命、致残，直至丧失劳动能力或死亡的不良反应；各种类型的过敏反应；药品投产使用后各种不良反应；一切意外的不良反应。以上各种不良反应发生都要按规定报告给国家药品监督管理部门及卫生部门。</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restart"/>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rFonts w:hint="eastAsia" w:ascii="宋体" w:hAnsi="宋体" w:eastAsia="宋体" w:cs="宋体"/>
                <w:b/>
                <w:bCs/>
                <w:i w:val="0"/>
                <w:iCs w:val="0"/>
                <w:color w:val="000000"/>
                <w:sz w:val="22"/>
                <w:szCs w:val="22"/>
                <w:highlight w:val="none"/>
                <w:u w:val="none"/>
              </w:rPr>
            </w:r>
            <w:r/>
          </w:p>
        </w:tc>
        <w:tc>
          <w:tcPr>
            <w:tcW w:w="652" w:type="dxa"/>
            <w:vAlign w:val="center"/>
            <w:vMerge w:val="restart"/>
            <w:textDirection w:val="lrTb"/>
            <w:noWrap w:val="false"/>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仪器管理（10分）</w:t>
            </w: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1.加强对设备（施）的管理，爱护公共财产，并造册登记。</w:t>
            </w:r>
            <w:r>
              <w:rPr>
                <w:rFonts w:hint="eastAsia" w:ascii="宋体" w:hAnsi="宋体" w:eastAsia="宋体" w:cs="宋体"/>
                <w:i w:val="0"/>
                <w:iCs w:val="0"/>
                <w:color w:val="000000"/>
                <w:sz w:val="22"/>
                <w:szCs w:val="22"/>
                <w:highlight w:val="none"/>
                <w:u w:val="none"/>
              </w:rPr>
            </w:r>
            <w:r/>
          </w:p>
        </w:tc>
        <w:tc>
          <w:tcPr>
            <w:tcW w:w="99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一项不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符合扣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2分/次</w:t>
            </w: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2.医务人员需了解仪器设备的性能及保养方法，用后需经清洁消毒后备用。</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3.仪器设备定位摆放，标识明显，保持仪器设备清洁干燥。抢救车备用状态，氧气袋在充气状态备急用。</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4.制定仪器设备操作流程，并悬挂于仪器设备上，使用时严格按操作流程操作，使用后登记使用情况。</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5.仪器设备按规定定期检测、矫正。如有问题及时排除，如不能继续使用，需悬挂故障标识，并及时与医院相关部门联系维修、更换。</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restart"/>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rFonts w:hint="eastAsia" w:ascii="宋体" w:hAnsi="宋体" w:eastAsia="宋体" w:cs="宋体"/>
                <w:b/>
                <w:bCs/>
                <w:i w:val="0"/>
                <w:iCs w:val="0"/>
                <w:color w:val="000000"/>
                <w:sz w:val="22"/>
                <w:szCs w:val="22"/>
                <w:highlight w:val="none"/>
                <w:u w:val="none"/>
              </w:rPr>
            </w:r>
            <w:r/>
          </w:p>
        </w:tc>
        <w:tc>
          <w:tcPr>
            <w:tcW w:w="652" w:type="dxa"/>
            <w:vAlign w:val="center"/>
            <w:vMerge w:val="restart"/>
            <w:textDirection w:val="lrTb"/>
            <w:noWrap w:val="false"/>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消毒隔离（20分）</w:t>
            </w: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1.严格执行手卫生规范，掌握手卫生指征。手卫生设施齐全，包括皂液、水龙头、干手物品、速干手消毒剂。</w:t>
            </w:r>
            <w:r>
              <w:rPr>
                <w:rFonts w:hint="eastAsia" w:ascii="宋体" w:hAnsi="宋体" w:eastAsia="宋体" w:cs="宋体"/>
                <w:i w:val="0"/>
                <w:iCs w:val="0"/>
                <w:color w:val="000000"/>
                <w:sz w:val="22"/>
                <w:szCs w:val="22"/>
                <w:highlight w:val="none"/>
                <w:u w:val="none"/>
              </w:rPr>
            </w:r>
            <w:r/>
          </w:p>
        </w:tc>
        <w:tc>
          <w:tcPr>
            <w:tcW w:w="99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一项不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符合扣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2分/次</w:t>
            </w: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pStyle w:val="9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生活垃圾放入医疗垃圾桶内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2.静脉穿刺一人一带一消毒，执行一人一针一管一灭菌；一次性物品严禁重复使用，污染时立即更换。</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3.床单元物品使用一人一更换，定期清洗与消毒，被污染时应及时更换、清洗与消毒。</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4.碘伏酒精在有效期内使用（小于7天）。</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5.治疗室、换药室、处置室环境整洁，台面无灰尘，每日紫外线消毒并有记录。紫外线灯管强度定期检测合格。</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6.消毒液浓度配置准确，标识清晰，每日更换后需监测合格后方可使用。</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7.空输液瓶按要求收集，存放。利器盒容量达3/4或24小时立即更换。</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8.医疗废弃物应及时分类放置，并妥善处置，医疗垃圾与生活垃圾不能混放。并有交接记录，签转运时间，并签全名。</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8"/>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9.按照职业防护分级原则进行适度适时防护，配备必要的防护用品并正确使用（护目镜、防护面罩、手套、隔离衣）。</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tcW w:w="698" w:type="dxa"/>
            <w:vAlign w:val="center"/>
            <w:vMerge w:val="continue"/>
            <w:textDirection w:val="lrTb"/>
            <w:noWrap/>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652" w:type="dxa"/>
            <w:vAlign w:val="center"/>
            <w:vMerge w:val="continue"/>
            <w:textDirection w:val="lrTb"/>
            <w:noWrap w:val="false"/>
          </w:tcPr>
          <w:p>
            <w:pPr>
              <w:pStyle w:val="989"/>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0386" w:type="dxa"/>
            <w:vAlign w:val="center"/>
            <w:textDirection w:val="lrTb"/>
            <w:noWrap w:val="false"/>
          </w:tcPr>
          <w:p>
            <w:pPr>
              <w:pStyle w:val="9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10.严格执行消毒隔离制度，防止交叉感染。毎周进行一次地面及空气消毒有记录（明显污染及时消毒）。</w:t>
            </w:r>
            <w:r>
              <w:rPr>
                <w:rFonts w:hint="eastAsia" w:ascii="宋体" w:hAnsi="宋体" w:eastAsia="宋体" w:cs="宋体"/>
                <w:i w:val="0"/>
                <w:iCs w:val="0"/>
                <w:color w:val="000000"/>
                <w:sz w:val="22"/>
                <w:szCs w:val="22"/>
                <w:highlight w:val="none"/>
                <w:u w:val="none"/>
              </w:rPr>
            </w:r>
            <w:r/>
          </w:p>
        </w:tc>
        <w:tc>
          <w:tcPr>
            <w:tcW w:w="99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pStyle w:val="9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4"/>
        </w:trPr>
        <w:tc>
          <w:tcPr>
            <w:gridSpan w:val="5"/>
            <w:tcW w:w="14240" w:type="dxa"/>
            <w:vAlign w:val="center"/>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备注：95分(含)以上为优秀；90分(含)为合格；85分-89分(含)为基本合格；85分以下为不合格。</w:t>
            </w:r>
            <w:r>
              <w:rPr>
                <w:rFonts w:hint="eastAsia" w:ascii="宋体" w:hAnsi="宋体" w:eastAsia="宋体" w:cs="宋体"/>
                <w:b/>
                <w:bCs/>
                <w:i w:val="0"/>
                <w:iCs w:val="0"/>
                <w:color w:val="000000"/>
                <w:sz w:val="22"/>
                <w:szCs w:val="22"/>
                <w:highlight w:val="none"/>
                <w:u w:val="none"/>
              </w:rPr>
            </w:r>
            <w:r/>
          </w:p>
        </w:tc>
      </w:tr>
      <w:tr>
        <w:trPr>
          <w:trHeight w:val="294"/>
        </w:trPr>
        <w:tc>
          <w:tcPr>
            <w:gridSpan w:val="5"/>
            <w:tcW w:w="14240" w:type="dxa"/>
            <w:vAlign w:val="center"/>
            <w:textDirection w:val="lrTb"/>
            <w:noWrap/>
          </w:tcPr>
          <w:p>
            <w:pPr>
              <w:pStyle w:val="9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检查日期_________    检查者____________    得分____________</w:t>
            </w:r>
            <w:r>
              <w:rPr>
                <w:rFonts w:hint="eastAsia" w:ascii="宋体" w:hAnsi="宋体" w:eastAsia="宋体" w:cs="宋体"/>
                <w:b/>
                <w:bCs/>
                <w:i w:val="0"/>
                <w:iCs w:val="0"/>
                <w:color w:val="000000"/>
                <w:sz w:val="22"/>
                <w:szCs w:val="22"/>
                <w:highlight w:val="none"/>
                <w:u w:val="none"/>
              </w:rPr>
            </w:r>
            <w:r/>
          </w:p>
        </w:tc>
      </w:tr>
    </w:tbl>
    <w:p>
      <w:pPr>
        <w:pStyle w:val="989"/>
        <w:ind w:left="0"/>
        <w:jc w:val="center"/>
        <w:spacing w:before="480" w:after="480" w:line="288" w:lineRule="auto"/>
        <w:rPr>
          <w:rFonts w:ascii="宋体" w:hAnsi="宋体" w:cs="宋体"/>
          <w:b/>
          <w:bCs w:val="0"/>
          <w:caps w:val="0"/>
          <w:color w:val="000000"/>
          <w:sz w:val="28"/>
          <w:szCs w:val="20"/>
          <w:highlight w:val="none"/>
          <w:lang w:val="en-US" w:eastAsia="zh-CN"/>
        </w:rPr>
        <w:sectPr>
          <w:footnotePr/>
          <w:endnotePr/>
          <w:type w:val="nextPage"/>
          <w:pgSz w:w="16838" w:h="11906" w:orient="landscape"/>
          <w:pgMar w:top="1418" w:right="1440" w:bottom="1304" w:left="1440" w:header="851" w:footer="992" w:gutter="0"/>
          <w:pgNumType w:start="1"/>
          <w:cols w:num="1" w:sep="0" w:space="1701" w:equalWidth="1"/>
          <w:docGrid w:linePitch="360"/>
        </w:sectPr>
      </w:pPr>
      <w:r>
        <w:rPr>
          <w:rFonts w:ascii="宋体" w:hAnsi="宋体" w:cs="宋体"/>
          <w:b/>
          <w:bCs w:val="0"/>
          <w:caps w:val="0"/>
          <w:color w:val="000000"/>
          <w:sz w:val="28"/>
          <w:szCs w:val="20"/>
          <w:highlight w:val="none"/>
          <w:lang w:val="en-US" w:eastAsia="zh-CN"/>
        </w:rPr>
      </w:r>
      <w:r/>
    </w:p>
    <w:p>
      <w:pPr>
        <w:pStyle w:val="989"/>
        <w:ind w:left="0"/>
        <w:jc w:val="both"/>
        <w:spacing w:before="480" w:after="480" w:line="288"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sz w:val="52"/>
          <w:lang w:val="en-US" w:eastAsia="zh-CN"/>
        </w:rPr>
        <w:t xml:space="preserve">附件2：</w:t>
      </w:r>
      <w:r>
        <w:rPr>
          <w:rFonts w:hint="eastAsia" w:ascii="方正仿宋_GB2312" w:hAnsi="方正仿宋_GB2312" w:eastAsia="方正仿宋_GB2312" w:cs="方正仿宋_GB2312"/>
          <w:b/>
          <w:sz w:val="52"/>
        </w:rPr>
        <w:t xml:space="preserve">医务室服务质量调查问卷</w:t>
      </w:r>
      <w:r>
        <w:rPr>
          <w:rFonts w:hint="eastAsia" w:ascii="方正仿宋_GB2312" w:hAnsi="方正仿宋_GB2312" w:eastAsia="方正仿宋_GB2312" w:cs="方正仿宋_GB2312"/>
        </w:rPr>
      </w:r>
      <w:r/>
    </w:p>
    <w:p>
      <w:pPr>
        <w:pStyle w:val="989"/>
        <w:ind w:left="0" w:firstLine="640"/>
        <w:jc w:val="both"/>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您好！为进一步规范校医务室医疗服务行为，优化服务流程，提升医疗服务水平和质量，切实保障全校师生身体健康，为大家提供更便捷、优质、贴心的医疗健康服务，我们特开展此次问卷调查。本问卷实行匿名制，所有答案仅用于医务室服务质量改进，严格保密您的个人信息，请您根据自身实际体验如实填写，感谢您的理解、支持与配合！</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 您的性别</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男</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 女</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 您的身份</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教职员工</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学生</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 您是否到过校医务室就医/咨询</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是（请直接转至第5题）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否（请继续回答第4题）</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 请问您不去医务室就诊/咨询的原因是（可多选）</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病情不严重，休息后可自行缓解</w:t>
      </w:r>
      <w:r>
        <w:rPr>
          <w:rFonts w:hint="eastAsia" w:ascii="方正仿宋_GB2312" w:hAnsi="方正仿宋_GB2312" w:eastAsia="方正仿宋_GB2312" w:cs="方正仿宋_GB2312"/>
          <w:sz w:val="32"/>
          <w:szCs w:val="32"/>
        </w:rPr>
      </w:r>
      <w:r/>
    </w:p>
    <w:p>
      <w:pPr>
        <w:pStyle w:val="989"/>
        <w:ind w:left="0" w:firstLine="0"/>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lang w:val="en-US" w:eastAsia="zh-CN"/>
        </w:rPr>
        <w:t xml:space="preserve">    </w:t>
      </w:r>
      <w:r>
        <w:rPr>
          <w:rFonts w:hint="eastAsia" w:ascii="方正仿宋_GB2312" w:hAnsi="方正仿宋_GB2312" w:eastAsia="方正仿宋_GB2312" w:cs="方正仿宋_GB2312"/>
          <w:sz w:val="32"/>
          <w:szCs w:val="32"/>
        </w:rPr>
        <w:t xml:space="preserve">□ 可自行购买药物，无需就医</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医务人员专业能力不足，担心诊断效果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医务人员服务态度不友善、不耐烦</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医务室医疗设备不齐全，无法满足诊疗需求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药品价格偏高，性价比低</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医务室开放时间与自身时间冲突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对医务室服务流程不了解</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其他（请注明：__________）</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 您愿意到校医务室就医/咨询的原因是（可多选）</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距离近，就诊便捷，节省时间</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距离</w:t>
      </w:r>
      <w:r>
        <w:rPr>
          <w:rFonts w:hint="eastAsia" w:ascii="方正仿宋_GB2312" w:hAnsi="方正仿宋_GB2312" w:eastAsia="方正仿宋_GB2312" w:cs="方正仿宋_GB2312"/>
          <w:sz w:val="32"/>
          <w:szCs w:val="32"/>
          <w:lang w:val="en-US" w:eastAsia="zh-CN"/>
        </w:rPr>
        <w:t xml:space="preserve">远</w:t>
      </w:r>
      <w:r>
        <w:rPr>
          <w:rFonts w:hint="eastAsia" w:ascii="方正仿宋_GB2312" w:hAnsi="方正仿宋_GB2312" w:eastAsia="方正仿宋_GB2312" w:cs="方正仿宋_GB2312"/>
          <w:sz w:val="32"/>
          <w:szCs w:val="32"/>
        </w:rPr>
        <w:t xml:space="preserve">，就诊</w:t>
      </w:r>
      <w:r>
        <w:rPr>
          <w:rFonts w:hint="eastAsia" w:ascii="方正仿宋_GB2312" w:hAnsi="方正仿宋_GB2312" w:eastAsia="方正仿宋_GB2312" w:cs="方正仿宋_GB2312"/>
          <w:sz w:val="32"/>
          <w:szCs w:val="32"/>
          <w:lang w:val="en-US" w:eastAsia="zh-CN"/>
        </w:rPr>
        <w:t xml:space="preserve">不方便</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浪费</w:t>
      </w:r>
      <w:r>
        <w:rPr>
          <w:rFonts w:hint="eastAsia" w:ascii="方正仿宋_GB2312" w:hAnsi="方正仿宋_GB2312" w:eastAsia="方正仿宋_GB2312" w:cs="方正仿宋_GB2312"/>
          <w:sz w:val="32"/>
          <w:szCs w:val="32"/>
        </w:rPr>
        <w:t xml:space="preserve">时间</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无需排长队，就医效率高</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医务人员专业能力强，诊断准确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医务人员服务态度好，有耐心</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药品价格便宜实惠，性价比高</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药品质量有保障</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就医流程简单，手续便捷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其他（请注明：__________）</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 您对医务室医务人员的配备（</w:t>
      </w:r>
      <w:r>
        <w:rPr>
          <w:rFonts w:hint="eastAsia" w:ascii="方正仿宋_GB2312" w:hAnsi="方正仿宋_GB2312" w:eastAsia="方正仿宋_GB2312" w:cs="方正仿宋_GB2312"/>
          <w:sz w:val="32"/>
          <w:szCs w:val="32"/>
          <w:lang w:val="en-US" w:eastAsia="zh-CN"/>
        </w:rPr>
        <w:t xml:space="preserve">白班</w:t>
      </w:r>
      <w:r>
        <w:rPr>
          <w:rFonts w:hint="eastAsia" w:ascii="方正仿宋_GB2312" w:hAnsi="方正仿宋_GB2312" w:eastAsia="方正仿宋_GB2312" w:cs="方正仿宋_GB2312"/>
          <w:sz w:val="32"/>
          <w:szCs w:val="32"/>
        </w:rPr>
        <w:t xml:space="preserve">为</w:t>
      </w:r>
      <w:r>
        <w:rPr>
          <w:rFonts w:hint="eastAsia" w:ascii="方正仿宋_GB2312" w:hAnsi="方正仿宋_GB2312" w:eastAsia="方正仿宋_GB2312" w:cs="方正仿宋_GB2312"/>
          <w:sz w:val="32"/>
          <w:szCs w:val="32"/>
          <w:lang w:val="en-US" w:eastAsia="zh-CN"/>
        </w:rPr>
        <w:t xml:space="preserve">两</w:t>
      </w:r>
      <w:r>
        <w:rPr>
          <w:rFonts w:hint="eastAsia" w:ascii="方正仿宋_GB2312" w:hAnsi="方正仿宋_GB2312" w:eastAsia="方正仿宋_GB2312" w:cs="方正仿宋_GB2312"/>
          <w:sz w:val="32"/>
          <w:szCs w:val="32"/>
        </w:rPr>
        <w:t xml:space="preserve">医</w:t>
      </w:r>
      <w:r>
        <w:rPr>
          <w:rFonts w:hint="eastAsia" w:ascii="方正仿宋_GB2312" w:hAnsi="方正仿宋_GB2312" w:eastAsia="方正仿宋_GB2312" w:cs="方正仿宋_GB2312"/>
          <w:sz w:val="32"/>
          <w:szCs w:val="32"/>
          <w:lang w:val="en-US" w:eastAsia="zh-CN"/>
        </w:rPr>
        <w:t xml:space="preserve">两</w:t>
      </w:r>
      <w:r>
        <w:rPr>
          <w:rFonts w:hint="eastAsia" w:ascii="方正仿宋_GB2312" w:hAnsi="方正仿宋_GB2312" w:eastAsia="方正仿宋_GB2312" w:cs="方正仿宋_GB2312"/>
          <w:sz w:val="32"/>
          <w:szCs w:val="32"/>
        </w:rPr>
        <w:t xml:space="preserve">护</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夜班一医一护</w:t>
      </w:r>
      <w:r>
        <w:rPr>
          <w:rFonts w:hint="eastAsia" w:ascii="方正仿宋_GB2312" w:hAnsi="方正仿宋_GB2312" w:eastAsia="方正仿宋_GB2312" w:cs="方正仿宋_GB2312"/>
          <w:sz w:val="32"/>
          <w:szCs w:val="32"/>
        </w:rPr>
        <w:t xml:space="preserve">）评价如何？</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非常充足，能满足需求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基本可以，勉强满足需求</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数量不足，等待时间长</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 您认为医生的诊断水平及病情处置能力怎么样？</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非常好（诊断准确、处置合理，能有效缓解病情）</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较好（诊断基本准确、处置得当，能解决常见问题）</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一般（诊断和处置基本可行，但效果不够理想）</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较差（诊断不准确、处置不当，无法解决问题）</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8. 您所接触的护士的服务态度及操作技术怎么样？</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非常好（服务热情耐心、操作熟练规范）</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较好（服务态度尚可、操作基本规范）</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一般（服务态度一般、操作基本合格）</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较差（服务冷淡不耐烦、操作不规范）</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9. 您所接触的医生的服务态度怎么样？</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非常好（热情耐心、认真倾听、详细解答疑问）</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较好（态度尚可、能解答基本疑问）</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一般（态度平淡、解答简单）</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较差（态度冷淡、不耐烦、不愿解答疑问）</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10. 您认为医务室药房的药品储备是否齐全？</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非常齐全（常见疾病、应急药品均有储备）</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基本齐全（常见疾病药品有储备，少数药品缺失）</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不齐全（多数常用药品缺失，无法满足需求）</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11. 您认为医务室的药品价格是否合理？</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非常合理（明显低于校外药店）</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较合理（略低于或等同于校外药店）</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一般（价格与校外药店相差不大）</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不合理（明显高于校外药店）</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12. 您知晓医务室有国家零差价药品（药品售价与进价一致，无加成）吗？</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知晓（清楚具体品类）</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知晓（不清楚具体品类）</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不知晓</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13. 您认为医务室的环境卫生（诊疗室、药房、等候区等）怎么样？</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非常好（干净整洁、无异味、物品摆放有序）</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较好（基本干净、无明显异味）</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一般（有少量杂物、偶尔有异味）</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较差（杂乱无章、有明显异味）</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14. 您对医务室的整体服务质量总体评价如何？</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非常满意</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满意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一般 </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不满意</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 不清楚</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 您对校医务室的服务提升、流程优化、设备完善、药品储备等方面，有什么具体的需求和建议？（请详细填写，感谢您的宝贵意见）</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________________________________________________________________</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再次感谢您抽出宝贵时间完成本次问卷！祝您身体健康、工作顺利、学业进步！</w:t>
      </w:r>
      <w:r>
        <w:rPr>
          <w:rFonts w:hint="eastAsia" w:ascii="方正仿宋_GB2312" w:hAnsi="方正仿宋_GB2312" w:eastAsia="方正仿宋_GB2312" w:cs="方正仿宋_GB2312"/>
          <w:sz w:val="32"/>
          <w:szCs w:val="32"/>
        </w:rPr>
      </w:r>
      <w:r/>
    </w:p>
    <w:p>
      <w:pPr>
        <w:pStyle w:val="989"/>
        <w:ind w:left="0" w:firstLine="640"/>
        <w:jc w:val="left"/>
        <w:keepLines w:val="0"/>
        <w:keepNext w:val="0"/>
        <w:pageBreakBefore w:val="0"/>
        <w:spacing w:before="120" w:after="120"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989"/>
        <w:rPr>
          <w:rFonts w:ascii="宋体" w:hAnsi="宋体" w:cs="宋体"/>
          <w:b/>
          <w:bCs w:val="0"/>
          <w:caps w:val="0"/>
          <w:color w:val="000000"/>
          <w:sz w:val="28"/>
          <w:szCs w:val="20"/>
          <w:highlight w:val="none"/>
          <w:lang w:val="en-US" w:eastAsia="zh-CN"/>
        </w:rPr>
        <w:sectPr>
          <w:footnotePr/>
          <w:endnotePr/>
          <w:type w:val="nextPage"/>
          <w:pgSz w:w="11906" w:h="16838" w:orient="portrait"/>
          <w:pgMar w:top="1440" w:right="1304" w:bottom="1440" w:left="1418" w:header="851" w:footer="992" w:gutter="0"/>
          <w:pgNumType w:start="1"/>
          <w:cols w:num="1" w:sep="0" w:space="1701" w:equalWidth="1"/>
          <w:docGrid w:linePitch="360"/>
        </w:sectPr>
      </w:pPr>
      <w:r>
        <w:rPr>
          <w:rFonts w:ascii="宋体" w:hAnsi="宋体" w:cs="宋体"/>
          <w:b/>
          <w:bCs w:val="0"/>
          <w:caps w:val="0"/>
          <w:color w:val="000000"/>
          <w:sz w:val="28"/>
          <w:szCs w:val="20"/>
          <w:highlight w:val="none"/>
          <w:lang w:val="en-US" w:eastAsia="zh-CN"/>
        </w:rPr>
      </w:r>
      <w:r/>
    </w:p>
    <w:p>
      <w:pPr>
        <w:pStyle w:val="989"/>
        <w:jc w:val="center"/>
        <w:keepLines/>
        <w:keepNext/>
        <w:pageBreakBefore/>
        <w:rPr>
          <w:rFonts w:hint="eastAsia" w:ascii="宋体" w:hAnsi="宋体" w:eastAsia="宋体" w:cs="宋体"/>
          <w:b/>
          <w:color w:val="000000"/>
          <w:sz w:val="44"/>
          <w:szCs w:val="44"/>
          <w:highlight w:val="none"/>
        </w:rPr>
        <w:outlineLvl w:val="0"/>
      </w:pPr>
      <w:r/>
      <w:bookmarkStart w:id="147" w:name="_Toc4652"/>
      <w:r>
        <w:rPr>
          <w:rFonts w:hint="eastAsia" w:ascii="宋体" w:hAnsi="宋体" w:eastAsia="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第六部分  投标文件格式</w:t>
      </w:r>
      <w:bookmarkEnd w:id="142"/>
      <w:r/>
      <w:bookmarkEnd w:id="143"/>
      <w:r/>
      <w:bookmarkEnd w:id="147"/>
      <w:r>
        <w:rPr>
          <w:rFonts w:hint="eastAsia" w:ascii="宋体" w:hAnsi="宋体" w:eastAsia="宋体" w:cs="宋体"/>
          <w:b/>
          <w:color w:val="000000"/>
          <w:sz w:val="44"/>
          <w:szCs w:val="44"/>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90"/>
        <w:jc w:val="left"/>
        <w:rPr>
          <w:rStyle w:val="999"/>
          <w:rFonts w:hint="eastAsia" w:ascii="宋体" w:hAnsi="宋体" w:eastAsia="宋体" w:cs="宋体"/>
          <w:color w:val="000000"/>
          <w:highlight w:val="none"/>
        </w:rPr>
        <w:outlineLvl w:val="1"/>
      </w:pPr>
      <w:r/>
      <w:bookmarkStart w:id="149" w:name="_Toc22616"/>
      <w:r/>
      <w:bookmarkStart w:id="150" w:name="_Toc24248"/>
      <w:r/>
      <w:bookmarkStart w:id="151" w:name="_Toc32458"/>
      <w:r>
        <w:rPr>
          <w:rStyle w:val="999"/>
          <w:rFonts w:hint="eastAsia" w:ascii="宋体" w:hAnsi="宋体" w:eastAsia="宋体" w:cs="宋体"/>
          <w:color w:val="000000"/>
          <w:highlight w:val="none"/>
        </w:rPr>
        <w:t xml:space="preserve">封面</w:t>
      </w:r>
      <w:bookmarkEnd w:id="149"/>
      <w:r/>
      <w:bookmarkEnd w:id="150"/>
      <w:r/>
      <w:bookmarkEnd w:id="151"/>
      <w:r>
        <w:rPr>
          <w:rStyle w:val="999"/>
          <w:rFonts w:hint="eastAsia" w:ascii="宋体" w:hAnsi="宋体" w:eastAsia="宋体" w:cs="宋体"/>
          <w:color w:val="000000"/>
          <w:highlight w:val="none"/>
        </w:rPr>
      </w:r>
      <w:r/>
    </w:p>
    <w:p>
      <w:pPr>
        <w:pStyle w:val="1391"/>
        <w:jc w:val="left"/>
        <w:rPr>
          <w:rStyle w:val="999"/>
          <w:rFonts w:hint="eastAsia" w:ascii="宋体" w:hAnsi="宋体" w:eastAsia="宋体" w:cs="宋体"/>
          <w:color w:val="000000"/>
          <w:sz w:val="32"/>
          <w:szCs w:val="32"/>
          <w:highlight w:val="none"/>
        </w:rPr>
      </w:pPr>
      <w:r>
        <w:rPr>
          <w:rStyle w:val="999"/>
          <w:rFonts w:hint="eastAsia" w:ascii="宋体" w:hAnsi="宋体" w:eastAsia="宋体" w:cs="宋体"/>
          <w:color w:val="000000"/>
          <w:sz w:val="32"/>
          <w:szCs w:val="32"/>
          <w:highlight w:val="none"/>
        </w:rPr>
      </w:r>
      <w:r/>
    </w:p>
    <w:p>
      <w:pPr>
        <w:pStyle w:val="1391"/>
        <w:jc w:val="left"/>
        <w:rPr>
          <w:rStyle w:val="999"/>
          <w:rFonts w:hint="eastAsia" w:ascii="宋体" w:hAnsi="宋体" w:eastAsia="宋体" w:cs="宋体"/>
          <w:color w:val="000000"/>
          <w:sz w:val="32"/>
          <w:szCs w:val="32"/>
          <w:highlight w:val="none"/>
        </w:rPr>
      </w:pPr>
      <w:r>
        <w:rPr>
          <w:rStyle w:val="999"/>
          <w:rFonts w:hint="eastAsia" w:ascii="宋体" w:hAnsi="宋体" w:eastAsia="宋体" w:cs="宋体"/>
          <w:color w:val="000000"/>
          <w:sz w:val="32"/>
          <w:szCs w:val="32"/>
          <w:highlight w:val="none"/>
        </w:rPr>
      </w:r>
      <w:r/>
    </w:p>
    <w:p>
      <w:pPr>
        <w:pStyle w:val="1391"/>
        <w:jc w:val="left"/>
        <w:rPr>
          <w:rStyle w:val="999"/>
          <w:rFonts w:hint="eastAsia" w:ascii="宋体" w:hAnsi="宋体" w:eastAsia="宋体" w:cs="宋体"/>
          <w:color w:val="000000"/>
          <w:sz w:val="32"/>
          <w:szCs w:val="32"/>
          <w:highlight w:val="none"/>
        </w:rPr>
      </w:pPr>
      <w:r>
        <w:rPr>
          <w:rStyle w:val="999"/>
          <w:rFonts w:hint="eastAsia" w:ascii="宋体" w:hAnsi="宋体" w:eastAsia="宋体" w:cs="宋体"/>
          <w:color w:val="000000"/>
          <w:sz w:val="32"/>
          <w:szCs w:val="32"/>
          <w:highlight w:val="none"/>
        </w:rPr>
      </w:r>
      <w:r/>
    </w:p>
    <w:p>
      <w:pPr>
        <w:pStyle w:val="1391"/>
        <w:jc w:val="center"/>
        <w:rPr>
          <w:rStyle w:val="999"/>
          <w:rFonts w:hint="eastAsia" w:ascii="宋体" w:hAnsi="宋体" w:eastAsia="宋体" w:cs="宋体"/>
          <w:color w:val="000000"/>
          <w:sz w:val="44"/>
          <w:szCs w:val="44"/>
          <w:highlight w:val="none"/>
          <w:u w:val="single"/>
        </w:rPr>
      </w:pPr>
      <w:r>
        <w:rPr>
          <w:rStyle w:val="999"/>
          <w:rFonts w:hint="eastAsia" w:ascii="宋体" w:hAnsi="宋体" w:eastAsia="宋体" w:cs="宋体"/>
          <w:color w:val="000000"/>
          <w:sz w:val="44"/>
          <w:szCs w:val="44"/>
          <w:highlight w:val="none"/>
          <w:u w:val="single"/>
        </w:rPr>
        <w:t xml:space="preserve">（  </w:t>
      </w:r>
      <w:r>
        <w:rPr>
          <w:rStyle w:val="999"/>
          <w:rFonts w:hint="eastAsia" w:ascii="宋体" w:hAnsi="宋体" w:eastAsia="宋体" w:cs="宋体"/>
          <w:color w:val="000000"/>
          <w:sz w:val="44"/>
          <w:szCs w:val="44"/>
          <w:highlight w:val="none"/>
          <w:u w:val="single"/>
          <w:lang w:val="en-US" w:eastAsia="zh-CN"/>
        </w:rPr>
        <w:t xml:space="preserve">项 目</w:t>
      </w:r>
      <w:r>
        <w:rPr>
          <w:rStyle w:val="999"/>
          <w:rFonts w:hint="eastAsia" w:ascii="宋体" w:hAnsi="宋体" w:eastAsia="宋体" w:cs="宋体"/>
          <w:color w:val="000000"/>
          <w:sz w:val="44"/>
          <w:szCs w:val="44"/>
          <w:highlight w:val="none"/>
          <w:u w:val="single"/>
        </w:rPr>
        <w:t xml:space="preserve"> 名 称  ）</w:t>
      </w:r>
      <w:r>
        <w:rPr>
          <w:rStyle w:val="999"/>
          <w:rFonts w:hint="eastAsia" w:ascii="宋体" w:hAnsi="宋体" w:eastAsia="宋体" w:cs="宋体"/>
          <w:color w:val="000000"/>
          <w:sz w:val="44"/>
          <w:szCs w:val="44"/>
          <w:highlight w:val="none"/>
          <w:u w:val="single"/>
        </w:rPr>
      </w:r>
      <w:r/>
    </w:p>
    <w:p>
      <w:pPr>
        <w:pStyle w:val="1391"/>
        <w:jc w:val="center"/>
        <w:rPr>
          <w:rStyle w:val="999"/>
          <w:rFonts w:hint="eastAsia" w:ascii="宋体" w:hAnsi="宋体" w:eastAsia="宋体" w:cs="宋体"/>
          <w:color w:val="000000"/>
          <w:sz w:val="44"/>
          <w:szCs w:val="44"/>
          <w:highlight w:val="none"/>
          <w:u w:val="single"/>
        </w:rPr>
      </w:pPr>
      <w:r>
        <w:rPr>
          <w:rStyle w:val="999"/>
          <w:rFonts w:hint="eastAsia" w:ascii="宋体" w:hAnsi="宋体" w:eastAsia="宋体" w:cs="宋体"/>
          <w:color w:val="000000"/>
          <w:sz w:val="44"/>
          <w:szCs w:val="44"/>
          <w:highlight w:val="none"/>
          <w:u w:val="single"/>
        </w:rPr>
      </w:r>
      <w:r/>
    </w:p>
    <w:p>
      <w:pPr>
        <w:pStyle w:val="1391"/>
        <w:jc w:val="center"/>
        <w:rPr>
          <w:rStyle w:val="999"/>
          <w:rFonts w:hint="eastAsia" w:ascii="宋体" w:hAnsi="宋体" w:eastAsia="宋体" w:cs="宋体"/>
          <w:color w:val="000000"/>
          <w:sz w:val="52"/>
          <w:szCs w:val="52"/>
          <w:highlight w:val="none"/>
        </w:rPr>
      </w:pPr>
      <w:r>
        <w:rPr>
          <w:rStyle w:val="999"/>
          <w:rFonts w:hint="eastAsia" w:ascii="宋体" w:hAnsi="宋体" w:eastAsia="宋体" w:cs="宋体"/>
          <w:color w:val="000000"/>
          <w:sz w:val="52"/>
          <w:szCs w:val="52"/>
          <w:highlight w:val="none"/>
        </w:rPr>
      </w:r>
      <w:r/>
    </w:p>
    <w:p>
      <w:pPr>
        <w:pStyle w:val="1391"/>
        <w:jc w:val="center"/>
        <w:rPr>
          <w:rStyle w:val="999"/>
          <w:rFonts w:hint="eastAsia" w:ascii="宋体" w:hAnsi="宋体" w:eastAsia="宋体" w:cs="宋体"/>
          <w:color w:val="000000"/>
          <w:sz w:val="72"/>
          <w:szCs w:val="72"/>
          <w:highlight w:val="none"/>
        </w:rPr>
      </w:pPr>
      <w:r>
        <w:rPr>
          <w:rStyle w:val="999"/>
          <w:rFonts w:hint="eastAsia" w:ascii="宋体" w:hAnsi="宋体" w:eastAsia="宋体" w:cs="宋体"/>
          <w:color w:val="000000"/>
          <w:sz w:val="72"/>
          <w:szCs w:val="72"/>
          <w:highlight w:val="none"/>
        </w:rPr>
        <w:t xml:space="preserve">投 标 文 件</w:t>
      </w:r>
      <w:r>
        <w:rPr>
          <w:rStyle w:val="999"/>
          <w:rFonts w:hint="eastAsia" w:ascii="宋体" w:hAnsi="宋体" w:eastAsia="宋体" w:cs="宋体"/>
          <w:color w:val="000000"/>
          <w:sz w:val="72"/>
          <w:szCs w:val="72"/>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jc w:val="lef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r>
      <w:r/>
    </w:p>
    <w:p>
      <w:pPr>
        <w:pStyle w:val="1391"/>
        <w:ind w:firstLine="2520"/>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投标人：</w:t>
      </w:r>
      <w:r>
        <w:rPr>
          <w:rStyle w:val="999"/>
          <w:rFonts w:hint="eastAsia" w:ascii="宋体" w:hAnsi="宋体" w:eastAsia="宋体" w:cs="宋体"/>
          <w:color w:val="000000"/>
          <w:sz w:val="28"/>
          <w:szCs w:val="28"/>
          <w:highlight w:val="none"/>
          <w:u w:val="single"/>
          <w:lang w:val="en-US" w:eastAsia="zh-CN"/>
        </w:rPr>
        <w:t xml:space="preserve">            </w:t>
      </w:r>
      <w:r>
        <w:rPr>
          <w:rStyle w:val="999"/>
          <w:rFonts w:hint="eastAsia" w:ascii="宋体" w:hAnsi="宋体" w:eastAsia="宋体" w:cs="宋体"/>
          <w:color w:val="000000"/>
          <w:sz w:val="28"/>
          <w:szCs w:val="28"/>
          <w:highlight w:val="none"/>
          <w:u w:val="single"/>
        </w:rPr>
        <w:t xml:space="preserve"> </w:t>
      </w:r>
      <w:r>
        <w:rPr>
          <w:rStyle w:val="999"/>
          <w:rFonts w:hint="eastAsia" w:ascii="宋体" w:hAnsi="宋体" w:eastAsia="宋体" w:cs="宋体"/>
          <w:color w:val="000000"/>
          <w:sz w:val="28"/>
          <w:szCs w:val="28"/>
          <w:highlight w:val="none"/>
        </w:rPr>
        <w:t xml:space="preserve">（CA电子公章）</w:t>
      </w:r>
      <w:r>
        <w:rPr>
          <w:rStyle w:val="999"/>
          <w:rFonts w:hint="eastAsia" w:ascii="宋体" w:hAnsi="宋体" w:eastAsia="宋体" w:cs="宋体"/>
          <w:color w:val="000000"/>
          <w:sz w:val="28"/>
          <w:szCs w:val="28"/>
          <w:highlight w:val="none"/>
        </w:rPr>
      </w:r>
      <w:r/>
    </w:p>
    <w:p>
      <w:pPr>
        <w:pStyle w:val="1391"/>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              法定代表人：</w:t>
      </w:r>
      <w:r>
        <w:rPr>
          <w:rStyle w:val="999"/>
          <w:rFonts w:hint="eastAsia" w:ascii="宋体" w:hAnsi="宋体" w:eastAsia="宋体" w:cs="宋体"/>
          <w:color w:val="000000"/>
          <w:sz w:val="28"/>
          <w:szCs w:val="28"/>
          <w:highlight w:val="none"/>
          <w:u w:val="single"/>
        </w:rPr>
        <w:t xml:space="preserve"> </w:t>
      </w:r>
      <w:r>
        <w:rPr>
          <w:rStyle w:val="999"/>
          <w:rFonts w:hint="eastAsia" w:ascii="宋体" w:hAnsi="宋体" w:eastAsia="宋体" w:cs="宋体"/>
          <w:color w:val="000000"/>
          <w:sz w:val="28"/>
          <w:szCs w:val="28"/>
          <w:highlight w:val="none"/>
          <w:u w:val="single"/>
          <w:lang w:val="en-US" w:eastAsia="zh-CN"/>
        </w:rPr>
        <w:t xml:space="preserve">            </w:t>
      </w:r>
      <w:r>
        <w:rPr>
          <w:rStyle w:val="999"/>
          <w:rFonts w:hint="eastAsia" w:ascii="宋体" w:hAnsi="宋体" w:eastAsia="宋体" w:cs="宋体"/>
          <w:color w:val="000000"/>
          <w:sz w:val="28"/>
          <w:szCs w:val="28"/>
          <w:highlight w:val="none"/>
        </w:rPr>
        <w:t xml:space="preserve">（</w:t>
      </w:r>
      <w:r>
        <w:rPr>
          <w:rStyle w:val="999"/>
          <w:rFonts w:hint="eastAsia" w:ascii="宋体" w:hAnsi="宋体" w:eastAsia="宋体" w:cs="宋体"/>
          <w:color w:val="000000"/>
          <w:sz w:val="28"/>
          <w:szCs w:val="28"/>
          <w:highlight w:val="none"/>
          <w:lang w:val="en-US" w:eastAsia="zh-CN"/>
        </w:rPr>
        <w:t xml:space="preserve">签字或盖章</w:t>
      </w:r>
      <w:r>
        <w:rPr>
          <w:rStyle w:val="999"/>
          <w:rFonts w:hint="eastAsia" w:ascii="宋体" w:hAnsi="宋体" w:eastAsia="宋体" w:cs="宋体"/>
          <w:color w:val="000000"/>
          <w:sz w:val="28"/>
          <w:szCs w:val="28"/>
          <w:highlight w:val="none"/>
        </w:rPr>
        <w:t xml:space="preserve">）</w:t>
      </w:r>
      <w:r>
        <w:rPr>
          <w:rStyle w:val="999"/>
          <w:rFonts w:hint="eastAsia" w:ascii="宋体" w:hAnsi="宋体" w:eastAsia="宋体" w:cs="宋体"/>
          <w:color w:val="000000"/>
          <w:sz w:val="28"/>
          <w:szCs w:val="28"/>
          <w:highlight w:val="none"/>
        </w:rPr>
      </w:r>
      <w:r/>
    </w:p>
    <w:p>
      <w:pPr>
        <w:pStyle w:val="1391"/>
        <w:ind w:firstLine="3080"/>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年    月    日</w:t>
      </w:r>
      <w:r>
        <w:rPr>
          <w:rStyle w:val="999"/>
          <w:rFonts w:hint="eastAsia" w:ascii="宋体" w:hAnsi="宋体" w:eastAsia="宋体" w:cs="宋体"/>
          <w:color w:val="000000"/>
          <w:sz w:val="28"/>
          <w:szCs w:val="28"/>
          <w:highlight w:val="non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4"/>
        <w:jc w:val="left"/>
        <w:rPr>
          <w:rStyle w:val="999"/>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52" w:name="_Toc29859"/>
      <w:r/>
      <w:bookmarkStart w:id="153" w:name="_Toc31677"/>
      <w:r/>
      <w:bookmarkStart w:id="154" w:name="_Toc8089"/>
      <w:r>
        <w:rPr>
          <w:rStyle w:val="999"/>
          <w:rFonts w:hint="eastAsia" w:ascii="宋体" w:hAnsi="宋体" w:eastAsia="宋体" w:cs="宋体"/>
          <w:color w:val="000000"/>
          <w:highlight w:val="none"/>
        </w:rPr>
        <w:t xml:space="preserve">一、投标人基本情况</w:t>
      </w:r>
      <w:bookmarkEnd w:id="152"/>
      <w:r/>
      <w:bookmarkEnd w:id="153"/>
      <w:r/>
      <w:bookmarkEnd w:id="154"/>
      <w:r>
        <w:rPr>
          <w:rStyle w:val="999"/>
          <w:rFonts w:hint="eastAsia" w:ascii="宋体" w:hAnsi="宋体" w:eastAsia="宋体" w:cs="宋体"/>
          <w:color w:val="000000"/>
          <w:highlight w:val="none"/>
        </w:rPr>
      </w:r>
      <w:r/>
    </w:p>
    <w:p>
      <w:pPr>
        <w:pStyle w:val="1335"/>
        <w:jc w:val="center"/>
        <w:rPr>
          <w:rStyle w:val="999"/>
          <w:rFonts w:hint="eastAsia" w:ascii="宋体" w:hAnsi="宋体" w:eastAsia="宋体" w:cs="宋体"/>
          <w:color w:val="000000"/>
          <w:sz w:val="44"/>
          <w:szCs w:val="44"/>
          <w:highlight w:val="none"/>
        </w:rPr>
      </w:pPr>
      <w:r>
        <w:rPr>
          <w:rStyle w:val="999"/>
          <w:rFonts w:hint="eastAsia" w:ascii="宋体" w:hAnsi="宋体" w:eastAsia="宋体" w:cs="宋体"/>
          <w:color w:val="000000"/>
          <w:sz w:val="44"/>
          <w:szCs w:val="44"/>
          <w:highlight w:val="none"/>
        </w:rPr>
        <w:t xml:space="preserve">投标人基本情况表</w:t>
      </w:r>
      <w:r>
        <w:rPr>
          <w:rStyle w:val="999"/>
          <w:rFonts w:hint="eastAsia" w:ascii="宋体" w:hAnsi="宋体" w:eastAsia="宋体" w:cs="宋体"/>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投标人名称</w:t>
            </w:r>
            <w:r>
              <w:rPr>
                <w:rStyle w:val="999"/>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法定代表人</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注册地区</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地址</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邮政编码</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成立时间</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单位性质</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注册号或社会信用代码</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注册资本（万元）</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lang w:eastAsia="zh-CN"/>
              </w:rPr>
              <w:t xml:space="preserve">投标人</w:t>
            </w:r>
            <w:r>
              <w:rPr>
                <w:rStyle w:val="999"/>
                <w:rFonts w:hint="eastAsia" w:ascii="宋体" w:hAnsi="宋体" w:eastAsia="宋体" w:cs="宋体"/>
                <w:color w:val="000000"/>
                <w:sz w:val="24"/>
                <w:szCs w:val="24"/>
                <w:highlight w:val="none"/>
              </w:rPr>
              <w:t xml:space="preserve">类别</w:t>
            </w:r>
            <w:r>
              <w:rPr>
                <w:rStyle w:val="999"/>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开户银行</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账号</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联系人</w:t>
            </w:r>
            <w:r>
              <w:rPr>
                <w:rStyle w:val="999"/>
                <w:rFonts w:hint="eastAsia" w:ascii="宋体" w:hAnsi="宋体" w:eastAsia="宋体" w:cs="宋体"/>
                <w:color w:val="000000"/>
                <w:sz w:val="24"/>
                <w:szCs w:val="24"/>
                <w:highlight w:val="none"/>
              </w:rPr>
            </w:r>
            <w:r/>
          </w:p>
        </w:tc>
        <w:tc>
          <w:tcPr>
            <w:tcW w:w="3118"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c>
          <w:tcPr>
            <w:tcW w:w="1276"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联系电话</w:t>
            </w:r>
            <w:r>
              <w:rPr>
                <w:rStyle w:val="999"/>
                <w:rFonts w:hint="eastAsia" w:ascii="宋体" w:hAnsi="宋体" w:eastAsia="宋体" w:cs="宋体"/>
                <w:color w:val="000000"/>
                <w:sz w:val="24"/>
                <w:szCs w:val="24"/>
                <w:highlight w:val="none"/>
              </w:rPr>
            </w:r>
            <w:r/>
          </w:p>
        </w:tc>
        <w:tc>
          <w:tcPr>
            <w:tcW w:w="2604" w:type="dxa"/>
            <w:vAlign w:val="center"/>
            <w:textDirection w:val="lrTb"/>
            <w:noWrap w:val="false"/>
          </w:tcPr>
          <w:p>
            <w:pPr>
              <w:pStyle w:val="1335"/>
              <w:jc w:val="center"/>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1335"/>
              <w:jc w:val="center"/>
              <w:spacing w:line="56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经营范围</w:t>
            </w:r>
            <w:r>
              <w:rPr>
                <w:rStyle w:val="999"/>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1335"/>
              <w:ind w:firstLine="1432"/>
              <w:spacing w:line="56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1335"/>
              <w:jc w:val="center"/>
              <w:spacing w:line="56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备注</w:t>
            </w:r>
            <w:r>
              <w:rPr>
                <w:rStyle w:val="999"/>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335"/>
              <w:jc w:val="center"/>
              <w:spacing w:line="5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tc>
      </w:tr>
    </w:tbl>
    <w:p>
      <w:pPr>
        <w:pStyle w:val="1335"/>
        <w:jc w:val="left"/>
        <w:spacing w:line="560" w:lineRule="exact"/>
        <w:rPr>
          <w:rStyle w:val="999"/>
          <w:rFonts w:hint="eastAsia" w:ascii="宋体" w:hAnsi="宋体" w:eastAsia="宋体" w:cs="宋体"/>
          <w:bCs/>
          <w:color w:val="000000"/>
          <w:sz w:val="32"/>
          <w:szCs w:val="32"/>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文件须附营业执照副本</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和税务登记证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(或“三证合一”的营业执照</w:t>
      </w:r>
      <w:r>
        <w:rPr>
          <w:rFonts w:hint="eastAsia" w:ascii="宋体" w:hAnsi="宋体" w:eastAsia="宋体" w:cs="宋体"/>
          <w:b/>
          <w:bCs/>
          <w:color w:val="000000"/>
          <w:sz w:val="24"/>
          <w:szCs w:val="24"/>
          <w:highlight w:val="none"/>
          <w:lang w:val="en-US" w:eastAsia="zh-CN"/>
        </w:rPr>
        <w:t xml:space="preserve">扫描件。</w:t>
      </w:r>
      <w:r>
        <w:rPr>
          <w:rStyle w:val="999"/>
          <w:rFonts w:hint="eastAsia" w:ascii="宋体" w:hAnsi="宋体" w:eastAsia="宋体" w:cs="宋体"/>
          <w:bCs/>
          <w:color w:val="000000"/>
          <w:sz w:val="32"/>
          <w:szCs w:val="32"/>
          <w:highlight w:val="none"/>
        </w:rPr>
      </w:r>
      <w:r/>
    </w:p>
    <w:p>
      <w:pPr>
        <w:pStyle w:val="1335"/>
        <w:jc w:val="center"/>
        <w:spacing w:line="560" w:lineRule="exact"/>
        <w:rPr>
          <w:rStyle w:val="999"/>
          <w:rFonts w:hint="eastAsia" w:ascii="宋体" w:hAnsi="宋体" w:eastAsia="宋体" w:cs="宋体"/>
          <w:bCs/>
          <w:color w:val="000000"/>
          <w:sz w:val="32"/>
          <w:szCs w:val="32"/>
          <w:highlight w:val="none"/>
        </w:rPr>
      </w:pPr>
      <w:r>
        <w:rPr>
          <w:rStyle w:val="999"/>
          <w:rFonts w:hint="eastAsia" w:ascii="宋体" w:hAnsi="宋体" w:eastAsia="宋体" w:cs="宋体"/>
          <w:bCs/>
          <w:color w:val="000000"/>
          <w:sz w:val="32"/>
          <w:szCs w:val="32"/>
          <w:highlight w:val="none"/>
        </w:rPr>
      </w:r>
      <w:r/>
    </w:p>
    <w:p>
      <w:pPr>
        <w:pStyle w:val="1336"/>
        <w:jc w:val="left"/>
        <w:rPr>
          <w:rStyle w:val="999"/>
          <w:rFonts w:hint="eastAsia" w:ascii="宋体" w:hAnsi="宋体" w:eastAsia="宋体" w:cs="宋体"/>
          <w:color w:val="000000"/>
          <w:highlight w:val="none"/>
          <w:lang w:eastAsia="zh-CN"/>
        </w:rPr>
        <w:outlineLvl w:val="1"/>
      </w:pPr>
      <w:r>
        <w:rPr>
          <w:rStyle w:val="999"/>
          <w:rFonts w:hint="eastAsia" w:ascii="宋体" w:hAnsi="宋体" w:eastAsia="宋体" w:cs="宋体"/>
          <w:color w:val="000000"/>
          <w:highlight w:val="none"/>
        </w:rPr>
        <w:br w:type="page" w:clear="all"/>
      </w:r>
      <w:bookmarkStart w:id="155" w:name="_Toc13626"/>
      <w:r/>
      <w:bookmarkStart w:id="156" w:name="_Toc29667"/>
      <w:r/>
      <w:bookmarkStart w:id="157" w:name="_Toc17074"/>
      <w:r>
        <w:rPr>
          <w:rStyle w:val="999"/>
          <w:rFonts w:hint="eastAsia" w:ascii="宋体" w:hAnsi="宋体" w:eastAsia="宋体" w:cs="宋体"/>
          <w:color w:val="000000"/>
          <w:highlight w:val="none"/>
        </w:rPr>
        <w:t xml:space="preserve">二、投标人</w:t>
      </w:r>
      <w:r>
        <w:rPr>
          <w:rStyle w:val="999"/>
          <w:rFonts w:hint="eastAsia" w:ascii="宋体" w:hAnsi="宋体" w:eastAsia="宋体" w:cs="宋体"/>
          <w:color w:val="000000"/>
          <w:highlight w:val="none"/>
          <w:lang w:val="en-US" w:eastAsia="zh-CN"/>
        </w:rPr>
        <w:t xml:space="preserve">特定</w:t>
      </w:r>
      <w:bookmarkEnd w:id="155"/>
      <w:r>
        <w:rPr>
          <w:rStyle w:val="999"/>
          <w:rFonts w:hint="eastAsia" w:ascii="宋体" w:hAnsi="宋体" w:eastAsia="宋体" w:cs="宋体"/>
          <w:color w:val="000000"/>
          <w:highlight w:val="none"/>
          <w:lang w:val="en-US" w:eastAsia="zh-CN"/>
        </w:rPr>
        <w:t xml:space="preserve">资格条件</w:t>
      </w:r>
      <w:r>
        <w:rPr>
          <w:rStyle w:val="999"/>
          <w:rFonts w:hint="eastAsia" w:ascii="宋体" w:hAnsi="宋体" w:eastAsia="宋体" w:cs="宋体"/>
          <w:color w:val="000000"/>
          <w:highlight w:val="none"/>
          <w:lang w:eastAsia="zh-CN"/>
        </w:rPr>
        <w:t xml:space="preserve">（</w:t>
      </w:r>
      <w:r>
        <w:rPr>
          <w:rStyle w:val="999"/>
          <w:rFonts w:hint="eastAsia" w:ascii="宋体" w:hAnsi="宋体" w:eastAsia="宋体" w:cs="宋体"/>
          <w:color w:val="000000"/>
          <w:highlight w:val="none"/>
          <w:lang w:val="en-US" w:eastAsia="zh-CN"/>
        </w:rPr>
        <w:t xml:space="preserve">如有</w:t>
      </w:r>
      <w:r>
        <w:rPr>
          <w:rStyle w:val="999"/>
          <w:rFonts w:hint="eastAsia" w:ascii="宋体" w:hAnsi="宋体" w:eastAsia="宋体" w:cs="宋体"/>
          <w:color w:val="000000"/>
          <w:highlight w:val="none"/>
          <w:lang w:eastAsia="zh-CN"/>
        </w:rPr>
        <w:t xml:space="preserve">）</w:t>
      </w:r>
      <w:bookmarkEnd w:id="156"/>
      <w:r/>
      <w:bookmarkEnd w:id="157"/>
      <w:r>
        <w:rPr>
          <w:rStyle w:val="999"/>
          <w:rFonts w:hint="eastAsia" w:ascii="宋体" w:hAnsi="宋体" w:eastAsia="宋体" w:cs="宋体"/>
          <w:color w:val="000000"/>
          <w:highlight w:val="none"/>
          <w:lang w:eastAsia="zh-CN"/>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39"/>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41"/>
        <w:jc w:val="left"/>
        <w:rPr>
          <w:rStyle w:val="999"/>
          <w:rFonts w:hint="eastAsia" w:ascii="宋体" w:hAnsi="宋体" w:eastAsia="宋体" w:cs="宋体"/>
          <w:color w:val="000000"/>
          <w:highlight w:val="none"/>
        </w:rPr>
        <w:outlineLvl w:val="1"/>
      </w:pPr>
      <w:r/>
      <w:bookmarkStart w:id="158" w:name="_Toc16080"/>
      <w:r/>
      <w:bookmarkStart w:id="159" w:name="_Toc23258"/>
      <w:r/>
      <w:bookmarkStart w:id="160" w:name="_Toc25052"/>
      <w:r>
        <w:rPr>
          <w:rStyle w:val="999"/>
          <w:rFonts w:hint="eastAsia" w:ascii="宋体" w:hAnsi="宋体" w:eastAsia="宋体" w:cs="宋体"/>
          <w:color w:val="000000"/>
          <w:highlight w:val="none"/>
          <w:lang w:val="en-US" w:eastAsia="zh-CN"/>
        </w:rPr>
        <w:t xml:space="preserve">三</w:t>
      </w:r>
      <w:r>
        <w:rPr>
          <w:rStyle w:val="999"/>
          <w:rFonts w:hint="eastAsia" w:ascii="宋体" w:hAnsi="宋体" w:eastAsia="宋体" w:cs="宋体"/>
          <w:color w:val="000000"/>
          <w:highlight w:val="none"/>
        </w:rPr>
        <w:t xml:space="preserve">、投标声明及承诺函</w:t>
      </w:r>
      <w:bookmarkEnd w:id="158"/>
      <w:r/>
      <w:bookmarkEnd w:id="159"/>
      <w:r/>
      <w:bookmarkEnd w:id="160"/>
      <w:r>
        <w:rPr>
          <w:rStyle w:val="999"/>
          <w:rFonts w:hint="eastAsia" w:ascii="宋体" w:hAnsi="宋体" w:eastAsia="宋体" w:cs="宋体"/>
          <w:color w:val="000000"/>
          <w:highlight w:val="none"/>
        </w:rPr>
      </w:r>
      <w:r/>
    </w:p>
    <w:p>
      <w:pPr>
        <w:pStyle w:val="1342"/>
        <w:jc w:val="center"/>
        <w:rPr>
          <w:rStyle w:val="999"/>
          <w:rFonts w:hint="eastAsia" w:ascii="宋体" w:hAnsi="宋体" w:eastAsia="宋体" w:cs="宋体"/>
          <w:b/>
          <w:color w:val="000000"/>
          <w:sz w:val="32"/>
          <w:szCs w:val="32"/>
          <w:highlight w:val="none"/>
          <w:lang w:val="en-US" w:eastAsia="zh-CN" w:bidi="ar-SA"/>
        </w:rPr>
      </w:pPr>
      <w:r>
        <w:rPr>
          <w:rStyle w:val="999"/>
          <w:rFonts w:hint="eastAsia" w:ascii="宋体" w:hAnsi="宋体" w:eastAsia="宋体" w:cs="宋体"/>
          <w:b/>
          <w:color w:val="000000"/>
          <w:sz w:val="32"/>
          <w:szCs w:val="32"/>
          <w:highlight w:val="none"/>
          <w:lang w:val="en-US" w:eastAsia="zh-CN" w:bidi="ar-SA"/>
        </w:rPr>
        <w:t xml:space="preserve">投标声明及承诺函</w:t>
      </w:r>
      <w:r>
        <w:rPr>
          <w:rStyle w:val="999"/>
          <w:rFonts w:hint="eastAsia" w:ascii="宋体" w:hAnsi="宋体" w:eastAsia="宋体" w:cs="宋体"/>
          <w:b/>
          <w:color w:val="000000"/>
          <w:sz w:val="32"/>
          <w:szCs w:val="32"/>
          <w:highlight w:val="none"/>
          <w:lang w:val="en-US" w:eastAsia="zh-CN" w:bidi="ar-SA"/>
        </w:rPr>
      </w:r>
      <w:r/>
    </w:p>
    <w:p>
      <w:pPr>
        <w:pStyle w:val="1342"/>
        <w:jc w:val="left"/>
        <w:spacing w:line="500" w:lineRule="exact"/>
        <w:rPr>
          <w:rStyle w:val="999"/>
          <w:rFonts w:hint="eastAsia" w:ascii="宋体" w:hAnsi="宋体" w:eastAsia="宋体" w:cs="宋体"/>
          <w:color w:val="000000"/>
          <w:sz w:val="24"/>
          <w:szCs w:val="24"/>
          <w:highlight w:val="none"/>
          <w:u w:val="single"/>
          <w:lang w:val="en-US" w:eastAsia="zh-CN" w:bidi="ar-SA"/>
        </w:rPr>
      </w:pPr>
      <w:r>
        <w:rPr>
          <w:rStyle w:val="999"/>
          <w:rFonts w:hint="eastAsia" w:ascii="宋体" w:hAnsi="宋体" w:eastAsia="宋体" w:cs="宋体"/>
          <w:color w:val="000000"/>
          <w:sz w:val="24"/>
          <w:szCs w:val="24"/>
          <w:highlight w:val="none"/>
          <w:u w:val="single"/>
          <w:lang w:val="en-US" w:eastAsia="zh-CN" w:bidi="ar-SA"/>
        </w:rPr>
        <w:t xml:space="preserve">（采购单位名称）：</w:t>
      </w:r>
      <w:r>
        <w:rPr>
          <w:rStyle w:val="999"/>
          <w:rFonts w:hint="eastAsia" w:ascii="宋体" w:hAnsi="宋体" w:eastAsia="宋体" w:cs="宋体"/>
          <w:color w:val="000000"/>
          <w:sz w:val="24"/>
          <w:szCs w:val="24"/>
          <w:highlight w:val="none"/>
          <w:u w:val="singl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根据已收到的项目编号为</w:t>
      </w:r>
      <w:r>
        <w:rPr>
          <w:rStyle w:val="999"/>
          <w:rFonts w:hint="eastAsia" w:ascii="宋体" w:hAnsi="宋体" w:eastAsia="宋体" w:cs="宋体"/>
          <w:color w:val="000000"/>
          <w:sz w:val="24"/>
          <w:szCs w:val="24"/>
          <w:highlight w:val="none"/>
          <w:u w:val="single"/>
          <w:lang w:val="en-US" w:eastAsia="zh-CN" w:bidi="ar-SA"/>
        </w:rPr>
        <w:t xml:space="preserve">        </w:t>
      </w:r>
      <w:r>
        <w:rPr>
          <w:rStyle w:val="999"/>
          <w:rFonts w:hint="eastAsia" w:ascii="宋体" w:hAnsi="宋体" w:eastAsia="宋体" w:cs="宋体"/>
          <w:color w:val="000000"/>
          <w:sz w:val="24"/>
          <w:szCs w:val="24"/>
          <w:highlight w:val="none"/>
          <w:lang w:val="en-US" w:eastAsia="zh-CN" w:bidi="ar-SA"/>
        </w:rPr>
        <w:t xml:space="preserve">的</w:t>
      </w:r>
      <w:r>
        <w:rPr>
          <w:rStyle w:val="999"/>
          <w:rFonts w:hint="eastAsia" w:ascii="宋体" w:hAnsi="宋体" w:eastAsia="宋体" w:cs="宋体"/>
          <w:color w:val="000000"/>
          <w:sz w:val="24"/>
          <w:szCs w:val="24"/>
          <w:highlight w:val="none"/>
          <w:u w:val="single"/>
          <w:lang w:val="en-US" w:eastAsia="zh-CN" w:bidi="ar-SA"/>
        </w:rPr>
        <w:t xml:space="preserve">         </w:t>
      </w:r>
      <w:r>
        <w:rPr>
          <w:rStyle w:val="999"/>
          <w:rFonts w:hint="eastAsia" w:ascii="宋体" w:hAnsi="宋体" w:eastAsia="宋体" w:cs="宋体"/>
          <w:color w:val="000000"/>
          <w:sz w:val="24"/>
          <w:szCs w:val="24"/>
          <w:highlight w:val="none"/>
          <w:lang w:val="en-US" w:eastAsia="zh-CN" w:bidi="ar-SA"/>
        </w:rPr>
        <w:t xml:space="preserve">项目的招标文件，我方在参加本项目招投标活动中，特作出如下承诺：</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一、我方</w:t>
      </w:r>
      <w:r>
        <w:rPr>
          <w:rStyle w:val="999"/>
          <w:rFonts w:hint="eastAsia" w:ascii="宋体" w:hAnsi="宋体" w:eastAsia="宋体" w:cs="宋体"/>
          <w:color w:val="000000"/>
          <w:sz w:val="24"/>
          <w:highlight w:val="none"/>
          <w:lang w:val="en-US" w:eastAsia="zh-CN" w:bidi="ar-SA"/>
        </w:rPr>
        <w:t xml:space="preserve">具备《中华人民共和国政府采购法》第二十二条第一款规定的6项条件；</w:t>
      </w:r>
      <w:r>
        <w:rPr>
          <w:rStyle w:val="999"/>
          <w:rFonts w:hint="eastAsia" w:ascii="宋体" w:hAnsi="宋体" w:eastAsia="宋体" w:cs="宋体"/>
          <w:color w:val="000000"/>
          <w:sz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三、我方按招标文件要求提交投标文件，响应招标文件规定的投标有效期；</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四、如果我方的投标文件被接受，我方将按照《中华人民共和国民法典（第三编合同）》及其他有关法律法规的规定，按期、按质、按量交付采购单位，全面做到履约守信；</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六、我方同意采购人、采购代理机构将本声明及承诺函上网公开。</w:t>
      </w:r>
      <w:r>
        <w:rPr>
          <w:rStyle w:val="999"/>
          <w:rFonts w:hint="eastAsia" w:ascii="宋体" w:hAnsi="宋体" w:eastAsia="宋体" w:cs="宋体"/>
          <w:color w:val="000000"/>
          <w:sz w:val="24"/>
          <w:szCs w:val="24"/>
          <w:highlight w:val="none"/>
          <w:lang w:val="en-US" w:eastAsia="zh-CN" w:bidi="ar-SA"/>
        </w:rPr>
      </w:r>
      <w:r/>
    </w:p>
    <w:p>
      <w:pPr>
        <w:pStyle w:val="1342"/>
        <w:ind w:firstLine="480"/>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r>
      <w:r/>
    </w:p>
    <w:p>
      <w:pPr>
        <w:pStyle w:val="1342"/>
        <w:jc w:val="left"/>
        <w:spacing w:line="500" w:lineRule="exact"/>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r>
      <w:r/>
    </w:p>
    <w:p>
      <w:pPr>
        <w:pStyle w:val="1342"/>
        <w:ind w:firstLine="480"/>
        <w:jc w:val="left"/>
        <w:keepLines w:val="0"/>
        <w:keepNext w:val="0"/>
        <w:pageBreakBefore w:val="0"/>
        <w:spacing w:line="360" w:lineRule="auto"/>
        <w:widowControl w:val="off"/>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投标人名称： </w:t>
      </w:r>
      <w:r>
        <w:rPr>
          <w:rStyle w:val="999"/>
          <w:rFonts w:hint="eastAsia" w:ascii="宋体" w:hAnsi="宋体" w:eastAsia="宋体" w:cs="宋体"/>
          <w:color w:val="000000"/>
          <w:sz w:val="24"/>
          <w:szCs w:val="24"/>
          <w:highlight w:val="none"/>
          <w:u w:val="single"/>
          <w:lang w:val="en-US" w:eastAsia="zh-CN" w:bidi="ar-SA"/>
        </w:rPr>
        <w:t xml:space="preserve">          </w:t>
      </w:r>
      <w:r>
        <w:rPr>
          <w:rStyle w:val="999"/>
          <w:rFonts w:hint="eastAsia" w:ascii="宋体" w:hAnsi="宋体" w:eastAsia="宋体" w:cs="宋体"/>
          <w:color w:val="000000"/>
          <w:sz w:val="24"/>
          <w:szCs w:val="24"/>
          <w:highlight w:val="none"/>
          <w:lang w:val="en-US" w:eastAsia="zh-CN" w:bidi="ar-SA"/>
        </w:rPr>
        <w:t xml:space="preserve">（</w:t>
      </w:r>
      <w:r>
        <w:rPr>
          <w:rFonts w:hint="eastAsia" w:ascii="宋体" w:hAnsi="宋体"/>
          <w:color w:val="000000"/>
          <w:sz w:val="24"/>
          <w:szCs w:val="21"/>
          <w:highlight w:val="none"/>
        </w:rPr>
        <w:t xml:space="preserve">CA电子公章</w:t>
      </w:r>
      <w:r>
        <w:rPr>
          <w:rStyle w:val="999"/>
          <w:rFonts w:hint="eastAsia" w:ascii="宋体" w:hAnsi="宋体" w:eastAsia="宋体" w:cs="宋体"/>
          <w:color w:val="000000"/>
          <w:sz w:val="24"/>
          <w:szCs w:val="24"/>
          <w:highlight w:val="none"/>
          <w:lang w:val="en-US" w:eastAsia="zh-CN" w:bidi="ar-SA"/>
        </w:rPr>
        <w:t xml:space="preserve">）</w:t>
      </w:r>
      <w:r>
        <w:rPr>
          <w:rStyle w:val="999"/>
          <w:rFonts w:hint="eastAsia" w:ascii="宋体" w:hAnsi="宋体" w:eastAsia="宋体" w:cs="宋体"/>
          <w:color w:val="000000"/>
          <w:sz w:val="24"/>
          <w:szCs w:val="24"/>
          <w:highlight w:val="none"/>
          <w:lang w:val="en-US" w:eastAsia="zh-CN" w:bidi="ar-SA"/>
        </w:rPr>
      </w:r>
      <w:r/>
    </w:p>
    <w:p>
      <w:pPr>
        <w:pStyle w:val="1342"/>
        <w:ind w:firstLine="480"/>
        <w:jc w:val="left"/>
        <w:keepLines w:val="0"/>
        <w:keepNext w:val="0"/>
        <w:pageBreakBefore w:val="0"/>
        <w:spacing w:line="360" w:lineRule="auto"/>
        <w:widowControl w:val="off"/>
        <w:rPr>
          <w:rStyle w:val="999"/>
          <w:rFonts w:hint="eastAsia" w:ascii="宋体" w:hAnsi="宋体" w:eastAsia="宋体" w:cs="宋体"/>
          <w:color w:val="000000"/>
          <w:sz w:val="24"/>
          <w:szCs w:val="24"/>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法定代表人（负责人）：</w:t>
      </w:r>
      <w:r>
        <w:rPr>
          <w:rStyle w:val="999"/>
          <w:rFonts w:hint="eastAsia" w:ascii="宋体" w:hAnsi="宋体" w:eastAsia="宋体" w:cs="宋体"/>
          <w:color w:val="000000"/>
          <w:sz w:val="24"/>
          <w:szCs w:val="24"/>
          <w:highlight w:val="none"/>
          <w:u w:val="single"/>
          <w:lang w:val="en-US" w:eastAsia="zh-CN" w:bidi="ar-SA"/>
        </w:rPr>
        <w:t xml:space="preserve">          </w:t>
      </w:r>
      <w:r>
        <w:rPr>
          <w:rStyle w:val="999"/>
          <w:rFonts w:hint="eastAsia" w:ascii="宋体" w:hAnsi="宋体" w:eastAsia="宋体" w:cs="宋体"/>
          <w:color w:val="000000"/>
          <w:sz w:val="24"/>
          <w:szCs w:val="24"/>
          <w:highlight w:val="none"/>
          <w:lang w:val="en-US" w:eastAsia="zh-CN" w:bidi="ar-SA"/>
        </w:rPr>
        <w:t xml:space="preserve">（签字或盖章）</w:t>
      </w:r>
      <w:r>
        <w:rPr>
          <w:rStyle w:val="999"/>
          <w:rFonts w:hint="eastAsia" w:ascii="宋体" w:hAnsi="宋体" w:eastAsia="宋体" w:cs="宋体"/>
          <w:color w:val="000000"/>
          <w:sz w:val="24"/>
          <w:szCs w:val="24"/>
          <w:highlight w:val="none"/>
          <w:lang w:val="en-US" w:eastAsia="zh-CN" w:bidi="ar-SA"/>
        </w:rPr>
      </w:r>
      <w:r/>
    </w:p>
    <w:p>
      <w:pPr>
        <w:pStyle w:val="1342"/>
        <w:ind w:firstLine="480"/>
        <w:keepLines w:val="0"/>
        <w:keepNext w:val="0"/>
        <w:pageBreakBefore w:val="0"/>
        <w:spacing w:line="360" w:lineRule="auto"/>
        <w:widowControl w:val="off"/>
        <w:rPr>
          <w:rStyle w:val="999"/>
          <w:rFonts w:hint="eastAsia" w:ascii="宋体" w:hAnsi="宋体" w:eastAsia="宋体" w:cs="宋体"/>
          <w:color w:val="000000"/>
          <w:highlight w:val="none"/>
          <w:lang w:val="en-US" w:eastAsia="zh-CN" w:bidi="ar-SA"/>
        </w:rPr>
      </w:pPr>
      <w:r>
        <w:rPr>
          <w:rStyle w:val="999"/>
          <w:rFonts w:hint="eastAsia" w:ascii="宋体" w:hAnsi="宋体" w:eastAsia="宋体" w:cs="宋体"/>
          <w:color w:val="000000"/>
          <w:sz w:val="24"/>
          <w:szCs w:val="24"/>
          <w:highlight w:val="none"/>
          <w:lang w:val="en-US" w:eastAsia="zh-CN" w:bidi="ar-SA"/>
        </w:rPr>
        <w:t xml:space="preserve">日期：    年    月   日</w:t>
      </w:r>
      <w:r>
        <w:rPr>
          <w:rStyle w:val="999"/>
          <w:rFonts w:hint="eastAsia" w:ascii="宋体" w:hAnsi="宋体" w:eastAsia="宋体" w:cs="宋体"/>
          <w:color w:val="000000"/>
          <w:highlight w:val="none"/>
          <w:lang w:val="en-US" w:eastAsia="zh-CN" w:bidi="ar-SA"/>
        </w:rPr>
      </w:r>
      <w:r/>
    </w:p>
    <w:p>
      <w:pPr>
        <w:pStyle w:val="1343"/>
        <w:jc w:val="left"/>
        <w:rPr>
          <w:rStyle w:val="999"/>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61" w:name="_Toc612"/>
      <w:r/>
      <w:bookmarkStart w:id="162" w:name="_Toc27377"/>
      <w:r/>
      <w:bookmarkStart w:id="163" w:name="_Toc24559"/>
      <w:r>
        <w:rPr>
          <w:rStyle w:val="999"/>
          <w:rFonts w:hint="eastAsia" w:ascii="宋体" w:hAnsi="宋体" w:eastAsia="宋体" w:cs="宋体"/>
          <w:color w:val="000000"/>
          <w:highlight w:val="none"/>
          <w:lang w:val="en-US" w:eastAsia="zh-CN"/>
        </w:rPr>
        <w:t xml:space="preserve">四</w:t>
      </w:r>
      <w:r>
        <w:rPr>
          <w:rStyle w:val="999"/>
          <w:rFonts w:hint="eastAsia" w:ascii="宋体" w:hAnsi="宋体" w:eastAsia="宋体" w:cs="宋体"/>
          <w:color w:val="000000"/>
          <w:highlight w:val="none"/>
        </w:rPr>
        <w:t xml:space="preserve">、法定代表人授权委托书</w:t>
      </w:r>
      <w:bookmarkEnd w:id="161"/>
      <w:r/>
      <w:bookmarkEnd w:id="162"/>
      <w:r/>
      <w:bookmarkEnd w:id="163"/>
      <w:r>
        <w:rPr>
          <w:rStyle w:val="999"/>
          <w:rFonts w:hint="eastAsia" w:ascii="宋体" w:hAnsi="宋体" w:eastAsia="宋体" w:cs="宋体"/>
          <w:color w:val="000000"/>
          <w:highlight w:val="none"/>
        </w:rPr>
      </w:r>
      <w:r/>
    </w:p>
    <w:p>
      <w:pPr>
        <w:pStyle w:val="1344"/>
        <w:jc w:val="center"/>
        <w:spacing w:line="560" w:lineRule="exact"/>
        <w:rPr>
          <w:rStyle w:val="999"/>
          <w:rFonts w:hint="eastAsia" w:ascii="宋体" w:hAnsi="宋体" w:eastAsia="宋体" w:cs="宋体"/>
          <w:b/>
          <w:bCs/>
          <w:color w:val="000000"/>
          <w:sz w:val="32"/>
          <w:szCs w:val="32"/>
          <w:highlight w:val="none"/>
        </w:rPr>
      </w:pPr>
      <w:r>
        <w:rPr>
          <w:rStyle w:val="999"/>
          <w:rFonts w:hint="eastAsia" w:ascii="宋体" w:hAnsi="宋体" w:eastAsia="宋体" w:cs="宋体"/>
          <w:b/>
          <w:bCs/>
          <w:color w:val="000000"/>
          <w:sz w:val="32"/>
          <w:szCs w:val="32"/>
          <w:highlight w:val="none"/>
        </w:rPr>
        <w:t xml:space="preserve">法定代表人授权委托书</w:t>
      </w:r>
      <w:r>
        <w:rPr>
          <w:rStyle w:val="999"/>
          <w:rFonts w:hint="eastAsia" w:ascii="宋体" w:hAnsi="宋体" w:eastAsia="宋体" w:cs="宋体"/>
          <w:b/>
          <w:bCs/>
          <w:color w:val="000000"/>
          <w:sz w:val="32"/>
          <w:szCs w:val="32"/>
          <w:highlight w:val="none"/>
        </w:rPr>
      </w:r>
      <w:r/>
    </w:p>
    <w:p>
      <w:pPr>
        <w:pStyle w:val="1344"/>
        <w:spacing w:line="600" w:lineRule="exact"/>
        <w:rPr>
          <w:rStyle w:val="999"/>
          <w:rFonts w:hint="eastAsia" w:ascii="宋体" w:hAnsi="宋体" w:eastAsia="宋体" w:cs="宋体"/>
          <w:color w:val="000000"/>
          <w:sz w:val="32"/>
          <w:highlight w:val="none"/>
        </w:rPr>
      </w:pPr>
      <w:r>
        <w:rPr>
          <w:rStyle w:val="999"/>
          <w:rFonts w:hint="eastAsia" w:ascii="宋体" w:hAnsi="宋体" w:eastAsia="宋体" w:cs="宋体"/>
          <w:color w:val="000000"/>
          <w:sz w:val="32"/>
          <w:highlight w:val="none"/>
        </w:rPr>
      </w:r>
      <w:r/>
    </w:p>
    <w:p>
      <w:pPr>
        <w:pStyle w:val="1345"/>
        <w:keepLines w:val="0"/>
        <w:keepNext w:val="0"/>
        <w:pageBreakBefore w:val="0"/>
        <w:spacing w:line="360" w:lineRule="auto"/>
        <w:widowControl w:val="off"/>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u w:val="single"/>
        </w:rPr>
        <w:t xml:space="preserve">（采购人名称）</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5"/>
        <w:ind w:firstLine="480"/>
        <w:keepLines w:val="0"/>
        <w:keepNext w:val="0"/>
        <w:pageBreakBefore w:val="0"/>
        <w:spacing w:line="360" w:lineRule="auto"/>
        <w:widowControl w:val="off"/>
        <w:rPr>
          <w:rStyle w:val="999"/>
          <w:rFonts w:hint="eastAsia" w:ascii="宋体" w:hAnsi="宋体" w:eastAsia="宋体" w:cs="宋体"/>
          <w:color w:val="000000"/>
          <w:sz w:val="32"/>
          <w:szCs w:val="32"/>
          <w:highlight w:val="none"/>
          <w:u w:val="single"/>
        </w:rPr>
      </w:pPr>
      <w:r>
        <w:rPr>
          <w:rStyle w:val="999"/>
          <w:rFonts w:hint="eastAsia" w:ascii="宋体" w:hAnsi="宋体" w:eastAsia="宋体" w:cs="宋体"/>
          <w:color w:val="000000"/>
          <w:sz w:val="24"/>
          <w:highlight w:val="none"/>
          <w:u w:val="single"/>
        </w:rPr>
        <w:t xml:space="preserve">      （单位名称）</w:t>
      </w:r>
      <w:r>
        <w:rPr>
          <w:rStyle w:val="999"/>
          <w:rFonts w:hint="eastAsia" w:ascii="宋体" w:hAnsi="宋体" w:eastAsia="宋体" w:cs="宋体"/>
          <w:color w:val="000000"/>
          <w:sz w:val="24"/>
          <w:highlight w:val="none"/>
        </w:rPr>
        <w:t xml:space="preserve">法定代表人</w:t>
      </w:r>
      <w:r>
        <w:rPr>
          <w:rStyle w:val="999"/>
          <w:rFonts w:hint="eastAsia" w:ascii="宋体" w:hAnsi="宋体" w:eastAsia="宋体" w:cs="宋体"/>
          <w:color w:val="000000"/>
          <w:sz w:val="24"/>
          <w:highlight w:val="none"/>
          <w:u w:val="single"/>
        </w:rPr>
        <w:t xml:space="preserve">     （姓名）</w:t>
      </w:r>
      <w:r>
        <w:rPr>
          <w:rStyle w:val="999"/>
          <w:rFonts w:hint="eastAsia" w:ascii="宋体" w:hAnsi="宋体" w:eastAsia="宋体" w:cs="宋体"/>
          <w:color w:val="000000"/>
          <w:sz w:val="24"/>
          <w:highlight w:val="none"/>
        </w:rPr>
        <w:t xml:space="preserve">，法定代表人身份证号： </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，授权我单位</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（职务或职称）</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（姓名），身份证号：</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，为我单位本次授权代理人，全权处理此次</w:t>
      </w:r>
      <w:r>
        <w:rPr>
          <w:rStyle w:val="999"/>
          <w:rFonts w:hint="eastAsia" w:ascii="宋体" w:hAnsi="宋体" w:eastAsia="宋体" w:cs="宋体"/>
          <w:color w:val="000000"/>
          <w:sz w:val="24"/>
          <w:highlight w:val="none"/>
          <w:u w:val="single"/>
        </w:rPr>
        <w:t xml:space="preserve">  （项目名称）</w:t>
      </w:r>
      <w:r>
        <w:rPr>
          <w:rStyle w:val="999"/>
          <w:rFonts w:hint="eastAsia" w:ascii="宋体" w:hAnsi="宋体" w:eastAsia="宋体" w:cs="宋体"/>
          <w:color w:val="000000"/>
          <w:sz w:val="24"/>
          <w:highlight w:val="none"/>
        </w:rPr>
        <w:t xml:space="preserve">公开招标</w:t>
      </w:r>
      <w:r>
        <w:rPr>
          <w:rStyle w:val="999"/>
          <w:rFonts w:hint="eastAsia" w:ascii="宋体" w:hAnsi="宋体" w:eastAsia="宋体" w:cs="宋体"/>
          <w:color w:val="000000"/>
          <w:sz w:val="24"/>
          <w:highlight w:val="none"/>
        </w:rPr>
        <w:t xml:space="preserve">活动的一切事宜。</w:t>
      </w:r>
      <w:r>
        <w:rPr>
          <w:rStyle w:val="999"/>
          <w:rFonts w:hint="eastAsia" w:ascii="宋体" w:hAnsi="宋体" w:eastAsia="宋体" w:cs="宋体"/>
          <w:color w:val="000000"/>
          <w:sz w:val="32"/>
          <w:szCs w:val="32"/>
          <w:highlight w:val="none"/>
          <w:u w:val="single"/>
        </w:rPr>
      </w:r>
      <w:r/>
    </w:p>
    <w:p>
      <w:pPr>
        <w:pStyle w:val="1344"/>
        <w:ind w:firstLine="630"/>
        <w:keepLines w:val="0"/>
        <w:keepNext w:val="0"/>
        <w:pageBreakBefore w:val="0"/>
        <w:spacing w:line="360" w:lineRule="auto"/>
        <w:widowControl w:val="off"/>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特此授权。</w:t>
      </w:r>
      <w:r>
        <w:rPr>
          <w:rStyle w:val="999"/>
          <w:rFonts w:hint="eastAsia" w:ascii="宋体" w:hAnsi="宋体" w:eastAsia="宋体" w:cs="宋体"/>
          <w:color w:val="000000"/>
          <w:sz w:val="24"/>
          <w:highlight w:val="none"/>
        </w:rPr>
      </w:r>
      <w:r/>
    </w:p>
    <w:p>
      <w:pPr>
        <w:pStyle w:val="1346"/>
        <w:ind w:firstLine="630"/>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t xml:space="preserve">（</w:t>
      </w:r>
      <w:r>
        <w:rPr>
          <w:rStyle w:val="999"/>
          <w:rFonts w:hint="eastAsia" w:ascii="宋体" w:hAnsi="宋体" w:eastAsia="宋体" w:cs="宋体"/>
          <w:color w:val="000000"/>
          <w:sz w:val="24"/>
          <w:szCs w:val="24"/>
          <w:highlight w:val="none"/>
          <w:lang w:val="en-US" w:eastAsia="zh-CN"/>
        </w:rPr>
        <w:t xml:space="preserve">附法人和</w:t>
      </w:r>
      <w:r>
        <w:rPr>
          <w:rStyle w:val="999"/>
          <w:rFonts w:hint="eastAsia" w:ascii="宋体" w:hAnsi="宋体" w:eastAsia="宋体" w:cs="宋体"/>
          <w:color w:val="000000"/>
          <w:sz w:val="24"/>
          <w:szCs w:val="24"/>
          <w:highlight w:val="none"/>
        </w:rPr>
        <w:t xml:space="preserve">授权委托</w:t>
      </w:r>
      <w:r>
        <w:rPr>
          <w:rStyle w:val="999"/>
          <w:rFonts w:hint="eastAsia" w:ascii="宋体" w:hAnsi="宋体" w:eastAsia="宋体" w:cs="宋体"/>
          <w:color w:val="000000"/>
          <w:sz w:val="24"/>
          <w:szCs w:val="24"/>
          <w:highlight w:val="none"/>
          <w:lang w:val="en-US" w:eastAsia="zh-CN"/>
        </w:rPr>
        <w:t xml:space="preserve">人身份证正反面</w:t>
      </w:r>
      <w:r>
        <w:rPr>
          <w:rStyle w:val="999"/>
          <w:rFonts w:hint="eastAsia" w:ascii="宋体" w:hAnsi="宋体" w:eastAsia="宋体" w:cs="宋体"/>
          <w:color w:val="000000"/>
          <w:sz w:val="24"/>
          <w:szCs w:val="24"/>
          <w:highlight w:val="none"/>
        </w:rPr>
        <w:t xml:space="preserve">）</w:t>
      </w:r>
      <w:r>
        <w:rPr>
          <w:rStyle w:val="999"/>
          <w:rFonts w:hint="eastAsia" w:ascii="宋体" w:hAnsi="宋体" w:eastAsia="宋体" w:cs="宋体"/>
          <w:color w:val="000000"/>
          <w:sz w:val="24"/>
          <w:szCs w:val="24"/>
          <w:highlight w:val="none"/>
        </w:rPr>
      </w:r>
      <w:r/>
    </w:p>
    <w:p>
      <w:pPr>
        <w:pStyle w:val="1346"/>
        <w:ind w:firstLine="630"/>
        <w:spacing w:line="600" w:lineRule="exact"/>
        <w:rPr>
          <w:rStyle w:val="999"/>
          <w:rFonts w:hint="eastAsia" w:ascii="宋体" w:hAnsi="宋体" w:eastAsia="宋体" w:cs="宋体"/>
          <w:color w:val="000000"/>
          <w:sz w:val="24"/>
          <w:szCs w:val="24"/>
          <w:highlight w:val="none"/>
        </w:rPr>
      </w:pPr>
      <w:r>
        <w:rPr>
          <w:rStyle w:val="999"/>
          <w:rFonts w:hint="eastAsia" w:ascii="宋体" w:hAnsi="宋体" w:eastAsia="宋体" w:cs="宋体"/>
          <w:color w:val="000000"/>
          <w:sz w:val="24"/>
          <w:szCs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单位名称：</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w:t>
      </w:r>
      <w:r>
        <w:rPr>
          <w:rFonts w:hint="eastAsia" w:ascii="宋体" w:hAnsi="宋体"/>
          <w:color w:val="000000"/>
          <w:sz w:val="24"/>
          <w:szCs w:val="21"/>
          <w:highlight w:val="none"/>
        </w:rPr>
        <w:t xml:space="preserve">CA电子公章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法定代表人：</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（签字或</w:t>
      </w:r>
      <w:r>
        <w:rPr>
          <w:rStyle w:val="999"/>
          <w:rFonts w:hint="eastAsia" w:ascii="宋体" w:hAnsi="宋体" w:eastAsia="宋体" w:cs="宋体"/>
          <w:color w:val="000000"/>
          <w:sz w:val="24"/>
          <w:highlight w:val="none"/>
          <w:lang w:val="en-US" w:eastAsia="zh-CN"/>
        </w:rPr>
        <w:t xml:space="preserve">盖章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授权代理人：</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（签字或</w:t>
      </w:r>
      <w:r>
        <w:rPr>
          <w:rStyle w:val="999"/>
          <w:rFonts w:hint="eastAsia" w:ascii="宋体" w:hAnsi="宋体" w:eastAsia="宋体" w:cs="宋体"/>
          <w:color w:val="000000"/>
          <w:sz w:val="24"/>
          <w:highlight w:val="none"/>
          <w:lang w:val="en-US" w:eastAsia="zh-CN"/>
        </w:rPr>
        <w:t xml:space="preserve">盖章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年</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月</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日</w:t>
      </w:r>
      <w:r>
        <w:rPr>
          <w:rStyle w:val="999"/>
          <w:rFonts w:hint="eastAsia" w:ascii="宋体" w:hAnsi="宋体" w:eastAsia="宋体" w:cs="宋体"/>
          <w:color w:val="000000"/>
          <w:sz w:val="24"/>
          <w:highlight w:val="none"/>
        </w:rPr>
      </w:r>
      <w:r/>
    </w:p>
    <w:p>
      <w:pPr>
        <w:pStyle w:val="1347"/>
        <w:rPr>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64" w:name="_Toc27635"/>
      <w:r/>
      <w:bookmarkStart w:id="165" w:name="_Toc19202"/>
      <w:r>
        <w:rPr>
          <w:rFonts w:hint="eastAsia" w:ascii="宋体" w:hAnsi="宋体" w:eastAsia="宋体" w:cs="宋体"/>
          <w:b/>
          <w:caps w:val="0"/>
          <w:color w:val="000000"/>
          <w:sz w:val="32"/>
          <w:szCs w:val="32"/>
          <w:highlight w:val="none"/>
          <w:lang w:eastAsia="zh-CN"/>
        </w:rPr>
        <w:t xml:space="preserve">五、</w:t>
      </w:r>
      <w:r>
        <w:rPr>
          <w:rFonts w:hint="eastAsia" w:ascii="宋体" w:hAnsi="宋体" w:eastAsia="宋体" w:cs="宋体"/>
          <w:color w:val="000000"/>
          <w:highlight w:val="none"/>
        </w:rPr>
        <w:t xml:space="preserve">开标一览表</w:t>
      </w:r>
      <w:bookmarkEnd w:id="164"/>
      <w:r/>
      <w:bookmarkEnd w:id="165"/>
      <w:r>
        <w:rPr>
          <w:rFonts w:hint="eastAsia" w:ascii="宋体" w:hAnsi="宋体" w:eastAsia="宋体" w:cs="宋体"/>
          <w:color w:val="000000"/>
          <w:highlight w:val="none"/>
        </w:rPr>
      </w:r>
      <w:r/>
    </w:p>
    <w:p>
      <w:pPr>
        <w:pStyle w:val="1055"/>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投标人全称（加盖CA电子签章）：</w:t>
      </w:r>
      <w:r/>
    </w:p>
    <w:p>
      <w:pPr>
        <w:pStyle w:val="1055"/>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项目名称：</w:t>
      </w:r>
      <w:r/>
    </w:p>
    <w:p>
      <w:pPr>
        <w:pStyle w:val="1055"/>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招标编号：                                 </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55"/>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投标总报价</w:t>
            </w:r>
            <w:r/>
          </w:p>
        </w:tc>
      </w:tr>
      <w:tr>
        <w:trPr>
          <w:tblCellSpacing w:w="0" w:type="dxa"/>
          <w:trHeight w:val="612"/>
        </w:trPr>
        <w:tc>
          <w:tcPr>
            <w:tcW w:w="8206" w:type="dxa"/>
            <w:vAlign w:val="center"/>
            <w:textDirection w:val="lrTb"/>
            <w:noWrap w:val="false"/>
          </w:tcPr>
          <w:p>
            <w:pPr>
              <w:pStyle w:val="1055"/>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小写：                             （人民币：元）</w:t>
            </w:r>
            <w:r/>
          </w:p>
        </w:tc>
      </w:tr>
    </w:tbl>
    <w:p>
      <w:pPr>
        <w:pStyle w:val="989"/>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35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351"/>
        <w:ind w:firstLine="480"/>
        <w:jc w:val="righ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olor w:val="000000"/>
          <w:sz w:val="24"/>
          <w:szCs w:val="21"/>
          <w:highlight w:val="none"/>
        </w:rPr>
        <w:t xml:space="preserve">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350"/>
        <w:rPr>
          <w:rFonts w:hint="eastAsia" w:cs="黑体"/>
          <w:b/>
          <w:color w:val="000000"/>
          <w:highlight w:val="none"/>
          <w:lang w:val="en-US" w:eastAsia="zh-CN"/>
        </w:rPr>
        <w:outlineLvl w:val="1"/>
      </w:pPr>
      <w:r>
        <w:rPr>
          <w:rFonts w:hint="eastAsia" w:ascii="宋体" w:hAnsi="宋体" w:eastAsia="宋体" w:cs="宋体"/>
          <w:color w:val="000000"/>
          <w:highlight w:val="none"/>
        </w:rPr>
        <w:br w:type="page" w:clear="all"/>
      </w:r>
      <w:bookmarkStart w:id="166" w:name="_Toc7138"/>
      <w:r/>
      <w:bookmarkStart w:id="167" w:name="_Toc10851"/>
      <w:r>
        <w:rPr>
          <w:rFonts w:hint="eastAsia" w:ascii="宋体" w:hAnsi="宋体" w:eastAsia="宋体" w:cs="宋体"/>
          <w:color w:val="000000"/>
          <w:highlight w:val="none"/>
          <w:lang w:eastAsia="zh-CN"/>
        </w:rPr>
        <w:t xml:space="preserve">六、</w:t>
      </w:r>
      <w:bookmarkEnd w:id="166"/>
      <w:r/>
      <w:bookmarkEnd w:id="167"/>
      <w:r>
        <w:rPr>
          <w:rFonts w:hint="eastAsia" w:cs="黑体"/>
          <w:b w:val="0"/>
          <w:bCs/>
          <w:color w:val="000000"/>
          <w:highlight w:val="none"/>
          <w:lang w:val="en-US" w:eastAsia="zh-CN"/>
        </w:rPr>
        <w:t xml:space="preserve">分项报价表</w:t>
      </w:r>
      <w:r>
        <w:rPr>
          <w:rFonts w:hint="eastAsia" w:cs="黑体"/>
          <w:b/>
          <w:color w:val="000000"/>
          <w:highlight w:val="none"/>
          <w:lang w:val="en-US" w:eastAsia="zh-CN"/>
        </w:rPr>
      </w:r>
      <w:r/>
    </w:p>
    <w:p>
      <w:pPr>
        <w:pStyle w:val="989"/>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rPr>
          <w:rFonts w:ascii="方正小标宋_GBK" w:hAnsi="Calibri" w:eastAsia="方正小标宋_GBK" w:cs="Times New Roman"/>
          <w:bCs/>
          <w:color w:val="000000"/>
          <w:sz w:val="32"/>
          <w:szCs w:val="32"/>
          <w:highlight w:val="none"/>
          <w:lang w:val="en-US" w:eastAsia="zh-CN" w:bidi="ar-SA"/>
        </w:rPr>
      </w:r>
      <w:r/>
    </w:p>
    <w:p>
      <w:pPr>
        <w:pStyle w:val="989"/>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（服务类）</w:t>
      </w:r>
      <w:r>
        <w:rPr>
          <w:rFonts w:hint="eastAsia" w:ascii="方正小标宋_GBK" w:hAnsi="Calibri" w:eastAsia="方正小标宋_GBK" w:cs="Times New Roman"/>
          <w:bCs/>
          <w:color w:val="000000"/>
          <w:sz w:val="32"/>
          <w:szCs w:val="32"/>
          <w:highlight w:val="none"/>
          <w:lang w:val="en-US" w:eastAsia="zh-CN" w:bidi="ar-SA"/>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序号</w:t>
            </w:r>
            <w:r>
              <w:rPr>
                <w:rFonts w:hint="eastAsia" w:ascii="宋体" w:hAnsi="宋体" w:eastAsia="宋体" w:cs="Times New Roman"/>
                <w:color w:val="000000"/>
                <w:sz w:val="28"/>
                <w:szCs w:val="28"/>
                <w:highlight w:val="none"/>
              </w:rPr>
            </w:r>
            <w:r/>
          </w:p>
        </w:tc>
        <w:tc>
          <w:tcPr>
            <w:gridSpan w:val="2"/>
            <w:tcW w:w="3673"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服务费用简述</w:t>
            </w:r>
            <w:r>
              <w:rPr>
                <w:rFonts w:hint="eastAsia" w:ascii="宋体" w:hAnsi="宋体" w:eastAsia="宋体" w:cs="Times New Roman"/>
                <w:color w:val="000000"/>
                <w:sz w:val="28"/>
                <w:szCs w:val="28"/>
                <w:highlight w:val="none"/>
              </w:rPr>
            </w:r>
            <w:r/>
          </w:p>
        </w:tc>
        <w:tc>
          <w:tcPr>
            <w:tcW w:w="1134"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单价</w:t>
            </w:r>
            <w:r>
              <w:rPr>
                <w:rFonts w:hint="eastAsia" w:ascii="宋体" w:hAnsi="宋体" w:eastAsia="宋体" w:cs="Times New Roman"/>
                <w:color w:val="000000"/>
                <w:sz w:val="28"/>
                <w:szCs w:val="28"/>
                <w:highlight w:val="none"/>
              </w:rPr>
            </w:r>
            <w:r/>
          </w:p>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（元）</w:t>
            </w:r>
            <w:r>
              <w:rPr>
                <w:rFonts w:hint="eastAsia" w:ascii="宋体" w:hAnsi="宋体" w:eastAsia="宋体" w:cs="Times New Roman"/>
                <w:color w:val="000000"/>
                <w:sz w:val="28"/>
                <w:szCs w:val="28"/>
                <w:highlight w:val="none"/>
              </w:rPr>
            </w:r>
            <w:r/>
          </w:p>
        </w:tc>
        <w:tc>
          <w:tcPr>
            <w:tcW w:w="992"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数量</w:t>
            </w:r>
            <w:r>
              <w:rPr>
                <w:rFonts w:hint="eastAsia" w:ascii="宋体" w:hAnsi="宋体" w:eastAsia="宋体" w:cs="Times New Roman"/>
                <w:color w:val="000000"/>
                <w:sz w:val="28"/>
                <w:szCs w:val="28"/>
                <w:highlight w:val="none"/>
              </w:rPr>
            </w:r>
            <w:r/>
          </w:p>
        </w:tc>
        <w:tc>
          <w:tcPr>
            <w:tcW w:w="1541"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合价</w:t>
            </w:r>
            <w:r>
              <w:rPr>
                <w:rFonts w:hint="eastAsia" w:ascii="宋体" w:hAnsi="宋体" w:eastAsia="宋体" w:cs="Times New Roman"/>
                <w:color w:val="000000"/>
                <w:sz w:val="28"/>
                <w:szCs w:val="28"/>
                <w:highlight w:val="none"/>
              </w:rPr>
            </w:r>
            <w:r/>
          </w:p>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（元）</w:t>
            </w:r>
            <w:r>
              <w:rPr>
                <w:rFonts w:hint="eastAsia" w:ascii="宋体" w:hAnsi="宋体" w:eastAsia="宋体" w:cs="Times New Roman"/>
                <w:color w:val="000000"/>
                <w:sz w:val="28"/>
                <w:szCs w:val="28"/>
                <w:highlight w:val="none"/>
              </w:rPr>
            </w:r>
            <w:r/>
          </w:p>
        </w:tc>
        <w:tc>
          <w:tcPr>
            <w:tcW w:w="991" w:type="dxa"/>
            <w:vAlign w:val="center"/>
            <w:textDirection w:val="lrTb"/>
            <w:noWrap w:val="false"/>
          </w:tcPr>
          <w:p>
            <w:pPr>
              <w:pStyle w:val="1414"/>
              <w:jc w:val="center"/>
              <w:spacing w:line="3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备注</w:t>
            </w:r>
            <w:r>
              <w:rPr>
                <w:rFonts w:hint="eastAsia" w:ascii="宋体" w:hAnsi="宋体" w:eastAsia="宋体" w:cs="Times New Roman"/>
                <w:color w:val="000000"/>
                <w:sz w:val="28"/>
                <w:szCs w:val="28"/>
                <w:highlight w:val="none"/>
              </w:rPr>
            </w:r>
            <w:r/>
          </w:p>
        </w:tc>
      </w:tr>
      <w:tr>
        <w:trPr>
          <w:cantSplit/>
          <w:trHeight w:val="482"/>
        </w:trPr>
        <w:tc>
          <w:tcPr>
            <w:tcW w:w="654" w:type="dxa"/>
            <w:vAlign w:val="top"/>
            <w:textDirection w:val="lrTb"/>
            <w:noWrap w:val="false"/>
          </w:tcPr>
          <w:p>
            <w:pPr>
              <w:pStyle w:val="1414"/>
              <w:jc w:val="center"/>
              <w:spacing w:line="56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1</w:t>
            </w:r>
            <w:r>
              <w:rPr>
                <w:rFonts w:hint="eastAsia" w:ascii="宋体" w:hAnsi="宋体"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hint="eastAsia" w:ascii="仿宋_GB2312" w:hAnsi="仿宋_GB2312" w:eastAsia="宋体" w:cs="Times New Roman"/>
                <w:color w:val="000000"/>
                <w:sz w:val="24"/>
                <w:highlight w:val="none"/>
              </w:rPr>
            </w:pPr>
            <w:r>
              <w:rPr>
                <w:rFonts w:hint="eastAsia"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376"/>
        </w:trPr>
        <w:tc>
          <w:tcPr>
            <w:tcW w:w="654" w:type="dxa"/>
            <w:vAlign w:val="top"/>
            <w:textDirection w:val="lrTb"/>
            <w:noWrap w:val="false"/>
          </w:tcPr>
          <w:p>
            <w:pPr>
              <w:pStyle w:val="141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2</w:t>
            </w:r>
            <w:r>
              <w:rPr>
                <w:rFonts w:ascii="宋体" w:hAnsi="宋体"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hint="eastAsia" w:ascii="仿宋_GB2312" w:hAnsi="仿宋_GB2312" w:eastAsia="宋体" w:cs="Times New Roman"/>
                <w:color w:val="000000"/>
                <w:sz w:val="24"/>
                <w:highlight w:val="none"/>
              </w:rPr>
            </w:pPr>
            <w:r>
              <w:rPr>
                <w:rFonts w:hint="eastAsia"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200"/>
        </w:trPr>
        <w:tc>
          <w:tcPr>
            <w:tcW w:w="654" w:type="dxa"/>
            <w:vAlign w:val="top"/>
            <w:textDirection w:val="lrTb"/>
            <w:noWrap w:val="false"/>
          </w:tcPr>
          <w:p>
            <w:pPr>
              <w:pStyle w:val="141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3</w:t>
            </w:r>
            <w:r>
              <w:rPr>
                <w:rFonts w:ascii="宋体" w:hAnsi="宋体"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hint="eastAsia" w:ascii="仿宋_GB2312" w:hAnsi="仿宋_GB2312" w:eastAsia="宋体" w:cs="Times New Roman"/>
                <w:color w:val="000000"/>
                <w:sz w:val="24"/>
                <w:highlight w:val="none"/>
              </w:rPr>
            </w:pPr>
            <w:r>
              <w:rPr>
                <w:rFonts w:hint="eastAsia"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200"/>
        </w:trPr>
        <w:tc>
          <w:tcPr>
            <w:tcW w:w="654" w:type="dxa"/>
            <w:vAlign w:val="top"/>
            <w:textDirection w:val="lrTb"/>
            <w:noWrap w:val="false"/>
          </w:tcPr>
          <w:p>
            <w:pPr>
              <w:pStyle w:val="141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4</w:t>
            </w:r>
            <w:r>
              <w:rPr>
                <w:rFonts w:ascii="宋体" w:hAnsi="宋体"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hint="eastAsia" w:ascii="仿宋_GB2312" w:hAnsi="仿宋_GB2312" w:eastAsia="宋体" w:cs="Times New Roman"/>
                <w:color w:val="000000"/>
                <w:sz w:val="24"/>
                <w:highlight w:val="none"/>
              </w:rPr>
            </w:pPr>
            <w:r>
              <w:rPr>
                <w:rFonts w:hint="eastAsia"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200"/>
        </w:trPr>
        <w:tc>
          <w:tcPr>
            <w:tcW w:w="654" w:type="dxa"/>
            <w:vAlign w:val="top"/>
            <w:textDirection w:val="lrTb"/>
            <w:noWrap w:val="false"/>
          </w:tcPr>
          <w:p>
            <w:pPr>
              <w:pStyle w:val="141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5</w:t>
            </w:r>
            <w:r>
              <w:rPr>
                <w:rFonts w:ascii="宋体" w:hAnsi="宋体"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hint="eastAsia" w:ascii="仿宋_GB2312" w:hAnsi="仿宋_GB2312" w:eastAsia="宋体" w:cs="Times New Roman"/>
                <w:color w:val="000000"/>
                <w:sz w:val="24"/>
                <w:highlight w:val="none"/>
              </w:rPr>
            </w:pPr>
            <w:r>
              <w:rPr>
                <w:rFonts w:hint="eastAsia"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70"/>
        </w:trPr>
        <w:tc>
          <w:tcPr>
            <w:tcW w:w="654" w:type="dxa"/>
            <w:vAlign w:val="top"/>
            <w:textDirection w:val="lrTb"/>
            <w:noWrap w:val="false"/>
          </w:tcPr>
          <w:p>
            <w:pPr>
              <w:pStyle w:val="1414"/>
              <w:spacing w:line="560" w:lineRule="exact"/>
              <w:widowControl/>
              <w:rPr>
                <w:rFonts w:ascii="仿宋_GB2312" w:hAnsi="仿宋_GB2312" w:eastAsia="宋体" w:cs="Times New Roman"/>
                <w:color w:val="000000"/>
                <w:sz w:val="28"/>
                <w:szCs w:val="28"/>
                <w:highlight w:val="none"/>
              </w:rPr>
            </w:pPr>
            <w:r>
              <w:rPr>
                <w:rFonts w:ascii="仿宋_GB2312" w:eastAsia="仿宋_GB2312" w:cs="Times New Roman"/>
                <w:color w:val="000000"/>
                <w:sz w:val="28"/>
                <w:szCs w:val="28"/>
                <w:highlight w:val="none"/>
              </w:rPr>
              <w:t xml:space="preserve">…</w:t>
            </w:r>
            <w:r>
              <w:rPr>
                <w:rFonts w:ascii="仿宋_GB2312" w:hAnsi="仿宋_GB2312" w:eastAsia="宋体" w:cs="Times New Roman"/>
                <w:color w:val="000000"/>
                <w:sz w:val="28"/>
                <w:szCs w:val="28"/>
                <w:highlight w:val="none"/>
              </w:rPr>
            </w:r>
            <w:r/>
          </w:p>
        </w:tc>
        <w:tc>
          <w:tcPr>
            <w:gridSpan w:val="2"/>
            <w:tcW w:w="3673"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134"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2" w:type="dxa"/>
            <w:vAlign w:val="top"/>
            <w:textDirection w:val="lrTb"/>
            <w:noWrap w:val="false"/>
          </w:tcPr>
          <w:p>
            <w:pPr>
              <w:pStyle w:val="1414"/>
              <w:jc w:val="center"/>
              <w:spacing w:line="560" w:lineRule="exact"/>
              <w:widowControl/>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154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c>
          <w:tcPr>
            <w:tcW w:w="991" w:type="dxa"/>
            <w:vAlign w:val="center"/>
            <w:textDirection w:val="lrTb"/>
            <w:noWrap w:val="false"/>
          </w:tcPr>
          <w:p>
            <w:pPr>
              <w:pStyle w:val="1414"/>
              <w:jc w:val="center"/>
              <w:spacing w:line="560" w:lineRule="exact"/>
              <w:rPr>
                <w:rFonts w:ascii="仿宋_GB2312" w:hAnsi="仿宋_GB2312" w:eastAsia="宋体" w:cs="Times New Roman"/>
                <w:color w:val="000000"/>
                <w:sz w:val="24"/>
                <w:highlight w:val="none"/>
              </w:rPr>
            </w:pPr>
            <w:r>
              <w:rPr>
                <w:rFonts w:ascii="仿宋_GB2312" w:hAnsi="仿宋_GB2312" w:eastAsia="宋体" w:cs="Times New Roman"/>
                <w:color w:val="000000"/>
                <w:sz w:val="24"/>
                <w:highlight w:val="none"/>
              </w:rPr>
            </w:r>
            <w:r/>
          </w:p>
        </w:tc>
      </w:tr>
      <w:tr>
        <w:trPr>
          <w:cantSplit/>
          <w:trHeight w:val="1766"/>
        </w:trPr>
        <w:tc>
          <w:tcPr>
            <w:gridSpan w:val="2"/>
            <w:tcW w:w="2061" w:type="dxa"/>
            <w:vAlign w:val="center"/>
            <w:textDirection w:val="lrTb"/>
            <w:noWrap w:val="false"/>
          </w:tcPr>
          <w:p>
            <w:pPr>
              <w:pStyle w:val="1414"/>
              <w:jc w:val="center"/>
              <w:spacing w:line="5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rPr>
                <w:rFonts w:ascii="宋体" w:hAnsi="宋体" w:eastAsia="宋体" w:cs="Times New Roman"/>
                <w:b/>
                <w:bCs/>
                <w:color w:val="000000"/>
                <w:sz w:val="24"/>
                <w:highlight w:val="none"/>
              </w:rPr>
            </w:r>
            <w:r/>
          </w:p>
        </w:tc>
        <w:tc>
          <w:tcPr>
            <w:gridSpan w:val="5"/>
            <w:tcW w:w="6924" w:type="dxa"/>
            <w:vAlign w:val="center"/>
            <w:textDirection w:val="lrTb"/>
            <w:noWrap w:val="false"/>
          </w:tcPr>
          <w:p>
            <w:pPr>
              <w:pStyle w:val="14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rPr>
                <w:rFonts w:hint="eastAsia" w:ascii="宋体" w:hAnsi="宋体" w:eastAsia="宋体" w:cs="Times New Roman"/>
                <w:b/>
                <w:bCs/>
                <w:color w:val="000000"/>
                <w:sz w:val="24"/>
                <w:highlight w:val="none"/>
              </w:rPr>
            </w:r>
            <w:r/>
          </w:p>
          <w:p>
            <w:pPr>
              <w:pStyle w:val="14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rPr>
                <w:rFonts w:hint="eastAsia" w:ascii="宋体" w:hAnsi="宋体" w:eastAsia="宋体" w:cs="Times New Roman"/>
                <w:b/>
                <w:bCs/>
                <w:color w:val="000000"/>
                <w:sz w:val="24"/>
                <w:highlight w:val="none"/>
              </w:rPr>
            </w:r>
            <w:r/>
          </w:p>
        </w:tc>
      </w:tr>
    </w:tbl>
    <w:p>
      <w:pPr>
        <w:pStyle w:val="989"/>
        <w:jc w:val="both"/>
        <w:widowControl w:val="off"/>
        <w:rPr>
          <w:rFonts w:ascii="宋体" w:hAnsi="宋体" w:eastAsia="宋体" w:cs="Times New Roman"/>
          <w:color w:val="000000"/>
          <w:sz w:val="24"/>
          <w:szCs w:val="22"/>
          <w:highlight w:val="none"/>
          <w:lang w:val="en-US" w:eastAsia="zh-CN" w:bidi="ar-SA"/>
        </w:rPr>
      </w:pPr>
      <w:r>
        <w:rPr>
          <w:rFonts w:ascii="宋体" w:hAnsi="宋体" w:eastAsia="宋体" w:cs="Times New Roman"/>
          <w:color w:val="000000"/>
          <w:sz w:val="24"/>
          <w:szCs w:val="22"/>
          <w:highlight w:val="none"/>
          <w:lang w:val="en-US" w:eastAsia="zh-CN" w:bidi="ar-SA"/>
        </w:rPr>
      </w:r>
      <w:r/>
    </w:p>
    <w:p>
      <w:pPr>
        <w:pStyle w:val="989"/>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rPr>
          <w:rFonts w:ascii="宋体" w:hAnsi="宋体" w:eastAsia="宋体" w:cs="Times New Roman"/>
          <w:color w:val="000000"/>
          <w:sz w:val="24"/>
          <w:szCs w:val="24"/>
          <w:highlight w:val="none"/>
        </w:rPr>
      </w:r>
      <w:r/>
    </w:p>
    <w:p>
      <w:pPr>
        <w:pStyle w:val="989"/>
        <w:keepLines w:val="0"/>
        <w:keepNext w:val="0"/>
        <w:pageBreakBefore w:val="0"/>
        <w:spacing w:line="440" w:lineRule="exact"/>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r>
      <w:r/>
    </w:p>
    <w:p>
      <w:pPr>
        <w:pStyle w:val="1351"/>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35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351"/>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olor w:val="000000"/>
          <w:sz w:val="24"/>
          <w:szCs w:val="21"/>
          <w:highlight w:val="none"/>
        </w:rPr>
        <w:t xml:space="preserve">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35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9"/>
      </w:pPr>
      <w:r>
        <w:rPr>
          <w:rStyle w:val="999"/>
          <w:rFonts w:hint="eastAsia" w:ascii="宋体" w:hAnsi="宋体" w:eastAsia="宋体" w:cs="宋体"/>
          <w:color w:val="000000"/>
          <w:highlight w:val="none"/>
        </w:rPr>
      </w:r>
      <w:r/>
    </w:p>
    <w:p>
      <w:pPr>
        <w:pStyle w:val="1355"/>
        <w:jc w:val="left"/>
        <w:rPr>
          <w:rStyle w:val="999"/>
          <w:rFonts w:hint="eastAsia" w:ascii="宋体" w:hAnsi="宋体" w:eastAsia="宋体" w:cs="宋体"/>
          <w:color w:val="000000"/>
          <w:highlight w:val="none"/>
        </w:rPr>
        <w:outlineLvl w:val="1"/>
      </w:pPr>
      <w:r/>
      <w:bookmarkStart w:id="168" w:name="_Toc10251"/>
      <w:r/>
      <w:bookmarkStart w:id="169" w:name="_Toc18816"/>
      <w:r/>
      <w:bookmarkStart w:id="170" w:name="_Toc15037"/>
      <w:r>
        <w:rPr>
          <w:rStyle w:val="999"/>
          <w:rFonts w:hint="eastAsia" w:ascii="宋体" w:hAnsi="宋体" w:eastAsia="宋体" w:cs="宋体"/>
          <w:color w:val="000000"/>
          <w:highlight w:val="none"/>
          <w:lang w:val="en-US" w:eastAsia="zh-CN"/>
        </w:rPr>
        <w:t xml:space="preserve">七</w:t>
      </w:r>
      <w:r>
        <w:rPr>
          <w:rStyle w:val="999"/>
          <w:rFonts w:hint="eastAsia" w:ascii="宋体" w:hAnsi="宋体" w:eastAsia="宋体" w:cs="宋体"/>
          <w:color w:val="000000"/>
          <w:highlight w:val="none"/>
        </w:rPr>
        <w:t xml:space="preserve">、中小企业或残疾人福利性单位声明函</w:t>
      </w:r>
      <w:bookmarkEnd w:id="168"/>
      <w:r/>
      <w:bookmarkEnd w:id="169"/>
      <w:r/>
      <w:bookmarkEnd w:id="170"/>
      <w:r>
        <w:rPr>
          <w:rStyle w:val="999"/>
          <w:rFonts w:hint="eastAsia" w:ascii="宋体" w:hAnsi="宋体" w:eastAsia="宋体" w:cs="宋体"/>
          <w:color w:val="000000"/>
          <w:highlight w:val="none"/>
        </w:rPr>
      </w:r>
      <w:r/>
    </w:p>
    <w:p>
      <w:pPr>
        <w:pStyle w:val="989"/>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中小微企业声明函</w:t>
      </w:r>
      <w:r>
        <w:rPr>
          <w:rFonts w:ascii="方正小标宋_GBK" w:hAnsi="Calibri" w:eastAsia="方正小标宋_GBK" w:cs="Times New Roman"/>
          <w:bCs/>
          <w:color w:val="000000"/>
          <w:sz w:val="32"/>
          <w:szCs w:val="32"/>
          <w:highlight w:val="none"/>
          <w:lang w:val="en-US" w:eastAsia="zh-CN" w:bidi="ar-SA"/>
        </w:rPr>
      </w:r>
      <w:r/>
    </w:p>
    <w:p>
      <w:pPr>
        <w:pStyle w:val="989"/>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（服务类项目）</w:t>
      </w:r>
      <w:r>
        <w:rPr>
          <w:rFonts w:hint="eastAsia" w:ascii="方正小标宋_GBK" w:hAnsi="Calibri" w:eastAsia="方正小标宋_GBK" w:cs="Times New Roman"/>
          <w:bCs/>
          <w:color w:val="000000"/>
          <w:sz w:val="32"/>
          <w:szCs w:val="32"/>
          <w:highlight w:val="none"/>
          <w:lang w:val="en-US" w:eastAsia="zh-CN" w:bidi="ar-SA"/>
        </w:rPr>
      </w:r>
      <w:r/>
    </w:p>
    <w:p>
      <w:pPr>
        <w:pStyle w:val="989"/>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9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eastAsia="宋体" w:cs="Times New Roman"/>
          <w:color w:val="000000"/>
          <w:sz w:val="24"/>
          <w:szCs w:val="24"/>
          <w:highlight w:val="none"/>
        </w:rPr>
      </w:r>
      <w:r/>
    </w:p>
    <w:p>
      <w:pPr>
        <w:pStyle w:val="989"/>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rPr>
          <w:rFonts w:hint="eastAsia" w:ascii="宋体" w:hAnsi="宋体" w:eastAsia="宋体" w:cs="Times New Roman"/>
          <w:i/>
          <w:color w:val="000000"/>
          <w:sz w:val="24"/>
          <w:szCs w:val="24"/>
          <w:highlight w:val="none"/>
          <w:u w:val="single"/>
        </w:rPr>
      </w:r>
      <w:r/>
    </w:p>
    <w:p>
      <w:pPr>
        <w:pStyle w:val="989"/>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rPr>
          <w:rFonts w:hint="eastAsia" w:ascii="宋体" w:hAnsi="宋体" w:eastAsia="宋体" w:cs="Times New Roman"/>
          <w:i/>
          <w:color w:val="000000"/>
          <w:sz w:val="24"/>
          <w:szCs w:val="24"/>
          <w:highlight w:val="none"/>
          <w:u w:val="single"/>
        </w:rPr>
      </w:r>
      <w:r/>
    </w:p>
    <w:p>
      <w:pPr>
        <w:pStyle w:val="9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Times New Roman"/>
          <w:color w:val="000000"/>
          <w:sz w:val="24"/>
          <w:szCs w:val="24"/>
          <w:highlight w:val="none"/>
        </w:rPr>
      </w:r>
      <w:r/>
    </w:p>
    <w:p>
      <w:pPr>
        <w:pStyle w:val="9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rFonts w:hint="eastAsia" w:ascii="宋体" w:hAnsi="宋体" w:eastAsia="宋体" w:cs="Times New Roman"/>
          <w:color w:val="000000"/>
          <w:sz w:val="24"/>
          <w:szCs w:val="24"/>
          <w:highlight w:val="none"/>
        </w:rPr>
      </w:r>
      <w:r/>
    </w:p>
    <w:p>
      <w:pPr>
        <w:pStyle w:val="9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9"/>
        <w:ind w:firstLine="480"/>
        <w:jc w:val="right"/>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rPr>
          <w:rFonts w:hint="eastAsia" w:ascii="宋体" w:hAnsi="宋体" w:eastAsia="宋体" w:cs="Times New Roman"/>
          <w:color w:val="000000"/>
          <w:sz w:val="24"/>
          <w:szCs w:val="24"/>
          <w:highlight w:val="none"/>
        </w:rPr>
      </w:r>
      <w:r/>
    </w:p>
    <w:p>
      <w:pPr>
        <w:pStyle w:val="989"/>
        <w:ind w:firstLine="696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rFonts w:hint="eastAsia" w:ascii="宋体" w:hAnsi="宋体" w:eastAsia="宋体" w:cs="Times New Roman"/>
          <w:color w:val="000000"/>
          <w:sz w:val="24"/>
          <w:szCs w:val="24"/>
          <w:highlight w:val="none"/>
        </w:rPr>
      </w:r>
      <w:r/>
    </w:p>
    <w:p>
      <w:pPr>
        <w:pStyle w:val="989"/>
        <w:ind w:firstLine="24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9"/>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eastAsia="宋体" w:cs="Times New Roman"/>
          <w:color w:val="000000"/>
          <w:sz w:val="24"/>
          <w:szCs w:val="24"/>
          <w:highlight w:val="none"/>
        </w:rPr>
      </w:r>
      <w:r/>
    </w:p>
    <w:p>
      <w:pPr>
        <w:pStyle w:val="989"/>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2.符合报价折扣情形的请将此函填报上传至“企业报价折扣证明”一栏中。</w:t>
      </w:r>
      <w:r>
        <w:rPr>
          <w:rFonts w:ascii="Times New Roman" w:hAnsi="Times New Roman" w:eastAsia="宋体" w:cs="Times New Roman"/>
          <w:color w:val="000000"/>
          <w:sz w:val="24"/>
          <w:szCs w:val="24"/>
          <w:highlight w:val="none"/>
        </w:rPr>
      </w:r>
      <w:r/>
    </w:p>
    <w:p>
      <w:pPr>
        <w:pStyle w:val="989"/>
        <w:ind w:firstLine="480"/>
        <w:spacing w:line="400" w:lineRule="exact"/>
        <w:rPr>
          <w:rFonts w:ascii="Times New Roman" w:hAnsi="Times New Roman" w:eastAsia="宋体" w:cs="Times New Roman"/>
          <w:color w:val="000000"/>
          <w:sz w:val="22"/>
          <w:szCs w:val="21"/>
          <w:highlight w:val="none"/>
        </w:rPr>
      </w:pPr>
      <w:r>
        <w:rPr>
          <w:rFonts w:ascii="Times New Roman" w:hAnsi="Times New Roman" w:eastAsia="宋体" w:cs="Times New Roman"/>
          <w:color w:val="000000"/>
          <w:sz w:val="24"/>
          <w:szCs w:val="24"/>
          <w:highlight w:val="none"/>
        </w:rPr>
        <w:t xml:space="preserve">3.对照《工业和信息化部、国家统计局、国家发展和改革委员会、财政部关于印发中小企业划型标准规定的通知》(工信部联企业[2011]300号)的规定，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自行勾选承接企业的企业规模类型。</w:t>
      </w:r>
      <w:r>
        <w:rPr>
          <w:rFonts w:ascii="Times New Roman" w:hAnsi="Times New Roman" w:eastAsia="宋体" w:cs="Times New Roman"/>
          <w:color w:val="000000"/>
          <w:sz w:val="22"/>
          <w:szCs w:val="21"/>
          <w:highlight w:val="none"/>
        </w:rPr>
      </w:r>
      <w:r/>
    </w:p>
    <w:p>
      <w:pPr>
        <w:pStyle w:val="989"/>
        <w:jc w:val="both"/>
        <w:spacing w:before="151" w:after="151" w:line="600" w:lineRule="exact"/>
        <w:widowControl w:val="off"/>
        <w:rPr>
          <w:rFonts w:hint="eastAsia" w:ascii="宋体" w:hAnsi="Calibri" w:eastAsia="宋体" w:cs="Times New Roman"/>
          <w:b/>
          <w:bCs/>
          <w:color w:val="000000"/>
          <w:sz w:val="32"/>
          <w:szCs w:val="32"/>
          <w:highlight w:val="none"/>
          <w:lang w:val="en-US" w:eastAsia="zh-CN" w:bidi="ar-SA"/>
        </w:rPr>
      </w:pPr>
      <w:r>
        <w:rPr>
          <w:rFonts w:hint="eastAsia" w:ascii="宋体" w:hAnsi="Calibri" w:eastAsia="宋体" w:cs="Times New Roman"/>
          <w:b/>
          <w:bCs/>
          <w:color w:val="000000"/>
          <w:sz w:val="32"/>
          <w:szCs w:val="32"/>
          <w:highlight w:val="none"/>
          <w:lang w:val="en-US" w:eastAsia="zh-CN" w:bidi="ar-SA"/>
        </w:rPr>
      </w:r>
      <w:r/>
    </w:p>
    <w:p>
      <w:pPr>
        <w:pStyle w:val="989"/>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残疾人福利性单位声明函</w:t>
      </w:r>
      <w:r>
        <w:rPr>
          <w:rFonts w:ascii="方正小标宋_GBK" w:hAnsi="Calibri" w:eastAsia="方正小标宋_GBK" w:cs="Times New Roman"/>
          <w:bCs/>
          <w:color w:val="000000"/>
          <w:sz w:val="32"/>
          <w:szCs w:val="32"/>
          <w:highlight w:val="none"/>
          <w:lang w:val="en-US" w:eastAsia="zh-CN" w:bidi="ar-SA"/>
        </w:rPr>
      </w:r>
      <w:r/>
    </w:p>
    <w:p>
      <w:pPr>
        <w:pStyle w:val="989"/>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pStyle w:val="989"/>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color w:val="000000"/>
          <w:sz w:val="24"/>
          <w:szCs w:val="22"/>
          <w:highlight w:val="none"/>
          <w:lang w:val="en-US" w:eastAsia="zh-CN" w:bidi="ar-SA"/>
        </w:rPr>
      </w:r>
      <w:r/>
    </w:p>
    <w:p>
      <w:pPr>
        <w:pStyle w:val="989"/>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rPr>
          <w:rFonts w:ascii="Times New Roman" w:hAnsi="Times New Roman" w:eastAsia="宋体" w:cs="Times New Roman"/>
          <w:color w:val="000000"/>
          <w:sz w:val="24"/>
          <w:szCs w:val="22"/>
          <w:highlight w:val="none"/>
          <w:lang w:val="en-US" w:eastAsia="zh-CN" w:bidi="ar-SA"/>
        </w:rPr>
      </w:r>
      <w:r/>
    </w:p>
    <w:p>
      <w:pPr>
        <w:pStyle w:val="989"/>
        <w:ind w:firstLine="3810"/>
        <w:jc w:val="both"/>
        <w:spacing w:line="500" w:lineRule="exact"/>
        <w:widowControl w:val="off"/>
        <w:rPr>
          <w:rFonts w:ascii="Times New Roman" w:hAnsi="Times New Roman" w:eastAsia="宋体" w:cs="Times New Roman"/>
          <w:color w:val="000000"/>
          <w:spacing w:val="6"/>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r>
      <w:r/>
    </w:p>
    <w:p>
      <w:pPr>
        <w:pStyle w:val="989"/>
        <w:ind w:firstLine="3629"/>
        <w:jc w:val="left"/>
        <w:spacing w:line="500" w:lineRule="exact"/>
        <w:widowControl w:val="off"/>
        <w:rPr>
          <w:rFonts w:ascii="Times New Roman" w:hAnsi="Times New Roman" w:eastAsia="宋体" w:cs="Times New Roman"/>
          <w:color w:val="000000"/>
          <w:sz w:val="24"/>
          <w:highlight w:val="none"/>
          <w:lang w:val="en-US" w:eastAsia="zh-CN" w:bidi="ar-SA"/>
        </w:rPr>
      </w:pPr>
      <w:r>
        <w:rPr>
          <w:rFonts w:ascii="Times New Roman" w:hAnsi="Times New Roman" w:eastAsia="宋体" w:cs="Times New Roman"/>
          <w:color w:val="000000"/>
          <w:sz w:val="24"/>
          <w:highlight w:val="none"/>
          <w:lang w:val="en-US" w:eastAsia="zh-CN" w:bidi="ar-SA"/>
        </w:rPr>
      </w:r>
      <w:r/>
    </w:p>
    <w:p>
      <w:pPr>
        <w:pStyle w:val="989"/>
        <w:ind w:firstLine="480"/>
        <w:jc w:val="left"/>
        <w:spacing w:line="500" w:lineRule="exact"/>
        <w:widowControl w:val="off"/>
        <w:rPr>
          <w:rFonts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单位名称：</w:t>
      </w:r>
      <w:r>
        <w:rPr>
          <w:rFonts w:hint="eastAsia" w:ascii="Times New Roman" w:hAnsi="Times New Roman" w:eastAsia="宋体" w:cs="Times New Roman"/>
          <w:color w:val="000000"/>
          <w:sz w:val="24"/>
          <w:highlight w:val="none"/>
          <w:u w:val="single"/>
          <w:lang w:val="en-US" w:eastAsia="zh-CN" w:bidi="ar-SA"/>
        </w:rPr>
        <w:t xml:space="preserve">              </w:t>
      </w:r>
      <w:r>
        <w:rPr>
          <w:rFonts w:hint="eastAsia" w:ascii="Times New Roman" w:hAnsi="Times New Roman" w:eastAsia="宋体" w:cs="Times New Roman"/>
          <w:color w:val="000000"/>
          <w:sz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盖CA电子公章</w:t>
      </w:r>
      <w:r>
        <w:rPr>
          <w:rFonts w:hint="eastAsia" w:ascii="Times New Roman" w:hAnsi="Times New Roman" w:eastAsia="宋体" w:cs="Times New Roman"/>
          <w:color w:val="000000"/>
          <w:sz w:val="24"/>
          <w:highlight w:val="none"/>
          <w:lang w:val="en-US" w:eastAsia="zh-CN" w:bidi="ar-SA"/>
        </w:rPr>
        <w:t xml:space="preserve">）</w:t>
      </w:r>
      <w:r>
        <w:rPr>
          <w:rFonts w:ascii="Times New Roman" w:hAnsi="Times New Roman" w:eastAsia="宋体" w:cs="Times New Roman"/>
          <w:color w:val="000000"/>
          <w:sz w:val="24"/>
          <w:highlight w:val="none"/>
          <w:lang w:val="en-US" w:eastAsia="zh-CN" w:bidi="ar-SA"/>
        </w:rPr>
      </w:r>
      <w:r/>
    </w:p>
    <w:p>
      <w:pPr>
        <w:pStyle w:val="989"/>
        <w:ind w:firstLine="480"/>
        <w:jc w:val="left"/>
        <w:spacing w:line="500" w:lineRule="exact"/>
        <w:widowControl w:val="off"/>
        <w:rPr>
          <w:rFonts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日期：  年  月  日</w:t>
      </w:r>
      <w:r>
        <w:rPr>
          <w:rFonts w:ascii="Times New Roman" w:hAnsi="Times New Roman" w:eastAsia="宋体" w:cs="Times New Roman"/>
          <w:color w:val="000000"/>
          <w:sz w:val="24"/>
          <w:szCs w:val="20"/>
          <w:highlight w:val="none"/>
          <w:lang w:val="en-US" w:eastAsia="zh-CN" w:bidi="ar-SA"/>
        </w:rPr>
      </w:r>
      <w:r/>
    </w:p>
    <w:p>
      <w:pPr>
        <w:pStyle w:val="989"/>
        <w:ind w:right="1560" w:firstLine="480"/>
        <w:jc w:val="center"/>
        <w:spacing w:line="588" w:lineRule="exact"/>
        <w:widowControl w:val="off"/>
        <w:tabs>
          <w:tab w:val="left" w:pos="4860" w:leader="none"/>
        </w:tabs>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pStyle w:val="989"/>
        <w:ind w:left="357" w:firstLine="0"/>
        <w:jc w:val="both"/>
        <w:spacing w:line="500" w:lineRule="exact"/>
        <w:widowControl w:val="off"/>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pStyle w:val="989"/>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rPr>
          <w:rFonts w:ascii="Times New Roman" w:hAnsi="Times New Roman" w:eastAsia="宋体" w:cs="Times New Roman"/>
          <w:color w:val="000000"/>
          <w:sz w:val="24"/>
          <w:szCs w:val="24"/>
          <w:highlight w:val="none"/>
          <w:lang w:val="en-US" w:eastAsia="zh-CN" w:bidi="ar-SA"/>
        </w:rPr>
      </w:r>
      <w:r/>
    </w:p>
    <w:p>
      <w:pPr>
        <w:pStyle w:val="989"/>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2.符合报价折扣情形的请将此函填报上传至“企业报价折扣证明”一栏中。</w:t>
      </w:r>
      <w:r>
        <w:rPr>
          <w:rFonts w:hint="eastAsia" w:ascii="Times New Roman" w:hAnsi="Times New Roman" w:eastAsia="宋体" w:cs="Times New Roman"/>
          <w:color w:val="000000"/>
          <w:sz w:val="24"/>
          <w:szCs w:val="24"/>
          <w:highlight w:val="none"/>
          <w:lang w:val="en-US" w:eastAsia="zh-CN" w:bidi="ar-SA"/>
        </w:rPr>
      </w:r>
      <w:r/>
    </w:p>
    <w:p>
      <w:pPr>
        <w:pStyle w:val="1357"/>
        <w:ind w:firstLine="445"/>
        <w:spacing w:before="151" w:after="151" w:line="240" w:lineRule="atLeast"/>
        <w:rPr>
          <w:rStyle w:val="999"/>
          <w:rFonts w:hint="eastAsia" w:ascii="宋体" w:hAnsi="宋体" w:eastAsia="宋体" w:cs="宋体"/>
          <w:color w:val="000000"/>
          <w:sz w:val="24"/>
          <w:highlight w:val="none"/>
          <w:lang w:val="en-US" w:eastAsia="zh-CN" w:bidi="ar-SA"/>
        </w:rPr>
      </w:pPr>
      <w:r>
        <w:rPr>
          <w:rStyle w:val="999"/>
          <w:rFonts w:hint="eastAsia" w:ascii="宋体" w:hAnsi="宋体" w:eastAsia="宋体" w:cs="宋体"/>
          <w:color w:val="000000"/>
          <w:sz w:val="24"/>
          <w:highlight w:val="none"/>
          <w:lang w:val="en-US" w:eastAsia="zh-CN" w:bidi="ar-SA"/>
        </w:rPr>
      </w:r>
      <w:r/>
    </w:p>
    <w:p>
      <w:pPr>
        <w:pStyle w:val="1361"/>
        <w:jc w:val="left"/>
        <w:rPr>
          <w:rStyle w:val="999"/>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71" w:name="_Toc30462"/>
      <w:r/>
      <w:bookmarkStart w:id="172" w:name="_Toc8924"/>
      <w:r/>
      <w:bookmarkStart w:id="173" w:name="_Toc15273"/>
      <w:r>
        <w:rPr>
          <w:rStyle w:val="999"/>
          <w:rFonts w:hint="eastAsia" w:ascii="宋体" w:hAnsi="宋体" w:eastAsia="宋体" w:cs="宋体"/>
          <w:color w:val="000000"/>
          <w:highlight w:val="none"/>
          <w:lang w:val="en-US" w:eastAsia="zh-CN"/>
        </w:rPr>
        <w:t xml:space="preserve">八</w:t>
      </w:r>
      <w:r>
        <w:rPr>
          <w:rStyle w:val="999"/>
          <w:rFonts w:hint="eastAsia" w:ascii="宋体" w:hAnsi="宋体" w:eastAsia="宋体" w:cs="宋体"/>
          <w:color w:val="000000"/>
          <w:highlight w:val="none"/>
        </w:rPr>
        <w:t xml:space="preserve">、响应偏离表</w:t>
      </w:r>
      <w:bookmarkEnd w:id="171"/>
      <w:r/>
      <w:bookmarkEnd w:id="172"/>
      <w:r/>
      <w:bookmarkEnd w:id="173"/>
      <w:r>
        <w:rPr>
          <w:rStyle w:val="999"/>
          <w:rFonts w:hint="eastAsia" w:ascii="宋体" w:hAnsi="宋体" w:eastAsia="宋体" w:cs="宋体"/>
          <w:color w:val="000000"/>
          <w:highlight w:val="none"/>
        </w:rPr>
      </w:r>
      <w:r/>
    </w:p>
    <w:p>
      <w:pPr>
        <w:pStyle w:val="1362"/>
        <w:jc w:val="center"/>
        <w:rPr>
          <w:rStyle w:val="999"/>
          <w:rFonts w:hint="eastAsia" w:ascii="宋体" w:hAnsi="宋体" w:eastAsia="宋体" w:cs="宋体"/>
          <w:color w:val="000000"/>
          <w:sz w:val="32"/>
          <w:szCs w:val="32"/>
          <w:highlight w:val="none"/>
        </w:rPr>
      </w:pPr>
      <w:r>
        <w:rPr>
          <w:rStyle w:val="999"/>
          <w:rFonts w:hint="eastAsia" w:ascii="宋体" w:hAnsi="宋体" w:eastAsia="宋体" w:cs="宋体"/>
          <w:color w:val="000000"/>
          <w:sz w:val="32"/>
          <w:szCs w:val="32"/>
          <w:highlight w:val="none"/>
        </w:rPr>
        <w:t xml:space="preserve">投标响应偏离表</w:t>
      </w:r>
      <w:r>
        <w:rPr>
          <w:rStyle w:val="999"/>
          <w:rFonts w:hint="eastAsia" w:ascii="宋体" w:hAnsi="宋体" w:eastAsia="宋体" w:cs="宋体"/>
          <w:color w:val="000000"/>
          <w:sz w:val="32"/>
          <w:szCs w:val="32"/>
          <w:highlight w:val="none"/>
        </w:rPr>
      </w:r>
      <w:r/>
    </w:p>
    <w:p>
      <w:pPr>
        <w:pStyle w:val="1362"/>
        <w:jc w:val="center"/>
        <w:rPr>
          <w:rStyle w:val="999"/>
          <w:rFonts w:hint="eastAsia" w:ascii="宋体" w:hAnsi="宋体" w:eastAsia="宋体" w:cs="宋体"/>
          <w:b/>
          <w:bCs/>
          <w:color w:val="000000"/>
          <w:sz w:val="24"/>
          <w:szCs w:val="28"/>
          <w:highlight w:val="none"/>
        </w:rPr>
      </w:pPr>
      <w:r>
        <w:rPr>
          <w:rStyle w:val="999"/>
          <w:rFonts w:hint="eastAsia" w:ascii="宋体" w:hAnsi="宋体" w:eastAsia="宋体" w:cs="宋体"/>
          <w:b/>
          <w:bCs/>
          <w:color w:val="000000"/>
          <w:sz w:val="24"/>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trHeight w:val="665"/>
        </w:trPr>
        <w:tc>
          <w:tcPr>
            <w:tcW w:w="3055" w:type="dxa"/>
            <w:vAlign w:val="center"/>
            <w:textDirection w:val="lrTb"/>
            <w:noWrap w:val="false"/>
          </w:tcPr>
          <w:p>
            <w:pPr>
              <w:pStyle w:val="1362"/>
              <w:jc w:val="center"/>
              <w:spacing w:before="100" w:beforeAutospacing="1" w:line="560" w:lineRule="exact"/>
              <w:widowControl/>
              <w:rPr>
                <w:rStyle w:val="999"/>
                <w:rFonts w:hint="eastAsia" w:ascii="宋体" w:hAnsi="宋体" w:eastAsia="宋体" w:cs="宋体"/>
                <w:color w:val="000000"/>
                <w:sz w:val="28"/>
                <w:szCs w:val="28"/>
                <w:highlight w:val="none"/>
                <w:lang w:val="en-US" w:eastAsia="zh-CN" w:bidi="ar-SA"/>
              </w:rPr>
            </w:pPr>
            <w:r>
              <w:rPr>
                <w:rStyle w:val="999"/>
                <w:rFonts w:hint="eastAsia" w:ascii="宋体" w:hAnsi="宋体" w:eastAsia="宋体" w:cs="宋体"/>
                <w:color w:val="000000"/>
                <w:sz w:val="28"/>
                <w:szCs w:val="28"/>
                <w:highlight w:val="none"/>
                <w:lang w:val="en-US" w:eastAsia="zh-CN" w:bidi="ar-SA"/>
              </w:rPr>
              <w:t xml:space="preserve">招标文件内容</w:t>
            </w:r>
            <w:r>
              <w:rPr>
                <w:rStyle w:val="999"/>
                <w:rFonts w:hint="eastAsia" w:ascii="宋体" w:hAnsi="宋体" w:eastAsia="宋体" w:cs="宋体"/>
                <w:color w:val="000000"/>
                <w:sz w:val="28"/>
                <w:szCs w:val="28"/>
                <w:highlight w:val="none"/>
                <w:lang w:val="en-US" w:eastAsia="zh-CN" w:bidi="ar-SA"/>
              </w:rPr>
            </w:r>
            <w:r/>
          </w:p>
        </w:tc>
        <w:tc>
          <w:tcPr>
            <w:tcW w:w="2608" w:type="dxa"/>
            <w:vAlign w:val="center"/>
            <w:textDirection w:val="lrTb"/>
            <w:noWrap w:val="false"/>
          </w:tcPr>
          <w:p>
            <w:pPr>
              <w:pStyle w:val="1362"/>
              <w:jc w:val="center"/>
              <w:spacing w:before="100" w:beforeAutospacing="1" w:line="560" w:lineRule="exact"/>
              <w:widowControl/>
              <w:rPr>
                <w:rStyle w:val="999"/>
                <w:rFonts w:hint="eastAsia" w:ascii="宋体" w:hAnsi="宋体" w:eastAsia="宋体" w:cs="宋体"/>
                <w:color w:val="000000"/>
                <w:sz w:val="28"/>
                <w:szCs w:val="28"/>
                <w:highlight w:val="none"/>
                <w:lang w:val="en-US" w:eastAsia="zh-CN" w:bidi="ar-SA"/>
              </w:rPr>
            </w:pPr>
            <w:r>
              <w:rPr>
                <w:rStyle w:val="999"/>
                <w:rFonts w:hint="eastAsia" w:ascii="宋体" w:hAnsi="宋体" w:eastAsia="宋体" w:cs="宋体"/>
                <w:color w:val="000000"/>
                <w:sz w:val="28"/>
                <w:szCs w:val="28"/>
                <w:highlight w:val="none"/>
                <w:lang w:val="en-US" w:eastAsia="zh-CN" w:bidi="ar-SA"/>
              </w:rPr>
              <w:t xml:space="preserve">投标文件内容</w:t>
            </w:r>
            <w:r>
              <w:rPr>
                <w:rStyle w:val="999"/>
                <w:rFonts w:hint="eastAsia" w:ascii="宋体" w:hAnsi="宋体" w:eastAsia="宋体" w:cs="宋体"/>
                <w:color w:val="000000"/>
                <w:sz w:val="28"/>
                <w:szCs w:val="28"/>
                <w:highlight w:val="none"/>
                <w:lang w:val="en-US" w:eastAsia="zh-CN" w:bidi="ar-SA"/>
              </w:rPr>
            </w:r>
            <w:r/>
          </w:p>
        </w:tc>
        <w:tc>
          <w:tcPr>
            <w:tcW w:w="2608" w:type="dxa"/>
            <w:vAlign w:val="center"/>
            <w:textDirection w:val="lrTb"/>
            <w:noWrap w:val="false"/>
          </w:tcPr>
          <w:p>
            <w:pPr>
              <w:pStyle w:val="1362"/>
              <w:jc w:val="center"/>
              <w:spacing w:before="100" w:beforeAutospacing="1" w:line="560" w:lineRule="exact"/>
              <w:widowControl/>
              <w:rPr>
                <w:rStyle w:val="999"/>
                <w:rFonts w:hint="eastAsia" w:ascii="宋体" w:hAnsi="宋体" w:eastAsia="宋体" w:cs="宋体"/>
                <w:color w:val="000000"/>
                <w:sz w:val="28"/>
                <w:szCs w:val="28"/>
                <w:highlight w:val="none"/>
                <w:lang w:val="en-US" w:eastAsia="zh-CN" w:bidi="ar-SA"/>
              </w:rPr>
            </w:pPr>
            <w:r>
              <w:rPr>
                <w:rStyle w:val="999"/>
                <w:rFonts w:hint="eastAsia" w:ascii="宋体" w:hAnsi="宋体" w:eastAsia="宋体" w:cs="宋体"/>
                <w:color w:val="000000"/>
                <w:sz w:val="28"/>
                <w:szCs w:val="28"/>
                <w:highlight w:val="none"/>
                <w:lang w:val="en-US" w:eastAsia="zh-CN" w:bidi="ar-SA"/>
              </w:rPr>
              <w:t xml:space="preserve">偏离内容及说明</w:t>
            </w:r>
            <w:r>
              <w:rPr>
                <w:rStyle w:val="999"/>
                <w:rFonts w:hint="eastAsia" w:ascii="宋体" w:hAnsi="宋体" w:eastAsia="宋体" w:cs="宋体"/>
                <w:color w:val="000000"/>
                <w:sz w:val="28"/>
                <w:szCs w:val="28"/>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362"/>
              <w:jc w:val="center"/>
              <w:spacing w:line="560" w:lineRule="exact"/>
              <w:widowControl w:val="off"/>
              <w:rPr>
                <w:rStyle w:val="999"/>
                <w:rFonts w:hint="eastAsia" w:ascii="宋体" w:hAnsi="宋体" w:eastAsia="宋体" w:cs="宋体"/>
                <w:color w:val="000000"/>
                <w:sz w:val="24"/>
                <w:szCs w:val="22"/>
                <w:highlight w:val="none"/>
                <w:lang w:val="en-US" w:eastAsia="zh-CN" w:bidi="ar-SA"/>
              </w:rPr>
            </w:pPr>
            <w:r>
              <w:rPr>
                <w:rStyle w:val="999"/>
                <w:rFonts w:hint="eastAsia" w:ascii="宋体" w:hAnsi="宋体" w:eastAsia="宋体" w:cs="宋体"/>
                <w:color w:val="000000"/>
                <w:sz w:val="24"/>
                <w:szCs w:val="22"/>
                <w:highlight w:val="none"/>
                <w:lang w:val="en-US" w:eastAsia="zh-CN" w:bidi="ar-SA"/>
              </w:rPr>
            </w:r>
            <w:r/>
          </w:p>
        </w:tc>
      </w:tr>
    </w:tbl>
    <w:p>
      <w:pPr>
        <w:pStyle w:val="1362"/>
        <w:jc w:val="right"/>
        <w:spacing w:line="560" w:lineRule="exact"/>
        <w:rPr>
          <w:rStyle w:val="999"/>
          <w:rFonts w:hint="eastAsia" w:ascii="宋体" w:hAnsi="宋体" w:eastAsia="宋体" w:cs="宋体"/>
          <w:color w:val="000000"/>
          <w:sz w:val="28"/>
          <w:szCs w:val="28"/>
          <w:highlight w:val="none"/>
          <w:u w:val="single"/>
        </w:rPr>
      </w:pPr>
      <w:r>
        <w:rPr>
          <w:rStyle w:val="999"/>
          <w:rFonts w:hint="eastAsia" w:ascii="宋体" w:hAnsi="宋体" w:eastAsia="宋体" w:cs="宋体"/>
          <w:color w:val="000000"/>
          <w:sz w:val="24"/>
          <w:highlight w:val="none"/>
        </w:rPr>
        <w:t xml:space="preserve">单位名称：</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w:t>
      </w:r>
      <w:r>
        <w:rPr>
          <w:rFonts w:hint="eastAsia" w:ascii="宋体" w:hAnsi="宋体"/>
          <w:color w:val="000000"/>
          <w:sz w:val="24"/>
          <w:szCs w:val="21"/>
          <w:highlight w:val="none"/>
        </w:rPr>
        <w:t xml:space="preserve">CA电子公章</w:t>
      </w:r>
      <w:r>
        <w:rPr>
          <w:rStyle w:val="999"/>
          <w:rFonts w:hint="eastAsia" w:ascii="宋体" w:hAnsi="宋体" w:eastAsia="宋体" w:cs="宋体"/>
          <w:color w:val="000000"/>
          <w:sz w:val="24"/>
          <w:highlight w:val="none"/>
        </w:rPr>
        <w:t xml:space="preserve">） </w:t>
      </w:r>
      <w:r>
        <w:rPr>
          <w:rStyle w:val="999"/>
          <w:rFonts w:hint="eastAsia" w:ascii="宋体" w:hAnsi="宋体" w:eastAsia="宋体" w:cs="宋体"/>
          <w:color w:val="000000"/>
          <w:sz w:val="28"/>
          <w:szCs w:val="28"/>
          <w:highlight w:val="none"/>
          <w:u w:val="single"/>
        </w:rPr>
      </w:r>
      <w:r/>
    </w:p>
    <w:p>
      <w:pPr>
        <w:pStyle w:val="1363"/>
        <w:ind w:firstLine="482"/>
        <w:rPr>
          <w:rStyle w:val="999"/>
          <w:rFonts w:hint="eastAsia" w:ascii="宋体" w:hAnsi="宋体" w:eastAsia="宋体" w:cs="宋体"/>
          <w:b/>
          <w:bCs/>
          <w:color w:val="000000"/>
          <w:sz w:val="24"/>
          <w:szCs w:val="28"/>
          <w:highlight w:val="none"/>
        </w:rPr>
      </w:pPr>
      <w:r>
        <w:rPr>
          <w:rStyle w:val="999"/>
          <w:rFonts w:hint="eastAsia" w:ascii="宋体" w:hAnsi="宋体" w:eastAsia="宋体" w:cs="宋体"/>
          <w:b/>
          <w:bCs/>
          <w:color w:val="000000"/>
          <w:sz w:val="24"/>
          <w:szCs w:val="28"/>
          <w:highlight w:val="none"/>
        </w:rPr>
      </w:r>
      <w:r/>
    </w:p>
    <w:p>
      <w:pPr>
        <w:pStyle w:val="1363"/>
        <w:rPr>
          <w:rStyle w:val="999"/>
          <w:rFonts w:hint="eastAsia" w:ascii="宋体" w:hAnsi="宋体" w:eastAsia="宋体" w:cs="宋体"/>
          <w:b/>
          <w:bCs/>
          <w:color w:val="000000"/>
          <w:sz w:val="24"/>
          <w:szCs w:val="28"/>
          <w:highlight w:val="none"/>
        </w:rPr>
      </w:pPr>
      <w:r>
        <w:rPr>
          <w:rStyle w:val="999"/>
          <w:rFonts w:hint="eastAsia" w:ascii="宋体" w:hAnsi="宋体" w:eastAsia="宋体" w:cs="宋体"/>
          <w:b/>
          <w:bCs/>
          <w:color w:val="000000"/>
          <w:sz w:val="24"/>
          <w:szCs w:val="28"/>
          <w:highlight w:val="none"/>
        </w:rPr>
        <w:t xml:space="preserve">凡投标文件中所投货物</w:t>
      </w:r>
      <w:r>
        <w:rPr>
          <w:rStyle w:val="999"/>
          <w:rFonts w:hint="eastAsia" w:ascii="宋体" w:hAnsi="宋体" w:eastAsia="宋体" w:cs="宋体"/>
          <w:b/>
          <w:bCs/>
          <w:color w:val="000000"/>
          <w:sz w:val="24"/>
          <w:szCs w:val="28"/>
          <w:highlight w:val="none"/>
          <w:lang w:eastAsia="zh-CN"/>
        </w:rPr>
        <w:t xml:space="preserve">或服务</w:t>
      </w:r>
      <w:r>
        <w:rPr>
          <w:rStyle w:val="999"/>
          <w:rFonts w:hint="eastAsia" w:ascii="宋体" w:hAnsi="宋体" w:eastAsia="宋体" w:cs="宋体"/>
          <w:b/>
          <w:bCs/>
          <w:color w:val="000000"/>
          <w:sz w:val="24"/>
          <w:szCs w:val="28"/>
          <w:highlight w:val="none"/>
        </w:rPr>
        <w:t xml:space="preserve">与招标文件有偏离的（包括正偏离，用+号表示和负偏离，用-号表示），均应在此表中详细列出并说明理由（内容较多的可以标注见投标文件第几页）。未在此表中列出的视同完全满足招标文件要求。</w:t>
      </w:r>
      <w:r>
        <w:rPr>
          <w:rStyle w:val="999"/>
          <w:rFonts w:hint="eastAsia" w:ascii="宋体" w:hAnsi="宋体" w:eastAsia="宋体" w:cs="宋体"/>
          <w:b/>
          <w:bCs/>
          <w:color w:val="000000"/>
          <w:sz w:val="24"/>
          <w:szCs w:val="28"/>
          <w:highlight w:val="none"/>
        </w:rPr>
      </w:r>
      <w:r/>
    </w:p>
    <w:p>
      <w:pPr>
        <w:pStyle w:val="1363"/>
        <w:ind w:firstLine="482"/>
        <w:rPr>
          <w:rStyle w:val="999"/>
          <w:rFonts w:hint="eastAsia" w:ascii="宋体" w:hAnsi="宋体" w:eastAsia="宋体" w:cs="宋体"/>
          <w:b/>
          <w:bCs/>
          <w:color w:val="000000"/>
          <w:sz w:val="24"/>
          <w:szCs w:val="28"/>
          <w:highlight w:val="none"/>
        </w:rPr>
      </w:pPr>
      <w:r>
        <w:rPr>
          <w:rStyle w:val="999"/>
          <w:rFonts w:hint="eastAsia" w:ascii="宋体" w:hAnsi="宋体" w:eastAsia="宋体" w:cs="宋体"/>
          <w:b/>
          <w:bCs/>
          <w:color w:val="000000"/>
          <w:sz w:val="24"/>
          <w:szCs w:val="28"/>
          <w:highlight w:val="none"/>
        </w:rPr>
      </w:r>
      <w:r/>
    </w:p>
    <w:p>
      <w:pPr>
        <w:pStyle w:val="1363"/>
        <w:keepLines w:val="0"/>
        <w:keepNext w:val="0"/>
        <w:pageBreakBefore w:val="0"/>
        <w:spacing w:line="360" w:lineRule="auto"/>
        <w:widowControl w:val="off"/>
        <w:rPr>
          <w:rStyle w:val="999"/>
          <w:rFonts w:hint="eastAsia" w:ascii="宋体" w:hAnsi="宋体" w:eastAsia="宋体" w:cs="宋体"/>
          <w:b/>
          <w:bCs/>
          <w:color w:val="000000"/>
          <w:sz w:val="24"/>
          <w:szCs w:val="28"/>
          <w:highlight w:val="none"/>
        </w:rPr>
      </w:pPr>
      <w:r>
        <w:rPr>
          <w:rStyle w:val="999"/>
          <w:rFonts w:hint="eastAsia" w:ascii="宋体" w:hAnsi="宋体" w:eastAsia="宋体" w:cs="宋体"/>
          <w:b/>
          <w:bCs/>
          <w:color w:val="000000"/>
          <w:sz w:val="24"/>
          <w:szCs w:val="28"/>
          <w:highlight w:val="none"/>
        </w:rPr>
      </w:r>
      <w:r/>
    </w:p>
    <w:p>
      <w:pPr>
        <w:pStyle w:val="1363"/>
        <w:rPr>
          <w:rStyle w:val="999"/>
          <w:rFonts w:hint="eastAsia" w:ascii="宋体" w:hAnsi="宋体" w:eastAsia="宋体" w:cs="宋体"/>
          <w:b/>
          <w:color w:val="000000"/>
          <w:sz w:val="32"/>
          <w:szCs w:val="24"/>
          <w:highlight w:val="none"/>
          <w:lang w:val="en-US" w:eastAsia="zh-CN"/>
        </w:rPr>
      </w:pPr>
      <w:r>
        <w:rPr>
          <w:rStyle w:val="999"/>
          <w:rFonts w:hint="eastAsia" w:ascii="宋体" w:hAnsi="宋体" w:eastAsia="宋体" w:cs="宋体"/>
          <w:b/>
          <w:color w:val="000000"/>
          <w:sz w:val="32"/>
          <w:szCs w:val="24"/>
          <w:highlight w:val="none"/>
          <w:lang w:val="en-US" w:eastAsia="zh-CN"/>
        </w:rPr>
      </w:r>
      <w:r/>
    </w:p>
    <w:p>
      <w:pPr>
        <w:pStyle w:val="1363"/>
        <w:rPr>
          <w:rStyle w:val="999"/>
          <w:rFonts w:hint="eastAsia" w:ascii="宋体" w:hAnsi="宋体" w:eastAsia="宋体" w:cs="宋体"/>
          <w:b/>
          <w:color w:val="000000"/>
          <w:sz w:val="32"/>
          <w:szCs w:val="24"/>
          <w:highlight w:val="none"/>
          <w:lang w:val="en-US" w:eastAsia="zh-CN"/>
        </w:rPr>
      </w:pPr>
      <w:r>
        <w:rPr>
          <w:rStyle w:val="999"/>
          <w:rFonts w:hint="eastAsia" w:ascii="宋体" w:hAnsi="宋体" w:eastAsia="宋体" w:cs="宋体"/>
          <w:b/>
          <w:color w:val="000000"/>
          <w:sz w:val="32"/>
          <w:szCs w:val="24"/>
          <w:highlight w:val="none"/>
          <w:lang w:val="en-US" w:eastAsia="zh-CN"/>
        </w:rPr>
      </w:r>
      <w:r/>
    </w:p>
    <w:p>
      <w:pPr>
        <w:pStyle w:val="1363"/>
        <w:rPr>
          <w:rStyle w:val="999"/>
          <w:rFonts w:hint="eastAsia" w:ascii="宋体" w:hAnsi="宋体" w:eastAsia="宋体" w:cs="宋体"/>
          <w:b/>
          <w:color w:val="000000"/>
          <w:sz w:val="32"/>
          <w:szCs w:val="24"/>
          <w:highlight w:val="none"/>
          <w:lang w:val="en-US" w:eastAsia="zh-CN"/>
        </w:rPr>
      </w:pPr>
      <w:r>
        <w:rPr>
          <w:rStyle w:val="999"/>
          <w:rFonts w:hint="eastAsia" w:ascii="宋体" w:hAnsi="宋体" w:eastAsia="宋体" w:cs="宋体"/>
          <w:b/>
          <w:color w:val="000000"/>
          <w:sz w:val="32"/>
          <w:szCs w:val="24"/>
          <w:highlight w:val="none"/>
          <w:lang w:val="en-US" w:eastAsia="zh-CN"/>
        </w:rPr>
      </w:r>
      <w:r/>
    </w:p>
    <w:p>
      <w:pPr>
        <w:pStyle w:val="1371"/>
        <w:jc w:val="left"/>
        <w:rPr>
          <w:rStyle w:val="999"/>
          <w:rFonts w:hint="eastAsia" w:ascii="宋体" w:hAnsi="宋体" w:eastAsia="宋体" w:cs="宋体"/>
          <w:color w:val="000000"/>
          <w:highlight w:val="none"/>
          <w:lang w:eastAsia="zh-CN"/>
        </w:rPr>
        <w:outlineLvl w:val="1"/>
      </w:pPr>
      <w:r>
        <w:rPr>
          <w:rStyle w:val="999"/>
          <w:rFonts w:hint="eastAsia" w:ascii="宋体" w:hAnsi="宋体" w:eastAsia="宋体" w:cs="宋体"/>
          <w:color w:val="000000"/>
          <w:highlight w:val="none"/>
        </w:rPr>
        <w:br w:type="page" w:clear="all"/>
      </w:r>
      <w:bookmarkStart w:id="174" w:name="_Toc10909"/>
      <w:r/>
      <w:bookmarkStart w:id="175" w:name="_Toc20456"/>
      <w:r/>
      <w:bookmarkStart w:id="176" w:name="_Toc15102"/>
      <w:r>
        <w:rPr>
          <w:rStyle w:val="999"/>
          <w:rFonts w:hint="eastAsia" w:ascii="宋体" w:hAnsi="宋体" w:eastAsia="宋体" w:cs="宋体"/>
          <w:color w:val="000000"/>
          <w:highlight w:val="none"/>
          <w:lang w:val="en-US" w:eastAsia="zh-CN"/>
        </w:rPr>
        <w:t xml:space="preserve">九</w:t>
      </w:r>
      <w:r>
        <w:rPr>
          <w:rStyle w:val="999"/>
          <w:rFonts w:hint="eastAsia" w:ascii="宋体" w:hAnsi="宋体" w:eastAsia="宋体" w:cs="宋体"/>
          <w:color w:val="000000"/>
          <w:highlight w:val="none"/>
        </w:rPr>
        <w:t xml:space="preserve">、</w:t>
      </w:r>
      <w:bookmarkEnd w:id="174"/>
      <w:r/>
      <w:bookmarkEnd w:id="175"/>
      <w:r/>
      <w:bookmarkEnd w:id="176"/>
      <w:r>
        <w:rPr>
          <w:rStyle w:val="999"/>
          <w:rFonts w:hint="eastAsia" w:ascii="宋体" w:hAnsi="宋体" w:eastAsia="宋体" w:cs="宋体"/>
          <w:color w:val="000000"/>
          <w:highlight w:val="none"/>
          <w:lang w:val="en-US" w:eastAsia="zh-CN"/>
        </w:rPr>
        <w:t xml:space="preserve">技术响应</w:t>
      </w:r>
      <w:r>
        <w:rPr>
          <w:rStyle w:val="999"/>
          <w:rFonts w:hint="eastAsia" w:ascii="宋体" w:hAnsi="宋体" w:eastAsia="宋体" w:cs="宋体"/>
          <w:color w:val="000000"/>
          <w:highlight w:val="none"/>
          <w:lang w:eastAsia="zh-CN"/>
        </w:rPr>
      </w:r>
      <w:r/>
    </w:p>
    <w:p>
      <w:pPr>
        <w:pStyle w:val="1372"/>
        <w:jc w:val="center"/>
        <w:spacing w:line="560" w:lineRule="exact"/>
        <w:rPr>
          <w:rStyle w:val="999"/>
          <w:rFonts w:hint="eastAsia" w:ascii="宋体" w:hAnsi="宋体" w:eastAsia="宋体" w:cs="宋体"/>
          <w:b/>
          <w:bCs/>
          <w:color w:val="000000"/>
          <w:sz w:val="32"/>
          <w:szCs w:val="32"/>
          <w:highlight w:val="none"/>
        </w:rPr>
      </w:pPr>
      <w:r>
        <w:rPr>
          <w:rStyle w:val="999"/>
          <w:rFonts w:hint="eastAsia" w:ascii="宋体" w:hAnsi="宋体" w:eastAsia="宋体" w:cs="宋体"/>
          <w:b/>
          <w:bCs/>
          <w:color w:val="000000"/>
          <w:sz w:val="32"/>
          <w:szCs w:val="32"/>
          <w:highlight w:val="none"/>
        </w:rPr>
        <w:t xml:space="preserve">格式自拟</w:t>
      </w:r>
      <w:r>
        <w:rPr>
          <w:rStyle w:val="999"/>
          <w:rFonts w:hint="eastAsia" w:ascii="宋体" w:hAnsi="宋体" w:eastAsia="宋体" w:cs="宋体"/>
          <w:b/>
          <w:bCs/>
          <w:color w:val="000000"/>
          <w:sz w:val="32"/>
          <w:szCs w:val="32"/>
          <w:highlight w:val="none"/>
        </w:rPr>
      </w:r>
      <w:r/>
    </w:p>
    <w:p>
      <w:pPr>
        <w:pStyle w:val="991"/>
        <w:rPr>
          <w:rFonts w:hint="eastAsia" w:ascii="宋体" w:hAnsi="宋体" w:eastAsia="宋体" w:cs="宋体"/>
          <w:b/>
          <w:bCs/>
          <w:color w:val="000000"/>
          <w:highlight w:val="none"/>
        </w:rPr>
      </w:pPr>
      <w:r>
        <w:rPr>
          <w:rStyle w:val="999"/>
          <w:rFonts w:hint="eastAsia" w:ascii="宋体" w:hAnsi="宋体" w:eastAsia="宋体" w:cs="宋体"/>
          <w:color w:val="000000"/>
          <w:highlight w:val="none"/>
        </w:rPr>
        <w:br w:type="page" w:clear="all"/>
      </w:r>
      <w:bookmarkStart w:id="177" w:name="_Toc20901"/>
      <w:r/>
      <w:bookmarkStart w:id="178" w:name="_Toc10756"/>
      <w:r/>
      <w:bookmarkStart w:id="179" w:name="_Toc27906"/>
      <w:r>
        <w:rPr>
          <w:rStyle w:val="999"/>
          <w:rFonts w:hint="eastAsia" w:ascii="宋体" w:hAnsi="宋体" w:eastAsia="宋体" w:cs="宋体"/>
          <w:color w:val="000000"/>
          <w:highlight w:val="none"/>
        </w:rPr>
        <w:t xml:space="preserve">十、</w:t>
      </w:r>
      <w:bookmarkEnd w:id="177"/>
      <w:r/>
      <w:bookmarkEnd w:id="178"/>
      <w:r/>
      <w:bookmarkEnd w:id="179"/>
      <w:r>
        <w:rPr>
          <w:rFonts w:hint="eastAsia" w:ascii="宋体" w:hAnsi="宋体" w:eastAsia="宋体" w:cs="宋体"/>
          <w:b/>
          <w:bCs/>
          <w:color w:val="000000"/>
          <w:highlight w:val="none"/>
        </w:rPr>
        <w:t xml:space="preserve">项目组人员</w:t>
      </w:r>
      <w:r>
        <w:rPr>
          <w:rFonts w:hint="eastAsia" w:ascii="宋体" w:hAnsi="宋体" w:eastAsia="宋体" w:cs="宋体"/>
          <w:b/>
          <w:bCs/>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17"/>
              <w:jc w:val="center"/>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姓名</w:t>
            </w:r>
            <w:r>
              <w:rPr>
                <w:rFonts w:hint="eastAsia" w:ascii="宋体" w:hAnsi="宋体" w:eastAsia="宋体" w:cs="仿宋"/>
                <w:color w:val="000000"/>
                <w:sz w:val="28"/>
                <w:szCs w:val="28"/>
                <w:highlight w:val="none"/>
              </w:rPr>
            </w:r>
            <w:r/>
          </w:p>
        </w:tc>
        <w:tc>
          <w:tcPr>
            <w:tcW w:w="1843" w:type="dxa"/>
            <w:vAlign w:val="center"/>
            <w:textDirection w:val="lrTb"/>
            <w:noWrap w:val="false"/>
          </w:tcPr>
          <w:p>
            <w:pPr>
              <w:pStyle w:val="1417"/>
              <w:jc w:val="center"/>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职务</w:t>
            </w:r>
            <w:r>
              <w:rPr>
                <w:rFonts w:hint="eastAsia" w:ascii="宋体" w:hAnsi="宋体" w:eastAsia="宋体" w:cs="仿宋"/>
                <w:color w:val="000000"/>
                <w:sz w:val="28"/>
                <w:szCs w:val="28"/>
                <w:highlight w:val="none"/>
              </w:rPr>
            </w:r>
            <w:r/>
          </w:p>
        </w:tc>
        <w:tc>
          <w:tcPr>
            <w:tcW w:w="992" w:type="dxa"/>
            <w:vAlign w:val="center"/>
            <w:textDirection w:val="lrTb"/>
            <w:noWrap w:val="false"/>
          </w:tcPr>
          <w:p>
            <w:pPr>
              <w:pStyle w:val="1417"/>
              <w:jc w:val="center"/>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学历</w:t>
            </w:r>
            <w:r>
              <w:rPr>
                <w:rFonts w:hint="eastAsia" w:ascii="宋体" w:hAnsi="宋体" w:eastAsia="宋体" w:cs="仿宋"/>
                <w:color w:val="000000"/>
                <w:sz w:val="28"/>
                <w:szCs w:val="28"/>
                <w:highlight w:val="none"/>
              </w:rPr>
            </w:r>
            <w:r/>
          </w:p>
        </w:tc>
        <w:tc>
          <w:tcPr>
            <w:tcW w:w="1984" w:type="dxa"/>
            <w:vAlign w:val="center"/>
            <w:textDirection w:val="lrTb"/>
            <w:noWrap w:val="false"/>
          </w:tcPr>
          <w:p>
            <w:pPr>
              <w:pStyle w:val="1417"/>
              <w:ind w:firstLine="280"/>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身份证号</w:t>
            </w:r>
            <w:r>
              <w:rPr>
                <w:rFonts w:hint="eastAsia" w:ascii="宋体" w:hAnsi="宋体" w:eastAsia="宋体" w:cs="仿宋"/>
                <w:color w:val="000000"/>
                <w:sz w:val="28"/>
                <w:szCs w:val="28"/>
                <w:highlight w:val="none"/>
              </w:rPr>
            </w:r>
            <w:r/>
          </w:p>
        </w:tc>
        <w:tc>
          <w:tcPr>
            <w:tcW w:w="1702" w:type="dxa"/>
            <w:vAlign w:val="center"/>
            <w:textDirection w:val="lrTb"/>
            <w:noWrap w:val="false"/>
          </w:tcPr>
          <w:p>
            <w:pPr>
              <w:pStyle w:val="1417"/>
              <w:jc w:val="center"/>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相关证书</w:t>
            </w:r>
            <w:r>
              <w:rPr>
                <w:rFonts w:hint="eastAsia" w:ascii="宋体" w:hAnsi="宋体" w:eastAsia="宋体" w:cs="仿宋"/>
                <w:color w:val="000000"/>
                <w:sz w:val="28"/>
                <w:szCs w:val="28"/>
                <w:highlight w:val="none"/>
              </w:rPr>
            </w:r>
            <w:r/>
          </w:p>
        </w:tc>
        <w:tc>
          <w:tcPr>
            <w:tcW w:w="962" w:type="dxa"/>
            <w:vAlign w:val="center"/>
            <w:textDirection w:val="lrTb"/>
            <w:noWrap w:val="false"/>
          </w:tcPr>
          <w:p>
            <w:pPr>
              <w:pStyle w:val="1417"/>
              <w:spacing w:beforeAutospacing="1" w:line="560" w:lineRule="exact"/>
              <w:widowControl/>
              <w:rPr>
                <w:rFonts w:hint="eastAsia" w:ascii="宋体" w:hAnsi="宋体" w:eastAsia="宋体" w:cs="仿宋"/>
                <w:color w:val="000000"/>
                <w:sz w:val="28"/>
                <w:szCs w:val="28"/>
                <w:highlight w:val="none"/>
              </w:rPr>
              <w:framePr w:vAnchor="page" w:hAnchor="page" w:xAlign="center" w:y="74"/>
            </w:pPr>
            <w:r>
              <w:rPr>
                <w:rFonts w:hint="eastAsia" w:ascii="宋体" w:hAnsi="宋体" w:eastAsia="宋体" w:cs="仿宋"/>
                <w:color w:val="000000"/>
                <w:sz w:val="28"/>
                <w:szCs w:val="28"/>
                <w:highlight w:val="none"/>
              </w:rPr>
              <w:t xml:space="preserve">备注</w:t>
            </w:r>
            <w:r>
              <w:rPr>
                <w:rFonts w:hint="eastAsia" w:ascii="宋体" w:hAnsi="宋体" w:eastAsia="宋体"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418"/>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417"/>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989"/>
        <w:ind w:firstLine="210"/>
        <w:spacing w:line="480" w:lineRule="exact"/>
        <w:rPr>
          <w:rFonts w:hint="eastAsia" w:ascii="Times New Roman" w:hAnsi="Times New Roman" w:eastAsia="宋体" w:cs="宋体"/>
          <w:color w:val="000000"/>
          <w:sz w:val="24"/>
          <w:szCs w:val="20"/>
          <w:highlight w:val="none"/>
        </w:rPr>
      </w:pPr>
      <w:r>
        <w:rPr>
          <w:rFonts w:hint="eastAsia" w:ascii="Times New Roman" w:hAnsi="Times New Roman" w:eastAsia="宋体" w:cs="宋体"/>
          <w:color w:val="000000"/>
          <w:sz w:val="24"/>
          <w:szCs w:val="20"/>
          <w:highlight w:val="none"/>
        </w:rPr>
        <w:t xml:space="preserve">注：如投标人中标，项目组成员按本表承诺人员操作，不得随意更换。按采购文件要求附相关人员证书</w:t>
      </w:r>
      <w:r>
        <w:rPr>
          <w:rFonts w:hint="eastAsia" w:ascii="Times New Roman" w:hAnsi="Times New Roman" w:eastAsia="宋体" w:cs="宋体"/>
          <w:color w:val="000000"/>
          <w:sz w:val="24"/>
          <w:szCs w:val="20"/>
          <w:highlight w:val="none"/>
          <w:lang w:eastAsia="zh-CN"/>
        </w:rPr>
        <w:t xml:space="preserve">（</w:t>
      </w:r>
      <w:r>
        <w:rPr>
          <w:rFonts w:hint="eastAsia" w:ascii="Times New Roman" w:hAnsi="Times New Roman" w:eastAsia="宋体" w:cs="宋体"/>
          <w:color w:val="000000"/>
          <w:sz w:val="24"/>
          <w:szCs w:val="20"/>
          <w:highlight w:val="none"/>
          <w:lang w:val="en-US" w:eastAsia="zh-CN"/>
        </w:rPr>
        <w:t xml:space="preserve">如有</w:t>
      </w:r>
      <w:r>
        <w:rPr>
          <w:rFonts w:hint="eastAsia" w:ascii="Times New Roman" w:hAnsi="Times New Roman" w:eastAsia="宋体" w:cs="宋体"/>
          <w:color w:val="000000"/>
          <w:sz w:val="24"/>
          <w:szCs w:val="20"/>
          <w:highlight w:val="none"/>
          <w:lang w:eastAsia="zh-CN"/>
        </w:rPr>
        <w:t xml:space="preserve">）</w:t>
      </w:r>
      <w:r>
        <w:rPr>
          <w:rFonts w:hint="eastAsia" w:ascii="Times New Roman" w:hAnsi="Times New Roman" w:eastAsia="宋体" w:cs="宋体"/>
          <w:color w:val="000000"/>
          <w:sz w:val="24"/>
          <w:szCs w:val="20"/>
          <w:highlight w:val="none"/>
        </w:rPr>
        <w:t xml:space="preserve">。</w:t>
      </w:r>
      <w:bookmarkStart w:id="180" w:name="_格式2__法定代表人授权书"/>
      <w:r/>
      <w:bookmarkEnd w:id="180"/>
      <w:r>
        <w:rPr>
          <w:rFonts w:hint="eastAsia" w:ascii="Times New Roman" w:hAnsi="Times New Roman" w:eastAsia="宋体" w:cs="宋体"/>
          <w:color w:val="000000"/>
          <w:sz w:val="24"/>
          <w:szCs w:val="20"/>
          <w:highlight w:val="none"/>
        </w:rPr>
      </w:r>
      <w:r/>
    </w:p>
    <w:p>
      <w:pPr>
        <w:pStyle w:val="1379"/>
        <w:jc w:val="right"/>
        <w:spacing w:line="600" w:lineRule="exact"/>
        <w:rPr>
          <w:rStyle w:val="999"/>
          <w:rFonts w:hint="eastAsia" w:ascii="宋体" w:hAnsi="宋体" w:eastAsia="宋体" w:cs="宋体"/>
          <w:color w:val="000000"/>
          <w:highlight w:val="none"/>
        </w:rPr>
      </w:pPr>
      <w:r>
        <w:rPr>
          <w:rStyle w:val="999"/>
          <w:rFonts w:hint="eastAsia" w:ascii="宋体" w:hAnsi="宋体" w:eastAsia="宋体" w:cs="宋体"/>
          <w:color w:val="000000"/>
          <w:highlight w:val="none"/>
        </w:rPr>
      </w:r>
      <w:r/>
    </w:p>
    <w:p>
      <w:pPr>
        <w:pStyle w:val="1381"/>
        <w:jc w:val="left"/>
        <w:rPr>
          <w:rStyle w:val="999"/>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81" w:name="_Toc24623"/>
      <w:r/>
      <w:bookmarkStart w:id="182" w:name="_Toc8885"/>
      <w:r/>
      <w:bookmarkStart w:id="183" w:name="_Toc27432"/>
      <w:r>
        <w:rPr>
          <w:rStyle w:val="999"/>
          <w:rFonts w:hint="eastAsia" w:ascii="宋体" w:hAnsi="宋体" w:eastAsia="宋体" w:cs="宋体"/>
          <w:color w:val="000000"/>
          <w:highlight w:val="none"/>
        </w:rPr>
        <w:t xml:space="preserve">十</w:t>
      </w:r>
      <w:r>
        <w:rPr>
          <w:rStyle w:val="999"/>
          <w:rFonts w:hint="eastAsia" w:ascii="宋体" w:hAnsi="宋体" w:eastAsia="宋体" w:cs="宋体"/>
          <w:color w:val="000000"/>
          <w:highlight w:val="none"/>
          <w:lang w:val="en-US" w:eastAsia="zh-CN"/>
        </w:rPr>
        <w:t xml:space="preserve">一</w:t>
      </w:r>
      <w:r>
        <w:rPr>
          <w:rStyle w:val="999"/>
          <w:rFonts w:hint="eastAsia" w:ascii="宋体" w:hAnsi="宋体" w:eastAsia="宋体" w:cs="宋体"/>
          <w:color w:val="000000"/>
          <w:highlight w:val="none"/>
        </w:rPr>
        <w:t xml:space="preserve">、投标人承担类似项目业绩一览表</w:t>
      </w:r>
      <w:bookmarkEnd w:id="181"/>
      <w:r/>
      <w:bookmarkEnd w:id="182"/>
      <w:r/>
      <w:bookmarkEnd w:id="183"/>
      <w:r>
        <w:rPr>
          <w:rStyle w:val="999"/>
          <w:rFonts w:hint="eastAsia" w:ascii="宋体" w:hAnsi="宋体" w:eastAsia="宋体" w:cs="宋体"/>
          <w:color w:val="000000"/>
          <w:highlight w:val="none"/>
        </w:rPr>
      </w:r>
      <w:r/>
    </w:p>
    <w:p>
      <w:pPr>
        <w:pStyle w:val="1384"/>
        <w:jc w:val="center"/>
        <w:rPr>
          <w:rStyle w:val="999"/>
          <w:rFonts w:hint="eastAsia" w:ascii="宋体" w:hAnsi="宋体" w:eastAsia="宋体" w:cs="宋体"/>
          <w:b/>
          <w:color w:val="000000"/>
          <w:sz w:val="32"/>
          <w:szCs w:val="32"/>
          <w:highlight w:val="none"/>
        </w:rPr>
      </w:pPr>
      <w:r>
        <w:rPr>
          <w:rStyle w:val="999"/>
          <w:rFonts w:hint="eastAsia" w:ascii="宋体" w:hAnsi="宋体" w:eastAsia="宋体" w:cs="宋体"/>
          <w:b/>
          <w:color w:val="000000"/>
          <w:sz w:val="32"/>
          <w:szCs w:val="32"/>
          <w:highlight w:val="none"/>
        </w:rPr>
        <w:t xml:space="preserve">投标人承担类似项目业绩一览表</w:t>
      </w:r>
      <w:r>
        <w:rPr>
          <w:rStyle w:val="999"/>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385"/>
              <w:jc w:val="center"/>
              <w:spacing w:line="560" w:lineRule="exac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序号</w:t>
            </w:r>
            <w:r>
              <w:rPr>
                <w:rStyle w:val="999"/>
                <w:rFonts w:hint="eastAsia" w:ascii="宋体" w:hAnsi="宋体" w:eastAsia="宋体" w:cs="宋体"/>
                <w:color w:val="000000"/>
                <w:sz w:val="28"/>
                <w:szCs w:val="28"/>
                <w:highlight w:val="none"/>
              </w:rPr>
            </w:r>
            <w:r/>
          </w:p>
        </w:tc>
        <w:tc>
          <w:tcPr>
            <w:tcW w:w="3827" w:type="dxa"/>
            <w:vAlign w:val="center"/>
            <w:textDirection w:val="lrTb"/>
            <w:noWrap w:val="false"/>
          </w:tcPr>
          <w:p>
            <w:pPr>
              <w:pStyle w:val="1385"/>
              <w:jc w:val="center"/>
              <w:spacing w:line="560" w:lineRule="exac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项目名称</w:t>
            </w:r>
            <w:r>
              <w:rPr>
                <w:rStyle w:val="999"/>
                <w:rFonts w:hint="eastAsia" w:ascii="宋体" w:hAnsi="宋体" w:eastAsia="宋体" w:cs="宋体"/>
                <w:color w:val="000000"/>
                <w:sz w:val="28"/>
                <w:szCs w:val="28"/>
                <w:highlight w:val="none"/>
              </w:rPr>
            </w:r>
            <w:r/>
          </w:p>
        </w:tc>
        <w:tc>
          <w:tcPr>
            <w:tcW w:w="2433" w:type="dxa"/>
            <w:vAlign w:val="center"/>
            <w:textDirection w:val="lrTb"/>
            <w:noWrap w:val="false"/>
          </w:tcPr>
          <w:p>
            <w:pPr>
              <w:pStyle w:val="1385"/>
              <w:jc w:val="center"/>
              <w:spacing w:line="560" w:lineRule="exac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采购单位</w:t>
            </w:r>
            <w:r>
              <w:rPr>
                <w:rStyle w:val="999"/>
                <w:rFonts w:hint="eastAsia" w:ascii="宋体" w:hAnsi="宋体" w:eastAsia="宋体" w:cs="宋体"/>
                <w:color w:val="000000"/>
                <w:sz w:val="28"/>
                <w:szCs w:val="28"/>
                <w:highlight w:val="none"/>
              </w:rPr>
            </w:r>
            <w:r/>
          </w:p>
        </w:tc>
        <w:tc>
          <w:tcPr>
            <w:tcW w:w="1395" w:type="dxa"/>
            <w:vAlign w:val="center"/>
            <w:textDirection w:val="lrTb"/>
            <w:noWrap w:val="false"/>
          </w:tcPr>
          <w:p>
            <w:pPr>
              <w:pStyle w:val="1385"/>
              <w:jc w:val="center"/>
              <w:spacing w:line="560" w:lineRule="exact"/>
              <w:rPr>
                <w:rStyle w:val="999"/>
                <w:rFonts w:hint="eastAsia" w:ascii="宋体" w:hAnsi="宋体" w:eastAsia="宋体" w:cs="宋体"/>
                <w:color w:val="000000"/>
                <w:sz w:val="28"/>
                <w:szCs w:val="28"/>
                <w:highlight w:val="none"/>
              </w:rPr>
            </w:pPr>
            <w:r>
              <w:rPr>
                <w:rStyle w:val="999"/>
                <w:rFonts w:hint="eastAsia" w:ascii="宋体" w:hAnsi="宋体" w:eastAsia="宋体" w:cs="宋体"/>
                <w:color w:val="000000"/>
                <w:sz w:val="28"/>
                <w:szCs w:val="28"/>
                <w:highlight w:val="none"/>
              </w:rPr>
              <w:t xml:space="preserve">合同金额</w:t>
            </w:r>
            <w:r>
              <w:rPr>
                <w:rStyle w:val="999"/>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3827"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2433"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1395"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3827"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2433"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1395"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3827"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2433"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1395"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3827"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2433"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c>
          <w:tcPr>
            <w:tcW w:w="1395" w:type="dxa"/>
            <w:vAlign w:val="center"/>
            <w:textDirection w:val="lrTb"/>
            <w:noWrap w:val="false"/>
          </w:tcPr>
          <w:p>
            <w:pPr>
              <w:pStyle w:val="1385"/>
              <w:jc w:val="center"/>
              <w:spacing w:line="560" w:lineRule="exact"/>
              <w:rPr>
                <w:rStyle w:val="999"/>
                <w:rFonts w:hint="eastAsia" w:ascii="宋体" w:hAnsi="宋体" w:eastAsia="宋体" w:cs="宋体"/>
                <w:color w:val="000000"/>
                <w:sz w:val="28"/>
                <w:highlight w:val="none"/>
              </w:rPr>
            </w:pPr>
            <w:r>
              <w:rPr>
                <w:rStyle w:val="999"/>
                <w:rFonts w:hint="eastAsia" w:ascii="宋体" w:hAnsi="宋体" w:eastAsia="宋体" w:cs="宋体"/>
                <w:color w:val="000000"/>
                <w:sz w:val="28"/>
                <w:highlight w:val="none"/>
              </w:rPr>
            </w:r>
            <w:r/>
          </w:p>
        </w:tc>
      </w:tr>
    </w:tbl>
    <w:p>
      <w:pPr>
        <w:pStyle w:val="1384"/>
        <w:rPr>
          <w:rStyle w:val="999"/>
          <w:rFonts w:hint="eastAsia" w:ascii="宋体" w:hAnsi="宋体" w:eastAsia="宋体" w:cs="宋体"/>
          <w:color w:val="000000"/>
          <w:highlight w:val="none"/>
        </w:rPr>
      </w:pPr>
      <w:r>
        <w:rPr>
          <w:rStyle w:val="999"/>
          <w:rFonts w:hint="eastAsia" w:ascii="宋体" w:hAnsi="宋体" w:eastAsia="宋体" w:cs="宋体"/>
          <w:b/>
          <w:color w:val="000000"/>
          <w:sz w:val="24"/>
          <w:highlight w:val="none"/>
        </w:rPr>
        <w:t xml:space="preserve">注：请填写此表，并按要求</w:t>
      </w:r>
      <w:r>
        <w:rPr>
          <w:rStyle w:val="999"/>
          <w:rFonts w:hint="eastAsia" w:ascii="宋体" w:hAnsi="宋体" w:eastAsia="宋体" w:cs="宋体"/>
          <w:b/>
          <w:color w:val="000000"/>
          <w:sz w:val="24"/>
          <w:highlight w:val="none"/>
          <w:lang w:val="en-US" w:eastAsia="zh-CN"/>
        </w:rPr>
        <w:t xml:space="preserve">提供</w:t>
      </w:r>
      <w:r>
        <w:rPr>
          <w:rStyle w:val="999"/>
          <w:rFonts w:hint="eastAsia" w:ascii="宋体" w:hAnsi="宋体" w:eastAsia="宋体" w:cs="宋体"/>
          <w:b/>
          <w:color w:val="000000"/>
          <w:sz w:val="24"/>
          <w:highlight w:val="none"/>
        </w:rPr>
        <w:t xml:space="preserve">业绩资料</w:t>
      </w:r>
      <w:r>
        <w:rPr>
          <w:rStyle w:val="999"/>
          <w:rFonts w:hint="eastAsia" w:ascii="宋体" w:hAnsi="宋体" w:eastAsia="宋体" w:cs="宋体"/>
          <w:b/>
          <w:color w:val="000000"/>
          <w:sz w:val="24"/>
          <w:highlight w:val="none"/>
          <w:lang w:val="en-US" w:eastAsia="zh-CN"/>
        </w:rPr>
        <w:t xml:space="preserve">扫描件</w:t>
      </w:r>
      <w:r>
        <w:rPr>
          <w:rStyle w:val="999"/>
          <w:rFonts w:hint="eastAsia" w:ascii="宋体" w:hAnsi="宋体" w:eastAsia="宋体" w:cs="宋体"/>
          <w:b/>
          <w:color w:val="000000"/>
          <w:sz w:val="24"/>
          <w:highlight w:val="none"/>
        </w:rPr>
        <w:t xml:space="preserve">。</w:t>
      </w:r>
      <w:r>
        <w:rPr>
          <w:rStyle w:val="999"/>
          <w:rFonts w:hint="eastAsia" w:ascii="宋体" w:hAnsi="宋体" w:eastAsia="宋体" w:cs="宋体"/>
          <w:color w:val="000000"/>
          <w:highlight w:val="none"/>
        </w:rPr>
      </w:r>
      <w:r/>
    </w:p>
    <w:p>
      <w:pPr>
        <w:pStyle w:val="1386"/>
        <w:numPr>
          <w:ilvl w:val="0"/>
          <w:numId w:val="14"/>
        </w:numPr>
        <w:rPr>
          <w:rStyle w:val="999"/>
          <w:rFonts w:hint="eastAsia" w:ascii="宋体" w:hAnsi="宋体" w:eastAsia="宋体" w:cs="宋体"/>
          <w:color w:val="000000"/>
          <w:highlight w:val="none"/>
        </w:rPr>
        <w:outlineLvl w:val="1"/>
      </w:pPr>
      <w:r>
        <w:rPr>
          <w:rStyle w:val="999"/>
          <w:rFonts w:hint="eastAsia" w:ascii="宋体" w:hAnsi="宋体" w:eastAsia="宋体" w:cs="宋体"/>
          <w:color w:val="000000"/>
          <w:highlight w:val="none"/>
        </w:rPr>
        <w:br w:type="page" w:clear="all"/>
      </w:r>
      <w:bookmarkStart w:id="184" w:name="_Toc8560"/>
      <w:r/>
      <w:bookmarkStart w:id="185" w:name="_Toc18140"/>
      <w:r>
        <w:rPr>
          <w:rStyle w:val="999"/>
          <w:rFonts w:hint="eastAsia" w:ascii="宋体" w:hAnsi="宋体" w:eastAsia="宋体" w:cs="宋体"/>
          <w:color w:val="000000"/>
          <w:highlight w:val="none"/>
          <w:lang w:val="en-US" w:eastAsia="zh-CN"/>
        </w:rPr>
        <w:t xml:space="preserve">部分承诺函格式</w:t>
      </w:r>
      <w:r>
        <w:rPr>
          <w:rStyle w:val="999"/>
          <w:rFonts w:hint="eastAsia" w:ascii="宋体" w:hAnsi="宋体" w:eastAsia="宋体" w:cs="宋体"/>
          <w:color w:val="000000"/>
          <w:highlight w:val="none"/>
        </w:rPr>
      </w:r>
      <w:r/>
    </w:p>
    <w:p>
      <w:pPr>
        <w:pStyle w:val="989"/>
        <w:jc w:val="center"/>
        <w:rPr>
          <w:rStyle w:val="999"/>
          <w:rFonts w:hint="eastAsia" w:ascii="宋体" w:hAnsi="宋体" w:eastAsia="宋体" w:cs="宋体"/>
          <w:b/>
          <w:bCs/>
          <w:color w:val="000000"/>
          <w:sz w:val="36"/>
          <w:szCs w:val="40"/>
          <w:highlight w:val="none"/>
          <w:lang w:val="en-US" w:eastAsia="zh-CN"/>
        </w:rPr>
      </w:pPr>
      <w:r>
        <w:rPr>
          <w:rStyle w:val="999"/>
          <w:rFonts w:hint="eastAsia" w:ascii="宋体" w:hAnsi="宋体" w:eastAsia="宋体" w:cs="宋体"/>
          <w:b/>
          <w:bCs/>
          <w:color w:val="000000"/>
          <w:sz w:val="36"/>
          <w:szCs w:val="40"/>
          <w:highlight w:val="none"/>
          <w:lang w:val="en-US" w:eastAsia="zh-CN"/>
        </w:rPr>
      </w:r>
      <w:r/>
    </w:p>
    <w:p>
      <w:pPr>
        <w:pStyle w:val="989"/>
        <w:jc w:val="center"/>
        <w:rPr>
          <w:rStyle w:val="999"/>
          <w:rFonts w:ascii="宋体" w:hAnsi="宋体" w:eastAsia="宋体" w:cs="宋体"/>
          <w:b/>
          <w:bCs/>
          <w:color w:val="000000"/>
          <w:sz w:val="36"/>
          <w:szCs w:val="40"/>
          <w:highlight w:val="none"/>
          <w:lang w:val="en-US" w:eastAsia="zh-CN"/>
        </w:rPr>
      </w:pPr>
      <w:r>
        <w:rPr>
          <w:rStyle w:val="999"/>
          <w:rFonts w:hint="eastAsia" w:ascii="宋体" w:hAnsi="宋体" w:eastAsia="宋体" w:cs="宋体"/>
          <w:b/>
          <w:bCs/>
          <w:color w:val="000000"/>
          <w:sz w:val="36"/>
          <w:szCs w:val="40"/>
          <w:highlight w:val="none"/>
          <w:lang w:val="en-US" w:eastAsia="zh-CN"/>
        </w:rPr>
        <w:t xml:space="preserve">承诺函</w:t>
      </w:r>
      <w:r>
        <w:rPr>
          <w:rStyle w:val="999"/>
          <w:rFonts w:ascii="宋体" w:hAnsi="宋体" w:eastAsia="宋体" w:cs="宋体"/>
          <w:b/>
          <w:bCs/>
          <w:color w:val="000000"/>
          <w:sz w:val="36"/>
          <w:szCs w:val="40"/>
          <w:highlight w:val="none"/>
          <w:lang w:val="en-US" w:eastAsia="zh-CN"/>
        </w:rPr>
      </w:r>
      <w:r/>
    </w:p>
    <w:p>
      <w:pPr>
        <w:pStyle w:val="989"/>
        <w:jc w:val="left"/>
        <w:keepLines w:val="0"/>
        <w:keepNext w:val="0"/>
        <w:pageBreakBefore w:val="0"/>
        <w:spacing w:before="313" w:after="313" w:line="5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989"/>
        <w:ind w:firstLine="480"/>
        <w:jc w:val="left"/>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经研究，我</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决定参加编号为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lang w:eastAsia="zh-CN"/>
        </w:rPr>
        <w:t xml:space="preserve">采购活动</w:t>
      </w:r>
      <w:r>
        <w:rPr>
          <w:rFonts w:hint="eastAsia" w:ascii="宋体" w:hAnsi="宋体" w:eastAsia="宋体" w:cs="宋体"/>
          <w:color w:val="000000"/>
          <w:sz w:val="24"/>
          <w:szCs w:val="24"/>
          <w:highlight w:val="none"/>
        </w:rPr>
        <w:t xml:space="preserve">并投标，为此，我</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郑重</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，并负法律责任。</w:t>
      </w:r>
      <w:r>
        <w:rPr>
          <w:rFonts w:hint="eastAsia" w:ascii="宋体" w:hAnsi="宋体" w:eastAsia="宋体" w:cs="宋体"/>
          <w:color w:val="000000"/>
          <w:sz w:val="24"/>
          <w:szCs w:val="24"/>
          <w:highlight w:val="none"/>
        </w:rPr>
      </w:r>
      <w:r/>
    </w:p>
    <w:p>
      <w:pPr>
        <w:pStyle w:val="989"/>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bCs/>
          <w:strike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trike w:val="0"/>
          <w:color w:val="000000"/>
          <w:sz w:val="24"/>
          <w:szCs w:val="24"/>
          <w:highlight w:val="none"/>
          <w:lang w:val="en-US" w:eastAsia="zh-CN"/>
        </w:rPr>
      </w:r>
      <w:r/>
    </w:p>
    <w:p>
      <w:pPr>
        <w:pStyle w:val="989"/>
        <w:numPr>
          <w:ilvl w:val="0"/>
          <w:numId w:val="0"/>
        </w:num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strike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trike w:val="0"/>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我公司承诺若中标，</w:t>
      </w:r>
      <w:r>
        <w:rPr>
          <w:rFonts w:hint="eastAsia" w:ascii="宋体" w:hAnsi="宋体" w:eastAsia="宋体" w:cs="宋体"/>
          <w:b/>
          <w:bCs/>
          <w:strike w:val="0"/>
          <w:color w:val="000000"/>
          <w:sz w:val="24"/>
          <w:szCs w:val="24"/>
          <w:highlight w:val="none"/>
          <w:lang w:val="en-US" w:eastAsia="zh-CN"/>
        </w:rPr>
        <w:t xml:space="preserve">将为校医院配备与本单位共用的医疗业务信息系统，提供医疗信息安全保障。</w:t>
      </w:r>
      <w:r>
        <w:rPr>
          <w:rFonts w:hint="eastAsia" w:ascii="宋体" w:hAnsi="宋体" w:eastAsia="宋体" w:cs="宋体"/>
          <w:b/>
          <w:bCs/>
          <w:strike w:val="0"/>
          <w:color w:val="000000"/>
          <w:sz w:val="24"/>
          <w:szCs w:val="24"/>
          <w:highlight w:val="none"/>
          <w:lang w:val="en-US" w:eastAsia="zh-CN"/>
        </w:rPr>
      </w:r>
      <w:r/>
    </w:p>
    <w:p>
      <w:pPr>
        <w:pStyle w:val="989"/>
        <w:ind w:firstLine="482"/>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我公司承诺若中标，</w:t>
      </w:r>
      <w:r>
        <w:rPr>
          <w:rFonts w:hint="eastAsia" w:ascii="宋体" w:hAnsi="宋体" w:eastAsia="宋体" w:cs="宋体"/>
          <w:b/>
          <w:bCs/>
          <w:strike w:val="0"/>
          <w:color w:val="000000"/>
          <w:sz w:val="24"/>
          <w:szCs w:val="24"/>
          <w:highlight w:val="none"/>
          <w:lang w:val="en-US" w:eastAsia="zh-CN"/>
        </w:rPr>
        <w:t xml:space="preserve">将</w:t>
      </w:r>
      <w:r>
        <w:rPr>
          <w:rFonts w:hint="eastAsia" w:ascii="宋体" w:hAnsi="宋体" w:eastAsia="宋体" w:cs="宋体"/>
          <w:b/>
          <w:bCs/>
          <w:color w:val="000000"/>
          <w:sz w:val="24"/>
          <w:highlight w:val="none"/>
          <w:lang w:val="en-US" w:eastAsia="zh-CN"/>
        </w:rPr>
        <w:t xml:space="preserve">按照甲方需求，在行政部门许可下将自身执业地点延伸到甲方提供的医疗服务地点。</w:t>
      </w:r>
      <w:r>
        <w:rPr>
          <w:rFonts w:ascii="宋体" w:hAnsi="宋体" w:eastAsia="宋体" w:cs="宋体"/>
          <w:b/>
          <w:bCs/>
          <w:color w:val="000000"/>
          <w:sz w:val="24"/>
          <w:highlight w:val="none"/>
          <w:lang w:val="en-US" w:eastAsia="zh-CN"/>
        </w:rPr>
      </w:r>
      <w:r/>
    </w:p>
    <w:p>
      <w:pPr>
        <w:pStyle w:val="989"/>
        <w:numPr>
          <w:ilvl w:val="0"/>
          <w:numId w:val="0"/>
        </w:num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我公司中标后，一定完全响应本承诺，否则愿接受采购人的一切处罚。</w:t>
      </w:r>
      <w:r>
        <w:rPr>
          <w:rFonts w:hint="eastAsia" w:ascii="宋体" w:hAnsi="宋体" w:eastAsia="宋体" w:cs="宋体"/>
          <w:color w:val="000000"/>
          <w:sz w:val="24"/>
          <w:szCs w:val="24"/>
          <w:highlight w:val="none"/>
          <w:lang w:val="en-US" w:eastAsia="zh-CN"/>
        </w:rPr>
      </w:r>
      <w:r/>
    </w:p>
    <w:p>
      <w:pPr>
        <w:pStyle w:val="989"/>
        <w:numPr>
          <w:ilvl w:val="0"/>
          <w:numId w:val="0"/>
        </w:num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特此承诺！</w:t>
      </w:r>
      <w:r>
        <w:rPr>
          <w:rFonts w:hint="eastAsia" w:ascii="宋体" w:hAnsi="宋体" w:eastAsia="宋体" w:cs="宋体"/>
          <w:color w:val="000000"/>
          <w:sz w:val="24"/>
          <w:szCs w:val="24"/>
          <w:highlight w:val="none"/>
          <w:lang w:val="en-US" w:eastAsia="zh-CN"/>
        </w:rPr>
      </w:r>
      <w:r/>
    </w:p>
    <w:p>
      <w:pPr>
        <w:pStyle w:val="989"/>
        <w:jc w:val="center"/>
        <w:rPr>
          <w:rFonts w:hint="eastAsia"/>
          <w:b/>
          <w:bCs/>
          <w:sz w:val="32"/>
          <w:szCs w:val="36"/>
        </w:rPr>
      </w:pPr>
      <w:r>
        <w:rPr>
          <w:rFonts w:hint="eastAsia"/>
          <w:b/>
          <w:bCs/>
          <w:sz w:val="32"/>
          <w:szCs w:val="36"/>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单位名称：</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w:t>
      </w:r>
      <w:r>
        <w:rPr>
          <w:rFonts w:hint="eastAsia" w:ascii="宋体" w:hAnsi="宋体" w:eastAsia="宋体" w:cs="Times New Roman"/>
          <w:color w:val="000000"/>
          <w:sz w:val="24"/>
          <w:szCs w:val="21"/>
          <w:highlight w:val="none"/>
        </w:rPr>
        <w:t xml:space="preserve">CA电子公章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法定代表人：</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（签字或</w:t>
      </w:r>
      <w:r>
        <w:rPr>
          <w:rStyle w:val="999"/>
          <w:rFonts w:hint="eastAsia" w:ascii="宋体" w:hAnsi="宋体" w:eastAsia="宋体" w:cs="宋体"/>
          <w:color w:val="000000"/>
          <w:sz w:val="24"/>
          <w:highlight w:val="none"/>
          <w:lang w:val="en-US" w:eastAsia="zh-CN"/>
        </w:rPr>
        <w:t xml:space="preserve">盖章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rPr>
        <w:t xml:space="preserve">授权代理人：</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（签字或</w:t>
      </w:r>
      <w:r>
        <w:rPr>
          <w:rStyle w:val="999"/>
          <w:rFonts w:hint="eastAsia" w:ascii="宋体" w:hAnsi="宋体" w:eastAsia="宋体" w:cs="宋体"/>
          <w:color w:val="000000"/>
          <w:sz w:val="24"/>
          <w:highlight w:val="none"/>
          <w:lang w:val="en-US" w:eastAsia="zh-CN"/>
        </w:rPr>
        <w:t xml:space="preserve">盖章</w:t>
      </w:r>
      <w:r>
        <w:rPr>
          <w:rStyle w:val="999"/>
          <w:rFonts w:hint="eastAsia" w:ascii="宋体" w:hAnsi="宋体" w:eastAsia="宋体" w:cs="宋体"/>
          <w:color w:val="000000"/>
          <w:sz w:val="24"/>
          <w:highlight w:val="none"/>
        </w:rPr>
        <w:t xml:space="preserve">）</w:t>
      </w:r>
      <w:r>
        <w:rPr>
          <w:rStyle w:val="999"/>
          <w:rFonts w:hint="eastAsia" w:ascii="宋体" w:hAnsi="宋体" w:eastAsia="宋体" w:cs="宋体"/>
          <w:color w:val="000000"/>
          <w:sz w:val="24"/>
          <w:highlight w:val="none"/>
        </w:rPr>
      </w:r>
      <w:r/>
    </w:p>
    <w:p>
      <w:pPr>
        <w:pStyle w:val="1344"/>
        <w:ind w:firstLine="629"/>
        <w:spacing w:line="700" w:lineRule="exact"/>
        <w:rPr>
          <w:rStyle w:val="999"/>
          <w:rFonts w:hint="eastAsia" w:ascii="宋体" w:hAnsi="宋体" w:eastAsia="宋体" w:cs="宋体"/>
          <w:color w:val="000000"/>
          <w:sz w:val="24"/>
          <w:highlight w:val="none"/>
        </w:rPr>
      </w:pP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年</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月</w:t>
      </w:r>
      <w:r>
        <w:rPr>
          <w:rStyle w:val="999"/>
          <w:rFonts w:hint="eastAsia" w:ascii="宋体" w:hAnsi="宋体" w:eastAsia="宋体" w:cs="宋体"/>
          <w:color w:val="000000"/>
          <w:sz w:val="24"/>
          <w:highlight w:val="none"/>
          <w:u w:val="single"/>
        </w:rPr>
        <w:t xml:space="preserve">      </w:t>
      </w:r>
      <w:r>
        <w:rPr>
          <w:rStyle w:val="999"/>
          <w:rFonts w:hint="eastAsia" w:ascii="宋体" w:hAnsi="宋体" w:eastAsia="宋体" w:cs="宋体"/>
          <w:color w:val="000000"/>
          <w:sz w:val="24"/>
          <w:highlight w:val="none"/>
        </w:rPr>
        <w:t xml:space="preserve">日</w:t>
      </w:r>
      <w:r>
        <w:rPr>
          <w:rStyle w:val="999"/>
          <w:rFonts w:hint="eastAsia" w:ascii="宋体" w:hAnsi="宋体" w:eastAsia="宋体" w:cs="宋体"/>
          <w:color w:val="000000"/>
          <w:sz w:val="24"/>
          <w:highlight w:val="none"/>
        </w:rPr>
      </w:r>
      <w:r/>
    </w:p>
    <w:p>
      <w:pPr>
        <w:pStyle w:val="1386"/>
        <w:numPr>
          <w:ilvl w:val="0"/>
          <w:numId w:val="0"/>
        </w:numPr>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、投标所需其他材料</w:t>
      </w:r>
      <w:bookmarkEnd w:id="184"/>
      <w:r/>
      <w:bookmarkEnd w:id="185"/>
      <w:r>
        <w:rPr>
          <w:rFonts w:hint="eastAsia" w:ascii="宋体" w:hAnsi="宋体" w:eastAsia="宋体" w:cs="宋体"/>
          <w:color w:val="000000"/>
          <w:highlight w:val="none"/>
        </w:rPr>
      </w:r>
      <w:r/>
    </w:p>
    <w:p>
      <w:pPr>
        <w:pStyle w:val="138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highlight w:val="none"/>
        </w:rPr>
      </w:r>
      <w:r/>
    </w:p>
    <w:p>
      <w:pPr>
        <w:pStyle w:val="989"/>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r/>
    </w:p>
    <w:sectPr>
      <w:headerReference w:type="default" r:id="rId9"/>
      <w:footerReference w:type="default" r:id="rId14"/>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仿宋">
    <w:panose1 w:val="02010609060101010101"/>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Calibri Light">
    <w:panose1 w:val="020F0302020204030204"/>
  </w:font>
  <w:font w:name="黑体">
    <w:panose1 w:val="02010609060101010101"/>
  </w:font>
  <w:font w:name="幼圆">
    <w:panose1 w:val="020105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widowControl w:val="off"/>
      <w:rPr>
        <w:rFonts w:hint="eastAsia" w:ascii="Times New Roman" w:hAnsi="Times New Roman" w:eastAsia="宋体" w:cs="Times New Roman"/>
        <w:b/>
        <w:i/>
        <w:sz w:val="18"/>
        <w:szCs w:val="18"/>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9"/>
                    </w:pPr>
                    <w:r/>
                    <w:r/>
                  </w:p>
                </w:txbxContent>
              </v:textbox>
            </v:shape>
          </w:pict>
        </mc:Fallback>
      </mc:AlternateContent>
    </w:r>
    <w:r>
      <w:rPr>
        <w:rFonts w:ascii="Times New Roman" w:hAnsi="Times New Roman" w:eastAsia="宋体" w:cs="Times New Roman"/>
        <w:b/>
        <w:i/>
        <w:sz w:val="20"/>
        <w:szCs w:val="18"/>
        <w:lang w:val="en-US" w:eastAsia="zh-CN" w:bidi="ar-SA"/>
      </w:rPr>
      <w:t xml:space="preserve"> </w:t>
    </w:r>
    <w:r>
      <w:rPr>
        <w:rFonts w:hint="eastAsia" w:ascii="Times New Roman" w:hAnsi="Times New Roman" w:eastAsia="宋体" w:cs="Times New Roman"/>
        <w:b/>
        <w:i/>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widowControl w:val="off"/>
      <w:tabs>
        <w:tab w:val="center" w:pos="4153" w:leader="none"/>
        <w:tab w:val="right" w:pos="8306" w:leader="none"/>
      </w:tabs>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9"/>
                    </w:pPr>
                    <w:r/>
                    <w:r/>
                  </w:p>
                </w:txbxContent>
              </v:textbox>
            </v:shape>
          </w:pict>
        </mc:Fallback>
      </mc:AlternateContent>
    </w:r>
    <w:r>
      <w:rPr>
        <w:rFonts w:ascii="Calibri" w:hAnsi="Calibri" w:eastAsia="宋体" w:cs="Times New Roman"/>
        <w:sz w:val="18"/>
        <w:szCs w:val="18"/>
        <w:lang w:val="en-US" w:eastAsia="zh-CN" w:bidi="ar-SA"/>
      </w:rPr>
    </w:r>
    <w:r/>
  </w:p>
  <w:p>
    <w:pPr>
      <w:pStyle w:val="989"/>
      <w:ind w:right="360"/>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8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89"/>
                    </w:pPr>
                    <w:r/>
                    <w:r/>
                  </w:p>
                </w:txbxContent>
              </v:textbox>
            </v:shape>
          </w:pict>
        </mc:Fallback>
      </mc:AlternateContent>
    </w:r>
    <w:r/>
  </w:p>
  <w:p>
    <w:pPr>
      <w:pStyle w:val="103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89"/>
        <w:ind w:left="900" w:hanging="420"/>
        <w:tabs>
          <w:tab w:val="num" w:pos="900" w:leader="none"/>
        </w:tabs>
      </w:pPr>
      <w:rPr>
        <w:rFonts w:ascii="Wingdings" w:hAnsi="Wingdings"/>
      </w:rPr>
    </w:lvl>
    <w:lvl w:ilvl="1">
      <w:start w:val="1"/>
      <w:numFmt w:val="bullet"/>
      <w:isLgl w:val="false"/>
      <w:suff w:val="tab"/>
      <w:lvlText w:val=""/>
      <w:lvlJc w:val="left"/>
      <w:pPr>
        <w:pStyle w:val="989"/>
        <w:ind w:left="1320" w:hanging="420"/>
        <w:tabs>
          <w:tab w:val="num" w:pos="0" w:leader="none"/>
        </w:tabs>
      </w:pPr>
      <w:rPr>
        <w:rFonts w:ascii="Wingdings" w:hAnsi="Wingdings"/>
      </w:rPr>
    </w:lvl>
    <w:lvl w:ilvl="2">
      <w:start w:val="1"/>
      <w:numFmt w:val="bullet"/>
      <w:pStyle w:val="1277"/>
      <w:isLgl w:val="false"/>
      <w:suff w:val="tab"/>
      <w:lvlText w:val=""/>
      <w:lvlJc w:val="left"/>
      <w:pPr>
        <w:pStyle w:val="989"/>
        <w:ind w:left="1740" w:hanging="420"/>
        <w:tabs>
          <w:tab w:val="num" w:pos="0" w:leader="none"/>
        </w:tabs>
      </w:pPr>
      <w:rPr>
        <w:rFonts w:ascii="Wingdings" w:hAnsi="Wingdings"/>
      </w:rPr>
    </w:lvl>
    <w:lvl w:ilvl="3">
      <w:start w:val="1"/>
      <w:numFmt w:val="bullet"/>
      <w:isLgl w:val="false"/>
      <w:suff w:val="tab"/>
      <w:lvlText w:val=""/>
      <w:lvlJc w:val="left"/>
      <w:pPr>
        <w:pStyle w:val="989"/>
        <w:ind w:left="2160" w:hanging="420"/>
        <w:tabs>
          <w:tab w:val="num" w:pos="0" w:leader="none"/>
        </w:tabs>
      </w:pPr>
      <w:rPr>
        <w:rFonts w:ascii="Wingdings" w:hAnsi="Wingdings"/>
      </w:rPr>
    </w:lvl>
    <w:lvl w:ilvl="4">
      <w:start w:val="1"/>
      <w:numFmt w:val="bullet"/>
      <w:isLgl w:val="false"/>
      <w:suff w:val="tab"/>
      <w:lvlText w:val=""/>
      <w:lvlJc w:val="left"/>
      <w:pPr>
        <w:pStyle w:val="989"/>
        <w:ind w:left="2580" w:hanging="420"/>
        <w:tabs>
          <w:tab w:val="num" w:pos="0" w:leader="none"/>
        </w:tabs>
      </w:pPr>
      <w:rPr>
        <w:rFonts w:ascii="Wingdings" w:hAnsi="Wingdings"/>
      </w:rPr>
    </w:lvl>
    <w:lvl w:ilvl="5">
      <w:start w:val="1"/>
      <w:numFmt w:val="bullet"/>
      <w:isLgl w:val="false"/>
      <w:suff w:val="tab"/>
      <w:lvlText w:val=""/>
      <w:lvlJc w:val="left"/>
      <w:pPr>
        <w:pStyle w:val="989"/>
        <w:ind w:left="3000" w:hanging="420"/>
        <w:tabs>
          <w:tab w:val="num" w:pos="0" w:leader="none"/>
        </w:tabs>
      </w:pPr>
      <w:rPr>
        <w:rFonts w:ascii="Wingdings" w:hAnsi="Wingdings"/>
      </w:rPr>
    </w:lvl>
    <w:lvl w:ilvl="6">
      <w:start w:val="1"/>
      <w:numFmt w:val="bullet"/>
      <w:isLgl w:val="false"/>
      <w:suff w:val="tab"/>
      <w:lvlText w:val=""/>
      <w:lvlJc w:val="left"/>
      <w:pPr>
        <w:pStyle w:val="989"/>
        <w:ind w:left="3420" w:hanging="420"/>
        <w:tabs>
          <w:tab w:val="num" w:pos="0" w:leader="none"/>
        </w:tabs>
      </w:pPr>
      <w:rPr>
        <w:rFonts w:ascii="Wingdings" w:hAnsi="Wingdings"/>
      </w:rPr>
    </w:lvl>
    <w:lvl w:ilvl="7">
      <w:start w:val="1"/>
      <w:numFmt w:val="bullet"/>
      <w:isLgl w:val="false"/>
      <w:suff w:val="tab"/>
      <w:lvlText w:val=""/>
      <w:lvlJc w:val="left"/>
      <w:pPr>
        <w:pStyle w:val="989"/>
        <w:ind w:left="3840" w:hanging="420"/>
        <w:tabs>
          <w:tab w:val="num" w:pos="0" w:leader="none"/>
        </w:tabs>
      </w:pPr>
      <w:rPr>
        <w:rFonts w:ascii="Wingdings" w:hAnsi="Wingdings"/>
      </w:rPr>
    </w:lvl>
    <w:lvl w:ilvl="8">
      <w:start w:val="1"/>
      <w:numFmt w:val="bullet"/>
      <w:isLgl w:val="false"/>
      <w:suff w:val="tab"/>
      <w:lvlText w:val=""/>
      <w:lvlJc w:val="left"/>
      <w:pPr>
        <w:pStyle w:val="989"/>
        <w:ind w:left="4260" w:hanging="420"/>
        <w:tabs>
          <w:tab w:val="num" w:pos="0" w:leader="none"/>
        </w:tabs>
      </w:pPr>
      <w:rPr>
        <w:rFonts w:ascii="Wingdings" w:hAnsi="Wingdings"/>
      </w:rPr>
    </w:lvl>
  </w:abstractNum>
  <w:abstractNum w:abstractNumId="1">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2">
    <w:multiLevelType w:val="hybridMultilevel"/>
    <w:lvl w:ilvl="0">
      <w:start w:val="1"/>
      <w:numFmt w:val="bullet"/>
      <w:pStyle w:val="1252"/>
      <w:isLgl w:val="false"/>
      <w:suff w:val="tab"/>
      <w:lvlText w:val="◆"/>
      <w:lvlJc w:val="left"/>
      <w:pPr>
        <w:pStyle w:val="989"/>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4">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5">
    <w:multiLevelType w:val="hybridMultilevel"/>
    <w:lvl w:ilvl="0">
      <w:start w:val="1"/>
      <w:numFmt w:val="decimal"/>
      <w:isLgl w:val="false"/>
      <w:suff w:val="tab"/>
      <w:lvlText w:val="%1、"/>
      <w:lvlJc w:val="left"/>
      <w:pPr>
        <w:pStyle w:val="989"/>
        <w:ind w:left="840" w:hanging="420"/>
        <w:tabs>
          <w:tab w:val="num" w:pos="840" w:leader="none"/>
        </w:tabs>
      </w:pPr>
      <w:rPr>
        <w:rFonts w:hint="eastAsia"/>
      </w:rPr>
    </w:lvl>
    <w:lvl w:ilvl="1">
      <w:start w:val="1"/>
      <w:numFmt w:val="lowerLetter"/>
      <w:isLgl w:val="false"/>
      <w:suff w:val="tab"/>
      <w:lvlText w:val="%2)"/>
      <w:lvlJc w:val="left"/>
      <w:pPr>
        <w:pStyle w:val="989"/>
        <w:ind w:left="1260" w:hanging="420"/>
        <w:tabs>
          <w:tab w:val="num" w:pos="1260" w:leader="none"/>
        </w:tabs>
      </w:pPr>
    </w:lvl>
    <w:lvl w:ilvl="2">
      <w:start w:val="1"/>
      <w:numFmt w:val="lowerRoman"/>
      <w:pStyle w:val="1276"/>
      <w:isLgl w:val="false"/>
      <w:suff w:val="tab"/>
      <w:lvlText w:val="%3."/>
      <w:lvlJc w:val="right"/>
      <w:pPr>
        <w:pStyle w:val="989"/>
        <w:ind w:left="1680" w:hanging="420"/>
        <w:tabs>
          <w:tab w:val="num" w:pos="1680" w:leader="none"/>
        </w:tabs>
      </w:pPr>
    </w:lvl>
    <w:lvl w:ilvl="3">
      <w:start w:val="1"/>
      <w:numFmt w:val="decimal"/>
      <w:isLgl w:val="false"/>
      <w:suff w:val="tab"/>
      <w:lvlText w:val="%4."/>
      <w:lvlJc w:val="left"/>
      <w:pPr>
        <w:pStyle w:val="989"/>
        <w:ind w:left="2100" w:hanging="420"/>
        <w:tabs>
          <w:tab w:val="num" w:pos="2100" w:leader="none"/>
        </w:tabs>
      </w:pPr>
    </w:lvl>
    <w:lvl w:ilvl="4">
      <w:start w:val="1"/>
      <w:numFmt w:val="lowerLetter"/>
      <w:isLgl w:val="false"/>
      <w:suff w:val="tab"/>
      <w:lvlText w:val="%5)"/>
      <w:lvlJc w:val="left"/>
      <w:pPr>
        <w:pStyle w:val="989"/>
        <w:ind w:left="2520" w:hanging="420"/>
        <w:tabs>
          <w:tab w:val="num" w:pos="2520" w:leader="none"/>
        </w:tabs>
      </w:pPr>
    </w:lvl>
    <w:lvl w:ilvl="5">
      <w:start w:val="1"/>
      <w:numFmt w:val="lowerRoman"/>
      <w:isLgl w:val="false"/>
      <w:suff w:val="tab"/>
      <w:lvlText w:val="%6."/>
      <w:lvlJc w:val="right"/>
      <w:pPr>
        <w:pStyle w:val="989"/>
        <w:ind w:left="2940" w:hanging="420"/>
        <w:tabs>
          <w:tab w:val="num" w:pos="2940" w:leader="none"/>
        </w:tabs>
      </w:pPr>
    </w:lvl>
    <w:lvl w:ilvl="6">
      <w:start w:val="1"/>
      <w:numFmt w:val="decimal"/>
      <w:isLgl w:val="false"/>
      <w:suff w:val="tab"/>
      <w:lvlText w:val="%7."/>
      <w:lvlJc w:val="left"/>
      <w:pPr>
        <w:pStyle w:val="989"/>
        <w:ind w:left="3360" w:hanging="420"/>
        <w:tabs>
          <w:tab w:val="num" w:pos="3360" w:leader="none"/>
        </w:tabs>
      </w:pPr>
    </w:lvl>
    <w:lvl w:ilvl="7">
      <w:start w:val="1"/>
      <w:numFmt w:val="lowerLetter"/>
      <w:isLgl w:val="false"/>
      <w:suff w:val="tab"/>
      <w:lvlText w:val="%8)"/>
      <w:lvlJc w:val="left"/>
      <w:pPr>
        <w:pStyle w:val="989"/>
        <w:ind w:left="3780" w:hanging="420"/>
        <w:tabs>
          <w:tab w:val="num" w:pos="3780" w:leader="none"/>
        </w:tabs>
      </w:pPr>
    </w:lvl>
    <w:lvl w:ilvl="8">
      <w:start w:val="1"/>
      <w:numFmt w:val="lowerRoman"/>
      <w:isLgl w:val="false"/>
      <w:suff w:val="tab"/>
      <w:lvlText w:val="%9."/>
      <w:lvlJc w:val="right"/>
      <w:pPr>
        <w:pStyle w:val="989"/>
        <w:ind w:left="4200" w:hanging="420"/>
        <w:tabs>
          <w:tab w:val="num" w:pos="4200" w:leader="none"/>
        </w:tabs>
      </w:pPr>
    </w:lvl>
  </w:abstractNum>
  <w:abstractNum w:abstractNumId="6">
    <w:multiLevelType w:val="hybridMultilevel"/>
    <w:lvl w:ilvl="0">
      <w:start w:val="12"/>
      <w:numFmt w:val="chineseCounting"/>
      <w:isLgl w:val="false"/>
      <w:suff w:val="nothing"/>
      <w:lvlText w:val="%1、"/>
      <w:lvlJc w:val="left"/>
      <w:pPr>
        <w:pStyle w:val="9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8">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9">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10">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11">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12">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abstractNum w:abstractNumId="13">
    <w:multiLevelType w:val="hybridMultilevel"/>
    <w:lvl w:ilvl="0">
      <w:start w:val="1"/>
      <w:numFmt w:val="decimal"/>
      <w:isLgl w:val="false"/>
      <w:suff w:val="tab"/>
      <w:lvlText w:val="%1."/>
      <w:lvlJc w:val="left"/>
      <w:pPr>
        <w:pStyle w:val="989"/>
        <w:ind w:left="720" w:hanging="360"/>
        <w:tabs>
          <w:tab w:val="num" w:pos="720" w:leader="none"/>
        </w:tabs>
      </w:pPr>
      <w:rPr>
        <w:sz w:val="24"/>
        <w:szCs w:val="24"/>
      </w:rPr>
    </w:lvl>
    <w:lvl w:ilvl="1">
      <w:start w:val="1"/>
      <w:numFmt w:val="decimal"/>
      <w:isLgl w:val="false"/>
      <w:suff w:val="tab"/>
      <w:lvlText w:val="%2."/>
      <w:lvlJc w:val="left"/>
      <w:pPr>
        <w:pStyle w:val="989"/>
        <w:ind w:left="1440" w:hanging="360"/>
        <w:tabs>
          <w:tab w:val="num" w:pos="1440" w:leader="none"/>
        </w:tabs>
      </w:pPr>
      <w:rPr>
        <w:sz w:val="24"/>
        <w:szCs w:val="24"/>
      </w:rPr>
    </w:lvl>
    <w:lvl w:ilvl="2">
      <w:start w:val="1"/>
      <w:numFmt w:val="decimal"/>
      <w:isLgl w:val="false"/>
      <w:suff w:val="tab"/>
      <w:lvlText w:val="%3."/>
      <w:lvlJc w:val="left"/>
      <w:pPr>
        <w:pStyle w:val="989"/>
        <w:ind w:left="2160" w:hanging="360"/>
        <w:tabs>
          <w:tab w:val="num" w:pos="2160" w:leader="none"/>
        </w:tabs>
      </w:pPr>
      <w:rPr>
        <w:sz w:val="24"/>
        <w:szCs w:val="24"/>
      </w:rPr>
    </w:lvl>
    <w:lvl w:ilvl="3">
      <w:start w:val="1"/>
      <w:numFmt w:val="decimal"/>
      <w:isLgl w:val="false"/>
      <w:suff w:val="tab"/>
      <w:lvlText w:val="%4."/>
      <w:lvlJc w:val="left"/>
      <w:pPr>
        <w:pStyle w:val="989"/>
        <w:ind w:left="2880" w:hanging="360"/>
        <w:tabs>
          <w:tab w:val="num" w:pos="2517" w:leader="none"/>
        </w:tabs>
      </w:pPr>
      <w:rPr>
        <w:sz w:val="24"/>
        <w:szCs w:val="24"/>
      </w:rPr>
    </w:lvl>
    <w:lvl w:ilvl="4">
      <w:start w:val="1"/>
      <w:numFmt w:val="decimal"/>
      <w:isLgl w:val="false"/>
      <w:suff w:val="tab"/>
      <w:lvlText w:val="%5."/>
      <w:lvlJc w:val="left"/>
      <w:pPr>
        <w:pStyle w:val="989"/>
        <w:ind w:left="3600" w:hanging="360"/>
        <w:tabs>
          <w:tab w:val="num" w:pos="3238" w:leader="none"/>
        </w:tabs>
      </w:pPr>
      <w:rPr>
        <w:sz w:val="24"/>
        <w:szCs w:val="24"/>
      </w:rPr>
    </w:lvl>
    <w:lvl w:ilvl="5">
      <w:start w:val="1"/>
      <w:numFmt w:val="decimal"/>
      <w:isLgl w:val="false"/>
      <w:suff w:val="tab"/>
      <w:lvlText w:val="%6."/>
      <w:lvlJc w:val="left"/>
      <w:pPr>
        <w:pStyle w:val="989"/>
        <w:ind w:left="4320" w:hanging="360"/>
        <w:tabs>
          <w:tab w:val="num" w:pos="3958" w:leader="none"/>
        </w:tabs>
      </w:pPr>
      <w:rPr>
        <w:sz w:val="24"/>
        <w:szCs w:val="24"/>
      </w:rPr>
    </w:lvl>
    <w:lvl w:ilvl="6">
      <w:start w:val="1"/>
      <w:numFmt w:val="decimal"/>
      <w:isLgl w:val="false"/>
      <w:suff w:val="tab"/>
      <w:lvlText w:val="%7."/>
      <w:lvlJc w:val="left"/>
      <w:pPr>
        <w:pStyle w:val="989"/>
        <w:ind w:left="5040" w:hanging="360"/>
        <w:tabs>
          <w:tab w:val="num" w:pos="4678" w:leader="none"/>
        </w:tabs>
      </w:pPr>
      <w:rPr>
        <w:sz w:val="24"/>
        <w:szCs w:val="24"/>
      </w:rPr>
    </w:lvl>
    <w:lvl w:ilvl="7">
      <w:start w:val="1"/>
      <w:numFmt w:val="decimal"/>
      <w:isLgl w:val="false"/>
      <w:suff w:val="tab"/>
      <w:lvlText w:val="%8."/>
      <w:lvlJc w:val="left"/>
      <w:pPr>
        <w:pStyle w:val="989"/>
        <w:ind w:left="5760" w:hanging="360"/>
        <w:tabs>
          <w:tab w:val="num" w:pos="5398" w:leader="none"/>
        </w:tabs>
      </w:pPr>
      <w:rPr>
        <w:sz w:val="24"/>
        <w:szCs w:val="24"/>
      </w:rPr>
    </w:lvl>
    <w:lvl w:ilvl="8">
      <w:start w:val="1"/>
      <w:numFmt w:val="decimal"/>
      <w:isLgl w:val="false"/>
      <w:suff w:val="tab"/>
      <w:lvlText w:val="%9."/>
      <w:lvlJc w:val="left"/>
      <w:pPr>
        <w:pStyle w:val="989"/>
        <w:ind w:left="6480" w:hanging="360"/>
        <w:tabs>
          <w:tab w:val="num" w:pos="6118" w:leader="none"/>
        </w:tabs>
      </w:pPr>
      <w:rPr>
        <w:sz w:val="24"/>
        <w:szCs w:val="24"/>
      </w:rPr>
    </w:lvl>
  </w:abstractNum>
  <w:num w:numId="1">
    <w:abstractNumId w:val="2"/>
  </w:num>
  <w:num w:numId="2">
    <w:abstractNumId w:val="5"/>
  </w:num>
  <w:num w:numId="3">
    <w:abstractNumId w:val="0"/>
  </w:num>
  <w:num w:numId="4">
    <w:abstractNumId w:val="13"/>
  </w:num>
  <w:num w:numId="5">
    <w:abstractNumId w:val="4"/>
  </w:num>
  <w:num w:numId="6">
    <w:abstractNumId w:val="1"/>
  </w:num>
  <w:num w:numId="7">
    <w:abstractNumId w:val="3"/>
  </w:num>
  <w:num w:numId="8">
    <w:abstractNumId w:val="12"/>
  </w:num>
  <w:num w:numId="9">
    <w:abstractNumId w:val="7"/>
  </w:num>
  <w:num w:numId="10">
    <w:abstractNumId w:val="11"/>
  </w:num>
  <w:num w:numId="11">
    <w:abstractNumId w:val="10"/>
  </w:num>
  <w:num w:numId="12">
    <w:abstractNumId w:val="8"/>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89"/>
    <w:next w:val="989"/>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89"/>
    <w:next w:val="989"/>
    <w:link w:val="1110"/>
    <w:uiPriority w:val="9"/>
    <w:unhideWhenUsed/>
    <w:qFormat/>
    <w:pPr>
      <w:keepLines/>
      <w:keepNext/>
      <w:spacing w:before="360" w:after="200"/>
      <w:outlineLvl w:val="1"/>
    </w:pPr>
    <w:rPr>
      <w:rFonts w:ascii="Arial" w:hAnsi="Arial" w:eastAsia="Arial" w:cs="Arial"/>
      <w:sz w:val="34"/>
    </w:rPr>
  </w:style>
  <w:style w:type="paragraph" w:styleId="820">
    <w:name w:val="Heading 3"/>
    <w:basedOn w:val="989"/>
    <w:next w:val="989"/>
    <w:link w:val="1089"/>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989"/>
    <w:next w:val="989"/>
    <w:link w:val="1102"/>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989"/>
    <w:next w:val="989"/>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89"/>
    <w:next w:val="989"/>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89"/>
    <w:next w:val="989"/>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89"/>
    <w:next w:val="989"/>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89"/>
    <w:next w:val="989"/>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No Spacing"/>
    <w:uiPriority w:val="1"/>
    <w:qFormat/>
    <w:pPr>
      <w:spacing w:before="0" w:after="0" w:line="240" w:lineRule="auto"/>
    </w:pPr>
  </w:style>
  <w:style w:type="paragraph" w:styleId="833">
    <w:name w:val="Title"/>
    <w:basedOn w:val="989"/>
    <w:next w:val="989"/>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89"/>
    <w:next w:val="989"/>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89"/>
    <w:next w:val="989"/>
    <w:link w:val="838"/>
    <w:uiPriority w:val="29"/>
    <w:qFormat/>
    <w:pPr>
      <w:ind w:left="720" w:right="720"/>
    </w:pPr>
    <w:rPr>
      <w:i/>
    </w:rPr>
  </w:style>
  <w:style w:type="character" w:styleId="838">
    <w:name w:val="Quote Char"/>
    <w:link w:val="837"/>
    <w:uiPriority w:val="29"/>
    <w:rPr>
      <w:i/>
    </w:rPr>
  </w:style>
  <w:style w:type="paragraph" w:styleId="839">
    <w:name w:val="Intense Quote"/>
    <w:basedOn w:val="989"/>
    <w:next w:val="989"/>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89"/>
    <w:link w:val="1084"/>
    <w:uiPriority w:val="99"/>
    <w:unhideWhenUsed/>
    <w:pPr>
      <w:spacing w:after="0" w:line="240" w:lineRule="auto"/>
      <w:tabs>
        <w:tab w:val="center" w:pos="7143" w:leader="none"/>
        <w:tab w:val="right" w:pos="14287" w:leader="none"/>
      </w:tabs>
    </w:pPr>
  </w:style>
  <w:style w:type="paragraph" w:styleId="842">
    <w:name w:val="Footer"/>
    <w:basedOn w:val="989"/>
    <w:link w:val="844"/>
    <w:uiPriority w:val="99"/>
    <w:unhideWhenUsed/>
    <w:pPr>
      <w:spacing w:after="0" w:line="240" w:lineRule="auto"/>
      <w:tabs>
        <w:tab w:val="center" w:pos="7143" w:leader="none"/>
        <w:tab w:val="right" w:pos="14287" w:leader="none"/>
      </w:tabs>
    </w:pPr>
  </w:style>
  <w:style w:type="paragraph" w:styleId="843">
    <w:name w:val="Caption"/>
    <w:basedOn w:val="989"/>
    <w:next w:val="989"/>
    <w:uiPriority w:val="35"/>
    <w:semiHidden/>
    <w:unhideWhenUsed/>
    <w:qFormat/>
    <w:pPr>
      <w:spacing w:line="276" w:lineRule="auto"/>
    </w:pPr>
    <w:rPr>
      <w:b/>
      <w:bCs/>
      <w:color w:val="4f81bd" w:themeColor="accent1"/>
      <w:sz w:val="18"/>
      <w:szCs w:val="18"/>
    </w:rPr>
  </w:style>
  <w:style w:type="character" w:styleId="844">
    <w:name w:val="Caption Char"/>
    <w:basedOn w:val="843"/>
    <w:link w:val="842"/>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989"/>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989"/>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989"/>
    <w:next w:val="989"/>
    <w:uiPriority w:val="39"/>
    <w:unhideWhenUsed/>
    <w:pPr>
      <w:ind w:left="0" w:right="0" w:firstLine="0"/>
      <w:spacing w:after="57"/>
    </w:pPr>
  </w:style>
  <w:style w:type="paragraph" w:styleId="979">
    <w:name w:val="toc 2"/>
    <w:basedOn w:val="989"/>
    <w:next w:val="989"/>
    <w:uiPriority w:val="39"/>
    <w:unhideWhenUsed/>
    <w:pPr>
      <w:ind w:left="283" w:right="0" w:firstLine="0"/>
      <w:spacing w:after="57"/>
    </w:p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989"/>
    <w:link w:val="989"/>
    <w:qFormat/>
    <w:pPr>
      <w:jc w:val="both"/>
      <w:widowControl w:val="off"/>
    </w:pPr>
    <w:rPr>
      <w:rFonts w:ascii="Calibri" w:hAnsi="Calibri"/>
      <w:sz w:val="21"/>
      <w:szCs w:val="22"/>
      <w:lang w:val="en-US" w:eastAsia="zh-CN" w:bidi="ar-SA"/>
    </w:rPr>
  </w:style>
  <w:style w:type="paragraph" w:styleId="990">
    <w:name w:val="标题 1"/>
    <w:basedOn w:val="991"/>
    <w:next w:val="989"/>
    <w:link w:val="1003"/>
    <w:qFormat/>
    <w:pPr>
      <w:keepLines/>
      <w:keepNext/>
      <w:spacing w:before="340" w:after="330" w:line="576" w:lineRule="auto"/>
      <w:outlineLvl w:val="0"/>
    </w:pPr>
    <w:rPr>
      <w:rFonts w:ascii="Times New Roman" w:hAnsi="Times New Roman"/>
      <w:b w:val="0"/>
      <w:sz w:val="44"/>
      <w:szCs w:val="20"/>
    </w:rPr>
  </w:style>
  <w:style w:type="paragraph" w:styleId="991">
    <w:name w:val="标题 2"/>
    <w:basedOn w:val="989"/>
    <w:next w:val="1002"/>
    <w:link w:val="1001"/>
    <w:qFormat/>
    <w:pPr>
      <w:keepLines/>
      <w:keepNext/>
      <w:spacing w:before="260" w:after="260" w:line="413" w:lineRule="auto"/>
      <w:outlineLvl w:val="1"/>
    </w:pPr>
    <w:rPr>
      <w:rFonts w:ascii="Arial" w:hAnsi="Arial" w:eastAsia="黑体"/>
      <w:b/>
      <w:sz w:val="32"/>
      <w:szCs w:val="20"/>
    </w:rPr>
  </w:style>
  <w:style w:type="paragraph" w:styleId="992">
    <w:name w:val="标题 3"/>
    <w:basedOn w:val="989"/>
    <w:next w:val="989"/>
    <w:link w:val="1004"/>
    <w:qFormat/>
    <w:pPr>
      <w:keepLines/>
      <w:keepNext/>
      <w:spacing w:before="260" w:after="260" w:line="413" w:lineRule="auto"/>
      <w:outlineLvl w:val="2"/>
    </w:pPr>
    <w:rPr>
      <w:rFonts w:ascii="Times New Roman" w:hAnsi="Times New Roman"/>
      <w:b/>
      <w:sz w:val="32"/>
      <w:szCs w:val="20"/>
    </w:rPr>
  </w:style>
  <w:style w:type="paragraph" w:styleId="993">
    <w:name w:val="标题 4"/>
    <w:basedOn w:val="989"/>
    <w:next w:val="1002"/>
    <w:link w:val="1005"/>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994">
    <w:name w:val="标题 5"/>
    <w:basedOn w:val="989"/>
    <w:next w:val="989"/>
    <w:link w:val="989"/>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995">
    <w:name w:val="标题 6"/>
    <w:basedOn w:val="989"/>
    <w:next w:val="989"/>
    <w:link w:val="989"/>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996">
    <w:name w:val="标题 7"/>
    <w:basedOn w:val="989"/>
    <w:next w:val="989"/>
    <w:link w:val="989"/>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997">
    <w:name w:val="标题 8"/>
    <w:basedOn w:val="989"/>
    <w:next w:val="989"/>
    <w:link w:val="989"/>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998">
    <w:name w:val="标题 9"/>
    <w:basedOn w:val="989"/>
    <w:next w:val="989"/>
    <w:link w:val="989"/>
    <w:qFormat/>
    <w:pPr>
      <w:jc w:val="center"/>
      <w:keepNext/>
      <w:spacing w:line="600" w:lineRule="exact"/>
      <w:widowControl w:val="off"/>
      <w:outlineLvl w:val="8"/>
    </w:pPr>
    <w:rPr>
      <w:rFonts w:ascii="仿宋_GB2312" w:eastAsia="仿宋_GB2312"/>
      <w:sz w:val="32"/>
    </w:rPr>
  </w:style>
  <w:style w:type="character" w:styleId="999">
    <w:name w:val="默认段落字体"/>
    <w:next w:val="999"/>
    <w:link w:val="989"/>
    <w:uiPriority w:val="1"/>
    <w:unhideWhenUsed/>
  </w:style>
  <w:style w:type="table" w:styleId="1000">
    <w:name w:val="普通表格"/>
    <w:next w:val="1000"/>
    <w:link w:val="989"/>
    <w:semiHidden/>
    <w:tblPr/>
  </w:style>
  <w:style w:type="character" w:styleId="1001">
    <w:name w:val="标题 2 字符"/>
    <w:next w:val="1001"/>
    <w:link w:val="991"/>
    <w:rPr>
      <w:rFonts w:ascii="Arial" w:hAnsi="Arial" w:eastAsia="黑体"/>
      <w:b/>
      <w:sz w:val="32"/>
    </w:rPr>
  </w:style>
  <w:style w:type="paragraph" w:styleId="1002">
    <w:name w:val="正文缩进"/>
    <w:basedOn w:val="989"/>
    <w:next w:val="1002"/>
    <w:link w:val="989"/>
    <w:pPr>
      <w:ind w:firstLine="420"/>
    </w:pPr>
    <w:rPr>
      <w:rFonts w:ascii="宋体"/>
      <w:color w:val="000000"/>
      <w:sz w:val="24"/>
      <w:szCs w:val="20"/>
    </w:rPr>
  </w:style>
  <w:style w:type="character" w:styleId="1003">
    <w:name w:val="标题 1 字符"/>
    <w:next w:val="1003"/>
    <w:link w:val="990"/>
    <w:rPr>
      <w:b/>
      <w:sz w:val="44"/>
    </w:rPr>
  </w:style>
  <w:style w:type="character" w:styleId="1004">
    <w:name w:val="标题 3 字符"/>
    <w:next w:val="1004"/>
    <w:link w:val="992"/>
    <w:rPr>
      <w:b/>
      <w:sz w:val="32"/>
    </w:rPr>
  </w:style>
  <w:style w:type="character" w:styleId="1005">
    <w:name w:val="标题 4 字符"/>
    <w:next w:val="1005"/>
    <w:link w:val="993"/>
    <w:rPr>
      <w:rFonts w:ascii="宋体" w:eastAsia="宋体"/>
      <w:color w:val="800000"/>
      <w:sz w:val="28"/>
      <w:lang w:val="en-US" w:eastAsia="zh-CN" w:bidi="ar-SA"/>
    </w:rPr>
  </w:style>
  <w:style w:type="paragraph" w:styleId="1006">
    <w:name w:val="目录 7"/>
    <w:basedOn w:val="989"/>
    <w:next w:val="989"/>
    <w:link w:val="989"/>
    <w:pPr>
      <w:ind w:left="1260"/>
      <w:jc w:val="left"/>
    </w:pPr>
    <w:rPr>
      <w:rFonts w:ascii="Calibri" w:hAnsi="Calibri" w:cs="Calibri"/>
      <w:sz w:val="18"/>
      <w:szCs w:val="18"/>
    </w:rPr>
  </w:style>
  <w:style w:type="paragraph" w:styleId="1007">
    <w:name w:val="列表项目符号 4"/>
    <w:basedOn w:val="989"/>
    <w:next w:val="1007"/>
    <w:link w:val="989"/>
    <w:pPr>
      <w:ind w:left="360" w:hanging="360"/>
      <w:spacing w:line="380" w:lineRule="exact"/>
      <w:tabs>
        <w:tab w:val="left" w:pos="360" w:leader="none"/>
      </w:tabs>
    </w:pPr>
    <w:rPr>
      <w:rFonts w:ascii="Calibri" w:hAnsi="Calibri"/>
      <w:sz w:val="28"/>
      <w:szCs w:val="22"/>
    </w:rPr>
  </w:style>
  <w:style w:type="paragraph" w:styleId="1008">
    <w:name w:val="索引 8"/>
    <w:basedOn w:val="989"/>
    <w:next w:val="989"/>
    <w:link w:val="989"/>
    <w:pPr>
      <w:ind w:left="1400"/>
    </w:pPr>
    <w:rPr>
      <w:rFonts w:ascii="Calibri" w:hAnsi="Calibri"/>
      <w:szCs w:val="22"/>
    </w:rPr>
  </w:style>
  <w:style w:type="paragraph" w:styleId="1009">
    <w:name w:val="列表编号"/>
    <w:basedOn w:val="989"/>
    <w:next w:val="1009"/>
    <w:link w:val="989"/>
    <w:pPr>
      <w:spacing w:line="360" w:lineRule="auto"/>
      <w:tabs>
        <w:tab w:val="left" w:pos="0" w:leader="none"/>
        <w:tab w:val="left" w:pos="840" w:leader="none"/>
      </w:tabs>
    </w:pPr>
  </w:style>
  <w:style w:type="paragraph" w:styleId="1010">
    <w:name w:val="题注"/>
    <w:basedOn w:val="989"/>
    <w:next w:val="989"/>
    <w:link w:val="1011"/>
    <w:qFormat/>
    <w:pPr>
      <w:spacing w:line="360" w:lineRule="auto"/>
      <w:tabs>
        <w:tab w:val="left" w:pos="0" w:leader="none"/>
      </w:tabs>
    </w:pPr>
    <w:rPr>
      <w:rFonts w:ascii="Arial" w:hAnsi="Arial" w:eastAsia="黑体"/>
      <w:sz w:val="20"/>
      <w:szCs w:val="20"/>
    </w:rPr>
  </w:style>
  <w:style w:type="character" w:styleId="1011">
    <w:name w:val="题注 字符"/>
    <w:next w:val="1011"/>
    <w:link w:val="1010"/>
    <w:rPr>
      <w:rFonts w:ascii="Arial" w:hAnsi="Arial" w:eastAsia="黑体" w:cs="Arial"/>
    </w:rPr>
  </w:style>
  <w:style w:type="paragraph" w:styleId="1012">
    <w:name w:val="索引 5"/>
    <w:basedOn w:val="989"/>
    <w:next w:val="989"/>
    <w:link w:val="989"/>
    <w:pPr>
      <w:ind w:left="800"/>
    </w:pPr>
    <w:rPr>
      <w:rFonts w:ascii="Calibri" w:hAnsi="Calibri"/>
      <w:szCs w:val="22"/>
    </w:rPr>
  </w:style>
  <w:style w:type="paragraph" w:styleId="1013">
    <w:name w:val="列表项目符号"/>
    <w:basedOn w:val="989"/>
    <w:next w:val="1013"/>
    <w:link w:val="989"/>
    <w:pPr>
      <w:ind w:left="962" w:hanging="480"/>
      <w:spacing w:line="360" w:lineRule="auto"/>
      <w:tabs>
        <w:tab w:val="left" w:pos="840" w:leader="none"/>
      </w:tabs>
    </w:pPr>
    <w:rPr>
      <w:sz w:val="24"/>
    </w:rPr>
  </w:style>
  <w:style w:type="paragraph" w:styleId="1014">
    <w:name w:val="文档结构图"/>
    <w:basedOn w:val="989"/>
    <w:next w:val="1014"/>
    <w:link w:val="989"/>
    <w:pPr>
      <w:shd w:val="clear" w:color="auto" w:fill="000080"/>
    </w:pPr>
  </w:style>
  <w:style w:type="paragraph" w:styleId="1015">
    <w:name w:val="引文目录标题"/>
    <w:basedOn w:val="989"/>
    <w:next w:val="989"/>
    <w:link w:val="989"/>
    <w:uiPriority w:val="99"/>
    <w:qFormat/>
    <w:pPr>
      <w:spacing w:before="120"/>
    </w:pPr>
    <w:rPr>
      <w:rFonts w:ascii="Calibri Light" w:hAnsi="Calibri Light"/>
      <w:sz w:val="24"/>
    </w:rPr>
  </w:style>
  <w:style w:type="paragraph" w:styleId="1016">
    <w:name w:val="批注文字"/>
    <w:basedOn w:val="989"/>
    <w:next w:val="1016"/>
    <w:link w:val="1017"/>
    <w:uiPriority w:val="99"/>
    <w:pPr>
      <w:jc w:val="left"/>
    </w:pPr>
    <w:rPr>
      <w:szCs w:val="20"/>
    </w:rPr>
  </w:style>
  <w:style w:type="character" w:styleId="1017">
    <w:name w:val="批注文字 字符"/>
    <w:next w:val="1017"/>
    <w:link w:val="1016"/>
    <w:uiPriority w:val="99"/>
    <w:rPr>
      <w:rFonts w:ascii="Calibri" w:hAnsi="Calibri" w:eastAsia="宋体" w:cs="Times New Roman"/>
      <w:sz w:val="21"/>
    </w:rPr>
  </w:style>
  <w:style w:type="paragraph" w:styleId="1018">
    <w:name w:val="索引 6"/>
    <w:basedOn w:val="989"/>
    <w:next w:val="989"/>
    <w:link w:val="989"/>
    <w:pPr>
      <w:ind w:left="1000"/>
    </w:pPr>
    <w:rPr>
      <w:rFonts w:ascii="Calibri" w:hAnsi="Calibri"/>
      <w:szCs w:val="22"/>
    </w:rPr>
  </w:style>
  <w:style w:type="paragraph" w:styleId="1019">
    <w:name w:val="正文文本 3"/>
    <w:basedOn w:val="989"/>
    <w:next w:val="1019"/>
    <w:link w:val="989"/>
    <w:rPr>
      <w:color w:val="000000"/>
    </w:rPr>
  </w:style>
  <w:style w:type="paragraph" w:styleId="1020">
    <w:name w:val="列表项目符号 3"/>
    <w:basedOn w:val="989"/>
    <w:next w:val="1020"/>
    <w:link w:val="989"/>
    <w:pPr>
      <w:ind w:left="1200" w:hanging="360"/>
      <w:spacing w:line="380" w:lineRule="exact"/>
      <w:tabs>
        <w:tab w:val="left" w:pos="1200" w:leader="none"/>
      </w:tabs>
    </w:pPr>
    <w:rPr>
      <w:rFonts w:ascii="Calibri" w:hAnsi="Calibri"/>
      <w:sz w:val="28"/>
      <w:szCs w:val="22"/>
    </w:rPr>
  </w:style>
  <w:style w:type="paragraph" w:styleId="1021">
    <w:name w:val="正文文本"/>
    <w:basedOn w:val="989"/>
    <w:next w:val="1021"/>
    <w:link w:val="989"/>
    <w:pPr>
      <w:spacing w:line="60" w:lineRule="auto"/>
    </w:pPr>
    <w:rPr>
      <w:rFonts w:ascii="仿宋_GB2312" w:eastAsia="仿宋_GB2312"/>
      <w:sz w:val="32"/>
    </w:rPr>
  </w:style>
  <w:style w:type="paragraph" w:styleId="1022">
    <w:name w:val="正文文本缩进"/>
    <w:basedOn w:val="989"/>
    <w:next w:val="1022"/>
    <w:link w:val="989"/>
    <w:pPr>
      <w:ind w:firstLine="225"/>
    </w:pPr>
    <w:rPr>
      <w:rFonts w:ascii="仿宋_GB2312" w:eastAsia="仿宋_GB2312"/>
      <w:sz w:val="32"/>
    </w:rPr>
  </w:style>
  <w:style w:type="paragraph" w:styleId="1023">
    <w:name w:val="文本块"/>
    <w:basedOn w:val="989"/>
    <w:next w:val="1023"/>
    <w:link w:val="989"/>
    <w:pPr>
      <w:ind w:left="1548" w:right="12" w:hanging="2405"/>
      <w:spacing w:line="360" w:lineRule="exact"/>
    </w:pPr>
    <w:rPr>
      <w:rFonts w:ascii="宋体"/>
      <w:bCs/>
      <w:sz w:val="28"/>
      <w:szCs w:val="22"/>
    </w:rPr>
  </w:style>
  <w:style w:type="paragraph" w:styleId="1024">
    <w:name w:val="列表项目符号 2"/>
    <w:basedOn w:val="989"/>
    <w:next w:val="1024"/>
    <w:link w:val="989"/>
    <w:pPr>
      <w:ind w:left="720" w:hanging="360"/>
      <w:spacing w:line="360" w:lineRule="auto"/>
      <w:tabs>
        <w:tab w:val="left" w:pos="720" w:leader="none"/>
      </w:tabs>
    </w:pPr>
    <w:rPr>
      <w:sz w:val="24"/>
    </w:rPr>
  </w:style>
  <w:style w:type="paragraph" w:styleId="1025">
    <w:name w:val="HTML 地址"/>
    <w:basedOn w:val="989"/>
    <w:next w:val="1025"/>
    <w:link w:val="989"/>
    <w:rPr>
      <w:i/>
      <w:iCs/>
    </w:rPr>
  </w:style>
  <w:style w:type="paragraph" w:styleId="1026">
    <w:name w:val="索引 4"/>
    <w:basedOn w:val="989"/>
    <w:next w:val="989"/>
    <w:link w:val="989"/>
    <w:pPr>
      <w:ind w:left="600"/>
    </w:pPr>
    <w:rPr>
      <w:rFonts w:ascii="Calibri" w:hAnsi="Calibri"/>
      <w:szCs w:val="22"/>
    </w:rPr>
  </w:style>
  <w:style w:type="paragraph" w:styleId="1027">
    <w:name w:val="目录 5"/>
    <w:basedOn w:val="989"/>
    <w:next w:val="989"/>
    <w:link w:val="989"/>
    <w:pPr>
      <w:ind w:left="840"/>
      <w:jc w:val="left"/>
    </w:pPr>
    <w:rPr>
      <w:rFonts w:ascii="Calibri" w:hAnsi="Calibri" w:cs="Calibri"/>
      <w:sz w:val="18"/>
      <w:szCs w:val="18"/>
    </w:rPr>
  </w:style>
  <w:style w:type="paragraph" w:styleId="1028">
    <w:name w:val="目录 3"/>
    <w:basedOn w:val="989"/>
    <w:next w:val="989"/>
    <w:link w:val="989"/>
    <w:uiPriority w:val="39"/>
    <w:qFormat/>
    <w:pPr>
      <w:ind w:left="420"/>
      <w:jc w:val="left"/>
    </w:pPr>
    <w:rPr>
      <w:rFonts w:ascii="Calibri" w:hAnsi="Calibri" w:cs="Calibri"/>
      <w:i/>
      <w:iCs/>
      <w:sz w:val="20"/>
      <w:szCs w:val="20"/>
    </w:rPr>
  </w:style>
  <w:style w:type="paragraph" w:styleId="1029">
    <w:name w:val="纯文本"/>
    <w:basedOn w:val="989"/>
    <w:next w:val="1029"/>
    <w:link w:val="989"/>
    <w:rPr>
      <w:rFonts w:ascii="宋体"/>
      <w:szCs w:val="21"/>
    </w:rPr>
  </w:style>
  <w:style w:type="paragraph" w:styleId="1030">
    <w:name w:val="列表项目符号 5"/>
    <w:basedOn w:val="989"/>
    <w:next w:val="1030"/>
    <w:link w:val="989"/>
    <w:pPr>
      <w:ind w:left="720" w:hanging="360"/>
      <w:spacing w:line="380" w:lineRule="exact"/>
      <w:tabs>
        <w:tab w:val="left" w:pos="720" w:leader="none"/>
      </w:tabs>
    </w:pPr>
    <w:rPr>
      <w:rFonts w:ascii="Calibri" w:hAnsi="Calibri"/>
      <w:sz w:val="28"/>
      <w:szCs w:val="22"/>
    </w:rPr>
  </w:style>
  <w:style w:type="paragraph" w:styleId="1031">
    <w:name w:val="目录 8"/>
    <w:basedOn w:val="989"/>
    <w:next w:val="989"/>
    <w:link w:val="989"/>
    <w:pPr>
      <w:ind w:left="1470"/>
      <w:jc w:val="left"/>
    </w:pPr>
    <w:rPr>
      <w:rFonts w:ascii="Calibri" w:hAnsi="Calibri" w:cs="Calibri"/>
      <w:sz w:val="18"/>
      <w:szCs w:val="18"/>
    </w:rPr>
  </w:style>
  <w:style w:type="paragraph" w:styleId="1032">
    <w:name w:val="索引 3"/>
    <w:basedOn w:val="989"/>
    <w:next w:val="989"/>
    <w:link w:val="989"/>
    <w:pPr>
      <w:ind w:left="400"/>
    </w:pPr>
    <w:rPr>
      <w:rFonts w:ascii="Calibri" w:hAnsi="Calibri"/>
      <w:szCs w:val="22"/>
    </w:rPr>
  </w:style>
  <w:style w:type="paragraph" w:styleId="1033">
    <w:name w:val="日期"/>
    <w:basedOn w:val="989"/>
    <w:next w:val="989"/>
    <w:link w:val="989"/>
    <w:pPr>
      <w:ind w:left="2500"/>
    </w:pPr>
  </w:style>
  <w:style w:type="paragraph" w:styleId="1034">
    <w:name w:val="正文文本缩进 2"/>
    <w:basedOn w:val="989"/>
    <w:next w:val="1034"/>
    <w:link w:val="989"/>
    <w:pPr>
      <w:ind w:firstLine="225"/>
      <w:jc w:val="left"/>
      <w:spacing w:line="540" w:lineRule="exact"/>
    </w:pPr>
    <w:rPr>
      <w:rFonts w:ascii="仿宋_GB2312" w:eastAsia="仿宋_GB2312"/>
      <w:sz w:val="32"/>
    </w:rPr>
  </w:style>
  <w:style w:type="paragraph" w:styleId="1035">
    <w:name w:val="尾注文本"/>
    <w:basedOn w:val="989"/>
    <w:next w:val="1035"/>
    <w:link w:val="989"/>
    <w:pPr>
      <w:jc w:val="left"/>
      <w:widowControl/>
    </w:pPr>
    <w:rPr>
      <w:rFonts w:ascii="宋体"/>
      <w:bCs/>
      <w:szCs w:val="21"/>
    </w:rPr>
  </w:style>
  <w:style w:type="paragraph" w:styleId="1036">
    <w:name w:val="批注框文本"/>
    <w:basedOn w:val="989"/>
    <w:next w:val="1036"/>
    <w:link w:val="989"/>
    <w:rPr>
      <w:sz w:val="18"/>
      <w:szCs w:val="20"/>
    </w:rPr>
  </w:style>
  <w:style w:type="paragraph" w:styleId="1037">
    <w:name w:val="页脚"/>
    <w:basedOn w:val="989"/>
    <w:next w:val="1037"/>
    <w:link w:val="1038"/>
    <w:uiPriority w:val="99"/>
    <w:pPr>
      <w:jc w:val="left"/>
      <w:tabs>
        <w:tab w:val="center" w:pos="4153" w:leader="none"/>
        <w:tab w:val="right" w:pos="8306" w:leader="none"/>
      </w:tabs>
    </w:pPr>
    <w:rPr>
      <w:sz w:val="18"/>
      <w:szCs w:val="18"/>
    </w:rPr>
  </w:style>
  <w:style w:type="character" w:styleId="1038">
    <w:name w:val="页脚 字符"/>
    <w:next w:val="1038"/>
    <w:link w:val="1037"/>
    <w:uiPriority w:val="99"/>
    <w:rPr>
      <w:rFonts w:ascii="Calibri" w:hAnsi="Calibri" w:eastAsia="宋体" w:cs="Times New Roman"/>
      <w:sz w:val="18"/>
      <w:szCs w:val="18"/>
    </w:rPr>
  </w:style>
  <w:style w:type="paragraph" w:styleId="1039">
    <w:name w:val="页眉"/>
    <w:basedOn w:val="989"/>
    <w:next w:val="1039"/>
    <w:link w:val="989"/>
    <w:pPr>
      <w:jc w:val="center"/>
      <w:tabs>
        <w:tab w:val="center" w:pos="4153" w:leader="none"/>
        <w:tab w:val="right" w:pos="8306" w:leader="none"/>
      </w:tabs>
      <w:pBdr>
        <w:bottom w:val="single" w:color="000000" w:sz="6" w:space="1"/>
      </w:pBdr>
    </w:pPr>
    <w:rPr>
      <w:sz w:val="18"/>
      <w:szCs w:val="18"/>
    </w:rPr>
  </w:style>
  <w:style w:type="paragraph" w:styleId="1040">
    <w:name w:val="目录 1"/>
    <w:basedOn w:val="989"/>
    <w:next w:val="989"/>
    <w:link w:val="989"/>
    <w:uiPriority w:val="39"/>
    <w:qFormat/>
    <w:pPr>
      <w:jc w:val="left"/>
      <w:spacing w:before="120" w:after="120"/>
    </w:pPr>
    <w:rPr>
      <w:rFonts w:ascii="Calibri" w:hAnsi="Calibri" w:cs="Calibri"/>
      <w:b/>
      <w:bCs/>
      <w:caps/>
      <w:sz w:val="20"/>
      <w:szCs w:val="20"/>
    </w:rPr>
  </w:style>
  <w:style w:type="paragraph" w:styleId="1041">
    <w:name w:val="目录 4"/>
    <w:basedOn w:val="989"/>
    <w:next w:val="989"/>
    <w:link w:val="989"/>
    <w:pPr>
      <w:ind w:left="630"/>
      <w:jc w:val="left"/>
    </w:pPr>
    <w:rPr>
      <w:rFonts w:ascii="Calibri" w:hAnsi="Calibri" w:cs="Calibri"/>
      <w:sz w:val="18"/>
      <w:szCs w:val="18"/>
    </w:rPr>
  </w:style>
  <w:style w:type="paragraph" w:styleId="1042">
    <w:name w:val="索引标题"/>
    <w:basedOn w:val="989"/>
    <w:next w:val="1043"/>
    <w:link w:val="989"/>
    <w:rPr>
      <w:rFonts w:ascii="Calibri" w:hAnsi="Calibri"/>
      <w:szCs w:val="22"/>
    </w:rPr>
  </w:style>
  <w:style w:type="paragraph" w:styleId="1043">
    <w:name w:val="索引 1"/>
    <w:basedOn w:val="989"/>
    <w:next w:val="989"/>
    <w:link w:val="989"/>
    <w:rPr>
      <w:rFonts w:ascii="Calibri" w:hAnsi="Calibri"/>
      <w:szCs w:val="22"/>
    </w:rPr>
  </w:style>
  <w:style w:type="paragraph" w:styleId="1044">
    <w:name w:val="脚注文本"/>
    <w:basedOn w:val="989"/>
    <w:next w:val="1044"/>
    <w:link w:val="989"/>
    <w:pPr>
      <w:jc w:val="left"/>
    </w:pPr>
    <w:rPr>
      <w:rFonts w:ascii="宋体"/>
      <w:bCs/>
      <w:sz w:val="18"/>
      <w:szCs w:val="18"/>
    </w:rPr>
  </w:style>
  <w:style w:type="paragraph" w:styleId="1045">
    <w:name w:val="目录 6"/>
    <w:basedOn w:val="989"/>
    <w:next w:val="989"/>
    <w:link w:val="989"/>
    <w:pPr>
      <w:ind w:left="1050"/>
      <w:jc w:val="left"/>
    </w:pPr>
    <w:rPr>
      <w:rFonts w:ascii="Calibri" w:hAnsi="Calibri" w:cs="Calibri"/>
      <w:sz w:val="18"/>
      <w:szCs w:val="18"/>
    </w:rPr>
  </w:style>
  <w:style w:type="paragraph" w:styleId="1046">
    <w:name w:val="正文文本缩进 3"/>
    <w:basedOn w:val="989"/>
    <w:next w:val="1046"/>
    <w:link w:val="989"/>
    <w:pPr>
      <w:ind w:firstLine="213"/>
    </w:pPr>
    <w:rPr>
      <w:rFonts w:ascii="仿宋_GB2312" w:eastAsia="仿宋_GB2312"/>
      <w:sz w:val="30"/>
    </w:rPr>
  </w:style>
  <w:style w:type="paragraph" w:styleId="1047">
    <w:name w:val="索引 7"/>
    <w:basedOn w:val="989"/>
    <w:next w:val="989"/>
    <w:link w:val="989"/>
    <w:pPr>
      <w:ind w:left="1200"/>
    </w:pPr>
    <w:rPr>
      <w:rFonts w:ascii="Calibri" w:hAnsi="Calibri"/>
      <w:szCs w:val="22"/>
    </w:rPr>
  </w:style>
  <w:style w:type="paragraph" w:styleId="1048">
    <w:name w:val="索引 9"/>
    <w:basedOn w:val="989"/>
    <w:next w:val="989"/>
    <w:link w:val="989"/>
    <w:pPr>
      <w:ind w:left="1600"/>
    </w:pPr>
    <w:rPr>
      <w:rFonts w:ascii="Calibri" w:hAnsi="Calibri"/>
      <w:szCs w:val="22"/>
    </w:rPr>
  </w:style>
  <w:style w:type="paragraph" w:styleId="1049">
    <w:name w:val="图表目录"/>
    <w:basedOn w:val="989"/>
    <w:next w:val="989"/>
    <w:link w:val="989"/>
    <w:pPr>
      <w:ind w:left="400" w:hanging="200"/>
      <w:jc w:val="left"/>
      <w:widowControl/>
    </w:pPr>
    <w:rPr>
      <w:rFonts w:ascii="宋体"/>
      <w:bCs/>
      <w:szCs w:val="21"/>
    </w:rPr>
  </w:style>
  <w:style w:type="paragraph" w:styleId="1050">
    <w:name w:val="目录 2"/>
    <w:basedOn w:val="989"/>
    <w:next w:val="989"/>
    <w:link w:val="989"/>
    <w:uiPriority w:val="39"/>
    <w:qFormat/>
    <w:pPr>
      <w:ind w:left="210"/>
      <w:jc w:val="left"/>
    </w:pPr>
    <w:rPr>
      <w:rFonts w:ascii="Calibri" w:hAnsi="Calibri" w:cs="Calibri"/>
      <w:smallCaps/>
      <w:sz w:val="20"/>
      <w:szCs w:val="20"/>
    </w:rPr>
  </w:style>
  <w:style w:type="paragraph" w:styleId="1051">
    <w:name w:val="目录 9"/>
    <w:basedOn w:val="989"/>
    <w:next w:val="989"/>
    <w:link w:val="989"/>
    <w:pPr>
      <w:ind w:left="1680"/>
      <w:jc w:val="left"/>
    </w:pPr>
    <w:rPr>
      <w:rFonts w:ascii="Calibri" w:hAnsi="Calibri" w:cs="Calibri"/>
      <w:sz w:val="18"/>
      <w:szCs w:val="18"/>
    </w:rPr>
  </w:style>
  <w:style w:type="paragraph" w:styleId="1052">
    <w:name w:val="正文文本 2"/>
    <w:basedOn w:val="989"/>
    <w:next w:val="1052"/>
    <w:link w:val="989"/>
    <w:pPr>
      <w:spacing w:line="560" w:lineRule="exact"/>
    </w:pPr>
    <w:rPr>
      <w:rFonts w:ascii="仿宋_GB2312" w:eastAsia="仿宋_GB2312"/>
      <w:sz w:val="28"/>
      <w:szCs w:val="30"/>
    </w:rPr>
  </w:style>
  <w:style w:type="paragraph" w:styleId="1053">
    <w:name w:val="列表接续 2"/>
    <w:basedOn w:val="989"/>
    <w:next w:val="1053"/>
    <w:link w:val="989"/>
    <w:pPr>
      <w:ind w:left="840"/>
      <w:spacing w:after="120"/>
    </w:pPr>
  </w:style>
  <w:style w:type="paragraph" w:styleId="1054">
    <w:name w:val="HTML 预设格式"/>
    <w:basedOn w:val="989"/>
    <w:next w:val="1054"/>
    <w:link w:val="98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1055">
    <w:name w:val="普通(网站)"/>
    <w:basedOn w:val="989"/>
    <w:next w:val="1055"/>
    <w:link w:val="989"/>
    <w:uiPriority w:val="99"/>
    <w:qFormat/>
    <w:pPr>
      <w:jc w:val="left"/>
      <w:spacing w:before="100" w:beforeAutospacing="1" w:after="100" w:afterAutospacing="1"/>
      <w:widowControl/>
    </w:pPr>
    <w:rPr>
      <w:rFonts w:ascii="宋体"/>
      <w:sz w:val="24"/>
      <w:szCs w:val="20"/>
    </w:rPr>
  </w:style>
  <w:style w:type="paragraph" w:styleId="1056">
    <w:name w:val="索引 2"/>
    <w:basedOn w:val="989"/>
    <w:next w:val="989"/>
    <w:link w:val="989"/>
    <w:pPr>
      <w:ind w:left="200"/>
    </w:pPr>
    <w:rPr>
      <w:rFonts w:ascii="Calibri" w:hAnsi="Calibri"/>
      <w:szCs w:val="22"/>
    </w:rPr>
  </w:style>
  <w:style w:type="paragraph" w:styleId="1057">
    <w:name w:val="标题"/>
    <w:basedOn w:val="989"/>
    <w:next w:val="1057"/>
    <w:link w:val="989"/>
    <w:qFormat/>
    <w:pPr>
      <w:jc w:val="center"/>
      <w:spacing w:before="240" w:after="60"/>
      <w:outlineLvl w:val="0"/>
    </w:pPr>
    <w:rPr>
      <w:rFonts w:ascii="Cambria" w:hAnsi="Cambria"/>
      <w:b/>
      <w:bCs/>
      <w:sz w:val="32"/>
      <w:szCs w:val="32"/>
    </w:rPr>
  </w:style>
  <w:style w:type="paragraph" w:styleId="1058">
    <w:name w:val="批注主题"/>
    <w:basedOn w:val="1016"/>
    <w:next w:val="1016"/>
    <w:link w:val="989"/>
    <w:rPr>
      <w:b/>
    </w:rPr>
  </w:style>
  <w:style w:type="paragraph" w:styleId="1059">
    <w:name w:val="正文首行缩进"/>
    <w:basedOn w:val="1021"/>
    <w:next w:val="1059"/>
    <w:link w:val="989"/>
    <w:pPr>
      <w:ind w:firstLine="100"/>
      <w:spacing w:after="120" w:line="240" w:lineRule="auto"/>
    </w:pPr>
    <w:rPr>
      <w:rFonts w:ascii="Times New Roman" w:hAnsi="Times New Roman" w:eastAsia="宋体"/>
      <w:sz w:val="21"/>
    </w:rPr>
  </w:style>
  <w:style w:type="paragraph" w:styleId="1060">
    <w:name w:val="正文首行缩进 2"/>
    <w:basedOn w:val="1022"/>
    <w:next w:val="1060"/>
    <w:link w:val="1061"/>
    <w:pPr>
      <w:ind w:left="200" w:firstLine="200"/>
      <w:spacing w:after="120"/>
    </w:pPr>
    <w:rPr>
      <w:rFonts w:ascii="Times New Roman" w:hAnsi="Times New Roman"/>
      <w:sz w:val="24"/>
      <w:szCs w:val="24"/>
    </w:rPr>
  </w:style>
  <w:style w:type="character" w:styleId="1061">
    <w:name w:val="正文文本首行缩进 2 字符"/>
    <w:next w:val="1061"/>
    <w:link w:val="1060"/>
    <w:rPr>
      <w:rFonts w:eastAsia="仿宋_GB2312"/>
      <w:sz w:val="24"/>
      <w:szCs w:val="24"/>
      <w:lang w:bidi="ar-SA"/>
    </w:rPr>
  </w:style>
  <w:style w:type="table" w:styleId="1062">
    <w:name w:val="网格型"/>
    <w:basedOn w:val="1000"/>
    <w:next w:val="1062"/>
    <w:link w:val="989"/>
    <w:tblPr/>
  </w:style>
  <w:style w:type="character" w:styleId="1063">
    <w:name w:val="要点"/>
    <w:next w:val="1063"/>
    <w:link w:val="989"/>
    <w:qFormat/>
    <w:rPr>
      <w:b/>
    </w:rPr>
  </w:style>
  <w:style w:type="character" w:styleId="1064">
    <w:name w:val="尾注引用"/>
    <w:next w:val="1064"/>
    <w:link w:val="989"/>
    <w:rPr>
      <w:vertAlign w:val="superscript"/>
    </w:rPr>
  </w:style>
  <w:style w:type="character" w:styleId="1065">
    <w:name w:val="页码"/>
    <w:next w:val="1065"/>
    <w:link w:val="989"/>
  </w:style>
  <w:style w:type="character" w:styleId="1066">
    <w:name w:val="已访问的超链接"/>
    <w:next w:val="1066"/>
    <w:link w:val="989"/>
    <w:rPr>
      <w:color w:val="800080"/>
      <w:u w:val="single"/>
    </w:rPr>
  </w:style>
  <w:style w:type="character" w:styleId="1067">
    <w:name w:val="强调"/>
    <w:next w:val="1067"/>
    <w:link w:val="989"/>
    <w:qFormat/>
    <w:rPr>
      <w:color w:val="cc0033"/>
    </w:rPr>
  </w:style>
  <w:style w:type="character" w:styleId="1068">
    <w:name w:val="HTML 打字机"/>
    <w:next w:val="1068"/>
    <w:link w:val="989"/>
    <w:rPr>
      <w:rFonts w:ascii="宋体" w:eastAsia="宋体" w:cs="宋体"/>
      <w:sz w:val="24"/>
      <w:szCs w:val="24"/>
      <w:lang w:bidi="ar-SA"/>
    </w:rPr>
  </w:style>
  <w:style w:type="character" w:styleId="1069">
    <w:name w:val="超链接"/>
    <w:next w:val="1069"/>
    <w:link w:val="989"/>
    <w:uiPriority w:val="99"/>
    <w:rPr>
      <w:color w:val="0000ff"/>
      <w:u w:val="single"/>
    </w:rPr>
  </w:style>
  <w:style w:type="character" w:styleId="1070">
    <w:name w:val="批注引用"/>
    <w:next w:val="1070"/>
    <w:link w:val="989"/>
    <w:rPr>
      <w:sz w:val="21"/>
    </w:rPr>
  </w:style>
  <w:style w:type="character" w:styleId="1071">
    <w:name w:val="脚注引用"/>
    <w:next w:val="1071"/>
    <w:link w:val="989"/>
    <w:rPr>
      <w:vertAlign w:val="superscript"/>
    </w:rPr>
  </w:style>
  <w:style w:type="character" w:styleId="1072">
    <w:name w:val="默认段落字体1"/>
    <w:next w:val="1072"/>
    <w:link w:val="989"/>
    <w:uiPriority w:val="1"/>
    <w:unhideWhenUsed/>
    <w:qFormat/>
    <w:rPr>
      <w:rFonts w:ascii="Calibri" w:hAnsi="Calibri"/>
      <w:sz w:val="21"/>
      <w:szCs w:val="22"/>
      <w:lang w:val="en-US" w:eastAsia="zh-CN" w:bidi="ar-SA"/>
    </w:rPr>
  </w:style>
  <w:style w:type="paragraph" w:styleId="1073">
    <w:name w:val="正文（标记）"/>
    <w:basedOn w:val="989"/>
    <w:next w:val="1073"/>
    <w:link w:val="1074"/>
    <w:pPr>
      <w:spacing w:before="50" w:after="50"/>
      <w:tabs>
        <w:tab w:val="left" w:pos="0" w:leader="none"/>
        <w:tab w:val="left" w:pos="840" w:leader="none"/>
      </w:tabs>
    </w:pPr>
    <w:rPr>
      <w:rFonts w:ascii="Times New Roman" w:hAnsi="Times New Roman"/>
      <w:sz w:val="24"/>
      <w:szCs w:val="24"/>
    </w:rPr>
  </w:style>
  <w:style w:type="character" w:styleId="1074">
    <w:name w:val="正文（标记） Char2"/>
    <w:next w:val="1074"/>
    <w:link w:val="1073"/>
    <w:rPr>
      <w:sz w:val="24"/>
      <w:szCs w:val="24"/>
    </w:rPr>
  </w:style>
  <w:style w:type="character" w:styleId="1075">
    <w:name w:val="Char Char2"/>
    <w:next w:val="1075"/>
    <w:link w:val="989"/>
    <w:rPr>
      <w:sz w:val="18"/>
      <w:szCs w:val="18"/>
    </w:rPr>
  </w:style>
  <w:style w:type="character" w:styleId="1076">
    <w:name w:val="maywed421"/>
    <w:next w:val="1076"/>
    <w:link w:val="989"/>
    <w:rPr>
      <w:color w:val="366fb6"/>
      <w:u w:val="none"/>
    </w:rPr>
  </w:style>
  <w:style w:type="paragraph" w:styleId="1077">
    <w:name w:val="编号2"/>
    <w:next w:val="1077"/>
    <w:link w:val="989"/>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078">
    <w:name w:val="一级缩进"/>
    <w:next w:val="1078"/>
    <w:link w:val="989"/>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079">
    <w:name w:val="Comment Text Char"/>
    <w:next w:val="1079"/>
    <w:link w:val="989"/>
    <w:rPr>
      <w:rFonts w:cs="Times New Roman"/>
      <w:sz w:val="21"/>
      <w:szCs w:val="21"/>
      <w:lang w:bidi="ar-SA"/>
    </w:rPr>
  </w:style>
  <w:style w:type="character" w:styleId="1080">
    <w:name w:val="Footer Char"/>
    <w:next w:val="1080"/>
    <w:link w:val="989"/>
    <w:rPr>
      <w:rFonts w:eastAsia="宋体"/>
      <w:sz w:val="18"/>
      <w:lang w:val="en-US" w:eastAsia="zh-CN"/>
    </w:rPr>
  </w:style>
  <w:style w:type="character" w:styleId="1081">
    <w:name w:val="ca-41"/>
    <w:next w:val="1081"/>
    <w:link w:val="989"/>
    <w:rPr>
      <w:rFonts w:ascii="宋体" w:eastAsia="宋体"/>
      <w:b/>
      <w:bCs/>
      <w:color w:val="000000"/>
      <w:spacing w:val="-20"/>
      <w:sz w:val="21"/>
      <w:szCs w:val="21"/>
    </w:rPr>
  </w:style>
  <w:style w:type="character" w:styleId="1082">
    <w:name w:val="ca-1"/>
    <w:next w:val="1082"/>
    <w:link w:val="989"/>
  </w:style>
  <w:style w:type="character" w:styleId="1083">
    <w:name w:val="Plain Text Char"/>
    <w:next w:val="1083"/>
    <w:link w:val="989"/>
    <w:rPr>
      <w:rFonts w:ascii="宋体" w:eastAsia="宋体"/>
      <w:sz w:val="21"/>
      <w:lang w:val="en-US" w:eastAsia="zh-CN"/>
    </w:rPr>
  </w:style>
  <w:style w:type="character" w:styleId="1084">
    <w:name w:val="Header Char"/>
    <w:next w:val="1084"/>
    <w:link w:val="989"/>
    <w:rPr>
      <w:rFonts w:eastAsia="宋体"/>
      <w:sz w:val="18"/>
      <w:lang w:val="en-US" w:eastAsia="zh-CN"/>
    </w:rPr>
  </w:style>
  <w:style w:type="character" w:styleId="1085">
    <w:name w:val="marklong"/>
    <w:next w:val="1085"/>
    <w:link w:val="989"/>
  </w:style>
  <w:style w:type="character" w:styleId="1086">
    <w:name w:val="普通文字1 Char,普通文字11 Char,普通文字2 Char,普通文字21 Char,普通文字3 Char,普通文字31 Char,普通文字4 Char,普通文字41 Char,普通文字5 Char,普通文字6 Char,普通文字7 Char Char"/>
    <w:next w:val="1086"/>
    <w:link w:val="989"/>
    <w:rPr>
      <w:rFonts w:ascii="宋体" w:eastAsia="宋体" w:cs="Courier New"/>
      <w:sz w:val="21"/>
      <w:szCs w:val="21"/>
      <w:lang w:val="en-US" w:eastAsia="zh-CN" w:bidi="ar-SA"/>
    </w:rPr>
  </w:style>
  <w:style w:type="character" w:styleId="1087">
    <w:name w:val="ca-21"/>
    <w:next w:val="1087"/>
    <w:link w:val="989"/>
    <w:rPr>
      <w:rFonts w:ascii="宋体" w:eastAsia="宋体"/>
      <w:sz w:val="21"/>
    </w:rPr>
  </w:style>
  <w:style w:type="paragraph" w:styleId="1088">
    <w:name w:val="正文（缩进）"/>
    <w:basedOn w:val="989"/>
    <w:next w:val="1088"/>
    <w:link w:val="989"/>
    <w:pPr>
      <w:ind w:firstLine="200"/>
      <w:spacing w:before="50" w:after="50" w:line="360" w:lineRule="auto"/>
    </w:pPr>
    <w:rPr>
      <w:sz w:val="24"/>
    </w:rPr>
  </w:style>
  <w:style w:type="character" w:styleId="1089">
    <w:name w:val="Heading 3 Char"/>
    <w:next w:val="1089"/>
    <w:link w:val="989"/>
    <w:rPr>
      <w:rFonts w:cs="Times New Roman"/>
      <w:b/>
      <w:bCs/>
      <w:sz w:val="32"/>
      <w:szCs w:val="32"/>
      <w:lang w:bidi="ar-SA"/>
    </w:rPr>
  </w:style>
  <w:style w:type="character" w:styleId="1090">
    <w:name w:val="z12 style23"/>
    <w:next w:val="1090"/>
    <w:link w:val="989"/>
  </w:style>
  <w:style w:type="paragraph" w:styleId="1091">
    <w:name w:val="Indent Normal"/>
    <w:basedOn w:val="989"/>
    <w:next w:val="1091"/>
    <w:link w:val="989"/>
    <w:pPr>
      <w:ind w:firstLine="150"/>
    </w:pPr>
    <w:rPr>
      <w:sz w:val="24"/>
      <w:szCs w:val="20"/>
    </w:rPr>
  </w:style>
  <w:style w:type="character" w:styleId="1092">
    <w:name w:val=" Char Char2"/>
    <w:next w:val="1092"/>
    <w:link w:val="989"/>
    <w:rPr>
      <w:sz w:val="18"/>
      <w:szCs w:val="18"/>
    </w:rPr>
  </w:style>
  <w:style w:type="character" w:styleId="1093">
    <w:name w:val="ca-31"/>
    <w:next w:val="1093"/>
    <w:link w:val="989"/>
    <w:rPr>
      <w:rFonts w:ascii="宋体" w:eastAsia="宋体"/>
      <w:color w:val="000000"/>
      <w:sz w:val="21"/>
      <w:szCs w:val="21"/>
    </w:rPr>
  </w:style>
  <w:style w:type="character" w:styleId="1094">
    <w:name w:val="apple-converted-space"/>
    <w:next w:val="1094"/>
    <w:link w:val="989"/>
  </w:style>
  <w:style w:type="character" w:styleId="1095">
    <w:name w:val="Char Char1"/>
    <w:next w:val="1095"/>
    <w:link w:val="989"/>
    <w:rPr>
      <w:rFonts w:ascii="宋体" w:eastAsia="宋体"/>
      <w:sz w:val="21"/>
      <w:lang w:val="en-US" w:eastAsia="zh-CN"/>
    </w:rPr>
  </w:style>
  <w:style w:type="character" w:styleId="1096">
    <w:name w:val="font21"/>
    <w:next w:val="1096"/>
    <w:link w:val="989"/>
    <w:rPr>
      <w:rFonts w:ascii="Times New Roman" w:hAnsi="Times New Roman"/>
      <w:color w:val="000000"/>
      <w:sz w:val="20"/>
      <w:u w:val="none"/>
    </w:rPr>
  </w:style>
  <w:style w:type="character" w:styleId="1097">
    <w:name w:val="ca-01"/>
    <w:next w:val="1097"/>
    <w:link w:val="989"/>
    <w:rPr>
      <w:rFonts w:ascii="宋体" w:eastAsia="宋体"/>
      <w:b/>
      <w:bCs/>
      <w:spacing w:val="-20"/>
      <w:sz w:val="24"/>
      <w:szCs w:val="24"/>
    </w:rPr>
  </w:style>
  <w:style w:type="character" w:styleId="1098">
    <w:name w:val=" Char Char23"/>
    <w:next w:val="1098"/>
    <w:link w:val="989"/>
    <w:rPr>
      <w:sz w:val="24"/>
      <w:szCs w:val="21"/>
      <w:lang w:bidi="ar-SA"/>
    </w:rPr>
  </w:style>
  <w:style w:type="character" w:styleId="1099">
    <w:name w:val="Char Char"/>
    <w:next w:val="1099"/>
    <w:link w:val="989"/>
    <w:rPr>
      <w:rFonts w:eastAsia="宋体"/>
      <w:sz w:val="18"/>
      <w:lang w:val="en-US" w:eastAsia="zh-CN"/>
    </w:rPr>
  </w:style>
  <w:style w:type="character" w:styleId="1100">
    <w:name w:val=" Char Char3"/>
    <w:next w:val="1100"/>
    <w:link w:val="989"/>
    <w:rPr>
      <w:rFonts w:ascii="宋体" w:eastAsia="宋体"/>
      <w:sz w:val="18"/>
      <w:szCs w:val="18"/>
      <w:lang w:val="en-US" w:eastAsia="zh-CN" w:bidi="ar-SA"/>
    </w:rPr>
  </w:style>
  <w:style w:type="paragraph" w:styleId="1101">
    <w:name w:val="段落"/>
    <w:next w:val="1101"/>
    <w:link w:val="989"/>
    <w:pPr>
      <w:ind w:firstLine="420"/>
      <w:jc w:val="both"/>
      <w:spacing w:before="120" w:after="120" w:line="360" w:lineRule="auto"/>
    </w:pPr>
    <w:rPr>
      <w:rFonts w:eastAsia="仿宋_GB2312"/>
      <w:sz w:val="24"/>
      <w:szCs w:val="24"/>
      <w:lang w:val="en-US" w:eastAsia="zh-CN" w:bidi="ar-SA"/>
    </w:rPr>
  </w:style>
  <w:style w:type="character" w:styleId="1102">
    <w:name w:val="Heading 4 Char"/>
    <w:next w:val="1102"/>
    <w:link w:val="989"/>
    <w:rPr>
      <w:rFonts w:ascii="Cambria" w:hAnsi="Cambria" w:eastAsia="宋体" w:cs="Cambria"/>
      <w:b/>
      <w:bCs/>
      <w:sz w:val="28"/>
      <w:szCs w:val="28"/>
      <w:lang w:bidi="ar-SA"/>
    </w:rPr>
  </w:style>
  <w:style w:type="character" w:styleId="1103">
    <w:name w:val="Header Char1"/>
    <w:next w:val="1103"/>
    <w:link w:val="989"/>
    <w:rPr>
      <w:rFonts w:cs="Times New Roman"/>
      <w:sz w:val="18"/>
      <w:szCs w:val="18"/>
      <w:lang w:bidi="ar-SA"/>
    </w:rPr>
  </w:style>
  <w:style w:type="character" w:styleId="1104">
    <w:name w:val="Footer Char1"/>
    <w:next w:val="1104"/>
    <w:link w:val="989"/>
    <w:rPr>
      <w:rFonts w:cs="Times New Roman"/>
      <w:sz w:val="18"/>
      <w:szCs w:val="18"/>
      <w:lang w:bidi="ar-SA"/>
    </w:rPr>
  </w:style>
  <w:style w:type="character" w:styleId="1105">
    <w:name w:val="wj1"/>
    <w:next w:val="1105"/>
    <w:link w:val="989"/>
    <w:rPr>
      <w:color w:val="000000"/>
      <w:sz w:val="18"/>
      <w:szCs w:val="18"/>
      <w:u w:val="none"/>
    </w:rPr>
  </w:style>
  <w:style w:type="character" w:styleId="1106">
    <w:name w:val="ca-11"/>
    <w:next w:val="1106"/>
    <w:link w:val="989"/>
    <w:rPr>
      <w:rFonts w:ascii="宋体" w:eastAsia="宋体"/>
      <w:b/>
      <w:bCs/>
      <w:color w:val="000000"/>
      <w:spacing w:val="-20"/>
      <w:sz w:val="28"/>
      <w:szCs w:val="28"/>
    </w:rPr>
  </w:style>
  <w:style w:type="paragraph" w:styleId="1107">
    <w:name w:val="表格样式居中"/>
    <w:next w:val="1107"/>
    <w:link w:val="989"/>
    <w:pPr>
      <w:jc w:val="center"/>
    </w:pPr>
    <w:rPr>
      <w:rFonts w:eastAsia="仿宋_GB2312"/>
      <w:bCs/>
      <w:sz w:val="21"/>
      <w:szCs w:val="44"/>
      <w:lang w:val="en-US" w:eastAsia="zh-CN" w:bidi="ar-SA"/>
    </w:rPr>
  </w:style>
  <w:style w:type="character" w:styleId="1108">
    <w:name w:val="Plain Text Char1"/>
    <w:next w:val="1108"/>
    <w:link w:val="989"/>
    <w:rPr>
      <w:rFonts w:ascii="宋体" w:eastAsia="宋体"/>
      <w:sz w:val="21"/>
      <w:szCs w:val="21"/>
      <w:lang w:val="en-US" w:eastAsia="zh-CN" w:bidi="ar-SA"/>
    </w:rPr>
  </w:style>
  <w:style w:type="character" w:styleId="1109">
    <w:name w:val="段落 Char"/>
    <w:next w:val="1109"/>
    <w:link w:val="989"/>
    <w:rPr>
      <w:rFonts w:ascii="仿宋_GB2312" w:eastAsia="仿宋_GB2312"/>
      <w:sz w:val="24"/>
      <w:szCs w:val="24"/>
      <w:lang w:val="en-US" w:eastAsia="zh-CN" w:bidi="ar-SA"/>
    </w:rPr>
  </w:style>
  <w:style w:type="character" w:styleId="1110">
    <w:name w:val="Heading 2 Char"/>
    <w:next w:val="1110"/>
    <w:link w:val="989"/>
    <w:rPr>
      <w:rFonts w:ascii="Arial" w:hAnsi="Arial" w:eastAsia="黑体"/>
      <w:b/>
      <w:bCs/>
      <w:sz w:val="32"/>
      <w:szCs w:val="32"/>
      <w:lang w:val="en-US" w:eastAsia="zh-CN" w:bidi="ar-SA"/>
    </w:rPr>
  </w:style>
  <w:style w:type="paragraph" w:styleId="1111">
    <w:name w:val="表格样式居左"/>
    <w:next w:val="1111"/>
    <w:link w:val="989"/>
    <w:pPr>
      <w:jc w:val="both"/>
      <w:spacing w:before="120" w:after="120" w:line="400" w:lineRule="exact"/>
    </w:pPr>
    <w:rPr>
      <w:rFonts w:eastAsia="仿宋_GB2312"/>
      <w:bCs/>
      <w:sz w:val="21"/>
      <w:szCs w:val="21"/>
      <w:lang w:val="en-US" w:eastAsia="zh-CN" w:bidi="ar-SA"/>
    </w:rPr>
  </w:style>
  <w:style w:type="character" w:styleId="1112">
    <w:name w:val="Char Char3"/>
    <w:next w:val="1112"/>
    <w:link w:val="989"/>
    <w:rPr>
      <w:rFonts w:ascii="Arial" w:hAnsi="Arial" w:eastAsia="黑体" w:cs="Times New Roman"/>
      <w:b/>
      <w:bCs/>
      <w:sz w:val="32"/>
      <w:szCs w:val="32"/>
      <w:lang w:val="en-US" w:eastAsia="zh-CN" w:bidi="ar-SA"/>
    </w:rPr>
  </w:style>
  <w:style w:type="paragraph" w:styleId="1113">
    <w:name w:val="正文（黑体）"/>
    <w:basedOn w:val="989"/>
    <w:next w:val="989"/>
    <w:link w:val="989"/>
    <w:pPr>
      <w:ind w:firstLine="200"/>
      <w:spacing w:before="50" w:after="50" w:line="360" w:lineRule="auto"/>
    </w:pPr>
    <w:rPr>
      <w:rFonts w:ascii="黑体" w:eastAsia="黑体"/>
      <w:color w:val="000080"/>
      <w:sz w:val="24"/>
    </w:rPr>
  </w:style>
  <w:style w:type="character" w:styleId="1114">
    <w:name w:val="ca-51"/>
    <w:next w:val="1114"/>
    <w:link w:val="989"/>
    <w:rPr>
      <w:rFonts w:ascii="楷体_GB2312" w:eastAsia="楷体_GB2312"/>
      <w:b/>
      <w:bCs/>
      <w:spacing w:val="-20"/>
      <w:sz w:val="24"/>
      <w:szCs w:val="24"/>
    </w:rPr>
  </w:style>
  <w:style w:type="paragraph" w:styleId="1115">
    <w:name w:val="加点正文缩进"/>
    <w:basedOn w:val="989"/>
    <w:next w:val="1115"/>
    <w:link w:val="989"/>
    <w:pPr>
      <w:ind w:left="962" w:hanging="480"/>
      <w:spacing w:line="300" w:lineRule="auto"/>
      <w:tabs>
        <w:tab w:val="left" w:pos="840" w:leader="none"/>
      </w:tabs>
    </w:pPr>
    <w:rPr>
      <w:sz w:val="24"/>
    </w:rPr>
  </w:style>
  <w:style w:type="paragraph" w:styleId="1116">
    <w:name w:val="默认段落字体 Para Char Char Char Char Char Char Char Char Char Char Char Char Char Char"/>
    <w:basedOn w:val="1014"/>
    <w:next w:val="1116"/>
    <w:link w:val="989"/>
    <w:rPr>
      <w:rFonts w:ascii="Tahoma" w:hAnsi="Tahoma"/>
      <w:sz w:val="24"/>
    </w:rPr>
  </w:style>
  <w:style w:type="paragraph" w:styleId="1117">
    <w:name w:val="List Paragraph"/>
    <w:basedOn w:val="989"/>
    <w:next w:val="1117"/>
    <w:link w:val="989"/>
    <w:pPr>
      <w:ind w:firstLine="200"/>
    </w:pPr>
    <w:rPr>
      <w:rFonts w:ascii="Calibri" w:hAnsi="Calibri"/>
      <w:szCs w:val="22"/>
    </w:rPr>
  </w:style>
  <w:style w:type="paragraph" w:styleId="1118">
    <w:name w:val="序号"/>
    <w:next w:val="989"/>
    <w:link w:val="989"/>
    <w:pPr>
      <w:jc w:val="center"/>
    </w:pPr>
    <w:rPr>
      <w:rFonts w:eastAsia="仿宋_GB2312"/>
      <w:bCs/>
      <w:sz w:val="21"/>
      <w:szCs w:val="44"/>
      <w:lang w:val="en-US" w:eastAsia="zh-CN" w:bidi="ar-SA"/>
    </w:rPr>
  </w:style>
  <w:style w:type="paragraph" w:styleId="1119">
    <w:name w:val="Char"/>
    <w:basedOn w:val="989"/>
    <w:next w:val="1119"/>
    <w:link w:val="989"/>
    <w:pPr>
      <w:tabs>
        <w:tab w:val="left" w:pos="360" w:leader="none"/>
      </w:tabs>
    </w:pPr>
    <w:rPr>
      <w:rFonts w:ascii="仿宋_GB2312" w:eastAsia="仿宋_GB2312"/>
      <w:b/>
      <w:sz w:val="24"/>
    </w:rPr>
  </w:style>
  <w:style w:type="paragraph" w:styleId="1120">
    <w:name w:val="xl35"/>
    <w:basedOn w:val="989"/>
    <w:next w:val="1120"/>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name w:val="xl36"/>
    <w:basedOn w:val="989"/>
    <w:next w:val="1121"/>
    <w:link w:val="98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2">
    <w:name w:val="Char Char Char"/>
    <w:basedOn w:val="989"/>
    <w:next w:val="1122"/>
    <w:link w:val="989"/>
    <w:rPr>
      <w:rFonts w:ascii="Tahoma" w:hAnsi="Tahoma"/>
      <w:sz w:val="24"/>
      <w:szCs w:val="20"/>
    </w:rPr>
  </w:style>
  <w:style w:type="paragraph" w:styleId="1123">
    <w:name w:val="Char12"/>
    <w:basedOn w:val="989"/>
    <w:next w:val="1123"/>
    <w:link w:val="989"/>
    <w:pPr>
      <w:ind w:left="360" w:right="202" w:firstLine="360"/>
      <w:spacing w:line="480" w:lineRule="auto"/>
      <w:tabs>
        <w:tab w:val="left" w:pos="360" w:leader="none"/>
      </w:tabs>
    </w:pPr>
    <w:rPr>
      <w:sz w:val="24"/>
    </w:rPr>
  </w:style>
  <w:style w:type="paragraph" w:styleId="1124">
    <w:name w:val="Char Char Char Char Char Char Char Char Char Char"/>
    <w:basedOn w:val="989"/>
    <w:next w:val="1124"/>
    <w:link w:val="989"/>
    <w:rPr>
      <w:rFonts w:ascii="Tahoma" w:hAnsi="Tahoma"/>
      <w:sz w:val="24"/>
      <w:szCs w:val="20"/>
    </w:rPr>
  </w:style>
  <w:style w:type="paragraph" w:styleId="1125">
    <w:name w:val="正文段"/>
    <w:basedOn w:val="989"/>
    <w:next w:val="1125"/>
    <w:link w:val="989"/>
    <w:pPr>
      <w:ind w:firstLine="425"/>
      <w:spacing w:after="240" w:line="240" w:lineRule="atLeast"/>
      <w:widowControl/>
    </w:pPr>
    <w:rPr>
      <w:sz w:val="24"/>
      <w:szCs w:val="20"/>
    </w:rPr>
  </w:style>
  <w:style w:type="paragraph" w:styleId="1126">
    <w:name w:val="段"/>
    <w:next w:val="989"/>
    <w:link w:val="989"/>
    <w:pPr>
      <w:ind w:firstLine="200"/>
      <w:jc w:val="both"/>
    </w:pPr>
    <w:rPr>
      <w:rFonts w:ascii="宋体"/>
      <w:sz w:val="21"/>
      <w:lang w:val="en-US" w:eastAsia="zh-CN" w:bidi="ar-SA"/>
    </w:rPr>
  </w:style>
  <w:style w:type="paragraph" w:styleId="1127">
    <w:name w:val="Char Char Char Char Char Char Char Char Char Char1"/>
    <w:basedOn w:val="989"/>
    <w:next w:val="1127"/>
    <w:link w:val="989"/>
    <w:rPr>
      <w:rFonts w:ascii="Tahoma" w:hAnsi="Tahoma" w:cs="Tahoma"/>
      <w:sz w:val="24"/>
      <w:lang w:bidi="ar-SA"/>
    </w:rPr>
  </w:style>
  <w:style w:type="paragraph" w:styleId="1128">
    <w:name w:val="xl34"/>
    <w:basedOn w:val="989"/>
    <w:next w:val="1128"/>
    <w:link w:val="989"/>
    <w:pPr>
      <w:jc w:val="center"/>
      <w:spacing w:before="100" w:beforeAutospacing="1" w:after="100" w:afterAutospacing="1"/>
      <w:widowControl/>
    </w:pPr>
    <w:rPr>
      <w:rFonts w:ascii="Arial Unicode MS" w:hAnsi="Arial Unicode MS" w:eastAsia="Arial Unicode MS"/>
      <w:sz w:val="24"/>
    </w:rPr>
  </w:style>
  <w:style w:type="paragraph" w:styleId="1129">
    <w:name w:val="前言、引言标题"/>
    <w:next w:val="989"/>
    <w:link w:val="989"/>
    <w:pPr>
      <w:jc w:val="center"/>
      <w:spacing w:before="640" w:after="560"/>
      <w:shd w:val="clear" w:color="ffffff" w:fill="ffffff"/>
      <w:outlineLvl w:val="0"/>
    </w:pPr>
    <w:rPr>
      <w:rFonts w:ascii="黑体" w:eastAsia="黑体"/>
      <w:sz w:val="32"/>
      <w:lang w:val="en-US" w:eastAsia="zh-CN" w:bidi="ar-SA"/>
    </w:rPr>
  </w:style>
  <w:style w:type="paragraph" w:styleId="1130">
    <w:name w:val="Char Char Char Char Char Char Char Char Char Char Char Char Char"/>
    <w:basedOn w:val="989"/>
    <w:next w:val="1130"/>
    <w:link w:val="989"/>
    <w:pPr>
      <w:jc w:val="left"/>
      <w:spacing w:after="160" w:line="240" w:lineRule="exact"/>
      <w:widowControl/>
    </w:pPr>
    <w:rPr>
      <w:rFonts w:ascii="Verdana" w:hAnsi="Verdana"/>
      <w:sz w:val="20"/>
      <w:szCs w:val="20"/>
      <w:lang w:eastAsia="en-US"/>
    </w:rPr>
  </w:style>
  <w:style w:type="paragraph" w:styleId="1131">
    <w:name w:val="pa-0"/>
    <w:basedOn w:val="989"/>
    <w:next w:val="1131"/>
    <w:link w:val="989"/>
    <w:pPr>
      <w:ind w:firstLine="480"/>
      <w:spacing w:line="360" w:lineRule="atLeast"/>
      <w:widowControl/>
    </w:pPr>
    <w:rPr>
      <w:rFonts w:ascii="宋体" w:cs="宋体"/>
      <w:sz w:val="24"/>
      <w:lang w:bidi="ar-SA"/>
    </w:rPr>
  </w:style>
  <w:style w:type="paragraph" w:styleId="1132">
    <w:name w:val=" Char"/>
    <w:basedOn w:val="989"/>
    <w:next w:val="1132"/>
    <w:link w:val="989"/>
    <w:pPr>
      <w:jc w:val="left"/>
      <w:spacing w:after="160" w:line="240" w:lineRule="exact"/>
      <w:widowControl/>
    </w:pPr>
    <w:rPr>
      <w:rFonts w:ascii="Verdana" w:hAnsi="Verdana"/>
      <w:sz w:val="20"/>
      <w:szCs w:val="20"/>
      <w:lang w:eastAsia="en-US"/>
    </w:rPr>
  </w:style>
  <w:style w:type="paragraph" w:styleId="1133">
    <w:name w:val="三级条标题"/>
    <w:basedOn w:val="1134"/>
    <w:next w:val="1126"/>
    <w:link w:val="989"/>
    <w:pPr>
      <w:ind w:left="1050"/>
      <w:outlineLvl w:val="4"/>
    </w:pPr>
  </w:style>
  <w:style w:type="paragraph" w:styleId="1134">
    <w:name w:val="二级条标题"/>
    <w:basedOn w:val="1135"/>
    <w:next w:val="1126"/>
    <w:link w:val="989"/>
    <w:pPr>
      <w:ind w:left="360"/>
      <w:outlineLvl w:val="3"/>
    </w:pPr>
  </w:style>
  <w:style w:type="paragraph" w:styleId="1135">
    <w:name w:val="一级条标题"/>
    <w:next w:val="1126"/>
    <w:link w:val="989"/>
    <w:pPr>
      <w:outlineLvl w:val="2"/>
    </w:pPr>
    <w:rPr>
      <w:rFonts w:eastAsia="黑体"/>
      <w:sz w:val="21"/>
      <w:lang w:val="en-US" w:eastAsia="zh-CN" w:bidi="ar-SA"/>
    </w:rPr>
  </w:style>
  <w:style w:type="paragraph" w:styleId="1136">
    <w:name w:val="FA正文+标号"/>
    <w:basedOn w:val="989"/>
    <w:next w:val="1136"/>
    <w:link w:val="989"/>
    <w:pPr>
      <w:ind w:left="900" w:hanging="420"/>
      <w:spacing w:line="400" w:lineRule="exact"/>
      <w:tabs>
        <w:tab w:val="left" w:pos="907" w:leader="none"/>
        <w:tab w:val="left" w:pos="3375" w:leader="none"/>
      </w:tabs>
    </w:pPr>
    <w:rPr>
      <w:rFonts w:ascii="仿宋_GB2312" w:eastAsia="仿宋_GB2312"/>
      <w:sz w:val="24"/>
      <w:szCs w:val="20"/>
    </w:rPr>
  </w:style>
  <w:style w:type="paragraph" w:styleId="1137">
    <w:name w:val="表文1"/>
    <w:basedOn w:val="989"/>
    <w:next w:val="1137"/>
    <w:link w:val="989"/>
    <w:pPr>
      <w:ind w:firstLine="196"/>
      <w:spacing w:line="360" w:lineRule="auto"/>
      <w:widowControl/>
    </w:pPr>
    <w:rPr>
      <w:rFonts w:ascii="宋体"/>
      <w:sz w:val="24"/>
    </w:rPr>
  </w:style>
  <w:style w:type="paragraph" w:styleId="1138">
    <w:name w:val="表内容"/>
    <w:basedOn w:val="1139"/>
    <w:next w:val="1138"/>
    <w:link w:val="989"/>
    <w:pPr>
      <w:ind w:left="0" w:firstLine="0"/>
      <w:spacing w:line="320" w:lineRule="exact"/>
    </w:pPr>
    <w:rPr>
      <w:sz w:val="20"/>
    </w:rPr>
  </w:style>
  <w:style w:type="paragraph" w:styleId="1139">
    <w:name w:val="正文1"/>
    <w:basedOn w:val="989"/>
    <w:next w:val="1139"/>
    <w:link w:val="989"/>
    <w:pPr>
      <w:ind w:left="357" w:firstLine="420"/>
      <w:jc w:val="left"/>
      <w:spacing w:line="360" w:lineRule="auto"/>
      <w:widowControl/>
    </w:pPr>
    <w:rPr>
      <w:rFonts w:cs="Arial"/>
      <w:szCs w:val="20"/>
      <w:lang w:bidi="ar-SA"/>
    </w:rPr>
  </w:style>
  <w:style w:type="paragraph" w:styleId="1140">
    <w:name w:val="Char Char1 Char Char Char Char Char Char"/>
    <w:basedOn w:val="989"/>
    <w:next w:val="1140"/>
    <w:link w:val="989"/>
    <w:pPr>
      <w:jc w:val="center"/>
      <w:widowControl/>
    </w:pPr>
    <w:rPr>
      <w:szCs w:val="20"/>
    </w:rPr>
  </w:style>
  <w:style w:type="paragraph" w:styleId="1141">
    <w:name w:val="xl27"/>
    <w:basedOn w:val="989"/>
    <w:next w:val="1141"/>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2">
    <w:name w:val="普通正文"/>
    <w:basedOn w:val="989"/>
    <w:next w:val="1142"/>
    <w:link w:val="989"/>
    <w:pPr>
      <w:ind w:firstLine="425"/>
      <w:jc w:val="left"/>
    </w:pPr>
    <w:rPr>
      <w:rFonts w:ascii="宋体"/>
      <w:sz w:val="20"/>
      <w:szCs w:val="20"/>
    </w:rPr>
  </w:style>
  <w:style w:type="paragraph" w:styleId="1143">
    <w:name w:val="封面标准号1"/>
    <w:next w:val="1143"/>
    <w:link w:val="989"/>
    <w:pPr>
      <w:jc w:val="right"/>
      <w:spacing w:before="308"/>
      <w:widowControl w:val="off"/>
    </w:pPr>
    <w:rPr>
      <w:sz w:val="28"/>
      <w:lang w:val="en-US" w:eastAsia="zh-CN" w:bidi="ar-SA"/>
    </w:rPr>
  </w:style>
  <w:style w:type="paragraph" w:styleId="1144">
    <w:name w:val="附图标题"/>
    <w:basedOn w:val="1010"/>
    <w:next w:val="1002"/>
    <w:link w:val="989"/>
    <w:pPr>
      <w:ind w:left="780" w:hanging="480"/>
      <w:jc w:val="center"/>
      <w:spacing w:after="100"/>
      <w:tabs>
        <w:tab w:val="left" w:pos="780" w:leader="none"/>
      </w:tabs>
    </w:pPr>
    <w:rPr>
      <w:b/>
      <w:sz w:val="21"/>
    </w:rPr>
  </w:style>
  <w:style w:type="paragraph" w:styleId="1145">
    <w:name w:val="图号"/>
    <w:basedOn w:val="989"/>
    <w:next w:val="1145"/>
    <w:link w:val="989"/>
    <w:pPr>
      <w:jc w:val="center"/>
      <w:keepNext/>
      <w:spacing w:before="105" w:line="360" w:lineRule="auto"/>
      <w:tabs>
        <w:tab w:val="left" w:pos="0" w:leader="none"/>
        <w:tab w:val="left" w:pos="3360" w:leader="none"/>
      </w:tabs>
    </w:pPr>
    <w:rPr>
      <w:rFonts w:ascii="Arial" w:hAnsi="Arial"/>
      <w:sz w:val="18"/>
      <w:szCs w:val="18"/>
    </w:rPr>
  </w:style>
  <w:style w:type="paragraph" w:styleId="1146">
    <w:name w:val="xl40"/>
    <w:basedOn w:val="989"/>
    <w:next w:val="1146"/>
    <w:link w:val="989"/>
    <w:pPr>
      <w:jc w:val="left"/>
      <w:spacing w:before="100" w:beforeAutospacing="1" w:after="100" w:afterAutospacing="1"/>
      <w:widowControl/>
      <w:pBdr>
        <w:right w:val="single" w:color="000000" w:sz="4" w:space="0"/>
      </w:pBdr>
    </w:pPr>
    <w:rPr>
      <w:rFonts w:ascii="Arial Unicode MS" w:hAnsi="Arial Unicode MS"/>
      <w:sz w:val="24"/>
    </w:rPr>
  </w:style>
  <w:style w:type="paragraph" w:styleId="1147">
    <w:name w:val="缩进正文"/>
    <w:basedOn w:val="989"/>
    <w:next w:val="1147"/>
    <w:link w:val="989"/>
    <w:pPr>
      <w:ind w:left="1418" w:firstLine="425"/>
      <w:jc w:val="left"/>
      <w:spacing w:after="200" w:line="400" w:lineRule="exact"/>
      <w:widowControl/>
    </w:pPr>
    <w:rPr>
      <w:rFonts w:ascii="宋体"/>
      <w:sz w:val="24"/>
      <w:szCs w:val="20"/>
    </w:rPr>
  </w:style>
  <w:style w:type="paragraph" w:styleId="1148">
    <w:name w:val="xl28"/>
    <w:basedOn w:val="989"/>
    <w:next w:val="114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9">
    <w:name w:val="xl29"/>
    <w:basedOn w:val="989"/>
    <w:next w:val="1149"/>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name w:val=" Char1"/>
    <w:basedOn w:val="989"/>
    <w:next w:val="1150"/>
    <w:link w:val="989"/>
    <w:pPr>
      <w:ind w:left="360" w:right="202" w:firstLine="360"/>
      <w:spacing w:line="480" w:lineRule="auto"/>
      <w:tabs>
        <w:tab w:val="left" w:pos="360" w:leader="none"/>
      </w:tabs>
    </w:pPr>
    <w:rPr>
      <w:sz w:val="24"/>
    </w:rPr>
  </w:style>
  <w:style w:type="paragraph" w:styleId="1151">
    <w:name w:val="首页标题"/>
    <w:next w:val="1151"/>
    <w:link w:val="989"/>
    <w:pPr>
      <w:jc w:val="center"/>
    </w:pPr>
    <w:rPr>
      <w:rFonts w:ascii="宋体" w:cs="宋体"/>
      <w:sz w:val="72"/>
      <w:szCs w:val="72"/>
      <w:lang w:val="en-US" w:eastAsia="zh-CN" w:bidi="ar-SA"/>
    </w:rPr>
  </w:style>
  <w:style w:type="paragraph" w:styleId="1152">
    <w:name w:val="pa-10"/>
    <w:basedOn w:val="989"/>
    <w:next w:val="1152"/>
    <w:link w:val="989"/>
    <w:pPr>
      <w:spacing w:line="240" w:lineRule="atLeast"/>
      <w:widowControl/>
    </w:pPr>
    <w:rPr>
      <w:rFonts w:ascii="宋体" w:cs="宋体"/>
      <w:sz w:val="24"/>
      <w:lang w:bidi="ar-SA"/>
    </w:rPr>
  </w:style>
  <w:style w:type="paragraph" w:styleId="1153">
    <w:name w:val="特点"/>
    <w:basedOn w:val="989"/>
    <w:next w:val="989"/>
    <w:link w:val="989"/>
    <w:pPr>
      <w:jc w:val="center"/>
      <w:spacing w:line="360" w:lineRule="auto"/>
    </w:pPr>
    <w:rPr>
      <w:rFonts w:ascii="Arial" w:hAnsi="Arial"/>
      <w:sz w:val="24"/>
      <w:szCs w:val="20"/>
    </w:rPr>
  </w:style>
  <w:style w:type="paragraph" w:styleId="1154">
    <w:name w:val="pa-4"/>
    <w:basedOn w:val="989"/>
    <w:next w:val="1154"/>
    <w:link w:val="989"/>
    <w:pPr>
      <w:jc w:val="center"/>
      <w:spacing w:line="280" w:lineRule="atLeast"/>
      <w:widowControl/>
    </w:pPr>
    <w:rPr>
      <w:rFonts w:ascii="宋体" w:cs="宋体"/>
      <w:sz w:val="24"/>
      <w:lang w:bidi="ar-SA"/>
    </w:rPr>
  </w:style>
  <w:style w:type="paragraph" w:styleId="1155">
    <w:name w:val="编号"/>
    <w:basedOn w:val="989"/>
    <w:next w:val="1101"/>
    <w:link w:val="989"/>
    <w:pPr>
      <w:ind w:left="420" w:right="-136" w:hanging="420"/>
      <w:widowControl/>
      <w:tabs>
        <w:tab w:val="left" w:pos="420" w:leader="none"/>
      </w:tabs>
    </w:pPr>
    <w:rPr>
      <w:rFonts w:ascii="仿宋_GB2312" w:eastAsia="仿宋_GB2312"/>
      <w:b/>
      <w:bCs/>
      <w:sz w:val="24"/>
      <w:szCs w:val="21"/>
    </w:rPr>
  </w:style>
  <w:style w:type="paragraph" w:styleId="1156">
    <w:name w:val="编号3"/>
    <w:next w:val="1156"/>
    <w:link w:val="989"/>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57">
    <w:name w:val="xl33"/>
    <w:basedOn w:val="989"/>
    <w:next w:val="1157"/>
    <w:link w:val="98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8">
    <w:name w:val="编号1"/>
    <w:next w:val="1101"/>
    <w:link w:val="989"/>
    <w:pPr>
      <w:ind w:left="720" w:hanging="360"/>
      <w:spacing w:before="120" w:after="120" w:line="360" w:lineRule="auto"/>
      <w:tabs>
        <w:tab w:val="left" w:pos="420" w:leader="none"/>
      </w:tabs>
    </w:pPr>
    <w:rPr>
      <w:sz w:val="24"/>
      <w:szCs w:val="24"/>
      <w:lang w:val="en-US" w:eastAsia="zh-CN" w:bidi="ar-SA"/>
    </w:rPr>
  </w:style>
  <w:style w:type="paragraph" w:styleId="1159">
    <w:name w:val="xl32"/>
    <w:basedOn w:val="989"/>
    <w:next w:val="115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0">
    <w:name w:val="CM17"/>
    <w:basedOn w:val="989"/>
    <w:next w:val="989"/>
    <w:link w:val="989"/>
    <w:pPr>
      <w:jc w:val="left"/>
      <w:spacing w:after="273" w:line="360" w:lineRule="auto"/>
    </w:pPr>
    <w:rPr>
      <w:rFonts w:ascii="宋体"/>
      <w:sz w:val="24"/>
    </w:rPr>
  </w:style>
  <w:style w:type="paragraph" w:styleId="1161">
    <w:name w:val="xl38"/>
    <w:basedOn w:val="989"/>
    <w:next w:val="1161"/>
    <w:link w:val="98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2">
    <w:name w:val="参考资料清单+倾斜+蓝色"/>
    <w:basedOn w:val="989"/>
    <w:next w:val="1162"/>
    <w:link w:val="989"/>
    <w:pPr>
      <w:spacing w:line="360" w:lineRule="auto"/>
    </w:pPr>
    <w:rPr>
      <w:rFonts w:ascii="Arial" w:hAnsi="Arial"/>
      <w:i/>
      <w:iCs/>
      <w:color w:val="0000ff"/>
      <w:szCs w:val="21"/>
    </w:rPr>
  </w:style>
  <w:style w:type="paragraph" w:styleId="1163">
    <w:name w:val="英文音标"/>
    <w:next w:val="1163"/>
    <w:link w:val="989"/>
    <w:rPr>
      <w:rFonts w:ascii="Kingsoft Phonetic Plain" w:hAnsi="Kingsoft Phonetic Plain" w:eastAsia="Kingsoft Phonetic Plain"/>
      <w:sz w:val="24"/>
      <w:szCs w:val="24"/>
      <w:lang w:val="en-US" w:eastAsia="zh-CN" w:bidi="ar-SA"/>
    </w:rPr>
  </w:style>
  <w:style w:type="paragraph" w:styleId="1164">
    <w:name w:val="pa-8"/>
    <w:basedOn w:val="989"/>
    <w:next w:val="1164"/>
    <w:link w:val="989"/>
    <w:pPr>
      <w:ind w:firstLine="480"/>
      <w:spacing w:line="280" w:lineRule="atLeast"/>
      <w:widowControl/>
    </w:pPr>
    <w:rPr>
      <w:rFonts w:ascii="宋体" w:cs="宋体"/>
      <w:sz w:val="24"/>
      <w:lang w:bidi="ar-SA"/>
    </w:rPr>
  </w:style>
  <w:style w:type="paragraph" w:styleId="1165">
    <w:name w:val="标书2"/>
    <w:next w:val="1101"/>
    <w:link w:val="989"/>
    <w:rPr>
      <w:rFonts w:eastAsia="黑体" w:cs="宋体"/>
      <w:b/>
      <w:sz w:val="44"/>
      <w:lang w:val="en-US" w:eastAsia="zh-CN" w:bidi="ar-SA"/>
    </w:rPr>
  </w:style>
  <w:style w:type="paragraph" w:styleId="1166">
    <w:name w:val="表格文字"/>
    <w:basedOn w:val="989"/>
    <w:next w:val="1166"/>
    <w:link w:val="989"/>
    <w:pPr>
      <w:jc w:val="left"/>
    </w:pPr>
    <w:rPr>
      <w:sz w:val="18"/>
    </w:rPr>
  </w:style>
  <w:style w:type="paragraph" w:styleId="1167">
    <w:name w:val="首页空格"/>
    <w:next w:val="1167"/>
    <w:link w:val="989"/>
    <w:pPr>
      <w:jc w:val="center"/>
    </w:pPr>
    <w:rPr>
      <w:rFonts w:cs="宋体"/>
      <w:sz w:val="72"/>
      <w:lang w:val="en-US" w:eastAsia="zh-CN" w:bidi="ar-SA"/>
    </w:rPr>
  </w:style>
  <w:style w:type="paragraph" w:styleId="1168">
    <w:name w:val="保密事宜格式"/>
    <w:basedOn w:val="1010"/>
    <w:next w:val="1168"/>
    <w:link w:val="989"/>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69">
    <w:name w:val="SFClearBullets"/>
    <w:next w:val="1169"/>
    <w:link w:val="989"/>
    <w:pPr>
      <w:ind w:left="1440" w:hanging="360"/>
      <w:tabs>
        <w:tab w:val="left" w:pos="1440" w:leader="none"/>
      </w:tabs>
    </w:pPr>
    <w:rPr>
      <w:rFonts w:ascii="Helvetica" w:hAnsi="Helvetica"/>
      <w:szCs w:val="24"/>
      <w:lang w:val="en-US" w:eastAsia="en-US" w:bidi="ar-SA"/>
    </w:rPr>
  </w:style>
  <w:style w:type="paragraph" w:styleId="1170">
    <w:name w:val="È±Ê¡ÎÄ±¾"/>
    <w:basedOn w:val="989"/>
    <w:next w:val="1170"/>
    <w:link w:val="989"/>
    <w:pPr>
      <w:jc w:val="left"/>
      <w:spacing w:line="360" w:lineRule="auto"/>
      <w:widowControl/>
    </w:pPr>
    <w:rPr>
      <w:sz w:val="24"/>
      <w:szCs w:val="20"/>
    </w:rPr>
  </w:style>
  <w:style w:type="paragraph" w:styleId="1171">
    <w:name w:val=" Char Char Char Char Char Char Char"/>
    <w:basedOn w:val="989"/>
    <w:next w:val="1171"/>
    <w:link w:val="989"/>
    <w:pPr>
      <w:jc w:val="left"/>
      <w:spacing w:after="160" w:line="240" w:lineRule="exact"/>
      <w:widowControl/>
    </w:pPr>
    <w:rPr>
      <w:rFonts w:ascii="Verdana" w:hAnsi="Verdana"/>
      <w:sz w:val="20"/>
      <w:szCs w:val="20"/>
      <w:lang w:eastAsia="en-US"/>
    </w:rPr>
  </w:style>
  <w:style w:type="paragraph" w:styleId="1172">
    <w:name w:val="xl26"/>
    <w:basedOn w:val="989"/>
    <w:next w:val="1172"/>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name w:val="附图居中"/>
    <w:basedOn w:val="989"/>
    <w:next w:val="1144"/>
    <w:link w:val="989"/>
    <w:pPr>
      <w:ind w:left="1271" w:hanging="420"/>
      <w:jc w:val="center"/>
      <w:keepNext/>
      <w:spacing w:line="360" w:lineRule="auto"/>
      <w:tabs>
        <w:tab w:val="left" w:pos="0" w:leader="none"/>
      </w:tabs>
    </w:pPr>
    <w:rPr>
      <w:caps/>
      <w:sz w:val="24"/>
    </w:rPr>
  </w:style>
  <w:style w:type="paragraph" w:styleId="1174">
    <w:name w:val="pa-6"/>
    <w:basedOn w:val="989"/>
    <w:next w:val="1174"/>
    <w:link w:val="989"/>
    <w:pPr>
      <w:spacing w:line="360" w:lineRule="atLeast"/>
      <w:widowControl/>
    </w:pPr>
    <w:rPr>
      <w:rFonts w:ascii="宋体"/>
      <w:sz w:val="24"/>
      <w:szCs w:val="20"/>
    </w:rPr>
  </w:style>
  <w:style w:type="paragraph" w:styleId="1175">
    <w:name w:val="规范正文"/>
    <w:basedOn w:val="989"/>
    <w:next w:val="1175"/>
    <w:link w:val="989"/>
    <w:pPr>
      <w:ind w:left="480"/>
      <w:spacing w:line="360" w:lineRule="auto"/>
    </w:pPr>
    <w:rPr>
      <w:sz w:val="24"/>
      <w:szCs w:val="20"/>
    </w:rPr>
  </w:style>
  <w:style w:type="paragraph" w:styleId="1176">
    <w:name w:val="font7"/>
    <w:basedOn w:val="989"/>
    <w:next w:val="1176"/>
    <w:link w:val="989"/>
    <w:pPr>
      <w:jc w:val="left"/>
      <w:spacing w:before="100" w:beforeAutospacing="1" w:after="100" w:afterAutospacing="1"/>
      <w:widowControl/>
    </w:pPr>
    <w:rPr>
      <w:rFonts w:ascii="宋体"/>
      <w:sz w:val="20"/>
      <w:szCs w:val="20"/>
    </w:rPr>
  </w:style>
  <w:style w:type="paragraph" w:styleId="1177">
    <w:name w:val="缺省文本"/>
    <w:basedOn w:val="989"/>
    <w:next w:val="1177"/>
    <w:link w:val="989"/>
    <w:pPr>
      <w:jc w:val="left"/>
    </w:pPr>
    <w:rPr>
      <w:sz w:val="24"/>
      <w:szCs w:val="20"/>
    </w:rPr>
  </w:style>
  <w:style w:type="paragraph" w:styleId="1178">
    <w:name w:val="序号-----------"/>
    <w:basedOn w:val="989"/>
    <w:next w:val="1178"/>
    <w:link w:val="989"/>
    <w:pPr>
      <w:jc w:val="left"/>
      <w:widowControl/>
    </w:pPr>
    <w:rPr>
      <w:rFonts w:ascii="宋体"/>
      <w:bCs/>
      <w:szCs w:val="21"/>
    </w:rPr>
  </w:style>
  <w:style w:type="paragraph" w:styleId="1179">
    <w:name w:val="font8"/>
    <w:basedOn w:val="989"/>
    <w:next w:val="1179"/>
    <w:link w:val="989"/>
    <w:pPr>
      <w:jc w:val="left"/>
      <w:spacing w:before="100" w:beforeAutospacing="1" w:after="100" w:afterAutospacing="1"/>
      <w:widowControl/>
    </w:pPr>
    <w:rPr>
      <w:rFonts w:ascii="Arial" w:hAnsi="Arial" w:cs="Arial"/>
      <w:color w:val="000000"/>
      <w:sz w:val="18"/>
      <w:szCs w:val="18"/>
      <w:lang w:bidi="ar-SA"/>
    </w:rPr>
  </w:style>
  <w:style w:type="paragraph" w:styleId="1180">
    <w:name w:val="表格标题"/>
    <w:basedOn w:val="989"/>
    <w:next w:val="1180"/>
    <w:link w:val="989"/>
    <w:pPr>
      <w:jc w:val="center"/>
    </w:pPr>
    <w:rPr>
      <w:b/>
    </w:rPr>
  </w:style>
  <w:style w:type="paragraph" w:styleId="1181">
    <w:name w:val="章标题"/>
    <w:next w:val="1126"/>
    <w:link w:val="989"/>
    <w:pPr>
      <w:ind w:left="1320" w:hanging="420"/>
      <w:jc w:val="both"/>
      <w:spacing w:before="50" w:after="50"/>
      <w:tabs>
        <w:tab w:val="left" w:pos="1200" w:leader="none"/>
      </w:tabs>
      <w:outlineLvl w:val="1"/>
    </w:pPr>
    <w:rPr>
      <w:rFonts w:ascii="黑体" w:eastAsia="黑体"/>
      <w:sz w:val="21"/>
      <w:lang w:val="en-US" w:eastAsia="zh-CN" w:bidi="ar-SA"/>
    </w:rPr>
  </w:style>
  <w:style w:type="paragraph" w:styleId="1182">
    <w:name w:val="首页单位日期"/>
    <w:basedOn w:val="989"/>
    <w:next w:val="1182"/>
    <w:link w:val="989"/>
    <w:pPr>
      <w:jc w:val="center"/>
      <w:widowControl/>
    </w:pPr>
    <w:rPr>
      <w:rFonts w:ascii="宋体" w:cs="宋体"/>
      <w:bCs/>
      <w:sz w:val="28"/>
      <w:szCs w:val="20"/>
      <w:lang w:bidi="ar-SA"/>
    </w:rPr>
  </w:style>
  <w:style w:type="paragraph" w:styleId="1183">
    <w:name w:val="样式 正文缩进 + (中文) 仿宋_GB2312 小四 Char"/>
    <w:basedOn w:val="1002"/>
    <w:next w:val="1183"/>
    <w:link w:val="989"/>
    <w:pPr>
      <w:ind w:firstLine="200"/>
      <w:spacing w:line="360" w:lineRule="auto"/>
    </w:pPr>
    <w:rPr>
      <w:rFonts w:ascii="宋体"/>
      <w:color w:val="000000"/>
      <w:szCs w:val="24"/>
    </w:rPr>
  </w:style>
  <w:style w:type="paragraph" w:styleId="1184">
    <w:name w:val="项目"/>
    <w:basedOn w:val="989"/>
    <w:next w:val="1184"/>
    <w:link w:val="989"/>
    <w:pPr>
      <w:ind w:left="840" w:hanging="420"/>
      <w:spacing w:before="60" w:after="60" w:line="360" w:lineRule="auto"/>
      <w:tabs>
        <w:tab w:val="left" w:pos="840" w:leader="none"/>
      </w:tabs>
    </w:pPr>
    <w:rPr>
      <w:rFonts w:ascii="宋体"/>
      <w:szCs w:val="20"/>
    </w:rPr>
  </w:style>
  <w:style w:type="paragraph" w:styleId="1185">
    <w:name w:val="默认段落字体 Para Char"/>
    <w:basedOn w:val="989"/>
    <w:next w:val="1185"/>
    <w:link w:val="989"/>
    <w:rPr>
      <w:rFonts w:ascii="宋体"/>
      <w:b/>
      <w:sz w:val="28"/>
      <w:szCs w:val="28"/>
    </w:rPr>
  </w:style>
  <w:style w:type="paragraph" w:styleId="1186">
    <w:name w:val="篇名"/>
    <w:next w:val="990"/>
    <w:link w:val="989"/>
    <w:pPr>
      <w:jc w:val="center"/>
      <w:pageBreakBefore/>
      <w:spacing w:before="480" w:after="480"/>
    </w:pPr>
    <w:rPr>
      <w:rFonts w:eastAsia="黑体"/>
      <w:b/>
      <w:sz w:val="44"/>
      <w:szCs w:val="24"/>
      <w:lang w:val="en-US" w:eastAsia="zh-CN" w:bidi="ar-SA"/>
    </w:rPr>
  </w:style>
  <w:style w:type="paragraph" w:styleId="1187">
    <w:name w:val="Char1"/>
    <w:basedOn w:val="989"/>
    <w:next w:val="1187"/>
    <w:link w:val="989"/>
  </w:style>
  <w:style w:type="paragraph" w:styleId="1188">
    <w:name w:val="表头"/>
    <w:basedOn w:val="1139"/>
    <w:next w:val="1188"/>
    <w:link w:val="989"/>
    <w:pPr>
      <w:ind w:left="0" w:firstLine="0"/>
      <w:spacing w:line="240" w:lineRule="auto"/>
    </w:pPr>
    <w:rPr>
      <w:sz w:val="20"/>
    </w:rPr>
  </w:style>
  <w:style w:type="paragraph" w:styleId="1189">
    <w:name w:val="表格序号"/>
    <w:next w:val="1189"/>
    <w:link w:val="989"/>
    <w:rPr>
      <w:rFonts w:eastAsia="仿宋_GB2312" w:cs="宋体"/>
      <w:sz w:val="21"/>
      <w:lang w:val="en-US" w:eastAsia="zh-CN" w:bidi="ar-SA"/>
    </w:rPr>
  </w:style>
  <w:style w:type="paragraph" w:styleId="1190">
    <w:name w:val="Char Char Char Char1"/>
    <w:basedOn w:val="989"/>
    <w:next w:val="1190"/>
    <w:link w:val="989"/>
    <w:pPr>
      <w:ind w:firstLine="200"/>
      <w:spacing w:line="360" w:lineRule="auto"/>
    </w:pPr>
    <w:rPr>
      <w:sz w:val="24"/>
      <w:szCs w:val="20"/>
    </w:rPr>
  </w:style>
  <w:style w:type="paragraph" w:styleId="1191">
    <w:name w:val="标书3"/>
    <w:next w:val="1101"/>
    <w:link w:val="989"/>
    <w:pPr>
      <w:jc w:val="center"/>
      <w:widowControl w:val="off"/>
    </w:pPr>
    <w:rPr>
      <w:rFonts w:eastAsia="黑体"/>
      <w:b/>
      <w:sz w:val="44"/>
      <w:szCs w:val="24"/>
      <w:lang w:val="en-US" w:eastAsia="zh-CN" w:bidi="ar-SA"/>
    </w:rPr>
  </w:style>
  <w:style w:type="paragraph" w:styleId="1192">
    <w:name w:val="首页小标题"/>
    <w:next w:val="1167"/>
    <w:link w:val="989"/>
    <w:pPr>
      <w:jc w:val="center"/>
    </w:pPr>
    <w:rPr>
      <w:rFonts w:cs="宋体"/>
      <w:sz w:val="44"/>
      <w:lang w:val="en-US" w:eastAsia="zh-CN" w:bidi="ar-SA"/>
    </w:rPr>
  </w:style>
  <w:style w:type="paragraph" w:styleId="1193">
    <w:name w:val="新段落缩进"/>
    <w:basedOn w:val="989"/>
    <w:next w:val="1193"/>
    <w:link w:val="989"/>
    <w:pPr>
      <w:ind w:firstLine="200"/>
      <w:spacing w:line="400" w:lineRule="exact"/>
    </w:pPr>
    <w:rPr>
      <w:rFonts w:ascii="仿宋_GB2312" w:eastAsia="仿宋_GB2312"/>
      <w:sz w:val="24"/>
    </w:rPr>
  </w:style>
  <w:style w:type="paragraph" w:styleId="1194">
    <w:name w:val="pa-2"/>
    <w:basedOn w:val="989"/>
    <w:next w:val="1194"/>
    <w:link w:val="989"/>
    <w:pPr>
      <w:spacing w:line="360" w:lineRule="atLeast"/>
      <w:widowControl/>
    </w:pPr>
    <w:rPr>
      <w:rFonts w:ascii="宋体" w:cs="宋体"/>
      <w:sz w:val="24"/>
      <w:lang w:bidi="ar-SA"/>
    </w:rPr>
  </w:style>
  <w:style w:type="paragraph" w:styleId="1195">
    <w:name w:val="四级条标题"/>
    <w:basedOn w:val="1133"/>
    <w:next w:val="1126"/>
    <w:link w:val="989"/>
    <w:pPr>
      <w:ind w:left="0"/>
      <w:outlineLvl w:val="5"/>
    </w:pPr>
  </w:style>
  <w:style w:type="paragraph" w:styleId="1196">
    <w:name w:val="保密事宜内容"/>
    <w:basedOn w:val="989"/>
    <w:next w:val="1196"/>
    <w:link w:val="989"/>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97">
    <w:name w:val="xl30"/>
    <w:basedOn w:val="989"/>
    <w:next w:val="1197"/>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name w:val="Char1 Char Char Char"/>
    <w:basedOn w:val="989"/>
    <w:next w:val="1198"/>
    <w:link w:val="989"/>
    <w:rPr>
      <w:szCs w:val="20"/>
    </w:rPr>
  </w:style>
  <w:style w:type="paragraph" w:styleId="1199">
    <w:name w:val="正文 + 宋体"/>
    <w:basedOn w:val="989"/>
    <w:next w:val="1199"/>
    <w:link w:val="989"/>
    <w:pPr>
      <w:ind w:firstLine="250"/>
    </w:pPr>
    <w:rPr>
      <w:rFonts w:ascii="宋体"/>
      <w:szCs w:val="21"/>
    </w:rPr>
  </w:style>
  <w:style w:type="paragraph" w:styleId="1200">
    <w:name w:val="xl31"/>
    <w:basedOn w:val="989"/>
    <w:next w:val="1200"/>
    <w:link w:val="989"/>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1">
    <w:name w:val="pbody"/>
    <w:basedOn w:val="989"/>
    <w:next w:val="1201"/>
    <w:link w:val="989"/>
    <w:pPr>
      <w:jc w:val="left"/>
      <w:spacing w:before="100" w:beforeAutospacing="1" w:after="100" w:afterAutospacing="1" w:line="360" w:lineRule="auto"/>
      <w:widowControl/>
    </w:pPr>
    <w:rPr>
      <w:rFonts w:ascii="宋体" w:cs="宋体"/>
      <w:sz w:val="24"/>
      <w:lang w:bidi="ar-SA"/>
    </w:rPr>
  </w:style>
  <w:style w:type="paragraph" w:styleId="1202">
    <w:name w:val="xl42"/>
    <w:basedOn w:val="989"/>
    <w:next w:val="1202"/>
    <w:link w:val="989"/>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3">
    <w:name w:val="txt"/>
    <w:basedOn w:val="989"/>
    <w:next w:val="1203"/>
    <w:link w:val="989"/>
    <w:pPr>
      <w:jc w:val="left"/>
      <w:spacing w:before="100" w:beforeAutospacing="1" w:after="100" w:afterAutospacing="1"/>
      <w:widowControl/>
    </w:pPr>
    <w:rPr>
      <w:rFonts w:ascii="宋体" w:cs="宋体"/>
      <w:sz w:val="24"/>
      <w:lang w:bidi="ar-SA"/>
    </w:rPr>
  </w:style>
  <w:style w:type="paragraph" w:styleId="1204">
    <w:name w:val="样式1"/>
    <w:basedOn w:val="1009"/>
    <w:next w:val="989"/>
    <w:link w:val="989"/>
    <w:pPr>
      <w:numPr>
        <w:ilvl w:val="0"/>
        <w:numId w:val="0"/>
      </w:numPr>
      <w:tabs>
        <w:tab w:val="left" w:pos="0" w:leader="none"/>
        <w:tab w:val="left" w:pos="840" w:leader="none"/>
      </w:tabs>
    </w:pPr>
    <w:rPr>
      <w:rFonts w:ascii="Arial" w:hAnsi="Arial" w:eastAsia="幼圆" w:cs="Arial"/>
      <w:sz w:val="24"/>
      <w:szCs w:val="20"/>
      <w:lang w:bidi="ar-SA"/>
    </w:rPr>
  </w:style>
  <w:style w:type="paragraph" w:styleId="1205">
    <w:name w:val="xl37"/>
    <w:basedOn w:val="989"/>
    <w:next w:val="1205"/>
    <w:link w:val="989"/>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6">
    <w:name w:val="列表段落"/>
    <w:basedOn w:val="989"/>
    <w:next w:val="1206"/>
    <w:link w:val="989"/>
    <w:qFormat/>
    <w:pPr>
      <w:ind w:firstLine="420"/>
    </w:pPr>
  </w:style>
  <w:style w:type="paragraph" w:styleId="1207">
    <w:name w:val="图表目录1"/>
    <w:next w:val="1207"/>
    <w:link w:val="989"/>
    <w:pPr>
      <w:ind w:left="840" w:hanging="420"/>
    </w:pPr>
    <w:rPr>
      <w:rFonts w:cs="宋体"/>
      <w:sz w:val="21"/>
      <w:lang w:val="en-US" w:eastAsia="zh-CN" w:bidi="ar-SA"/>
    </w:rPr>
  </w:style>
  <w:style w:type="paragraph" w:styleId="1208">
    <w:name w:val="样式 序号----------- + 仿宋_GB2312"/>
    <w:basedOn w:val="1178"/>
    <w:next w:val="1208"/>
    <w:link w:val="989"/>
    <w:pPr>
      <w:ind w:firstLine="200"/>
      <w:spacing w:line="360" w:lineRule="auto"/>
    </w:pPr>
    <w:rPr>
      <w:rFonts w:ascii="仿宋_GB2312" w:eastAsia="仿宋_GB2312"/>
      <w:bCs w:val="0"/>
    </w:rPr>
  </w:style>
  <w:style w:type="paragraph" w:styleId="1209">
    <w:name w:val="xl41"/>
    <w:basedOn w:val="989"/>
    <w:next w:val="1209"/>
    <w:link w:val="989"/>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0">
    <w:name w:val="Char11"/>
    <w:basedOn w:val="989"/>
    <w:next w:val="1210"/>
    <w:link w:val="989"/>
    <w:rPr>
      <w:szCs w:val="21"/>
    </w:rPr>
  </w:style>
  <w:style w:type="paragraph" w:styleId="1211">
    <w:name w:val="样式 序号----------- + 仿宋_GB23121"/>
    <w:basedOn w:val="1178"/>
    <w:next w:val="1211"/>
    <w:link w:val="989"/>
    <w:pPr>
      <w:spacing w:line="360" w:lineRule="auto"/>
    </w:pPr>
    <w:rPr>
      <w:rFonts w:ascii="仿宋_GB2312" w:eastAsia="仿宋_GB2312"/>
      <w:bCs w:val="0"/>
    </w:rPr>
  </w:style>
  <w:style w:type="paragraph" w:styleId="1212">
    <w:name w:val="pa-9"/>
    <w:basedOn w:val="989"/>
    <w:next w:val="1212"/>
    <w:link w:val="989"/>
    <w:pPr>
      <w:jc w:val="center"/>
      <w:spacing w:line="360" w:lineRule="atLeast"/>
      <w:widowControl/>
    </w:pPr>
    <w:rPr>
      <w:rFonts w:ascii="宋体" w:cs="宋体"/>
      <w:sz w:val="24"/>
      <w:lang w:bidi="ar-SA"/>
    </w:rPr>
  </w:style>
  <w:style w:type="paragraph" w:styleId="1213">
    <w:name w:val="pa-3"/>
    <w:basedOn w:val="989"/>
    <w:next w:val="1213"/>
    <w:link w:val="989"/>
    <w:pPr>
      <w:jc w:val="left"/>
      <w:spacing w:before="150" w:after="150"/>
      <w:widowControl/>
    </w:pPr>
    <w:rPr>
      <w:rFonts w:ascii="宋体" w:cs="宋体"/>
      <w:sz w:val="24"/>
      <w:lang w:bidi="ar-SA"/>
    </w:rPr>
  </w:style>
  <w:style w:type="paragraph" w:styleId="1214">
    <w:name w:val="font5"/>
    <w:basedOn w:val="989"/>
    <w:next w:val="1214"/>
    <w:link w:val="989"/>
    <w:pPr>
      <w:jc w:val="left"/>
      <w:spacing w:before="100" w:beforeAutospacing="1" w:after="100" w:afterAutospacing="1"/>
      <w:widowControl/>
    </w:pPr>
    <w:rPr>
      <w:rFonts w:ascii="宋体"/>
      <w:sz w:val="18"/>
      <w:szCs w:val="18"/>
    </w:rPr>
  </w:style>
  <w:style w:type="paragraph" w:styleId="1215">
    <w:name w:val="pa-5"/>
    <w:basedOn w:val="989"/>
    <w:next w:val="1215"/>
    <w:link w:val="989"/>
    <w:pPr>
      <w:spacing w:line="280" w:lineRule="atLeast"/>
      <w:widowControl/>
    </w:pPr>
    <w:rPr>
      <w:rFonts w:ascii="宋体" w:cs="宋体"/>
      <w:sz w:val="24"/>
      <w:lang w:bidi="ar-SA"/>
    </w:rPr>
  </w:style>
  <w:style w:type="paragraph" w:styleId="1216">
    <w:name w:val="xl39"/>
    <w:basedOn w:val="989"/>
    <w:next w:val="1216"/>
    <w:link w:val="989"/>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7">
    <w:name w:val="font6"/>
    <w:basedOn w:val="989"/>
    <w:next w:val="1217"/>
    <w:link w:val="989"/>
    <w:pPr>
      <w:jc w:val="left"/>
      <w:spacing w:before="100" w:beforeAutospacing="1" w:after="100" w:afterAutospacing="1"/>
      <w:widowControl/>
    </w:pPr>
    <w:rPr>
      <w:sz w:val="20"/>
      <w:szCs w:val="20"/>
    </w:rPr>
  </w:style>
  <w:style w:type="paragraph" w:styleId="1218">
    <w:name w:val="font9"/>
    <w:basedOn w:val="989"/>
    <w:next w:val="1218"/>
    <w:link w:val="989"/>
    <w:pPr>
      <w:jc w:val="left"/>
      <w:spacing w:before="100" w:beforeAutospacing="1" w:after="100" w:afterAutospacing="1"/>
      <w:widowControl/>
    </w:pPr>
    <w:rPr>
      <w:rFonts w:ascii="宋体"/>
      <w:color w:val="000000"/>
      <w:sz w:val="18"/>
      <w:szCs w:val="18"/>
    </w:rPr>
  </w:style>
  <w:style w:type="paragraph" w:styleId="1219">
    <w:name w:val="列出段落1"/>
    <w:basedOn w:val="989"/>
    <w:next w:val="1219"/>
    <w:link w:val="989"/>
    <w:pPr>
      <w:ind w:firstLine="200"/>
    </w:pPr>
    <w:rPr>
      <w:rFonts w:ascii="Calibri" w:hAnsi="Calibri"/>
      <w:szCs w:val="22"/>
    </w:rPr>
  </w:style>
  <w:style w:type="paragraph" w:styleId="1220">
    <w:name w:val="p0"/>
    <w:basedOn w:val="989"/>
    <w:next w:val="1220"/>
    <w:link w:val="989"/>
    <w:pPr>
      <w:widowControl/>
    </w:pPr>
    <w:rPr>
      <w:szCs w:val="21"/>
    </w:rPr>
  </w:style>
  <w:style w:type="paragraph" w:styleId="1221">
    <w:name w:val=" Char Char Char Char Char Char Char Char Char Char"/>
    <w:basedOn w:val="989"/>
    <w:next w:val="1221"/>
    <w:link w:val="989"/>
    <w:rPr>
      <w:rFonts w:ascii="Tahoma" w:hAnsi="Tahoma"/>
      <w:sz w:val="24"/>
      <w:szCs w:val="20"/>
    </w:rPr>
  </w:style>
  <w:style w:type="paragraph" w:styleId="1222">
    <w:name w:val="封面标准名称"/>
    <w:next w:val="1222"/>
    <w:link w:val="989"/>
    <w:pPr>
      <w:jc w:val="center"/>
      <w:spacing w:line="680" w:lineRule="exact"/>
      <w:widowControl w:val="off"/>
    </w:pPr>
    <w:rPr>
      <w:rFonts w:ascii="黑体" w:eastAsia="黑体"/>
      <w:sz w:val="52"/>
      <w:lang w:val="en-US" w:eastAsia="zh-CN" w:bidi="ar-SA"/>
    </w:rPr>
  </w:style>
  <w:style w:type="paragraph" w:styleId="1223">
    <w:name w:val="表格正文"/>
    <w:basedOn w:val="989"/>
    <w:next w:val="1223"/>
    <w:link w:val="989"/>
    <w:pPr>
      <w:spacing w:line="300" w:lineRule="auto"/>
      <w:tabs>
        <w:tab w:val="left" w:pos="420" w:leader="none"/>
      </w:tabs>
    </w:pPr>
  </w:style>
  <w:style w:type="paragraph" w:styleId="1224">
    <w:name w:val="首页标题小初"/>
    <w:next w:val="1224"/>
    <w:link w:val="989"/>
    <w:pPr>
      <w:jc w:val="center"/>
    </w:pPr>
    <w:rPr>
      <w:rFonts w:ascii="黑体" w:eastAsia="黑体" w:cs="宋体"/>
      <w:sz w:val="72"/>
      <w:lang w:val="en-US" w:eastAsia="zh-CN" w:bidi="ar-SA"/>
    </w:rPr>
  </w:style>
  <w:style w:type="paragraph" w:styleId="1225">
    <w:name w:val="五级条标题"/>
    <w:basedOn w:val="1195"/>
    <w:next w:val="1126"/>
    <w:link w:val="989"/>
    <w:pPr>
      <w:outlineLvl w:val="6"/>
    </w:pPr>
  </w:style>
  <w:style w:type="paragraph" w:styleId="1226">
    <w:name w:val="Char Char Char Char Char Char Char"/>
    <w:basedOn w:val="989"/>
    <w:next w:val="1226"/>
    <w:link w:val="989"/>
    <w:pPr>
      <w:jc w:val="left"/>
      <w:spacing w:after="160" w:line="240" w:lineRule="exact"/>
      <w:widowControl/>
    </w:pPr>
    <w:rPr>
      <w:rFonts w:ascii="Verdana" w:hAnsi="Verdana"/>
      <w:sz w:val="20"/>
      <w:szCs w:val="20"/>
      <w:lang w:eastAsia="en-US"/>
    </w:rPr>
  </w:style>
  <w:style w:type="paragraph" w:styleId="1227">
    <w:name w:val="ibm-list-next"/>
    <w:basedOn w:val="989"/>
    <w:next w:val="1227"/>
    <w:link w:val="989"/>
    <w:pPr>
      <w:jc w:val="left"/>
      <w:spacing w:before="100" w:beforeAutospacing="1" w:after="100" w:afterAutospacing="1"/>
      <w:widowControl/>
    </w:pPr>
    <w:rPr>
      <w:rFonts w:ascii="宋体" w:cs="宋体"/>
      <w:sz w:val="24"/>
      <w:lang w:bidi="ar-SA"/>
    </w:rPr>
  </w:style>
  <w:style w:type="paragraph" w:styleId="1228">
    <w:name w:val="首页标题 一号"/>
    <w:basedOn w:val="1224"/>
    <w:next w:val="1228"/>
    <w:link w:val="989"/>
    <w:rPr>
      <w:sz w:val="52"/>
    </w:rPr>
  </w:style>
  <w:style w:type="paragraph" w:styleId="1229">
    <w:name w:val="Char Char Char Char Char Char Char Char Char Char2"/>
    <w:basedOn w:val="989"/>
    <w:next w:val="1229"/>
    <w:link w:val="989"/>
    <w:rPr>
      <w:rFonts w:ascii="Tahoma" w:hAnsi="Tahoma"/>
      <w:sz w:val="24"/>
      <w:szCs w:val="20"/>
    </w:rPr>
  </w:style>
  <w:style w:type="paragraph" w:styleId="1230">
    <w:name w:val="正文（编号）"/>
    <w:basedOn w:val="1088"/>
    <w:next w:val="1230"/>
    <w:link w:val="1231"/>
    <w:pPr>
      <w:ind w:left="720" w:firstLine="0"/>
      <w:tabs>
        <w:tab w:val="left" w:pos="720" w:leader="none"/>
        <w:tab w:val="left" w:pos="780" w:leader="none"/>
      </w:tabs>
    </w:pPr>
    <w:rPr>
      <w:rFonts w:ascii="Times New Roman" w:hAnsi="Times New Roman"/>
      <w:szCs w:val="24"/>
    </w:rPr>
  </w:style>
  <w:style w:type="character" w:styleId="1231">
    <w:name w:val="正文（编号） Char Char"/>
    <w:next w:val="1231"/>
    <w:link w:val="1230"/>
    <w:rPr>
      <w:sz w:val="24"/>
      <w:szCs w:val="24"/>
    </w:rPr>
  </w:style>
  <w:style w:type="paragraph" w:styleId="1232">
    <w:name w:val="表格"/>
    <w:basedOn w:val="989"/>
    <w:next w:val="1232"/>
    <w:link w:val="989"/>
    <w:pPr>
      <w:ind w:firstLine="21"/>
    </w:pPr>
    <w:rPr>
      <w:rFonts w:ascii="宋体"/>
      <w:szCs w:val="20"/>
    </w:rPr>
  </w:style>
  <w:style w:type="character" w:styleId="1233">
    <w:name w:val="正文（缩进） Char Char"/>
    <w:next w:val="1233"/>
    <w:link w:val="989"/>
    <w:rPr>
      <w:rFonts w:eastAsia="宋体"/>
      <w:sz w:val="24"/>
      <w:szCs w:val="24"/>
      <w:lang w:val="en-US" w:eastAsia="zh-CN" w:bidi="ar-SA"/>
    </w:rPr>
  </w:style>
  <w:style w:type="paragraph" w:styleId="1234">
    <w:name w:val=" Char Char Char"/>
    <w:basedOn w:val="989"/>
    <w:next w:val="1234"/>
    <w:link w:val="989"/>
    <w:rPr>
      <w:rFonts w:ascii="Calibri" w:hAnsi="Calibri"/>
      <w:szCs w:val="21"/>
    </w:rPr>
  </w:style>
  <w:style w:type="paragraph" w:styleId="1235">
    <w:name w:val="样式 正文2 + 首行缩进:  0 厘米 段后: 1.5 行"/>
    <w:basedOn w:val="989"/>
    <w:next w:val="1235"/>
    <w:link w:val="989"/>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36">
    <w:name w:val="表中文字"/>
    <w:basedOn w:val="989"/>
    <w:next w:val="1236"/>
    <w:link w:val="989"/>
    <w:pPr>
      <w:widowControl/>
    </w:pPr>
    <w:rPr>
      <w:rFonts w:ascii="Calibri" w:hAnsi="Calibri"/>
      <w:szCs w:val="20"/>
    </w:rPr>
  </w:style>
  <w:style w:type="character" w:styleId="1237">
    <w:name w:val="z1"/>
    <w:next w:val="1237"/>
    <w:link w:val="989"/>
  </w:style>
  <w:style w:type="paragraph" w:styleId="1238">
    <w:name w:val="a1"/>
    <w:basedOn w:val="989"/>
    <w:next w:val="1238"/>
    <w:link w:val="989"/>
    <w:pPr>
      <w:jc w:val="left"/>
      <w:spacing w:before="100" w:beforeAutospacing="1" w:after="100" w:afterAutospacing="1"/>
      <w:widowControl/>
    </w:pPr>
    <w:rPr>
      <w:rFonts w:ascii="宋体"/>
      <w:sz w:val="24"/>
      <w:szCs w:val="22"/>
    </w:rPr>
  </w:style>
  <w:style w:type="paragraph" w:styleId="1239">
    <w:name w:val="a0"/>
    <w:basedOn w:val="989"/>
    <w:next w:val="1239"/>
    <w:link w:val="989"/>
    <w:pPr>
      <w:jc w:val="left"/>
      <w:spacing w:before="100" w:beforeAutospacing="1" w:after="100" w:afterAutospacing="1"/>
      <w:widowControl/>
    </w:pPr>
    <w:rPr>
      <w:rFonts w:ascii="宋体"/>
      <w:sz w:val="24"/>
      <w:szCs w:val="22"/>
    </w:rPr>
  </w:style>
  <w:style w:type="paragraph" w:styleId="1240">
    <w:name w:val="tabletext"/>
    <w:basedOn w:val="989"/>
    <w:next w:val="1240"/>
    <w:link w:val="989"/>
    <w:pPr>
      <w:jc w:val="left"/>
      <w:spacing w:before="100" w:beforeAutospacing="1" w:after="100" w:afterAutospacing="1"/>
      <w:widowControl/>
    </w:pPr>
    <w:rPr>
      <w:rFonts w:ascii="宋体"/>
      <w:sz w:val="24"/>
      <w:szCs w:val="22"/>
    </w:rPr>
  </w:style>
  <w:style w:type="paragraph" w:styleId="1241">
    <w:name w:val="我的样式"/>
    <w:basedOn w:val="989"/>
    <w:next w:val="1241"/>
    <w:link w:val="989"/>
    <w:pPr>
      <w:ind w:firstLine="420"/>
      <w:jc w:val="left"/>
      <w:spacing w:after="120"/>
      <w:widowControl/>
    </w:pPr>
    <w:rPr>
      <w:rFonts w:ascii="宋体"/>
      <w:color w:val="000000"/>
      <w:sz w:val="24"/>
      <w:szCs w:val="16"/>
    </w:rPr>
  </w:style>
  <w:style w:type="paragraph" w:styleId="1242">
    <w:name w:val="Figure and Table Title"/>
    <w:basedOn w:val="989"/>
    <w:next w:val="1242"/>
    <w:link w:val="989"/>
    <w:pPr>
      <w:ind w:left="2160"/>
      <w:jc w:val="left"/>
      <w:widowControl/>
    </w:pPr>
    <w:rPr>
      <w:rFonts w:ascii="Helvetica-Light" w:hAnsi="Helvetica-Light"/>
      <w:b/>
      <w:bCs/>
      <w:sz w:val="20"/>
      <w:szCs w:val="22"/>
      <w:lang w:eastAsia="en-US"/>
    </w:rPr>
  </w:style>
  <w:style w:type="paragraph" w:styleId="1243">
    <w:name w:val="Table Text/Title"/>
    <w:basedOn w:val="989"/>
    <w:next w:val="1243"/>
    <w:link w:val="989"/>
    <w:pPr>
      <w:jc w:val="left"/>
      <w:widowControl/>
    </w:pPr>
    <w:rPr>
      <w:rFonts w:ascii="宋体"/>
      <w:b/>
      <w:bCs/>
      <w:sz w:val="20"/>
      <w:szCs w:val="20"/>
      <w:lang w:eastAsia="en-US"/>
    </w:rPr>
  </w:style>
  <w:style w:type="paragraph" w:styleId="1244">
    <w:name w:val="Sourcetext bullet"/>
    <w:basedOn w:val="989"/>
    <w:next w:val="1244"/>
    <w:link w:val="989"/>
    <w:pPr>
      <w:ind w:left="2160" w:hanging="360"/>
      <w:jc w:val="left"/>
      <w:spacing w:after="120"/>
      <w:widowControl/>
      <w:tabs>
        <w:tab w:val="left" w:pos="360" w:leader="none"/>
      </w:tabs>
    </w:pPr>
    <w:rPr>
      <w:rFonts w:ascii="Book Antiqua" w:hAnsi="Book Antiqua"/>
      <w:sz w:val="20"/>
      <w:szCs w:val="20"/>
      <w:lang w:eastAsia="en-US"/>
    </w:rPr>
  </w:style>
  <w:style w:type="paragraph" w:styleId="1245">
    <w:name w:val="无标题正文 Char Char Char Char Char Char Char Char Char Char Char Char Char Char Char Char Char Char Char Char Char Char Char Char Char Char Char1 Char"/>
    <w:basedOn w:val="989"/>
    <w:next w:val="1245"/>
    <w:link w:val="989"/>
    <w:pPr>
      <w:jc w:val="center"/>
      <w:spacing w:after="160" w:line="240" w:lineRule="exact"/>
      <w:widowControl/>
    </w:pPr>
    <w:rPr>
      <w:rFonts w:ascii="Arial" w:hAnsi="Arial"/>
      <w:sz w:val="20"/>
      <w:szCs w:val="20"/>
      <w:lang w:eastAsia="en-US"/>
    </w:rPr>
  </w:style>
  <w:style w:type="paragraph" w:styleId="1246">
    <w:name w:val=" Char Char Char Char"/>
    <w:basedOn w:val="989"/>
    <w:next w:val="1246"/>
    <w:link w:val="989"/>
    <w:pPr>
      <w:ind w:left="560" w:firstLine="200"/>
      <w:jc w:val="left"/>
      <w:spacing w:after="120" w:line="360" w:lineRule="auto"/>
      <w:widowControl/>
    </w:pPr>
    <w:rPr>
      <w:rFonts w:ascii="Verdana" w:hAnsi="Verdana"/>
      <w:sz w:val="24"/>
      <w:szCs w:val="22"/>
    </w:rPr>
  </w:style>
  <w:style w:type="character" w:styleId="1247">
    <w:name w:val="style91"/>
    <w:next w:val="1247"/>
    <w:link w:val="989"/>
    <w:rPr>
      <w:color w:val="2060c0"/>
      <w:sz w:val="24"/>
      <w:szCs w:val="24"/>
    </w:rPr>
  </w:style>
  <w:style w:type="paragraph" w:styleId="1248">
    <w:name w:val="标准小四"/>
    <w:basedOn w:val="989"/>
    <w:next w:val="1248"/>
    <w:link w:val="989"/>
    <w:pPr>
      <w:ind w:firstLine="200"/>
      <w:spacing w:line="360" w:lineRule="auto"/>
    </w:pPr>
    <w:rPr>
      <w:rFonts w:ascii="Arial" w:hAnsi="Arial"/>
      <w:sz w:val="24"/>
      <w:szCs w:val="21"/>
    </w:rPr>
  </w:style>
  <w:style w:type="paragraph" w:styleId="1249">
    <w:name w:val="样式 正文首行缩进 + 宋体 首行缩进:  0.74 厘米"/>
    <w:basedOn w:val="1059"/>
    <w:next w:val="1249"/>
    <w:link w:val="989"/>
    <w:pPr>
      <w:ind w:firstLine="210"/>
      <w:spacing w:before="120" w:after="0" w:line="380" w:lineRule="exact"/>
    </w:pPr>
    <w:rPr>
      <w:rFonts w:ascii="宋体" w:cs="宋体"/>
      <w:sz w:val="24"/>
      <w:szCs w:val="20"/>
      <w:lang w:bidi="ar-SA"/>
    </w:rPr>
  </w:style>
  <w:style w:type="paragraph" w:styleId="1250">
    <w:name w:val="默认段落字体 Para Char Char Char Char Char Char Char Char Char1"/>
    <w:basedOn w:val="989"/>
    <w:next w:val="1250"/>
    <w:link w:val="989"/>
    <w:rPr>
      <w:rFonts w:ascii="Tahoma" w:hAnsi="Tahoma"/>
      <w:sz w:val="24"/>
      <w:szCs w:val="20"/>
    </w:rPr>
  </w:style>
  <w:style w:type="paragraph" w:styleId="1251">
    <w:name w:val="正文小四"/>
    <w:basedOn w:val="989"/>
    <w:next w:val="1251"/>
    <w:link w:val="989"/>
    <w:pPr>
      <w:spacing w:line="312" w:lineRule="auto"/>
    </w:pPr>
    <w:rPr>
      <w:rFonts w:ascii="Calibri" w:hAnsi="Calibri"/>
      <w:sz w:val="24"/>
      <w:szCs w:val="22"/>
    </w:rPr>
  </w:style>
  <w:style w:type="paragraph" w:styleId="1252">
    <w:name w:val="ul"/>
    <w:basedOn w:val="989"/>
    <w:next w:val="1252"/>
    <w:link w:val="989"/>
    <w:pPr>
      <w:numPr>
        <w:ilvl w:val="0"/>
        <w:numId w:val="1"/>
      </w:numPr>
      <w:ind w:left="567" w:hanging="85"/>
      <w:jc w:val="left"/>
      <w:spacing w:line="360" w:lineRule="auto"/>
      <w:widowControl/>
      <w:tabs>
        <w:tab w:val="left" w:pos="842" w:leader="none"/>
      </w:tabs>
    </w:pPr>
    <w:rPr>
      <w:rFonts w:ascii="Calibri" w:hAnsi="Calibri"/>
      <w:sz w:val="24"/>
      <w:szCs w:val="22"/>
    </w:rPr>
  </w:style>
  <w:style w:type="paragraph" w:styleId="1253">
    <w:name w:val="Bullet"/>
    <w:basedOn w:val="989"/>
    <w:next w:val="1253"/>
    <w:link w:val="989"/>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4">
    <w:name w:val="正文（首行缩进）"/>
    <w:basedOn w:val="989"/>
    <w:next w:val="1254"/>
    <w:link w:val="989"/>
    <w:pPr>
      <w:ind w:firstLine="482"/>
      <w:spacing w:before="120" w:line="360" w:lineRule="auto"/>
      <w:widowControl/>
    </w:pPr>
    <w:rPr>
      <w:rFonts w:ascii="Calibri" w:hAnsi="Calibri"/>
      <w:sz w:val="24"/>
      <w:szCs w:val="20"/>
    </w:rPr>
  </w:style>
  <w:style w:type="character" w:styleId="1255">
    <w:name w:val="style161"/>
    <w:next w:val="1255"/>
    <w:link w:val="989"/>
    <w:rPr>
      <w:rFonts w:ascii="Verdana" w:hAnsi="Verdana" w:eastAsia="宋体"/>
      <w:b/>
      <w:color w:val="0a246a"/>
      <w:sz w:val="24"/>
      <w:szCs w:val="24"/>
      <w:lang w:val="en-US" w:eastAsia="zh-CN" w:bidi="ar-SA"/>
    </w:rPr>
  </w:style>
  <w:style w:type="paragraph" w:styleId="1256">
    <w:name w:val="正文（首行缩进两字）"/>
    <w:basedOn w:val="989"/>
    <w:next w:val="1256"/>
    <w:link w:val="989"/>
    <w:pPr>
      <w:spacing w:line="312" w:lineRule="auto"/>
    </w:pPr>
    <w:rPr>
      <w:rFonts w:ascii="宋体" w:cs="宋体"/>
      <w:sz w:val="24"/>
      <w:szCs w:val="22"/>
      <w:lang w:bidi="ar-SA"/>
    </w:rPr>
  </w:style>
  <w:style w:type="paragraph" w:styleId="1257">
    <w:name w:val="正文文字缩进 3"/>
    <w:basedOn w:val="989"/>
    <w:next w:val="1257"/>
    <w:link w:val="989"/>
    <w:pPr>
      <w:ind w:left="420" w:firstLine="420"/>
      <w:spacing w:line="312" w:lineRule="auto"/>
    </w:pPr>
    <w:rPr>
      <w:rFonts w:ascii="黑体" w:hAnsi="黑体" w:cs="宋体"/>
      <w:bCs/>
      <w:color w:val="000000"/>
      <w:sz w:val="24"/>
      <w:szCs w:val="22"/>
      <w:lang w:bidi="ar-SA"/>
    </w:rPr>
  </w:style>
  <w:style w:type="paragraph" w:styleId="1258">
    <w:name w:val="技术方案3"/>
    <w:basedOn w:val="989"/>
    <w:next w:val="1258"/>
    <w:link w:val="989"/>
    <w:pPr>
      <w:spacing w:line="360" w:lineRule="auto"/>
    </w:pPr>
    <w:rPr>
      <w:rFonts w:ascii="宋体"/>
      <w:b/>
      <w:bCs/>
      <w:sz w:val="32"/>
      <w:szCs w:val="22"/>
    </w:rPr>
  </w:style>
  <w:style w:type="paragraph" w:styleId="1259">
    <w:name w:val="技术方案2"/>
    <w:basedOn w:val="989"/>
    <w:next w:val="1259"/>
    <w:link w:val="989"/>
    <w:pPr>
      <w:spacing w:line="480" w:lineRule="auto"/>
    </w:pPr>
    <w:rPr>
      <w:rFonts w:ascii="宋体"/>
      <w:b/>
      <w:bCs/>
      <w:sz w:val="36"/>
      <w:szCs w:val="22"/>
    </w:rPr>
  </w:style>
  <w:style w:type="paragraph" w:styleId="1260">
    <w:name w:val="技术方案正文"/>
    <w:basedOn w:val="989"/>
    <w:next w:val="1260"/>
    <w:link w:val="989"/>
    <w:pPr>
      <w:ind w:firstLine="480"/>
      <w:spacing w:line="360" w:lineRule="auto"/>
    </w:pPr>
    <w:rPr>
      <w:rFonts w:ascii="宋体"/>
      <w:sz w:val="24"/>
      <w:szCs w:val="22"/>
    </w:rPr>
  </w:style>
  <w:style w:type="paragraph" w:styleId="1261">
    <w:name w:val="Default"/>
    <w:next w:val="1261"/>
    <w:link w:val="989"/>
    <w:pPr>
      <w:widowControl w:val="off"/>
    </w:pPr>
    <w:rPr>
      <w:rFonts w:ascii="宋体" w:cs="宋体"/>
      <w:color w:val="000000"/>
      <w:sz w:val="24"/>
      <w:szCs w:val="24"/>
      <w:lang w:val="en-US" w:eastAsia="zh-CN" w:bidi="ar-SA"/>
    </w:rPr>
  </w:style>
  <w:style w:type="paragraph" w:styleId="1262">
    <w:name w:val="Normal Paragraph"/>
    <w:basedOn w:val="989"/>
    <w:next w:val="1262"/>
    <w:link w:val="989"/>
    <w:pPr>
      <w:ind w:firstLine="425"/>
      <w:spacing w:before="120" w:line="360" w:lineRule="auto"/>
      <w:widowControl/>
    </w:pPr>
    <w:rPr>
      <w:rFonts w:ascii="Calibri" w:hAnsi="Calibri"/>
      <w:sz w:val="24"/>
      <w:szCs w:val="20"/>
    </w:rPr>
  </w:style>
  <w:style w:type="paragraph" w:styleId="1263">
    <w:name w:val="Normal Paragraph Char"/>
    <w:basedOn w:val="989"/>
    <w:next w:val="1263"/>
    <w:link w:val="989"/>
    <w:pPr>
      <w:ind w:firstLine="425"/>
      <w:spacing w:before="120" w:line="360" w:lineRule="auto"/>
      <w:widowControl/>
    </w:pPr>
    <w:rPr>
      <w:rFonts w:ascii="Calibri" w:hAnsi="Calibri"/>
      <w:sz w:val="24"/>
      <w:szCs w:val="22"/>
    </w:rPr>
  </w:style>
  <w:style w:type="paragraph" w:styleId="1264">
    <w:name w:val="文档正文"/>
    <w:basedOn w:val="989"/>
    <w:next w:val="1264"/>
    <w:link w:val="989"/>
    <w:rPr>
      <w:rFonts w:ascii="宋体"/>
      <w:szCs w:val="20"/>
    </w:rPr>
  </w:style>
  <w:style w:type="paragraph" w:styleId="1265">
    <w:name w:val="默认段落字体 Para Char Char Char Char Char"/>
    <w:basedOn w:val="989"/>
    <w:next w:val="1265"/>
    <w:link w:val="989"/>
    <w:pPr>
      <w:ind w:firstLine="200"/>
      <w:jc w:val="left"/>
      <w:spacing w:before="100" w:beforeAutospacing="1" w:after="100" w:afterAutospacing="1" w:line="360" w:lineRule="auto"/>
    </w:pPr>
    <w:rPr>
      <w:rFonts w:ascii="Arial" w:hAnsi="Arial"/>
      <w:sz w:val="24"/>
      <w:szCs w:val="22"/>
      <w:lang w:eastAsia="en-US"/>
    </w:rPr>
  </w:style>
  <w:style w:type="paragraph" w:styleId="1266">
    <w:name w:val="标题2"/>
    <w:basedOn w:val="989"/>
    <w:next w:val="1266"/>
    <w:link w:val="989"/>
    <w:pPr>
      <w:tabs>
        <w:tab w:val="left" w:pos="0" w:leader="none"/>
      </w:tabs>
    </w:pPr>
    <w:rPr>
      <w:rFonts w:ascii="黑体" w:eastAsia="黑体"/>
      <w:sz w:val="24"/>
      <w:szCs w:val="22"/>
    </w:rPr>
  </w:style>
  <w:style w:type="paragraph" w:styleId="1267">
    <w:name w:val=" Char Char Char Char Char Char Char Char Char Char Char Char Char"/>
    <w:basedOn w:val="989"/>
    <w:next w:val="1267"/>
    <w:link w:val="989"/>
    <w:pPr>
      <w:jc w:val="left"/>
      <w:spacing w:after="160" w:line="240" w:lineRule="exact"/>
      <w:widowControl/>
    </w:pPr>
    <w:rPr>
      <w:rFonts w:ascii="Arial" w:hAnsi="Arial" w:eastAsia="Times New Roman" w:cs="Verdana"/>
      <w:b/>
      <w:sz w:val="24"/>
      <w:szCs w:val="32"/>
      <w:lang w:eastAsia="en-US" w:bidi="ar-SA"/>
    </w:rPr>
  </w:style>
  <w:style w:type="paragraph" w:styleId="1268">
    <w:name w:val="样式2"/>
    <w:basedOn w:val="992"/>
    <w:next w:val="1268"/>
    <w:link w:val="989"/>
    <w:pPr>
      <w:spacing w:line="415" w:lineRule="auto"/>
    </w:pPr>
    <w:rPr>
      <w:rFonts w:ascii="Calibri" w:hAnsi="Calibri"/>
      <w:bCs/>
      <w:color w:val="000000"/>
      <w:sz w:val="28"/>
      <w:szCs w:val="28"/>
    </w:rPr>
  </w:style>
  <w:style w:type="paragraph" w:styleId="1269">
    <w:name w:val="样式3"/>
    <w:basedOn w:val="992"/>
    <w:next w:val="1269"/>
    <w:link w:val="989"/>
    <w:pPr>
      <w:spacing w:line="415" w:lineRule="auto"/>
    </w:pPr>
    <w:rPr>
      <w:rFonts w:ascii="Calibri" w:hAnsi="Calibri"/>
      <w:bCs/>
      <w:color w:val="000000"/>
      <w:sz w:val="28"/>
      <w:szCs w:val="28"/>
    </w:rPr>
  </w:style>
  <w:style w:type="paragraph" w:styleId="1270">
    <w:name w:val="样式4"/>
    <w:basedOn w:val="992"/>
    <w:next w:val="1270"/>
    <w:link w:val="989"/>
    <w:pPr>
      <w:spacing w:line="415" w:lineRule="auto"/>
    </w:pPr>
    <w:rPr>
      <w:rFonts w:ascii="Calibri" w:hAnsi="Calibri"/>
      <w:bCs/>
      <w:color w:val="000000"/>
      <w:sz w:val="28"/>
      <w:szCs w:val="28"/>
    </w:rPr>
  </w:style>
  <w:style w:type="paragraph" w:styleId="1271">
    <w:name w:val="样式5"/>
    <w:basedOn w:val="992"/>
    <w:next w:val="1271"/>
    <w:link w:val="989"/>
    <w:pPr>
      <w:spacing w:line="415" w:lineRule="auto"/>
    </w:pPr>
    <w:rPr>
      <w:rFonts w:ascii="Calibri" w:hAnsi="Calibri"/>
      <w:bCs/>
      <w:color w:val="000000"/>
      <w:sz w:val="28"/>
      <w:szCs w:val="28"/>
    </w:rPr>
  </w:style>
  <w:style w:type="paragraph" w:styleId="1272">
    <w:name w:val="样式6"/>
    <w:basedOn w:val="1204"/>
    <w:next w:val="1272"/>
    <w:link w:val="989"/>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273">
    <w:name w:val="大汉方案正文 Char"/>
    <w:basedOn w:val="989"/>
    <w:next w:val="1273"/>
    <w:link w:val="989"/>
    <w:pPr>
      <w:ind w:firstLine="200"/>
      <w:spacing w:line="360" w:lineRule="auto"/>
    </w:pPr>
    <w:rPr>
      <w:rFonts w:ascii="Arial" w:hAnsi="Arial"/>
      <w:sz w:val="24"/>
      <w:szCs w:val="22"/>
    </w:rPr>
  </w:style>
  <w:style w:type="character" w:styleId="1274">
    <w:name w:val="标题 2 Char Char Char,标题 2 Char Char Char Char,标题 2 Char Char Char Char Char"/>
    <w:next w:val="1274"/>
    <w:link w:val="989"/>
    <w:rPr>
      <w:rFonts w:ascii="Arial" w:hAnsi="Arial" w:eastAsia="宋体" w:cs="Arial"/>
      <w:b/>
      <w:bCs/>
      <w:i/>
      <w:iCs/>
      <w:sz w:val="28"/>
      <w:szCs w:val="28"/>
      <w:lang w:val="en-US" w:eastAsia="zh-CN" w:bidi="ar-SA"/>
    </w:rPr>
  </w:style>
  <w:style w:type="character" w:styleId="1275">
    <w:name w:val="question-title"/>
    <w:next w:val="1275"/>
    <w:link w:val="989"/>
  </w:style>
  <w:style w:type="paragraph" w:styleId="1276">
    <w:name w:val="说明书2级标题"/>
    <w:basedOn w:val="989"/>
    <w:next w:val="1277"/>
    <w:link w:val="989"/>
    <w:pPr>
      <w:numPr>
        <w:ilvl w:val="2"/>
        <w:numId w:val="2"/>
      </w:numPr>
      <w:spacing w:before="100"/>
      <w:tabs>
        <w:tab w:val="left" w:pos="1680" w:leader="none"/>
      </w:tabs>
    </w:pPr>
    <w:rPr>
      <w:rFonts w:ascii="Calibri" w:hAnsi="Calibri" w:eastAsia="黑体"/>
      <w:sz w:val="28"/>
      <w:szCs w:val="28"/>
    </w:rPr>
  </w:style>
  <w:style w:type="paragraph" w:styleId="1277">
    <w:name w:val="说明书3级标题"/>
    <w:basedOn w:val="989"/>
    <w:next w:val="989"/>
    <w:link w:val="989"/>
    <w:pPr>
      <w:numPr>
        <w:ilvl w:val="2"/>
        <w:numId w:val="3"/>
      </w:numPr>
      <w:spacing w:line="360" w:lineRule="auto"/>
      <w:tabs>
        <w:tab w:val="left" w:pos="0" w:leader="none"/>
      </w:tabs>
    </w:pPr>
    <w:rPr>
      <w:rFonts w:ascii="Calibri" w:hAnsi="Calibri" w:eastAsia="黑体"/>
      <w:sz w:val="24"/>
      <w:szCs w:val="22"/>
    </w:rPr>
  </w:style>
  <w:style w:type="character" w:styleId="1278">
    <w:name w:val="style15"/>
    <w:next w:val="1278"/>
    <w:link w:val="989"/>
  </w:style>
  <w:style w:type="paragraph" w:styleId="1279">
    <w:name w:val="列出段落[858D7CFB-ED40-4347-BF05-701D383B685F][858D7CFB-ED40-4347-BF05-701D383B685F]"/>
    <w:basedOn w:val="989"/>
    <w:next w:val="1279"/>
    <w:link w:val="989"/>
    <w:pPr>
      <w:ind w:firstLine="200"/>
    </w:pPr>
    <w:rPr>
      <w:rFonts w:ascii="Calibri" w:hAnsi="Calibri"/>
      <w:szCs w:val="22"/>
    </w:rPr>
  </w:style>
  <w:style w:type="paragraph" w:styleId="1280">
    <w:name w:val="默认段落字体 Para Char Char Char Char Char Char Char Char Char1 Char Char Char Char Char Char Char Char"/>
    <w:basedOn w:val="1014"/>
    <w:next w:val="1280"/>
    <w:link w:val="989"/>
    <w:rPr>
      <w:rFonts w:ascii="Calibri" w:hAnsi="Calibri"/>
      <w:szCs w:val="22"/>
    </w:rPr>
  </w:style>
  <w:style w:type="paragraph" w:styleId="1281">
    <w:name w:val="style42"/>
    <w:basedOn w:val="989"/>
    <w:next w:val="1281"/>
    <w:link w:val="989"/>
    <w:pPr>
      <w:jc w:val="left"/>
      <w:spacing w:before="100" w:beforeAutospacing="1" w:after="100" w:afterAutospacing="1"/>
      <w:widowControl/>
    </w:pPr>
    <w:rPr>
      <w:rFonts w:ascii="宋体" w:cs="宋体"/>
      <w:color w:val="000000"/>
      <w:sz w:val="15"/>
      <w:szCs w:val="15"/>
      <w:lang w:bidi="ar-SA"/>
    </w:rPr>
  </w:style>
  <w:style w:type="paragraph" w:styleId="1282">
    <w:name w:val="Char Char1 Char Char Char Char Char Char Char Char"/>
    <w:basedOn w:val="989"/>
    <w:next w:val="1282"/>
    <w:link w:val="989"/>
    <w:pPr>
      <w:jc w:val="left"/>
      <w:spacing w:after="160" w:line="240" w:lineRule="exact"/>
      <w:widowControl/>
    </w:pPr>
  </w:style>
  <w:style w:type="paragraph" w:styleId="1283">
    <w:name w:val="技术方案正文样式"/>
    <w:basedOn w:val="989"/>
    <w:next w:val="1283"/>
    <w:link w:val="989"/>
    <w:pPr>
      <w:ind w:firstLine="200"/>
      <w:spacing w:line="400" w:lineRule="exact"/>
    </w:pPr>
    <w:rPr>
      <w:rFonts w:ascii="宋体" w:cs="宋体"/>
      <w:sz w:val="24"/>
      <w:szCs w:val="21"/>
      <w:lang w:bidi="ar-SA"/>
    </w:rPr>
  </w:style>
  <w:style w:type="paragraph" w:styleId="1284">
    <w:name w:val="修订"/>
    <w:next w:val="1284"/>
    <w:link w:val="989"/>
    <w:rPr>
      <w:sz w:val="21"/>
      <w:szCs w:val="24"/>
      <w:lang w:val="en-US" w:eastAsia="zh-CN" w:bidi="ar-SA"/>
    </w:rPr>
  </w:style>
  <w:style w:type="paragraph" w:styleId="1285">
    <w:name w:val="D&amp;L"/>
    <w:basedOn w:val="1039"/>
    <w:next w:val="1285"/>
    <w:link w:val="989"/>
    <w:pPr>
      <w:spacing w:line="240" w:lineRule="atLeast"/>
      <w:tabs>
        <w:tab w:val="center" w:pos="4153" w:leader="none"/>
        <w:tab w:val="right" w:pos="8306" w:leader="none"/>
      </w:tabs>
      <w:pBdr>
        <w:bottom w:val="single" w:color="000000" w:sz="18" w:space="1"/>
      </w:pBdr>
    </w:pPr>
    <w:rPr>
      <w:sz w:val="24"/>
      <w:szCs w:val="20"/>
    </w:rPr>
  </w:style>
  <w:style w:type="paragraph" w:styleId="1286">
    <w:name w:val="样式 标题 2 + Times New Roman 四号 非加粗 段前: 5 磅 段后: 0 磅 行距: 固定值 20..."/>
    <w:basedOn w:val="991"/>
    <w:next w:val="1286"/>
    <w:link w:val="989"/>
    <w:pPr>
      <w:spacing w:before="100" w:after="0" w:line="400" w:lineRule="exact"/>
    </w:pPr>
    <w:rPr>
      <w:rFonts w:ascii="Times New Roman" w:hAnsi="Times New Roman" w:cs="宋体"/>
      <w:b w:val="0"/>
      <w:sz w:val="28"/>
      <w:szCs w:val="20"/>
    </w:rPr>
  </w:style>
  <w:style w:type="paragraph" w:styleId="1287">
    <w:name w:val="Char Char Char Char Char Char Char1 Char"/>
    <w:basedOn w:val="989"/>
    <w:next w:val="1287"/>
    <w:link w:val="989"/>
    <w:rPr>
      <w:rFonts w:ascii="Tahoma" w:hAnsi="Tahoma"/>
      <w:sz w:val="24"/>
      <w:szCs w:val="20"/>
    </w:rPr>
  </w:style>
  <w:style w:type="paragraph" w:styleId="1288">
    <w:name w:val="TOC 标题"/>
    <w:basedOn w:val="990"/>
    <w:next w:val="989"/>
    <w:link w:val="989"/>
    <w:qFormat/>
    <w:pPr>
      <w:spacing w:before="480" w:after="0" w:line="276" w:lineRule="auto"/>
      <w:widowControl/>
      <w:outlineLvl w:val="9"/>
    </w:pPr>
    <w:rPr>
      <w:rFonts w:ascii="Cambria" w:hAnsi="Cambria"/>
      <w:color w:val="365f91"/>
      <w:sz w:val="28"/>
    </w:rPr>
  </w:style>
  <w:style w:type="paragraph" w:styleId="1289">
    <w:name w:val="无间隔"/>
    <w:next w:val="1289"/>
    <w:link w:val="1290"/>
    <w:qFormat/>
    <w:rPr>
      <w:rFonts w:ascii="Calibri" w:hAnsi="Calibri"/>
      <w:sz w:val="22"/>
      <w:lang w:val="en-US" w:eastAsia="zh-CN" w:bidi="ar-SA"/>
    </w:rPr>
  </w:style>
  <w:style w:type="character" w:styleId="1290">
    <w:name w:val="无间隔 字符"/>
    <w:next w:val="1290"/>
    <w:link w:val="1289"/>
    <w:rPr>
      <w:rFonts w:ascii="Calibri" w:hAnsi="Calibri"/>
      <w:sz w:val="22"/>
      <w:lang w:bidi="ar-SA"/>
    </w:rPr>
  </w:style>
  <w:style w:type="paragraph" w:styleId="1291">
    <w:name w:val="Normal_0"/>
    <w:next w:val="1291"/>
    <w:link w:val="989"/>
    <w:qFormat/>
    <w:rPr>
      <w:rFonts w:ascii="黑体" w:hAnsi="黑体" w:eastAsia="黑体"/>
      <w:b/>
      <w:sz w:val="32"/>
      <w:szCs w:val="24"/>
      <w:lang w:bidi="ar-SA"/>
    </w:rPr>
  </w:style>
  <w:style w:type="paragraph" w:styleId="1292">
    <w:name w:val="正文_0"/>
    <w:next w:val="1292"/>
    <w:link w:val="989"/>
    <w:qFormat/>
    <w:pPr>
      <w:jc w:val="both"/>
      <w:widowControl w:val="off"/>
    </w:pPr>
    <w:rPr>
      <w:sz w:val="21"/>
      <w:szCs w:val="24"/>
      <w:lang w:val="en-US" w:eastAsia="zh-CN" w:bidi="ar-SA"/>
    </w:rPr>
  </w:style>
  <w:style w:type="paragraph" w:styleId="1293">
    <w:name w:val="Normal_1"/>
    <w:next w:val="1293"/>
    <w:link w:val="989"/>
    <w:qFormat/>
    <w:rPr>
      <w:rFonts w:ascii="黑体" w:hAnsi="黑体" w:eastAsia="黑体"/>
      <w:b/>
      <w:sz w:val="32"/>
      <w:szCs w:val="24"/>
      <w:lang w:bidi="ar-SA"/>
    </w:rPr>
  </w:style>
  <w:style w:type="paragraph" w:styleId="1294">
    <w:name w:val="正文_1_0"/>
    <w:next w:val="1294"/>
    <w:link w:val="989"/>
    <w:qFormat/>
    <w:pPr>
      <w:jc w:val="both"/>
      <w:widowControl w:val="off"/>
    </w:pPr>
    <w:rPr>
      <w:sz w:val="21"/>
      <w:szCs w:val="24"/>
      <w:lang w:val="en-US" w:eastAsia="zh-CN" w:bidi="ar-SA"/>
    </w:rPr>
  </w:style>
  <w:style w:type="paragraph" w:styleId="1295">
    <w:name w:val="正文_0_0"/>
    <w:next w:val="1295"/>
    <w:link w:val="989"/>
    <w:qFormat/>
    <w:pPr>
      <w:jc w:val="both"/>
      <w:widowControl w:val="off"/>
    </w:pPr>
    <w:rPr>
      <w:sz w:val="21"/>
      <w:szCs w:val="24"/>
      <w:lang w:val="en-US" w:eastAsia="zh-CN" w:bidi="ar-SA"/>
    </w:rPr>
  </w:style>
  <w:style w:type="paragraph" w:styleId="1296">
    <w:name w:val="正文_0_0_0"/>
    <w:next w:val="1296"/>
    <w:link w:val="989"/>
    <w:qFormat/>
    <w:pPr>
      <w:jc w:val="both"/>
      <w:widowControl w:val="off"/>
    </w:pPr>
    <w:rPr>
      <w:sz w:val="21"/>
      <w:szCs w:val="24"/>
      <w:lang w:val="en-US" w:eastAsia="zh-CN" w:bidi="ar-SA"/>
    </w:rPr>
  </w:style>
  <w:style w:type="paragraph" w:styleId="1297">
    <w:name w:val="Normal_2"/>
    <w:next w:val="1297"/>
    <w:link w:val="989"/>
    <w:qFormat/>
    <w:rPr>
      <w:rFonts w:ascii="黑体" w:hAnsi="黑体" w:eastAsia="黑体"/>
      <w:b/>
      <w:sz w:val="32"/>
      <w:szCs w:val="24"/>
      <w:lang w:bidi="ar-SA"/>
    </w:rPr>
  </w:style>
  <w:style w:type="paragraph" w:styleId="1298">
    <w:name w:val="正文_1"/>
    <w:next w:val="1298"/>
    <w:link w:val="989"/>
    <w:qFormat/>
    <w:pPr>
      <w:jc w:val="both"/>
      <w:widowControl w:val="off"/>
    </w:pPr>
    <w:rPr>
      <w:sz w:val="21"/>
      <w:szCs w:val="24"/>
      <w:lang w:val="en-US" w:eastAsia="zh-CN" w:bidi="ar-SA"/>
    </w:rPr>
  </w:style>
  <w:style w:type="paragraph" w:styleId="1299">
    <w:name w:val="Normal_3"/>
    <w:next w:val="1299"/>
    <w:link w:val="989"/>
    <w:qFormat/>
    <w:rPr>
      <w:rFonts w:ascii="黑体" w:hAnsi="黑体" w:eastAsia="黑体"/>
      <w:b/>
      <w:sz w:val="32"/>
      <w:szCs w:val="24"/>
      <w:lang w:bidi="ar-SA"/>
    </w:rPr>
  </w:style>
  <w:style w:type="paragraph" w:styleId="1300">
    <w:name w:val="Normal_4"/>
    <w:next w:val="1300"/>
    <w:link w:val="989"/>
    <w:qFormat/>
    <w:rPr>
      <w:rFonts w:ascii="黑体" w:hAnsi="黑体" w:eastAsia="黑体"/>
      <w:b/>
      <w:sz w:val="32"/>
      <w:szCs w:val="24"/>
      <w:lang w:bidi="ar-SA"/>
    </w:rPr>
  </w:style>
  <w:style w:type="paragraph" w:styleId="1301">
    <w:name w:val="Normal_5"/>
    <w:next w:val="1301"/>
    <w:link w:val="989"/>
    <w:qFormat/>
    <w:rPr>
      <w:rFonts w:ascii="黑体" w:hAnsi="黑体" w:eastAsia="黑体"/>
      <w:b/>
      <w:sz w:val="32"/>
      <w:szCs w:val="24"/>
      <w:lang w:bidi="ar-SA"/>
    </w:rPr>
  </w:style>
  <w:style w:type="paragraph" w:styleId="1302">
    <w:name w:val="正文_4"/>
    <w:next w:val="1302"/>
    <w:link w:val="989"/>
    <w:qFormat/>
    <w:pPr>
      <w:jc w:val="both"/>
      <w:widowControl w:val="off"/>
    </w:pPr>
    <w:rPr>
      <w:sz w:val="21"/>
      <w:szCs w:val="24"/>
      <w:lang w:val="en-US" w:eastAsia="zh-CN" w:bidi="ar-SA"/>
    </w:rPr>
  </w:style>
  <w:style w:type="paragraph" w:styleId="1303">
    <w:name w:val="Normal_6"/>
    <w:next w:val="1303"/>
    <w:link w:val="989"/>
    <w:qFormat/>
    <w:rPr>
      <w:rFonts w:ascii="黑体" w:hAnsi="黑体" w:eastAsia="黑体"/>
      <w:b/>
      <w:sz w:val="32"/>
      <w:szCs w:val="24"/>
      <w:lang w:bidi="ar-SA"/>
    </w:rPr>
  </w:style>
  <w:style w:type="paragraph" w:styleId="1304">
    <w:name w:val="正文_5"/>
    <w:next w:val="1304"/>
    <w:link w:val="989"/>
    <w:qFormat/>
    <w:pPr>
      <w:jc w:val="both"/>
      <w:widowControl w:val="off"/>
    </w:pPr>
    <w:rPr>
      <w:sz w:val="21"/>
      <w:lang w:val="en-US" w:eastAsia="zh-CN" w:bidi="ar-SA"/>
    </w:rPr>
  </w:style>
  <w:style w:type="paragraph" w:styleId="1305">
    <w:name w:val="Normal_7"/>
    <w:next w:val="1305"/>
    <w:link w:val="989"/>
    <w:qFormat/>
    <w:rPr>
      <w:rFonts w:ascii="黑体" w:hAnsi="黑体" w:eastAsia="黑体"/>
      <w:b/>
      <w:sz w:val="32"/>
      <w:szCs w:val="24"/>
      <w:lang w:bidi="ar-SA"/>
    </w:rPr>
  </w:style>
  <w:style w:type="paragraph" w:styleId="1306">
    <w:name w:val="Normal_8"/>
    <w:next w:val="1306"/>
    <w:link w:val="989"/>
    <w:qFormat/>
    <w:rPr>
      <w:rFonts w:eastAsia="Times New Roman"/>
      <w:sz w:val="24"/>
      <w:szCs w:val="24"/>
      <w:lang w:bidi="ar-SA"/>
    </w:rPr>
  </w:style>
  <w:style w:type="paragraph" w:styleId="1307">
    <w:name w:val="Normal_9"/>
    <w:next w:val="1307"/>
    <w:link w:val="989"/>
    <w:qFormat/>
    <w:rPr>
      <w:rFonts w:ascii="黑体" w:hAnsi="黑体" w:eastAsia="黑体"/>
      <w:b/>
      <w:sz w:val="32"/>
      <w:szCs w:val="24"/>
      <w:lang w:bidi="ar-SA"/>
    </w:rPr>
  </w:style>
  <w:style w:type="paragraph" w:styleId="1308">
    <w:name w:val="正文_6"/>
    <w:next w:val="1308"/>
    <w:link w:val="989"/>
    <w:qFormat/>
    <w:pPr>
      <w:jc w:val="both"/>
      <w:widowControl w:val="off"/>
    </w:pPr>
    <w:rPr>
      <w:rFonts w:ascii="Calibri" w:hAnsi="Calibri"/>
      <w:sz w:val="21"/>
      <w:szCs w:val="22"/>
      <w:lang w:val="en-US" w:eastAsia="zh-CN" w:bidi="ar-SA"/>
    </w:rPr>
  </w:style>
  <w:style w:type="paragraph" w:styleId="1309">
    <w:name w:val="Normal_10"/>
    <w:next w:val="1309"/>
    <w:link w:val="989"/>
    <w:qFormat/>
    <w:rPr>
      <w:rFonts w:ascii="黑体" w:hAnsi="黑体" w:eastAsia="黑体"/>
      <w:b/>
      <w:sz w:val="32"/>
      <w:szCs w:val="24"/>
      <w:lang w:bidi="ar-SA"/>
    </w:rPr>
  </w:style>
  <w:style w:type="paragraph" w:styleId="1310">
    <w:name w:val="正文_7"/>
    <w:next w:val="1310"/>
    <w:link w:val="989"/>
    <w:qFormat/>
    <w:pPr>
      <w:jc w:val="both"/>
      <w:widowControl w:val="off"/>
    </w:pPr>
    <w:rPr>
      <w:sz w:val="21"/>
      <w:szCs w:val="24"/>
      <w:lang w:val="en-US" w:eastAsia="zh-CN" w:bidi="ar-SA"/>
    </w:rPr>
  </w:style>
  <w:style w:type="paragraph" w:styleId="1311">
    <w:name w:val="正文缩进_0"/>
    <w:basedOn w:val="1310"/>
    <w:next w:val="1311"/>
    <w:link w:val="1312"/>
    <w:unhideWhenUsed/>
    <w:pPr>
      <w:ind w:firstLine="420"/>
    </w:pPr>
    <w:rPr>
      <w:szCs w:val="22"/>
    </w:rPr>
  </w:style>
  <w:style w:type="character" w:styleId="1312">
    <w:name w:val="正文缩进 Char1_0"/>
    <w:next w:val="1312"/>
    <w:link w:val="1311"/>
    <w:rPr>
      <w:sz w:val="21"/>
      <w:szCs w:val="22"/>
    </w:rPr>
  </w:style>
  <w:style w:type="paragraph" w:styleId="1313">
    <w:name w:val="纯文本_0"/>
    <w:basedOn w:val="1310"/>
    <w:next w:val="1313"/>
    <w:link w:val="1314"/>
    <w:unhideWhenUsed/>
    <w:rPr>
      <w:rFonts w:ascii="宋体" w:hAnsi="Courier New"/>
      <w:szCs w:val="21"/>
    </w:rPr>
  </w:style>
  <w:style w:type="character" w:styleId="1314">
    <w:name w:val="纯文本 Char_0"/>
    <w:next w:val="1314"/>
    <w:link w:val="1313"/>
    <w:rPr>
      <w:rFonts w:ascii="宋体" w:hAnsi="Courier New" w:cs="Courier New"/>
      <w:sz w:val="21"/>
      <w:szCs w:val="21"/>
    </w:rPr>
  </w:style>
  <w:style w:type="paragraph" w:styleId="1315">
    <w:name w:val="Normal_11"/>
    <w:next w:val="1315"/>
    <w:link w:val="989"/>
    <w:qFormat/>
    <w:rPr>
      <w:rFonts w:ascii="黑体" w:hAnsi="黑体" w:eastAsia="黑体"/>
      <w:b/>
      <w:sz w:val="32"/>
      <w:szCs w:val="24"/>
      <w:lang w:bidi="ar-SA"/>
    </w:rPr>
  </w:style>
  <w:style w:type="paragraph" w:styleId="1316">
    <w:name w:val="正文_8"/>
    <w:next w:val="1316"/>
    <w:link w:val="989"/>
    <w:qFormat/>
    <w:pPr>
      <w:jc w:val="both"/>
      <w:widowControl w:val="off"/>
    </w:pPr>
    <w:rPr>
      <w:sz w:val="21"/>
      <w:szCs w:val="24"/>
      <w:lang w:val="en-US" w:eastAsia="zh-CN" w:bidi="ar-SA"/>
    </w:rPr>
  </w:style>
  <w:style w:type="paragraph" w:styleId="1317">
    <w:name w:val="Normal_12"/>
    <w:next w:val="1317"/>
    <w:link w:val="989"/>
    <w:qFormat/>
    <w:rPr>
      <w:rFonts w:ascii="黑体" w:hAnsi="黑体" w:eastAsia="黑体"/>
      <w:b/>
      <w:sz w:val="32"/>
      <w:szCs w:val="24"/>
      <w:lang w:bidi="ar-SA"/>
    </w:rPr>
  </w:style>
  <w:style w:type="paragraph" w:styleId="1318">
    <w:name w:val="正文_9"/>
    <w:next w:val="1318"/>
    <w:link w:val="989"/>
    <w:qFormat/>
    <w:pPr>
      <w:jc w:val="both"/>
      <w:widowControl w:val="off"/>
    </w:pPr>
    <w:rPr>
      <w:sz w:val="21"/>
      <w:szCs w:val="24"/>
      <w:lang w:val="en-US" w:eastAsia="zh-CN" w:bidi="ar-SA"/>
    </w:rPr>
  </w:style>
  <w:style w:type="paragraph" w:styleId="1319">
    <w:name w:val="Normal_13"/>
    <w:next w:val="1319"/>
    <w:link w:val="989"/>
    <w:qFormat/>
    <w:rPr>
      <w:rFonts w:ascii="黑体" w:hAnsi="黑体" w:eastAsia="黑体"/>
      <w:b/>
      <w:sz w:val="32"/>
      <w:szCs w:val="24"/>
      <w:lang w:bidi="ar-SA"/>
    </w:rPr>
  </w:style>
  <w:style w:type="paragraph" w:styleId="1320">
    <w:name w:val="正文_10"/>
    <w:next w:val="1320"/>
    <w:link w:val="989"/>
    <w:qFormat/>
    <w:pPr>
      <w:jc w:val="both"/>
      <w:widowControl w:val="off"/>
    </w:pPr>
    <w:rPr>
      <w:sz w:val="21"/>
      <w:szCs w:val="24"/>
      <w:lang w:val="en-US" w:eastAsia="zh-CN" w:bidi="ar-SA"/>
    </w:rPr>
  </w:style>
  <w:style w:type="paragraph" w:styleId="1321">
    <w:name w:val="Normal_14"/>
    <w:next w:val="1321"/>
    <w:link w:val="989"/>
    <w:qFormat/>
    <w:rPr>
      <w:rFonts w:ascii="黑体" w:hAnsi="黑体" w:eastAsia="黑体"/>
      <w:b/>
      <w:sz w:val="32"/>
      <w:szCs w:val="24"/>
      <w:lang w:bidi="ar-SA"/>
    </w:rPr>
  </w:style>
  <w:style w:type="paragraph" w:styleId="1322">
    <w:name w:val="正文_11"/>
    <w:next w:val="1322"/>
    <w:link w:val="989"/>
    <w:qFormat/>
    <w:pPr>
      <w:jc w:val="both"/>
      <w:widowControl w:val="off"/>
    </w:pPr>
    <w:rPr>
      <w:sz w:val="21"/>
      <w:szCs w:val="24"/>
      <w:lang w:val="en-US" w:eastAsia="zh-CN" w:bidi="ar-SA"/>
    </w:rPr>
  </w:style>
  <w:style w:type="paragraph" w:styleId="1323">
    <w:name w:val="Normal_15"/>
    <w:next w:val="1323"/>
    <w:link w:val="989"/>
    <w:qFormat/>
    <w:rPr>
      <w:rFonts w:ascii="黑体" w:hAnsi="黑体" w:eastAsia="黑体"/>
      <w:b/>
      <w:sz w:val="32"/>
      <w:szCs w:val="24"/>
      <w:lang w:bidi="ar-SA"/>
    </w:rPr>
  </w:style>
  <w:style w:type="paragraph" w:styleId="1324">
    <w:name w:val="正文_12"/>
    <w:next w:val="1324"/>
    <w:link w:val="989"/>
    <w:qFormat/>
    <w:pPr>
      <w:jc w:val="both"/>
      <w:widowControl w:val="off"/>
    </w:pPr>
    <w:rPr>
      <w:sz w:val="21"/>
      <w:szCs w:val="24"/>
      <w:lang w:val="en-US" w:eastAsia="zh-CN" w:bidi="ar-SA"/>
    </w:rPr>
  </w:style>
  <w:style w:type="paragraph" w:styleId="1325">
    <w:name w:val="Normal_16"/>
    <w:next w:val="1325"/>
    <w:link w:val="989"/>
    <w:qFormat/>
    <w:rPr>
      <w:rFonts w:ascii="黑体" w:hAnsi="黑体" w:eastAsia="黑体"/>
      <w:b/>
      <w:sz w:val="32"/>
      <w:szCs w:val="24"/>
      <w:lang w:bidi="ar-SA"/>
    </w:rPr>
  </w:style>
  <w:style w:type="paragraph" w:styleId="1326">
    <w:name w:val="正文_13"/>
    <w:next w:val="1326"/>
    <w:link w:val="989"/>
    <w:qFormat/>
    <w:pPr>
      <w:jc w:val="both"/>
      <w:widowControl w:val="off"/>
    </w:pPr>
    <w:rPr>
      <w:sz w:val="21"/>
      <w:szCs w:val="24"/>
      <w:lang w:val="en-US" w:eastAsia="zh-CN" w:bidi="ar-SA"/>
    </w:rPr>
  </w:style>
  <w:style w:type="paragraph" w:styleId="1327">
    <w:name w:val="正文_14"/>
    <w:next w:val="1327"/>
    <w:link w:val="989"/>
    <w:qFormat/>
    <w:pPr>
      <w:jc w:val="both"/>
      <w:widowControl w:val="off"/>
    </w:pPr>
    <w:rPr>
      <w:rFonts w:ascii="Calibri" w:hAnsi="Calibri"/>
      <w:sz w:val="21"/>
      <w:szCs w:val="22"/>
      <w:lang w:val="en-US" w:eastAsia="zh-CN" w:bidi="ar-SA"/>
    </w:rPr>
  </w:style>
  <w:style w:type="paragraph" w:styleId="1328">
    <w:name w:val="Normal_17"/>
    <w:next w:val="1328"/>
    <w:link w:val="989"/>
    <w:qFormat/>
    <w:rPr>
      <w:rFonts w:ascii="黑体" w:hAnsi="黑体" w:eastAsia="黑体"/>
      <w:b/>
      <w:sz w:val="32"/>
      <w:szCs w:val="24"/>
      <w:lang w:bidi="ar-SA"/>
    </w:rPr>
  </w:style>
  <w:style w:type="paragraph" w:styleId="1329">
    <w:name w:val="Normal_18"/>
    <w:next w:val="1329"/>
    <w:link w:val="989"/>
    <w:qFormat/>
    <w:rPr>
      <w:rFonts w:ascii="黑体" w:hAnsi="黑体" w:eastAsia="黑体"/>
      <w:b/>
      <w:sz w:val="32"/>
      <w:szCs w:val="24"/>
      <w:lang w:bidi="ar-SA"/>
    </w:rPr>
  </w:style>
  <w:style w:type="paragraph" w:styleId="1330">
    <w:name w:val="正文_15"/>
    <w:next w:val="1330"/>
    <w:link w:val="989"/>
    <w:qFormat/>
    <w:pPr>
      <w:jc w:val="both"/>
      <w:widowControl w:val="off"/>
    </w:pPr>
    <w:rPr>
      <w:rFonts w:ascii="Calibri" w:hAnsi="Calibri"/>
      <w:sz w:val="21"/>
      <w:szCs w:val="22"/>
      <w:lang w:val="en-US" w:eastAsia="zh-CN" w:bidi="ar-SA"/>
    </w:rPr>
  </w:style>
  <w:style w:type="paragraph" w:styleId="1331">
    <w:name w:val="Normal_0_0"/>
    <w:next w:val="1331"/>
    <w:link w:val="989"/>
    <w:qFormat/>
    <w:rPr>
      <w:rFonts w:ascii="黑体" w:hAnsi="黑体" w:eastAsia="黑体"/>
      <w:b/>
      <w:sz w:val="40"/>
      <w:szCs w:val="24"/>
      <w:lang w:bidi="ar-SA"/>
    </w:rPr>
  </w:style>
  <w:style w:type="paragraph" w:styleId="1332">
    <w:name w:val="Normal_1_0"/>
    <w:next w:val="1332"/>
    <w:link w:val="989"/>
    <w:qFormat/>
    <w:rPr>
      <w:rFonts w:eastAsia="Times New Roman"/>
      <w:sz w:val="24"/>
      <w:szCs w:val="24"/>
      <w:lang w:bidi="ar-SA"/>
    </w:rPr>
  </w:style>
  <w:style w:type="paragraph" w:styleId="1333">
    <w:name w:val="Normal1"/>
    <w:next w:val="1333"/>
    <w:link w:val="989"/>
    <w:qFormat/>
    <w:rPr>
      <w:rFonts w:eastAsia="Times New Roman"/>
      <w:sz w:val="24"/>
      <w:szCs w:val="24"/>
      <w:lang w:bidi="ar-SA"/>
    </w:rPr>
  </w:style>
  <w:style w:type="paragraph" w:styleId="1334">
    <w:name w:val="Normal_0_1"/>
    <w:next w:val="1334"/>
    <w:link w:val="989"/>
    <w:qFormat/>
    <w:rPr>
      <w:rFonts w:ascii="黑体" w:hAnsi="黑体" w:eastAsia="黑体"/>
      <w:b/>
      <w:sz w:val="32"/>
      <w:szCs w:val="24"/>
      <w:lang w:bidi="ar-SA"/>
    </w:rPr>
  </w:style>
  <w:style w:type="paragraph" w:styleId="1335">
    <w:name w:val="正文_2"/>
    <w:next w:val="1335"/>
    <w:link w:val="989"/>
    <w:qFormat/>
    <w:pPr>
      <w:jc w:val="both"/>
      <w:widowControl w:val="off"/>
    </w:pPr>
    <w:rPr>
      <w:rFonts w:ascii="Calibri" w:hAnsi="Calibri"/>
      <w:sz w:val="21"/>
      <w:szCs w:val="22"/>
      <w:lang w:val="en-US" w:eastAsia="zh-CN" w:bidi="ar-SA"/>
    </w:rPr>
  </w:style>
  <w:style w:type="paragraph" w:styleId="1336">
    <w:name w:val="Normal_1_1"/>
    <w:next w:val="1336"/>
    <w:link w:val="989"/>
    <w:qFormat/>
    <w:rPr>
      <w:rFonts w:ascii="黑体" w:hAnsi="黑体" w:eastAsia="黑体"/>
      <w:b/>
      <w:sz w:val="32"/>
      <w:szCs w:val="24"/>
      <w:lang w:bidi="ar-SA"/>
    </w:rPr>
  </w:style>
  <w:style w:type="paragraph" w:styleId="1337">
    <w:name w:val="正文_0_1"/>
    <w:next w:val="1337"/>
    <w:link w:val="989"/>
    <w:qFormat/>
    <w:pPr>
      <w:jc w:val="both"/>
      <w:widowControl w:val="off"/>
    </w:pPr>
    <w:rPr>
      <w:rFonts w:ascii="Calibri" w:hAnsi="Calibri"/>
      <w:sz w:val="21"/>
      <w:szCs w:val="22"/>
      <w:lang w:val="en-US" w:eastAsia="zh-CN" w:bidi="ar-SA"/>
    </w:rPr>
  </w:style>
  <w:style w:type="paragraph" w:styleId="1338">
    <w:name w:val="正文_1_1"/>
    <w:next w:val="1338"/>
    <w:link w:val="989"/>
    <w:qFormat/>
    <w:pPr>
      <w:jc w:val="both"/>
      <w:widowControl w:val="off"/>
    </w:pPr>
    <w:rPr>
      <w:rFonts w:ascii="Calibri" w:hAnsi="Calibri"/>
      <w:sz w:val="21"/>
      <w:szCs w:val="22"/>
      <w:lang w:val="en-US" w:eastAsia="zh-CN" w:bidi="ar-SA"/>
    </w:rPr>
  </w:style>
  <w:style w:type="paragraph" w:styleId="1339">
    <w:name w:val="Normal_2_0"/>
    <w:next w:val="1339"/>
    <w:link w:val="989"/>
    <w:qFormat/>
    <w:rPr>
      <w:rFonts w:ascii="黑体" w:hAnsi="黑体" w:eastAsia="黑体"/>
      <w:b/>
      <w:sz w:val="32"/>
      <w:szCs w:val="24"/>
      <w:lang w:bidi="ar-SA"/>
    </w:rPr>
  </w:style>
  <w:style w:type="paragraph" w:styleId="1340">
    <w:name w:val="Normal_3_0"/>
    <w:next w:val="1340"/>
    <w:link w:val="989"/>
    <w:qFormat/>
    <w:pPr>
      <w:jc w:val="both"/>
      <w:widowControl w:val="off"/>
    </w:pPr>
    <w:rPr>
      <w:rFonts w:ascii="Calibri" w:hAnsi="Calibri"/>
      <w:sz w:val="21"/>
      <w:szCs w:val="22"/>
      <w:lang w:bidi="ar-SA"/>
    </w:rPr>
  </w:style>
  <w:style w:type="paragraph" w:styleId="1341">
    <w:name w:val="Normal_4_0"/>
    <w:next w:val="1341"/>
    <w:link w:val="989"/>
    <w:qFormat/>
    <w:rPr>
      <w:rFonts w:ascii="黑体" w:hAnsi="黑体" w:eastAsia="黑体"/>
      <w:b/>
      <w:sz w:val="32"/>
      <w:szCs w:val="24"/>
      <w:lang w:bidi="ar-SA"/>
    </w:rPr>
  </w:style>
  <w:style w:type="paragraph" w:styleId="1342">
    <w:name w:val="Normal_5_0"/>
    <w:next w:val="1342"/>
    <w:link w:val="989"/>
    <w:qFormat/>
    <w:pPr>
      <w:jc w:val="both"/>
      <w:widowControl w:val="off"/>
    </w:pPr>
    <w:rPr>
      <w:rFonts w:ascii="Calibri" w:hAnsi="Calibri"/>
      <w:sz w:val="21"/>
      <w:szCs w:val="22"/>
      <w:lang w:bidi="ar-SA"/>
    </w:rPr>
  </w:style>
  <w:style w:type="paragraph" w:styleId="1343">
    <w:name w:val="Normal_6_0"/>
    <w:next w:val="1343"/>
    <w:link w:val="989"/>
    <w:qFormat/>
    <w:rPr>
      <w:rFonts w:ascii="黑体" w:hAnsi="黑体" w:eastAsia="黑体"/>
      <w:b/>
      <w:sz w:val="32"/>
      <w:szCs w:val="24"/>
      <w:lang w:bidi="ar-SA"/>
    </w:rPr>
  </w:style>
  <w:style w:type="paragraph" w:styleId="1344">
    <w:name w:val="正文_1_0_0"/>
    <w:next w:val="1344"/>
    <w:link w:val="989"/>
    <w:qFormat/>
    <w:pPr>
      <w:jc w:val="both"/>
      <w:widowControl w:val="off"/>
    </w:pPr>
    <w:rPr>
      <w:sz w:val="21"/>
      <w:lang w:val="en-US" w:eastAsia="zh-CN" w:bidi="ar-SA"/>
    </w:rPr>
  </w:style>
  <w:style w:type="paragraph" w:styleId="1345">
    <w:name w:val="正文_0_0_0_0"/>
    <w:next w:val="1345"/>
    <w:link w:val="989"/>
    <w:qFormat/>
    <w:pPr>
      <w:jc w:val="both"/>
      <w:widowControl w:val="off"/>
    </w:pPr>
    <w:rPr>
      <w:sz w:val="21"/>
      <w:szCs w:val="24"/>
      <w:lang w:val="en-US" w:eastAsia="zh-CN" w:bidi="ar-SA"/>
    </w:rPr>
  </w:style>
  <w:style w:type="paragraph" w:styleId="1346">
    <w:name w:val="正文_1_0_0_0"/>
    <w:next w:val="1346"/>
    <w:link w:val="989"/>
    <w:qFormat/>
    <w:pPr>
      <w:jc w:val="both"/>
      <w:widowControl w:val="off"/>
    </w:pPr>
    <w:rPr>
      <w:sz w:val="21"/>
      <w:lang w:val="en-US" w:eastAsia="zh-CN" w:bidi="ar-SA"/>
    </w:rPr>
  </w:style>
  <w:style w:type="paragraph" w:styleId="1347">
    <w:name w:val="Normal_7_0"/>
    <w:next w:val="1347"/>
    <w:link w:val="989"/>
    <w:qFormat/>
    <w:rPr>
      <w:rFonts w:ascii="黑体" w:hAnsi="黑体" w:eastAsia="黑体"/>
      <w:b/>
      <w:sz w:val="32"/>
      <w:szCs w:val="24"/>
      <w:lang w:bidi="ar-SA"/>
    </w:rPr>
  </w:style>
  <w:style w:type="paragraph" w:styleId="1348">
    <w:name w:val="Normal_8_0"/>
    <w:next w:val="1348"/>
    <w:link w:val="989"/>
    <w:qFormat/>
    <w:rPr>
      <w:rFonts w:eastAsia="Times New Roman"/>
      <w:sz w:val="24"/>
      <w:szCs w:val="24"/>
      <w:lang w:bidi="ar-SA"/>
    </w:rPr>
  </w:style>
  <w:style w:type="paragraph" w:styleId="1349">
    <w:name w:val="Normal_9_0"/>
    <w:next w:val="1349"/>
    <w:link w:val="989"/>
    <w:qFormat/>
    <w:rPr>
      <w:rFonts w:eastAsia="Times New Roman"/>
      <w:sz w:val="24"/>
      <w:szCs w:val="24"/>
      <w:lang w:bidi="ar-SA"/>
    </w:rPr>
  </w:style>
  <w:style w:type="paragraph" w:styleId="1350">
    <w:name w:val="Normal_10_0"/>
    <w:next w:val="1350"/>
    <w:link w:val="989"/>
    <w:qFormat/>
    <w:rPr>
      <w:rFonts w:ascii="黑体" w:hAnsi="黑体" w:eastAsia="黑体"/>
      <w:b/>
      <w:sz w:val="32"/>
      <w:szCs w:val="24"/>
      <w:lang w:bidi="ar-SA"/>
    </w:rPr>
  </w:style>
  <w:style w:type="paragraph" w:styleId="1351">
    <w:name w:val="正文_3"/>
    <w:next w:val="1352"/>
    <w:link w:val="989"/>
    <w:qFormat/>
    <w:pPr>
      <w:jc w:val="both"/>
      <w:widowControl w:val="off"/>
    </w:pPr>
    <w:rPr>
      <w:rFonts w:ascii="Calibri" w:hAnsi="Calibri"/>
      <w:sz w:val="21"/>
      <w:szCs w:val="22"/>
      <w:lang w:val="en-US" w:eastAsia="zh-CN" w:bidi="ar-SA"/>
    </w:rPr>
  </w:style>
  <w:style w:type="paragraph" w:styleId="1352">
    <w:name w:val="正文首行缩进 2_1"/>
    <w:next w:val="1353"/>
    <w:link w:val="989"/>
    <w:qFormat/>
    <w:pPr>
      <w:ind w:left="200" w:firstLine="200"/>
      <w:jc w:val="both"/>
      <w:spacing w:after="120"/>
      <w:widowControl w:val="off"/>
    </w:pPr>
    <w:rPr>
      <w:rFonts w:ascii="Times New Roman" w:hAnsi="Calibri" w:eastAsia="仿宋_GB2312" w:cs="Times New Roman"/>
      <w:sz w:val="32"/>
      <w:szCs w:val="24"/>
      <w:lang w:val="en-US" w:eastAsia="zh-CN" w:bidi="ar-SA"/>
    </w:rPr>
  </w:style>
  <w:style w:type="paragraph" w:styleId="1353">
    <w:name w:val="xl53_0"/>
    <w:next w:val="1351"/>
    <w:link w:val="98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354">
    <w:name w:val="正文_4_0"/>
    <w:next w:val="1354"/>
    <w:link w:val="989"/>
    <w:qFormat/>
    <w:pPr>
      <w:jc w:val="both"/>
      <w:widowControl w:val="off"/>
    </w:pPr>
    <w:rPr>
      <w:rFonts w:ascii="Calibri" w:hAnsi="Calibri"/>
      <w:sz w:val="21"/>
      <w:szCs w:val="22"/>
      <w:lang w:val="en-US" w:eastAsia="zh-CN" w:bidi="ar-SA"/>
    </w:rPr>
  </w:style>
  <w:style w:type="paragraph" w:styleId="1355">
    <w:name w:val="Normal_11_0"/>
    <w:next w:val="1355"/>
    <w:link w:val="989"/>
    <w:qFormat/>
    <w:rPr>
      <w:rFonts w:ascii="黑体" w:hAnsi="黑体" w:eastAsia="黑体"/>
      <w:b/>
      <w:sz w:val="32"/>
      <w:szCs w:val="24"/>
      <w:lang w:bidi="ar-SA"/>
    </w:rPr>
  </w:style>
  <w:style w:type="paragraph" w:styleId="1356">
    <w:name w:val="Normal_12_0"/>
    <w:next w:val="1356"/>
    <w:link w:val="989"/>
    <w:qFormat/>
    <w:pPr>
      <w:jc w:val="both"/>
      <w:widowControl w:val="off"/>
    </w:pPr>
    <w:rPr>
      <w:rFonts w:ascii="Calibri" w:hAnsi="Calibri"/>
      <w:sz w:val="21"/>
      <w:szCs w:val="22"/>
      <w:lang w:bidi="ar-SA"/>
    </w:rPr>
  </w:style>
  <w:style w:type="paragraph" w:styleId="1357">
    <w:name w:val="正文_9_0"/>
    <w:next w:val="1357"/>
    <w:link w:val="989"/>
    <w:qFormat/>
    <w:pPr>
      <w:jc w:val="both"/>
      <w:widowControl w:val="off"/>
    </w:pPr>
    <w:rPr>
      <w:rFonts w:ascii="Calibri" w:hAnsi="Calibri"/>
      <w:sz w:val="21"/>
      <w:szCs w:val="22"/>
      <w:lang w:bidi="ar-SA"/>
    </w:rPr>
  </w:style>
  <w:style w:type="paragraph" w:styleId="1358">
    <w:name w:val="正文_8_1"/>
    <w:next w:val="1358"/>
    <w:link w:val="989"/>
    <w:qFormat/>
    <w:pPr>
      <w:jc w:val="both"/>
      <w:widowControl w:val="off"/>
    </w:pPr>
    <w:rPr>
      <w:rFonts w:ascii="Calibri" w:hAnsi="Calibri"/>
      <w:sz w:val="21"/>
      <w:szCs w:val="22"/>
      <w:lang w:bidi="ar-SA"/>
    </w:rPr>
  </w:style>
  <w:style w:type="paragraph" w:styleId="1359">
    <w:name w:val="正文_1_0_0_0_0"/>
    <w:next w:val="1359"/>
    <w:link w:val="989"/>
    <w:qFormat/>
    <w:pPr>
      <w:jc w:val="both"/>
      <w:widowControl w:val="off"/>
    </w:pPr>
    <w:rPr>
      <w:sz w:val="21"/>
      <w:lang w:bidi="ar-SA"/>
    </w:rPr>
  </w:style>
  <w:style w:type="paragraph" w:styleId="1360">
    <w:name w:val="列出段落_2"/>
    <w:basedOn w:val="1358"/>
    <w:next w:val="1360"/>
    <w:link w:val="989"/>
    <w:uiPriority w:val="34"/>
    <w:qFormat/>
    <w:pPr>
      <w:ind w:firstLine="420"/>
    </w:pPr>
    <w:rPr>
      <w:rFonts w:ascii="Calibri" w:hAnsi="Calibri" w:eastAsia="宋体"/>
    </w:rPr>
  </w:style>
  <w:style w:type="paragraph" w:styleId="1361">
    <w:name w:val="Normal_13_0"/>
    <w:next w:val="1361"/>
    <w:link w:val="989"/>
    <w:qFormat/>
    <w:rPr>
      <w:rFonts w:ascii="黑体" w:hAnsi="黑体" w:eastAsia="黑体"/>
      <w:b/>
      <w:sz w:val="32"/>
      <w:szCs w:val="24"/>
      <w:lang w:bidi="ar-SA"/>
    </w:rPr>
  </w:style>
  <w:style w:type="paragraph" w:styleId="1362">
    <w:name w:val="正文_7_1_0"/>
    <w:next w:val="1362"/>
    <w:link w:val="989"/>
    <w:qFormat/>
    <w:pPr>
      <w:jc w:val="both"/>
      <w:widowControl w:val="off"/>
    </w:pPr>
    <w:rPr>
      <w:rFonts w:ascii="Calibri" w:hAnsi="Calibri"/>
      <w:sz w:val="21"/>
      <w:szCs w:val="22"/>
      <w:lang w:val="en-US" w:eastAsia="zh-CN" w:bidi="ar-SA"/>
    </w:rPr>
  </w:style>
  <w:style w:type="paragraph" w:styleId="1363">
    <w:name w:val="纯文本_0_0"/>
    <w:basedOn w:val="1362"/>
    <w:next w:val="1363"/>
    <w:link w:val="1364"/>
    <w:unhideWhenUsed/>
    <w:rPr>
      <w:rFonts w:ascii="宋体" w:hAnsi="Courier New" w:eastAsia="宋体"/>
      <w:szCs w:val="21"/>
    </w:rPr>
  </w:style>
  <w:style w:type="character" w:styleId="1364">
    <w:name w:val="纯文本 Char_0_0"/>
    <w:next w:val="1364"/>
    <w:link w:val="1363"/>
    <w:rPr>
      <w:rFonts w:ascii="宋体" w:hAnsi="Courier New"/>
      <w:sz w:val="21"/>
      <w:szCs w:val="21"/>
    </w:rPr>
  </w:style>
  <w:style w:type="paragraph" w:styleId="1365">
    <w:name w:val="正文_8_0"/>
    <w:next w:val="1365"/>
    <w:link w:val="989"/>
    <w:qFormat/>
    <w:pPr>
      <w:jc w:val="both"/>
      <w:widowControl w:val="off"/>
    </w:pPr>
    <w:rPr>
      <w:rFonts w:ascii="Calibri" w:hAnsi="Calibri"/>
      <w:sz w:val="21"/>
      <w:szCs w:val="22"/>
      <w:lang w:val="en-US" w:eastAsia="zh-CN" w:bidi="ar-SA"/>
    </w:rPr>
  </w:style>
  <w:style w:type="paragraph" w:styleId="1366">
    <w:name w:val="Normal_14_0"/>
    <w:next w:val="1366"/>
    <w:link w:val="989"/>
    <w:qFormat/>
    <w:rPr>
      <w:rFonts w:ascii="黑体" w:hAnsi="黑体" w:eastAsia="黑体"/>
      <w:b/>
      <w:sz w:val="32"/>
      <w:szCs w:val="24"/>
      <w:lang w:bidi="ar-SA"/>
    </w:rPr>
  </w:style>
  <w:style w:type="paragraph" w:styleId="1367">
    <w:name w:val="正文_6_0"/>
    <w:next w:val="1367"/>
    <w:link w:val="989"/>
    <w:qFormat/>
    <w:pPr>
      <w:jc w:val="both"/>
      <w:widowControl w:val="off"/>
    </w:pPr>
    <w:rPr>
      <w:rFonts w:ascii="Calibri" w:hAnsi="Calibri"/>
      <w:sz w:val="21"/>
      <w:szCs w:val="22"/>
      <w:lang w:val="en-US" w:eastAsia="zh-CN" w:bidi="ar-SA"/>
    </w:rPr>
  </w:style>
  <w:style w:type="paragraph" w:styleId="1368">
    <w:name w:val="Normal_15_0"/>
    <w:next w:val="1368"/>
    <w:link w:val="989"/>
    <w:qFormat/>
    <w:rPr>
      <w:rFonts w:ascii="黑体" w:hAnsi="黑体" w:eastAsia="黑体"/>
      <w:b/>
      <w:sz w:val="32"/>
      <w:szCs w:val="24"/>
      <w:lang w:bidi="ar-SA"/>
    </w:rPr>
  </w:style>
  <w:style w:type="paragraph" w:styleId="1369">
    <w:name w:val="正文_7_0"/>
    <w:next w:val="1369"/>
    <w:link w:val="989"/>
    <w:qFormat/>
    <w:pPr>
      <w:jc w:val="both"/>
      <w:widowControl w:val="off"/>
    </w:pPr>
    <w:rPr>
      <w:rFonts w:ascii="Calibri" w:hAnsi="Calibri"/>
      <w:sz w:val="21"/>
      <w:szCs w:val="22"/>
      <w:lang w:val="en-US" w:eastAsia="zh-CN" w:bidi="ar-SA"/>
    </w:rPr>
  </w:style>
  <w:style w:type="paragraph" w:styleId="1370">
    <w:name w:val="正文_9_1"/>
    <w:next w:val="1370"/>
    <w:link w:val="989"/>
    <w:qFormat/>
    <w:pPr>
      <w:jc w:val="both"/>
      <w:widowControl w:val="off"/>
    </w:pPr>
    <w:rPr>
      <w:sz w:val="21"/>
      <w:szCs w:val="24"/>
      <w:lang w:val="en-US" w:eastAsia="zh-CN" w:bidi="ar-SA"/>
    </w:rPr>
  </w:style>
  <w:style w:type="paragraph" w:styleId="1371">
    <w:name w:val="Normal_16_0"/>
    <w:next w:val="1371"/>
    <w:link w:val="989"/>
    <w:qFormat/>
    <w:rPr>
      <w:rFonts w:ascii="黑体" w:hAnsi="黑体" w:eastAsia="黑体"/>
      <w:b/>
      <w:sz w:val="32"/>
      <w:szCs w:val="24"/>
      <w:lang w:bidi="ar-SA"/>
    </w:rPr>
  </w:style>
  <w:style w:type="paragraph" w:styleId="1372">
    <w:name w:val="正文_10_0"/>
    <w:next w:val="1372"/>
    <w:link w:val="989"/>
    <w:qFormat/>
    <w:pPr>
      <w:jc w:val="both"/>
      <w:widowControl w:val="off"/>
    </w:pPr>
    <w:rPr>
      <w:sz w:val="21"/>
      <w:szCs w:val="24"/>
      <w:lang w:val="en-US" w:eastAsia="zh-CN" w:bidi="ar-SA"/>
    </w:rPr>
  </w:style>
  <w:style w:type="paragraph" w:styleId="1373">
    <w:name w:val="Normal_17_0"/>
    <w:next w:val="1373"/>
    <w:link w:val="989"/>
    <w:qFormat/>
    <w:rPr>
      <w:rFonts w:ascii="黑体" w:hAnsi="黑体" w:eastAsia="黑体"/>
      <w:b/>
      <w:sz w:val="32"/>
      <w:szCs w:val="24"/>
      <w:lang w:bidi="ar-SA"/>
    </w:rPr>
  </w:style>
  <w:style w:type="paragraph" w:styleId="1374">
    <w:name w:val="正文_10_0_0"/>
    <w:next w:val="1374"/>
    <w:link w:val="989"/>
    <w:qFormat/>
    <w:pPr>
      <w:jc w:val="both"/>
      <w:widowControl w:val="off"/>
    </w:pPr>
    <w:rPr>
      <w:sz w:val="21"/>
      <w:szCs w:val="24"/>
      <w:lang w:val="en-US" w:eastAsia="zh-CN" w:bidi="ar-SA"/>
    </w:rPr>
  </w:style>
  <w:style w:type="paragraph" w:styleId="1375">
    <w:name w:val="Normal_18_0"/>
    <w:next w:val="1375"/>
    <w:link w:val="989"/>
    <w:qFormat/>
    <w:rPr>
      <w:rFonts w:ascii="黑体" w:hAnsi="黑体" w:eastAsia="黑体"/>
      <w:b/>
      <w:sz w:val="32"/>
      <w:szCs w:val="24"/>
      <w:lang w:bidi="ar-SA"/>
    </w:rPr>
  </w:style>
  <w:style w:type="paragraph" w:styleId="1376">
    <w:name w:val="正文_12_0"/>
    <w:next w:val="1376"/>
    <w:link w:val="989"/>
    <w:qFormat/>
    <w:pPr>
      <w:jc w:val="both"/>
      <w:widowControl w:val="off"/>
    </w:pPr>
    <w:rPr>
      <w:rFonts w:ascii="Calibri" w:hAnsi="Calibri"/>
      <w:sz w:val="21"/>
      <w:szCs w:val="22"/>
      <w:lang w:val="en-US" w:eastAsia="zh-CN" w:bidi="ar-SA"/>
    </w:rPr>
  </w:style>
  <w:style w:type="paragraph" w:styleId="1377">
    <w:name w:val="正文_9_1_0"/>
    <w:next w:val="1377"/>
    <w:link w:val="989"/>
    <w:qFormat/>
    <w:pPr>
      <w:jc w:val="both"/>
      <w:widowControl w:val="off"/>
    </w:pPr>
    <w:rPr>
      <w:sz w:val="21"/>
      <w:szCs w:val="24"/>
      <w:lang w:val="en-US" w:eastAsia="zh-CN" w:bidi="ar-SA"/>
    </w:rPr>
  </w:style>
  <w:style w:type="paragraph" w:styleId="1378">
    <w:name w:val="Normal_14_0_0"/>
    <w:next w:val="1378"/>
    <w:link w:val="989"/>
    <w:qFormat/>
    <w:rPr>
      <w:rFonts w:ascii="黑体" w:hAnsi="黑体" w:eastAsia="黑体"/>
      <w:b/>
      <w:sz w:val="32"/>
      <w:szCs w:val="24"/>
      <w:lang w:bidi="ar-SA"/>
    </w:rPr>
  </w:style>
  <w:style w:type="paragraph" w:styleId="1379">
    <w:name w:val="正文_12_0_0"/>
    <w:next w:val="1379"/>
    <w:link w:val="989"/>
    <w:qFormat/>
    <w:pPr>
      <w:jc w:val="both"/>
      <w:widowControl w:val="off"/>
    </w:pPr>
    <w:rPr>
      <w:sz w:val="21"/>
      <w:szCs w:val="24"/>
      <w:lang w:val="en-US" w:eastAsia="zh-CN" w:bidi="ar-SA"/>
    </w:rPr>
  </w:style>
  <w:style w:type="paragraph" w:styleId="1380">
    <w:name w:val="正文_12_0_0_0"/>
    <w:next w:val="1380"/>
    <w:link w:val="989"/>
    <w:qFormat/>
    <w:pPr>
      <w:jc w:val="both"/>
      <w:widowControl w:val="off"/>
    </w:pPr>
    <w:rPr>
      <w:sz w:val="21"/>
      <w:szCs w:val="24"/>
      <w:lang w:val="en-US" w:eastAsia="zh-CN" w:bidi="ar-SA"/>
    </w:rPr>
  </w:style>
  <w:style w:type="paragraph" w:styleId="1381">
    <w:name w:val="Normal_19"/>
    <w:next w:val="1381"/>
    <w:link w:val="989"/>
    <w:qFormat/>
    <w:rPr>
      <w:rFonts w:ascii="黑体" w:hAnsi="黑体" w:eastAsia="黑体"/>
      <w:b/>
      <w:sz w:val="32"/>
      <w:szCs w:val="24"/>
      <w:lang w:bidi="ar-SA"/>
    </w:rPr>
  </w:style>
  <w:style w:type="paragraph" w:styleId="1382">
    <w:name w:val="正文_13_0"/>
    <w:next w:val="1382"/>
    <w:link w:val="989"/>
    <w:qFormat/>
    <w:pPr>
      <w:jc w:val="both"/>
      <w:widowControl w:val="off"/>
    </w:pPr>
    <w:rPr>
      <w:rFonts w:ascii="Calibri" w:hAnsi="Calibri"/>
      <w:sz w:val="21"/>
      <w:szCs w:val="22"/>
      <w:lang w:val="en-US" w:eastAsia="zh-CN" w:bidi="ar-SA"/>
    </w:rPr>
  </w:style>
  <w:style w:type="paragraph" w:styleId="1383">
    <w:name w:val="正文_13_0_0"/>
    <w:next w:val="1383"/>
    <w:link w:val="989"/>
    <w:qFormat/>
    <w:pPr>
      <w:jc w:val="both"/>
      <w:widowControl w:val="off"/>
    </w:pPr>
    <w:rPr>
      <w:sz w:val="21"/>
      <w:szCs w:val="24"/>
      <w:lang w:val="en-US" w:eastAsia="zh-CN" w:bidi="ar-SA"/>
    </w:rPr>
  </w:style>
  <w:style w:type="paragraph" w:styleId="1384">
    <w:name w:val="正文_14_0"/>
    <w:next w:val="1384"/>
    <w:link w:val="989"/>
    <w:qFormat/>
    <w:pPr>
      <w:jc w:val="both"/>
      <w:widowControl w:val="off"/>
    </w:pPr>
    <w:rPr>
      <w:rFonts w:ascii="Calibri" w:hAnsi="Calibri"/>
      <w:sz w:val="21"/>
      <w:szCs w:val="22"/>
      <w:lang w:val="en-US" w:eastAsia="zh-CN" w:bidi="ar-SA"/>
    </w:rPr>
  </w:style>
  <w:style w:type="paragraph" w:styleId="1385">
    <w:name w:val="正文_14_0_0"/>
    <w:next w:val="1385"/>
    <w:link w:val="989"/>
    <w:qFormat/>
    <w:pPr>
      <w:jc w:val="both"/>
      <w:widowControl w:val="off"/>
    </w:pPr>
    <w:rPr>
      <w:sz w:val="21"/>
      <w:szCs w:val="24"/>
      <w:lang w:val="en-US" w:eastAsia="zh-CN" w:bidi="ar-SA"/>
    </w:rPr>
  </w:style>
  <w:style w:type="paragraph" w:styleId="1386">
    <w:name w:val="Normal_20"/>
    <w:next w:val="1386"/>
    <w:link w:val="989"/>
    <w:qFormat/>
    <w:rPr>
      <w:rFonts w:ascii="黑体" w:hAnsi="黑体" w:eastAsia="黑体"/>
      <w:b/>
      <w:sz w:val="32"/>
      <w:szCs w:val="24"/>
      <w:lang w:bidi="ar-SA"/>
    </w:rPr>
  </w:style>
  <w:style w:type="paragraph" w:styleId="1387">
    <w:name w:val="正文_15_0"/>
    <w:next w:val="1387"/>
    <w:link w:val="989"/>
    <w:qFormat/>
    <w:pPr>
      <w:jc w:val="both"/>
      <w:widowControl w:val="off"/>
    </w:pPr>
    <w:rPr>
      <w:rFonts w:ascii="Calibri" w:hAnsi="Calibri"/>
      <w:sz w:val="21"/>
      <w:szCs w:val="22"/>
      <w:lang w:val="en-US" w:eastAsia="zh-CN" w:bidi="ar-SA"/>
    </w:rPr>
  </w:style>
  <w:style w:type="paragraph" w:styleId="1388">
    <w:name w:val="Normal_0_2"/>
    <w:next w:val="1388"/>
    <w:link w:val="989"/>
    <w:qFormat/>
    <w:rPr>
      <w:rFonts w:ascii="黑体" w:hAnsi="黑体" w:eastAsia="黑体"/>
      <w:b/>
      <w:sz w:val="32"/>
      <w:szCs w:val="24"/>
      <w:lang w:bidi="ar-SA"/>
    </w:rPr>
  </w:style>
  <w:style w:type="paragraph" w:styleId="1389">
    <w:name w:val="Normal_1_2"/>
    <w:next w:val="1389"/>
    <w:link w:val="989"/>
    <w:qFormat/>
    <w:rPr>
      <w:rFonts w:eastAsia="Times New Roman"/>
      <w:sz w:val="24"/>
      <w:szCs w:val="24"/>
      <w:lang w:bidi="ar-SA"/>
    </w:rPr>
  </w:style>
  <w:style w:type="paragraph" w:styleId="1390">
    <w:name w:val="Normal_0_3"/>
    <w:next w:val="1390"/>
    <w:link w:val="989"/>
    <w:qFormat/>
    <w:rPr>
      <w:rFonts w:ascii="黑体" w:hAnsi="黑体" w:eastAsia="黑体"/>
      <w:b/>
      <w:sz w:val="32"/>
      <w:szCs w:val="24"/>
      <w:lang w:bidi="ar-SA"/>
    </w:rPr>
  </w:style>
  <w:style w:type="paragraph" w:styleId="1391">
    <w:name w:val="正文_16"/>
    <w:next w:val="1391"/>
    <w:link w:val="989"/>
    <w:qFormat/>
    <w:pPr>
      <w:jc w:val="both"/>
      <w:widowControl w:val="off"/>
    </w:pPr>
    <w:rPr>
      <w:rFonts w:ascii="Calibri" w:hAnsi="Calibri"/>
      <w:sz w:val="21"/>
      <w:szCs w:val="22"/>
      <w:lang w:val="en-US" w:eastAsia="zh-CN" w:bidi="ar-SA"/>
    </w:rPr>
  </w:style>
  <w:style w:type="paragraph" w:styleId="1392">
    <w:name w:val="Body text|1"/>
    <w:basedOn w:val="989"/>
    <w:next w:val="1392"/>
    <w:link w:val="989"/>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93">
    <w:name w:val="Fließtext"/>
    <w:basedOn w:val="989"/>
    <w:next w:val="1393"/>
    <w:link w:val="989"/>
    <w:qFormat/>
    <w:rPr>
      <w:szCs w:val="20"/>
    </w:rPr>
  </w:style>
  <w:style w:type="character" w:styleId="1394">
    <w:name w:val="NormalCharacter1"/>
    <w:next w:val="1394"/>
    <w:link w:val="989"/>
    <w:semiHidden/>
    <w:qFormat/>
    <w:rPr>
      <w:rFonts w:ascii="Calibri" w:hAnsi="Calibri" w:eastAsia="宋体"/>
      <w:sz w:val="21"/>
      <w:szCs w:val="22"/>
      <w:lang w:val="en-US" w:eastAsia="zh-CN" w:bidi="ar-SA"/>
    </w:rPr>
  </w:style>
  <w:style w:type="paragraph" w:styleId="1395">
    <w:name w:val="Table Paragraph"/>
    <w:basedOn w:val="989"/>
    <w:next w:val="1395"/>
    <w:link w:val="989"/>
    <w:uiPriority w:val="1"/>
    <w:unhideWhenUsed/>
    <w:qFormat/>
    <w:pPr>
      <w:jc w:val="left"/>
    </w:pPr>
    <w:rPr>
      <w:sz w:val="24"/>
      <w:szCs w:val="24"/>
    </w:rPr>
  </w:style>
  <w:style w:type="paragraph" w:styleId="1396">
    <w:name w:val="正文1_0_0"/>
    <w:basedOn w:val="1381"/>
    <w:next w:val="1396"/>
    <w:link w:val="989"/>
    <w:qFormat/>
    <w:pPr>
      <w:ind w:left="357" w:firstLine="420"/>
      <w:jc w:val="left"/>
      <w:spacing w:line="360" w:lineRule="auto"/>
      <w:widowControl/>
    </w:pPr>
    <w:rPr>
      <w:rFonts w:cs="Arial"/>
      <w:szCs w:val="20"/>
    </w:rPr>
  </w:style>
  <w:style w:type="paragraph" w:styleId="1397">
    <w:name w:val="首行缩进"/>
    <w:basedOn w:val="989"/>
    <w:next w:val="1397"/>
    <w:link w:val="989"/>
    <w:qFormat/>
    <w:pPr>
      <w:ind w:firstLine="480"/>
      <w:spacing w:line="360" w:lineRule="auto"/>
    </w:pPr>
    <w:rPr>
      <w:sz w:val="24"/>
    </w:rPr>
  </w:style>
  <w:style w:type="character" w:styleId="1398">
    <w:name w:val="10"/>
    <w:next w:val="1398"/>
    <w:link w:val="989"/>
    <w:qFormat/>
    <w:rPr>
      <w:rFonts w:ascii="Times New Roman" w:hAnsi="Times New Roman" w:cs="Times New Roman"/>
    </w:rPr>
  </w:style>
  <w:style w:type="paragraph" w:styleId="1399">
    <w:name w:val="正文_2_0"/>
    <w:next w:val="1399"/>
    <w:link w:val="989"/>
    <w:qFormat/>
    <w:pPr>
      <w:jc w:val="both"/>
      <w:widowControl w:val="off"/>
    </w:pPr>
    <w:rPr>
      <w:rFonts w:ascii="Calibri" w:hAnsi="Calibri" w:eastAsia="宋体" w:cs="Times New Roman"/>
      <w:sz w:val="21"/>
      <w:szCs w:val="22"/>
      <w:lang w:val="en-US" w:eastAsia="zh-CN" w:bidi="ar-SA"/>
    </w:rPr>
  </w:style>
  <w:style w:type="paragraph" w:styleId="1400">
    <w:name w:val="Normal_22"/>
    <w:next w:val="1401"/>
    <w:link w:val="989"/>
    <w:qFormat/>
    <w:pPr>
      <w:jc w:val="both"/>
      <w:widowControl w:val="off"/>
    </w:pPr>
    <w:rPr>
      <w:rFonts w:ascii="Calibri" w:hAnsi="Calibri" w:eastAsia="宋体" w:cs="Times New Roman"/>
    </w:rPr>
  </w:style>
  <w:style w:type="paragraph" w:styleId="1401">
    <w:name w:val="目录 11"/>
    <w:basedOn w:val="1400"/>
    <w:next w:val="1400"/>
    <w:link w:val="989"/>
    <w:qFormat/>
    <w:pPr>
      <w:jc w:val="left"/>
      <w:spacing w:before="120" w:after="120"/>
    </w:pPr>
    <w:rPr>
      <w:rFonts w:eastAsia="Times New Roman" w:cs="Calibri"/>
      <w:b/>
      <w:bCs/>
      <w:caps/>
      <w:sz w:val="20"/>
      <w:szCs w:val="20"/>
      <w:lang w:val="en-US" w:eastAsia="zh-CN"/>
    </w:rPr>
  </w:style>
  <w:style w:type="paragraph" w:styleId="1402">
    <w:name w:val="Body Text First Indent"/>
    <w:basedOn w:val="1403"/>
    <w:next w:val="1402"/>
    <w:link w:val="989"/>
    <w:uiPriority w:val="99"/>
    <w:unhideWhenUsed/>
    <w:qFormat/>
    <w:pPr>
      <w:ind w:firstLine="420"/>
      <w:spacing w:after="120"/>
    </w:pPr>
    <w:rPr>
      <w:rFonts w:ascii="Calibri" w:hAnsi="Calibri" w:eastAsia="宋体" w:cs="Times New Roman"/>
      <w:sz w:val="21"/>
      <w:lang w:val="en-US" w:bidi="ar-SA"/>
    </w:rPr>
  </w:style>
  <w:style w:type="paragraph" w:styleId="1403">
    <w:name w:val="Body Text"/>
    <w:basedOn w:val="1386"/>
    <w:next w:val="1403"/>
    <w:link w:val="989"/>
    <w:uiPriority w:val="1"/>
    <w:qFormat/>
    <w:rPr>
      <w:rFonts w:ascii="仿宋" w:hAnsi="仿宋" w:eastAsia="仿宋" w:cs="仿宋"/>
      <w:sz w:val="24"/>
      <w:lang w:val="zh-CN" w:bidi="zh-CN"/>
    </w:rPr>
  </w:style>
  <w:style w:type="paragraph" w:styleId="1404">
    <w:name w:val="标题 31"/>
    <w:basedOn w:val="989"/>
    <w:next w:val="1405"/>
    <w:link w:val="989"/>
    <w:qFormat/>
    <w:pPr>
      <w:keepLines/>
      <w:keepNext/>
      <w:spacing w:before="260" w:after="260" w:line="416" w:lineRule="auto"/>
      <w:outlineLvl w:val="2"/>
    </w:pPr>
    <w:rPr>
      <w:b/>
      <w:bCs/>
      <w:sz w:val="32"/>
      <w:szCs w:val="32"/>
    </w:rPr>
  </w:style>
  <w:style w:type="paragraph" w:styleId="1405">
    <w:name w:val="正文缩进1"/>
    <w:basedOn w:val="989"/>
    <w:next w:val="989"/>
    <w:link w:val="989"/>
    <w:qFormat/>
    <w:pPr>
      <w:ind w:firstLine="420"/>
    </w:pPr>
  </w:style>
  <w:style w:type="paragraph" w:styleId="1406">
    <w:name w:val="标题 11"/>
    <w:basedOn w:val="989"/>
    <w:next w:val="989"/>
    <w:link w:val="989"/>
    <w:qFormat/>
    <w:pPr>
      <w:jc w:val="center"/>
      <w:keepNext/>
      <w:outlineLvl w:val="0"/>
    </w:pPr>
    <w:rPr>
      <w:rFonts w:ascii="楷体_GB2312" w:eastAsia="楷体_GB2312"/>
      <w:sz w:val="28"/>
      <w:szCs w:val="28"/>
    </w:rPr>
  </w:style>
  <w:style w:type="paragraph" w:styleId="1407">
    <w:name w:val="Normal_19_0"/>
    <w:next w:val="1408"/>
    <w:link w:val="989"/>
    <w:qFormat/>
    <w:pPr>
      <w:jc w:val="both"/>
      <w:widowControl w:val="off"/>
    </w:pPr>
    <w:rPr>
      <w:rFonts w:ascii="Calibri" w:hAnsi="Calibri" w:eastAsia="宋体" w:cs="Times New Roman"/>
      <w:sz w:val="21"/>
      <w:szCs w:val="22"/>
      <w:lang w:val="en-US" w:eastAsia="zh-CN" w:bidi="ar-SA"/>
    </w:rPr>
  </w:style>
  <w:style w:type="paragraph" w:styleId="1408">
    <w:name w:val="Body Text First Indent_0_0"/>
    <w:basedOn w:val="1407"/>
    <w:next w:val="1408"/>
    <w:link w:val="989"/>
    <w:qFormat/>
    <w:pPr>
      <w:ind w:firstLine="100"/>
      <w:spacing w:after="120"/>
    </w:pPr>
    <w:rPr>
      <w:rFonts w:ascii="Times New Roman" w:hAnsi="Times New Roman"/>
    </w:rPr>
  </w:style>
  <w:style w:type="paragraph" w:styleId="1409">
    <w:name w:val="正文1_0"/>
    <w:next w:val="1409"/>
    <w:link w:val="989"/>
    <w:qFormat/>
    <w:pPr>
      <w:jc w:val="both"/>
      <w:widowControl w:val="off"/>
    </w:pPr>
    <w:rPr>
      <w:rFonts w:ascii="Times New Roman" w:hAnsi="Times New Roman" w:eastAsia="宋体" w:cs="Times New Roman"/>
      <w:szCs w:val="24"/>
    </w:rPr>
  </w:style>
  <w:style w:type="paragraph" w:styleId="1410">
    <w:name w:val="Normal (Web)"/>
    <w:basedOn w:val="1407"/>
    <w:next w:val="1410"/>
    <w:link w:val="989"/>
    <w:qFormat/>
    <w:pPr>
      <w:jc w:val="left"/>
      <w:spacing w:beforeAutospacing="1" w:afterAutospacing="1"/>
    </w:pPr>
    <w:rPr>
      <w:rFonts w:eastAsia="Times New Roman"/>
      <w:sz w:val="24"/>
    </w:rPr>
  </w:style>
  <w:style w:type="paragraph" w:styleId="1411">
    <w:name w:val="正文_16_0_0"/>
    <w:next w:val="1409"/>
    <w:link w:val="989"/>
    <w:qFormat/>
    <w:pPr>
      <w:jc w:val="both"/>
      <w:widowControl w:val="off"/>
    </w:pPr>
    <w:rPr>
      <w:rFonts w:ascii="Calibri" w:hAnsi="Calibri" w:eastAsia="宋体" w:cs="Times New Roman"/>
      <w:sz w:val="21"/>
      <w:szCs w:val="22"/>
    </w:rPr>
  </w:style>
  <w:style w:type="paragraph" w:styleId="1412">
    <w:name w:val="标题 21"/>
    <w:basedOn w:val="989"/>
    <w:next w:val="989"/>
    <w:link w:val="989"/>
    <w:qFormat/>
    <w:pPr>
      <w:jc w:val="center"/>
      <w:keepLines/>
      <w:keepNext/>
      <w:spacing w:before="260" w:after="260" w:line="416" w:lineRule="auto"/>
      <w:outlineLvl w:val="1"/>
    </w:pPr>
    <w:rPr>
      <w:rFonts w:ascii="Arial" w:hAnsi="Arial" w:eastAsia="幼圆" w:cs="Arial"/>
      <w:b/>
      <w:bCs/>
      <w:sz w:val="44"/>
      <w:szCs w:val="44"/>
    </w:rPr>
  </w:style>
  <w:style w:type="paragraph" w:styleId="1413">
    <w:name w:val="正文文本12"/>
    <w:basedOn w:val="989"/>
    <w:next w:val="1413"/>
    <w:link w:val="989"/>
    <w:uiPriority w:val="1"/>
    <w:qFormat/>
    <w:pPr>
      <w:ind w:left="120"/>
    </w:pPr>
    <w:rPr>
      <w:rFonts w:ascii="宋体" w:hAnsi="宋体" w:eastAsia="宋体" w:cs="宋体"/>
      <w:sz w:val="21"/>
      <w:szCs w:val="21"/>
      <w:lang w:val="zh-CN" w:eastAsia="zh-CN" w:bidi="zh-CN"/>
    </w:rPr>
  </w:style>
  <w:style w:type="paragraph" w:styleId="1414">
    <w:name w:val="正文_3_0"/>
    <w:next w:val="1414"/>
    <w:link w:val="989"/>
    <w:qFormat/>
    <w:pPr>
      <w:jc w:val="both"/>
      <w:widowControl w:val="off"/>
    </w:pPr>
    <w:rPr>
      <w:rFonts w:ascii="Calibri" w:hAnsi="Calibri" w:eastAsia="宋体" w:cs="Times New Roman"/>
      <w:sz w:val="21"/>
      <w:szCs w:val="22"/>
      <w:lang w:val="en-US" w:eastAsia="zh-CN" w:bidi="ar-SA"/>
    </w:rPr>
  </w:style>
  <w:style w:type="paragraph" w:styleId="1415">
    <w:name w:val="正文文本缩进_1"/>
    <w:next w:val="1352"/>
    <w:link w:val="989"/>
    <w:qFormat/>
    <w:pPr>
      <w:ind w:firstLine="225"/>
      <w:jc w:val="both"/>
      <w:widowControl w:val="off"/>
    </w:pPr>
    <w:rPr>
      <w:rFonts w:ascii="仿宋_GB2312" w:hAnsi="Calibri" w:eastAsia="仿宋_GB2312" w:cs="Times New Roman"/>
      <w:sz w:val="32"/>
      <w:szCs w:val="22"/>
      <w:lang w:val="en-US" w:eastAsia="zh-CN" w:bidi="ar-SA"/>
    </w:rPr>
  </w:style>
  <w:style w:type="paragraph" w:styleId="1416">
    <w:name w:val="正文_18"/>
    <w:next w:val="1415"/>
    <w:link w:val="989"/>
    <w:qFormat/>
    <w:pPr>
      <w:jc w:val="both"/>
      <w:widowControl w:val="off"/>
    </w:pPr>
    <w:rPr>
      <w:rFonts w:ascii="Calibri" w:hAnsi="Calibri" w:eastAsia="宋体" w:cs="Times New Roman"/>
      <w:sz w:val="21"/>
      <w:szCs w:val="22"/>
      <w:lang w:val="en-US" w:eastAsia="zh-CN" w:bidi="ar-SA"/>
    </w:rPr>
  </w:style>
  <w:style w:type="paragraph" w:styleId="1417">
    <w:name w:val="正文_12_0_0_0_0"/>
    <w:next w:val="1417"/>
    <w:link w:val="989"/>
    <w:qFormat/>
    <w:pPr>
      <w:jc w:val="both"/>
      <w:widowControl w:val="off"/>
    </w:pPr>
    <w:rPr>
      <w:rFonts w:ascii="Times New Roman" w:hAnsi="Times New Roman" w:eastAsia="宋体" w:cs="Times New Roman"/>
      <w:sz w:val="21"/>
      <w:szCs w:val="24"/>
      <w:lang w:val="en-US" w:eastAsia="zh-CN" w:bidi="ar-SA"/>
    </w:rPr>
  </w:style>
  <w:style w:type="paragraph" w:styleId="1418">
    <w:name w:val="普通(网站)11"/>
    <w:next w:val="1418"/>
    <w:link w:val="989"/>
    <w:uiPriority w:val="99"/>
    <w:qFormat/>
    <w:pPr>
      <w:jc w:val="both"/>
      <w:widowControl w:val="off"/>
    </w:pPr>
    <w:rPr>
      <w:rFonts w:ascii="Calibri" w:hAnsi="Calibri" w:eastAsia="宋体" w:cs="Times New Roman"/>
      <w:sz w:val="24"/>
      <w:szCs w:val="22"/>
      <w:lang w:val="en-US" w:eastAsia="zh-CN" w:bidi="ar-SA"/>
    </w:rPr>
  </w:style>
  <w:style w:type="character" w:styleId="1419">
    <w:name w:val="font31"/>
    <w:basedOn w:val="999"/>
    <w:next w:val="1419"/>
    <w:link w:val="989"/>
    <w:rPr>
      <w:rFonts w:hint="eastAsia" w:ascii="宋体" w:hAnsi="宋体" w:eastAsia="宋体" w:cs="宋体"/>
      <w:i w:val="0"/>
      <w:iCs w:val="0"/>
      <w:color w:val="000000"/>
      <w:sz w:val="16"/>
      <w:szCs w:val="16"/>
      <w:u w:val="none"/>
    </w:rPr>
  </w:style>
  <w:style w:type="character" w:styleId="1420" w:default="1">
    <w:name w:val="Default Paragraph Font"/>
    <w:uiPriority w:val="1"/>
    <w:semiHidden/>
    <w:unhideWhenUsed/>
  </w:style>
  <w:style w:type="numbering" w:styleId="1421" w:default="1">
    <w:name w:val="No List"/>
    <w:uiPriority w:val="99"/>
    <w:semiHidden/>
    <w:unhideWhenUsed/>
  </w:style>
  <w:style w:type="table" w:styleId="14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周辰</cp:lastModifiedBy>
  <cp:revision>11</cp:revision>
  <dcterms:created xsi:type="dcterms:W3CDTF">2023-02-03T06:59:00Z</dcterms:created>
  <dcterms:modified xsi:type="dcterms:W3CDTF">2026-05-25T03:37:46Z</dcterms:modified>
</cp:coreProperties>
</file>