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ind w:firstLine="0"/>
        <w:jc w:val="center"/>
        <w:rPr>
          <w:rFonts w:eastAsia="黑体"/>
          <w:b/>
          <w:bCs/>
          <w:color w:val="auto"/>
          <w:sz w:val="84"/>
          <w:highlight w:val="none"/>
        </w:rPr>
      </w:pPr>
      <w:r>
        <w:rPr>
          <w:rFonts w:eastAsia="黑体"/>
          <w:b/>
          <w:bCs/>
          <w:color w:val="auto"/>
          <w:sz w:val="84"/>
          <w:highlight w:val="none"/>
        </w:rPr>
      </w:r>
      <w:r/>
    </w:p>
    <w:p>
      <w:pPr>
        <w:pStyle w:val="1009"/>
        <w:ind w:firstLine="0"/>
        <w:jc w:val="center"/>
        <w:rPr>
          <w:rFonts w:eastAsia="黑体"/>
          <w:b/>
          <w:bCs/>
          <w:color w:val="auto"/>
          <w:sz w:val="84"/>
          <w:szCs w:val="84"/>
          <w:highlight w:val="none"/>
        </w:rPr>
      </w:pPr>
      <w:r>
        <w:rPr>
          <w:rFonts w:hint="eastAsia" w:eastAsia="黑体"/>
          <w:b/>
          <w:bCs/>
          <w:color w:val="auto"/>
          <w:sz w:val="84"/>
          <w:highlight w:val="none"/>
        </w:rPr>
        <w:t xml:space="preserve">开放式框架协议采购</w:t>
      </w:r>
      <w:r/>
    </w:p>
    <w:p>
      <w:pPr>
        <w:pStyle w:val="1009"/>
        <w:ind w:firstLine="0"/>
        <w:jc w:val="center"/>
        <w:rPr>
          <w:rFonts w:eastAsia="黑体"/>
          <w:b/>
          <w:bCs/>
          <w:color w:val="auto"/>
          <w:sz w:val="84"/>
          <w:highlight w:val="none"/>
        </w:rPr>
      </w:pPr>
      <w:r>
        <w:rPr>
          <w:rFonts w:hint="eastAsia" w:eastAsia="黑体"/>
          <w:b/>
          <w:bCs/>
          <w:color w:val="auto"/>
          <w:sz w:val="84"/>
          <w:highlight w:val="none"/>
        </w:rPr>
        <w:t xml:space="preserve">征集文件</w:t>
      </w:r>
      <w:r/>
    </w:p>
    <w:p>
      <w:pPr>
        <w:pStyle w:val="1009"/>
        <w:ind w:firstLine="0"/>
        <w:jc w:val="center"/>
        <w:rPr>
          <w:rFonts w:eastAsia="黑体"/>
          <w:b/>
          <w:bCs/>
          <w:color w:val="auto"/>
          <w:sz w:val="84"/>
          <w:szCs w:val="84"/>
          <w:highlight w:val="none"/>
        </w:rPr>
      </w:pPr>
      <w:r>
        <w:rPr>
          <w:rFonts w:eastAsia="黑体"/>
          <w:b/>
          <w:bCs/>
          <w:color w:val="auto"/>
          <w:sz w:val="84"/>
          <w:szCs w:val="84"/>
          <w:highlight w:val="none"/>
        </w:rPr>
      </w:r>
      <w:r/>
    </w:p>
    <w:p>
      <w:pPr>
        <w:pStyle w:val="1009"/>
        <w:ind w:left="3435" w:hanging="1520"/>
        <w:jc w:val="both"/>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2025-2027年度沛县会议服务开放式框架协</w:t>
      </w:r>
      <w:r>
        <w:rPr>
          <w:rFonts w:hint="eastAsia" w:ascii="黑体" w:hAnsi="华文中宋" w:eastAsia="黑体"/>
          <w:bCs/>
          <w:color w:val="auto"/>
          <w:sz w:val="32"/>
          <w:szCs w:val="32"/>
          <w:highlight w:val="none"/>
          <w:lang w:val="en-US" w:eastAsia="zh-CN"/>
        </w:rPr>
        <w:t xml:space="preserve">             议</w:t>
      </w:r>
      <w:r>
        <w:rPr>
          <w:rFonts w:hint="eastAsia" w:ascii="黑体" w:hAnsi="华文中宋" w:eastAsia="黑体"/>
          <w:bCs/>
          <w:color w:val="auto"/>
          <w:sz w:val="32"/>
          <w:szCs w:val="32"/>
          <w:highlight w:val="none"/>
          <w:lang w:eastAsia="zh-CN"/>
        </w:rPr>
        <w:t xml:space="preserve">采购项目</w:t>
      </w:r>
      <w:r/>
    </w:p>
    <w:p>
      <w:pPr>
        <w:pStyle w:val="1009"/>
        <w:ind w:firstLine="2003"/>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rPr>
        <w:t xml:space="preserve">：</w:t>
      </w:r>
      <w:r>
        <w:rPr>
          <w:rFonts w:hint="eastAsia" w:ascii="黑体" w:hAnsi="华文中宋" w:eastAsia="黑体"/>
          <w:bCs/>
          <w:color w:val="auto"/>
          <w:sz w:val="32"/>
          <w:szCs w:val="32"/>
          <w:highlight w:val="none"/>
          <w:lang w:eastAsia="zh-CN"/>
        </w:rPr>
        <w:t xml:space="preserve">JSZC-320322-PXZX-K2025-0021</w:t>
      </w:r>
      <w:r/>
    </w:p>
    <w:p>
      <w:pPr>
        <w:pStyle w:val="1009"/>
        <w:ind w:firstLine="2003"/>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征 集 人：</w:t>
      </w:r>
      <w:r>
        <w:rPr>
          <w:rFonts w:hint="eastAsia" w:ascii="黑体" w:hAnsi="华文中宋" w:eastAsia="黑体"/>
          <w:bCs/>
          <w:color w:val="auto"/>
          <w:sz w:val="32"/>
          <w:szCs w:val="32"/>
          <w:highlight w:val="none"/>
          <w:lang w:val="en-US" w:eastAsia="zh-CN"/>
        </w:rPr>
        <w:t xml:space="preserve">沛县</w:t>
      </w:r>
      <w:r>
        <w:rPr>
          <w:rFonts w:hint="eastAsia" w:ascii="黑体" w:hAnsi="华文中宋" w:eastAsia="黑体"/>
          <w:bCs/>
          <w:color w:val="auto"/>
          <w:sz w:val="32"/>
          <w:szCs w:val="32"/>
          <w:highlight w:val="none"/>
        </w:rPr>
        <w:t xml:space="preserve">财政局</w:t>
      </w:r>
      <w:r/>
    </w:p>
    <w:p>
      <w:pPr>
        <w:pStyle w:val="1009"/>
        <w:ind w:firstLine="0"/>
        <w:jc w:val="center"/>
        <w:spacing w:before="0" w:after="0"/>
        <w:rPr>
          <w:rFonts w:ascii="宋体" w:hAnsi="宋体"/>
          <w:color w:val="auto"/>
          <w:highlight w:val="none"/>
        </w:rPr>
      </w:pPr>
      <w:r>
        <w:rPr>
          <w:rFonts w:ascii="宋体" w:hAnsi="宋体"/>
          <w:color w:val="auto"/>
          <w:highlight w:val="none"/>
        </w:rPr>
      </w:r>
      <w:r/>
    </w:p>
    <w:p>
      <w:pPr>
        <w:pStyle w:val="1009"/>
        <w:ind w:firstLine="0"/>
        <w:jc w:val="center"/>
        <w:spacing w:before="0" w:after="0"/>
        <w:rPr>
          <w:rFonts w:ascii="宋体" w:hAnsi="宋体"/>
          <w:color w:val="auto"/>
          <w:highlight w:val="none"/>
        </w:rPr>
      </w:pPr>
      <w:r>
        <w:rPr>
          <w:rFonts w:ascii="宋体" w:hAnsi="宋体"/>
          <w:color w:val="auto"/>
          <w:highlight w:val="none"/>
        </w:rPr>
      </w:r>
      <w:r/>
    </w:p>
    <w:p>
      <w:pPr>
        <w:pStyle w:val="1009"/>
        <w:ind w:firstLine="0"/>
        <w:jc w:val="center"/>
        <w:spacing w:before="0" w:after="0"/>
        <w:rPr>
          <w:rFonts w:ascii="宋体" w:hAnsi="宋体"/>
          <w:color w:val="auto"/>
          <w:highlight w:val="none"/>
        </w:rPr>
      </w:pPr>
      <w:r>
        <w:rPr>
          <w:rFonts w:ascii="宋体" w:hAnsi="宋体"/>
          <w:color w:val="auto"/>
          <w:highlight w:val="none"/>
        </w:rPr>
      </w:r>
      <w:r/>
    </w:p>
    <w:p>
      <w:pPr>
        <w:pStyle w:val="1009"/>
        <w:ind w:firstLine="0"/>
        <w:jc w:val="center"/>
        <w:spacing w:before="0" w:after="0"/>
        <w:rPr>
          <w:rFonts w:ascii="宋体" w:hAnsi="宋体"/>
          <w:color w:val="auto"/>
          <w:highlight w:val="none"/>
        </w:rPr>
      </w:pPr>
      <w:r>
        <w:rPr>
          <w:rFonts w:ascii="宋体" w:hAnsi="宋体"/>
          <w:color w:val="auto"/>
          <w:highlight w:val="none"/>
        </w:rPr>
      </w:r>
      <w:r/>
    </w:p>
    <w:p>
      <w:pPr>
        <w:pStyle w:val="1009"/>
        <w:ind w:firstLine="0"/>
        <w:jc w:val="center"/>
        <w:spacing w:before="0" w:after="0"/>
        <w:rPr>
          <w:rFonts w:ascii="宋体" w:hAnsi="宋体"/>
          <w:color w:val="auto"/>
          <w:highlight w:val="none"/>
        </w:rPr>
      </w:pPr>
      <w:r>
        <w:rPr>
          <w:rFonts w:ascii="宋体" w:hAnsi="宋体"/>
          <w:color w:val="auto"/>
          <w:highlight w:val="none"/>
        </w:rPr>
      </w:r>
      <w:r/>
    </w:p>
    <w:p>
      <w:pPr>
        <w:pStyle w:val="1009"/>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val="en-US" w:eastAsia="zh-CN"/>
        </w:rPr>
        <w:t xml:space="preserve">沛县</w:t>
      </w:r>
      <w:r>
        <w:rPr>
          <w:rFonts w:hint="eastAsia" w:ascii="黑体" w:hAnsi="华文中宋" w:eastAsia="黑体"/>
          <w:bCs/>
          <w:color w:val="auto"/>
          <w:sz w:val="32"/>
          <w:szCs w:val="32"/>
          <w:highlight w:val="none"/>
        </w:rPr>
        <w:t xml:space="preserve">公共资源交易中心</w:t>
      </w:r>
      <w:r/>
    </w:p>
    <w:p>
      <w:pPr>
        <w:pStyle w:val="1009"/>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五</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九</w:t>
      </w:r>
      <w:r>
        <w:rPr>
          <w:rFonts w:hint="eastAsia" w:ascii="黑体" w:hAnsi="华文中宋" w:eastAsia="黑体"/>
          <w:bCs/>
          <w:color w:val="auto"/>
          <w:sz w:val="32"/>
          <w:szCs w:val="32"/>
          <w:highlight w:val="none"/>
        </w:rPr>
        <w:t xml:space="preserve">月</w:t>
      </w:r>
      <w:bookmarkStart w:id="0" w:name="_Toc120614210"/>
      <w:r/>
      <w:bookmarkStart w:id="1" w:name="_Toc523127445"/>
      <w:r/>
      <w:bookmarkStart w:id="2" w:name="_Toc16938516"/>
      <w:r/>
      <w:bookmarkStart w:id="3" w:name="_Toc20823272"/>
      <w:r/>
      <w:bookmarkStart w:id="4" w:name="_Toc479757206"/>
      <w:r/>
      <w:bookmarkStart w:id="5" w:name="_Toc513029200"/>
      <w:r/>
      <w:r/>
    </w:p>
    <w:p>
      <w:pPr>
        <w:pStyle w:val="1009"/>
        <w:ind w:firstLine="0"/>
        <w:jc w:val="center"/>
        <w:rPr>
          <w:rFonts w:ascii="黑体" w:eastAsia="黑体"/>
          <w:b/>
          <w:color w:val="auto"/>
          <w:sz w:val="44"/>
          <w:highlight w:val="none"/>
        </w:rPr>
      </w:pPr>
      <w:r>
        <w:rPr>
          <w:rFonts w:ascii="黑体" w:hAnsi="华文中宋" w:eastAsia="黑体"/>
          <w:bCs/>
          <w:color w:val="auto"/>
          <w:sz w:val="32"/>
          <w:szCs w:val="32"/>
          <w:highlight w:val="none"/>
        </w:rPr>
        <w:br w:type="page" w:clear="all"/>
      </w:r>
      <w:r>
        <w:rPr>
          <w:rFonts w:hint="eastAsia" w:ascii="黑体" w:eastAsia="黑体"/>
          <w:b/>
          <w:color w:val="auto"/>
          <w:sz w:val="44"/>
          <w:highlight w:val="none"/>
        </w:rPr>
        <w:t xml:space="preserve">总  目  录</w:t>
      </w:r>
      <w:r/>
    </w:p>
    <w:p>
      <w:pPr>
        <w:spacing w:line="480" w:lineRule="auto"/>
        <w:rPr>
          <w:rFonts w:ascii="仿宋_GB2312" w:hAnsi="Arial" w:eastAsia="仿宋_GB2312"/>
          <w:b/>
          <w:color w:val="auto"/>
          <w:sz w:val="28"/>
          <w:highlight w:val="none"/>
        </w:rPr>
      </w:pPr>
      <w:r>
        <w:rPr>
          <w:rFonts w:ascii="仿宋_GB2312" w:hAnsi="Arial" w:eastAsia="仿宋_GB2312"/>
          <w:b/>
          <w:color w:val="auto"/>
          <w:sz w:val="28"/>
          <w:highlight w:val="none"/>
        </w:rPr>
      </w:r>
      <w:r/>
    </w:p>
    <w:p>
      <w:pPr>
        <w:numPr>
          <w:ilvl w:val="0"/>
          <w:numId w:val="6"/>
        </w:numPr>
        <w:spacing w:line="480" w:lineRule="auto"/>
        <w:rPr>
          <w:rFonts w:ascii="黑体" w:hAnsi="Showcard Gothic" w:eastAsia="黑体"/>
          <w:color w:val="auto"/>
          <w:sz w:val="32"/>
          <w:highlight w:val="none"/>
        </w:rPr>
        <w:outlineLvl w:val="0"/>
      </w:pPr>
      <w:r>
        <w:rPr>
          <w:rFonts w:hint="eastAsia" w:ascii="黑体" w:hAnsi="宋体" w:eastAsia="黑体"/>
          <w:color w:val="auto"/>
          <w:sz w:val="36"/>
          <w:highlight w:val="none"/>
        </w:rPr>
        <w:t xml:space="preserve">参加征集活动</w:t>
      </w:r>
      <w:r>
        <w:rPr>
          <w:rFonts w:ascii="黑体" w:hAnsi="宋体" w:eastAsia="黑体"/>
          <w:color w:val="auto"/>
          <w:sz w:val="36"/>
          <w:highlight w:val="none"/>
        </w:rPr>
        <w:t xml:space="preserve">的邀请</w:t>
      </w:r>
      <w:r/>
    </w:p>
    <w:p>
      <w:pPr>
        <w:numPr>
          <w:ilvl w:val="0"/>
          <w:numId w:val="6"/>
        </w:numPr>
        <w:spacing w:line="480" w:lineRule="auto"/>
        <w:rPr>
          <w:rFonts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供应商须知</w:t>
      </w:r>
      <w:r/>
    </w:p>
    <w:p>
      <w:pPr>
        <w:numPr>
          <w:ilvl w:val="0"/>
          <w:numId w:val="6"/>
        </w:numPr>
        <w:spacing w:line="480" w:lineRule="auto"/>
        <w:rPr>
          <w:rFonts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框架协议文本和采</w:t>
      </w:r>
      <w:r>
        <w:rPr>
          <w:rFonts w:hint="eastAsia" w:ascii="黑体" w:hAnsi="宋体" w:eastAsia="黑体"/>
          <w:color w:val="auto"/>
          <w:sz w:val="36"/>
          <w:highlight w:val="none"/>
        </w:rPr>
        <w:t xml:space="preserve">购合同文本</w:t>
      </w:r>
      <w:r/>
    </w:p>
    <w:p>
      <w:pPr>
        <w:numPr>
          <w:ilvl w:val="0"/>
          <w:numId w:val="6"/>
        </w:numPr>
        <w:spacing w:line="480" w:lineRule="auto"/>
        <w:rPr>
          <w:rFonts w:ascii="黑体" w:hAnsi="Showcard Gothic" w:eastAsia="黑体"/>
          <w:color w:val="auto"/>
          <w:sz w:val="36"/>
          <w:highlight w:val="none"/>
        </w:rPr>
        <w:outlineLvl w:val="0"/>
      </w:pPr>
      <w:r>
        <w:rPr>
          <w:rFonts w:hint="eastAsia" w:ascii="黑体" w:hAnsi="宋体" w:eastAsia="黑体"/>
          <w:color w:val="auto"/>
          <w:sz w:val="36"/>
          <w:highlight w:val="none"/>
        </w:rPr>
        <w:t xml:space="preserve">采购需求</w:t>
      </w:r>
      <w:r/>
    </w:p>
    <w:p>
      <w:pPr>
        <w:numPr>
          <w:ilvl w:val="0"/>
          <w:numId w:val="6"/>
        </w:numPr>
        <w:spacing w:line="480" w:lineRule="auto"/>
        <w:rPr>
          <w:rFonts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确定入围及成交供应商</w:t>
      </w:r>
      <w:r/>
    </w:p>
    <w:p>
      <w:pPr>
        <w:numPr>
          <w:ilvl w:val="0"/>
          <w:numId w:val="6"/>
        </w:numPr>
        <w:spacing w:line="480" w:lineRule="auto"/>
        <w:rPr>
          <w:rFonts w:ascii="黑体" w:hAnsi="Showcard Gothic" w:eastAsia="黑体"/>
          <w:color w:val="auto"/>
          <w:sz w:val="36"/>
          <w:highlight w:val="none"/>
        </w:rPr>
        <w:outlineLvl w:val="0"/>
      </w:pPr>
      <w:r>
        <w:rPr>
          <w:rFonts w:hint="eastAsia" w:ascii="黑体" w:hAnsi="宋体" w:eastAsia="黑体"/>
          <w:color w:val="auto"/>
          <w:sz w:val="36"/>
          <w:highlight w:val="none"/>
        </w:rPr>
        <w:t xml:space="preserve">申请文件格式</w:t>
      </w:r>
      <w:r/>
    </w:p>
    <w:p>
      <w:pPr>
        <w:jc w:val="center"/>
        <w:spacing w:line="360" w:lineRule="auto"/>
        <w:rPr>
          <w:rFonts w:ascii="黑体" w:eastAsia="黑体"/>
          <w:bCs/>
          <w:color w:val="auto"/>
          <w:sz w:val="44"/>
          <w:szCs w:val="44"/>
          <w:highlight w:val="none"/>
        </w:rPr>
      </w:pPr>
      <w:r>
        <w:rPr>
          <w:color w:val="auto"/>
          <w:highlight w:val="none"/>
        </w:rPr>
        <w:br w:type="page" w:clear="all"/>
      </w: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参加征集活动的邀请</w:t>
      </w:r>
      <w:r/>
    </w:p>
    <w:p>
      <w:pPr>
        <w:ind w:firstLine="480"/>
        <w:spacing w:line="360" w:lineRule="auto"/>
        <w:rPr>
          <w:rFonts w:ascii="宋体" w:hAnsi="宋体"/>
          <w:color w:val="auto"/>
          <w:sz w:val="24"/>
          <w:szCs w:val="24"/>
          <w:highlight w:val="none"/>
        </w:rPr>
      </w:pPr>
      <w:r/>
      <w:bookmarkStart w:id="6" w:name="_Toc35393621"/>
      <w:r/>
      <w:bookmarkStart w:id="7" w:name="_Hlk24379207"/>
      <w:r/>
      <w:bookmarkStart w:id="8" w:name="_Toc38985263"/>
      <w:r/>
      <w:bookmarkStart w:id="9" w:name="_Toc28359079"/>
      <w:r/>
      <w:bookmarkStart w:id="10" w:name="_Toc35393790"/>
      <w:r/>
      <w:bookmarkStart w:id="11" w:name="_Toc28359002"/>
      <w:r>
        <w:rPr>
          <w:rFonts w:hint="eastAsia" w:ascii="宋体" w:hAnsi="宋体"/>
          <w:color w:val="auto"/>
          <w:sz w:val="24"/>
          <w:szCs w:val="24"/>
          <w:highlight w:val="none"/>
        </w:rPr>
        <w:t xml:space="preserve">受</w:t>
      </w:r>
      <w:r>
        <w:rPr>
          <w:rFonts w:hint="eastAsia" w:ascii="宋体" w:hAnsi="宋体"/>
          <w:color w:val="auto"/>
          <w:sz w:val="24"/>
          <w:szCs w:val="24"/>
          <w:highlight w:val="none"/>
          <w:lang w:val="en-US" w:eastAsia="zh-CN"/>
        </w:rPr>
        <w:t xml:space="preserve">沛县</w:t>
      </w:r>
      <w:r>
        <w:rPr>
          <w:rFonts w:hint="eastAsia" w:ascii="宋体" w:hAnsi="宋体"/>
          <w:color w:val="auto"/>
          <w:sz w:val="24"/>
          <w:szCs w:val="24"/>
          <w:highlight w:val="none"/>
        </w:rPr>
        <w:t xml:space="preserve">财政局的委托，</w:t>
      </w:r>
      <w:r>
        <w:rPr>
          <w:rFonts w:hint="eastAsia" w:ascii="宋体" w:hAnsi="宋体"/>
          <w:color w:val="auto"/>
          <w:sz w:val="24"/>
          <w:szCs w:val="24"/>
          <w:highlight w:val="none"/>
          <w:lang w:val="en-US" w:eastAsia="zh-CN"/>
        </w:rPr>
        <w:t xml:space="preserve">沛县</w:t>
      </w:r>
      <w:r>
        <w:rPr>
          <w:rFonts w:hint="eastAsia" w:ascii="宋体" w:hAnsi="宋体"/>
          <w:color w:val="auto"/>
          <w:sz w:val="24"/>
          <w:szCs w:val="24"/>
          <w:highlight w:val="none"/>
        </w:rPr>
        <w:t xml:space="preserve">公共资源交易中心就</w:t>
      </w:r>
      <w:r>
        <w:rPr>
          <w:rFonts w:hint="eastAsia" w:ascii="宋体" w:hAnsi="宋体"/>
          <w:color w:val="auto"/>
          <w:sz w:val="24"/>
          <w:szCs w:val="24"/>
          <w:highlight w:val="none"/>
          <w:lang w:eastAsia="zh-CN"/>
        </w:rPr>
        <w:t xml:space="preserve">2025-2027年度沛县会议服务开放式框架协议采购项目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JSZC-320322-PXZX-K2025-0021</w:t>
      </w:r>
      <w:r>
        <w:rPr>
          <w:rFonts w:hint="eastAsia" w:ascii="宋体" w:hAnsi="宋体"/>
          <w:color w:val="auto"/>
          <w:sz w:val="24"/>
          <w:szCs w:val="24"/>
          <w:highlight w:val="none"/>
        </w:rPr>
        <w:t xml:space="preserve">)开放式框架协议采购项目征集供应商，欢迎符合条件的供应商加入本次开放式框架协议采购。</w:t>
      </w:r>
      <w:r/>
    </w:p>
    <w:p>
      <w:pPr>
        <w:pStyle w:val="757"/>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一、项目基本情况</w:t>
      </w:r>
      <w:bookmarkEnd w:id="6"/>
      <w:r/>
      <w:bookmarkEnd w:id="7"/>
      <w:r/>
      <w:bookmarkEnd w:id="8"/>
      <w:r/>
      <w:bookmarkEnd w:id="9"/>
      <w:r/>
      <w:bookmarkEnd w:id="10"/>
      <w:r/>
      <w:bookmarkEnd w:id="11"/>
      <w:r/>
      <w:bookmarkStart w:id="12" w:name="_Toc35393791"/>
      <w:r/>
      <w:bookmarkStart w:id="13" w:name="_Toc28359080"/>
      <w:r/>
      <w:bookmarkStart w:id="14" w:name="_Toc35393622"/>
      <w:r/>
      <w:bookmarkStart w:id="15" w:name="_Toc38985264"/>
      <w:r/>
      <w:bookmarkStart w:id="16" w:name="_Toc28359003"/>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JSZC-320322-PXZX-K2025-0021</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2025-2027年度沛县会议服务开放式框架协议采购项目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3.最高限制单价：详见“第四章 采购需求”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4.采购方式：开放式框架协议采购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5.征集人：</w:t>
      </w:r>
      <w:r>
        <w:rPr>
          <w:rFonts w:hint="eastAsia" w:ascii="宋体" w:hAnsi="宋体"/>
          <w:color w:val="auto"/>
          <w:sz w:val="24"/>
          <w:szCs w:val="24"/>
          <w:highlight w:val="none"/>
          <w:lang w:eastAsia="zh-CN"/>
        </w:rPr>
        <w:t xml:space="preserve">沛县</w:t>
      </w:r>
      <w:r>
        <w:rPr>
          <w:rFonts w:hint="eastAsia" w:ascii="宋体" w:hAnsi="宋体"/>
          <w:color w:val="auto"/>
          <w:sz w:val="24"/>
          <w:szCs w:val="24"/>
          <w:highlight w:val="none"/>
        </w:rPr>
        <w:t xml:space="preserve">财政局</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6.本项目属性：服务类项目</w:t>
      </w:r>
      <w:r/>
    </w:p>
    <w:p>
      <w:pPr>
        <w:ind w:firstLine="48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7.本项目标的所属行业：租赁和商务服务业</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8.履行合同的地域范围：本次框架协议采购场所坐落的行政区域为</w:t>
      </w:r>
      <w:r>
        <w:rPr>
          <w:rFonts w:hint="eastAsia" w:ascii="宋体" w:hAnsi="宋体"/>
          <w:color w:val="auto"/>
          <w:sz w:val="24"/>
          <w:szCs w:val="24"/>
          <w:highlight w:val="none"/>
          <w:lang w:eastAsia="zh-CN"/>
        </w:rPr>
        <w:t xml:space="preserve">沛县</w:t>
      </w:r>
      <w:r>
        <w:rPr>
          <w:rFonts w:hint="eastAsia" w:ascii="宋体" w:hAnsi="宋体"/>
          <w:color w:val="auto"/>
          <w:sz w:val="24"/>
          <w:szCs w:val="24"/>
          <w:highlight w:val="none"/>
        </w:rPr>
        <w:t xml:space="preserve">范围</w:t>
      </w:r>
      <w:r>
        <w:rPr>
          <w:rFonts w:hint="eastAsia" w:ascii="宋体" w:hAnsi="宋体"/>
          <w:color w:val="auto"/>
          <w:sz w:val="24"/>
          <w:szCs w:val="24"/>
          <w:highlight w:val="none"/>
          <w:lang w:val="en-US" w:eastAsia="zh-CN"/>
        </w:rPr>
        <w:t xml:space="preserve">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9.适用本次框架协议的采购人或服务对象范围：本次采购主要用于</w:t>
      </w:r>
      <w:r>
        <w:rPr>
          <w:rFonts w:hint="eastAsia" w:ascii="宋体" w:hAnsi="宋体"/>
          <w:color w:val="auto"/>
          <w:sz w:val="24"/>
          <w:szCs w:val="24"/>
          <w:highlight w:val="none"/>
          <w:lang w:eastAsia="zh-CN"/>
        </w:rPr>
        <w:t xml:space="preserve">沛县</w:t>
      </w:r>
      <w:r>
        <w:rPr>
          <w:rFonts w:hint="eastAsia" w:ascii="宋体" w:hAnsi="宋体"/>
          <w:color w:val="auto"/>
          <w:sz w:val="24"/>
          <w:szCs w:val="24"/>
          <w:highlight w:val="none"/>
        </w:rPr>
        <w:t xml:space="preserve">各级党政机关、事业单位和团体组织在</w:t>
      </w:r>
      <w:r>
        <w:rPr>
          <w:rFonts w:hint="eastAsia" w:ascii="宋体" w:hAnsi="宋体"/>
          <w:color w:val="auto"/>
          <w:sz w:val="24"/>
          <w:szCs w:val="24"/>
          <w:highlight w:val="none"/>
          <w:lang w:eastAsia="zh-CN"/>
        </w:rPr>
        <w:t xml:space="preserve">沛县</w:t>
      </w:r>
      <w:r>
        <w:rPr>
          <w:rFonts w:hint="eastAsia" w:ascii="宋体" w:hAnsi="宋体"/>
          <w:color w:val="auto"/>
          <w:sz w:val="24"/>
          <w:szCs w:val="24"/>
          <w:highlight w:val="none"/>
        </w:rPr>
        <w:t xml:space="preserve">范围内召开的各类会议。会议定点场所在全省、全国范围内实行资源共享，本县党政机关事业单位执行本地现行会议标准相关规定，在不超过会议费定额标准情况下，可享受同等会议服务。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10.采购需求(简介)：</w:t>
      </w:r>
      <w:r/>
    </w:p>
    <w:p>
      <w:pPr>
        <w:ind w:firstLine="480"/>
        <w:spacing w:line="360" w:lineRule="auto"/>
        <w:rPr>
          <w:rFonts w:ascii="宋体" w:hAnsi="宋体"/>
          <w:color w:val="auto"/>
          <w:sz w:val="24"/>
          <w:szCs w:val="24"/>
          <w:highlight w:val="none"/>
        </w:rPr>
      </w:pPr>
      <w:r/>
      <w:bookmarkStart w:id="17" w:name="OLE_LINK4"/>
      <w:r>
        <w:rPr>
          <w:rFonts w:hint="eastAsia" w:ascii="宋体" w:hAnsi="宋体"/>
          <w:color w:val="auto"/>
          <w:sz w:val="24"/>
          <w:szCs w:val="24"/>
          <w:highlight w:val="none"/>
          <w:lang w:eastAsia="zh-CN"/>
        </w:rPr>
        <w:t xml:space="preserve">采购包一</w:t>
      </w:r>
      <w:r>
        <w:rPr>
          <w:rFonts w:hint="eastAsia" w:ascii="宋体" w:hAnsi="宋体"/>
          <w:color w:val="auto"/>
          <w:sz w:val="24"/>
          <w:szCs w:val="24"/>
          <w:highlight w:val="none"/>
        </w:rPr>
        <w:t xml:space="preserve">：具有综合型会议接待能力的单位</w:t>
      </w:r>
      <w:bookmarkEnd w:id="17"/>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bookmarkStart w:id="18" w:name="OLE_LINK13"/>
      <w:r/>
      <w:bookmarkStart w:id="19" w:name="OLE_LINK5"/>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二：具有单一会议功能场所的单位</w:t>
      </w:r>
      <w:bookmarkEnd w:id="18"/>
      <w:r>
        <w:rPr>
          <w:rFonts w:hint="eastAsia" w:ascii="宋体" w:hAnsi="宋体"/>
          <w:color w:val="auto"/>
          <w:sz w:val="24"/>
          <w:szCs w:val="24"/>
          <w:highlight w:val="none"/>
        </w:rPr>
        <w:t xml:space="preserve">。</w:t>
      </w:r>
      <w:bookmarkEnd w:id="19"/>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供应商选择符合自己资格能力的</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投报，各</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不可兼投。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具体采购需求详见征集文件第四章。</w:t>
      </w:r>
      <w:r/>
    </w:p>
    <w:p>
      <w:pPr>
        <w:ind w:firstLine="480"/>
        <w:spacing w:line="360" w:lineRule="auto"/>
        <w:tabs>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11.框架协议期限：</w:t>
      </w:r>
      <w:bookmarkStart w:id="174" w:name="_GoBack"/>
      <w:r/>
      <w:bookmarkEnd w:id="174"/>
      <w:r>
        <w:rPr>
          <w:rFonts w:hint="eastAsia" w:ascii="宋体" w:hAnsi="宋体"/>
          <w:color w:val="auto"/>
          <w:sz w:val="24"/>
          <w:szCs w:val="24"/>
          <w:highlight w:val="none"/>
          <w:lang w:eastAsia="zh-CN"/>
        </w:rPr>
        <w:t xml:space="preserve">2025年9月30日至2027年9月29日</w:t>
      </w:r>
      <w:r>
        <w:rPr>
          <w:rFonts w:hint="eastAsia" w:ascii="宋体" w:hAnsi="宋体"/>
          <w:color w:val="auto"/>
          <w:sz w:val="24"/>
          <w:szCs w:val="24"/>
          <w:highlight w:val="none"/>
        </w:rPr>
        <w:t xml:space="preserve">（本项目框架协议的期限暂定为2年，若省财政厅另有统一征集的，按省财政厅征集要求及结果执行）。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12.本次征集活动不收取保证金，不接受联合体加入本次开放式框架协议。</w:t>
      </w:r>
      <w:r/>
    </w:p>
    <w:p>
      <w:pPr>
        <w:pStyle w:val="757"/>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二、供应商的资格要求及应当提交的资格材料</w:t>
      </w:r>
      <w:bookmarkEnd w:id="12"/>
      <w:r/>
      <w:bookmarkEnd w:id="13"/>
      <w:r/>
      <w:bookmarkEnd w:id="14"/>
      <w:r/>
      <w:bookmarkEnd w:id="15"/>
      <w:r/>
      <w:bookmarkEnd w:id="16"/>
      <w:r/>
      <w:r/>
    </w:p>
    <w:p>
      <w:pPr>
        <w:ind w:firstLine="480"/>
        <w:spacing w:line="360" w:lineRule="auto"/>
        <w:rPr>
          <w:rFonts w:ascii="宋体" w:hAnsi="宋体"/>
          <w:color w:val="auto"/>
          <w:sz w:val="24"/>
          <w:szCs w:val="24"/>
          <w:highlight w:val="none"/>
        </w:rPr>
      </w:pPr>
      <w:r/>
      <w:bookmarkStart w:id="20" w:name="_Toc38985265"/>
      <w:r/>
      <w:bookmarkStart w:id="21" w:name="_Toc28359081"/>
      <w:r/>
      <w:bookmarkStart w:id="22" w:name="_Toc28359004"/>
      <w:r/>
      <w:bookmarkStart w:id="23" w:name="_Toc35393623"/>
      <w:r/>
      <w:bookmarkStart w:id="24" w:name="_Toc35393792"/>
      <w:r>
        <w:rPr>
          <w:rFonts w:hint="eastAsia" w:ascii="宋体" w:hAnsi="宋体"/>
          <w:color w:val="auto"/>
          <w:sz w:val="24"/>
          <w:szCs w:val="24"/>
          <w:highlight w:val="none"/>
        </w:rPr>
        <w:t xml:space="preserve">（一）通用资格要求</w:t>
      </w:r>
      <w:r/>
    </w:p>
    <w:p>
      <w:pPr>
        <w:ind w:firstLine="480"/>
        <w:jc w:val="both"/>
        <w:spacing w:line="360" w:lineRule="auto"/>
        <w:rPr>
          <w:rFonts w:hint="default" w:ascii="Times New Roman" w:hAnsi="Times New Roman" w:eastAsia="宋体" w:cs="Times New Roman"/>
          <w:color w:val="auto"/>
          <w:sz w:val="24"/>
          <w:highlight w:val="none"/>
        </w:rPr>
        <w:outlineLvl w:val="0"/>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评委小组</w:t>
      </w:r>
      <w:r>
        <w:rPr>
          <w:rFonts w:hint="default" w:ascii="Times New Roman" w:hAnsi="Times New Roman" w:eastAsia="宋体" w:cs="Times New Roman"/>
          <w:color w:val="auto"/>
          <w:sz w:val="24"/>
          <w:highlight w:val="none"/>
        </w:rPr>
        <w:t xml:space="preserve">根据《资格审查要求》和《符合性检查要求》中规定的内容，对供应商进行审查，并形成审查结果。供应商</w:t>
      </w:r>
      <w:r>
        <w:rPr>
          <w:rFonts w:hint="eastAsia" w:eastAsia="宋体" w:cs="Times New Roman"/>
          <w:color w:val="auto"/>
          <w:sz w:val="24"/>
          <w:highlight w:val="none"/>
          <w:lang w:eastAsia="zh-CN"/>
        </w:rPr>
        <w:t xml:space="preserve">提交的响应材料申请</w:t>
      </w:r>
      <w:r>
        <w:rPr>
          <w:rFonts w:hint="default" w:ascii="Times New Roman" w:hAnsi="Times New Roman" w:eastAsia="宋体" w:cs="Times New Roman"/>
          <w:color w:val="auto"/>
          <w:sz w:val="24"/>
          <w:highlight w:val="none"/>
        </w:rPr>
        <w:t xml:space="preserve">文件</w:t>
      </w:r>
      <w:r>
        <w:rPr>
          <w:rFonts w:hint="eastAsia" w:eastAsia="宋体" w:cs="Times New Roman"/>
          <w:color w:val="auto"/>
          <w:sz w:val="24"/>
          <w:highlight w:val="none"/>
          <w:lang w:eastAsia="zh-CN"/>
        </w:rPr>
        <w:t xml:space="preserve">格式</w:t>
      </w:r>
      <w:r>
        <w:rPr>
          <w:rFonts w:hint="default" w:ascii="Times New Roman" w:hAnsi="Times New Roman" w:eastAsia="宋体" w:cs="Times New Roman"/>
          <w:color w:val="auto"/>
          <w:sz w:val="24"/>
          <w:highlight w:val="none"/>
        </w:rPr>
        <w:t xml:space="preserve">有任何一项不符合《资格审查要求》和《符合性检查要求》的，视为</w:t>
      </w:r>
      <w:r>
        <w:rPr>
          <w:rFonts w:hint="default" w:ascii="Times New Roman" w:hAnsi="Times New Roman" w:eastAsia="宋体" w:cs="Times New Roman"/>
          <w:b/>
          <w:color w:val="auto"/>
          <w:sz w:val="24"/>
          <w:highlight w:val="none"/>
        </w:rPr>
        <w:t xml:space="preserve">无效响应</w:t>
      </w:r>
      <w:r>
        <w:rPr>
          <w:rFonts w:hint="default" w:ascii="Times New Roman" w:hAnsi="Times New Roman" w:eastAsia="宋体" w:cs="Times New Roman"/>
          <w:color w:val="auto"/>
          <w:sz w:val="24"/>
          <w:highlight w:val="none"/>
        </w:rPr>
        <w:t xml:space="preserve">。</w:t>
      </w:r>
      <w:r/>
    </w:p>
    <w:p>
      <w:pPr>
        <w:ind w:firstLine="480"/>
        <w:jc w:val="both"/>
        <w:spacing w:line="360" w:lineRule="auto"/>
        <w:rPr>
          <w:rFonts w:hint="default" w:ascii="Times New Roman" w:hAnsi="Times New Roman" w:eastAsia="宋体" w:cs="Times New Roman"/>
          <w:color w:val="auto"/>
          <w:sz w:val="24"/>
          <w:highlight w:val="none"/>
        </w:rPr>
        <w:outlineLvl w:val="0"/>
      </w:pPr>
      <w:r>
        <w:rPr>
          <w:rFonts w:hint="eastAsia"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《资格审查要求》中对格式有要求的，均为“实质性格式”文件。</w:t>
      </w:r>
      <w:r/>
    </w:p>
    <w:p>
      <w:pPr>
        <w:jc w:val="center"/>
        <w:spacing w:line="360" w:lineRule="auto"/>
        <w:rPr>
          <w:rFonts w:hint="default" w:ascii="Times New Roman" w:hAnsi="Times New Roman" w:cs="Times New Roman"/>
          <w:b/>
          <w:color w:val="auto"/>
          <w:sz w:val="24"/>
          <w:highlight w:val="none"/>
        </w:rPr>
        <w:outlineLvl w:val="0"/>
      </w:pPr>
      <w:r>
        <w:rPr>
          <w:rFonts w:hint="default" w:ascii="Times New Roman" w:hAnsi="Times New Roman" w:cs="Times New Roman"/>
          <w:b/>
          <w:color w:val="auto"/>
          <w:sz w:val="24"/>
          <w:highlight w:val="none"/>
        </w:rPr>
        <w:t xml:space="preserve">资格审查要求</w:t>
      </w:r>
      <w:r/>
    </w:p>
    <w:tbl>
      <w:tblPr>
        <w:tblStyle w:val="765"/>
        <w:tblW w:w="99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7"/>
        <w:gridCol w:w="2662"/>
        <w:gridCol w:w="4429"/>
        <w:gridCol w:w="2217"/>
      </w:tblGrid>
      <w:tr>
        <w:trPr>
          <w:cantSplit/>
          <w:trHeight w:val="468"/>
          <w:tblHeader/>
        </w:trPr>
        <w:tc>
          <w:tcPr>
            <w:tcW w:w="607" w:type="dxa"/>
            <w:vAlign w:val="center"/>
            <w:textDirection w:val="lrTb"/>
            <w:noWrap w:val="false"/>
          </w:tcPr>
          <w:p>
            <w:pPr>
              <w:jc w:val="center"/>
              <w:tabs>
                <w:tab w:val="left" w:pos="1080" w:leader="none"/>
              </w:tabs>
              <w:rPr>
                <w:rFonts w:hint="default" w:ascii="Times New Roman" w:hAnsi="Times New Roman" w:eastAsia="宋体" w:cs="Times New Roman"/>
                <w:b/>
                <w:color w:val="auto"/>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bidi="ar-SA"/>
              </w:rPr>
              <w:t xml:space="preserve">序号</w:t>
            </w:r>
            <w:r/>
          </w:p>
        </w:tc>
        <w:tc>
          <w:tcPr>
            <w:tcW w:w="2662" w:type="dxa"/>
            <w:vAlign w:val="center"/>
            <w:textDirection w:val="lrTb"/>
            <w:noWrap w:val="false"/>
          </w:tcPr>
          <w:p>
            <w:pPr>
              <w:jc w:val="center"/>
              <w:tabs>
                <w:tab w:val="left" w:pos="1080" w:leader="none"/>
              </w:tabs>
              <w:rPr>
                <w:rFonts w:hint="default" w:ascii="Times New Roman" w:hAnsi="Times New Roman" w:eastAsia="宋体" w:cs="Times New Roman"/>
                <w:b/>
                <w:color w:val="auto"/>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bidi="ar-SA"/>
              </w:rPr>
              <w:t xml:space="preserve">审查因素</w:t>
            </w:r>
            <w:r/>
          </w:p>
        </w:tc>
        <w:tc>
          <w:tcPr>
            <w:tcW w:w="4429" w:type="dxa"/>
            <w:vAlign w:val="center"/>
            <w:textDirection w:val="lrTb"/>
            <w:noWrap w:val="false"/>
          </w:tcPr>
          <w:p>
            <w:pPr>
              <w:jc w:val="center"/>
              <w:tabs>
                <w:tab w:val="left" w:pos="1080" w:leader="none"/>
              </w:tabs>
              <w:rPr>
                <w:rFonts w:hint="default" w:ascii="Times New Roman" w:hAnsi="Times New Roman" w:eastAsia="宋体" w:cs="Times New Roman"/>
                <w:b/>
                <w:color w:val="auto"/>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bidi="ar-SA"/>
              </w:rPr>
              <w:t xml:space="preserve">审查内容</w:t>
            </w:r>
            <w:r/>
          </w:p>
        </w:tc>
        <w:tc>
          <w:tcPr>
            <w:tcW w:w="2217" w:type="dxa"/>
            <w:vAlign w:val="center"/>
            <w:textDirection w:val="lrTb"/>
            <w:noWrap w:val="false"/>
          </w:tcPr>
          <w:p>
            <w:pPr>
              <w:jc w:val="center"/>
              <w:tabs>
                <w:tab w:val="left" w:pos="1080" w:leader="none"/>
              </w:tabs>
              <w:rPr>
                <w:rFonts w:hint="default" w:ascii="Times New Roman" w:hAnsi="Times New Roman" w:eastAsia="宋体" w:cs="Times New Roman"/>
                <w:b/>
                <w:color w:val="auto"/>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bidi="ar-SA"/>
              </w:rPr>
              <w:t xml:space="preserve">格式要求</w:t>
            </w:r>
            <w:r/>
          </w:p>
        </w:tc>
      </w:tr>
      <w:tr>
        <w:trPr>
          <w:cantSplit/>
          <w:trHeight w:val="468"/>
          <w:tblHeader/>
        </w:trPr>
        <w:tc>
          <w:tcPr>
            <w:tcW w:w="607" w:type="dxa"/>
            <w:vAlign w:val="center"/>
            <w:textDirection w:val="lrTb"/>
            <w:noWrap w:val="false"/>
          </w:tcPr>
          <w:p>
            <w:pPr>
              <w:jc w:val="center"/>
              <w:tabs>
                <w:tab w:val="left" w:pos="108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2662" w:type="dxa"/>
            <w:vAlign w:val="center"/>
            <w:textDirection w:val="lrTb"/>
            <w:noWrap w:val="false"/>
          </w:tcPr>
          <w:p>
            <w:pPr>
              <w:tabs>
                <w:tab w:val="left" w:pos="108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营业执照等证明文件</w:t>
            </w:r>
            <w:r/>
          </w:p>
        </w:tc>
        <w:tc>
          <w:tcPr>
            <w:tcW w:w="4429"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供应商为企业（包括合伙企业）的，应提供有效的“营业执照”；</w:t>
            </w:r>
            <w:r/>
          </w:p>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供应商为事业单位的，应提供有效的“事业单位法人证书”；</w:t>
            </w:r>
            <w:r/>
          </w:p>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供应商是非企业机构的，应提供有效的“执业许可证”、“登记证书”等证明文件；</w:t>
            </w:r>
            <w:r/>
          </w:p>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供应商是个体工商户的，应提供有效的“个体工商户营业执照”；</w:t>
            </w:r>
            <w:r/>
          </w:p>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供应商是自然人的，应提供有效的自然人身份证明。</w:t>
            </w:r>
            <w:r/>
          </w:p>
          <w:p>
            <w:pPr>
              <w:jc w:val="left"/>
              <w:tabs>
                <w:tab w:val="left" w:pos="108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若本项目允许分支机构参加响应，则分支机构参加响应的，此处可提供该分支机构或其所属法人或其他组织的相应证明文件。</w:t>
            </w:r>
            <w:r/>
          </w:p>
        </w:tc>
        <w:tc>
          <w:tcPr>
            <w:tcW w:w="2217" w:type="dxa"/>
            <w:vAlign w:val="center"/>
            <w:textDirection w:val="lrTb"/>
            <w:noWrap w:val="false"/>
          </w:tcPr>
          <w:p>
            <w:pPr>
              <w:tabs>
                <w:tab w:val="left" w:pos="108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提供证明文件的电子件或电子证照</w:t>
            </w:r>
            <w:r/>
          </w:p>
        </w:tc>
      </w:tr>
      <w:tr>
        <w:trPr>
          <w:cantSplit/>
          <w:trHeight w:val="468"/>
        </w:trPr>
        <w:tc>
          <w:tcPr>
            <w:tcW w:w="607"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2662"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供应商财务状况证明材料扫描件并加盖电子章（提供以下选项之一即可）成立不满一年不需提供</w:t>
            </w:r>
            <w:r/>
          </w:p>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429"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A.供应商的本项目开标时间前6个月内任何日期的资产负债表及利润表月报表。</w:t>
            </w:r>
            <w:r/>
          </w:p>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B.供应商基本开户银行出具的资信证明；</w:t>
            </w:r>
            <w:r/>
          </w:p>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C.财政部门认可的政府采购专业担保机构出具的询价担保函。</w:t>
            </w:r>
            <w:r/>
          </w:p>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17"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提供证明文件的电子件或电子证照</w:t>
            </w:r>
            <w:r/>
          </w:p>
        </w:tc>
      </w:tr>
      <w:tr>
        <w:trPr>
          <w:cantSplit/>
          <w:trHeight w:val="468"/>
        </w:trPr>
        <w:tc>
          <w:tcPr>
            <w:tcW w:w="607"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2662"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设备和专业技术能力证明材料</w:t>
            </w:r>
            <w:r/>
          </w:p>
        </w:tc>
        <w:tc>
          <w:tcPr>
            <w:tcW w:w="4429"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caps w:val="0"/>
                <w:color w:val="auto"/>
                <w:spacing w:val="0"/>
                <w:sz w:val="24"/>
                <w:szCs w:val="24"/>
                <w:highlight w:val="none"/>
                <w:shd w:val="clear" w:color="auto" w:fill="fafafa"/>
                <w:lang w:val="en-US" w:eastAsia="zh-CN" w:bidi="ar-SA"/>
              </w:rPr>
              <w:t xml:space="preserve">具备履行合同所必需的设备和专业技术能力的书面声明。</w:t>
            </w:r>
            <w:r/>
          </w:p>
        </w:tc>
        <w:tc>
          <w:tcPr>
            <w:tcW w:w="2217"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468"/>
        </w:trPr>
        <w:tc>
          <w:tcPr>
            <w:tcW w:w="607"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2662"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依法缴纳税收和社会保障资金的相关材料</w:t>
            </w:r>
            <w:r/>
          </w:p>
        </w:tc>
        <w:tc>
          <w:tcPr>
            <w:tcW w:w="4429"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在本项目开标时间前6个月内任何1个月的依法缴纳税收和社会保障资金的相关材料扫描件并加盖电子章，依法免税或不需要缴纳社会保障资金的供应商应提供相应其依法免税或不需要缴纳社会保障资金的证明文件扫描件并加盖电子章；</w:t>
            </w:r>
            <w:r/>
          </w:p>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17"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468"/>
        </w:trPr>
        <w:tc>
          <w:tcPr>
            <w:tcW w:w="607"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2662"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重大违法记录</w:t>
            </w:r>
            <w:r/>
          </w:p>
        </w:tc>
        <w:tc>
          <w:tcPr>
            <w:tcW w:w="4429"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caps w:val="0"/>
                <w:color w:val="auto"/>
                <w:spacing w:val="0"/>
                <w:sz w:val="24"/>
                <w:szCs w:val="24"/>
                <w:highlight w:val="none"/>
                <w:shd w:val="clear" w:color="auto" w:fill="fafafa"/>
                <w:lang w:val="en-US" w:eastAsia="zh-CN" w:bidi="ar-SA"/>
              </w:rPr>
              <w:t xml:space="preserve">参加政府采购活动前3年内在经营活动中没有重大违法记录的书面声明。</w:t>
            </w:r>
            <w:r/>
          </w:p>
        </w:tc>
        <w:tc>
          <w:tcPr>
            <w:tcW w:w="2217"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r/>
      <w:r/>
    </w:p>
    <w:tbl>
      <w:tblPr>
        <w:tblStyle w:val="765"/>
        <w:tblW w:w="99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7"/>
        <w:gridCol w:w="2662"/>
        <w:gridCol w:w="4429"/>
        <w:gridCol w:w="2217"/>
      </w:tblGrid>
      <w:tr>
        <w:trPr>
          <w:cantSplit/>
          <w:trHeight w:val="468"/>
        </w:trPr>
        <w:tc>
          <w:tcPr>
            <w:tcW w:w="607" w:type="dxa"/>
            <w:vAlign w:val="center"/>
            <w:textDirection w:val="lrTb"/>
            <w:noWrap w:val="false"/>
          </w:tcPr>
          <w:p>
            <w:pPr>
              <w:jc w:val="center"/>
              <w:tabs>
                <w:tab w:val="left" w:pos="1080" w:leader="none"/>
              </w:tabs>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tcW w:w="2662"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在“信用中国”网站（www.creditchina.gov.cn）查询信用记录。</w:t>
            </w:r>
            <w:r/>
          </w:p>
        </w:tc>
        <w:tc>
          <w:tcPr>
            <w:tcW w:w="4429" w:type="dxa"/>
            <w:vAlign w:val="center"/>
            <w:textDirection w:val="lrTb"/>
            <w:noWrap w:val="false"/>
          </w:tcPr>
          <w:p>
            <w:pPr>
              <w:tabs>
                <w:tab w:val="left" w:pos="1080" w:leader="none"/>
              </w:tabs>
              <w:rPr>
                <w:rFonts w:hint="eastAsia" w:ascii="宋体" w:hAnsi="宋体" w:eastAsia="宋体" w:cs="宋体"/>
                <w:i w:val="0"/>
                <w:caps w:val="0"/>
                <w:color w:val="auto"/>
                <w:spacing w:val="0"/>
                <w:sz w:val="24"/>
                <w:szCs w:val="24"/>
                <w:highlight w:val="none"/>
                <w:shd w:val="clear" w:color="auto" w:fill="fafafa"/>
                <w:lang w:val="en-US" w:eastAsia="zh-CN" w:bidi="ar-SA"/>
              </w:rPr>
            </w:pPr>
            <w:r>
              <w:rPr>
                <w:rFonts w:hint="eastAsia" w:ascii="宋体" w:hAnsi="宋体" w:eastAsia="宋体" w:cs="宋体"/>
                <w:i w:val="0"/>
                <w:caps w:val="0"/>
                <w:color w:val="auto"/>
                <w:spacing w:val="0"/>
                <w:sz w:val="24"/>
                <w:szCs w:val="24"/>
                <w:highlight w:val="none"/>
                <w:shd w:val="clear" w:color="auto" w:fill="fafafa"/>
                <w:lang w:val="en-US" w:eastAsia="zh-CN" w:bidi="ar-SA"/>
              </w:rPr>
              <w:t xml:space="preserve">无被列入失信被执行人、重大税收违法案件当事人名单、政府采购严重失信行为记录名单及其他不符合《中华人民共和国政府采购法》第二十二条规定条件的信用记录。</w:t>
            </w:r>
            <w:r/>
          </w:p>
        </w:tc>
        <w:tc>
          <w:tcPr>
            <w:tcW w:w="2217"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468"/>
        </w:trPr>
        <w:tc>
          <w:tcPr>
            <w:tcW w:w="607"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w:t>
            </w:r>
            <w:r/>
          </w:p>
        </w:tc>
        <w:tc>
          <w:tcPr>
            <w:tcW w:w="2662"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供应商信用承诺函</w:t>
            </w:r>
            <w:r/>
          </w:p>
        </w:tc>
        <w:tc>
          <w:tcPr>
            <w:tcW w:w="4429" w:type="dxa"/>
            <w:vAlign w:val="center"/>
            <w:textDirection w:val="lrTb"/>
            <w:noWrap w:val="false"/>
          </w:tcPr>
          <w:p>
            <w:pPr>
              <w:tabs>
                <w:tab w:val="left" w:pos="1080" w:leader="none"/>
              </w:tabs>
              <w:rPr>
                <w:rFonts w:hint="eastAsia" w:ascii="宋体" w:hAnsi="宋体" w:eastAsia="宋体" w:cs="宋体"/>
                <w:i w:val="0"/>
                <w:caps w:val="0"/>
                <w:color w:val="auto"/>
                <w:spacing w:val="0"/>
                <w:sz w:val="24"/>
                <w:szCs w:val="24"/>
                <w:highlight w:val="none"/>
                <w:shd w:val="clear" w:color="auto" w:fill="fafafa"/>
                <w:lang w:val="en-US" w:eastAsia="zh-CN" w:bidi="ar-SA"/>
              </w:rPr>
            </w:pPr>
            <w:r>
              <w:rPr>
                <w:rFonts w:hint="eastAsia" w:ascii="宋体" w:hAnsi="宋体" w:eastAsia="宋体" w:cs="宋体"/>
                <w:color w:val="auto"/>
                <w:sz w:val="24"/>
                <w:szCs w:val="24"/>
                <w:highlight w:val="none"/>
                <w:lang w:eastAsia="zh-CN"/>
              </w:rPr>
              <w:t xml:space="preserve">详见</w:t>
            </w:r>
            <w:r>
              <w:rPr>
                <w:rFonts w:hint="eastAsia" w:ascii="宋体" w:hAnsi="宋体" w:eastAsia="宋体" w:cs="宋体"/>
                <w:color w:val="auto"/>
                <w:sz w:val="24"/>
                <w:szCs w:val="24"/>
                <w:highlight w:val="none"/>
              </w:rPr>
              <w:t xml:space="preserve">第六章</w:t>
            </w:r>
            <w:r>
              <w:rPr>
                <w:rFonts w:hint="eastAsia" w:ascii="宋体" w:hAnsi="宋体" w:eastAsia="宋体" w:cs="宋体"/>
                <w:color w:val="auto"/>
                <w:sz w:val="24"/>
                <w:szCs w:val="24"/>
                <w:highlight w:val="none"/>
                <w:lang w:eastAsia="zh-CN"/>
              </w:rPr>
              <w:t xml:space="preserve">申请文件</w:t>
            </w:r>
            <w:r>
              <w:rPr>
                <w:rFonts w:hint="eastAsia" w:ascii="宋体" w:hAnsi="宋体" w:eastAsia="宋体" w:cs="宋体"/>
                <w:color w:val="auto"/>
                <w:sz w:val="24"/>
                <w:szCs w:val="24"/>
                <w:highlight w:val="none"/>
              </w:rPr>
              <w:t xml:space="preserve">格式</w:t>
            </w:r>
            <w:r/>
          </w:p>
        </w:tc>
        <w:tc>
          <w:tcPr>
            <w:tcW w:w="2217"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详见</w:t>
            </w:r>
            <w:r>
              <w:rPr>
                <w:rFonts w:hint="eastAsia" w:ascii="宋体" w:hAnsi="宋体" w:eastAsia="宋体" w:cs="宋体"/>
                <w:color w:val="auto"/>
                <w:sz w:val="24"/>
                <w:szCs w:val="24"/>
                <w:highlight w:val="none"/>
              </w:rPr>
              <w:t xml:space="preserve">第六章</w:t>
            </w:r>
            <w:r>
              <w:rPr>
                <w:rFonts w:hint="eastAsia" w:ascii="宋体" w:hAnsi="宋体" w:eastAsia="宋体" w:cs="宋体"/>
                <w:color w:val="auto"/>
                <w:sz w:val="24"/>
                <w:szCs w:val="24"/>
                <w:highlight w:val="none"/>
                <w:lang w:eastAsia="zh-CN"/>
              </w:rPr>
              <w:t xml:space="preserve">申请文件</w:t>
            </w:r>
            <w:r>
              <w:rPr>
                <w:rFonts w:hint="eastAsia" w:ascii="宋体" w:hAnsi="宋体" w:eastAsia="宋体" w:cs="宋体"/>
                <w:color w:val="auto"/>
                <w:sz w:val="24"/>
                <w:szCs w:val="24"/>
                <w:highlight w:val="none"/>
              </w:rPr>
              <w:t xml:space="preserve">格式</w:t>
            </w:r>
            <w:r/>
          </w:p>
        </w:tc>
      </w:tr>
    </w:tbl>
    <w:p>
      <w:pPr>
        <w:pStyle w:val="766"/>
        <w:rPr>
          <w:color w:val="auto"/>
          <w:highlight w:val="none"/>
        </w:rPr>
      </w:pPr>
      <w:r>
        <w:rPr>
          <w:color w:val="auto"/>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2.1中小企业政策：</w:t>
      </w:r>
      <w:r>
        <w:rPr>
          <w:rFonts w:hint="eastAsia" w:ascii="宋体" w:hAnsi="宋体"/>
          <w:color w:val="auto"/>
          <w:sz w:val="24"/>
          <w:szCs w:val="24"/>
          <w:highlight w:val="none"/>
          <w:lang w:eastAsia="zh-CN"/>
        </w:rPr>
        <w:t xml:space="preserve">本项目为不专门面向中小微企业</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3.法律、行政法规规定的其他条件：无。</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（二）本项目的特定资格要求</w:t>
      </w:r>
      <w:r/>
    </w:p>
    <w:p>
      <w:pPr>
        <w:ind w:firstLine="480"/>
        <w:spacing w:line="360" w:lineRule="auto"/>
        <w:rPr>
          <w:rFonts w:hint="eastAsia" w:ascii="宋体" w:hAnsi="宋体"/>
          <w:color w:val="0000ff"/>
          <w:sz w:val="24"/>
          <w:szCs w:val="24"/>
          <w:highlight w:val="none"/>
        </w:rPr>
      </w:pPr>
      <w:r>
        <w:rPr>
          <w:rFonts w:hint="eastAsia" w:ascii="宋体" w:hAnsi="宋体"/>
          <w:color w:val="0000ff"/>
          <w:sz w:val="24"/>
          <w:szCs w:val="24"/>
          <w:highlight w:val="none"/>
          <w:lang w:eastAsia="zh-CN"/>
        </w:rPr>
        <w:t xml:space="preserve">采购包</w:t>
      </w:r>
      <w:r>
        <w:rPr>
          <w:rFonts w:hint="eastAsia" w:ascii="宋体" w:hAnsi="宋体"/>
          <w:color w:val="0000ff"/>
          <w:sz w:val="24"/>
          <w:szCs w:val="24"/>
          <w:highlight w:val="none"/>
        </w:rPr>
        <w:t xml:space="preserve">一：具有综合型会议接待能力的单位</w:t>
      </w:r>
      <w:bookmarkStart w:id="25" w:name="OLE_LINK6"/>
      <w:r>
        <w:rPr>
          <w:rFonts w:hint="eastAsia" w:ascii="宋体" w:hAnsi="宋体"/>
          <w:color w:val="0000ff"/>
          <w:sz w:val="24"/>
          <w:szCs w:val="24"/>
          <w:highlight w:val="none"/>
          <w:lang w:val="en-US" w:eastAsia="zh-CN"/>
        </w:rPr>
        <w:t xml:space="preserve">需满足以下特定资格要求</w:t>
      </w:r>
      <w:bookmarkEnd w:id="25"/>
      <w:r>
        <w:rPr>
          <w:rFonts w:hint="eastAsia" w:ascii="宋体" w:hAnsi="宋体"/>
          <w:color w:val="0000ff"/>
          <w:sz w:val="24"/>
          <w:szCs w:val="24"/>
          <w:highlight w:val="none"/>
          <w:lang w:val="en-US" w:eastAsia="zh-CN"/>
        </w:rPr>
        <w:t xml:space="preserve">。</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1.会议定点场所具有会议承办能力，营业地点在</w:t>
      </w:r>
      <w:r>
        <w:rPr>
          <w:rFonts w:hint="eastAsia" w:ascii="宋体" w:hAnsi="宋体"/>
          <w:color w:val="0000ff"/>
          <w:sz w:val="24"/>
          <w:szCs w:val="24"/>
          <w:highlight w:val="none"/>
          <w:lang w:eastAsia="zh-CN"/>
        </w:rPr>
        <w:t xml:space="preserve">沛县</w:t>
      </w:r>
      <w:r>
        <w:rPr>
          <w:rFonts w:hint="eastAsia" w:ascii="宋体" w:hAnsi="宋体"/>
          <w:color w:val="0000ff"/>
          <w:sz w:val="24"/>
          <w:szCs w:val="24"/>
          <w:highlight w:val="none"/>
        </w:rPr>
        <w:t xml:space="preserve">行政区域内</w:t>
      </w:r>
      <w:bookmarkStart w:id="26" w:name="OLE_LINK9"/>
      <w:r>
        <w:rPr>
          <w:rFonts w:hint="eastAsia" w:ascii="宋体" w:hAnsi="宋体"/>
          <w:color w:val="0000ff"/>
          <w:sz w:val="24"/>
          <w:szCs w:val="24"/>
          <w:highlight w:val="none"/>
        </w:rPr>
        <w:t xml:space="preserve">（</w:t>
      </w:r>
      <w:r>
        <w:rPr>
          <w:rFonts w:hint="eastAsia" w:ascii="宋体" w:hAnsi="宋体"/>
          <w:color w:val="0000ff"/>
          <w:sz w:val="24"/>
          <w:szCs w:val="24"/>
          <w:highlight w:val="none"/>
          <w:lang w:eastAsia="zh-CN"/>
        </w:rPr>
        <w:t xml:space="preserve">沛城街道、汉源街道、大屯街道、汉兴街道等区域范围</w:t>
      </w:r>
      <w:r>
        <w:rPr>
          <w:rFonts w:hint="eastAsia" w:ascii="宋体" w:hAnsi="宋体"/>
          <w:color w:val="0000ff"/>
          <w:sz w:val="24"/>
          <w:szCs w:val="24"/>
          <w:highlight w:val="none"/>
        </w:rPr>
        <w:t xml:space="preserve">）</w:t>
      </w:r>
      <w:bookmarkEnd w:id="26"/>
      <w:r/>
      <w:bookmarkStart w:id="27" w:name="OLE_LINK11"/>
      <w:r>
        <w:rPr>
          <w:rFonts w:hint="eastAsia" w:ascii="宋体" w:hAnsi="宋体"/>
          <w:color w:val="0000ff"/>
          <w:sz w:val="24"/>
          <w:szCs w:val="24"/>
          <w:highlight w:val="none"/>
        </w:rPr>
        <w:t xml:space="preserve">的宾馆、饭店、酒店、</w:t>
      </w:r>
      <w:bookmarkEnd w:id="27"/>
      <w:r>
        <w:rPr>
          <w:rFonts w:hint="eastAsia" w:ascii="宋体" w:hAnsi="宋体"/>
          <w:color w:val="0000ff"/>
          <w:sz w:val="24"/>
          <w:szCs w:val="24"/>
          <w:highlight w:val="none"/>
        </w:rPr>
        <w:t xml:space="preserve">专业会议场所以及</w:t>
      </w:r>
      <w:r>
        <w:rPr>
          <w:rFonts w:hint="eastAsia" w:ascii="宋体" w:hAnsi="宋体"/>
          <w:color w:val="0000ff"/>
          <w:sz w:val="24"/>
          <w:szCs w:val="24"/>
          <w:highlight w:val="none"/>
          <w:lang w:eastAsia="zh-CN"/>
        </w:rPr>
        <w:t xml:space="preserve">沛县</w:t>
      </w:r>
      <w:r>
        <w:rPr>
          <w:rFonts w:hint="eastAsia" w:ascii="宋体" w:hAnsi="宋体"/>
          <w:color w:val="0000ff"/>
          <w:sz w:val="24"/>
          <w:szCs w:val="24"/>
          <w:highlight w:val="none"/>
        </w:rPr>
        <w:t xml:space="preserve">机关直属的培训中心等符合条件的供应商。须为</w:t>
      </w:r>
      <w:r>
        <w:rPr>
          <w:rFonts w:hint="eastAsia" w:ascii="宋体" w:hAnsi="宋体"/>
          <w:color w:val="0000ff"/>
          <w:sz w:val="24"/>
          <w:szCs w:val="24"/>
          <w:highlight w:val="none"/>
          <w:lang w:eastAsia="zh-CN"/>
        </w:rPr>
        <w:t xml:space="preserve">沛县</w:t>
      </w:r>
      <w:r>
        <w:rPr>
          <w:rFonts w:hint="eastAsia" w:ascii="宋体" w:hAnsi="宋体"/>
          <w:color w:val="0000ff"/>
          <w:sz w:val="24"/>
          <w:szCs w:val="24"/>
          <w:highlight w:val="none"/>
        </w:rPr>
        <w:t xml:space="preserve">范围内注册/登记的单位（提供有效证明文件）。如为分支机构的，还须提供上级法人单位的授权文件（格式见第六章）；</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2.会议定点场所具有卫生许可证或相关卫生许可证明（提供有效证明文件）；</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3.会议定点场所具有消防安全许可证或相关消防安全证明（提供有效证明文件）；</w:t>
      </w:r>
      <w:r/>
    </w:p>
    <w:p>
      <w:pPr>
        <w:ind w:firstLine="480"/>
        <w:spacing w:line="360" w:lineRule="auto"/>
        <w:rPr>
          <w:rFonts w:hint="eastAsia" w:ascii="宋体" w:hAnsi="宋体"/>
          <w:color w:val="0000ff"/>
          <w:sz w:val="24"/>
          <w:szCs w:val="24"/>
          <w:highlight w:val="none"/>
        </w:rPr>
      </w:pPr>
      <w:r>
        <w:rPr>
          <w:rFonts w:hint="eastAsia" w:ascii="宋体" w:hAnsi="宋体"/>
          <w:color w:val="0000ff"/>
          <w:sz w:val="24"/>
          <w:szCs w:val="24"/>
          <w:highlight w:val="none"/>
        </w:rPr>
        <w:t xml:space="preserve">4.会议定点场所具有市场监督管理局颁发的且在有效期内的《食品经营许可证》（提供有效证明文件）。</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lang w:eastAsia="zh-CN"/>
        </w:rPr>
        <w:t xml:space="preserve">采购包</w:t>
      </w:r>
      <w:r>
        <w:rPr>
          <w:rFonts w:hint="eastAsia" w:ascii="宋体" w:hAnsi="宋体"/>
          <w:color w:val="0000ff"/>
          <w:sz w:val="24"/>
          <w:szCs w:val="24"/>
          <w:highlight w:val="none"/>
        </w:rPr>
        <w:t xml:space="preserve">二：具有单一会议功能场所的单位</w:t>
      </w:r>
      <w:r>
        <w:rPr>
          <w:rFonts w:hint="eastAsia" w:ascii="宋体" w:hAnsi="宋体"/>
          <w:color w:val="0000ff"/>
          <w:sz w:val="24"/>
          <w:szCs w:val="24"/>
          <w:highlight w:val="none"/>
          <w:lang w:val="en-US" w:eastAsia="zh-CN"/>
        </w:rPr>
        <w:t xml:space="preserve">需满足以下特定资格要求。</w:t>
      </w:r>
      <w:r/>
    </w:p>
    <w:p>
      <w:pPr>
        <w:ind w:firstLine="480"/>
        <w:spacing w:line="360" w:lineRule="auto"/>
        <w:rPr>
          <w:rFonts w:hint="default" w:ascii="宋体" w:hAnsi="宋体"/>
          <w:color w:val="0000ff"/>
          <w:sz w:val="24"/>
          <w:szCs w:val="24"/>
          <w:highlight w:val="none"/>
          <w:lang w:val="en-US" w:eastAsia="zh-CN"/>
        </w:rPr>
      </w:pPr>
      <w:r>
        <w:rPr>
          <w:rFonts w:hint="eastAsia" w:ascii="宋体" w:hAnsi="宋体"/>
          <w:color w:val="0000ff"/>
          <w:sz w:val="24"/>
          <w:szCs w:val="24"/>
          <w:highlight w:val="none"/>
        </w:rPr>
        <w:t xml:space="preserve">①会议定点场所具有会议承办能力，营业地点在</w:t>
      </w:r>
      <w:r>
        <w:rPr>
          <w:rFonts w:hint="eastAsia" w:ascii="宋体" w:hAnsi="宋体"/>
          <w:color w:val="0000ff"/>
          <w:sz w:val="24"/>
          <w:szCs w:val="24"/>
          <w:highlight w:val="none"/>
          <w:lang w:eastAsia="zh-CN"/>
        </w:rPr>
        <w:t xml:space="preserve">沛县</w:t>
      </w:r>
      <w:r>
        <w:rPr>
          <w:rFonts w:hint="eastAsia" w:ascii="宋体" w:hAnsi="宋体"/>
          <w:color w:val="0000ff"/>
          <w:sz w:val="24"/>
          <w:szCs w:val="24"/>
          <w:highlight w:val="none"/>
        </w:rPr>
        <w:t xml:space="preserve">行政区域内（</w:t>
      </w:r>
      <w:r>
        <w:rPr>
          <w:rFonts w:hint="eastAsia" w:ascii="宋体" w:hAnsi="宋体"/>
          <w:color w:val="0000ff"/>
          <w:sz w:val="24"/>
          <w:szCs w:val="24"/>
          <w:highlight w:val="none"/>
          <w:lang w:eastAsia="zh-CN"/>
        </w:rPr>
        <w:t xml:space="preserve">沛城街道、汉源街道、大屯街道、汉兴街道等区域范围</w:t>
      </w:r>
      <w:r>
        <w:rPr>
          <w:rFonts w:hint="eastAsia" w:ascii="宋体" w:hAnsi="宋体"/>
          <w:color w:val="0000ff"/>
          <w:sz w:val="24"/>
          <w:szCs w:val="24"/>
          <w:highlight w:val="none"/>
        </w:rPr>
        <w:t xml:space="preserve">）的宾馆、饭店、酒店、专业会议场所以及</w:t>
      </w:r>
      <w:r>
        <w:rPr>
          <w:rFonts w:hint="eastAsia" w:ascii="宋体" w:hAnsi="宋体"/>
          <w:color w:val="0000ff"/>
          <w:sz w:val="24"/>
          <w:szCs w:val="24"/>
          <w:highlight w:val="none"/>
          <w:lang w:eastAsia="zh-CN"/>
        </w:rPr>
        <w:t xml:space="preserve">沛县</w:t>
      </w:r>
      <w:r>
        <w:rPr>
          <w:rFonts w:hint="eastAsia" w:ascii="宋体" w:hAnsi="宋体"/>
          <w:color w:val="0000ff"/>
          <w:sz w:val="24"/>
          <w:szCs w:val="24"/>
          <w:highlight w:val="none"/>
        </w:rPr>
        <w:t xml:space="preserve">机关直属的培训中心等符合条件的供应商。须为</w:t>
      </w:r>
      <w:r>
        <w:rPr>
          <w:rFonts w:hint="eastAsia" w:ascii="宋体" w:hAnsi="宋体"/>
          <w:color w:val="0000ff"/>
          <w:sz w:val="24"/>
          <w:szCs w:val="24"/>
          <w:highlight w:val="none"/>
          <w:lang w:eastAsia="zh-CN"/>
        </w:rPr>
        <w:t xml:space="preserve">沛县</w:t>
      </w:r>
      <w:r>
        <w:rPr>
          <w:rFonts w:hint="eastAsia" w:ascii="宋体" w:hAnsi="宋体"/>
          <w:color w:val="0000ff"/>
          <w:sz w:val="24"/>
          <w:szCs w:val="24"/>
          <w:highlight w:val="none"/>
        </w:rPr>
        <w:t xml:space="preserve">范围内注册/登记的单位（提供有效证明文件）。如为分支机构的，还须提供上级法人单位的授权文件（格式见第六章）；</w:t>
      </w:r>
      <w:r/>
    </w:p>
    <w:p>
      <w:pPr>
        <w:ind w:firstLine="480"/>
        <w:spacing w:line="360" w:lineRule="auto"/>
        <w:rPr>
          <w:rFonts w:hint="eastAsia" w:ascii="宋体" w:hAnsi="宋体"/>
          <w:color w:val="0000ff"/>
          <w:sz w:val="24"/>
          <w:szCs w:val="24"/>
          <w:highlight w:val="none"/>
        </w:rPr>
      </w:pPr>
      <w:r>
        <w:rPr>
          <w:rFonts w:hint="eastAsia" w:ascii="宋体" w:hAnsi="宋体"/>
          <w:color w:val="0000ff"/>
          <w:sz w:val="24"/>
          <w:szCs w:val="24"/>
          <w:highlight w:val="none"/>
        </w:rPr>
        <w:t xml:space="preserve">②会议定点场所具有消防安全许可证或相关消防安全证明（提供有效证明文件）；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三</w:t>
      </w:r>
      <w:r>
        <w:rPr>
          <w:rFonts w:hint="eastAsia" w:ascii="宋体" w:hAnsi="宋体"/>
          <w:color w:val="auto"/>
          <w:sz w:val="24"/>
          <w:szCs w:val="24"/>
          <w:highlight w:val="none"/>
        </w:rPr>
        <w:t xml:space="preserve">）通用</w:t>
      </w:r>
      <w:r>
        <w:rPr>
          <w:rFonts w:hint="default" w:ascii="宋体" w:hAnsi="宋体"/>
          <w:color w:val="auto"/>
          <w:sz w:val="24"/>
          <w:szCs w:val="24"/>
          <w:highlight w:val="none"/>
          <w:lang w:val="en-US" w:eastAsia="zh-CN"/>
        </w:rPr>
        <w:t xml:space="preserve">符合性审查</w:t>
      </w:r>
      <w:r>
        <w:rPr>
          <w:rFonts w:hint="eastAsia" w:ascii="宋体" w:hAnsi="宋体"/>
          <w:color w:val="auto"/>
          <w:sz w:val="24"/>
          <w:szCs w:val="24"/>
          <w:highlight w:val="none"/>
        </w:rPr>
        <w:t xml:space="preserve">要求</w:t>
      </w:r>
      <w:r/>
    </w:p>
    <w:p>
      <w:pPr>
        <w:jc w:val="center"/>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color w:val="auto"/>
          <w:sz w:val="24"/>
          <w:szCs w:val="24"/>
          <w:highlight w:val="none"/>
          <w:lang w:val="en-US" w:eastAsia="zh-CN" w:bidi="ar-SA"/>
        </w:rPr>
        <w:t xml:space="preserve">符合性审查要求</w:t>
      </w:r>
      <w:r/>
    </w:p>
    <w:tbl>
      <w:tblPr>
        <w:tblStyle w:val="765"/>
        <w:tblW w:w="9765" w:type="dxa"/>
        <w:jc w:val="center"/>
        <w:tblInd w:w="9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587"/>
        <w:gridCol w:w="5250"/>
      </w:tblGrid>
      <w:tr>
        <w:trPr>
          <w:jc w:val="center"/>
          <w:trHeight w:val="685"/>
        </w:trPr>
        <w:tc>
          <w:tcPr>
            <w:shd w:val="clear" w:color="000000" w:fill="ffffff"/>
            <w:tcW w:w="928" w:type="dxa"/>
            <w:vAlign w:val="center"/>
            <w:textDirection w:val="lrTb"/>
            <w:noWrap w:val="false"/>
          </w:tcPr>
          <w:p>
            <w:pPr>
              <w:jc w:val="center"/>
              <w:widowControl/>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color w:val="auto"/>
                <w:sz w:val="24"/>
                <w:szCs w:val="24"/>
                <w:highlight w:val="none"/>
                <w:lang w:val="en-US" w:eastAsia="zh-CN" w:bidi="ar-SA"/>
              </w:rPr>
              <w:t xml:space="preserve">序号</w:t>
            </w:r>
            <w:r/>
          </w:p>
        </w:tc>
        <w:tc>
          <w:tcPr>
            <w:shd w:val="clear" w:color="000000" w:fill="ffffff"/>
            <w:tcW w:w="3587" w:type="dxa"/>
            <w:vAlign w:val="center"/>
            <w:textDirection w:val="lrTb"/>
            <w:noWrap w:val="false"/>
          </w:tcPr>
          <w:p>
            <w:pPr>
              <w:jc w:val="center"/>
              <w:widowControl/>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color w:val="auto"/>
                <w:sz w:val="24"/>
                <w:szCs w:val="24"/>
                <w:highlight w:val="none"/>
                <w:lang w:val="en-US" w:eastAsia="zh-CN" w:bidi="ar-SA"/>
              </w:rPr>
              <w:t xml:space="preserve">检查因素</w:t>
            </w:r>
            <w:r/>
          </w:p>
        </w:tc>
        <w:tc>
          <w:tcPr>
            <w:shd w:val="clear" w:color="000000" w:fill="ffffff"/>
            <w:tcW w:w="5250" w:type="dxa"/>
            <w:vAlign w:val="center"/>
            <w:textDirection w:val="lrTb"/>
            <w:noWrap w:val="false"/>
          </w:tcPr>
          <w:p>
            <w:pPr>
              <w:jc w:val="center"/>
              <w:widowControl/>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color w:val="auto"/>
                <w:sz w:val="24"/>
                <w:szCs w:val="24"/>
                <w:highlight w:val="none"/>
                <w:lang w:val="en-US" w:eastAsia="zh-CN" w:bidi="ar-SA"/>
              </w:rPr>
              <w:t xml:space="preserve">格式要求</w:t>
            </w:r>
            <w:r/>
          </w:p>
        </w:tc>
      </w:tr>
      <w:tr>
        <w:trPr>
          <w:jc w:val="center"/>
          <w:trHeight w:val="685"/>
        </w:trPr>
        <w:tc>
          <w:tcPr>
            <w:shd w:val="clear" w:color="000000" w:fill="ffffff"/>
            <w:tcW w:w="92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000000" w:fill="ffffff"/>
            <w:tcW w:w="358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响应函</w:t>
            </w:r>
            <w:r/>
          </w:p>
        </w:tc>
        <w:tc>
          <w:tcPr>
            <w:shd w:val="clear" w:color="000000" w:fill="ffffff"/>
            <w:tcW w:w="525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格式见《申请文件目录》</w:t>
            </w:r>
            <w:r/>
          </w:p>
        </w:tc>
      </w:tr>
      <w:tr>
        <w:trPr>
          <w:jc w:val="center"/>
          <w:trHeight w:val="685"/>
        </w:trPr>
        <w:tc>
          <w:tcPr>
            <w:shd w:val="clear" w:color="000000" w:fill="ffffff"/>
            <w:tcW w:w="92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000000" w:fill="ffffff"/>
            <w:tcW w:w="358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承诺函</w:t>
            </w:r>
            <w:r/>
          </w:p>
        </w:tc>
        <w:tc>
          <w:tcPr>
            <w:shd w:val="clear" w:color="000000" w:fill="ffffff"/>
            <w:tcW w:w="525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格式见《申请文件目录》</w:t>
            </w:r>
            <w:r/>
          </w:p>
        </w:tc>
      </w:tr>
      <w:tr>
        <w:trPr>
          <w:jc w:val="center"/>
          <w:trHeight w:val="685"/>
        </w:trPr>
        <w:tc>
          <w:tcPr>
            <w:shd w:val="clear" w:color="000000" w:fill="ffffff"/>
            <w:tcW w:w="92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000000" w:fill="ffffff"/>
            <w:tcW w:w="358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响应报价明细表</w:t>
            </w:r>
            <w:r/>
          </w:p>
        </w:tc>
        <w:tc>
          <w:tcPr>
            <w:shd w:val="clear" w:color="000000" w:fill="ffffff"/>
            <w:tcW w:w="525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格式见《申请文件目录》</w:t>
            </w:r>
            <w:r/>
          </w:p>
        </w:tc>
      </w:tr>
      <w:tr>
        <w:trPr>
          <w:jc w:val="center"/>
          <w:trHeight w:val="685"/>
        </w:trPr>
        <w:tc>
          <w:tcPr>
            <w:shd w:val="clear" w:color="000000" w:fill="ffffff"/>
            <w:tcW w:w="92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000000" w:fill="ffffff"/>
            <w:tcW w:w="358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供应商基本情况一览表</w:t>
            </w:r>
            <w:r/>
          </w:p>
        </w:tc>
        <w:tc>
          <w:tcPr>
            <w:shd w:val="clear" w:color="000000" w:fill="ffffff"/>
            <w:tcW w:w="525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格式见《申请文件目录》</w:t>
            </w:r>
            <w:r/>
          </w:p>
        </w:tc>
      </w:tr>
      <w:tr>
        <w:trPr>
          <w:jc w:val="center"/>
          <w:trHeight w:val="685"/>
        </w:trPr>
        <w:tc>
          <w:tcPr>
            <w:shd w:val="clear" w:color="000000" w:fill="ffffff"/>
            <w:tcW w:w="92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000000" w:fill="ffffff"/>
            <w:tcW w:w="358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服务团队情况表</w:t>
            </w:r>
            <w:r/>
          </w:p>
        </w:tc>
        <w:tc>
          <w:tcPr>
            <w:shd w:val="clear" w:color="000000" w:fill="ffffff"/>
            <w:tcW w:w="525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格式见《申请文件目录》</w:t>
            </w:r>
            <w:r/>
          </w:p>
        </w:tc>
      </w:tr>
      <w:tr>
        <w:trPr>
          <w:jc w:val="center"/>
          <w:trHeight w:val="685"/>
        </w:trPr>
        <w:tc>
          <w:tcPr>
            <w:shd w:val="clear" w:color="000000" w:fill="ffffff"/>
            <w:tcW w:w="92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shd w:val="clear" w:color="000000" w:fill="ffffff"/>
            <w:tcW w:w="358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服务方案</w:t>
            </w:r>
            <w:r/>
          </w:p>
        </w:tc>
        <w:tc>
          <w:tcPr>
            <w:shd w:val="clear" w:color="000000" w:fill="ffffff"/>
            <w:tcW w:w="525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格式见《申请文件目录》</w:t>
            </w:r>
            <w:r/>
          </w:p>
        </w:tc>
      </w:tr>
    </w:tbl>
    <w:p>
      <w:pPr>
        <w:pStyle w:val="766"/>
        <w:rPr>
          <w:color w:val="auto"/>
          <w:highlight w:val="none"/>
        </w:rPr>
      </w:pPr>
      <w:r>
        <w:rPr>
          <w:color w:val="auto"/>
          <w:highlight w:val="none"/>
        </w:rPr>
      </w:r>
      <w:r/>
    </w:p>
    <w:p>
      <w:pPr>
        <w:pStyle w:val="766"/>
        <w:rPr>
          <w:color w:val="auto"/>
          <w:highlight w:val="none"/>
        </w:rPr>
      </w:pPr>
      <w:r>
        <w:rPr>
          <w:color w:val="auto"/>
          <w:highlight w:val="none"/>
        </w:rPr>
      </w:r>
      <w:r/>
    </w:p>
    <w:p>
      <w:pPr>
        <w:pStyle w:val="757"/>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三、获取征集文件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1.时间：自征集公告发布之日起。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bCs/>
          <w:color w:val="auto"/>
          <w:sz w:val="24"/>
          <w:szCs w:val="24"/>
          <w:highlight w:val="none"/>
        </w:rPr>
        <w:t xml:space="preserve">方式：</w:t>
      </w:r>
      <w:r>
        <w:rPr>
          <w:rFonts w:hint="eastAsia" w:ascii="宋体" w:hAnsi="宋体"/>
          <w:color w:val="auto"/>
          <w:sz w:val="24"/>
          <w:szCs w:val="24"/>
          <w:highlight w:val="none"/>
        </w:rPr>
        <w:t xml:space="preserve">请有投标意向的供应商在征集文件有效获取期内及时至</w:t>
      </w:r>
      <w:r>
        <w:rPr>
          <w:rFonts w:ascii="宋体" w:hAnsi="宋体"/>
          <w:color w:val="auto"/>
          <w:sz w:val="24"/>
          <w:szCs w:val="24"/>
          <w:highlight w:val="none"/>
        </w:rPr>
        <w:t xml:space="preserve">“江苏省政府采购（苏采云）平台”（http://jszfcg.jscz.gov.cn/jszc/login）获取</w:t>
      </w:r>
      <w:r>
        <w:rPr>
          <w:rFonts w:hint="eastAsia" w:ascii="宋体" w:hAnsi="宋体"/>
          <w:color w:val="auto"/>
          <w:sz w:val="24"/>
          <w:szCs w:val="24"/>
          <w:highlight w:val="none"/>
        </w:rPr>
        <w:t xml:space="preserve">。在征集文件有效获取期限内，从</w:t>
      </w:r>
      <w:r>
        <w:rPr>
          <w:rFonts w:ascii="宋体" w:hAnsi="宋体"/>
          <w:color w:val="auto"/>
          <w:sz w:val="24"/>
          <w:szCs w:val="24"/>
          <w:highlight w:val="none"/>
        </w:rPr>
        <w:t xml:space="preserve">“江苏省政府采购（苏采云）平台”获取的</w:t>
      </w:r>
      <w:r>
        <w:rPr>
          <w:rFonts w:hint="eastAsia" w:ascii="宋体" w:hAnsi="宋体"/>
          <w:color w:val="auto"/>
          <w:sz w:val="24"/>
          <w:szCs w:val="24"/>
          <w:highlight w:val="none"/>
        </w:rPr>
        <w:t xml:space="preserve">征集文件，视为依法获取的征集文件。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4.售价：本项目征集文件免费。</w:t>
      </w:r>
      <w:bookmarkEnd w:id="20"/>
      <w:r/>
      <w:bookmarkEnd w:id="21"/>
      <w:r/>
      <w:bookmarkEnd w:id="22"/>
      <w:r/>
      <w:bookmarkEnd w:id="23"/>
      <w:r/>
      <w:bookmarkEnd w:id="24"/>
      <w:r/>
      <w:r/>
    </w:p>
    <w:p>
      <w:pPr>
        <w:pStyle w:val="757"/>
        <w:ind w:firstLine="452"/>
        <w:keepLines w:val="0"/>
        <w:keepNext w:val="0"/>
        <w:spacing w:before="0" w:after="0" w:line="360" w:lineRule="auto"/>
        <w:rPr>
          <w:color w:val="auto"/>
          <w:sz w:val="30"/>
          <w:szCs w:val="30"/>
          <w:highlight w:val="none"/>
        </w:rPr>
      </w:pPr>
      <w:r/>
      <w:bookmarkStart w:id="28" w:name="_Toc28359082"/>
      <w:r/>
      <w:bookmarkStart w:id="29" w:name="_Toc35393793"/>
      <w:r/>
      <w:bookmarkStart w:id="30" w:name="_Toc28359005"/>
      <w:r/>
      <w:bookmarkStart w:id="31" w:name="_Toc38985266"/>
      <w:r/>
      <w:bookmarkStart w:id="32" w:name="_Toc35393624"/>
      <w:r>
        <w:rPr>
          <w:rFonts w:hint="eastAsia"/>
          <w:color w:val="auto"/>
          <w:sz w:val="30"/>
          <w:szCs w:val="30"/>
          <w:highlight w:val="none"/>
        </w:rPr>
        <w:t xml:space="preserve">四、首次提交申请文件的截止时间、开标时间和地点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1.供应商首次提交申请文件的截止时间、开标时间：</w:t>
      </w:r>
      <w:r>
        <w:rPr>
          <w:rFonts w:hint="eastAsia" w:ascii="宋体" w:hAnsi="宋体"/>
          <w:b/>
          <w:color w:val="auto"/>
          <w:sz w:val="24"/>
          <w:szCs w:val="24"/>
          <w:highlight w:val="none"/>
          <w:u w:val="single"/>
        </w:rPr>
        <w:t xml:space="preserve">202</w:t>
      </w:r>
      <w:r>
        <w:rPr>
          <w:rFonts w:hint="eastAsia" w:ascii="宋体" w:hAnsi="宋体"/>
          <w:b/>
          <w:color w:val="auto"/>
          <w:sz w:val="24"/>
          <w:szCs w:val="24"/>
          <w:highlight w:val="none"/>
          <w:u w:val="single"/>
          <w:lang w:val="en-US" w:eastAsia="zh-CN"/>
        </w:rPr>
        <w:t xml:space="preserve">5</w:t>
      </w:r>
      <w:r>
        <w:rPr>
          <w:rFonts w:hint="eastAsia" w:ascii="宋体" w:hAnsi="宋体"/>
          <w:b/>
          <w:color w:val="auto"/>
          <w:sz w:val="24"/>
          <w:szCs w:val="24"/>
          <w:highlight w:val="none"/>
          <w:u w:val="single"/>
        </w:rPr>
        <w:t xml:space="preserve">年</w:t>
      </w:r>
      <w:r>
        <w:rPr>
          <w:rFonts w:hint="eastAsia" w:ascii="宋体" w:hAnsi="宋体"/>
          <w:b/>
          <w:color w:val="auto"/>
          <w:sz w:val="24"/>
          <w:szCs w:val="24"/>
          <w:highlight w:val="none"/>
          <w:u w:val="single"/>
          <w:lang w:val="en-US" w:eastAsia="zh-CN"/>
        </w:rPr>
        <w:t xml:space="preserve">9</w:t>
      </w:r>
      <w:r>
        <w:rPr>
          <w:rFonts w:hint="eastAsia" w:ascii="宋体" w:hAnsi="宋体"/>
          <w:b/>
          <w:color w:val="auto"/>
          <w:sz w:val="24"/>
          <w:szCs w:val="24"/>
          <w:highlight w:val="none"/>
          <w:u w:val="single"/>
        </w:rPr>
        <w:t xml:space="preserve">月</w:t>
      </w:r>
      <w:r>
        <w:rPr>
          <w:rFonts w:hint="eastAsia" w:ascii="宋体" w:hAnsi="宋体"/>
          <w:b/>
          <w:color w:val="auto"/>
          <w:sz w:val="24"/>
          <w:szCs w:val="24"/>
          <w:highlight w:val="none"/>
          <w:u w:val="single"/>
          <w:lang w:val="en-US" w:eastAsia="zh-CN"/>
        </w:rPr>
        <w:t xml:space="preserve">24</w:t>
      </w:r>
      <w:r>
        <w:rPr>
          <w:rFonts w:hint="eastAsia" w:ascii="宋体" w:hAnsi="宋体"/>
          <w:b/>
          <w:color w:val="auto"/>
          <w:sz w:val="24"/>
          <w:szCs w:val="24"/>
          <w:highlight w:val="none"/>
          <w:u w:val="single"/>
        </w:rPr>
        <w:t xml:space="preserve">日9点30分</w:t>
      </w:r>
      <w:r>
        <w:rPr>
          <w:rFonts w:hint="eastAsia" w:ascii="宋体" w:hAnsi="宋体"/>
          <w:color w:val="auto"/>
          <w:sz w:val="24"/>
          <w:szCs w:val="24"/>
          <w:highlight w:val="none"/>
        </w:rPr>
        <w:t xml:space="preserve">（北京时间）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757"/>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五、</w:t>
      </w:r>
      <w:bookmarkEnd w:id="28"/>
      <w:r/>
      <w:bookmarkEnd w:id="29"/>
      <w:r/>
      <w:bookmarkEnd w:id="30"/>
      <w:r/>
      <w:bookmarkEnd w:id="31"/>
      <w:r/>
      <w:bookmarkEnd w:id="32"/>
      <w:r>
        <w:rPr>
          <w:rFonts w:hint="eastAsia"/>
          <w:color w:val="auto"/>
          <w:sz w:val="30"/>
          <w:szCs w:val="30"/>
          <w:highlight w:val="none"/>
        </w:rPr>
        <w:t xml:space="preserve">提交申请文件的方式、地点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1.供应商通过</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参与本次开放式框架协议采购。</w:t>
      </w:r>
      <w:r>
        <w:rPr>
          <w:rFonts w:ascii="宋体" w:hAnsi="宋体"/>
          <w:color w:val="auto"/>
          <w:sz w:val="24"/>
          <w:szCs w:val="24"/>
          <w:highlight w:val="none"/>
        </w:rPr>
        <w:t xml:space="preserve">请有意参加本项目采购活动的供应商按以下流程进行操作：</w:t>
      </w:r>
      <w:r/>
    </w:p>
    <w:p>
      <w:pPr>
        <w:ind w:firstLine="480"/>
        <w:spacing w:line="360" w:lineRule="auto"/>
        <w:rPr>
          <w:rFonts w:hint="eastAsia" w:ascii="宋体" w:hAnsi="宋体" w:cs="Times New Roman"/>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w:t>
      </w:r>
      <w:r>
        <w:rPr>
          <w:rFonts w:hint="eastAsia" w:ascii="宋体" w:hAnsi="宋体"/>
          <w:color w:val="auto"/>
          <w:sz w:val="24"/>
          <w:szCs w:val="24"/>
          <w:highlight w:val="none"/>
          <w:lang w:eastAsia="zh-CN"/>
        </w:rPr>
        <w:t xml:space="preserve">徐州</w:t>
      </w:r>
      <w:r>
        <w:rPr>
          <w:rFonts w:ascii="宋体" w:hAnsi="宋体"/>
          <w:color w:val="auto"/>
          <w:sz w:val="24"/>
          <w:szCs w:val="24"/>
          <w:highlight w:val="none"/>
        </w:rPr>
        <w:t xml:space="preserve">政府采购网</w:t>
      </w:r>
      <w:r>
        <w:rPr>
          <w:rFonts w:ascii="宋体" w:hAnsi="宋体" w:cs="Times New Roman"/>
          <w:color w:val="auto"/>
          <w:sz w:val="24"/>
          <w:szCs w:val="24"/>
          <w:highlight w:val="none"/>
        </w:rPr>
        <w:t xml:space="preserve">”</w:t>
      </w:r>
      <w:r>
        <w:rPr>
          <w:rFonts w:hint="default" w:ascii="宋体" w:hAnsi="宋体" w:cs="Times New Roman"/>
          <w:color w:val="auto"/>
          <w:sz w:val="24"/>
          <w:szCs w:val="24"/>
          <w:highlight w:val="none"/>
        </w:rPr>
        <w:t xml:space="preserve">（网址：</w:t>
      </w:r>
      <w:bookmarkStart w:id="33" w:name="OLE_LINK1"/>
      <w:r>
        <w:rPr>
          <w:rFonts w:hint="default" w:ascii="宋体" w:hAnsi="宋体" w:cs="Times New Roman"/>
          <w:color w:val="auto"/>
          <w:sz w:val="24"/>
          <w:szCs w:val="24"/>
          <w:highlight w:val="none"/>
        </w:rPr>
        <w:t xml:space="preserve">http://czj.xz.gov.cn/Home/HomeIndex</w:t>
      </w:r>
      <w:bookmarkEnd w:id="33"/>
      <w:r>
        <w:rPr>
          <w:rFonts w:hint="default" w:ascii="宋体" w:hAnsi="宋体" w:cs="Times New Roman"/>
          <w:color w:val="auto"/>
          <w:sz w:val="24"/>
          <w:szCs w:val="24"/>
          <w:highlight w:val="none"/>
        </w:rPr>
        <w:t xml:space="preserve">）--业务工作--用户登录，</w:t>
      </w:r>
      <w:r>
        <w:rPr>
          <w:rFonts w:ascii="宋体" w:hAnsi="宋体"/>
          <w:color w:val="auto"/>
          <w:sz w:val="24"/>
          <w:szCs w:val="24"/>
          <w:highlight w:val="none"/>
        </w:rPr>
        <w:t xml:space="preserve">点击“江苏省政府采购（苏采云）平台”（以下简称</w:t>
      </w:r>
      <w:r>
        <w:rPr>
          <w:rFonts w:hint="eastAsia" w:ascii="宋体" w:hAnsi="宋体"/>
          <w:color w:val="auto"/>
          <w:sz w:val="24"/>
          <w:szCs w:val="24"/>
          <w:highlight w:val="none"/>
        </w:rPr>
        <w:t xml:space="preserve">“苏采云”平台</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选择供应商版块，点击“用户注册”按钮，进行账号注册，注册完成后需在系统中填写资质信息并提交。也可以直接通过</w:t>
      </w:r>
      <w:bookmarkStart w:id="34" w:name="OLE_LINK2"/>
      <w:r>
        <w:rPr>
          <w:rFonts w:hint="eastAsia" w:ascii="宋体" w:hAnsi="宋体"/>
          <w:color w:val="auto"/>
          <w:sz w:val="24"/>
          <w:szCs w:val="24"/>
          <w:highlight w:val="none"/>
        </w:rPr>
        <w:t xml:space="preserve">http://jszfcg.jsczt.cn/</w:t>
      </w:r>
      <w:bookmarkEnd w:id="34"/>
      <w:r>
        <w:rPr>
          <w:rFonts w:hint="eastAsia" w:ascii="宋体" w:hAnsi="宋体"/>
          <w:color w:val="auto"/>
          <w:sz w:val="24"/>
          <w:szCs w:val="24"/>
          <w:highlight w:val="none"/>
        </w:rPr>
        <w:t xml:space="preserve">进入界面。</w:t>
      </w:r>
      <w:r>
        <w:rPr>
          <w:rFonts w:ascii="宋体" w:hAnsi="宋体"/>
          <w:color w:val="auto"/>
          <w:sz w:val="24"/>
          <w:szCs w:val="24"/>
          <w:highlight w:val="none"/>
        </w:rPr>
        <w:t xml:space="preserve">供应商应按上述要求提供相关材料信息，所提供的材料应均是真实的、准确的，若有违背，供应商自行承担由</w:t>
      </w:r>
      <w:r>
        <w:rPr>
          <w:rFonts w:hint="eastAsia" w:ascii="宋体" w:hAnsi="宋体" w:cs="Times New Roman"/>
          <w:color w:val="auto"/>
          <w:sz w:val="24"/>
          <w:szCs w:val="24"/>
          <w:highlight w:val="none"/>
        </w:rPr>
        <w:t xml:space="preserve">此而产生的一切后果。</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rPr>
          <w:rFonts w:hint="default" w:ascii="宋体" w:hAnsi="宋体" w:cs="Times New Roman"/>
          <w:color w:val="auto"/>
          <w:sz w:val="24"/>
          <w:szCs w:val="24"/>
          <w:highlight w:val="none"/>
        </w:rPr>
        <w:t xml:space="preserve">供应商需办理CA锁，“苏采云”系统目前仅支持“苏采云”系统下的</w:t>
      </w:r>
      <w:r>
        <w:rPr>
          <w:rFonts w:hint="default" w:ascii="宋体" w:hAnsi="宋体" w:cs="Times New Roman"/>
          <w:color w:val="auto"/>
          <w:sz w:val="24"/>
          <w:szCs w:val="24"/>
          <w:highlight w:val="none"/>
          <w:lang w:eastAsia="zh-CN"/>
        </w:rPr>
        <w:t xml:space="preserve">政务</w:t>
      </w:r>
      <w:r>
        <w:rPr>
          <w:rFonts w:hint="default" w:ascii="宋体" w:hAnsi="宋体" w:cs="Times New Roman"/>
          <w:color w:val="auto"/>
          <w:sz w:val="24"/>
          <w:szCs w:val="24"/>
          <w:highlight w:val="none"/>
        </w:rPr>
        <w:t xml:space="preserve">CA，省内各地区办理的“苏采云”系统下的</w:t>
      </w:r>
      <w:r>
        <w:rPr>
          <w:rFonts w:hint="default" w:ascii="宋体" w:hAnsi="宋体" w:cs="Times New Roman"/>
          <w:color w:val="auto"/>
          <w:sz w:val="24"/>
          <w:szCs w:val="24"/>
          <w:highlight w:val="none"/>
          <w:lang w:eastAsia="zh-CN"/>
        </w:rPr>
        <w:t xml:space="preserve">政务</w:t>
      </w:r>
      <w:r>
        <w:rPr>
          <w:rFonts w:hint="default" w:ascii="宋体" w:hAnsi="宋体" w:cs="Times New Roman"/>
          <w:color w:val="auto"/>
          <w:sz w:val="24"/>
          <w:szCs w:val="24"/>
          <w:highlight w:val="none"/>
        </w:rPr>
        <w:t xml:space="preserve">CA全省通用。“CA数字证书”的办理方法详见“徐州政府采购网-业务工作-快速服务-下载专区”中《江苏省政府采购（供应商）</w:t>
      </w:r>
      <w:r>
        <w:rPr>
          <w:rFonts w:hint="default" w:ascii="宋体" w:hAnsi="宋体" w:cs="Times New Roman"/>
          <w:color w:val="auto"/>
          <w:sz w:val="24"/>
          <w:szCs w:val="24"/>
          <w:highlight w:val="none"/>
          <w:lang w:eastAsia="zh-CN"/>
        </w:rPr>
        <w:t xml:space="preserve">政务</w:t>
      </w:r>
      <w:r>
        <w:rPr>
          <w:rFonts w:hint="default" w:ascii="宋体" w:hAnsi="宋体" w:cs="Times New Roman"/>
          <w:color w:val="auto"/>
          <w:sz w:val="24"/>
          <w:szCs w:val="24"/>
          <w:highlight w:val="none"/>
        </w:rPr>
        <w:t xml:space="preserve">CA数字证书及电子签章办理指南》。</w:t>
      </w:r>
      <w:r/>
    </w:p>
    <w:p>
      <w:pPr>
        <w:ind w:firstLine="480"/>
        <w:spacing w:line="360" w:lineRule="auto"/>
        <w:rPr>
          <w:rFonts w:ascii="宋体" w:hAnsi="宋体"/>
          <w:color w:val="auto"/>
          <w:sz w:val="24"/>
          <w:szCs w:val="24"/>
          <w:highlight w:val="none"/>
        </w:rPr>
      </w:pPr>
      <w:r>
        <w:rPr>
          <w:rFonts w:hint="eastAsia" w:ascii="宋体" w:hAnsi="宋体" w:cs="Times New Roman"/>
          <w:color w:val="auto"/>
          <w:sz w:val="24"/>
          <w:szCs w:val="24"/>
          <w:highlight w:val="none"/>
        </w:rPr>
        <w:t xml:space="preserve">2.供应商可在项目征集公告附件中查看征集文件，如确定参加本次采购活动，必须在征集文件提供期限内从“苏采云”平台中下载文件（“</w:t>
      </w:r>
      <w:r>
        <w:rPr>
          <w:rFonts w:ascii="宋体" w:hAnsi="宋体"/>
          <w:color w:val="auto"/>
          <w:sz w:val="24"/>
          <w:szCs w:val="24"/>
          <w:highlight w:val="none"/>
        </w:rPr>
        <w:t xml:space="preserve">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征集</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将“苏采云”平台中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征集</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申请</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申请</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（后缀名为zip，不得超过150M）并在“苏采云”平台</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申请</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征集</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申请</w:t>
      </w:r>
      <w:r>
        <w:rPr>
          <w:rFonts w:ascii="宋体" w:hAnsi="宋体"/>
          <w:color w:val="auto"/>
          <w:sz w:val="24"/>
          <w:szCs w:val="24"/>
          <w:highlight w:val="none"/>
        </w:rPr>
        <w:t xml:space="preserve">文件无效。</w:t>
      </w:r>
      <w:r>
        <w:rPr>
          <w:rFonts w:hint="eastAsia" w:ascii="宋体" w:hAnsi="宋体"/>
          <w:color w:val="auto"/>
          <w:sz w:val="24"/>
          <w:szCs w:val="24"/>
          <w:highlight w:val="none"/>
        </w:rPr>
        <w:t xml:space="preserve">供应商首次提交电子申请文件的截止时间见本章第四条规定，征集人将按照《政府采购框架协议采购方式管理暂行办法》相关规定对供应商提交的申请文件进行审核，审核通过即确定供应商加入本次开放式框架协议采购，将在2个工作日内发布入围结果公告，并向入围供应商发放入围通知书；审核不通过，将通过“苏采云”平台退回供应商的申请文件并告知其未通过审核的原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b/>
          <w:color w:val="auto"/>
          <w:sz w:val="24"/>
          <w:szCs w:val="24"/>
          <w:highlight w:val="none"/>
        </w:rPr>
        <w:t xml:space="preserve">申请文件提交要求：从供应商首次提交申请文件的截止时间至框架协议期满前，供应商可以按照征集公告要求，随时提交加入框架协议的申请。</w:t>
      </w:r>
      <w:r>
        <w:rPr>
          <w:rFonts w:hint="eastAsia" w:ascii="宋体" w:hAnsi="宋体"/>
          <w:b/>
          <w:color w:val="auto"/>
          <w:sz w:val="24"/>
          <w:szCs w:val="24"/>
          <w:highlight w:val="none"/>
          <w:u w:val="single"/>
        </w:rPr>
        <w:t xml:space="preserve">征集人将在每一个季度的前5个工作日内集中审核前一个季度的所有申请文件，以此类推。框架协议周期最后一个季度的申请文件将按照下一轮框架协议的要求进行审核。</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4.有关本次开放式框架协议采购的事项若存在变动或修改，敬请及时关注“</w:t>
      </w:r>
      <w:r>
        <w:rPr>
          <w:rFonts w:hint="eastAsia" w:ascii="宋体" w:hAnsi="宋体"/>
          <w:color w:val="auto"/>
          <w:sz w:val="24"/>
          <w:szCs w:val="24"/>
          <w:highlight w:val="none"/>
          <w:lang w:eastAsia="zh-CN"/>
        </w:rPr>
        <w:t xml:space="preserve">徐州</w:t>
      </w:r>
      <w:r>
        <w:rPr>
          <w:rFonts w:hint="eastAsia" w:ascii="宋体" w:hAnsi="宋体"/>
          <w:color w:val="auto"/>
          <w:sz w:val="24"/>
          <w:szCs w:val="24"/>
          <w:highlight w:val="none"/>
        </w:rPr>
        <w:t xml:space="preserve">政府采购网”发布的信息更正公告。</w:t>
      </w:r>
      <w:r/>
    </w:p>
    <w:p>
      <w:pPr>
        <w:pStyle w:val="757"/>
        <w:ind w:firstLine="452"/>
        <w:keepLines w:val="0"/>
        <w:keepNext w:val="0"/>
        <w:spacing w:before="0" w:after="0" w:line="360" w:lineRule="auto"/>
        <w:rPr>
          <w:color w:val="auto"/>
          <w:sz w:val="30"/>
          <w:szCs w:val="30"/>
          <w:highlight w:val="none"/>
        </w:rPr>
      </w:pPr>
      <w:r/>
      <w:bookmarkStart w:id="35" w:name="_Toc38985269"/>
      <w:r/>
      <w:bookmarkStart w:id="36" w:name="_Toc28359085"/>
      <w:r/>
      <w:bookmarkStart w:id="37" w:name="_Toc35393627"/>
      <w:r/>
      <w:bookmarkStart w:id="38" w:name="_Toc35393796"/>
      <w:r/>
      <w:bookmarkStart w:id="39" w:name="_Toc28359008"/>
      <w:r>
        <w:rPr>
          <w:rFonts w:hint="eastAsia"/>
          <w:color w:val="auto"/>
          <w:sz w:val="30"/>
          <w:szCs w:val="30"/>
          <w:highlight w:val="none"/>
        </w:rPr>
        <w:t xml:space="preserve">六、</w:t>
      </w:r>
      <w:bookmarkEnd w:id="35"/>
      <w:r/>
      <w:bookmarkEnd w:id="36"/>
      <w:r/>
      <w:bookmarkEnd w:id="37"/>
      <w:r/>
      <w:bookmarkEnd w:id="38"/>
      <w:r/>
      <w:bookmarkEnd w:id="39"/>
      <w:r>
        <w:rPr>
          <w:rFonts w:hint="eastAsia"/>
          <w:color w:val="auto"/>
          <w:sz w:val="30"/>
          <w:szCs w:val="30"/>
          <w:highlight w:val="none"/>
        </w:rPr>
        <w:t xml:space="preserve">公告期限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（征集公告及征集文件公告期限）自本公告发布之日起5个工作日。</w:t>
      </w:r>
      <w:r/>
    </w:p>
    <w:p>
      <w:pPr>
        <w:pStyle w:val="757"/>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七、申请</w:t>
      </w:r>
      <w:r>
        <w:rPr>
          <w:color w:val="auto"/>
          <w:sz w:val="30"/>
          <w:szCs w:val="30"/>
          <w:highlight w:val="none"/>
        </w:rPr>
        <w:t xml:space="preserve">文件</w:t>
      </w:r>
      <w:r>
        <w:rPr>
          <w:rFonts w:hint="eastAsia"/>
          <w:color w:val="auto"/>
          <w:sz w:val="30"/>
          <w:szCs w:val="30"/>
          <w:highlight w:val="none"/>
        </w:rPr>
        <w:t xml:space="preserve">有效期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申请文件有效期为申请文件网</w:t>
      </w:r>
      <w:r>
        <w:rPr>
          <w:rFonts w:ascii="宋体" w:hAnsi="宋体"/>
          <w:color w:val="auto"/>
          <w:sz w:val="24"/>
          <w:szCs w:val="24"/>
          <w:highlight w:val="none"/>
        </w:rPr>
        <w:t xml:space="preserve">上</w:t>
      </w:r>
      <w:r>
        <w:rPr>
          <w:rFonts w:hint="eastAsia" w:ascii="宋体" w:hAnsi="宋体"/>
          <w:color w:val="auto"/>
          <w:sz w:val="24"/>
          <w:szCs w:val="24"/>
          <w:highlight w:val="none"/>
        </w:rPr>
        <w:t xml:space="preserve">提交截止时间之日后9</w:t>
      </w:r>
      <w:r>
        <w:rPr>
          <w:rFonts w:ascii="宋体" w:hAnsi="宋体"/>
          <w:color w:val="auto"/>
          <w:sz w:val="24"/>
          <w:szCs w:val="24"/>
          <w:highlight w:val="none"/>
        </w:rPr>
        <w:t xml:space="preserve">0</w:t>
      </w:r>
      <w:r>
        <w:rPr>
          <w:rFonts w:hint="eastAsia" w:ascii="宋体" w:hAnsi="宋体"/>
          <w:color w:val="auto"/>
          <w:sz w:val="24"/>
          <w:szCs w:val="24"/>
          <w:highlight w:val="none"/>
        </w:rPr>
        <w:t xml:space="preserve">天。申请文件有效期比规定短的将被视为未实质性响应征集公告而予以拒绝。</w:t>
      </w:r>
      <w:r/>
    </w:p>
    <w:p>
      <w:pPr>
        <w:pStyle w:val="757"/>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八、对本次征集提出询问，请按以下方式联系</w:t>
      </w:r>
      <w:r/>
    </w:p>
    <w:p>
      <w:pPr>
        <w:ind w:firstLine="480"/>
        <w:spacing w:line="360" w:lineRule="auto"/>
        <w:rPr>
          <w:rFonts w:ascii="宋体" w:hAnsi="宋体"/>
          <w:color w:val="auto"/>
          <w:sz w:val="24"/>
          <w:szCs w:val="24"/>
          <w:highlight w:val="none"/>
        </w:rPr>
      </w:pPr>
      <w:r/>
      <w:bookmarkStart w:id="40" w:name="_Toc28359087"/>
      <w:r/>
      <w:bookmarkStart w:id="41" w:name="_Toc28359010"/>
      <w:r>
        <w:rPr>
          <w:rFonts w:hint="eastAsia" w:ascii="宋体" w:hAnsi="宋体"/>
          <w:color w:val="auto"/>
          <w:sz w:val="24"/>
          <w:szCs w:val="24"/>
          <w:highlight w:val="none"/>
        </w:rPr>
        <w:t xml:space="preserve">1.征集人信息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沛县</w:t>
      </w:r>
      <w:r>
        <w:rPr>
          <w:rFonts w:hint="eastAsia" w:ascii="宋体" w:hAnsi="宋体"/>
          <w:color w:val="auto"/>
          <w:sz w:val="24"/>
          <w:szCs w:val="24"/>
          <w:highlight w:val="none"/>
        </w:rPr>
        <w:t xml:space="preserve">财政局</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地    址：</w:t>
      </w:r>
      <w:r>
        <w:rPr>
          <w:rFonts w:hint="eastAsia" w:ascii="宋体" w:hAnsi="宋体" w:eastAsia="宋体"/>
          <w:color w:val="auto"/>
          <w:sz w:val="24"/>
          <w:szCs w:val="24"/>
          <w:highlight w:val="none"/>
          <w:lang w:val="en-US" w:eastAsia="zh-CN"/>
        </w:rPr>
        <w:t xml:space="preserve">沛县沛公路2号行政中心东楼</w:t>
      </w:r>
      <w:r/>
    </w:p>
    <w:p>
      <w:pPr>
        <w:ind w:firstLine="480"/>
        <w:spacing w:line="360" w:lineRule="auto"/>
        <w:rPr>
          <w:rFonts w:hint="eastAsia" w:ascii="宋体" w:hAnsi="宋体" w:eastAsia="宋体"/>
          <w:color w:val="auto"/>
          <w:sz w:val="24"/>
          <w:szCs w:val="24"/>
          <w:highlight w:val="none"/>
          <w:lang w:eastAsia="zh-CN"/>
        </w:rPr>
      </w:pPr>
      <w:r/>
      <w:bookmarkStart w:id="42" w:name="_Toc28359086"/>
      <w:r/>
      <w:bookmarkStart w:id="43" w:name="_Toc28359009"/>
      <w:r>
        <w:rPr>
          <w:rFonts w:hint="eastAsia" w:ascii="宋体" w:hAnsi="宋体" w:eastAsia="宋体"/>
          <w:color w:val="auto"/>
          <w:sz w:val="24"/>
          <w:szCs w:val="24"/>
          <w:highlight w:val="none"/>
          <w:lang w:eastAsia="zh-CN"/>
        </w:rPr>
        <w:t xml:space="preserve">联 系 人：</w:t>
      </w:r>
      <w:r>
        <w:rPr>
          <w:rFonts w:hint="eastAsia" w:ascii="宋体" w:hAnsi="宋体"/>
          <w:color w:val="auto"/>
          <w:sz w:val="24"/>
          <w:szCs w:val="24"/>
          <w:highlight w:val="none"/>
          <w:lang w:val="en-US" w:eastAsia="zh-CN"/>
        </w:rPr>
        <w:t xml:space="preserve">张瑜</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联系方式：</w:t>
      </w:r>
      <w:r>
        <w:rPr>
          <w:rFonts w:hint="eastAsia" w:ascii="宋体" w:hAnsi="宋体"/>
          <w:color w:val="auto"/>
          <w:sz w:val="24"/>
          <w:szCs w:val="24"/>
          <w:highlight w:val="none"/>
          <w:lang w:val="en-US" w:eastAsia="zh-CN"/>
        </w:rPr>
        <w:t xml:space="preserve">15396821603</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w:t>
      </w:r>
      <w:bookmarkEnd w:id="42"/>
      <w:r/>
      <w:bookmarkEnd w:id="43"/>
      <w:r>
        <w:rPr>
          <w:rFonts w:hint="eastAsia" w:ascii="宋体" w:hAnsi="宋体" w:eastAsia="宋体"/>
          <w:color w:val="auto"/>
          <w:sz w:val="24"/>
          <w:szCs w:val="24"/>
          <w:highlight w:val="none"/>
          <w:lang w:eastAsia="zh-CN"/>
        </w:rPr>
        <w:t xml:space="preserve">采购代理机构信息</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名    称：沛县公共资源交易中心</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地    址：沛县政务服务中心西三楼（汉邦路</w:t>
      </w:r>
      <w:r>
        <w:rPr>
          <w:rFonts w:hint="eastAsia" w:ascii="宋体" w:hAnsi="宋体" w:eastAsia="宋体"/>
          <w:color w:val="auto"/>
          <w:sz w:val="24"/>
          <w:szCs w:val="24"/>
          <w:highlight w:val="none"/>
          <w:lang w:val="en-US" w:eastAsia="zh-CN"/>
        </w:rPr>
        <w:t xml:space="preserve">5号</w:t>
      </w:r>
      <w:r>
        <w:rPr>
          <w:rFonts w:hint="eastAsia" w:ascii="宋体" w:hAnsi="宋体" w:eastAsia="宋体"/>
          <w:color w:val="auto"/>
          <w:sz w:val="24"/>
          <w:szCs w:val="24"/>
          <w:highlight w:val="none"/>
          <w:lang w:eastAsia="zh-CN"/>
        </w:rPr>
        <w:t xml:space="preserve">）</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eastAsia="zh-CN"/>
        </w:rPr>
        <w:t xml:space="preserve">联 系 人：</w:t>
      </w:r>
      <w:r>
        <w:rPr>
          <w:rFonts w:hint="eastAsia" w:ascii="宋体" w:hAnsi="宋体" w:eastAsia="宋体"/>
          <w:color w:val="auto"/>
          <w:sz w:val="24"/>
          <w:szCs w:val="24"/>
          <w:highlight w:val="none"/>
          <w:lang w:val="en-US" w:eastAsia="zh-CN"/>
        </w:rPr>
        <w:t xml:space="preserve">赵</w:t>
      </w:r>
      <w:r>
        <w:rPr>
          <w:rFonts w:hint="eastAsia" w:ascii="宋体" w:hAnsi="宋体"/>
          <w:color w:val="auto"/>
          <w:sz w:val="24"/>
          <w:szCs w:val="24"/>
          <w:highlight w:val="none"/>
          <w:lang w:val="en-US" w:eastAsia="zh-CN"/>
        </w:rPr>
        <w:t xml:space="preserve">工</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eastAsia="zh-CN"/>
        </w:rPr>
        <w:t xml:space="preserve">联系方式：051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lang w:eastAsia="zh-CN"/>
        </w:rPr>
        <w:t xml:space="preserve">-</w:t>
      </w:r>
      <w:bookmarkEnd w:id="40"/>
      <w:r/>
      <w:bookmarkEnd w:id="41"/>
      <w:r/>
      <w:bookmarkStart w:id="44" w:name="_Toc120614211"/>
      <w:r>
        <w:rPr>
          <w:rFonts w:hint="eastAsia" w:ascii="宋体" w:hAnsi="宋体" w:eastAsia="宋体"/>
          <w:color w:val="auto"/>
          <w:sz w:val="24"/>
          <w:szCs w:val="24"/>
          <w:highlight w:val="none"/>
          <w:lang w:val="en-US" w:eastAsia="zh-CN"/>
        </w:rPr>
        <w:t xml:space="preserve">68162821</w:t>
      </w:r>
      <w:r/>
    </w:p>
    <w:p>
      <w:pPr>
        <w:jc w:val="center"/>
        <w:spacing w:line="360" w:lineRule="auto"/>
        <w:rPr>
          <w:rFonts w:ascii="黑体" w:eastAsia="黑体"/>
          <w:color w:val="auto"/>
          <w:sz w:val="44"/>
          <w:szCs w:val="44"/>
          <w:highlight w:val="none"/>
        </w:rPr>
      </w:pPr>
      <w:r>
        <w:rPr>
          <w:rFonts w:ascii="宋体" w:hAnsi="宋体"/>
          <w:color w:val="auto"/>
          <w:sz w:val="24"/>
          <w:szCs w:val="24"/>
          <w:highlight w:val="none"/>
        </w:rPr>
        <w:br w:type="page" w:clear="all"/>
      </w:r>
      <w:r>
        <w:rPr>
          <w:rFonts w:hint="eastAsia" w:ascii="黑体" w:eastAsia="黑体"/>
          <w:color w:val="auto"/>
          <w:sz w:val="44"/>
          <w:szCs w:val="44"/>
          <w:highlight w:val="none"/>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513029202"/>
      <w:r/>
      <w:bookmarkStart w:id="48" w:name="_Toc20823274"/>
      <w:r>
        <w:rPr>
          <w:rFonts w:hint="eastAsia" w:ascii="黑体" w:eastAsia="黑体"/>
          <w:color w:val="auto"/>
          <w:sz w:val="44"/>
          <w:szCs w:val="44"/>
          <w:highlight w:val="none"/>
        </w:rPr>
        <w:t xml:space="preserve">供应商须知</w:t>
      </w:r>
      <w:bookmarkEnd w:id="45"/>
      <w:r/>
      <w:bookmarkEnd w:id="46"/>
      <w:r/>
      <w:bookmarkEnd w:id="47"/>
      <w:r/>
      <w:bookmarkEnd w:id="48"/>
      <w:r/>
      <w:bookmarkStart w:id="49" w:name="_Toc513029203"/>
      <w:r/>
      <w:bookmarkStart w:id="50" w:name="_Toc16938519"/>
      <w:r/>
      <w:bookmarkStart w:id="51" w:name="_Toc20823275"/>
      <w:r/>
      <w:bookmarkStart w:id="52" w:name="_Toc120614214"/>
      <w:r/>
      <w:r/>
    </w:p>
    <w:p>
      <w:pPr>
        <w:pStyle w:val="757"/>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一、总则</w:t>
      </w:r>
      <w:bookmarkEnd w:id="49"/>
      <w:r/>
      <w:bookmarkEnd w:id="50"/>
      <w:r/>
      <w:bookmarkEnd w:id="51"/>
      <w:r/>
      <w:bookmarkEnd w:id="52"/>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53" w:name="_Hlt16619475"/>
      <w:r/>
      <w:bookmarkEnd w:id="53"/>
      <w:r/>
      <w:bookmarkStart w:id="54" w:name="_Toc458694821"/>
      <w:r/>
      <w:bookmarkStart w:id="55" w:name="_Toc16938520"/>
      <w:r/>
      <w:bookmarkStart w:id="56" w:name="_Toc20823276"/>
      <w:r/>
      <w:bookmarkStart w:id="57" w:name="_Toc513029204"/>
      <w:r>
        <w:rPr>
          <w:rFonts w:hint="eastAsia" w:ascii="宋体" w:hAnsi="宋体" w:eastAsia="宋体" w:cs="Times New Roman"/>
          <w:bCs w:val="0"/>
          <w:color w:val="auto"/>
          <w:highlight w:val="none"/>
        </w:rPr>
        <w:t xml:space="preserve">1</w:t>
      </w:r>
      <w:bookmarkEnd w:id="54"/>
      <w:r>
        <w:rPr>
          <w:rFonts w:hint="eastAsia" w:ascii="宋体" w:hAnsi="宋体" w:eastAsia="宋体" w:cs="Times New Roman"/>
          <w:bCs w:val="0"/>
          <w:color w:val="auto"/>
          <w:highlight w:val="none"/>
        </w:rPr>
        <w:t xml:space="preserve">. 采购方式</w:t>
      </w:r>
      <w:bookmarkEnd w:id="55"/>
      <w:r/>
      <w:bookmarkEnd w:id="56"/>
      <w:r/>
      <w:bookmarkEnd w:id="5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本次项目采用开放式框架协议采购方式，本征集文件仅适用于征集公告中所述项目。</w:t>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58" w:name="_Toc513029205"/>
      <w:r/>
      <w:bookmarkStart w:id="59" w:name="_Toc16938521"/>
      <w:r/>
      <w:bookmarkStart w:id="60" w:name="_Toc20823277"/>
      <w:r>
        <w:rPr>
          <w:rFonts w:hint="eastAsia" w:ascii="宋体" w:hAnsi="宋体" w:eastAsia="宋体" w:cs="Times New Roman"/>
          <w:bCs w:val="0"/>
          <w:color w:val="auto"/>
          <w:highlight w:val="none"/>
        </w:rPr>
        <w:t xml:space="preserve">2. 合格的</w:t>
      </w:r>
      <w:bookmarkEnd w:id="58"/>
      <w:r/>
      <w:bookmarkEnd w:id="59"/>
      <w:r/>
      <w:bookmarkEnd w:id="60"/>
      <w:r>
        <w:rPr>
          <w:rFonts w:hint="eastAsia" w:ascii="宋体" w:hAnsi="宋体" w:eastAsia="宋体" w:cs="Times New Roman"/>
          <w:bCs w:val="0"/>
          <w:color w:val="auto"/>
          <w:highlight w:val="none"/>
        </w:rPr>
        <w:t xml:space="preserve">供应商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2.1申请文件通过审核的供应商即为合格供应商。</w:t>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61" w:name="_Toc20823278"/>
      <w:r/>
      <w:bookmarkStart w:id="62" w:name="_Toc513029206"/>
      <w:r/>
      <w:bookmarkStart w:id="63" w:name="_Toc16938522"/>
      <w:r>
        <w:rPr>
          <w:rFonts w:hint="eastAsia" w:ascii="宋体" w:hAnsi="宋体" w:eastAsia="宋体" w:cs="Times New Roman"/>
          <w:bCs w:val="0"/>
          <w:color w:val="auto"/>
          <w:highlight w:val="none"/>
        </w:rPr>
        <w:t xml:space="preserve">3. 适用法律</w:t>
      </w:r>
      <w:bookmarkEnd w:id="61"/>
      <w:r/>
      <w:bookmarkEnd w:id="62"/>
      <w:r/>
      <w:bookmarkEnd w:id="6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本次开放式框架协议采购活动（以下简称采购活动）及由此产生的框架协议文本和采购合同文本受中华人民共和国有关的法律法规制约和保护</w:t>
      </w:r>
      <w:r>
        <w:rPr>
          <w:rFonts w:ascii="宋体" w:hAnsi="宋体"/>
          <w:color w:val="auto"/>
          <w:sz w:val="24"/>
          <w:highlight w:val="none"/>
        </w:rPr>
        <w:t xml:space="preserve">。</w:t>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64" w:name="_Toc462564067"/>
      <w:r/>
      <w:bookmarkStart w:id="65" w:name="_Toc16938523"/>
      <w:r/>
      <w:bookmarkStart w:id="66" w:name="_Toc20823279"/>
      <w:r/>
      <w:bookmarkStart w:id="67" w:name="_Toc513029207"/>
      <w:r>
        <w:rPr>
          <w:rFonts w:hint="eastAsia" w:ascii="宋体" w:hAnsi="宋体" w:eastAsia="宋体" w:cs="Times New Roman"/>
          <w:bCs w:val="0"/>
          <w:color w:val="auto"/>
          <w:highlight w:val="none"/>
        </w:rPr>
        <w:t xml:space="preserve">4. 参加采购活动的费用</w:t>
      </w:r>
      <w:bookmarkEnd w:id="64"/>
      <w:r/>
      <w:bookmarkEnd w:id="65"/>
      <w:r/>
      <w:bookmarkEnd w:id="66"/>
      <w:r/>
      <w:bookmarkEnd w:id="6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4.1 供应商应自行承担所有与参加采购活动有关的费用，无论采购活动过程中的做法和结果如何，征集人、</w:t>
      </w:r>
      <w:r>
        <w:rPr>
          <w:rFonts w:hint="eastAsia" w:ascii="宋体" w:hAnsi="宋体"/>
          <w:color w:val="auto"/>
          <w:sz w:val="24"/>
          <w:highlight w:val="none"/>
          <w:lang w:eastAsia="zh-CN"/>
        </w:rPr>
        <w:t xml:space="preserve">沛县</w:t>
      </w:r>
      <w:r>
        <w:rPr>
          <w:rFonts w:hint="eastAsia" w:ascii="宋体" w:hAnsi="宋体"/>
          <w:color w:val="auto"/>
          <w:sz w:val="24"/>
          <w:highlight w:val="none"/>
        </w:rPr>
        <w:t xml:space="preserve">公共资源交易中心（以下简称交易中心）在任何情况下均无义务和责任承担这些费用。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4.2本次采购活动不收取文件工本费与代理服务费。不收取履约保证金。</w:t>
      </w:r>
      <w:r/>
    </w:p>
    <w:p>
      <w:pPr>
        <w:pStyle w:val="758"/>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5. 征集文件的约束力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 供应商一旦参加本项目采购活动，即被认为接受了本征集文件的规定和约束。</w:t>
      </w:r>
      <w:r/>
    </w:p>
    <w:p>
      <w:pPr>
        <w:pStyle w:val="757"/>
        <w:ind w:firstLine="452"/>
        <w:keepLines w:val="0"/>
        <w:keepNext w:val="0"/>
        <w:spacing w:before="0" w:after="0" w:line="360" w:lineRule="auto"/>
        <w:rPr>
          <w:color w:val="auto"/>
          <w:sz w:val="30"/>
          <w:szCs w:val="30"/>
          <w:highlight w:val="none"/>
        </w:rPr>
      </w:pPr>
      <w:r/>
      <w:bookmarkStart w:id="68" w:name="_Toc513029209"/>
      <w:r/>
      <w:bookmarkStart w:id="69" w:name="_Toc16938525"/>
      <w:r/>
      <w:bookmarkStart w:id="70" w:name="_Toc120614215"/>
      <w:r/>
      <w:bookmarkStart w:id="71" w:name="_Toc20823281"/>
      <w:r>
        <w:rPr>
          <w:rFonts w:hint="eastAsia"/>
          <w:color w:val="auto"/>
          <w:sz w:val="30"/>
          <w:szCs w:val="30"/>
          <w:highlight w:val="none"/>
        </w:rPr>
        <w:t xml:space="preserve">二、征集文件</w:t>
      </w:r>
      <w:bookmarkEnd w:id="68"/>
      <w:r/>
      <w:bookmarkEnd w:id="69"/>
      <w:r/>
      <w:bookmarkEnd w:id="70"/>
      <w:r/>
      <w:bookmarkEnd w:id="71"/>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72" w:name="_Toc16938526"/>
      <w:r/>
      <w:bookmarkStart w:id="73" w:name="_Toc20823282"/>
      <w:r/>
      <w:bookmarkStart w:id="74" w:name="_Toc513029210"/>
      <w:r>
        <w:rPr>
          <w:rFonts w:hint="eastAsia" w:ascii="宋体" w:hAnsi="宋体" w:eastAsia="宋体" w:cs="Times New Roman"/>
          <w:bCs w:val="0"/>
          <w:color w:val="auto"/>
          <w:highlight w:val="none"/>
        </w:rPr>
        <w:t xml:space="preserve">6. 征集文件构成</w:t>
      </w:r>
      <w:bookmarkEnd w:id="72"/>
      <w:r/>
      <w:bookmarkEnd w:id="73"/>
      <w:r/>
      <w:bookmarkEnd w:id="7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 征集文件由以下部分组成：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.1.1</w:t>
      </w:r>
      <w:r>
        <w:rPr>
          <w:rFonts w:hint="eastAsia" w:ascii="宋体" w:hAnsi="宋体"/>
          <w:color w:val="auto"/>
          <w:sz w:val="24"/>
          <w:highlight w:val="none"/>
        </w:rPr>
        <w:t xml:space="preserve">参加征集活动的邀请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6.1.2供应商须知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.1.3</w:t>
      </w:r>
      <w:r>
        <w:rPr>
          <w:rFonts w:hint="eastAsia" w:ascii="宋体" w:hAnsi="宋体"/>
          <w:color w:val="auto"/>
          <w:sz w:val="24"/>
          <w:highlight w:val="none"/>
        </w:rPr>
        <w:t xml:space="preserve">采购合同</w:t>
      </w:r>
      <w:r>
        <w:rPr>
          <w:rFonts w:ascii="宋体" w:hAnsi="宋体"/>
          <w:color w:val="auto"/>
          <w:sz w:val="24"/>
          <w:highlight w:val="none"/>
        </w:rPr>
        <w:t xml:space="preserve">文本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6.1.4采购需求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6.1.5确定入围及成交供应商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6.1.6申请文件格式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请仔细检查征集文件是否齐全，如有缺漏请立即与征集人、交易中心联系解决。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 供应商应认真阅读征集文件中所有的事项、格式、条款和规范等要求。按征集文件的要求和规定编制申请文件，并保证所提供的全部资料的真实性，否则其风险由供应商自行承担。</w:t>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75" w:name="_Toc16938527"/>
      <w:r/>
      <w:bookmarkStart w:id="76" w:name="_Toc462564070"/>
      <w:r/>
      <w:bookmarkStart w:id="77" w:name="_Toc513029211"/>
      <w:r/>
      <w:bookmarkStart w:id="78" w:name="_Toc20823283"/>
      <w:r>
        <w:rPr>
          <w:rFonts w:hint="eastAsia" w:ascii="宋体" w:hAnsi="宋体" w:eastAsia="宋体" w:cs="Times New Roman"/>
          <w:bCs w:val="0"/>
          <w:color w:val="auto"/>
          <w:highlight w:val="none"/>
        </w:rPr>
        <w:t xml:space="preserve">7. 征集文件的澄清</w:t>
      </w:r>
      <w:bookmarkEnd w:id="75"/>
      <w:r/>
      <w:bookmarkEnd w:id="76"/>
      <w:r/>
      <w:bookmarkEnd w:id="77"/>
      <w:r/>
      <w:bookmarkEnd w:id="7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 任何要求对征集文件进行澄清的供应商，应当以书面形式通知征集人、交易中心。</w:t>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79" w:name="_Toc513029212"/>
      <w:r/>
      <w:bookmarkStart w:id="80" w:name="_Toc462564071"/>
      <w:r/>
      <w:bookmarkStart w:id="81" w:name="_Toc20823284"/>
      <w:r/>
      <w:bookmarkStart w:id="82" w:name="_Toc16938528"/>
      <w:r>
        <w:rPr>
          <w:rFonts w:hint="eastAsia" w:ascii="宋体" w:hAnsi="宋体" w:eastAsia="宋体" w:cs="Times New Roman"/>
          <w:bCs w:val="0"/>
          <w:color w:val="auto"/>
          <w:highlight w:val="none"/>
        </w:rPr>
        <w:t xml:space="preserve">8. 征集文件的修改</w:t>
      </w:r>
      <w:bookmarkEnd w:id="79"/>
      <w:r/>
      <w:bookmarkEnd w:id="80"/>
      <w:r/>
      <w:bookmarkEnd w:id="81"/>
      <w:r/>
      <w:bookmarkEnd w:id="8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8.1征集人、交易中心有权根据需要对征集文件进行修改。征集文件的修改将在“</w:t>
      </w:r>
      <w:r>
        <w:rPr>
          <w:rFonts w:hint="eastAsia" w:ascii="宋体" w:hAnsi="宋体"/>
          <w:color w:val="auto"/>
          <w:sz w:val="24"/>
          <w:highlight w:val="none"/>
          <w:lang w:eastAsia="zh-CN"/>
        </w:rPr>
        <w:t xml:space="preserve">徐州</w:t>
      </w:r>
      <w:r>
        <w:rPr>
          <w:rFonts w:hint="eastAsia" w:ascii="宋体" w:hAnsi="宋体"/>
          <w:color w:val="auto"/>
          <w:sz w:val="24"/>
          <w:highlight w:val="none"/>
        </w:rPr>
        <w:t xml:space="preserve">政府采购网”公布，补充文件将作为征集文件的组成部分，并对供应商具有约束力。</w:t>
      </w:r>
      <w:r/>
    </w:p>
    <w:p>
      <w:pPr>
        <w:pStyle w:val="757"/>
        <w:ind w:firstLine="452"/>
        <w:keepLines w:val="0"/>
        <w:keepNext w:val="0"/>
        <w:spacing w:before="0" w:after="0" w:line="360" w:lineRule="auto"/>
        <w:rPr>
          <w:color w:val="auto"/>
          <w:sz w:val="30"/>
          <w:szCs w:val="30"/>
          <w:highlight w:val="none"/>
        </w:rPr>
      </w:pPr>
      <w:r/>
      <w:bookmarkStart w:id="83" w:name="_Toc16938529"/>
      <w:r/>
      <w:bookmarkStart w:id="84" w:name="_Toc20823285"/>
      <w:r/>
      <w:bookmarkStart w:id="85" w:name="_Toc513029213"/>
      <w:r/>
      <w:bookmarkStart w:id="86" w:name="_Toc462564072"/>
      <w:r/>
      <w:bookmarkStart w:id="87" w:name="_Toc120614216"/>
      <w:r>
        <w:rPr>
          <w:rFonts w:hint="eastAsia"/>
          <w:color w:val="auto"/>
          <w:sz w:val="30"/>
          <w:szCs w:val="30"/>
          <w:highlight w:val="none"/>
        </w:rPr>
        <w:t xml:space="preserve">三、申请文件的编制</w:t>
      </w:r>
      <w:bookmarkEnd w:id="83"/>
      <w:r/>
      <w:bookmarkEnd w:id="84"/>
      <w:r/>
      <w:bookmarkEnd w:id="85"/>
      <w:r/>
      <w:bookmarkEnd w:id="86"/>
      <w:r/>
      <w:bookmarkEnd w:id="87"/>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88" w:name="_Toc20823286"/>
      <w:r/>
      <w:bookmarkStart w:id="89" w:name="_Toc16938530"/>
      <w:r/>
      <w:bookmarkStart w:id="90" w:name="_Toc513029214"/>
      <w:r/>
      <w:bookmarkStart w:id="91" w:name="_Toc462564073"/>
      <w:r>
        <w:rPr>
          <w:rFonts w:hint="eastAsia" w:ascii="宋体" w:hAnsi="宋体" w:eastAsia="宋体" w:cs="Times New Roman"/>
          <w:bCs w:val="0"/>
          <w:color w:val="auto"/>
          <w:highlight w:val="none"/>
        </w:rPr>
        <w:t xml:space="preserve">9. 申请文件的语言及度量衡单位</w:t>
      </w:r>
      <w:bookmarkEnd w:id="88"/>
      <w:r/>
      <w:bookmarkEnd w:id="89"/>
      <w:r/>
      <w:bookmarkEnd w:id="90"/>
      <w:r/>
      <w:bookmarkEnd w:id="9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 供应商提交的申请文件以及供应商与征集人、交易中心就采购活动的所有来往通知、函件和文件均应使用简体中文。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 除技术性能另有规定外，申请文件所使用的度量衡单位，均须采用国家法定计量单位。</w:t>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92" w:name="_Toc462564074"/>
      <w:r/>
      <w:bookmarkStart w:id="93" w:name="_Toc20823287"/>
      <w:r/>
      <w:bookmarkStart w:id="94" w:name="_Toc513029215"/>
      <w:r/>
      <w:bookmarkStart w:id="95" w:name="_Toc16938531"/>
      <w:r>
        <w:rPr>
          <w:rFonts w:hint="eastAsia" w:ascii="宋体" w:hAnsi="宋体" w:eastAsia="宋体" w:cs="Times New Roman"/>
          <w:bCs w:val="0"/>
          <w:color w:val="auto"/>
          <w:highlight w:val="none"/>
        </w:rPr>
        <w:t xml:space="preserve">10. 申请文件构成</w:t>
      </w:r>
      <w:bookmarkEnd w:id="92"/>
      <w:r/>
      <w:bookmarkEnd w:id="93"/>
      <w:r/>
      <w:bookmarkEnd w:id="94"/>
      <w:r/>
      <w:bookmarkEnd w:id="9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 供应商编写的申请文件应包括资格证明文件、响应</w:t>
      </w:r>
      <w:r>
        <w:rPr>
          <w:rFonts w:ascii="宋体" w:hAnsi="宋体"/>
          <w:color w:val="auto"/>
          <w:sz w:val="24"/>
          <w:highlight w:val="none"/>
        </w:rPr>
        <w:t xml:space="preserve">产品</w:t>
      </w:r>
      <w:r>
        <w:rPr>
          <w:rFonts w:hint="eastAsia" w:ascii="宋体" w:hAnsi="宋体"/>
          <w:color w:val="auto"/>
          <w:sz w:val="24"/>
          <w:highlight w:val="none"/>
        </w:rPr>
        <w:t xml:space="preserve">报价</w:t>
      </w:r>
      <w:r>
        <w:rPr>
          <w:rFonts w:ascii="宋体" w:hAnsi="宋体"/>
          <w:color w:val="auto"/>
          <w:sz w:val="24"/>
          <w:highlight w:val="none"/>
        </w:rPr>
        <w:t xml:space="preserve">明细表、</w:t>
      </w:r>
      <w:r>
        <w:rPr>
          <w:rFonts w:hint="eastAsia" w:ascii="宋体" w:hAnsi="宋体"/>
          <w:color w:val="auto"/>
          <w:sz w:val="24"/>
          <w:highlight w:val="none"/>
        </w:rPr>
        <w:t xml:space="preserve">承诺函、响应函等部分。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 如申请文件制作工具中格式和内容与“</w:t>
      </w:r>
      <w:r>
        <w:rPr>
          <w:rFonts w:hint="eastAsia" w:ascii="宋体" w:hAnsi="宋体"/>
          <w:color w:val="auto"/>
          <w:sz w:val="24"/>
          <w:highlight w:val="none"/>
          <w:lang w:eastAsia="zh-CN"/>
        </w:rPr>
        <w:t xml:space="preserve">徐州政府采购网</w:t>
      </w:r>
      <w:r>
        <w:rPr>
          <w:rFonts w:hint="eastAsia" w:ascii="宋体" w:hAnsi="宋体"/>
          <w:color w:val="auto"/>
          <w:sz w:val="24"/>
          <w:highlight w:val="none"/>
        </w:rPr>
        <w:t xml:space="preserve">”发布的征集文件不一致，请以“</w:t>
      </w:r>
      <w:r>
        <w:rPr>
          <w:rFonts w:hint="eastAsia" w:ascii="宋体" w:hAnsi="宋体"/>
          <w:color w:val="auto"/>
          <w:sz w:val="24"/>
          <w:highlight w:val="none"/>
          <w:lang w:eastAsia="zh-CN"/>
        </w:rPr>
        <w:t xml:space="preserve">徐州政府采购网</w:t>
      </w:r>
      <w:r>
        <w:rPr>
          <w:rFonts w:hint="eastAsia" w:ascii="宋体" w:hAnsi="宋体"/>
          <w:color w:val="auto"/>
          <w:sz w:val="24"/>
          <w:highlight w:val="none"/>
        </w:rPr>
        <w:t xml:space="preserve">”发布的征集文件为准。</w:t>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96" w:name="_Hlt26954838"/>
      <w:r/>
      <w:bookmarkEnd w:id="96"/>
      <w:r/>
      <w:bookmarkStart w:id="97" w:name="_Hlt26668975"/>
      <w:r/>
      <w:bookmarkEnd w:id="97"/>
      <w:r/>
      <w:bookmarkStart w:id="98" w:name="_Hlt26670360"/>
      <w:r/>
      <w:bookmarkEnd w:id="98"/>
      <w:r>
        <w:rPr>
          <w:rFonts w:hint="eastAsia" w:ascii="宋体" w:hAnsi="宋体" w:eastAsia="宋体" w:cs="Times New Roman"/>
          <w:bCs w:val="0"/>
          <w:color w:val="auto"/>
          <w:highlight w:val="none"/>
        </w:rPr>
        <w:t xml:space="preserve">11. 响应报价</w:t>
      </w:r>
      <w:r>
        <w:rPr>
          <w:rFonts w:ascii="宋体" w:hAnsi="宋体" w:eastAsia="宋体" w:cs="Times New Roman"/>
          <w:bCs w:val="0"/>
          <w:color w:val="auto"/>
          <w:highlight w:val="none"/>
        </w:rPr>
        <w:t xml:space="preserve">明细表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11.1 供应商应按照征集文件规定的格式完整、正确填写响应报价明细表。</w:t>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99" w:name="_Hlt26670482"/>
      <w:r/>
      <w:bookmarkEnd w:id="99"/>
      <w:r/>
      <w:bookmarkStart w:id="100" w:name="_Hlt26954846"/>
      <w:r/>
      <w:bookmarkEnd w:id="100"/>
      <w:r/>
      <w:bookmarkStart w:id="101" w:name="_Hlt26954848"/>
      <w:r/>
      <w:bookmarkEnd w:id="101"/>
      <w:r/>
      <w:bookmarkStart w:id="102" w:name="_Hlt26954731"/>
      <w:r/>
      <w:bookmarkEnd w:id="102"/>
      <w:r/>
      <w:bookmarkStart w:id="103" w:name="_Hlt26670486"/>
      <w:r/>
      <w:bookmarkEnd w:id="103"/>
      <w:r>
        <w:rPr>
          <w:rFonts w:hint="eastAsia" w:ascii="宋体" w:hAnsi="宋体" w:eastAsia="宋体" w:cs="Times New Roman"/>
          <w:bCs w:val="0"/>
          <w:color w:val="auto"/>
          <w:highlight w:val="none"/>
        </w:rPr>
        <w:t xml:space="preserve">12. 承诺函</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12.1供应商应按照征集文件中规定的格式完整、正确填写承诺函。</w:t>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104" w:name="_Toc49090510"/>
      <w:r/>
      <w:bookmarkStart w:id="105" w:name="_Toc14577359"/>
      <w:r>
        <w:rPr>
          <w:rFonts w:hint="eastAsia" w:ascii="宋体" w:hAnsi="宋体" w:eastAsia="宋体" w:cs="Times New Roman"/>
          <w:bCs w:val="0"/>
          <w:color w:val="auto"/>
          <w:highlight w:val="none"/>
        </w:rPr>
        <w:t xml:space="preserve">13. 响应函</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13.1 供应商应按照征集文件中规定的格式完整、正确填写响应函。</w:t>
      </w:r>
      <w:bookmarkEnd w:id="104"/>
      <w:r/>
      <w:bookmarkEnd w:id="105"/>
      <w:r/>
      <w:r/>
    </w:p>
    <w:p>
      <w:pPr>
        <w:pStyle w:val="757"/>
        <w:ind w:firstLine="452"/>
        <w:keepLines w:val="0"/>
        <w:keepNext w:val="0"/>
        <w:spacing w:before="0" w:after="0" w:line="360" w:lineRule="auto"/>
        <w:rPr>
          <w:color w:val="auto"/>
          <w:sz w:val="30"/>
          <w:szCs w:val="30"/>
          <w:highlight w:val="none"/>
        </w:rPr>
      </w:pPr>
      <w:r/>
      <w:bookmarkStart w:id="106" w:name="_Hlt26954739"/>
      <w:r/>
      <w:bookmarkEnd w:id="106"/>
      <w:r/>
      <w:bookmarkStart w:id="107" w:name="_Hlt26954852"/>
      <w:r/>
      <w:bookmarkEnd w:id="107"/>
      <w:r/>
      <w:bookmarkStart w:id="108" w:name="_Toc16938540"/>
      <w:r/>
      <w:bookmarkStart w:id="109" w:name="_Toc513029224"/>
      <w:r/>
      <w:bookmarkStart w:id="110" w:name="_Toc20823296"/>
      <w:r/>
      <w:bookmarkStart w:id="111" w:name="_Toc120614217"/>
      <w:r>
        <w:rPr>
          <w:rFonts w:hint="eastAsia"/>
          <w:color w:val="auto"/>
          <w:sz w:val="30"/>
          <w:szCs w:val="30"/>
          <w:highlight w:val="none"/>
        </w:rPr>
        <w:t xml:space="preserve">四、申请文件的递交</w:t>
      </w:r>
      <w:bookmarkEnd w:id="108"/>
      <w:r/>
      <w:bookmarkEnd w:id="109"/>
      <w:r/>
      <w:bookmarkEnd w:id="110"/>
      <w:r/>
      <w:bookmarkEnd w:id="111"/>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112" w:name="_Toc20823297"/>
      <w:r/>
      <w:bookmarkStart w:id="113" w:name="_Toc513029225"/>
      <w:r/>
      <w:bookmarkStart w:id="114" w:name="_Toc16938541"/>
      <w:r/>
      <w:bookmarkStart w:id="115" w:name="_Toc462564084"/>
      <w:r>
        <w:rPr>
          <w:rFonts w:hint="eastAsia" w:ascii="宋体" w:hAnsi="宋体" w:eastAsia="宋体" w:cs="Times New Roman"/>
          <w:bCs w:val="0"/>
          <w:color w:val="auto"/>
          <w:highlight w:val="none"/>
        </w:rPr>
        <w:t xml:space="preserve">14. 电子申请文件</w:t>
      </w:r>
      <w:bookmarkEnd w:id="112"/>
      <w:r/>
      <w:bookmarkEnd w:id="113"/>
      <w:r/>
      <w:bookmarkEnd w:id="114"/>
      <w:r/>
      <w:bookmarkEnd w:id="115"/>
      <w:r>
        <w:rPr>
          <w:rFonts w:hint="eastAsia" w:ascii="宋体" w:hAnsi="宋体" w:eastAsia="宋体" w:cs="Times New Roman"/>
          <w:bCs w:val="0"/>
          <w:color w:val="auto"/>
          <w:highlight w:val="none"/>
        </w:rPr>
        <w:t xml:space="preserve">的递交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 供应商应当按照《操作手册》规定</w:t>
      </w:r>
      <w:r>
        <w:rPr>
          <w:rFonts w:ascii="宋体" w:hAnsi="宋体"/>
          <w:color w:val="auto"/>
          <w:sz w:val="24"/>
          <w:highlight w:val="none"/>
        </w:rPr>
        <w:t xml:space="preserve">制作</w:t>
      </w:r>
      <w:r>
        <w:rPr>
          <w:rFonts w:hint="eastAsia" w:ascii="宋体" w:hAnsi="宋体"/>
          <w:color w:val="auto"/>
          <w:sz w:val="24"/>
          <w:highlight w:val="none"/>
        </w:rPr>
        <w:t xml:space="preserve">并上传电子申请文件。</w:t>
      </w:r>
      <w:bookmarkStart w:id="116" w:name="_Toc513029226"/>
      <w:r/>
      <w:bookmarkEnd w:id="116"/>
      <w:r/>
      <w:bookmarkStart w:id="117" w:name="_Toc20823298"/>
      <w:r/>
      <w:bookmarkEnd w:id="117"/>
      <w:r/>
      <w:bookmarkStart w:id="118" w:name="_Toc16938542"/>
      <w:r/>
      <w:bookmarkEnd w:id="118"/>
      <w:r/>
      <w:r/>
    </w:p>
    <w:p>
      <w:pPr>
        <w:pStyle w:val="757"/>
        <w:ind w:firstLine="452"/>
        <w:keepLines w:val="0"/>
        <w:keepNext w:val="0"/>
        <w:spacing w:before="0" w:after="0" w:line="360" w:lineRule="auto"/>
        <w:rPr>
          <w:color w:val="auto"/>
          <w:sz w:val="30"/>
          <w:szCs w:val="30"/>
          <w:highlight w:val="none"/>
        </w:rPr>
      </w:pPr>
      <w:r/>
      <w:bookmarkStart w:id="119" w:name="_Toc120614218"/>
      <w:r/>
      <w:bookmarkStart w:id="120" w:name="_Toc20823301"/>
      <w:r/>
      <w:bookmarkStart w:id="121" w:name="_Toc513029229"/>
      <w:r/>
      <w:bookmarkStart w:id="122" w:name="_Toc16938545"/>
      <w:r>
        <w:rPr>
          <w:rFonts w:hint="eastAsia"/>
          <w:color w:val="auto"/>
          <w:sz w:val="30"/>
          <w:szCs w:val="30"/>
          <w:highlight w:val="none"/>
        </w:rPr>
        <w:t xml:space="preserve">五、</w:t>
      </w:r>
      <w:bookmarkEnd w:id="119"/>
      <w:r/>
      <w:bookmarkEnd w:id="120"/>
      <w:r/>
      <w:bookmarkEnd w:id="121"/>
      <w:r/>
      <w:bookmarkEnd w:id="122"/>
      <w:r>
        <w:rPr>
          <w:rFonts w:hint="eastAsia"/>
          <w:color w:val="auto"/>
          <w:sz w:val="30"/>
          <w:szCs w:val="30"/>
          <w:highlight w:val="none"/>
        </w:rPr>
        <w:t xml:space="preserve">申请文件的审核</w:t>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123" w:name="_Toc16938549"/>
      <w:r/>
      <w:bookmarkStart w:id="124" w:name="_Toc20823305"/>
      <w:r/>
      <w:bookmarkStart w:id="125" w:name="_Toc513029233"/>
      <w:r>
        <w:rPr>
          <w:rFonts w:hint="eastAsia" w:ascii="宋体" w:hAnsi="宋体" w:eastAsia="宋体" w:cs="Times New Roman"/>
          <w:bCs w:val="0"/>
          <w:color w:val="auto"/>
          <w:highlight w:val="none"/>
        </w:rPr>
        <w:t xml:space="preserve">1</w:t>
      </w:r>
      <w:bookmarkEnd w:id="123"/>
      <w:r/>
      <w:bookmarkEnd w:id="124"/>
      <w:r/>
      <w:bookmarkEnd w:id="125"/>
      <w:r>
        <w:rPr>
          <w:rFonts w:hint="eastAsia" w:ascii="宋体" w:hAnsi="宋体" w:eastAsia="宋体" w:cs="Times New Roman"/>
          <w:bCs w:val="0"/>
          <w:color w:val="auto"/>
          <w:highlight w:val="none"/>
        </w:rPr>
        <w:t xml:space="preserve">5. 供应商资格审查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15.1征集人将依据《政府采购框架协议采购方式管理暂行办法》的规定,按照征集文件中列明的资格要求对供应商进行资格审查。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在进行资格审查的同时，征集人将在“信用中国”网站（www.creditchina.gov.cn）、中国政府采购网(www.ccgp.gov.cn)查询供应商的信用记录，以确定供应商是否具备参加本次开放式框架协议采购的资格。查询结果将以网页打印的形式留存并归档。</w:t>
      </w:r>
      <w:r/>
    </w:p>
    <w:p>
      <w:pPr>
        <w:pStyle w:val="758"/>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16. 申请文件审核不通过的情形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16.1供应商不具备征集文件中规定资格要求的。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16.2供应商所报产品单价超过了最高限制单价的。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16.3供应商被“信用中国”网站（www.creditchina.gov.cn）、中国政府采购网(www.ccgp.gov.cn)列入失信被执行人或重大税收违法案件当事人名单或政府采购严重失信行为记录名单。或查询“信用中国”网站、中国政府采购网后发现供应商存在其他不符合《中华人民共和国政府采购法》第二十二条规定条件的信用记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16.4 申请文件含有征集人不能接受的附加条件的。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16.5 申请文件未按照征集文件要求加盖电子签章。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16.6 申请文件不满足征集文件中</w:t>
      </w:r>
      <w:r>
        <w:rPr>
          <w:rFonts w:hint="eastAsia" w:ascii="宋体" w:hAnsi="宋体"/>
          <w:i/>
          <w:color w:val="auto"/>
          <w:sz w:val="24"/>
          <w:highlight w:val="none"/>
          <w:u w:val="single"/>
        </w:rPr>
        <w:t xml:space="preserve">加斜体下划线</w:t>
      </w:r>
      <w:r>
        <w:rPr>
          <w:rFonts w:hint="eastAsia" w:ascii="宋体" w:hAnsi="宋体"/>
          <w:color w:val="auto"/>
          <w:sz w:val="24"/>
          <w:highlight w:val="none"/>
        </w:rPr>
        <w:t xml:space="preserve">或打“★”内容的要求。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申请文件审核不通过的，征集人将通过“苏采云”平台退回供应商的申请文件并告知其未通过审核的原因。</w:t>
      </w:r>
      <w:r/>
    </w:p>
    <w:p>
      <w:pPr>
        <w:pStyle w:val="757"/>
        <w:ind w:firstLine="452"/>
        <w:keepLines w:val="0"/>
        <w:keepNext w:val="0"/>
        <w:spacing w:before="0" w:after="0" w:line="360" w:lineRule="auto"/>
        <w:rPr>
          <w:color w:val="auto"/>
          <w:sz w:val="30"/>
          <w:szCs w:val="30"/>
          <w:highlight w:val="none"/>
        </w:rPr>
      </w:pPr>
      <w:r/>
      <w:bookmarkStart w:id="126" w:name="_Toc16938551"/>
      <w:r/>
      <w:bookmarkStart w:id="127" w:name="_Toc120614219"/>
      <w:r/>
      <w:bookmarkStart w:id="128" w:name="_Toc20823307"/>
      <w:r/>
      <w:bookmarkStart w:id="129" w:name="_Toc513029235"/>
      <w:r>
        <w:rPr>
          <w:rFonts w:hint="eastAsia"/>
          <w:color w:val="auto"/>
          <w:sz w:val="30"/>
          <w:szCs w:val="30"/>
          <w:highlight w:val="none"/>
        </w:rPr>
        <w:t xml:space="preserve">六、</w:t>
      </w:r>
      <w:bookmarkEnd w:id="126"/>
      <w:r/>
      <w:bookmarkEnd w:id="127"/>
      <w:r/>
      <w:bookmarkEnd w:id="128"/>
      <w:r/>
      <w:bookmarkEnd w:id="129"/>
      <w:r>
        <w:rPr>
          <w:rFonts w:hint="eastAsia"/>
          <w:color w:val="auto"/>
          <w:sz w:val="30"/>
          <w:szCs w:val="30"/>
          <w:highlight w:val="none"/>
        </w:rPr>
        <w:t xml:space="preserve">入围及退出</w:t>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130" w:name="_Toc513029238"/>
      <w:r/>
      <w:bookmarkStart w:id="131" w:name="_Toc20823310"/>
      <w:r/>
      <w:bookmarkStart w:id="132" w:name="_Toc16938554"/>
      <w:r>
        <w:rPr>
          <w:rFonts w:hint="eastAsia" w:ascii="宋体" w:hAnsi="宋体" w:eastAsia="宋体" w:cs="Times New Roman"/>
          <w:bCs w:val="0"/>
          <w:color w:val="auto"/>
          <w:highlight w:val="none"/>
        </w:rPr>
        <w:t xml:space="preserve">17</w:t>
      </w:r>
      <w:bookmarkEnd w:id="130"/>
      <w:r>
        <w:rPr>
          <w:rFonts w:hint="eastAsia" w:ascii="宋体" w:hAnsi="宋体" w:eastAsia="宋体" w:cs="Times New Roman"/>
          <w:bCs w:val="0"/>
          <w:color w:val="auto"/>
          <w:highlight w:val="none"/>
        </w:rPr>
        <w:t xml:space="preserve">. 确定</w:t>
      </w:r>
      <w:bookmarkEnd w:id="131"/>
      <w:r/>
      <w:bookmarkEnd w:id="132"/>
      <w:r>
        <w:rPr>
          <w:rFonts w:hint="eastAsia" w:ascii="宋体" w:hAnsi="宋体" w:eastAsia="宋体" w:cs="Times New Roman"/>
          <w:bCs w:val="0"/>
          <w:color w:val="auto"/>
          <w:highlight w:val="none"/>
        </w:rPr>
        <w:t xml:space="preserve">入围供应商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 征集人将在审核通过后2个工作日内，发布入围结果公告，公告入围供应商名称、地址、联系方式及付费标准，并动态更新入围供应商信息。入围结果公告时间为1个工作日。</w:t>
      </w:r>
      <w:r/>
    </w:p>
    <w:p>
      <w:pPr>
        <w:pStyle w:val="758"/>
        <w:ind w:firstLine="422"/>
        <w:keepLines w:val="0"/>
        <w:keepNext w:val="0"/>
        <w:spacing w:before="0" w:after="0" w:line="360" w:lineRule="auto"/>
        <w:rPr>
          <w:rFonts w:ascii="宋体" w:hAnsi="宋体" w:eastAsia="宋体" w:cs="Times New Roman"/>
          <w:bCs w:val="0"/>
          <w:color w:val="auto"/>
          <w:highlight w:val="none"/>
        </w:rPr>
      </w:pPr>
      <w:r/>
      <w:bookmarkStart w:id="133" w:name="_Toc200451960"/>
      <w:r>
        <w:rPr>
          <w:rFonts w:hint="eastAsia" w:ascii="宋体" w:hAnsi="宋体" w:eastAsia="宋体" w:cs="Times New Roman"/>
          <w:bCs w:val="0"/>
          <w:color w:val="auto"/>
          <w:highlight w:val="none"/>
        </w:rPr>
        <w:t xml:space="preserve">18. 入围供应商的退出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18.1 入围供应商可以随时申请退出框架协议。征集人将在收到退出申请2个工作日内，发布入围供应商退出公告。公告期限为公告发布之日起1个工作日。</w:t>
      </w:r>
      <w:r>
        <w:rPr>
          <w:rFonts w:ascii="宋体" w:hAnsi="宋体"/>
          <w:color w:val="auto"/>
          <w:sz w:val="24"/>
          <w:highlight w:val="none"/>
        </w:rPr>
        <w:t xml:space="preserve">各有关当事人对退出结果有异议，可以在本公告期限届满之日起七个工作日内，以书面形式提出明确的请求并提供必要的证明，逾期将不再受理</w:t>
      </w:r>
      <w:r>
        <w:rPr>
          <w:rFonts w:hint="eastAsia" w:ascii="宋体" w:hAnsi="宋体"/>
          <w:color w:val="auto"/>
          <w:sz w:val="24"/>
          <w:highlight w:val="none"/>
        </w:rPr>
        <w:t xml:space="preserve">。</w:t>
      </w:r>
      <w:r>
        <w:rPr>
          <w:rFonts w:hint="eastAsia" w:ascii="宋体" w:hAnsi="宋体"/>
          <w:b/>
          <w:color w:val="auto"/>
          <w:sz w:val="24"/>
          <w:highlight w:val="none"/>
        </w:rPr>
        <w:t xml:space="preserve">退出框架协议的供应商，在框架协议有效期内不得重新申请加入同一开放式框架协议。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18.2 入围供应商申请退出框架协议时，如有采购合同正在履约，必须将采购合同履约完成后才能申请退出。</w:t>
      </w:r>
      <w:r/>
    </w:p>
    <w:p>
      <w:pPr>
        <w:pStyle w:val="758"/>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19. 质疑处理</w:t>
      </w:r>
      <w:bookmarkEnd w:id="13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 提出质疑的供应商应当是参与所质疑开放式框架协议</w:t>
      </w:r>
      <w:r>
        <w:rPr>
          <w:rFonts w:hint="eastAsia" w:ascii="宋体" w:hAnsi="宋体"/>
          <w:color w:val="auto"/>
          <w:sz w:val="24"/>
          <w:highlight w:val="none"/>
        </w:rPr>
        <w:t xml:space="preserve">采购项目采购活动的供应商。潜在供应商依法获取其可质疑的征集文件的，可以对征集文件提出质疑。供应商针对征集文件提出书面质疑的，须同时提供对可质疑的征集文件已进行依法获取的证明，且征集人或交易中心有权向“苏采云”系统平台方进行核实。供应商对可质疑的征集文件已进行依法获取的证明是指：本项目的《投标供应商确认函》和已在“苏采云”平台中对本项目征集文件进行有效获取的界面截图（截图上显示供应商名称以及在供应商的界面操作一栏处能够显示“上传文件”按钮的，代表该供应商在本文件有效获取期限内已从“苏采云”平台中进行了获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19.2 供应商认为征集文件、采购过程、入围结果使自己的权益受到损害的，可以在知道或应知其权益受到损害之日起7个工作日内，以书面形式向征集人或交易中心提出质疑。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供应商应当在法定质疑期内一次性提出针对同一采购程序环节的质疑。供应商如在法定期限内对同一采购程序环节提出多次质疑的，征集人或交易中心只对供应商最后一次质疑作出答复。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19.3 质疑函必须按照本征集文件中《质疑函范本》要求的格式和内容进行填写，并按《质疑函范本》中要求签字、盖章、加盖公章。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19.4 征集人、交易中心只接收以纸质原件形式送达的质疑，质疑供应商可通过面交或邮寄方式送达（征集人和交易中心不接受未填写快递运单的快件）。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含潜在供应商）对项目属性、采购方式、采购需求、供应商资格条件及审查结果、评标方法和评标标准、合同文本的询问、质疑请向征集人提出，由征集人负责答复。供应商对除上述事项以外其他事项的询问、质疑请向交易中心提出，由交易中心负责答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征集人、交易中心联系人、联系方式、通信地址见征集文件第一章。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19.5 以下情形的质疑不予受理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19.5.1 内容不符合《政府采购质疑和投诉办法》第十二条规定的质疑。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19.5.2 超出政府采购法定期限的质疑。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19.5.3 以传真、电子邮件等方式递交的非原件形式的质疑。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19.5.4 未参加采购活动的供应商或在采购活动中自身权益未受到损害的供应商所提出的质疑。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19.6 供应商提出书面质疑必须有理、有据，不得捏造事实、提供虚假材料进行恶意质疑。否则，一经查实，征集人、交易中心有权依据政府采购的有关规定，报请政府采购监管部门对该供应商进行相应的行政处罚和记录该供应商的失信信息。</w:t>
      </w:r>
      <w:r/>
    </w:p>
    <w:p>
      <w:pPr>
        <w:pStyle w:val="758"/>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20. 入围通知书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 入围结果确定后，征集人将向入围供应商发出入围通知书，请入围供应商使用CA数字证书登录“苏采云”平台及时下载入围通知书。因系统存储空间有限，自入围结果公告发布之日起30日后，“苏采云”平台不再保证提供下载入围通知书服务。入围供应商因未及时下载而造成的一切后果由其自负。入围通知书对征集人和入围供应商均具有法律效力。</w:t>
      </w:r>
      <w:r/>
    </w:p>
    <w:p>
      <w:pPr>
        <w:pStyle w:val="757"/>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七、入围产品升级换代规则</w:t>
      </w:r>
      <w:r/>
    </w:p>
    <w:p>
      <w:pPr>
        <w:ind w:firstLine="480"/>
        <w:spacing w:line="360" w:lineRule="auto"/>
        <w:rPr>
          <w:rFonts w:ascii="宋体" w:hAnsi="宋体"/>
          <w:color w:val="auto"/>
          <w:sz w:val="24"/>
          <w:highlight w:val="none"/>
        </w:rPr>
      </w:pPr>
      <w:r/>
      <w:bookmarkStart w:id="134" w:name="_Toc120614221"/>
      <w:r/>
      <w:bookmarkStart w:id="135" w:name="_Toc16938558"/>
      <w:r/>
      <w:bookmarkStart w:id="136" w:name="_Toc479757207"/>
      <w:r/>
      <w:bookmarkStart w:id="137" w:name="_Toc513029242"/>
      <w:r/>
      <w:bookmarkStart w:id="138" w:name="_Toc20823314"/>
      <w:r>
        <w:rPr>
          <w:rFonts w:hint="eastAsia" w:ascii="宋体" w:hAnsi="宋体"/>
          <w:color w:val="auto"/>
          <w:sz w:val="24"/>
          <w:highlight w:val="none"/>
        </w:rPr>
        <w:t xml:space="preserve">21.1框架协议期内，在质量不降低、价格不提高的前提下，入围供应商如出现因装修升级等，需进行服务内容更新时，应当在“苏采云”平台中向征集人提出申请，注明原入围服务基本信息和拟提供新服务基本信息。征集人将对申请进行审核，如审核通过，征集人将对入围服务相关信息进行更新。</w:t>
      </w:r>
      <w:r/>
    </w:p>
    <w:p>
      <w:pPr>
        <w:pStyle w:val="757"/>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八、入围供应商清退和补充规则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22.1 清退规则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入围供应商存在《政府采购框架协议采购方式管理暂行办法》第十九条规定情形的，尚未签订框架协议的，取消其入围资格；已经签订框架协议的，解除与其签订的框架协议。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入围供应商以低于同时期协议成交价销售给非政府采购行业的大客户、零售客户的，经举报查实，尚未签订框架协议的，取消其入围资格；已经签订框架协议的，解除与其签订的框架协议。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被取消入围资格或者被解除框架协议的供应商不得重新申请加入同一开放式框架协议。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22.2 补充规则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如出现因入围供应商退出、清退等导致合格入围供应商不足3家且影响开放式框架协议执行的情形时，征集人报监管部门同意后，将进行补充征集供应商。补充征集的条件、程序、评审方法等与初次征集相同。补充征集遵守原框架协议的有效期。补充征集期间，原框架协议继续履行。</w:t>
      </w:r>
      <w:r/>
    </w:p>
    <w:p>
      <w:pPr>
        <w:pStyle w:val="757"/>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九、确定第二阶段成交供应商方式</w:t>
      </w:r>
      <w:r/>
    </w:p>
    <w:p>
      <w:pPr>
        <w:ind w:firstLine="480"/>
        <w:spacing w:line="360" w:lineRule="auto"/>
        <w:rPr>
          <w:b/>
          <w:bCs/>
          <w:color w:val="auto"/>
          <w:sz w:val="30"/>
          <w:szCs w:val="30"/>
          <w:highlight w:val="none"/>
        </w:rPr>
      </w:pPr>
      <w:r>
        <w:rPr>
          <w:rFonts w:hint="eastAsia" w:ascii="宋体" w:hAnsi="宋体"/>
          <w:color w:val="auto"/>
          <w:sz w:val="24"/>
          <w:highlight w:val="none"/>
        </w:rPr>
        <w:t xml:space="preserve">23.1直接选定。</w:t>
      </w:r>
      <w:r/>
    </w:p>
    <w:p>
      <w:pPr>
        <w:pStyle w:val="757"/>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十、其他</w:t>
      </w:r>
      <w:r/>
    </w:p>
    <w:p>
      <w:pPr>
        <w:ind w:firstLine="480"/>
        <w:spacing w:line="360" w:lineRule="auto"/>
        <w:rPr>
          <w:rFonts w:ascii="宋体" w:hAnsi="宋体"/>
          <w:color w:val="auto"/>
          <w:sz w:val="24"/>
          <w:highlight w:val="none"/>
        </w:rPr>
      </w:pPr>
      <w:r/>
      <w:bookmarkStart w:id="139" w:name="_Toc20823308"/>
      <w:r/>
      <w:bookmarkStart w:id="140" w:name="_Toc16938552"/>
      <w:r/>
      <w:bookmarkStart w:id="141" w:name="_Toc513029236"/>
      <w:r>
        <w:rPr>
          <w:rFonts w:hint="eastAsia" w:ascii="宋体" w:hAnsi="宋体"/>
          <w:color w:val="auto"/>
          <w:sz w:val="24"/>
          <w:highlight w:val="none"/>
        </w:rPr>
        <w:t xml:space="preserve">24.1 </w:t>
      </w:r>
      <w:r>
        <w:rPr>
          <w:rFonts w:hint="eastAsia" w:ascii="宋体" w:hAnsi="宋体"/>
          <w:b/>
          <w:color w:val="auto"/>
          <w:sz w:val="24"/>
          <w:highlight w:val="none"/>
        </w:rPr>
        <w:t xml:space="preserve">征集人不再与供应商另行签订书面框架协议。征集人发布的入围结果公告即视为签订框架协议。</w:t>
      </w:r>
      <w:bookmarkEnd w:id="139"/>
      <w:r/>
      <w:bookmarkEnd w:id="140"/>
      <w:r/>
      <w:bookmarkEnd w:id="141"/>
      <w:r/>
      <w:r/>
    </w:p>
    <w:p>
      <w:pPr>
        <w:ind w:firstLine="480"/>
        <w:spacing w:line="360" w:lineRule="auto"/>
        <w:rPr>
          <w:rFonts w:ascii="宋体" w:hAnsi="宋体"/>
          <w:color w:val="auto"/>
          <w:sz w:val="24"/>
          <w:highlight w:val="none"/>
        </w:rPr>
      </w:pPr>
      <w:r/>
      <w:bookmarkStart w:id="142" w:name="_Toc513029237"/>
      <w:r/>
      <w:bookmarkStart w:id="143" w:name="_Toc16938553"/>
      <w:r/>
      <w:bookmarkStart w:id="144" w:name="_Toc20823309"/>
      <w:r>
        <w:rPr>
          <w:rFonts w:hint="eastAsia" w:ascii="宋体" w:hAnsi="宋体"/>
          <w:color w:val="auto"/>
          <w:sz w:val="24"/>
          <w:highlight w:val="none"/>
        </w:rPr>
        <w:t xml:space="preserve">24.2 入围供应商不得将服务进行转包。未经采购人同意，入围供应商也不得采用</w:t>
      </w:r>
      <w:r>
        <w:rPr>
          <w:rFonts w:hint="eastAsia" w:ascii="宋体" w:hAnsi="宋体"/>
          <w:color w:val="auto"/>
          <w:sz w:val="24"/>
          <w:highlight w:val="none"/>
          <w:lang w:eastAsia="zh-CN"/>
        </w:rPr>
        <w:t xml:space="preserve">采购包</w:t>
      </w:r>
      <w:r>
        <w:rPr>
          <w:rFonts w:hint="eastAsia" w:ascii="宋体" w:hAnsi="宋体"/>
          <w:color w:val="auto"/>
          <w:sz w:val="24"/>
          <w:highlight w:val="none"/>
        </w:rPr>
        <w:t xml:space="preserve">的形式履行合同，否则征集人有权终止框架协议，采购人有权终止采购合同。转包或</w:t>
      </w:r>
      <w:r>
        <w:rPr>
          <w:rFonts w:hint="eastAsia" w:ascii="宋体" w:hAnsi="宋体"/>
          <w:color w:val="auto"/>
          <w:sz w:val="24"/>
          <w:highlight w:val="none"/>
          <w:lang w:eastAsia="zh-CN"/>
        </w:rPr>
        <w:t xml:space="preserve">采购包</w:t>
      </w:r>
      <w:r>
        <w:rPr>
          <w:rFonts w:hint="eastAsia" w:ascii="宋体" w:hAnsi="宋体"/>
          <w:color w:val="auto"/>
          <w:sz w:val="24"/>
          <w:highlight w:val="none"/>
        </w:rPr>
        <w:t xml:space="preserve">造成征集人或采购人损失的，入围供应商及其委托代理商应承担相应赔偿责任。</w:t>
      </w:r>
      <w:bookmarkEnd w:id="142"/>
      <w:r/>
      <w:bookmarkEnd w:id="143"/>
      <w:r/>
      <w:bookmarkEnd w:id="14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24.3 征集人将建立用户反馈和评价机制，接受采购人对入围供应商履行框架协议和采购合同情况的反馈与评价，并将用户反馈和评价情况在“苏采云”平台中向采购人公开，作为第二阶段直接选定成交供应商的参考。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24.4入围供应商按照框架协议约定接受采购人合同授予，并履行采购合同。</w:t>
      </w:r>
      <w:r>
        <w:rPr>
          <w:rFonts w:hint="eastAsia" w:ascii="宋体" w:hAnsi="宋体"/>
          <w:b/>
          <w:color w:val="auto"/>
          <w:sz w:val="24"/>
          <w:highlight w:val="none"/>
        </w:rPr>
        <w:t xml:space="preserve">入围供应商应当使用征集文件中统一的采购合同文本，通过“苏采云”平台与采购人或服务对象签订采购合同，采购人、服务对象和供应商不得擅自改变框架协议约定的合同实质性条款。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24.5 入围供应商的义务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24.5.1 严格执行国家法律法规，严格按照申请文件承诺的价格和服务履约，遵守本合同条款。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24.5.2 随时接受并配合征集人的监督检查，并配合财政部门对采购人和其他入围供应商对框架协议执行情况进行监督，发现违规违约情形的，及时向财政部门报告。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24.5.3 在框架协议有效期内，按照不高于入围报价的价格，向采购人提供相关服务。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24.5.4 履行在申请文件中承诺的责任和义务。</w:t>
      </w:r>
      <w:r/>
    </w:p>
    <w:p>
      <w:pPr>
        <w:pStyle w:val="757"/>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十一、政府采购政策（包括但不限于下列具体政策要求）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25.4有关中小企业政策，如落实政府采购政策需满足的资格要求以及落实政府采购政策的价格调整的相关内容可详见本文件其他章节。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25.5中标、成交供应商可采用合同融资形式，中标人可凭政府采购合同办理融资贷款，详见政府采购网“政采贷”专栏。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中标、成交供应商可以采用电子履约保函形式缴纳履约保证金，具体操作可登录</w:t>
      </w:r>
      <w:r>
        <w:rPr>
          <w:rFonts w:hint="eastAsia" w:ascii="宋体" w:hAnsi="宋体"/>
          <w:color w:val="auto"/>
          <w:sz w:val="24"/>
          <w:highlight w:val="none"/>
          <w:lang w:eastAsia="zh-CN"/>
        </w:rPr>
        <w:t xml:space="preserve">徐州政府采购网</w:t>
      </w:r>
      <w:r>
        <w:rPr>
          <w:rFonts w:hint="eastAsia" w:ascii="宋体" w:hAnsi="宋体"/>
          <w:color w:val="auto"/>
          <w:sz w:val="24"/>
          <w:highlight w:val="none"/>
        </w:rPr>
        <w:t xml:space="preserve">（http://www.ccgp-jiangsu.gov.cn/）的保险保函模块进行办理。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25.7本项目中如有涉及数据库、操作系</w:t>
      </w:r>
      <w:r>
        <w:rPr>
          <w:rFonts w:hint="eastAsia" w:ascii="宋体" w:hAnsi="宋体"/>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jc w:val="center"/>
        <w:spacing w:line="360" w:lineRule="auto"/>
        <w:rPr>
          <w:rFonts w:ascii="黑体" w:eastAsia="黑体"/>
          <w:color w:val="auto"/>
          <w:sz w:val="44"/>
          <w:szCs w:val="44"/>
          <w:highlight w:val="none"/>
        </w:rPr>
      </w:pPr>
      <w:r>
        <w:rPr>
          <w:rFonts w:ascii="宋体" w:hAnsi="宋体"/>
          <w:color w:val="auto"/>
          <w:sz w:val="24"/>
          <w:highlight w:val="none"/>
        </w:rPr>
        <w:br w:type="page" w:clear="all"/>
      </w:r>
      <w:r>
        <w:rPr>
          <w:rFonts w:hint="eastAsia" w:ascii="黑体" w:eastAsia="黑体"/>
          <w:color w:val="auto"/>
          <w:sz w:val="44"/>
          <w:szCs w:val="44"/>
          <w:highlight w:val="none"/>
        </w:rPr>
        <w:t xml:space="preserve">第三章  </w:t>
      </w:r>
      <w:bookmarkEnd w:id="134"/>
      <w:r/>
      <w:bookmarkEnd w:id="135"/>
      <w:r/>
      <w:bookmarkEnd w:id="136"/>
      <w:r/>
      <w:bookmarkEnd w:id="137"/>
      <w:r/>
      <w:bookmarkEnd w:id="138"/>
      <w:r>
        <w:rPr>
          <w:rFonts w:hint="eastAsia" w:ascii="黑体" w:eastAsia="黑体"/>
          <w:color w:val="auto"/>
          <w:sz w:val="44"/>
          <w:szCs w:val="44"/>
          <w:highlight w:val="none"/>
        </w:rPr>
        <w:t xml:space="preserve">框架协议文本和采购合同文本</w:t>
      </w:r>
      <w:bookmarkStart w:id="145" w:name="_Hlt16619350"/>
      <w:r/>
      <w:bookmarkStart w:id="146" w:name="_Toc16938590"/>
      <w:r/>
      <w:bookmarkStart w:id="147" w:name="_Toc120614244"/>
      <w:r/>
      <w:bookmarkStart w:id="148" w:name="_Toc20823346"/>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rPr>
        <w:t xml:space="preserve">框架协议文本</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eastAsia="zh-CN"/>
        </w:rPr>
        <w:t xml:space="preserve">2025-2027年度沛县会议服务开放式框架协议采购项目</w:t>
      </w:r>
      <w:r>
        <w:rPr>
          <w:rFonts w:hint="eastAsia" w:ascii="黑体" w:eastAsia="黑体"/>
          <w:b/>
          <w:color w:val="auto"/>
          <w:sz w:val="32"/>
          <w:szCs w:val="32"/>
          <w:highlight w:val="none"/>
        </w:rPr>
        <w:t xml:space="preserve">框架</w:t>
      </w:r>
      <w:r>
        <w:rPr>
          <w:rFonts w:ascii="黑体" w:eastAsia="黑体"/>
          <w:b/>
          <w:color w:val="auto"/>
          <w:sz w:val="32"/>
          <w:szCs w:val="32"/>
          <w:highlight w:val="none"/>
        </w:rPr>
        <w:t xml:space="preserve">协议</w:t>
      </w:r>
      <w:r/>
    </w:p>
    <w:p>
      <w:pPr>
        <w:ind w:firstLine="200"/>
        <w:jc w:val="center"/>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(主要条款)</w:t>
      </w:r>
      <w:r/>
    </w:p>
    <w:p>
      <w:pPr>
        <w:ind w:firstLine="480"/>
        <w:spacing w:line="360" w:lineRule="auto"/>
        <w:rPr>
          <w:rFonts w:ascii="宋体" w:hAnsi="宋体" w:cs="Arial"/>
          <w:color w:val="auto"/>
          <w:sz w:val="24"/>
          <w:szCs w:val="24"/>
          <w:highlight w:val="none"/>
        </w:rPr>
      </w:pPr>
      <w:r>
        <w:rPr>
          <w:rFonts w:hint="eastAsia" w:ascii="宋体" w:hAnsi="宋体"/>
          <w:bCs/>
          <w:color w:val="auto"/>
          <w:sz w:val="24"/>
          <w:szCs w:val="24"/>
          <w:highlight w:val="none"/>
        </w:rPr>
        <w:t xml:space="preserve">协议名称：</w:t>
      </w:r>
      <w:r>
        <w:rPr>
          <w:rFonts w:hint="eastAsia" w:ascii="宋体" w:hAnsi="宋体" w:cs="Arial"/>
          <w:color w:val="auto"/>
          <w:sz w:val="24"/>
          <w:szCs w:val="24"/>
          <w:highlight w:val="none"/>
          <w:lang w:eastAsia="zh-CN"/>
        </w:rPr>
        <w:t xml:space="preserve">2025-2027年度沛县会议服务开放式框架协议采购项目</w:t>
      </w:r>
      <w:r/>
    </w:p>
    <w:p>
      <w:pPr>
        <w:ind w:firstLine="480"/>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服务协议编号：</w:t>
      </w:r>
      <w:r>
        <w:rPr>
          <w:rFonts w:hint="eastAsia" w:ascii="宋体" w:hAnsi="宋体"/>
          <w:color w:val="auto"/>
          <w:sz w:val="24"/>
          <w:szCs w:val="24"/>
          <w:highlight w:val="none"/>
          <w:lang w:eastAsia="zh-CN"/>
        </w:rPr>
        <w:t xml:space="preserve">JSZC-320322-PXZX-K2025-0021</w:t>
      </w:r>
      <w:r>
        <w:rPr>
          <w:rFonts w:hint="eastAsia" w:ascii="宋体" w:hAnsi="宋体"/>
          <w:color w:val="auto"/>
          <w:sz w:val="24"/>
          <w:szCs w:val="24"/>
          <w:highlight w:val="none"/>
        </w:rPr>
        <w:t xml:space="preserve">协议甲方：</w:t>
      </w:r>
      <w:r>
        <w:rPr>
          <w:rFonts w:hint="eastAsia" w:ascii="宋体" w:hAnsi="宋体"/>
          <w:color w:val="auto"/>
          <w:sz w:val="24"/>
          <w:szCs w:val="24"/>
          <w:highlight w:val="none"/>
          <w:lang w:eastAsia="zh-CN"/>
        </w:rPr>
        <w:t xml:space="preserve">沛县</w:t>
      </w:r>
      <w:r>
        <w:rPr>
          <w:rFonts w:hint="eastAsia" w:ascii="宋体" w:hAnsi="宋体"/>
          <w:color w:val="auto"/>
          <w:sz w:val="24"/>
          <w:szCs w:val="24"/>
          <w:highlight w:val="none"/>
        </w:rPr>
        <w:t xml:space="preserve">财政局</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协议乙方：入围供应商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服务协议的签订：本项目不再签订书面框架协议，发布入围结果公告，视为签订框架协议。</w:t>
      </w:r>
      <w:r/>
    </w:p>
    <w:p>
      <w:pPr>
        <w:ind w:firstLine="480"/>
        <w:spacing w:line="360" w:lineRule="auto"/>
        <w:rPr>
          <w:rFonts w:ascii="宋体" w:hAnsi="宋体"/>
          <w:color w:val="auto"/>
          <w:sz w:val="24"/>
          <w:szCs w:val="24"/>
          <w:highlight w:val="none"/>
        </w:rPr>
      </w:pPr>
      <w:r>
        <w:rPr>
          <w:rFonts w:hint="eastAsia" w:ascii="宋体" w:hAnsi="宋体" w:cs="Arial"/>
          <w:bCs/>
          <w:color w:val="auto"/>
          <w:sz w:val="24"/>
          <w:szCs w:val="24"/>
          <w:highlight w:val="none"/>
        </w:rPr>
        <w:t xml:space="preserve">履行合同的</w:t>
      </w:r>
      <w:bookmarkStart w:id="149" w:name="OLE_LINK7"/>
      <w:r>
        <w:rPr>
          <w:rFonts w:hint="eastAsia" w:ascii="宋体" w:hAnsi="宋体" w:cs="Arial"/>
          <w:bCs/>
          <w:color w:val="auto"/>
          <w:sz w:val="24"/>
          <w:szCs w:val="24"/>
          <w:highlight w:val="none"/>
        </w:rPr>
        <w:t xml:space="preserve">地域范围</w:t>
      </w:r>
      <w:bookmarkEnd w:id="149"/>
      <w:r>
        <w:rPr>
          <w:rFonts w:hint="eastAsia" w:ascii="宋体" w:hAnsi="宋体" w:cs="Arial"/>
          <w:bCs/>
          <w:color w:val="auto"/>
          <w:sz w:val="24"/>
          <w:szCs w:val="24"/>
          <w:highlight w:val="none"/>
        </w:rPr>
        <w:t xml:space="preserve">：</w:t>
      </w:r>
      <w:r>
        <w:rPr>
          <w:rFonts w:hint="eastAsia" w:ascii="宋体" w:hAnsi="宋体" w:cs="宋体"/>
          <w:color w:val="auto"/>
          <w:sz w:val="24"/>
          <w:szCs w:val="24"/>
          <w:highlight w:val="none"/>
        </w:rPr>
        <w:t xml:space="preserve">本次框架协议采购场所坐落的行政区域为</w:t>
      </w:r>
      <w:r>
        <w:rPr>
          <w:rFonts w:hint="eastAsia" w:ascii="宋体" w:hAnsi="宋体" w:cs="宋体"/>
          <w:color w:val="auto"/>
          <w:sz w:val="24"/>
          <w:szCs w:val="24"/>
          <w:highlight w:val="none"/>
          <w:lang w:eastAsia="zh-CN"/>
        </w:rPr>
        <w:t xml:space="preserve">沛县</w:t>
      </w:r>
      <w:r>
        <w:rPr>
          <w:rFonts w:hint="eastAsia" w:ascii="宋体" w:hAnsi="宋体" w:cs="宋体"/>
          <w:color w:val="auto"/>
          <w:sz w:val="24"/>
          <w:szCs w:val="24"/>
          <w:highlight w:val="none"/>
        </w:rPr>
        <w:t xml:space="preserve">范围</w:t>
      </w:r>
      <w:bookmarkStart w:id="150" w:name="OLE_LINK10"/>
      <w:r>
        <w:rPr>
          <w:rFonts w:hint="eastAsia" w:ascii="宋体" w:hAnsi="宋体" w:cs="宋体"/>
          <w:color w:val="auto"/>
          <w:sz w:val="24"/>
          <w:szCs w:val="24"/>
          <w:highlight w:val="none"/>
          <w:lang w:val="en-US" w:eastAsia="zh-CN"/>
        </w:rPr>
        <w:t xml:space="preserve">(</w:t>
      </w:r>
      <w:bookmarkStart w:id="151" w:name="OLE_LINK8"/>
      <w:r>
        <w:rPr>
          <w:rFonts w:hint="eastAsia" w:ascii="宋体" w:hAnsi="宋体" w:cs="宋体"/>
          <w:color w:val="auto"/>
          <w:sz w:val="24"/>
          <w:szCs w:val="24"/>
          <w:highlight w:val="none"/>
          <w:lang w:val="en-US" w:eastAsia="zh-CN"/>
        </w:rPr>
        <w:t xml:space="preserve">沛城街道、汉源街道、大屯街道、汉兴街道等</w:t>
      </w:r>
      <w:r>
        <w:rPr>
          <w:rFonts w:hint="eastAsia" w:ascii="宋体" w:hAnsi="宋体" w:cs="Arial"/>
          <w:bCs/>
          <w:color w:val="auto"/>
          <w:sz w:val="24"/>
          <w:szCs w:val="24"/>
          <w:highlight w:val="none"/>
          <w:lang w:eastAsia="zh-CN"/>
        </w:rPr>
        <w:t xml:space="preserve">区</w:t>
      </w:r>
      <w:r>
        <w:rPr>
          <w:rFonts w:hint="eastAsia" w:ascii="宋体" w:hAnsi="宋体" w:cs="Arial"/>
          <w:bCs/>
          <w:color w:val="auto"/>
          <w:sz w:val="24"/>
          <w:szCs w:val="24"/>
          <w:highlight w:val="none"/>
        </w:rPr>
        <w:t xml:space="preserve">域范围</w:t>
      </w:r>
      <w:bookmarkEnd w:id="151"/>
      <w:r>
        <w:rPr>
          <w:rFonts w:hint="eastAsia" w:ascii="宋体" w:hAnsi="宋体" w:cs="宋体"/>
          <w:color w:val="auto"/>
          <w:sz w:val="24"/>
          <w:szCs w:val="24"/>
          <w:highlight w:val="none"/>
          <w:lang w:val="en-US" w:eastAsia="zh-CN"/>
        </w:rPr>
        <w:t xml:space="preserve">）</w:t>
      </w:r>
      <w:bookmarkEnd w:id="150"/>
      <w:r>
        <w:rPr>
          <w:rFonts w:hint="eastAsia" w:ascii="宋体" w:hAnsi="宋体" w:cs="宋体"/>
          <w:color w:val="auto"/>
          <w:sz w:val="24"/>
          <w:szCs w:val="24"/>
          <w:highlight w:val="none"/>
        </w:rPr>
        <w:t xml:space="preserve">。</w:t>
      </w:r>
      <w:r/>
    </w:p>
    <w:p>
      <w:pPr>
        <w:ind w:left="1" w:firstLine="480"/>
        <w:spacing w:line="360" w:lineRule="auto"/>
        <w:rPr>
          <w:rFonts w:ascii="宋体" w:hAnsi="宋体"/>
          <w:color w:val="auto"/>
          <w:sz w:val="24"/>
          <w:szCs w:val="24"/>
          <w:highlight w:val="none"/>
        </w:rPr>
      </w:pPr>
      <w:r>
        <w:rPr>
          <w:rFonts w:ascii="宋体" w:hAnsi="宋体" w:cs="宋体"/>
          <w:color w:val="auto"/>
          <w:sz w:val="24"/>
          <w:szCs w:val="24"/>
          <w:highlight w:val="none"/>
        </w:rPr>
        <w:t xml:space="preserve">为贯彻落实中央八项规定</w:t>
      </w:r>
      <w:r>
        <w:rPr>
          <w:rFonts w:hint="eastAsia" w:ascii="宋体" w:hAnsi="宋体" w:cs="宋体"/>
          <w:color w:val="auto"/>
          <w:sz w:val="24"/>
          <w:szCs w:val="24"/>
          <w:highlight w:val="none"/>
        </w:rPr>
        <w:t xml:space="preserve">及其实施细则，</w:t>
      </w:r>
      <w:r>
        <w:rPr>
          <w:rFonts w:ascii="宋体" w:hAnsi="宋体" w:cs="宋体"/>
          <w:color w:val="auto"/>
          <w:sz w:val="24"/>
          <w:szCs w:val="24"/>
          <w:highlight w:val="none"/>
        </w:rPr>
        <w:t xml:space="preserve">根据江苏省财政厅印发的《江苏省党政机关会议定点管理实施细则》</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苏财行〔2016〕8号</w:t>
      </w:r>
      <w:r>
        <w:rPr>
          <w:rFonts w:hint="eastAsia" w:ascii="宋体" w:hAnsi="宋体" w:cs="宋体"/>
          <w:color w:val="auto"/>
          <w:sz w:val="24"/>
          <w:szCs w:val="24"/>
          <w:highlight w:val="none"/>
        </w:rPr>
        <w:t xml:space="preserve">)文件精神</w:t>
      </w:r>
      <w:r>
        <w:rPr>
          <w:rFonts w:hint="eastAsia" w:ascii="宋体" w:hAnsi="宋体"/>
          <w:color w:val="auto"/>
          <w:sz w:val="24"/>
          <w:szCs w:val="24"/>
          <w:highlight w:val="none"/>
        </w:rPr>
        <w:t xml:space="preserve">，经甲乙双方平等协商达成如下协议： </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一、定义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除非另有特别约定，在本协议以及与本协议有关的甲乙双方另行签订的其他文件中，下列词语按如下定义进行解释：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（一）“协议”是指甲方和乙方已达成的协议，即由双方签订的协议格式中的文件，包括所有的附件、附录和组成协议部分的所有其他文件。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（二）“工作日”是指除公休日和国家法定节假日以外的日历日。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（三）“第三方”是指本协议以外的任何中国境内、境外的法人、自然人或其他组织。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（四）“附件”是指与本协议的订立、履行有关的，经甲乙双方认可的，对本协议约定的内容进行细化、补充、修改、变更的文件等资料。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（五）“征集公告”是指《</w:t>
      </w:r>
      <w:r>
        <w:rPr>
          <w:rFonts w:hint="eastAsia" w:ascii="宋体" w:hAnsi="宋体"/>
          <w:color w:val="auto"/>
          <w:sz w:val="24"/>
          <w:szCs w:val="24"/>
          <w:highlight w:val="none"/>
          <w:lang w:eastAsia="zh-CN"/>
        </w:rPr>
        <w:t xml:space="preserve">2025-2027年度沛县会议服务开放式框架协议采购项目</w:t>
      </w:r>
      <w:r>
        <w:rPr>
          <w:rFonts w:hint="eastAsia" w:ascii="宋体" w:hAnsi="宋体"/>
          <w:color w:val="auto"/>
          <w:sz w:val="24"/>
          <w:szCs w:val="24"/>
          <w:highlight w:val="none"/>
        </w:rPr>
        <w:t xml:space="preserve">框架协议征集公告》。</w:t>
      </w:r>
      <w:r/>
    </w:p>
    <w:p>
      <w:pPr>
        <w:ind w:firstLine="480"/>
        <w:spacing w:line="360" w:lineRule="auto"/>
        <w:rPr>
          <w:rFonts w:ascii="宋体" w:hAnsi="宋体" w:cs="Arial"/>
          <w:bCs/>
          <w:color w:val="auto"/>
          <w:sz w:val="24"/>
          <w:szCs w:val="24"/>
          <w:highlight w:val="none"/>
        </w:rPr>
      </w:pPr>
      <w:r>
        <w:rPr>
          <w:rFonts w:hint="eastAsia" w:ascii="宋体" w:hAnsi="宋体"/>
          <w:color w:val="auto"/>
          <w:sz w:val="24"/>
          <w:szCs w:val="24"/>
          <w:highlight w:val="none"/>
        </w:rPr>
        <w:t xml:space="preserve">（六）“服务对象”是指会</w:t>
      </w:r>
      <w:r>
        <w:rPr>
          <w:rFonts w:hint="eastAsia" w:ascii="宋体" w:hAnsi="宋体" w:cs="Arial"/>
          <w:bCs/>
          <w:color w:val="auto"/>
          <w:sz w:val="24"/>
          <w:szCs w:val="24"/>
          <w:highlight w:val="none"/>
        </w:rPr>
        <w:t xml:space="preserve">议定点场所服务对象，即：党政机关（包括党政机关、事业单位和团体组织）。</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二、适用范围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本协议条款仅适用于</w:t>
      </w:r>
      <w:r>
        <w:rPr>
          <w:rFonts w:hint="eastAsia" w:ascii="宋体" w:hAnsi="宋体"/>
          <w:color w:val="auto"/>
          <w:sz w:val="24"/>
          <w:szCs w:val="24"/>
          <w:highlight w:val="none"/>
          <w:lang w:eastAsia="zh-CN"/>
        </w:rPr>
        <w:t xml:space="preserve">2025-2027年度沛县会议服务开放式框架协议采购项目</w:t>
      </w:r>
      <w:r>
        <w:rPr>
          <w:rFonts w:hint="eastAsia" w:ascii="宋体" w:hAnsi="宋体"/>
          <w:color w:val="auto"/>
          <w:sz w:val="24"/>
          <w:szCs w:val="24"/>
          <w:highlight w:val="none"/>
        </w:rPr>
        <w:t xml:space="preserve">。</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三、协议的组成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（一）下列文件应作为本协议的组成部分：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1．本协议条款；</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 2．征集公告及其澄清、修改文件；</w:t>
      </w:r>
      <w:r/>
    </w:p>
    <w:p>
      <w:pPr>
        <w:ind w:firstLine="480"/>
        <w:spacing w:line="360" w:lineRule="auto"/>
        <w:rPr>
          <w:rFonts w:ascii="宋体" w:hAnsi="宋体" w:cs="Arial"/>
          <w:color w:val="auto"/>
          <w:sz w:val="24"/>
          <w:szCs w:val="24"/>
          <w:highlight w:val="none"/>
        </w:rPr>
      </w:pPr>
      <w:r>
        <w:rPr>
          <w:rFonts w:hint="eastAsia" w:ascii="宋体" w:hAnsi="宋体"/>
          <w:color w:val="auto"/>
          <w:sz w:val="24"/>
          <w:szCs w:val="24"/>
          <w:highlight w:val="none"/>
        </w:rPr>
        <w:t xml:space="preserve"> 3．申请文件及其澄清、修改文件</w:t>
      </w:r>
      <w:r>
        <w:rPr>
          <w:rFonts w:hint="eastAsia" w:ascii="宋体" w:hAnsi="宋体" w:cs="Arial"/>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4．入围通知；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5．形成协议的其他有关文件。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（二）上述文件互为补充和解释，如有不清或相互矛盾之处，以所列顺序在前的为准，但甲、乙双方有特别约定的除外。</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四、协议承诺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（一）从</w:t>
      </w:r>
      <w:r>
        <w:rPr>
          <w:rFonts w:hint="eastAsia" w:ascii="宋体" w:hAnsi="宋体"/>
          <w:color w:val="auto"/>
          <w:sz w:val="24"/>
          <w:szCs w:val="24"/>
          <w:highlight w:val="none"/>
          <w:lang w:eastAsia="zh-CN"/>
        </w:rPr>
        <w:t xml:space="preserve">2025年9月30日至2027年9月29日</w:t>
      </w:r>
      <w:r>
        <w:rPr>
          <w:rFonts w:hint="eastAsia" w:ascii="宋体" w:hAnsi="宋体"/>
          <w:color w:val="auto"/>
          <w:sz w:val="24"/>
          <w:szCs w:val="24"/>
          <w:highlight w:val="none"/>
        </w:rPr>
        <w:t xml:space="preserve">，甲方确认乙方为</w:t>
      </w:r>
      <w:r>
        <w:rPr>
          <w:rFonts w:ascii="宋体" w:hAnsi="宋体"/>
          <w:color w:val="auto"/>
          <w:sz w:val="24"/>
          <w:szCs w:val="24"/>
          <w:highlight w:val="none"/>
        </w:rPr>
        <w:t xml:space="preserve">202</w:t>
      </w:r>
      <w:r>
        <w:rPr>
          <w:rFonts w:hint="eastAsia" w:ascii="宋体" w:hAnsi="宋体"/>
          <w:color w:val="auto"/>
          <w:sz w:val="24"/>
          <w:szCs w:val="24"/>
          <w:highlight w:val="none"/>
        </w:rPr>
        <w:t xml:space="preserve">5-202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年度党政机关会议定点场所。乙方应按甲方要求为服务对象提供接待服务。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（二）甲方的权利：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1．对乙方承诺的服务和实际提供的服务以及相关事项进行监督检查；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2．对乙方承诺的协议价格执行情况进行监督检查；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权要求乙方对不符合协议的行为进行调整，如服务对象对乙方无正当理由拒绝提供承诺的服务和价格或提供的服务质量问题向甲方质疑，甲方接到质疑后有权进行核查，如情况属实可要求乙方及时改正，或根据有关规定，依法取消乙方框架协议的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4．有权要求乙方按规定通过“党政机关会议定点场所管理系统”对接待党政机关会议情况进行统计上报；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5．有权在媒体上公布乙方履行协议情况。</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（三）甲方的义务：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 公告入围供应商名称、地址、联系方式及付费标准，并动态更新入围供应商信息；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 为第二阶段合同授予提供工作便利；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 对第二阶段最高限价和需求标准执行情况进行管理；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 对第二阶段确定成交供应商情况进行管理；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 </w:t>
      </w:r>
      <w:r>
        <w:rPr>
          <w:rFonts w:ascii="宋体" w:hAnsi="宋体"/>
          <w:color w:val="auto"/>
          <w:sz w:val="24"/>
          <w:szCs w:val="24"/>
          <w:highlight w:val="none"/>
        </w:rPr>
        <w:t xml:space="preserve">根据框架协议约定，在质量不降低、价格不提高的前提下，对入围供应商因</w:t>
      </w:r>
      <w:r>
        <w:rPr>
          <w:rFonts w:hint="eastAsia" w:ascii="宋体" w:hAnsi="宋体"/>
          <w:color w:val="auto"/>
          <w:sz w:val="24"/>
          <w:szCs w:val="24"/>
          <w:highlight w:val="none"/>
        </w:rPr>
        <w:t xml:space="preserve">服务</w:t>
      </w:r>
      <w:r>
        <w:rPr>
          <w:rFonts w:ascii="宋体" w:hAnsi="宋体"/>
          <w:color w:val="auto"/>
          <w:sz w:val="24"/>
          <w:szCs w:val="24"/>
          <w:highlight w:val="none"/>
        </w:rPr>
        <w:t xml:space="preserve">升级换代、用新</w:t>
      </w:r>
      <w:r>
        <w:rPr>
          <w:rFonts w:hint="eastAsia" w:ascii="宋体" w:hAnsi="宋体"/>
          <w:color w:val="auto"/>
          <w:sz w:val="24"/>
          <w:szCs w:val="24"/>
          <w:highlight w:val="none"/>
        </w:rPr>
        <w:t xml:space="preserve">服务</w:t>
      </w:r>
      <w:r>
        <w:rPr>
          <w:rFonts w:ascii="宋体" w:hAnsi="宋体"/>
          <w:color w:val="auto"/>
          <w:sz w:val="24"/>
          <w:szCs w:val="24"/>
          <w:highlight w:val="none"/>
        </w:rPr>
        <w:t xml:space="preserve">替代原入围</w:t>
      </w:r>
      <w:r>
        <w:rPr>
          <w:rFonts w:hint="eastAsia" w:ascii="宋体" w:hAnsi="宋体"/>
          <w:color w:val="auto"/>
          <w:sz w:val="24"/>
          <w:szCs w:val="24"/>
          <w:highlight w:val="none"/>
        </w:rPr>
        <w:t xml:space="preserve">服务</w:t>
      </w:r>
      <w:r>
        <w:rPr>
          <w:rFonts w:ascii="宋体" w:hAnsi="宋体"/>
          <w:color w:val="auto"/>
          <w:sz w:val="24"/>
          <w:szCs w:val="24"/>
          <w:highlight w:val="none"/>
        </w:rPr>
        <w:t xml:space="preserve">的情形进行审核</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 建立用户反馈和评价机制，接受采购人和服务对象对乙方履行框架协议和采购合同情况的反馈与评价，并将用户反馈和评价情况向采购人和服务对象公开，作为第二阶段直接选定成交供应商的参考；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 办理入围供应商清退和补充相关事宜。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（四）乙方的权利：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1．会议举办单位不能出示有效证明，证明其属于框架协议服务范围的，乙方有权拒绝向其提供协议价格的服务；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2．会议举办单位要求虚开发票、提取现金、开支与会议无关费用的，乙方有权拒绝；</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（五）乙方的义务：</w:t>
      </w:r>
      <w:r/>
    </w:p>
    <w:p>
      <w:pPr>
        <w:ind w:firstLine="480"/>
        <w:spacing w:line="360" w:lineRule="auto"/>
        <w:rPr>
          <w:rFonts w:ascii="宋体" w:hAnsi="宋体" w:cs="Arial"/>
          <w:color w:val="auto"/>
          <w:sz w:val="24"/>
          <w:szCs w:val="24"/>
          <w:highlight w:val="none"/>
        </w:rPr>
      </w:pPr>
      <w:r>
        <w:rPr>
          <w:rFonts w:hint="eastAsia" w:ascii="宋体" w:hAnsi="宋体"/>
          <w:color w:val="auto"/>
          <w:sz w:val="24"/>
          <w:szCs w:val="24"/>
          <w:highlight w:val="none"/>
        </w:rPr>
        <w:t xml:space="preserve">1．乙方应按征集公告的要求，提供本协议规定的会议接待</w:t>
      </w:r>
      <w:r>
        <w:rPr>
          <w:rFonts w:hint="eastAsia" w:ascii="宋体" w:hAnsi="宋体" w:cs="Arial"/>
          <w:color w:val="auto"/>
          <w:sz w:val="24"/>
          <w:szCs w:val="24"/>
          <w:highlight w:val="none"/>
        </w:rPr>
        <w:t xml:space="preserve">服务。</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在协议期内，乙方必须持有和确保下列证照处于合法有效期内：营业执照、中华人民共和国组织机构代码证、</w:t>
      </w:r>
      <w:r>
        <w:rPr>
          <w:rFonts w:hint="eastAsia" w:ascii="宋体" w:hAnsi="宋体"/>
          <w:color w:val="auto"/>
          <w:sz w:val="24"/>
          <w:szCs w:val="24"/>
          <w:highlight w:val="none"/>
        </w:rPr>
        <w:t xml:space="preserve">卫生许可证</w:t>
      </w:r>
      <w:r>
        <w:rPr>
          <w:rFonts w:hint="eastAsia" w:ascii="宋体" w:hAnsi="宋体" w:cs="Arial"/>
          <w:color w:val="auto"/>
          <w:sz w:val="24"/>
          <w:szCs w:val="24"/>
          <w:highlight w:val="none"/>
        </w:rPr>
        <w:t xml:space="preserve">、食品经营许可证、特种行业许可证（如有）、消防安全检查合格证、锅炉、电梯（未安装使用的除外）安全检查合格证明等。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2．在协议期内，乙方要按照本协议的规定，接待党政机关举办会议，并执行最高限制单价。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协议有效期内，乙方应保持各项设备、设施完好，具备履行协议的能力；如乙方设备、设施发生足以影响接待能力的重大变化，应在变化发生后 3 日内书面通知甲方，甲方根据实际情况决定是否继续履行协议。如甲方解除协议，应在乙方书面通知到达30日内书面通知乙方并与乙方签订解除协议确认书。</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3．乙方的设施设备、清洁卫生、服务质量等要符合国家规定标准，不得因价格优惠而减少服务项目、降低服务质量。</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4．乙方向单位举办会议提供的协议价格及综合定额投标报价以申请文件中明细报价表内容为准。会议综合定额标准包括住宿费（含早餐）、伙食费、会议室租金、设备租赁费等。</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乙方承诺提供的价格不得随市场价格波动而提高。</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当服务对象与乙方在价格和服务方面发生争议时，乙方有义务主动出示本框架协议文本。</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5．乙方的名称（包括发票开具单位的名称）、地址、联系方式等发生变化时，应及时书面通知甲方，并在“党政机关会议定点场所管理系统”上做相应更改。</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6．乙方应具备上网条件，应当在结算时通过“党政机关会议定点场所管理系统”打印电子结算单，供会议举办单位报销使用。</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7．乙方应如实开具发票，提供费用原始明细单据，供会议举办单位报销使用。</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8．乙方应具备信用卡收款条件，方便使用公务卡结算。</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9．乙方应于本协议签署后的7个工作日内，在“党政机关会议定点场所管理系统”上完成场所的注册、协议价格等信息填报、本协议的影印件、场所位置图的上传等工作，并通知甲方进行审核。</w:t>
      </w:r>
      <w:r/>
    </w:p>
    <w:p>
      <w:pPr>
        <w:ind w:firstLine="480"/>
        <w:spacing w:line="360" w:lineRule="auto"/>
        <w:rPr>
          <w:rFonts w:ascii="宋体" w:hAnsi="宋体" w:cs="Arial"/>
          <w:color w:val="auto"/>
          <w:sz w:val="24"/>
          <w:szCs w:val="24"/>
          <w:highlight w:val="none"/>
        </w:rPr>
      </w:pPr>
      <w:r>
        <w:rPr>
          <w:rFonts w:hint="eastAsia" w:ascii="宋体" w:hAnsi="宋体" w:cs="Arial"/>
          <w:color w:val="auto"/>
          <w:sz w:val="24"/>
          <w:szCs w:val="24"/>
          <w:highlight w:val="none"/>
        </w:rPr>
        <w:t xml:space="preserve">10．乙方在“党政机关会议定点场所管理系统”注册的场所名称与发票开具单位名称不一致的，应在网上注明。</w:t>
      </w:r>
      <w:r/>
    </w:p>
    <w:p>
      <w:pPr>
        <w:ind w:firstLine="480"/>
        <w:spacing w:line="360" w:lineRule="auto"/>
        <w:rPr>
          <w:rFonts w:ascii="宋体" w:hAnsi="宋体"/>
          <w:color w:val="auto"/>
          <w:sz w:val="24"/>
          <w:szCs w:val="24"/>
          <w:highlight w:val="none"/>
        </w:rPr>
      </w:pPr>
      <w:r>
        <w:rPr>
          <w:rFonts w:hint="eastAsia" w:ascii="宋体" w:hAnsi="宋体" w:cs="Arial"/>
          <w:color w:val="auto"/>
          <w:sz w:val="24"/>
          <w:szCs w:val="24"/>
          <w:highlight w:val="none"/>
        </w:rPr>
        <w:t xml:space="preserve">11．乙方应接受甲方的监督检查，对甲方提出的意见及时进行整改。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（六）结算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会议费用由会议举办单位按照会议费管理办法规定向乙方支付，乙方应保存好所有结算单据，甲方有权根据会议费管理办法等检验结算单据。</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五、违约责任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乙方有以下违约行为的，经调查属实的，第一次予以书面警告；第二次取消会议定点场所资格，并不得参加下一轮次的会议定点场所政府采购。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（一）无正当理由拒绝接待党政机关会议的；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（二）超过协议价格收取费用或采取减少服务项目等降低服务质量的；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（三）提供虚假发票的；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（四）未按规定提供发票、费用原始明细单据、电子结算单等凭证的；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（五）违反其他协议规定事项的。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乙方在协议期内未经批准单方面终止履行协议的，取消其会议定点场所资格，并不得参与下一轮次党政机关会议定点场所政府采购。</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六、不可抗力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不可抗力事件是指甲乙双方在缔结协议时所不能预见的，且它的发生及其后果是无法避免和无法克服的事故，诸如战争、骚乱、瘟疫、严重火灾、洪水、台风、地震等，包括乙方破产、解散、清算、停业以及其他原因无法提供接待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遭受不可抗力一方应在不可抗力事故发生后尽快以书面形式通知对方，并于事故发生后14天内将有关部门出具的证明文件、详细情况报告以及不可抗力对履行协议影响程度的说明用特快专递或挂号信寄给对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发生不可抗力时，任何一方均不对因不可抗力无法履行或延迟履行本协议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（四）一旦不可抗力事故的影响持续120天以上，甲乙双方通过友好协商，在合理的时间内达成进一步履行协议或者终止协议的协议。</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七、保密条款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除甲乙双方共同认可的信息发布外，任何一方对其获知的本协议涉及的所有有形、无形的信息及资料（包括但不限于甲乙双方的往来书面文字文件、电子邮件等）中另一方的商业秘密或国家秘密负有保密义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除非法律、法规另有规定或得到本协议之另一方的书面许可，任何一方不得向第三人泄露前款规定的商业秘密或国家秘密。保密期限自任何一方获知商业秘密或国家秘密之日起至本条规定的秘密成为公众信息之日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（三）乙方不得以任何形式向第三方泄露参加会议人员的个人信息。</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八、协议的解释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（一）任何一方对本协议及其附件的解释均应遵循诚实信用原则，依照本协议签订时有效的中华人民共和国的法律、法规以及人们通常的理解进行。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（二）本协议标题仅供查阅方便，并非对本协议的诠释或解释，本协议中以日表述的时间期限均指公历日。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（三）对本协议的任何解释均应以书面做出。</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九、争议的解决</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（一）在执行本协议中发生的与本协议有关的争端，甲乙双方应通过友好协商解决，经协商在60天内不能达成协议时，甲乙双方同意将争议递交</w:t>
      </w:r>
      <w:r>
        <w:rPr>
          <w:rFonts w:hint="eastAsia" w:ascii="宋体" w:hAnsi="宋体"/>
          <w:color w:val="auto"/>
          <w:sz w:val="24"/>
          <w:szCs w:val="24"/>
          <w:highlight w:val="none"/>
          <w:lang w:eastAsia="zh-CN"/>
        </w:rPr>
        <w:t xml:space="preserve">沛县</w:t>
      </w:r>
      <w:r>
        <w:rPr>
          <w:rFonts w:hint="eastAsia" w:ascii="宋体" w:hAnsi="宋体"/>
          <w:color w:val="auto"/>
          <w:sz w:val="24"/>
          <w:szCs w:val="24"/>
          <w:highlight w:val="none"/>
        </w:rPr>
        <w:t xml:space="preserve">仲裁委员会按照该会仲裁规则进行仲裁。仲裁裁决是终局的，对双方均有约束力。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（二）除另有裁决外，仲裁费用应由败诉方负担。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（三）在仲裁期间，除正在进行的仲裁部分外，协议其他部分继续执行。</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十、协议的终止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（一）本协议有效期为</w:t>
      </w:r>
      <w:r>
        <w:rPr>
          <w:rFonts w:hint="eastAsia" w:ascii="宋体" w:hAnsi="宋体"/>
          <w:color w:val="auto"/>
          <w:sz w:val="24"/>
          <w:szCs w:val="24"/>
          <w:highlight w:val="none"/>
          <w:lang w:eastAsia="zh-CN"/>
        </w:rPr>
        <w:t xml:space="preserve">2025年9月30日至2027年9月29日</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协议期满后，经双方协商一致，本轮次的定点场所可以续签下一轮次的协议，继续保留定点场所资格；也可以自愿退出，定点场所资格自动取消。</w:t>
      </w:r>
      <w:r>
        <w:rPr>
          <w:rFonts w:hint="eastAsia" w:ascii="宋体" w:hAnsi="宋体"/>
          <w:color w:val="auto"/>
          <w:sz w:val="24"/>
          <w:szCs w:val="24"/>
          <w:highlight w:val="none"/>
        </w:rPr>
        <w:t xml:space="preserve">协议期内，任何一方不得擅自终止协议，否则应承担所造成的一切损失。如乙方需退出协议，可按征集公告及相关规定申请退出框架协议，申请退出后会议定点场所资格自动取消。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（二）出现下列情况时本协议自行终止：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1.本协议正常履行完毕；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2.甲乙双方协议终止本协议的履行；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3.不可抗力导致本协议无法履行或履行不必要时；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4.一方不履行协议条款，造成另一方无法执行协议，协商又不能求得解决，责任方赔偿损失后，协议终止。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（三）除本协议另有约定外，发生任何以下一种情况，甲方有权解除本协议，对于由此给乙方造成的损失甲方不承担赔偿责任，对于由此给甲方造成的损失，乙方应负赔偿责任：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1．乙方设备设施发生重大变化，不满足征集公告提出的要求或者不具备接待能力的；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2．乙方发生第五条“违约责任”所列违约行为达到2次及以上的；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3．乙方出现组织卖淫嫖娼、赌博、贩卖毒品、危害国家安全等违法行为的。</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十一、法律适用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本协议及附件的订立、效力、解释、履行、争议的解决等适用本协议签订时有效的中华人民共和国法律、法规的有关规定。</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十二、权力的保留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任何一方没有行使其权利或没有就违约方的违法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如果本协议部分条款依据现行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款，并尽量符合本协议所体现的原则和精神。</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（三）在本协议履行期间，因中国法律、法规、政策的变化致使本协议的部分条款相冲突、无效或失去可强制执行效力时，甲乙双方应尽快修改本协议中相冲突或无效或失去可强制执行效力的条款。</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十三、主导语言与计量单位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（一）协议书写应用中文。甲乙双方所有的来往信函，以及协议有关的文件均应以中文书写。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（二）除协议另有规定外，计量单位均使用中华人民共和国法定计量单位。</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十四、协议修改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（一）对于本协议的未尽事宜，需进行修改、补充或完善的，甲乙双方必须就所修改的内容签订书面的协议修改书，作为本协议的补充协议。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（二）补充协议与本协议具有同等法律效力。</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十五、附加条款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由于乙方没有及时在“党政机关会议定点场所管理系统”上注册、发布相关信息而无法取得各级党政机关认可的，所造成的损失由乙方负责。</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十六、协议生效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（一）本项目不再签订书面框架协议，发布入围结果公告，视为签订框架协议。本协议有效期至202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（二）本协议中的附件均为本协议不可分割的部分，与本协议具有同等的法律效力。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（三）征集公告、申请文件、框架协议条款及入围通知书，乙方在申请、评审过程中所作其它有关承诺、声明、书面澄清等均为协议不可分割的部分，与主协议具有同等法律效力。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（四）财政部门规定的其他事项。</w:t>
      </w:r>
      <w:r/>
    </w:p>
    <w:p>
      <w:pPr>
        <w:ind w:firstLine="480"/>
        <w:jc w:val="center"/>
        <w:rPr>
          <w:rFonts w:ascii="黑体" w:eastAsia="黑体"/>
          <w:b/>
          <w:color w:val="auto"/>
          <w:sz w:val="32"/>
          <w:szCs w:val="32"/>
          <w:highlight w:val="none"/>
        </w:rPr>
      </w:pPr>
      <w:r>
        <w:rPr>
          <w:rFonts w:ascii="宋体" w:hAnsi="宋体"/>
          <w:color w:val="auto"/>
          <w:sz w:val="24"/>
          <w:szCs w:val="24"/>
          <w:highlight w:val="none"/>
        </w:rPr>
        <w:br w:type="page" w:clear="all"/>
      </w:r>
      <w:r>
        <w:rPr>
          <w:rFonts w:hint="eastAsia" w:ascii="黑体" w:eastAsia="黑体"/>
          <w:b/>
          <w:color w:val="auto"/>
          <w:sz w:val="32"/>
          <w:szCs w:val="32"/>
          <w:highlight w:val="none"/>
        </w:rPr>
        <w:t xml:space="preserve">党政机关会议定点场所服务采购合同</w:t>
      </w:r>
      <w:r/>
    </w:p>
    <w:p>
      <w:pPr>
        <w:ind w:firstLine="6240"/>
        <w:spacing w:line="400" w:lineRule="exact"/>
        <w:rPr>
          <w:rFonts w:ascii="黑体" w:eastAsia="黑体"/>
          <w:b/>
          <w:color w:val="auto"/>
          <w:sz w:val="32"/>
          <w:szCs w:val="32"/>
          <w:highlight w:val="none"/>
        </w:rPr>
      </w:pPr>
      <w:r>
        <w:rPr>
          <w:rFonts w:hint="eastAsia"/>
          <w:color w:val="auto"/>
          <w:sz w:val="24"/>
          <w:szCs w:val="24"/>
          <w:highlight w:val="none"/>
        </w:rPr>
        <w:t xml:space="preserve">合</w:t>
      </w:r>
      <w:r>
        <w:rPr>
          <w:color w:val="auto"/>
          <w:sz w:val="24"/>
          <w:szCs w:val="24"/>
          <w:highlight w:val="none"/>
        </w:rPr>
        <w:t xml:space="preserve">同编号：</w:t>
      </w:r>
      <w:r/>
    </w:p>
    <w:p>
      <w:pPr>
        <w:spacing w:line="400" w:lineRule="exact"/>
        <w:rPr>
          <w:b/>
          <w:color w:val="auto"/>
          <w:sz w:val="24"/>
          <w:szCs w:val="24"/>
          <w:highlight w:val="none"/>
        </w:rPr>
      </w:pPr>
      <w:r>
        <w:rPr>
          <w:rFonts w:hint="eastAsia"/>
          <w:b/>
          <w:color w:val="auto"/>
          <w:sz w:val="24"/>
          <w:szCs w:val="24"/>
          <w:highlight w:val="none"/>
        </w:rPr>
        <w:t xml:space="preserve">甲方：</w:t>
      </w:r>
      <w:r>
        <w:rPr>
          <w:rFonts w:hint="eastAsia"/>
          <w:color w:val="auto"/>
          <w:sz w:val="24"/>
          <w:szCs w:val="24"/>
          <w:highlight w:val="none"/>
          <w:u w:val="single"/>
        </w:rPr>
        <w:t xml:space="preserve">                   </w:t>
      </w:r>
      <w:r>
        <w:rPr>
          <w:rFonts w:hint="eastAsia"/>
          <w:color w:val="auto"/>
          <w:sz w:val="24"/>
          <w:szCs w:val="24"/>
          <w:highlight w:val="none"/>
        </w:rPr>
        <w:t xml:space="preserve">（党政机关）</w:t>
      </w:r>
      <w:r/>
    </w:p>
    <w:p>
      <w:pPr>
        <w:spacing w:line="400" w:lineRule="exact"/>
        <w:rPr>
          <w:b/>
          <w:color w:val="auto"/>
          <w:sz w:val="24"/>
          <w:szCs w:val="24"/>
          <w:highlight w:val="none"/>
        </w:rPr>
      </w:pPr>
      <w:r>
        <w:rPr>
          <w:rFonts w:hint="eastAsia"/>
          <w:b/>
          <w:color w:val="auto"/>
          <w:sz w:val="24"/>
          <w:szCs w:val="24"/>
          <w:highlight w:val="none"/>
        </w:rPr>
        <w:t xml:space="preserve">乙方：</w:t>
      </w:r>
      <w:r>
        <w:rPr>
          <w:rFonts w:hint="eastAsia"/>
          <w:color w:val="auto"/>
          <w:sz w:val="24"/>
          <w:szCs w:val="24"/>
          <w:highlight w:val="none"/>
          <w:u w:val="single"/>
        </w:rPr>
        <w:t xml:space="preserve">                   </w:t>
      </w:r>
      <w:r>
        <w:rPr>
          <w:rFonts w:hint="eastAsia"/>
          <w:color w:val="auto"/>
          <w:sz w:val="24"/>
          <w:szCs w:val="24"/>
          <w:highlight w:val="none"/>
        </w:rPr>
        <w:t xml:space="preserve">（定点场所）</w:t>
      </w:r>
      <w:r/>
    </w:p>
    <w:p>
      <w:pPr>
        <w:ind w:firstLine="480"/>
        <w:spacing w:line="400" w:lineRule="exact"/>
        <w:rPr>
          <w:color w:val="auto"/>
          <w:sz w:val="24"/>
          <w:szCs w:val="24"/>
          <w:highlight w:val="none"/>
        </w:rPr>
      </w:pPr>
      <w:r>
        <w:rPr>
          <w:rFonts w:hint="eastAsia"/>
          <w:color w:val="auto"/>
          <w:sz w:val="24"/>
          <w:szCs w:val="24"/>
          <w:highlight w:val="none"/>
        </w:rPr>
        <w:t xml:space="preserve">甲乙双方经友好协商，就甲方在乙方召开会议的有关事宜，签订合同如下：</w:t>
      </w:r>
      <w:r/>
    </w:p>
    <w:p>
      <w:pPr>
        <w:ind w:firstLine="482"/>
        <w:spacing w:line="400" w:lineRule="exact"/>
        <w:rPr>
          <w:b/>
          <w:color w:val="auto"/>
          <w:sz w:val="24"/>
          <w:szCs w:val="24"/>
          <w:highlight w:val="none"/>
        </w:rPr>
      </w:pPr>
      <w:r>
        <w:rPr>
          <w:rFonts w:hint="eastAsia"/>
          <w:b/>
          <w:color w:val="auto"/>
          <w:sz w:val="24"/>
          <w:szCs w:val="24"/>
          <w:highlight w:val="none"/>
        </w:rPr>
        <w:t xml:space="preserve">一、会务内容：</w:t>
      </w:r>
      <w:r/>
    </w:p>
    <w:tbl>
      <w:tblPr>
        <w:tblStyle w:val="765"/>
        <w:tblW w:w="96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1"/>
        <w:gridCol w:w="1307"/>
        <w:gridCol w:w="90"/>
        <w:gridCol w:w="323"/>
        <w:gridCol w:w="850"/>
        <w:gridCol w:w="224"/>
        <w:gridCol w:w="1052"/>
        <w:gridCol w:w="142"/>
        <w:gridCol w:w="1087"/>
        <w:gridCol w:w="513"/>
        <w:gridCol w:w="526"/>
        <w:gridCol w:w="871"/>
        <w:gridCol w:w="1247"/>
      </w:tblGrid>
      <w:tr>
        <w:trPr>
          <w:jc w:val="center"/>
          <w:trHeight w:val="454" w:hRule="exact"/>
        </w:trPr>
        <w:tc>
          <w:tcPr>
            <w:tcW w:w="1371" w:type="dxa"/>
            <w:textDirection w:val="lrTb"/>
            <w:noWrap w:val="false"/>
          </w:tcPr>
          <w:p>
            <w:pPr>
              <w:jc w:val="cente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会议名称</w:t>
            </w:r>
            <w:r/>
          </w:p>
        </w:tc>
        <w:tc>
          <w:tcPr>
            <w:gridSpan w:val="6"/>
            <w:tcW w:w="3846" w:type="dxa"/>
            <w:textDirection w:val="lrTb"/>
            <w:noWrap w:val="false"/>
          </w:tcPr>
          <w:p>
            <w:pPr>
              <w:jc w:val="center"/>
              <w:spacing w:line="440" w:lineRule="exact"/>
              <w:rPr>
                <w:rFonts w:ascii="宋体" w:hAnsi="宋体"/>
                <w:b/>
                <w:color w:val="auto"/>
                <w:sz w:val="24"/>
                <w:szCs w:val="24"/>
                <w:highlight w:val="none"/>
              </w:rPr>
            </w:pPr>
            <w:r>
              <w:rPr>
                <w:rFonts w:ascii="宋体" w:hAnsi="宋体"/>
                <w:b/>
                <w:color w:val="auto"/>
                <w:sz w:val="24"/>
                <w:szCs w:val="24"/>
                <w:highlight w:val="none"/>
              </w:rPr>
            </w:r>
            <w:r/>
          </w:p>
        </w:tc>
        <w:tc>
          <w:tcPr>
            <w:gridSpan w:val="2"/>
            <w:tcW w:w="1229" w:type="dxa"/>
            <w:textDirection w:val="lrTb"/>
            <w:noWrap w:val="false"/>
          </w:tcPr>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会议日期</w:t>
            </w:r>
            <w:r/>
          </w:p>
        </w:tc>
        <w:tc>
          <w:tcPr>
            <w:gridSpan w:val="4"/>
            <w:tcW w:w="3157" w:type="dxa"/>
            <w:textDirection w:val="lrTb"/>
            <w:noWrap w:val="false"/>
          </w:tcPr>
          <w:p>
            <w:pPr>
              <w:ind w:firstLine="24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年 月 日至  年 月 日</w:t>
            </w:r>
            <w:r/>
          </w:p>
        </w:tc>
      </w:tr>
      <w:tr>
        <w:trPr>
          <w:jc w:val="center"/>
          <w:trHeight w:val="454" w:hRule="exact"/>
        </w:trPr>
        <w:tc>
          <w:tcPr>
            <w:tcW w:w="1371"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主办单位</w:t>
            </w:r>
            <w:r/>
          </w:p>
        </w:tc>
        <w:tc>
          <w:tcPr>
            <w:gridSpan w:val="6"/>
            <w:tcW w:w="3846"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229"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会议人数</w:t>
            </w:r>
            <w:r/>
          </w:p>
        </w:tc>
        <w:tc>
          <w:tcPr>
            <w:gridSpan w:val="4"/>
            <w:tcW w:w="3157"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联 系 人</w:t>
            </w:r>
            <w:r/>
          </w:p>
        </w:tc>
        <w:tc>
          <w:tcPr>
            <w:tcW w:w="1307"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W w:w="1263"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联系电话</w:t>
            </w:r>
            <w:r/>
          </w:p>
        </w:tc>
        <w:tc>
          <w:tcPr>
            <w:gridSpan w:val="2"/>
            <w:tcW w:w="1276"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229"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预订房间</w:t>
            </w:r>
            <w:r/>
          </w:p>
        </w:tc>
        <w:tc>
          <w:tcPr>
            <w:gridSpan w:val="4"/>
            <w:tcW w:w="3157"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gridSpan w:val="13"/>
            <w:tcW w:w="960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A 客 房</w:t>
            </w:r>
            <w:r/>
          </w:p>
        </w:tc>
      </w:tr>
      <w:tr>
        <w:trPr>
          <w:jc w:val="center"/>
          <w:trHeight w:val="454" w:hRule="exact"/>
        </w:trPr>
        <w:tc>
          <w:tcPr>
            <w:tcW w:w="1371"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r/>
          </w:p>
        </w:tc>
        <w:tc>
          <w:tcPr>
            <w:gridSpan w:val="3"/>
            <w:tcW w:w="1720"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房  型</w:t>
            </w:r>
            <w:r/>
          </w:p>
        </w:tc>
        <w:tc>
          <w:tcPr>
            <w:gridSpan w:val="4"/>
            <w:tcW w:w="2268" w:type="dxa"/>
            <w:vAlign w:val="center"/>
            <w:textDirection w:val="lrTb"/>
            <w:noWrap w:val="false"/>
          </w:tcPr>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价</w:t>
            </w:r>
            <w:r>
              <w:rPr>
                <w:rFonts w:ascii="宋体" w:hAnsi="宋体"/>
                <w:color w:val="auto"/>
                <w:sz w:val="24"/>
                <w:szCs w:val="24"/>
                <w:highlight w:val="none"/>
              </w:rPr>
              <w:t xml:space="preserve">格</w:t>
            </w:r>
            <w:r>
              <w:rPr>
                <w:rFonts w:hint="eastAsia" w:ascii="宋体" w:hAnsi="宋体"/>
                <w:color w:val="auto"/>
                <w:sz w:val="24"/>
                <w:szCs w:val="24"/>
                <w:highlight w:val="none"/>
              </w:rPr>
              <w:t xml:space="preserve">/元（含早餐）</w:t>
            </w:r>
            <w:r/>
          </w:p>
        </w:tc>
        <w:tc>
          <w:tcPr>
            <w:gridSpan w:val="3"/>
            <w:tcW w:w="2126" w:type="dxa"/>
            <w:vAlign w:val="center"/>
            <w:textDirection w:val="lrTb"/>
            <w:noWrap w:val="false"/>
          </w:tcPr>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用房数（间/夜）</w:t>
            </w:r>
            <w:r/>
          </w:p>
        </w:tc>
        <w:tc>
          <w:tcPr>
            <w:gridSpan w:val="2"/>
            <w:tcW w:w="2118"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小计（元）</w:t>
            </w:r>
            <w:r/>
          </w:p>
        </w:tc>
      </w:tr>
      <w:tr>
        <w:trPr>
          <w:jc w:val="center"/>
          <w:trHeight w:val="454" w:hRule="exact"/>
        </w:trPr>
        <w:tc>
          <w:tcPr>
            <w:tcW w:w="1371" w:type="dxa"/>
            <w:vAlign w:val="center"/>
            <w:vMerge w:val="restart"/>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3"/>
            <w:tcBorders>
              <w:bottom w:val="single" w:color="auto" w:sz="4" w:space="0"/>
            </w:tcBorders>
            <w:tcW w:w="17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Borders>
              <w:bottom w:val="single" w:color="auto" w:sz="4" w:space="0"/>
            </w:tcBorders>
            <w:tcW w:w="226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bottom w:val="single" w:color="auto" w:sz="4" w:space="0"/>
            </w:tcBorders>
            <w:tcW w:w="2126"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Borders>
              <w:bottom w:val="single" w:color="auto" w:sz="4" w:space="0"/>
            </w:tcBorders>
            <w:tcW w:w="211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vAlign w:val="center"/>
            <w:vMerge w:val="continue"/>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tcBorders>
            <w:tcW w:w="17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Borders>
              <w:top w:val="single" w:color="auto" w:sz="4" w:space="0"/>
            </w:tcBorders>
            <w:tcW w:w="226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tcBorders>
            <w:tcW w:w="2126"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Borders>
              <w:top w:val="single" w:color="auto" w:sz="4" w:space="0"/>
            </w:tcBorders>
            <w:tcW w:w="211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vAlign w:val="center"/>
            <w:vMerge w:val="restart"/>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3"/>
            <w:tcBorders>
              <w:bottom w:val="single" w:color="auto" w:sz="4" w:space="0"/>
            </w:tcBorders>
            <w:tcW w:w="17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Borders>
              <w:bottom w:val="single" w:color="auto" w:sz="4" w:space="0"/>
            </w:tcBorders>
            <w:tcW w:w="226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bottom w:val="single" w:color="auto" w:sz="4" w:space="0"/>
            </w:tcBorders>
            <w:tcW w:w="2126"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Borders>
              <w:bottom w:val="single" w:color="auto" w:sz="4" w:space="0"/>
            </w:tcBorders>
            <w:tcW w:w="211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vAlign w:val="center"/>
            <w:vMerge w:val="continue"/>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tcBorders>
            <w:tcW w:w="17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Borders>
              <w:top w:val="single" w:color="auto" w:sz="4" w:space="0"/>
            </w:tcBorders>
            <w:tcW w:w="226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tcBorders>
            <w:tcW w:w="2126"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Borders>
              <w:top w:val="single" w:color="auto" w:sz="4" w:space="0"/>
            </w:tcBorders>
            <w:tcW w:w="211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vAlign w:val="center"/>
            <w:vMerge w:val="restart"/>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3"/>
            <w:tcBorders>
              <w:top w:val="single" w:color="auto" w:sz="4" w:space="0"/>
              <w:bottom w:val="single" w:color="auto" w:sz="4" w:space="0"/>
            </w:tcBorders>
            <w:tcW w:w="17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Borders>
              <w:top w:val="single" w:color="auto" w:sz="4" w:space="0"/>
              <w:bottom w:val="single" w:color="auto" w:sz="4" w:space="0"/>
            </w:tcBorders>
            <w:tcW w:w="226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bottom w:val="single" w:color="auto" w:sz="4" w:space="0"/>
            </w:tcBorders>
            <w:tcW w:w="2126"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Borders>
              <w:top w:val="single" w:color="auto" w:sz="4" w:space="0"/>
              <w:bottom w:val="single" w:color="auto" w:sz="4" w:space="0"/>
            </w:tcBorders>
            <w:tcW w:w="211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vAlign w:val="center"/>
            <w:vMerge w:val="continue"/>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tcBorders>
            <w:tcW w:w="17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Borders>
              <w:top w:val="single" w:color="auto" w:sz="4" w:space="0"/>
            </w:tcBorders>
            <w:tcW w:w="226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tcBorders>
            <w:tcW w:w="2126"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Borders>
              <w:top w:val="single" w:color="auto" w:sz="4" w:space="0"/>
            </w:tcBorders>
            <w:tcW w:w="211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gridSpan w:val="13"/>
            <w:tcW w:w="9603"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B 会 场</w:t>
            </w:r>
            <w:r/>
          </w:p>
        </w:tc>
      </w:tr>
      <w:tr>
        <w:trPr>
          <w:jc w:val="center"/>
          <w:trHeight w:val="454" w:hRule="exact"/>
        </w:trPr>
        <w:tc>
          <w:tcPr>
            <w:tcW w:w="1371"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r/>
          </w:p>
        </w:tc>
        <w:tc>
          <w:tcPr>
            <w:gridSpan w:val="3"/>
            <w:tcW w:w="1720"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时   间</w:t>
            </w:r>
            <w:r/>
          </w:p>
        </w:tc>
        <w:tc>
          <w:tcPr>
            <w:gridSpan w:val="4"/>
            <w:tcW w:w="2268"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会议地点</w:t>
            </w:r>
            <w:r/>
          </w:p>
        </w:tc>
        <w:tc>
          <w:tcPr>
            <w:gridSpan w:val="3"/>
            <w:tcW w:w="2126"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会议人数</w:t>
            </w:r>
            <w:r/>
          </w:p>
        </w:tc>
        <w:tc>
          <w:tcPr>
            <w:gridSpan w:val="2"/>
            <w:tcW w:w="2118"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场租费（元）</w:t>
            </w:r>
            <w:r/>
          </w:p>
        </w:tc>
      </w:tr>
      <w:tr>
        <w:trPr>
          <w:jc w:val="center"/>
          <w:trHeight w:val="454" w:hRule="exact"/>
        </w:trPr>
        <w:tc>
          <w:tcPr>
            <w:tcW w:w="1371"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3"/>
            <w:tcW w:w="17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W w:w="226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W w:w="2126"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211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3"/>
            <w:tcW w:w="17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W w:w="226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W w:w="2126"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211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3"/>
            <w:tcW w:w="172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4"/>
            <w:tcW w:w="226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W w:w="2126"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2118"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台   型</w:t>
            </w:r>
            <w:r/>
          </w:p>
        </w:tc>
        <w:tc>
          <w:tcPr>
            <w:gridSpan w:val="12"/>
            <w:tcW w:w="8232" w:type="dxa"/>
            <w:textDirection w:val="lrTb"/>
            <w:noWrap w:val="false"/>
          </w:tcPr>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□课桌型  □剧场型  □回字型  □U字型  □岛屿型  □鱼骨型 □圆桌型</w:t>
            </w:r>
            <w:r/>
          </w:p>
        </w:tc>
      </w:tr>
      <w:tr>
        <w:trPr>
          <w:jc w:val="center"/>
          <w:trHeight w:val="454" w:hRule="exact"/>
        </w:trPr>
        <w:tc>
          <w:tcPr>
            <w:tcW w:w="1371"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免  费</w:t>
            </w:r>
            <w:r/>
          </w:p>
        </w:tc>
        <w:tc>
          <w:tcPr>
            <w:gridSpan w:val="12"/>
            <w:tcW w:w="8232" w:type="dxa"/>
            <w:textDirection w:val="lrTb"/>
            <w:noWrap w:val="false"/>
          </w:tcPr>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□茶水   □纸笔   □主席台   □音响   □话筒   □演讲台   □签到台 </w:t>
            </w:r>
            <w:r/>
          </w:p>
        </w:tc>
      </w:tr>
      <w:tr>
        <w:trPr>
          <w:jc w:val="center"/>
          <w:trHeight w:val="907" w:hRule="exact"/>
        </w:trPr>
        <w:tc>
          <w:tcPr>
            <w:tcW w:w="1371"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服  务</w:t>
            </w:r>
            <w:r/>
          </w:p>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项  目</w:t>
            </w:r>
            <w:r/>
          </w:p>
        </w:tc>
        <w:tc>
          <w:tcPr>
            <w:gridSpan w:val="12"/>
            <w:tcW w:w="8232" w:type="dxa"/>
            <w:textDirection w:val="lrTb"/>
            <w:noWrap w:val="false"/>
          </w:tcPr>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*LED屏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元/场   *投影仪</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元/场    *布展</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    *会标</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元/条   </w:t>
            </w:r>
            <w:r/>
          </w:p>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*水果</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元/份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*茶歇</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元/位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*席卡</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     *矿泉水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  </w:t>
            </w:r>
            <w:r/>
          </w:p>
        </w:tc>
      </w:tr>
      <w:tr>
        <w:trPr>
          <w:jc w:val="center"/>
          <w:trHeight w:val="454" w:hRule="exact"/>
        </w:trPr>
        <w:tc>
          <w:tcPr>
            <w:gridSpan w:val="13"/>
            <w:tcW w:w="9603"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C 用 餐</w:t>
            </w:r>
            <w:r/>
          </w:p>
        </w:tc>
      </w:tr>
      <w:tr>
        <w:trPr>
          <w:jc w:val="center"/>
          <w:trHeight w:val="454" w:hRule="exact"/>
        </w:trPr>
        <w:tc>
          <w:tcPr>
            <w:tcW w:w="1371"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r/>
          </w:p>
        </w:tc>
        <w:tc>
          <w:tcPr>
            <w:gridSpan w:val="2"/>
            <w:tcW w:w="1397"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时间</w:t>
            </w:r>
            <w:r/>
          </w:p>
        </w:tc>
        <w:tc>
          <w:tcPr>
            <w:gridSpan w:val="3"/>
            <w:tcW w:w="1397"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用餐地点</w:t>
            </w:r>
            <w:r/>
          </w:p>
        </w:tc>
        <w:tc>
          <w:tcPr>
            <w:gridSpan w:val="2"/>
            <w:tcW w:w="1194"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用餐形式</w:t>
            </w:r>
            <w:r/>
          </w:p>
        </w:tc>
        <w:tc>
          <w:tcPr>
            <w:gridSpan w:val="2"/>
            <w:tcW w:w="1600"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用餐人数</w:t>
            </w:r>
            <w:r/>
          </w:p>
        </w:tc>
        <w:tc>
          <w:tcPr>
            <w:gridSpan w:val="2"/>
            <w:tcW w:w="1397"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用餐</w:t>
            </w:r>
            <w:r>
              <w:rPr>
                <w:rFonts w:ascii="宋体" w:hAnsi="宋体"/>
                <w:color w:val="auto"/>
                <w:sz w:val="24"/>
                <w:szCs w:val="24"/>
                <w:highlight w:val="none"/>
              </w:rPr>
              <w:t xml:space="preserve">标准</w:t>
            </w:r>
            <w:r/>
          </w:p>
        </w:tc>
        <w:tc>
          <w:tcPr>
            <w:tcW w:w="1247"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小计（元）</w:t>
            </w:r>
            <w:r/>
          </w:p>
        </w:tc>
      </w:tr>
      <w:tr>
        <w:trPr>
          <w:jc w:val="center"/>
          <w:trHeight w:val="454" w:hRule="exact"/>
        </w:trPr>
        <w:tc>
          <w:tcPr>
            <w:tcW w:w="1371"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2"/>
            <w:tcW w:w="1397"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W w:w="1397"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194"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600"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397"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47" w:type="dxa"/>
            <w:vAlign w:val="center"/>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2"/>
            <w:tcW w:w="1397"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W w:w="1397"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194"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60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397"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47"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1371" w:type="dxa"/>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月  日</w:t>
            </w:r>
            <w:r/>
          </w:p>
        </w:tc>
        <w:tc>
          <w:tcPr>
            <w:gridSpan w:val="2"/>
            <w:tcW w:w="1397"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3"/>
            <w:tcW w:w="1397"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194"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600"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1397"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c>
          <w:tcPr>
            <w:tcW w:w="1247" w:type="dxa"/>
            <w:textDirection w:val="lrTb"/>
            <w:noWrap w:val="false"/>
          </w:tcPr>
          <w:p>
            <w:pPr>
              <w:jc w:val="center"/>
              <w:spacing w:line="440" w:lineRule="exact"/>
              <w:rPr>
                <w:rFonts w:ascii="宋体" w:hAnsi="宋体"/>
                <w:color w:val="auto"/>
                <w:sz w:val="24"/>
                <w:szCs w:val="24"/>
                <w:highlight w:val="none"/>
              </w:rPr>
            </w:pPr>
            <w:r>
              <w:rPr>
                <w:rFonts w:ascii="宋体" w:hAnsi="宋体"/>
                <w:color w:val="auto"/>
                <w:sz w:val="24"/>
                <w:szCs w:val="24"/>
                <w:highlight w:val="none"/>
              </w:rPr>
            </w:r>
            <w:r/>
          </w:p>
        </w:tc>
      </w:tr>
    </w:tbl>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二、相关事项：</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1. 会标内容：</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 </w:t>
      </w:r>
      <w:r>
        <w:rPr>
          <w:rFonts w:hint="eastAsia"/>
          <w:color w:val="auto"/>
          <w:sz w:val="24"/>
          <w:szCs w:val="24"/>
          <w:highlight w:val="none"/>
        </w:rPr>
        <w:t xml:space="preserve">指示牌内容</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 会场布置：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接机接站：</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4. </w:t>
      </w:r>
      <w:r>
        <w:rPr>
          <w:rFonts w:hint="eastAsia"/>
          <w:color w:val="auto"/>
          <w:sz w:val="24"/>
          <w:szCs w:val="24"/>
          <w:highlight w:val="none"/>
        </w:rPr>
        <w:t xml:space="preserve">交通线路：</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 酒店协调经理：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联系电话：</w:t>
      </w:r>
      <w:r>
        <w:rPr>
          <w:rFonts w:hint="eastAsia" w:ascii="宋体" w:hAnsi="宋体"/>
          <w:color w:val="auto"/>
          <w:sz w:val="24"/>
          <w:szCs w:val="24"/>
          <w:highlight w:val="none"/>
          <w:u w:val="single"/>
        </w:rPr>
        <w:t xml:space="preserve">                  </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三、结算方式：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 甲方会议期间每天最低用房保证数为预订数的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%，若实际用房数低于最低保证用房数，按最低保证用房数收费，若超出最低保证用房数，按实际用房数收费。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 甲方办理进店手续的时间为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日14：00以后（若甲方有提前报到者，乙方将根据当日客情，给予甲方最大限度的配合）。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 甲方办理离店手续的时间为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日12：00前。迟于14：00后，18：00前办理离店手续，需加收半天房费，迟于18：00后离店，需加收全天房费。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 会议期间发生的所有费用由甲方指定人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签署，联系电话：</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 甲乙双方合同签订后一周内甲方即付定金</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%（小写人民币</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元），大写人民币</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元，余款在会议结束时一次性结清。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 甲方（发票）</w:t>
      </w:r>
      <w:r>
        <w:rPr>
          <w:rFonts w:ascii="宋体" w:hAnsi="宋体"/>
          <w:color w:val="auto"/>
          <w:sz w:val="24"/>
          <w:szCs w:val="24"/>
          <w:highlight w:val="none"/>
        </w:rPr>
        <w:t xml:space="preserve">单位名称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税号：</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u w:val="single"/>
        </w:rPr>
      </w:pPr>
      <w:r>
        <w:rPr>
          <w:rFonts w:hint="eastAsia" w:ascii="宋体" w:hAnsi="宋体"/>
          <w:bCs/>
          <w:color w:val="auto"/>
          <w:sz w:val="24"/>
          <w:szCs w:val="24"/>
          <w:highlight w:val="none"/>
        </w:rPr>
        <w:t xml:space="preserve">                 </w:t>
      </w:r>
      <w:r>
        <w:rPr>
          <w:rFonts w:hint="eastAsia" w:ascii="宋体" w:hAnsi="宋体"/>
          <w:color w:val="auto"/>
          <w:sz w:val="24"/>
          <w:szCs w:val="24"/>
          <w:highlight w:val="none"/>
        </w:rPr>
        <w:t xml:space="preserve">开户行：</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账号：</w:t>
      </w:r>
      <w:r>
        <w:rPr>
          <w:rFonts w:hint="eastAsia" w:ascii="宋体" w:hAnsi="宋体"/>
          <w:color w:val="auto"/>
          <w:sz w:val="24"/>
          <w:szCs w:val="24"/>
          <w:highlight w:val="none"/>
          <w:u w:val="single"/>
        </w:rPr>
        <w:t xml:space="preserve">               </w:t>
      </w:r>
      <w:r/>
    </w:p>
    <w:p>
      <w:pPr>
        <w:ind w:firstLine="240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电话：</w:t>
      </w:r>
      <w:r>
        <w:rPr>
          <w:rFonts w:hint="eastAsia" w:ascii="宋体" w:hAnsi="宋体"/>
          <w:color w:val="auto"/>
          <w:sz w:val="24"/>
          <w:szCs w:val="24"/>
          <w:highlight w:val="none"/>
          <w:u w:val="single"/>
        </w:rPr>
        <w:t xml:space="preserve">               </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7. 乙方（酒店）</w:t>
      </w:r>
      <w:r>
        <w:rPr>
          <w:rFonts w:ascii="宋体" w:hAnsi="宋体"/>
          <w:color w:val="auto"/>
          <w:sz w:val="24"/>
          <w:szCs w:val="24"/>
          <w:highlight w:val="none"/>
        </w:rPr>
        <w:t xml:space="preserve">单位名称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税号：</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u w:val="single"/>
        </w:rPr>
      </w:pPr>
      <w:r>
        <w:rPr>
          <w:rFonts w:hint="eastAsia" w:ascii="宋体" w:hAnsi="宋体"/>
          <w:bCs/>
          <w:color w:val="auto"/>
          <w:sz w:val="24"/>
          <w:szCs w:val="24"/>
          <w:highlight w:val="none"/>
        </w:rPr>
        <w:t xml:space="preserve">                 </w:t>
      </w:r>
      <w:r>
        <w:rPr>
          <w:rFonts w:hint="eastAsia" w:ascii="宋体" w:hAnsi="宋体"/>
          <w:color w:val="auto"/>
          <w:sz w:val="24"/>
          <w:szCs w:val="24"/>
          <w:highlight w:val="none"/>
        </w:rPr>
        <w:t xml:space="preserve">开户行：</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账号：</w:t>
      </w:r>
      <w:r>
        <w:rPr>
          <w:rFonts w:hint="eastAsia" w:ascii="宋体" w:hAnsi="宋体"/>
          <w:color w:val="auto"/>
          <w:sz w:val="24"/>
          <w:szCs w:val="24"/>
          <w:highlight w:val="none"/>
          <w:u w:val="single"/>
        </w:rPr>
        <w:t xml:space="preserve">               </w:t>
      </w:r>
      <w:r/>
    </w:p>
    <w:p>
      <w:pPr>
        <w:ind w:firstLine="240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电话：</w:t>
      </w:r>
      <w:r>
        <w:rPr>
          <w:rFonts w:hint="eastAsia" w:ascii="宋体" w:hAnsi="宋体"/>
          <w:color w:val="auto"/>
          <w:sz w:val="24"/>
          <w:szCs w:val="24"/>
          <w:highlight w:val="none"/>
          <w:u w:val="single"/>
        </w:rPr>
        <w:t xml:space="preserve">                </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四、违约责任：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本次会议所有价格等信息，甲乙双方有义务不得向第三方泄露。因泄密而引起的损失由泄密方承担全部责任。（此条款作为双方的保密协议）。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违约金:</w:t>
      </w:r>
      <w:r>
        <w:rPr>
          <w:rFonts w:hint="eastAsia" w:ascii="宋体" w:hAnsi="宋体"/>
          <w:color w:val="auto"/>
          <w:sz w:val="24"/>
          <w:szCs w:val="24"/>
          <w:highlight w:val="none"/>
          <w:u w:val="single"/>
        </w:rPr>
        <w:t xml:space="preserve">                                                                </w:t>
      </w:r>
      <w:r/>
    </w:p>
    <w:p>
      <w:pPr>
        <w:ind w:firstLine="482"/>
        <w:spacing w:line="360" w:lineRule="auto"/>
        <w:rPr>
          <w:rFonts w:ascii="宋体" w:hAnsi="宋体"/>
          <w:color w:val="auto"/>
          <w:sz w:val="24"/>
          <w:szCs w:val="24"/>
          <w:highlight w:val="none"/>
          <w:u w:val="single"/>
        </w:rPr>
      </w:pPr>
      <w:r>
        <w:rPr>
          <w:rFonts w:hint="eastAsia" w:ascii="宋体" w:hAnsi="宋体"/>
          <w:b/>
          <w:color w:val="auto"/>
          <w:sz w:val="24"/>
          <w:szCs w:val="24"/>
          <w:highlight w:val="none"/>
        </w:rPr>
        <w:t xml:space="preserve">五、其他：</w:t>
      </w:r>
      <w:r>
        <w:rPr>
          <w:rFonts w:hint="eastAsia" w:ascii="宋体" w:hAnsi="宋体"/>
          <w:color w:val="auto"/>
          <w:sz w:val="24"/>
          <w:szCs w:val="24"/>
          <w:highlight w:val="none"/>
          <w:u w:val="single"/>
        </w:rPr>
        <w:t xml:space="preserve">                                                             </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六、本合同未尽事宜由甲乙双方协商解决，本合同履行地在</w:t>
      </w:r>
      <w:r>
        <w:rPr>
          <w:rFonts w:hint="eastAsia" w:ascii="宋体" w:hAnsi="宋体"/>
          <w:color w:val="auto"/>
          <w:sz w:val="24"/>
          <w:szCs w:val="24"/>
          <w:highlight w:val="none"/>
          <w:lang w:eastAsia="zh-CN"/>
        </w:rPr>
        <w:t xml:space="preserve">沛县</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七、本合同经双方签字盖章后生效，一式二份，甲乙双方各执一份，具有同等法律效力。</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甲方（盖章）：</w:t>
      </w:r>
      <w:r>
        <w:rPr>
          <w:rFonts w:hint="eastAsia" w:ascii="宋体" w:hAnsi="宋体"/>
          <w:color w:val="auto"/>
          <w:sz w:val="24"/>
          <w:szCs w:val="24"/>
          <w:highlight w:val="none"/>
        </w:rPr>
        <w:t xml:space="preserve">（党政机关）</w:t>
      </w:r>
      <w:r>
        <w:rPr>
          <w:rFonts w:hint="eastAsia" w:ascii="宋体" w:hAnsi="宋体"/>
          <w:b/>
          <w:color w:val="auto"/>
          <w:sz w:val="24"/>
          <w:szCs w:val="24"/>
          <w:highlight w:val="none"/>
        </w:rPr>
        <w:t xml:space="preserve">                 乙方（盖章）：</w:t>
      </w:r>
      <w:r>
        <w:rPr>
          <w:rFonts w:hint="eastAsia" w:ascii="宋体" w:hAnsi="宋体"/>
          <w:color w:val="auto"/>
          <w:sz w:val="24"/>
          <w:szCs w:val="24"/>
          <w:highlight w:val="none"/>
        </w:rPr>
        <w:t xml:space="preserve">（定点场所）</w:t>
      </w:r>
      <w:r/>
    </w:p>
    <w:p>
      <w:pPr>
        <w:ind w:firstLine="480"/>
        <w:spacing w:line="360" w:lineRule="auto"/>
        <w:rPr>
          <w:rFonts w:ascii="宋体" w:hAnsi="宋体"/>
          <w:color w:val="auto"/>
          <w:sz w:val="24"/>
          <w:szCs w:val="24"/>
          <w:highlight w:val="none"/>
        </w:rPr>
      </w:pPr>
      <w:r>
        <w:rPr>
          <w:rFonts w:hint="eastAsia"/>
          <w:color w:val="auto"/>
          <w:sz w:val="24"/>
          <w:szCs w:val="24"/>
          <w:highlight w:val="none"/>
        </w:rPr>
        <w:t xml:space="preserve">授</w:t>
      </w:r>
      <w:r>
        <w:rPr>
          <w:color w:val="auto"/>
          <w:sz w:val="24"/>
          <w:szCs w:val="24"/>
          <w:highlight w:val="none"/>
        </w:rPr>
        <w:t xml:space="preserve">权</w:t>
      </w:r>
      <w:r>
        <w:rPr>
          <w:rFonts w:hint="eastAsia" w:ascii="宋体" w:hAnsi="宋体"/>
          <w:color w:val="auto"/>
          <w:sz w:val="24"/>
          <w:szCs w:val="24"/>
          <w:highlight w:val="none"/>
        </w:rPr>
        <w:t xml:space="preserve">代表（签字）：                         </w:t>
      </w:r>
      <w:r>
        <w:rPr>
          <w:rFonts w:hint="eastAsia"/>
          <w:color w:val="auto"/>
          <w:sz w:val="24"/>
          <w:szCs w:val="24"/>
          <w:highlight w:val="none"/>
        </w:rPr>
        <w:t xml:space="preserve">授</w:t>
      </w:r>
      <w:r>
        <w:rPr>
          <w:color w:val="auto"/>
          <w:sz w:val="24"/>
          <w:szCs w:val="24"/>
          <w:highlight w:val="none"/>
        </w:rPr>
        <w:t xml:space="preserve">权</w:t>
      </w:r>
      <w:r>
        <w:rPr>
          <w:rFonts w:hint="eastAsia" w:ascii="宋体" w:hAnsi="宋体"/>
          <w:color w:val="auto"/>
          <w:sz w:val="24"/>
          <w:szCs w:val="24"/>
          <w:highlight w:val="none"/>
        </w:rPr>
        <w:t xml:space="preserve">代表（签字）：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w:t>
      </w:r>
      <w:r>
        <w:rPr>
          <w:rFonts w:hint="eastAsia"/>
          <w:color w:val="auto"/>
          <w:sz w:val="24"/>
          <w:szCs w:val="24"/>
          <w:highlight w:val="none"/>
        </w:rPr>
        <w:t xml:space="preserve">年  月  日</w:t>
      </w:r>
      <w:r>
        <w:rPr>
          <w:rFonts w:hint="eastAsia" w:ascii="宋体" w:hAnsi="宋体"/>
          <w:color w:val="auto"/>
          <w:sz w:val="24"/>
          <w:szCs w:val="24"/>
          <w:highlight w:val="none"/>
        </w:rPr>
        <w:t xml:space="preserve">                        日期：   </w:t>
      </w:r>
      <w:r>
        <w:rPr>
          <w:rFonts w:hint="eastAsia"/>
          <w:color w:val="auto"/>
          <w:sz w:val="24"/>
          <w:szCs w:val="24"/>
          <w:highlight w:val="none"/>
        </w:rPr>
        <w:t xml:space="preserve">年  月  日</w:t>
      </w:r>
      <w:r/>
    </w:p>
    <w:p>
      <w:pPr>
        <w:ind w:firstLine="720"/>
        <w:jc w:val="center"/>
        <w:spacing w:line="460" w:lineRule="exact"/>
        <w:rPr>
          <w:rFonts w:ascii="黑体" w:hAnsi="黑体" w:eastAsia="黑体" w:cs="仿宋_GB2312"/>
          <w:color w:val="auto"/>
          <w:sz w:val="28"/>
          <w:szCs w:val="28"/>
          <w:highlight w:val="none"/>
        </w:rPr>
      </w:pPr>
      <w:r>
        <w:rPr>
          <w:rFonts w:ascii="黑体" w:hAnsi="黑体" w:eastAsia="黑体" w:cs="Arial"/>
          <w:color w:val="auto"/>
          <w:sz w:val="28"/>
          <w:szCs w:val="28"/>
          <w:highlight w:val="none"/>
        </w:rPr>
        <w:br w:type="page" w:clear="all"/>
      </w:r>
      <w:r>
        <w:rPr>
          <w:rFonts w:hint="eastAsia" w:ascii="黑体" w:hAnsi="黑体" w:eastAsia="黑体" w:cs="Arial"/>
          <w:color w:val="auto"/>
          <w:sz w:val="28"/>
          <w:szCs w:val="28"/>
          <w:highlight w:val="none"/>
        </w:rPr>
        <w:t xml:space="preserve">党政机关</w:t>
      </w:r>
      <w:r>
        <w:rPr>
          <w:rFonts w:hint="eastAsia" w:ascii="黑体" w:hAnsi="黑体" w:eastAsia="黑体" w:cs="仿宋_GB2312"/>
          <w:bCs/>
          <w:color w:val="auto"/>
          <w:sz w:val="28"/>
          <w:szCs w:val="28"/>
          <w:highlight w:val="none"/>
        </w:rPr>
        <w:t xml:space="preserve">会议定点场所电子结算单（表样）</w:t>
      </w:r>
      <w:r/>
    </w:p>
    <w:p>
      <w:pPr>
        <w:jc w:val="left"/>
        <w:spacing w:line="460" w:lineRule="exact"/>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结算单编号：                                发票号：</w:t>
      </w:r>
      <w:r/>
    </w:p>
    <w:tbl>
      <w:tblPr>
        <w:tblStyle w:val="765"/>
        <w:tblW w:w="989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66"/>
        <w:gridCol w:w="6327"/>
      </w:tblGrid>
      <w:tr>
        <w:trPr>
          <w:jc w:val="center"/>
          <w:trHeight w:val="465" w:hRule="exact"/>
        </w:trPr>
        <w:tc>
          <w:tcPr>
            <w:gridSpan w:val="2"/>
            <w:tcW w:w="9893"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会议定点场所基本信息</w:t>
            </w:r>
            <w:r/>
          </w:p>
        </w:tc>
      </w:tr>
      <w:tr>
        <w:trPr>
          <w:jc w:val="center"/>
          <w:trHeight w:val="465" w:hRule="exact"/>
        </w:trPr>
        <w:tc>
          <w:tcPr>
            <w:tcW w:w="3566"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会议定点场所名称</w:t>
            </w:r>
            <w:r/>
          </w:p>
        </w:tc>
        <w:tc>
          <w:tcPr>
            <w:tcW w:w="6327"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65" w:hRule="exact"/>
        </w:trPr>
        <w:tc>
          <w:tcPr>
            <w:tcW w:w="3566"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发票开具单位名称</w:t>
            </w:r>
            <w:r/>
          </w:p>
        </w:tc>
        <w:tc>
          <w:tcPr>
            <w:tcW w:w="6327"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65" w:hRule="exact"/>
        </w:trPr>
        <w:tc>
          <w:tcPr>
            <w:tcW w:w="356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t xml:space="preserve">是否单位或系统内部会议场所</w:t>
            </w:r>
            <w:r/>
          </w:p>
        </w:tc>
        <w:tc>
          <w:tcPr>
            <w:tcW w:w="6327"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65" w:hRule="exact"/>
        </w:trPr>
        <w:tc>
          <w:tcPr>
            <w:tcW w:w="3566"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w:t>
            </w:r>
            <w:r/>
          </w:p>
        </w:tc>
        <w:tc>
          <w:tcPr>
            <w:tcW w:w="6327"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65" w:hRule="exact"/>
        </w:trPr>
        <w:tc>
          <w:tcPr>
            <w:tcW w:w="3566"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填单人</w:t>
            </w:r>
            <w:r/>
          </w:p>
        </w:tc>
        <w:tc>
          <w:tcPr>
            <w:tcW w:w="6327"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65" w:hRule="exact"/>
        </w:trPr>
        <w:tc>
          <w:tcPr>
            <w:tcW w:w="3566"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联系电话</w:t>
            </w:r>
            <w:r/>
          </w:p>
        </w:tc>
        <w:tc>
          <w:tcPr>
            <w:tcW w:w="6327"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jc w:val="left"/>
        <w:spacing w:line="460" w:lineRule="exact"/>
        <w:rPr>
          <w:rFonts w:ascii="宋体" w:hAnsi="宋体" w:cs="仿宋_GB2312"/>
          <w:color w:val="auto"/>
          <w:sz w:val="24"/>
          <w:szCs w:val="24"/>
          <w:highlight w:val="none"/>
        </w:rPr>
      </w:pPr>
      <w:r>
        <w:rPr>
          <w:rFonts w:ascii="宋体" w:hAnsi="宋体" w:cs="仿宋_GB2312"/>
          <w:color w:val="auto"/>
          <w:sz w:val="24"/>
          <w:szCs w:val="24"/>
          <w:highlight w:val="none"/>
        </w:rPr>
      </w:r>
      <w:r/>
    </w:p>
    <w:tbl>
      <w:tblPr>
        <w:tblStyle w:val="765"/>
        <w:tblW w:w="98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80"/>
        <w:gridCol w:w="2293"/>
        <w:gridCol w:w="2520"/>
        <w:gridCol w:w="2196"/>
      </w:tblGrid>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会议信息</w:t>
            </w:r>
            <w:r/>
          </w:p>
        </w:tc>
        <w:tc>
          <w:tcPr>
            <w:gridSpan w:val="3"/>
            <w:tcW w:w="700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隶属关系代码</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隶属关系名称</w:t>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会议单位预算代码</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会议单位名称</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会议名称</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报到日期</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撤离日期</w:t>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会议单位联系人</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联系电话</w:t>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会议人数（人）</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会议天数（天）</w:t>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其中：正式代表</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会议类别</w:t>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hRule="exact"/>
        </w:trPr>
        <w:tc>
          <w:tcPr>
            <w:tcW w:w="2880"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工作人员</w:t>
            </w:r>
            <w:r/>
          </w:p>
        </w:tc>
        <w:tc>
          <w:tcPr>
            <w:tcW w:w="2293"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196"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jc w:val="left"/>
        <w:spacing w:line="460" w:lineRule="exact"/>
        <w:rPr>
          <w:rFonts w:ascii="宋体" w:hAnsi="宋体" w:cs="仿宋_GB2312"/>
          <w:color w:val="auto"/>
          <w:sz w:val="24"/>
          <w:szCs w:val="24"/>
          <w:highlight w:val="none"/>
        </w:rPr>
      </w:pPr>
      <w:r>
        <w:rPr>
          <w:rFonts w:ascii="宋体" w:hAnsi="宋体" w:cs="仿宋_GB2312"/>
          <w:color w:val="auto"/>
          <w:sz w:val="24"/>
          <w:szCs w:val="24"/>
          <w:highlight w:val="none"/>
        </w:rPr>
      </w:r>
      <w:r/>
    </w:p>
    <w:tbl>
      <w:tblPr>
        <w:tblStyle w:val="765"/>
        <w:tblW w:w="98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8"/>
        <w:gridCol w:w="2274"/>
        <w:gridCol w:w="2545"/>
        <w:gridCol w:w="2292"/>
      </w:tblGrid>
      <w:tr>
        <w:trPr>
          <w:jc w:val="center"/>
          <w:trHeight w:val="454"/>
        </w:trPr>
        <w:tc>
          <w:tcPr>
            <w:tcW w:w="2778"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费用信息（元）</w:t>
            </w:r>
            <w:r/>
          </w:p>
        </w:tc>
        <w:tc>
          <w:tcPr>
            <w:gridSpan w:val="3"/>
            <w:tcW w:w="711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2778"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住宿费</w:t>
            </w:r>
            <w:r/>
          </w:p>
        </w:tc>
        <w:tc>
          <w:tcPr>
            <w:tcW w:w="2274"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45"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伙食费</w:t>
            </w:r>
            <w:r/>
          </w:p>
        </w:tc>
        <w:tc>
          <w:tcPr>
            <w:tcW w:w="229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2778"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会议室租金</w:t>
            </w:r>
            <w:r/>
          </w:p>
        </w:tc>
        <w:tc>
          <w:tcPr>
            <w:tcW w:w="2274"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45"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交通费</w:t>
            </w:r>
            <w:r/>
          </w:p>
        </w:tc>
        <w:tc>
          <w:tcPr>
            <w:tcW w:w="229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2778"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文件印刷费</w:t>
            </w:r>
            <w:r/>
          </w:p>
        </w:tc>
        <w:tc>
          <w:tcPr>
            <w:tcW w:w="2274"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45"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医药费</w:t>
            </w:r>
            <w:r/>
          </w:p>
        </w:tc>
        <w:tc>
          <w:tcPr>
            <w:tcW w:w="229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2778"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其他</w:t>
            </w:r>
            <w:r/>
          </w:p>
        </w:tc>
        <w:tc>
          <w:tcPr>
            <w:tcW w:w="2274"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45"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9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2778" w:type="dxa"/>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总计</w:t>
            </w:r>
            <w:r/>
          </w:p>
        </w:tc>
        <w:tc>
          <w:tcPr>
            <w:gridSpan w:val="3"/>
            <w:tcW w:w="7111"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会议定点场所盖章                        会议单位联系人签字确认：</w:t>
      </w:r>
      <w:r/>
    </w:p>
    <w:p>
      <w:pPr>
        <w:jc w:val="left"/>
        <w:spacing w:line="360" w:lineRule="auto"/>
        <w:rPr>
          <w:rFonts w:ascii="宋体" w:hAnsi="宋体" w:cs="仿宋_GB2312"/>
          <w:bCs/>
          <w:color w:val="auto"/>
          <w:sz w:val="24"/>
          <w:szCs w:val="24"/>
          <w:highlight w:val="none"/>
        </w:rPr>
      </w:pPr>
      <w:r>
        <w:rPr>
          <w:rFonts w:hint="eastAsia" w:ascii="宋体" w:hAnsi="宋体" w:cs="宋体"/>
          <w:color w:val="auto"/>
          <w:sz w:val="24"/>
          <w:szCs w:val="24"/>
          <w:highlight w:val="none"/>
        </w:rPr>
        <w:t xml:space="preserve">备注：1.</w:t>
      </w:r>
      <w:r>
        <w:rPr>
          <w:rFonts w:hint="eastAsia" w:ascii="宋体" w:hAnsi="宋体" w:cs="仿宋_GB2312"/>
          <w:bCs/>
          <w:color w:val="auto"/>
          <w:sz w:val="24"/>
          <w:szCs w:val="24"/>
          <w:highlight w:val="none"/>
        </w:rPr>
        <w:t xml:space="preserve">本电子结算单须加盖会议定点酒店财务专用章。</w:t>
      </w:r>
      <w:r/>
    </w:p>
    <w:p>
      <w:pPr>
        <w:ind w:firstLine="72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2.本电子结算单作为甲乙双方的结算凭证和会议单位的支出凭据。</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br w:type="page" w:clear="all"/>
      </w:r>
      <w:r>
        <w:rPr>
          <w:rFonts w:hint="eastAsia" w:ascii="黑体" w:eastAsia="黑体"/>
          <w:color w:val="auto"/>
          <w:sz w:val="44"/>
          <w:szCs w:val="44"/>
          <w:highlight w:val="none"/>
        </w:rPr>
        <w:t xml:space="preserve">第</w:t>
      </w:r>
      <w:bookmarkEnd w:id="145"/>
      <w:r>
        <w:rPr>
          <w:rFonts w:hint="eastAsia" w:ascii="黑体" w:eastAsia="黑体"/>
          <w:color w:val="auto"/>
          <w:sz w:val="44"/>
          <w:szCs w:val="44"/>
          <w:highlight w:val="none"/>
        </w:rPr>
        <w:t xml:space="preserve">四章 采购需求</w:t>
      </w:r>
      <w:bookmarkEnd w:id="146"/>
      <w:r/>
      <w:bookmarkEnd w:id="147"/>
      <w:r/>
      <w:bookmarkEnd w:id="148"/>
      <w:r/>
      <w:bookmarkStart w:id="152" w:name="_Toc49090575"/>
      <w:r/>
      <w:bookmarkStart w:id="153" w:name="_Toc26554093"/>
      <w:r/>
      <w:r/>
    </w:p>
    <w:p>
      <w:pPr>
        <w:ind w:firstLine="480"/>
        <w:spacing w:line="360" w:lineRule="auto"/>
        <w:rPr>
          <w:rFonts w:ascii="宋体" w:hAnsi="宋体"/>
          <w:color w:val="auto"/>
          <w:sz w:val="24"/>
          <w:szCs w:val="24"/>
          <w:highlight w:val="none"/>
        </w:rPr>
      </w:pPr>
      <w:r>
        <w:rPr>
          <w:rFonts w:ascii="宋体" w:hAnsi="宋体" w:cs="宋体"/>
          <w:color w:val="auto"/>
          <w:sz w:val="24"/>
          <w:szCs w:val="24"/>
          <w:highlight w:val="none"/>
        </w:rPr>
        <w:t xml:space="preserve">为贯彻落实中央八项规定</w:t>
      </w:r>
      <w:r>
        <w:rPr>
          <w:rFonts w:hint="eastAsia" w:ascii="宋体" w:hAnsi="宋体" w:cs="宋体"/>
          <w:color w:val="auto"/>
          <w:sz w:val="24"/>
          <w:szCs w:val="24"/>
          <w:highlight w:val="none"/>
        </w:rPr>
        <w:t xml:space="preserve">精神，加强县级党政机关会议费管理，</w:t>
      </w:r>
      <w:r>
        <w:rPr>
          <w:rFonts w:hint="eastAsia" w:ascii="宋体" w:hAnsi="宋体"/>
          <w:color w:val="auto"/>
          <w:sz w:val="24"/>
          <w:szCs w:val="24"/>
          <w:highlight w:val="none"/>
        </w:rPr>
        <w:t xml:space="preserve">根据《江苏省财政厅关于转发财政部＜党政机关会议定点管理办法＞的通知》苏财〔2025〕22号、《市委办公室 市政府办公室关于印发徐州市市级机关会议管理办法的通知》徐委办〔2013〕68号、《徐州市市级机关会议管理补充规定》徐财行〔2018〕12号，现对2025-2027年度沛县党政机关会议定点场所进行框架协议采购，欢迎符合条件的单位（宾馆、酒店、饭店、招待所、会议中心、培训中心等）前来参加申请。</w:t>
      </w:r>
      <w:r/>
    </w:p>
    <w:p>
      <w:pPr>
        <w:pStyle w:val="758"/>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一、总体要求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沛县</w:t>
      </w:r>
      <w:r>
        <w:rPr>
          <w:rFonts w:hint="eastAsia" w:ascii="宋体" w:hAnsi="宋体"/>
          <w:color w:val="auto"/>
          <w:sz w:val="24"/>
          <w:szCs w:val="24"/>
          <w:highlight w:val="none"/>
        </w:rPr>
        <w:t xml:space="preserve">范围内</w:t>
      </w:r>
      <w:r>
        <w:rPr>
          <w:rFonts w:hint="eastAsia" w:ascii="宋体" w:hAnsi="宋体" w:cs="宋体"/>
          <w:color w:val="auto"/>
          <w:sz w:val="24"/>
          <w:szCs w:val="24"/>
          <w:highlight w:val="none"/>
          <w:lang w:val="en-US" w:eastAsia="zh-CN"/>
        </w:rPr>
        <w:t xml:space="preserve">(沛城街道、汉源街道、大屯街道、汉兴街道等</w:t>
      </w:r>
      <w:r>
        <w:rPr>
          <w:rFonts w:hint="eastAsia" w:ascii="宋体" w:hAnsi="宋体" w:cs="Arial"/>
          <w:bCs/>
          <w:color w:val="auto"/>
          <w:sz w:val="24"/>
          <w:szCs w:val="24"/>
          <w:highlight w:val="none"/>
          <w:lang w:eastAsia="zh-CN"/>
        </w:rPr>
        <w:t xml:space="preserve">区</w:t>
      </w:r>
      <w:r>
        <w:rPr>
          <w:rFonts w:hint="eastAsia" w:ascii="宋体" w:hAnsi="宋体" w:cs="Arial"/>
          <w:bCs/>
          <w:color w:val="auto"/>
          <w:sz w:val="24"/>
          <w:szCs w:val="24"/>
          <w:highlight w:val="none"/>
        </w:rPr>
        <w:t xml:space="preserve">域范围</w:t>
      </w:r>
      <w:r>
        <w:rPr>
          <w:rFonts w:hint="eastAsia" w:ascii="宋体" w:hAnsi="宋体" w:cs="宋体"/>
          <w:color w:val="auto"/>
          <w:sz w:val="24"/>
          <w:szCs w:val="24"/>
          <w:highlight w:val="none"/>
          <w:lang w:val="en-US" w:eastAsia="zh-CN"/>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具备保证会议所需要的住宿房间、会议室、餐厅以及相关设施</w:t>
      </w:r>
      <w:r>
        <w:rPr>
          <w:rFonts w:hint="eastAsia" w:ascii="宋体" w:hAnsi="宋体"/>
          <w:color w:val="auto"/>
          <w:sz w:val="24"/>
          <w:szCs w:val="24"/>
          <w:highlight w:val="none"/>
        </w:rPr>
        <w:t xml:space="preserve">和承办</w:t>
      </w:r>
      <w:r>
        <w:rPr>
          <w:rFonts w:hint="eastAsia" w:ascii="宋体" w:hAnsi="宋体"/>
          <w:color w:val="auto"/>
          <w:sz w:val="24"/>
          <w:szCs w:val="24"/>
          <w:highlight w:val="none"/>
          <w:lang w:eastAsia="zh-CN"/>
        </w:rPr>
        <w:t xml:space="preserve">县</w:t>
      </w:r>
      <w:r>
        <w:rPr>
          <w:rFonts w:hint="eastAsia" w:ascii="宋体" w:hAnsi="宋体"/>
          <w:color w:val="auto"/>
          <w:sz w:val="24"/>
          <w:szCs w:val="24"/>
          <w:highlight w:val="none"/>
        </w:rPr>
        <w:t xml:space="preserve">级三类以上会议的能力，承诺能提供全部客房和会议室，并优先提供最新房间及会议室的宾馆、酒店、饭店、招待所、会议中心、培训中心和</w:t>
      </w:r>
      <w:r>
        <w:rPr>
          <w:rFonts w:ascii="宋体" w:hAnsi="宋体"/>
          <w:color w:val="auto"/>
          <w:sz w:val="24"/>
          <w:szCs w:val="24"/>
          <w:highlight w:val="none"/>
        </w:rPr>
        <w:t xml:space="preserve">专业会议场所</w:t>
      </w:r>
      <w:r>
        <w:rPr>
          <w:rFonts w:hint="eastAsia" w:ascii="宋体" w:hAnsi="宋体"/>
          <w:color w:val="auto"/>
          <w:sz w:val="24"/>
          <w:szCs w:val="24"/>
          <w:highlight w:val="none"/>
        </w:rPr>
        <w:t xml:space="preserve">。</w:t>
      </w:r>
      <w:r/>
    </w:p>
    <w:p>
      <w:pPr>
        <w:pStyle w:val="758"/>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二、框架协议期限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2025年9月30日至2027年9月29日</w:t>
      </w:r>
      <w:r>
        <w:rPr>
          <w:rFonts w:hint="eastAsia" w:ascii="宋体" w:hAnsi="宋体"/>
          <w:color w:val="auto"/>
          <w:sz w:val="24"/>
          <w:szCs w:val="24"/>
          <w:highlight w:val="none"/>
        </w:rPr>
        <w:t xml:space="preserve">（本项目框架协议的期限暂定为2年，若省财政厅另有统一征集的，按省财政厅征集要求及结果执行）。</w:t>
      </w:r>
      <w:r/>
    </w:p>
    <w:p>
      <w:pPr>
        <w:pStyle w:val="758"/>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三、适用框架协议的采购人或者服务对象范围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本次采购主要用于</w:t>
      </w:r>
      <w:r>
        <w:rPr>
          <w:rFonts w:hint="eastAsia" w:ascii="宋体" w:hAnsi="宋体"/>
          <w:color w:val="auto"/>
          <w:sz w:val="24"/>
          <w:szCs w:val="24"/>
          <w:highlight w:val="none"/>
          <w:lang w:eastAsia="zh-CN"/>
        </w:rPr>
        <w:t xml:space="preserve">沛县县级</w:t>
      </w:r>
      <w:r>
        <w:rPr>
          <w:rFonts w:ascii="宋体" w:hAnsi="宋体"/>
          <w:color w:val="auto"/>
          <w:sz w:val="24"/>
          <w:szCs w:val="24"/>
          <w:highlight w:val="none"/>
        </w:rPr>
        <w:t xml:space="preserve">党政机关</w:t>
      </w:r>
      <w:r>
        <w:rPr>
          <w:rFonts w:hint="eastAsia" w:ascii="宋体" w:hAnsi="宋体"/>
          <w:color w:val="auto"/>
          <w:sz w:val="24"/>
          <w:szCs w:val="24"/>
          <w:highlight w:val="none"/>
        </w:rPr>
        <w:t xml:space="preserve">、事业单位和团体组织在</w:t>
      </w:r>
      <w:r>
        <w:rPr>
          <w:rFonts w:hint="eastAsia" w:ascii="宋体" w:hAnsi="宋体"/>
          <w:color w:val="auto"/>
          <w:sz w:val="24"/>
          <w:szCs w:val="24"/>
          <w:highlight w:val="none"/>
          <w:lang w:eastAsia="zh-CN"/>
        </w:rPr>
        <w:t xml:space="preserve">沛县</w:t>
      </w:r>
      <w:r>
        <w:rPr>
          <w:rFonts w:hint="eastAsia" w:ascii="宋体" w:hAnsi="宋体"/>
          <w:color w:val="auto"/>
          <w:sz w:val="24"/>
          <w:szCs w:val="24"/>
          <w:highlight w:val="none"/>
        </w:rPr>
        <w:t xml:space="preserve">范围内召开的各类会议。会议定点场所在全省、全国范围内实行资源共享，县内各镇（街道）党政机关事业单位执行现行会议标准相关规定，在不超过会议费定额标准情况下，可享受同等会议服务。</w:t>
      </w:r>
      <w:r/>
    </w:p>
    <w:p>
      <w:pPr>
        <w:pStyle w:val="758"/>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四、报价要求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（一）基本情况</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1.本次征集按会议服务功能设置</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一：具有综合型会议接待能力的单位；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二：具有单一会议功能场所的单位。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供应商选择符合自己资格能力的</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投报，各</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不可兼投。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沛县县</w:t>
      </w:r>
      <w:r>
        <w:rPr>
          <w:rFonts w:hint="eastAsia" w:ascii="宋体" w:hAnsi="宋体"/>
          <w:color w:val="auto"/>
          <w:sz w:val="24"/>
          <w:szCs w:val="24"/>
          <w:highlight w:val="none"/>
        </w:rPr>
        <w:t xml:space="preserve">级机关召开的会议实行以下分类管理：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一类会议：由</w:t>
      </w:r>
      <w:r>
        <w:rPr>
          <w:rFonts w:hint="eastAsia" w:ascii="宋体" w:hAnsi="宋体"/>
          <w:color w:val="auto"/>
          <w:sz w:val="24"/>
          <w:szCs w:val="24"/>
          <w:highlight w:val="none"/>
          <w:lang w:eastAsia="zh-CN"/>
        </w:rPr>
        <w:t xml:space="preserve">县</w:t>
      </w:r>
      <w:r>
        <w:rPr>
          <w:rFonts w:hint="eastAsia" w:ascii="宋体" w:hAnsi="宋体"/>
          <w:color w:val="auto"/>
          <w:sz w:val="24"/>
          <w:szCs w:val="24"/>
          <w:highlight w:val="none"/>
        </w:rPr>
        <w:t xml:space="preserve">委、</w:t>
      </w:r>
      <w:r>
        <w:rPr>
          <w:rFonts w:hint="eastAsia" w:ascii="宋体" w:hAnsi="宋体"/>
          <w:color w:val="auto"/>
          <w:sz w:val="24"/>
          <w:szCs w:val="24"/>
          <w:highlight w:val="none"/>
          <w:lang w:eastAsia="zh-CN"/>
        </w:rPr>
        <w:t xml:space="preserve">县</w:t>
      </w:r>
      <w:r>
        <w:rPr>
          <w:rFonts w:hint="eastAsia" w:ascii="宋体" w:hAnsi="宋体"/>
          <w:color w:val="auto"/>
          <w:sz w:val="24"/>
          <w:szCs w:val="24"/>
          <w:highlight w:val="none"/>
        </w:rPr>
        <w:t xml:space="preserve">政府召开，县党委、政府主要负责人或</w:t>
      </w:r>
      <w:r>
        <w:rPr>
          <w:rFonts w:hint="eastAsia" w:ascii="宋体" w:hAnsi="宋体"/>
          <w:color w:val="auto"/>
          <w:sz w:val="24"/>
          <w:szCs w:val="24"/>
          <w:highlight w:val="none"/>
          <w:lang w:eastAsia="zh-CN"/>
        </w:rPr>
        <w:t xml:space="preserve">县</w:t>
      </w:r>
      <w:r>
        <w:rPr>
          <w:rFonts w:hint="eastAsia" w:ascii="宋体" w:hAnsi="宋体"/>
          <w:color w:val="auto"/>
          <w:sz w:val="24"/>
          <w:szCs w:val="24"/>
          <w:highlight w:val="none"/>
        </w:rPr>
        <w:t xml:space="preserve">各</w:t>
      </w:r>
      <w:r>
        <w:rPr>
          <w:rFonts w:hint="eastAsia" w:ascii="宋体" w:hAnsi="宋体"/>
          <w:color w:val="auto"/>
          <w:sz w:val="24"/>
          <w:szCs w:val="24"/>
          <w:highlight w:val="none"/>
          <w:lang w:eastAsia="zh-CN"/>
        </w:rPr>
        <w:t xml:space="preserve">镇（街道）、</w:t>
      </w:r>
      <w:r>
        <w:rPr>
          <w:rFonts w:hint="eastAsia" w:ascii="宋体" w:hAnsi="宋体"/>
          <w:color w:val="auto"/>
          <w:sz w:val="24"/>
          <w:szCs w:val="24"/>
          <w:highlight w:val="none"/>
        </w:rPr>
        <w:t xml:space="preserve">部、委、办、局主要负责人参加的会议。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二类会议：由</w:t>
      </w:r>
      <w:r>
        <w:rPr>
          <w:rFonts w:hint="eastAsia" w:ascii="宋体" w:hAnsi="宋体"/>
          <w:color w:val="auto"/>
          <w:sz w:val="24"/>
          <w:szCs w:val="24"/>
          <w:highlight w:val="none"/>
          <w:lang w:eastAsia="zh-CN"/>
        </w:rPr>
        <w:t xml:space="preserve">县</w:t>
      </w:r>
      <w:r>
        <w:rPr>
          <w:rFonts w:hint="eastAsia" w:ascii="宋体" w:hAnsi="宋体"/>
          <w:color w:val="auto"/>
          <w:sz w:val="24"/>
          <w:szCs w:val="24"/>
          <w:highlight w:val="none"/>
        </w:rPr>
        <w:t xml:space="preserve">各部、委、办、局牵头，以</w:t>
      </w:r>
      <w:r>
        <w:rPr>
          <w:rFonts w:hint="eastAsia" w:ascii="宋体" w:hAnsi="宋体"/>
          <w:color w:val="auto"/>
          <w:sz w:val="24"/>
          <w:szCs w:val="24"/>
          <w:highlight w:val="none"/>
          <w:lang w:eastAsia="zh-CN"/>
        </w:rPr>
        <w:t xml:space="preserve">县</w:t>
      </w:r>
      <w:r>
        <w:rPr>
          <w:rFonts w:hint="eastAsia" w:ascii="宋体" w:hAnsi="宋体"/>
          <w:color w:val="auto"/>
          <w:sz w:val="24"/>
          <w:szCs w:val="24"/>
          <w:highlight w:val="none"/>
        </w:rPr>
        <w:t xml:space="preserve">委、</w:t>
      </w:r>
      <w:r>
        <w:rPr>
          <w:rFonts w:hint="eastAsia" w:ascii="宋体" w:hAnsi="宋体"/>
          <w:color w:val="auto"/>
          <w:sz w:val="24"/>
          <w:szCs w:val="24"/>
          <w:highlight w:val="none"/>
          <w:lang w:eastAsia="zh-CN"/>
        </w:rPr>
        <w:t xml:space="preserve">县</w:t>
      </w:r>
      <w:r>
        <w:rPr>
          <w:rFonts w:hint="eastAsia" w:ascii="宋体" w:hAnsi="宋体"/>
          <w:color w:val="auto"/>
          <w:sz w:val="24"/>
          <w:szCs w:val="24"/>
          <w:highlight w:val="none"/>
        </w:rPr>
        <w:t xml:space="preserve">政府名义召开，县党委、政府分管负责人等参加的工作性会议。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三类会议：是指除上述一、二类会议以外的其他会议，包括业务性会议、条线会议、座谈会、评审会等。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3.会议综合定额上限标准为：</w:t>
      </w:r>
      <w:r>
        <w:rPr>
          <w:rFonts w:hint="eastAsia" w:ascii="宋体" w:hAnsi="宋体"/>
          <w:b/>
          <w:color w:val="auto"/>
          <w:sz w:val="24"/>
          <w:szCs w:val="24"/>
          <w:highlight w:val="none"/>
        </w:rPr>
        <w:t xml:space="preserve">一类会议</w:t>
      </w:r>
      <w:r>
        <w:rPr>
          <w:rFonts w:hint="eastAsia" w:ascii="宋体" w:hAnsi="宋体"/>
          <w:b/>
          <w:color w:val="auto"/>
          <w:sz w:val="24"/>
          <w:szCs w:val="24"/>
          <w:highlight w:val="none"/>
          <w:lang w:val="en-US" w:eastAsia="zh-CN"/>
        </w:rPr>
        <w:t xml:space="preserve">50</w:t>
      </w:r>
      <w:r>
        <w:rPr>
          <w:rFonts w:hint="eastAsia" w:ascii="宋体" w:hAnsi="宋体"/>
          <w:b/>
          <w:color w:val="auto"/>
          <w:sz w:val="24"/>
          <w:szCs w:val="24"/>
          <w:highlight w:val="none"/>
        </w:rPr>
        <w:t xml:space="preserve">0元/人天，二类会议</w:t>
      </w:r>
      <w:r>
        <w:rPr>
          <w:rFonts w:hint="eastAsia" w:ascii="宋体" w:hAnsi="宋体"/>
          <w:b/>
          <w:color w:val="auto"/>
          <w:sz w:val="24"/>
          <w:szCs w:val="24"/>
          <w:highlight w:val="none"/>
          <w:lang w:val="en-US" w:eastAsia="zh-CN"/>
        </w:rPr>
        <w:t xml:space="preserve">400</w:t>
      </w:r>
      <w:r>
        <w:rPr>
          <w:rFonts w:hint="eastAsia" w:ascii="宋体" w:hAnsi="宋体"/>
          <w:b/>
          <w:color w:val="auto"/>
          <w:sz w:val="24"/>
          <w:szCs w:val="24"/>
          <w:highlight w:val="none"/>
        </w:rPr>
        <w:t xml:space="preserve">元/人天，三类会议</w:t>
      </w:r>
      <w:r>
        <w:rPr>
          <w:rFonts w:hint="eastAsia" w:ascii="宋体" w:hAnsi="宋体"/>
          <w:b/>
          <w:color w:val="auto"/>
          <w:sz w:val="24"/>
          <w:szCs w:val="24"/>
          <w:highlight w:val="none"/>
          <w:lang w:val="en-US" w:eastAsia="zh-CN"/>
        </w:rPr>
        <w:t xml:space="preserve">300</w:t>
      </w:r>
      <w:r>
        <w:rPr>
          <w:rFonts w:hint="eastAsia" w:ascii="宋体" w:hAnsi="宋体"/>
          <w:b/>
          <w:color w:val="auto"/>
          <w:sz w:val="24"/>
          <w:szCs w:val="24"/>
          <w:highlight w:val="none"/>
        </w:rPr>
        <w:t xml:space="preserve">元/人天，二、三类会议原则上不安排住宿，不安排住宿的会议按综合定额标准的50%核定。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会议综合定额标准包括住宿费（含早餐）、伙食费、会议室租金、设备租赁费、交通费、文件印刷费、医药费等，是会议费开支的上限，各单位应在综合定额标准以内据实结算。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按50%核定的会议综合定额标准，包括伙食费、会议室租金、设备租赁费、交通费、文件印刷费、医药费等（不含住宿费），是会议费开支的上限，各单位应在综合定额标准以内据实结算。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（二）报价要求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沛县</w:t>
      </w:r>
      <w:r>
        <w:rPr>
          <w:rFonts w:hint="eastAsia" w:ascii="宋体" w:hAnsi="宋体"/>
          <w:color w:val="auto"/>
          <w:sz w:val="24"/>
          <w:szCs w:val="24"/>
          <w:highlight w:val="none"/>
        </w:rPr>
        <w:t xml:space="preserve">党政机关会议定点场所的房间、会议室、会议餐费等报价以综合定额标准为采购上限。</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定点饭店客房标准间（即双人间）价格不高于</w:t>
      </w:r>
      <w:r>
        <w:rPr>
          <w:rFonts w:hint="eastAsia" w:ascii="宋体" w:hAnsi="宋体"/>
          <w:b/>
          <w:color w:val="auto"/>
          <w:sz w:val="24"/>
          <w:szCs w:val="24"/>
          <w:highlight w:val="none"/>
          <w:lang w:val="en-US" w:eastAsia="zh-CN"/>
        </w:rPr>
        <w:t xml:space="preserve">340</w:t>
      </w:r>
      <w:r>
        <w:rPr>
          <w:rFonts w:hint="eastAsia" w:ascii="宋体" w:hAnsi="宋体"/>
          <w:b/>
          <w:color w:val="auto"/>
          <w:sz w:val="24"/>
          <w:szCs w:val="24"/>
          <w:highlight w:val="none"/>
        </w:rPr>
        <w:t xml:space="preserve">元/天（含双早），客房单间价格不高于</w:t>
      </w:r>
      <w:r>
        <w:rPr>
          <w:rFonts w:hint="eastAsia" w:ascii="宋体" w:hAnsi="宋体"/>
          <w:b/>
          <w:color w:val="auto"/>
          <w:sz w:val="24"/>
          <w:szCs w:val="24"/>
          <w:highlight w:val="none"/>
          <w:u w:val="none"/>
          <w:lang w:val="en-US" w:eastAsia="zh-CN"/>
        </w:rPr>
        <w:t xml:space="preserve">340</w:t>
      </w:r>
      <w:r>
        <w:rPr>
          <w:rFonts w:hint="eastAsia" w:ascii="宋体" w:hAnsi="宋体"/>
          <w:b/>
          <w:color w:val="auto"/>
          <w:sz w:val="24"/>
          <w:szCs w:val="24"/>
          <w:highlight w:val="none"/>
        </w:rPr>
        <w:t xml:space="preserve">元/天（含早）；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2.单一会议功能场所提供会议服务人均费用按照不超过《关于调整江苏省省级机关会议费开支综合定额标准的通知》（苏财行〔2017〕44号）中明确的其他费用标准执行，</w:t>
      </w:r>
      <w:r>
        <w:rPr>
          <w:rFonts w:hint="eastAsia" w:ascii="宋体" w:hAnsi="宋体"/>
          <w:b/>
          <w:color w:val="auto"/>
          <w:sz w:val="24"/>
          <w:szCs w:val="24"/>
          <w:highlight w:val="none"/>
        </w:rPr>
        <w:t xml:space="preserve">一类会议110元/人天，二类会议100元/人天，三类会议80元/人天。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（三）其他说明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1.供应商框架协议期内的综合报价包括满足本次会议定点场所服务要求的所有服务等从项目入围起到项目正式交付所发生的一切费用。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2.本次征集，供应商填报的价格不参与评比，作为第二阶段采购人或者服务对象自行选定的参考。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3.入围供应商须按照征集公告要求和框架协议约定接受采购人或者服务对象的合同授予，并履行政府采购合同。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4.入围供应商不得将本项目服务进行转包。未经采购人同意，入围供应商也不得采用</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的形式履行合同，否则征集人有权依法终止框架协议，采购人有权依法</w:t>
      </w:r>
      <w:r>
        <w:rPr>
          <w:rFonts w:ascii="宋体" w:hAnsi="宋体"/>
          <w:color w:val="auto"/>
          <w:sz w:val="24"/>
          <w:szCs w:val="24"/>
          <w:highlight w:val="none"/>
        </w:rPr>
        <w:t xml:space="preserve">终止采购合同。</w:t>
      </w:r>
      <w:r>
        <w:rPr>
          <w:rFonts w:hint="eastAsia" w:ascii="宋体" w:hAnsi="宋体"/>
          <w:color w:val="auto"/>
          <w:sz w:val="24"/>
          <w:szCs w:val="24"/>
          <w:highlight w:val="none"/>
        </w:rPr>
        <w:t xml:space="preserve">转包或</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造成征集人或</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损失的，入围供应商应承担相应赔偿责任。</w:t>
      </w:r>
      <w:r/>
    </w:p>
    <w:p>
      <w:pPr>
        <w:pStyle w:val="758"/>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五、服务要求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（一）基本服务要求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沛县</w:t>
      </w:r>
      <w:r>
        <w:rPr>
          <w:rFonts w:hint="eastAsia" w:ascii="宋体" w:hAnsi="宋体"/>
          <w:color w:val="auto"/>
          <w:sz w:val="24"/>
          <w:szCs w:val="24"/>
          <w:highlight w:val="none"/>
        </w:rPr>
        <w:t xml:space="preserve">范围内</w:t>
      </w:r>
      <w:r>
        <w:rPr>
          <w:rFonts w:hint="eastAsia" w:ascii="宋体" w:hAnsi="宋体" w:cs="宋体"/>
          <w:color w:val="auto"/>
          <w:sz w:val="24"/>
          <w:szCs w:val="24"/>
          <w:highlight w:val="none"/>
          <w:lang w:val="en-US" w:eastAsia="zh-CN"/>
        </w:rPr>
        <w:t xml:space="preserve">(沛城街道、汉源街道、大屯街道、汉兴街道等</w:t>
      </w:r>
      <w:r>
        <w:rPr>
          <w:rFonts w:hint="eastAsia" w:ascii="宋体" w:hAnsi="宋体" w:cs="Arial"/>
          <w:bCs/>
          <w:color w:val="auto"/>
          <w:sz w:val="24"/>
          <w:szCs w:val="24"/>
          <w:highlight w:val="none"/>
          <w:lang w:eastAsia="zh-CN"/>
        </w:rPr>
        <w:t xml:space="preserve">区</w:t>
      </w:r>
      <w:r>
        <w:rPr>
          <w:rFonts w:hint="eastAsia" w:ascii="宋体" w:hAnsi="宋体" w:cs="Arial"/>
          <w:bCs/>
          <w:color w:val="auto"/>
          <w:sz w:val="24"/>
          <w:szCs w:val="24"/>
          <w:highlight w:val="none"/>
        </w:rPr>
        <w:t xml:space="preserve">域范围</w:t>
      </w:r>
      <w:r>
        <w:rPr>
          <w:rFonts w:hint="eastAsia" w:ascii="宋体" w:hAnsi="宋体" w:cs="宋体"/>
          <w:color w:val="auto"/>
          <w:sz w:val="24"/>
          <w:szCs w:val="24"/>
          <w:highlight w:val="none"/>
          <w:lang w:val="en-US" w:eastAsia="zh-CN"/>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具备保证会议所需要的住宿房间、会议室、餐厅以及相关设施</w:t>
      </w:r>
      <w:r>
        <w:rPr>
          <w:rFonts w:hint="eastAsia" w:ascii="宋体" w:hAnsi="宋体"/>
          <w:color w:val="auto"/>
          <w:sz w:val="24"/>
          <w:szCs w:val="24"/>
          <w:highlight w:val="none"/>
        </w:rPr>
        <w:t xml:space="preserve">和承办</w:t>
      </w:r>
      <w:r>
        <w:rPr>
          <w:rFonts w:hint="eastAsia" w:ascii="宋体" w:hAnsi="宋体"/>
          <w:color w:val="auto"/>
          <w:sz w:val="24"/>
          <w:szCs w:val="24"/>
          <w:highlight w:val="none"/>
          <w:lang w:eastAsia="zh-CN"/>
        </w:rPr>
        <w:t xml:space="preserve">县</w:t>
      </w:r>
      <w:r>
        <w:rPr>
          <w:rFonts w:hint="eastAsia" w:ascii="宋体" w:hAnsi="宋体"/>
          <w:color w:val="auto"/>
          <w:sz w:val="24"/>
          <w:szCs w:val="24"/>
          <w:highlight w:val="none"/>
        </w:rPr>
        <w:t xml:space="preserve">级三类以上会议的能力，承诺能提供全部客房和会议室，并优先提供最新房间及会议室的宾馆、酒店、饭店、招待所、会议中心、培训中心和</w:t>
      </w:r>
      <w:r>
        <w:rPr>
          <w:rFonts w:ascii="宋体" w:hAnsi="宋体"/>
          <w:color w:val="auto"/>
          <w:sz w:val="24"/>
          <w:szCs w:val="24"/>
          <w:highlight w:val="none"/>
        </w:rPr>
        <w:t xml:space="preserve">专业会议场所</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1.框架协议服务期间的执行价格原则上以入围供应商的入围价格及财政部党政机关会议定点场所管理信息系统公布的最新价格为依据，入围价格为最高限价，各采购人可以与入围供应商就实际价格进行协商。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2.框架协议服务期间，如果入围供应商入围产品、服务发生价格政策调整，入围供应商须在第一时间向采购人书面申请调整报价，调价后的价格应不高于投标时的承诺，调价后的服务应不低于投标时的承诺。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在其他优惠条件方面，入围供应商不得对采购人实行差别待遇。非政府采购行业的大客户、零售客户等享受的优惠条件，采购人必须同等享受；非政府采购行业的大客户、零售客户等可免费使用的会议场所相关配套设施，各采购人必须同样免费使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入围供应商必须严格执行最高限价承诺。如因非政府采购行业的大客户采购等情况拟低于入围价格销售的（原则上不得低于入围价格），须由入围供应商提出书面申请并说明原因，在得到所在地集中采购机构或主管部门正式书面备案后才能实施，未备案而发生的低于最高限价的非政府采购销售案例，一经查实，将按有关违约责任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5.入围供应商在特定时间举办的促销活动和优惠政策，各采购人有权参加其促销活动和享受其优惠政策。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6.入围供应商应保证采购人获得优先服务的权利，积极主动与采购人配合，并在不超过承诺的期限内完成会议承办工作。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7.入围供应商应设有固定联系电话及联系人，及时响应采购人的各项要求，并按采购人要求免费提供上门服务。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8.入围供应商对承办的会议服务，单独建立台账或账户核算。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9.入围供应商应按照征集文件的服务要求及响应情况，提供相应的服务。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入围供应商应对采购人的会议定点服务业务建立采购人档案，开展跟踪服务。同意采购人通过“党政机关会议定点场所管理系统”对接待党政机关会议业绩进行统计，作为下一轮党政机关会议定点场所政府采购的参考依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11.入围供应商应拒绝采购人在协议或承诺范围外提出的不合理要求，防止出现违规现象。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12.入围供应商应指定专人在财政部党政机关会议定点场所管理信息系统（</w:t>
      </w:r>
      <w:bookmarkStart w:id="154" w:name="OLE_LINK3"/>
      <w:r>
        <w:rPr>
          <w:rFonts w:hint="eastAsia" w:ascii="宋体" w:hAnsi="宋体"/>
          <w:color w:val="auto"/>
          <w:sz w:val="24"/>
          <w:szCs w:val="24"/>
          <w:highlight w:val="none"/>
        </w:rPr>
        <w:t xml:space="preserve">http://meeting.mof.gov.cn/</w:t>
      </w:r>
      <w:bookmarkEnd w:id="154"/>
      <w:r>
        <w:rPr>
          <w:rFonts w:hint="eastAsia" w:ascii="宋体" w:hAnsi="宋体"/>
          <w:color w:val="auto"/>
          <w:sz w:val="24"/>
          <w:szCs w:val="24"/>
          <w:highlight w:val="none"/>
        </w:rPr>
        <w:t xml:space="preserve">）进行报价等相关信息维护。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13.入围供应商可提供的其他服务。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（二）服务规范要求</w:t>
      </w:r>
      <w:r/>
    </w:p>
    <w:p>
      <w:pPr>
        <w:ind w:firstLine="482"/>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采购包</w:t>
      </w:r>
      <w:r>
        <w:rPr>
          <w:rFonts w:hint="eastAsia" w:ascii="宋体" w:hAnsi="宋体"/>
          <w:b/>
          <w:bCs/>
          <w:color w:val="auto"/>
          <w:sz w:val="24"/>
          <w:szCs w:val="24"/>
          <w:highlight w:val="none"/>
        </w:rPr>
        <w:t xml:space="preserve">一：</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1.具备与承接会议类型和规模相适应的会议服务能力，能够提供会议需要的客房和会议室，以及与之配套的餐厅和免费停车场。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2.饭店布局合理，方便会议接待使用。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3.有空调设施，各区域通风良好，温湿度适宜。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4.有计算机管理系统。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5.各种设备设施养护良好，使用安全、有效。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6.各项管理规章制度、操作程序以及服务规范健全。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7.具备各项应急预案和实施细则。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8.前厅：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（1）设有客人休息场所；</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（2）设迎宾员和值班经理，18小时以上接待客人；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（3）总服务台提供小件行李和贵重物品寄存服务，有供客人使用的行李推车，必要时提供行李服务；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（4）总服务台设在前厅的适当位置，设置接待、问讯、留言、预订、结账等服务项目，提供24小时服务；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（5）应设应急广播系统。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9.客房：</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（1）客房内均设卫生间，配备抽水马桶、带台面的面盆、梳妆镜、浴缸或淋浴设施、浴帘、洗脸巾、浴巾、洗漱用品和卫生用品，有良好的照明和排风系统，地面有防滑设施，24小时提供冷、热浴水；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（2）客房具备隔音措施；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（3）有门窥镜和防盗装备，在显著位置张贴应急疏散图及相关说明；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配备质量较好的软垫床、沙发或扶手椅、茶几、衣橱、写字台、台灯、床头灯、窗帘等配套家具，有空调、彩电、闭路电视系统及可通过总机拨通的国际国内长途电话，备有信封、信纸、笔、宾馆简介、价格表、住宿须知、服务指南、必要的防蚊、防虫等措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（5）提供叫醒服务；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（6）24小时提供开水（饮用水）并免费提供茶叶；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（7）客房、卫生间每天全面整理一次。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10．餐厅及厨房</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（1）能接待与会人员同时就餐，有小餐厅并可为少数民族参会者提供符合其饮食习惯的菜品；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（2）家具、餐具、酒具、用具配套完好，不使用一次性塑料桌布和筷子，提供餐巾纸或餐巾；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（3）提供早、中、晚餐，并可根据宾客需要提供特色餐饮服务及自助餐；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（4）厨房有符合卫生标准的冷荤间、面点间，有足够的冷藏冷冻设施，有符合规定的洗刷和消毒设施，有专门放置临时垃圾并保持封闭的设施，全部使用不锈钢工作台、橱柜及优质的厨具、用具；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（5）冷荤间、面点间独立分隔，有足够的冷气设备。冷荤间温度符合食品卫生标准，有消毒保鲜设备；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（6）厨房和餐厅之间有隔音、隔热、隔气味设施；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（7）采取有效的消灭蚊蝇、蟑螂等虫害措施。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11．会议室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（1）有至少容纳100人以上会议（出具相关证明，如现场图片、示意图或承诺书）的专用会议厅、报告厅，有相应的中小型会议室；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（2）会议室应为封闭的独立区域，配有空调、可分区控制的灯光、会议桌椅、茶具、用具齐备，会议室有两个以上完好且能正常使用的麦克风等必要的音响设备（免费提供），隔音效果良好；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（3）可为特殊需求提供或租用多媒体演示设备（电脑，实物投影仪，多媒体投影仪等）；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（4）大会议室所在楼层有男女分设的卫生间；会议室旁有供与会人员临时休息室；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（5）免费提供纸、笔、席卡等基本的会议用文具；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（6）免费协助会议主办方在合理期限内布置会场；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（7）会场已安装固定LED大屏的应免费提供使用，或免费配合会议主办方安装LED大屏。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12．公共区域设施设备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（1）室内公共区域有制冷、采暖设备；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（2）有男女分设的卫生间；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（3）4层以上（含4层）建筑物有足够的客用电梯；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（4）有应急照明设施，紧急出口标识清楚，位置合理，无障碍物。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13．综合服务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（1）提供复印、打印、传真等服务。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14．人员要求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（1）管理服务人员具备接待政府采购会议的能力。管理人员经过专业培训并取得岗位培训证书，上岗职工经过岗前培训，服务人员与床位数量比例适当；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（2）有专职或兼职的食品卫生管理人员。</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采购包</w:t>
      </w:r>
      <w:r>
        <w:rPr>
          <w:rFonts w:hint="eastAsia" w:ascii="宋体" w:hAnsi="宋体"/>
          <w:b/>
          <w:bCs/>
          <w:color w:val="auto"/>
          <w:sz w:val="24"/>
          <w:szCs w:val="24"/>
          <w:highlight w:val="none"/>
        </w:rPr>
        <w:t xml:space="preserve">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能够提供的专业会议功能场所至少有一个可容纳不少于1000人的大会议室（人均面积不少于1.2平方米），相应的中型、小型会议室，及与之配套的免费停车场。会场应具有贵宾接待功能并且能够提供不小于30平方米的序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1.服务内容，包含但不限于如下几方面：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（1）会议前的会议主办方的信息资料收集。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（2）会议前的接待，指客人入店之后工作人员的接待和车辆停放。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（3）会议厅的布局及物品摆放。布局包括：签到台，会议桌摆放，桌上的纸笔水等。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（4）灯光及音响的效果和配合，灯光PPT，主席台。音响包括音乐播放等。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（5）会议小歇的工作安排，休会时，会场的清洁和重新整理。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（6）会议期间的茶水供应。</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（7）会议结束时会场的检查，客人（包括车辆）的疏导等。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2.有空调设施，各区域通风良好，温湿度适宜。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3.有计算机管理系统。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4.各种设备设施养护良好，使用安全、有效。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5.各项管理规章制度健全、操作程序以及服务规范健全。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6.具备各项应急预案和实施细则。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7.应设应急广播系统。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8.会议室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（1）同时拥有不少于3个（含）以上的会议室（活动隔断不可重复计算）；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（2）会议室应为封闭的独立区域，配有空调、可分区控制的灯光、会议桌椅、茶具、用具齐备，会议室有两个以上完好且能正常使用的麦克风的必要的音响设备（免费提供），隔音效果良好；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（3）可为特殊需求提供或租用多媒体演示设备（电脑，实物投影仪，多媒体投影仪等）；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（4）会议室所在楼层有男女分设的卫生间；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（5）免费提供纸、笔、席卡等基本的会议用文具；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（6）免费协助会议主办方在合理期限内布置会场；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（7）会场已安装固定LED大屏的应免费提供使用，或免费配合会议主办方安装LED大屏。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9.公共区域设施设备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（1）室内公共区域有制冷、采暖设备；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（2）4层以上（含4层）建筑物有足够的客用电梯；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（3）有应急照明设施，紧急出口标识清楚，位置合理，无障碍物。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10.人员要求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管理服务人员具备接待政府采购会议的能力。管理人员经过专业培训，上岗职工经过岗前培训。</w:t>
      </w:r>
      <w:r/>
    </w:p>
    <w:p>
      <w:pPr>
        <w:pStyle w:val="758"/>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六、付费标准，费用结算及支付方式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1.付费标准（即执行价格），原则上以入围供应商的入围价格及财政部党政机关会议定点场所管理信息系统公布的最新价格为依据，不得超过中央、省、市各类会议费开支上限。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2.会议综合定额标准包括</w:t>
      </w:r>
      <w:r>
        <w:rPr>
          <w:rFonts w:ascii="宋体" w:hAnsi="宋体"/>
          <w:color w:val="auto"/>
          <w:sz w:val="24"/>
          <w:szCs w:val="24"/>
          <w:highlight w:val="none"/>
        </w:rPr>
        <w:t xml:space="preserve">住宿费</w:t>
      </w:r>
      <w:r>
        <w:rPr>
          <w:rFonts w:hint="eastAsia" w:ascii="宋体" w:hAnsi="宋体"/>
          <w:color w:val="auto"/>
          <w:sz w:val="24"/>
          <w:szCs w:val="24"/>
          <w:highlight w:val="none"/>
        </w:rPr>
        <w:t xml:space="preserve">（含早餐）</w:t>
      </w:r>
      <w:r>
        <w:rPr>
          <w:rFonts w:ascii="宋体" w:hAnsi="宋体"/>
          <w:color w:val="auto"/>
          <w:sz w:val="24"/>
          <w:szCs w:val="24"/>
          <w:highlight w:val="none"/>
        </w:rPr>
        <w:t xml:space="preserve">、伙食费、</w:t>
      </w:r>
      <w:r>
        <w:rPr>
          <w:rFonts w:hint="eastAsia" w:ascii="宋体" w:hAnsi="宋体"/>
          <w:color w:val="auto"/>
          <w:sz w:val="24"/>
          <w:szCs w:val="24"/>
          <w:highlight w:val="none"/>
        </w:rPr>
        <w:t xml:space="preserve">会议室租金、设备租赁费、</w:t>
      </w:r>
      <w:r>
        <w:rPr>
          <w:rFonts w:ascii="宋体" w:hAnsi="宋体"/>
          <w:color w:val="auto"/>
          <w:sz w:val="24"/>
          <w:szCs w:val="24"/>
          <w:highlight w:val="none"/>
        </w:rPr>
        <w:t xml:space="preserve">交通费、</w:t>
      </w:r>
      <w:r>
        <w:rPr>
          <w:rFonts w:hint="eastAsia" w:ascii="宋体" w:hAnsi="宋体"/>
          <w:color w:val="auto"/>
          <w:sz w:val="24"/>
          <w:szCs w:val="24"/>
          <w:highlight w:val="none"/>
        </w:rPr>
        <w:t xml:space="preserve">文件</w:t>
      </w:r>
      <w:r>
        <w:rPr>
          <w:rFonts w:ascii="宋体" w:hAnsi="宋体"/>
          <w:color w:val="auto"/>
          <w:sz w:val="24"/>
          <w:szCs w:val="24"/>
          <w:highlight w:val="none"/>
        </w:rPr>
        <w:t xml:space="preserve">印刷费、医药费等，</w:t>
      </w:r>
      <w:r>
        <w:rPr>
          <w:rFonts w:hint="eastAsia" w:ascii="宋体" w:hAnsi="宋体"/>
          <w:color w:val="auto"/>
          <w:sz w:val="24"/>
          <w:szCs w:val="24"/>
          <w:highlight w:val="none"/>
        </w:rPr>
        <w:t xml:space="preserve">是会议费开支的上限，各单位应在综合定额标准以内据实结算。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3.会议费用</w:t>
      </w:r>
      <w:r>
        <w:rPr>
          <w:rFonts w:ascii="宋体" w:hAnsi="宋体"/>
          <w:color w:val="auto"/>
          <w:sz w:val="24"/>
          <w:szCs w:val="24"/>
          <w:highlight w:val="none"/>
        </w:rPr>
        <w:t xml:space="preserve">应在会议结束后及时结算</w:t>
      </w:r>
      <w:r>
        <w:rPr>
          <w:rFonts w:hint="eastAsia" w:ascii="宋体" w:hAnsi="宋体"/>
          <w:color w:val="auto"/>
          <w:sz w:val="24"/>
          <w:szCs w:val="24"/>
          <w:highlight w:val="none"/>
        </w:rPr>
        <w:t xml:space="preserve">，会议定点场所应当在结算时通过“党政机关会议定点场所管理系统”打印电子结算单，按规定提供电子结算单、</w:t>
      </w:r>
      <w:r>
        <w:rPr>
          <w:rFonts w:ascii="宋体" w:hAnsi="宋体"/>
          <w:color w:val="auto"/>
          <w:sz w:val="24"/>
          <w:szCs w:val="24"/>
          <w:highlight w:val="none"/>
        </w:rPr>
        <w:t xml:space="preserve">消费明细清单等资料作为支出凭据</w:t>
      </w:r>
      <w:r>
        <w:rPr>
          <w:rFonts w:hint="eastAsia" w:ascii="宋体" w:hAnsi="宋体"/>
          <w:color w:val="auto"/>
          <w:sz w:val="24"/>
          <w:szCs w:val="24"/>
          <w:highlight w:val="none"/>
        </w:rPr>
        <w:t xml:space="preserve">，为具体采购人或服务对象开具合法的发票，采购人或服务对象须按规定，在收到发票后及时规范进行费用结算，并一次性支付合同款。</w:t>
      </w:r>
      <w:r/>
    </w:p>
    <w:p>
      <w:pPr>
        <w:pStyle w:val="758"/>
        <w:ind w:firstLine="422"/>
        <w:keepLines w:val="0"/>
        <w:keepNext w:val="0"/>
        <w:spacing w:before="0" w:after="0" w:line="360" w:lineRule="auto"/>
        <w:rPr>
          <w:rFonts w:ascii="宋体" w:hAnsi="宋体" w:eastAsia="宋体" w:cs="Times New Roman"/>
          <w:bCs w:val="0"/>
          <w:color w:val="auto"/>
          <w:highlight w:val="none"/>
        </w:rPr>
      </w:pPr>
      <w:r>
        <w:rPr>
          <w:rFonts w:hint="eastAsia" w:ascii="宋体" w:hAnsi="宋体" w:eastAsia="宋体" w:cs="Times New Roman"/>
          <w:bCs w:val="0"/>
          <w:color w:val="auto"/>
          <w:highlight w:val="none"/>
        </w:rPr>
        <w:t xml:space="preserve">七、其他有关要求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实行政府采购供应商诚信管理制度。对供应商失信行为、不良行为等诚信信息</w:t>
      </w:r>
      <w:r>
        <w:rPr>
          <w:rFonts w:hint="eastAsia" w:ascii="宋体" w:hAnsi="宋体"/>
          <w:color w:val="auto"/>
          <w:sz w:val="24"/>
          <w:szCs w:val="24"/>
          <w:highlight w:val="none"/>
        </w:rPr>
        <w:t xml:space="preserve">，</w:t>
      </w:r>
      <w:r>
        <w:rPr>
          <w:rFonts w:ascii="宋体" w:hAnsi="宋体"/>
          <w:color w:val="auto"/>
          <w:sz w:val="24"/>
          <w:szCs w:val="24"/>
          <w:highlight w:val="none"/>
        </w:rPr>
        <w:t xml:space="preserve">在</w:t>
      </w:r>
      <w:r>
        <w:rPr>
          <w:rFonts w:hint="eastAsia" w:ascii="宋体" w:hAnsi="宋体"/>
          <w:color w:val="auto"/>
          <w:sz w:val="24"/>
          <w:szCs w:val="24"/>
          <w:highlight w:val="none"/>
        </w:rPr>
        <w:t xml:space="preserve">本次框架协议采购实施工作</w:t>
      </w:r>
      <w:r>
        <w:rPr>
          <w:rFonts w:ascii="宋体" w:hAnsi="宋体"/>
          <w:color w:val="auto"/>
          <w:sz w:val="24"/>
          <w:szCs w:val="24"/>
          <w:highlight w:val="none"/>
        </w:rPr>
        <w:t xml:space="preserve">中予以记录</w:t>
      </w:r>
      <w:r>
        <w:rPr>
          <w:rFonts w:hint="eastAsia" w:ascii="宋体" w:hAnsi="宋体"/>
          <w:color w:val="auto"/>
          <w:sz w:val="24"/>
          <w:szCs w:val="24"/>
          <w:highlight w:val="none"/>
        </w:rPr>
        <w:t xml:space="preserve">并按规定进行处理。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2.在入围资格审核及协议履约期间，征集人及财政监督管理部门有权要求供应商出具申请文件中的相关证明材料原件，予以确认其真实性和有效性。</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3.会议定点场所有以下行为之一的，经调查属实，取消会议定点场所资格：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（1）无正当理由拒绝接待党政机关会议的；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（2）不履行采购协议义务或者履行采购协议义务不符合约定，经党政机关请求履行后仍不履行或仍未按约定履行的；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（3）超过协议价格收取费用或采取减少服务项目等降低服务质量的；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（4）提供虚假凭证或者未按规定提供发票、费用原始明细单据、电子结算单等凭证的；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（5）不配合、甚至干扰阻挠财政部门正常管理监督工作的；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（6）未经批准单方面终止履行协议的；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（7）在采购协议期内，因违法行为被禁止或者限制参加政府采购活动的；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（8）采购协议约定的其他情形。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会议定点场所被取消资格后不得在同一框架协议期内再次加入。</w:t>
      </w:r>
      <w:bookmarkStart w:id="155" w:name="_Toc120614281"/>
      <w:r/>
      <w:r/>
    </w:p>
    <w:p>
      <w:pPr>
        <w:ind w:firstLine="880"/>
        <w:spacing w:line="360" w:lineRule="auto"/>
        <w:rPr>
          <w:rFonts w:ascii="黑体" w:eastAsia="黑体"/>
          <w:bCs/>
          <w:color w:val="auto"/>
          <w:sz w:val="44"/>
          <w:highlight w:val="none"/>
        </w:rPr>
      </w:pPr>
      <w:r>
        <w:rPr>
          <w:rFonts w:ascii="黑体" w:eastAsia="黑体"/>
          <w:bCs/>
          <w:color w:val="auto"/>
          <w:sz w:val="44"/>
          <w:highlight w:val="none"/>
        </w:rPr>
      </w:r>
      <w:r/>
    </w:p>
    <w:p>
      <w:pPr>
        <w:ind w:firstLine="561"/>
        <w:jc w:val="left"/>
        <w:spacing w:line="288" w:lineRule="auto"/>
        <w:rPr>
          <w:rFonts w:ascii="宋体" w:hAnsi="宋体" w:cs="宋体"/>
          <w:b/>
          <w:bCs/>
          <w:i/>
          <w:iCs/>
          <w:color w:val="auto"/>
          <w:sz w:val="28"/>
          <w:szCs w:val="28"/>
          <w:highlight w:val="none"/>
          <w:u w:val="single"/>
        </w:rPr>
      </w:pPr>
      <w:r>
        <w:rPr>
          <w:rFonts w:hint="eastAsia" w:ascii="宋体" w:hAnsi="宋体" w:cs="宋体"/>
          <w:b/>
          <w:bCs/>
          <w:i/>
          <w:iCs/>
          <w:color w:val="auto"/>
          <w:sz w:val="28"/>
          <w:szCs w:val="28"/>
          <w:highlight w:val="none"/>
          <w:u w:val="single"/>
        </w:rPr>
        <w:t xml:space="preserve">特别说明：本章所有要求均为实质性要求，除征集文件中另有约定的，供应商应提供承诺函（格式详见第六章），不接受负偏离，否则视为无效响应文件。</w:t>
      </w:r>
      <w:r/>
    </w:p>
    <w:p>
      <w:pPr>
        <w:jc w:val="center"/>
        <w:spacing w:line="360" w:lineRule="auto"/>
        <w:rPr>
          <w:rFonts w:ascii="黑体" w:eastAsia="黑体"/>
          <w:color w:val="auto"/>
          <w:sz w:val="44"/>
          <w:szCs w:val="44"/>
          <w:highlight w:val="none"/>
        </w:rPr>
      </w:pPr>
      <w:r>
        <w:rPr>
          <w:rFonts w:hint="eastAsia" w:ascii="黑体" w:eastAsia="黑体"/>
          <w:bCs/>
          <w:color w:val="auto"/>
          <w:sz w:val="44"/>
          <w:highlight w:val="none"/>
        </w:rPr>
        <w:br w:type="page" w:clear="all"/>
      </w:r>
      <w:r>
        <w:rPr>
          <w:rFonts w:hint="eastAsia" w:ascii="黑体" w:eastAsia="黑体"/>
          <w:color w:val="auto"/>
          <w:sz w:val="44"/>
          <w:szCs w:val="44"/>
          <w:highlight w:val="none"/>
        </w:rPr>
        <w:t xml:space="preserve">第五章  确定入围</w:t>
      </w:r>
      <w:r>
        <w:rPr>
          <w:rFonts w:ascii="黑体" w:eastAsia="黑体"/>
          <w:color w:val="auto"/>
          <w:sz w:val="44"/>
          <w:szCs w:val="44"/>
          <w:highlight w:val="none"/>
        </w:rPr>
        <w:t xml:space="preserve">及成交供应商</w:t>
      </w:r>
      <w:r/>
    </w:p>
    <w:p>
      <w:pPr>
        <w:pStyle w:val="1009"/>
        <w:ind w:firstLine="420"/>
        <w:rPr>
          <w:rFonts w:cs="Arial"/>
          <w:b/>
          <w:color w:val="auto"/>
          <w:sz w:val="28"/>
          <w:szCs w:val="28"/>
          <w:highlight w:val="none"/>
        </w:rPr>
      </w:pPr>
      <w:r>
        <w:rPr>
          <w:rFonts w:hint="eastAsia" w:cs="Arial"/>
          <w:b/>
          <w:color w:val="auto"/>
          <w:sz w:val="28"/>
          <w:szCs w:val="28"/>
          <w:highlight w:val="none"/>
        </w:rPr>
        <w:t xml:space="preserve">一</w:t>
      </w:r>
      <w:r>
        <w:rPr>
          <w:rFonts w:cs="Arial"/>
          <w:b/>
          <w:color w:val="auto"/>
          <w:sz w:val="28"/>
          <w:szCs w:val="28"/>
          <w:highlight w:val="none"/>
        </w:rPr>
        <w:t xml:space="preserve">、确定第一阶段入围供应商的方法</w:t>
      </w:r>
      <w:r/>
    </w:p>
    <w:p>
      <w:pPr>
        <w:pStyle w:val="1009"/>
        <w:ind w:firstLine="360"/>
        <w:rPr>
          <w:rFonts w:ascii="宋体" w:hAnsi="宋体"/>
          <w:color w:val="auto"/>
          <w:highlight w:val="none"/>
        </w:rPr>
      </w:pPr>
      <w:r>
        <w:rPr>
          <w:rFonts w:hint="eastAsia" w:ascii="宋体" w:hAnsi="宋体"/>
          <w:color w:val="auto"/>
          <w:highlight w:val="none"/>
        </w:rPr>
        <w:t xml:space="preserve">申请文件通过审核的供应商即为入围供应商。</w:t>
      </w:r>
      <w:r/>
    </w:p>
    <w:p>
      <w:pPr>
        <w:pStyle w:val="1009"/>
        <w:ind w:firstLine="418"/>
        <w:spacing w:line="400" w:lineRule="exact"/>
        <w:rPr>
          <w:rFonts w:ascii="宋体" w:hAnsi="宋体"/>
          <w:b/>
          <w:color w:val="auto"/>
          <w:sz w:val="28"/>
          <w:szCs w:val="28"/>
          <w:highlight w:val="none"/>
        </w:rPr>
      </w:pPr>
      <w:r>
        <w:rPr>
          <w:rFonts w:hint="eastAsia" w:ascii="宋体" w:hAnsi="宋体"/>
          <w:b/>
          <w:color w:val="auto"/>
          <w:sz w:val="28"/>
          <w:szCs w:val="28"/>
          <w:highlight w:val="none"/>
        </w:rPr>
        <w:t xml:space="preserve">二</w:t>
      </w:r>
      <w:r>
        <w:rPr>
          <w:rFonts w:ascii="宋体" w:hAnsi="宋体"/>
          <w:b/>
          <w:color w:val="auto"/>
          <w:sz w:val="28"/>
          <w:szCs w:val="28"/>
          <w:highlight w:val="none"/>
        </w:rPr>
        <w:t xml:space="preserve">、确定第二阶段成交供应商的方</w:t>
      </w:r>
      <w:r>
        <w:rPr>
          <w:rFonts w:hint="eastAsia" w:ascii="宋体" w:hAnsi="宋体"/>
          <w:b/>
          <w:color w:val="auto"/>
          <w:sz w:val="28"/>
          <w:szCs w:val="28"/>
          <w:highlight w:val="none"/>
        </w:rPr>
        <w:t xml:space="preserve">式</w:t>
      </w:r>
      <w:r/>
    </w:p>
    <w:p>
      <w:pPr>
        <w:pStyle w:val="1009"/>
        <w:ind w:firstLine="477"/>
        <w:spacing w:line="400" w:lineRule="exact"/>
        <w:rPr>
          <w:rFonts w:ascii="宋体" w:hAnsi="宋体"/>
          <w:color w:val="auto"/>
          <w:highlight w:val="none"/>
        </w:rPr>
      </w:pPr>
      <w:r>
        <w:rPr>
          <w:rFonts w:hint="eastAsia" w:ascii="宋体" w:hAnsi="宋体"/>
          <w:color w:val="auto"/>
          <w:highlight w:val="none"/>
        </w:rPr>
        <w:t xml:space="preserve">1.第二阶段成交供应商由采购人或者服务对象依据入围产品价格、质量以及服务便利性、用户评价等因素从第一阶段入围供应商中直接选定。</w:t>
      </w:r>
      <w:r/>
    </w:p>
    <w:p>
      <w:pPr>
        <w:pStyle w:val="1009"/>
        <w:ind w:firstLine="477"/>
        <w:spacing w:line="400" w:lineRule="exact"/>
        <w:rPr>
          <w:rFonts w:ascii="宋体" w:hAnsi="宋体"/>
          <w:color w:val="auto"/>
          <w:highlight w:val="none"/>
        </w:rPr>
      </w:pPr>
      <w:r>
        <w:rPr>
          <w:rFonts w:hint="eastAsia" w:ascii="宋体" w:hAnsi="宋体"/>
          <w:color w:val="auto"/>
          <w:highlight w:val="none"/>
        </w:rPr>
        <w:t xml:space="preserve">2.第二阶段成交价格除不得高于本框架协议最高限价外，还不得高于入围供应商对非政府采购行业的大客户、零售客户在同时期提供的优惠价格（包括携程、去哪儿、飞猪等主流网络平台报价）。</w:t>
      </w:r>
      <w:r/>
    </w:p>
    <w:p>
      <w:pPr>
        <w:pStyle w:val="1009"/>
        <w:ind w:firstLine="477"/>
        <w:spacing w:line="400" w:lineRule="exact"/>
        <w:rPr>
          <w:color w:val="auto"/>
          <w:highlight w:val="none"/>
        </w:rPr>
      </w:pPr>
      <w:r>
        <w:rPr>
          <w:rFonts w:hint="eastAsia" w:ascii="宋体" w:hAnsi="宋体"/>
          <w:color w:val="auto"/>
          <w:highlight w:val="none"/>
        </w:rPr>
        <w:t xml:space="preserve">3.入围供应商对非政府采购行业的大客户、零售客户在同时期提供的优惠条件，应当确保本框架协议采购人或者服务对象同等享受（包括可免费使用会议场所提供的停车等相关配套设施）。</w:t>
      </w:r>
      <w:r/>
    </w:p>
    <w:p>
      <w:pPr>
        <w:pStyle w:val="1009"/>
        <w:ind w:firstLine="477"/>
        <w:spacing w:line="400" w:lineRule="exact"/>
        <w:rPr>
          <w:rFonts w:ascii="宋体" w:hAnsi="宋体"/>
          <w:color w:val="auto"/>
          <w:highlight w:val="none"/>
        </w:rPr>
      </w:pPr>
      <w:r>
        <w:rPr>
          <w:rFonts w:hint="eastAsia" w:ascii="宋体" w:hAnsi="宋体"/>
          <w:color w:val="auto"/>
          <w:highlight w:val="none"/>
        </w:rPr>
        <w:t xml:space="preserve">4.采购人在</w:t>
      </w:r>
      <w:r>
        <w:rPr>
          <w:rFonts w:ascii="宋体" w:hAnsi="宋体"/>
          <w:color w:val="auto"/>
          <w:highlight w:val="none"/>
        </w:rPr>
        <w:t xml:space="preserve">确定成交</w:t>
      </w:r>
      <w:r>
        <w:rPr>
          <w:rFonts w:hint="eastAsia" w:ascii="宋体" w:hAnsi="宋体"/>
          <w:color w:val="auto"/>
          <w:highlight w:val="none"/>
        </w:rPr>
        <w:t xml:space="preserve">供应商</w:t>
      </w:r>
      <w:r>
        <w:rPr>
          <w:rFonts w:ascii="宋体" w:hAnsi="宋体"/>
          <w:color w:val="auto"/>
          <w:highlight w:val="none"/>
        </w:rPr>
        <w:t xml:space="preserve">后，</w:t>
      </w:r>
      <w:r>
        <w:rPr>
          <w:rFonts w:hint="eastAsia" w:ascii="宋体" w:hAnsi="宋体"/>
          <w:color w:val="auto"/>
          <w:highlight w:val="none"/>
        </w:rPr>
        <w:t xml:space="preserve">双方</w:t>
      </w:r>
      <w:r>
        <w:rPr>
          <w:rFonts w:ascii="宋体" w:hAnsi="宋体"/>
          <w:color w:val="auto"/>
          <w:highlight w:val="none"/>
        </w:rPr>
        <w:t xml:space="preserve">应当按照</w:t>
      </w:r>
      <w:r>
        <w:rPr>
          <w:rFonts w:hint="eastAsia" w:ascii="宋体" w:hAnsi="宋体"/>
          <w:color w:val="auto"/>
          <w:highlight w:val="none"/>
        </w:rPr>
        <w:t xml:space="preserve">征集文件</w:t>
      </w:r>
      <w:r>
        <w:rPr>
          <w:rFonts w:ascii="宋体" w:hAnsi="宋体"/>
          <w:color w:val="auto"/>
          <w:highlight w:val="none"/>
        </w:rPr>
        <w:t xml:space="preserve">中规定的</w:t>
      </w:r>
      <w:r>
        <w:rPr>
          <w:rFonts w:hint="eastAsia" w:ascii="宋体" w:hAnsi="宋体"/>
          <w:color w:val="auto"/>
          <w:highlight w:val="none"/>
        </w:rPr>
        <w:t xml:space="preserve">“采购</w:t>
      </w:r>
      <w:r>
        <w:rPr>
          <w:rFonts w:ascii="宋体" w:hAnsi="宋体"/>
          <w:color w:val="auto"/>
          <w:highlight w:val="none"/>
        </w:rPr>
        <w:t xml:space="preserve">合同文本</w:t>
      </w:r>
      <w:r>
        <w:rPr>
          <w:rFonts w:hint="eastAsia" w:ascii="宋体" w:hAnsi="宋体"/>
          <w:color w:val="auto"/>
          <w:highlight w:val="none"/>
        </w:rPr>
        <w:t xml:space="preserve">”格式签订电子采购合同，不得擅自改变框架协议约定的合同实质性条款。</w:t>
      </w:r>
      <w:r/>
    </w:p>
    <w:p>
      <w:pPr>
        <w:pStyle w:val="1009"/>
        <w:ind w:firstLine="0"/>
        <w:jc w:val="center"/>
        <w:spacing w:line="400" w:lineRule="exact"/>
        <w:rPr>
          <w:rFonts w:ascii="宋体" w:hAnsi="宋体"/>
          <w:color w:val="auto"/>
          <w:highlight w:val="none"/>
        </w:rPr>
      </w:pPr>
      <w:r>
        <w:rPr>
          <w:rFonts w:ascii="宋体" w:hAnsi="宋体"/>
          <w:color w:val="auto"/>
          <w:highlight w:val="none"/>
        </w:rPr>
        <w:br w:type="page" w:clear="all"/>
      </w:r>
      <w:r/>
    </w:p>
    <w:p>
      <w:pPr>
        <w:jc w:val="center"/>
        <w:spacing w:line="360" w:lineRule="auto"/>
        <w:rPr>
          <w:rFonts w:ascii="黑体" w:eastAsia="黑体"/>
          <w:color w:val="auto"/>
          <w:sz w:val="44"/>
          <w:szCs w:val="44"/>
          <w:highlight w:val="none"/>
        </w:rPr>
      </w:pPr>
      <w:r>
        <w:rPr>
          <w:rFonts w:hint="eastAsia" w:ascii="黑体" w:eastAsia="黑体"/>
          <w:color w:val="auto"/>
          <w:sz w:val="44"/>
          <w:szCs w:val="44"/>
          <w:highlight w:val="none"/>
        </w:rPr>
        <w:t xml:space="preserve">第六章  </w:t>
      </w:r>
      <w:bookmarkEnd w:id="152"/>
      <w:r/>
      <w:bookmarkEnd w:id="153"/>
      <w:r/>
      <w:bookmarkEnd w:id="155"/>
      <w:r>
        <w:rPr>
          <w:rFonts w:hint="eastAsia" w:ascii="黑体" w:eastAsia="黑体"/>
          <w:color w:val="auto"/>
          <w:sz w:val="44"/>
          <w:szCs w:val="44"/>
          <w:highlight w:val="none"/>
        </w:rPr>
        <w:t xml:space="preserve">申请文件格式</w:t>
      </w:r>
      <w:r/>
    </w:p>
    <w:p>
      <w:pPr>
        <w:jc w:val="center"/>
        <w:rPr>
          <w:rFonts w:ascii="宋体" w:hAnsi="宋体"/>
          <w:b/>
          <w:color w:val="auto"/>
          <w:sz w:val="72"/>
          <w:highlight w:val="none"/>
        </w:rPr>
      </w:pPr>
      <w:r/>
      <w:bookmarkStart w:id="156" w:name="_Hlt26671244"/>
      <w:r/>
      <w:bookmarkEnd w:id="156"/>
      <w:r/>
      <w:bookmarkStart w:id="157" w:name="_Hlt26955039"/>
      <w:r/>
      <w:bookmarkEnd w:id="157"/>
      <w:r/>
      <w:bookmarkStart w:id="158" w:name="_Toc120614282"/>
      <w:r/>
      <w:bookmarkStart w:id="159" w:name="_Toc26554094"/>
      <w:r/>
      <w:bookmarkStart w:id="160" w:name="_Toc49090576"/>
      <w:r/>
      <w:r/>
    </w:p>
    <w:p>
      <w:pPr>
        <w:jc w:val="center"/>
        <w:rPr>
          <w:rFonts w:ascii="宋体" w:hAnsi="宋体"/>
          <w:b/>
          <w:color w:val="auto"/>
          <w:sz w:val="72"/>
          <w:highlight w:val="none"/>
        </w:rPr>
      </w:pPr>
      <w:r>
        <w:rPr>
          <w:rFonts w:hint="eastAsia" w:ascii="宋体" w:hAnsi="宋体"/>
          <w:b/>
          <w:color w:val="auto"/>
          <w:sz w:val="72"/>
          <w:highlight w:val="none"/>
        </w:rPr>
        <w:t xml:space="preserve">申  请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446"/>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供应商名称 ：</w:t>
      </w:r>
      <w:r>
        <w:rPr>
          <w:rFonts w:hint="eastAsia" w:ascii="宋体" w:hAnsi="宋体"/>
          <w:b/>
          <w:color w:val="auto"/>
          <w:sz w:val="36"/>
          <w:highlight w:val="none"/>
          <w:u w:val="single"/>
        </w:rPr>
        <w:t xml:space="preserve">（加盖CA电子公章）</w:t>
      </w:r>
      <w:r/>
    </w:p>
    <w:p>
      <w:pPr>
        <w:ind w:firstLine="1446"/>
        <w:rPr>
          <w:rFonts w:ascii="宋体" w:hAnsi="宋体"/>
          <w:b/>
          <w:bCs/>
          <w:color w:val="auto"/>
          <w:sz w:val="32"/>
          <w:szCs w:val="32"/>
          <w:highlight w:val="non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rPr>
          <w:rFonts w:ascii="宋体" w:hAnsi="宋体"/>
          <w:bCs/>
          <w:color w:val="auto"/>
          <w:sz w:val="32"/>
          <w:szCs w:val="32"/>
          <w:highlight w:val="none"/>
        </w:rPr>
      </w:pPr>
      <w:r>
        <w:rPr>
          <w:rFonts w:ascii="宋体" w:hAnsi="宋体"/>
          <w:b/>
          <w:color w:val="auto"/>
          <w:sz w:val="36"/>
          <w:highlight w:val="none"/>
          <w:u w:val="single"/>
        </w:rPr>
        <w:br w:type="page" w:clear="all"/>
      </w:r>
      <w:r>
        <w:rPr>
          <w:rFonts w:hint="eastAsia" w:ascii="宋体" w:hAnsi="宋体"/>
          <w:color w:val="auto"/>
          <w:sz w:val="36"/>
          <w:highlight w:val="none"/>
        </w:rPr>
        <w:t xml:space="preserve">                           </w:t>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申请文件目录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一、供应商信用承诺函</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二、特定资格要求的证明文件</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三、法人授权书</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四、响应函</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五、承诺函</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六、响应报价明细表</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七、供应商基本情况一览表</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八、服务团队情况表</w:t>
      </w:r>
      <w:r/>
    </w:p>
    <w:p>
      <w:pPr>
        <w:ind w:firstLine="560"/>
        <w:spacing w:line="360" w:lineRule="auto"/>
        <w:rPr>
          <w:rFonts w:ascii="宋体" w:hAnsi="宋体"/>
          <w:i/>
          <w:color w:val="auto"/>
          <w:sz w:val="28"/>
          <w:szCs w:val="22"/>
          <w:highlight w:val="none"/>
          <w:u w:val="single"/>
        </w:rPr>
      </w:pPr>
      <w:r>
        <w:rPr>
          <w:rFonts w:hint="eastAsia" w:ascii="宋体" w:hAnsi="宋体"/>
          <w:i/>
          <w:color w:val="auto"/>
          <w:sz w:val="28"/>
          <w:szCs w:val="22"/>
          <w:highlight w:val="none"/>
          <w:u w:val="single"/>
        </w:rPr>
        <w:t xml:space="preserve">九、服务方案</w:t>
      </w:r>
      <w:r/>
    </w:p>
    <w:p>
      <w:pPr>
        <w:spacing w:line="360" w:lineRule="auto"/>
        <w:rPr>
          <w:rFonts w:ascii="黑体" w:hAnsi="黑体" w:eastAsia="黑体"/>
          <w:i/>
          <w:color w:val="auto"/>
          <w:sz w:val="32"/>
          <w:szCs w:val="32"/>
          <w:highlight w:val="none"/>
          <w:u w:val="single"/>
        </w:rPr>
      </w:pPr>
      <w:r>
        <w:rPr>
          <w:rFonts w:ascii="宋体" w:hAnsi="宋体"/>
          <w:i/>
          <w:color w:val="auto"/>
          <w:sz w:val="28"/>
          <w:szCs w:val="22"/>
          <w:highlight w:val="none"/>
          <w:u w:val="single"/>
        </w:rPr>
        <w:br w:type="page" w:clear="all"/>
      </w:r>
      <w:r>
        <w:rPr>
          <w:rFonts w:hint="eastAsia" w:ascii="黑体" w:hAnsi="黑体" w:eastAsia="黑体"/>
          <w:b/>
          <w:bCs/>
          <w:i/>
          <w:color w:val="auto"/>
          <w:sz w:val="32"/>
          <w:szCs w:val="32"/>
          <w:highlight w:val="none"/>
          <w:u w:val="single"/>
        </w:rPr>
        <w:t xml:space="preserve">一、供应商信用承诺函</w:t>
      </w:r>
      <w:r/>
    </w:p>
    <w:p>
      <w:pPr>
        <w:jc w:val="center"/>
        <w:spacing w:line="360" w:lineRule="auto"/>
        <w:rPr>
          <w:rFonts w:ascii="宋体" w:hAnsi="宋体"/>
          <w:b/>
          <w:color w:val="auto"/>
          <w:sz w:val="32"/>
          <w:szCs w:val="32"/>
          <w:highlight w:val="none"/>
          <w:lang w:val="zh-CN"/>
        </w:rPr>
        <w:outlineLvl w:val="0"/>
      </w:pPr>
      <w:r>
        <w:rPr>
          <w:rFonts w:hint="eastAsia" w:ascii="宋体" w:hAnsi="宋体"/>
          <w:b/>
          <w:color w:val="auto"/>
          <w:sz w:val="32"/>
          <w:szCs w:val="32"/>
          <w:highlight w:val="none"/>
          <w:lang w:val="zh-CN"/>
        </w:rPr>
        <w:t xml:space="preserve">供应商信用承诺函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沛县</w:t>
      </w:r>
      <w:r>
        <w:rPr>
          <w:rFonts w:hint="eastAsia" w:ascii="宋体" w:hAnsi="宋体"/>
          <w:color w:val="auto"/>
          <w:sz w:val="24"/>
          <w:szCs w:val="24"/>
          <w:highlight w:val="none"/>
        </w:rPr>
        <w:t xml:space="preserve">财政局：</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我公司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（供应商名称）郑重承诺：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我公司符合下列要求：</w:t>
      </w:r>
      <w:r/>
    </w:p>
    <w:p>
      <w:pPr>
        <w:numPr>
          <w:ilvl w:val="0"/>
          <w:numId w:val="7"/>
        </w:num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具有独立承担民事责任的能力</w:t>
      </w:r>
      <w:r>
        <w:rPr>
          <w:rFonts w:hint="eastAsia" w:ascii="宋体" w:hAnsi="宋体"/>
          <w:color w:val="auto"/>
          <w:sz w:val="24"/>
          <w:szCs w:val="24"/>
          <w:highlight w:val="none"/>
          <w:lang w:eastAsia="zh-CN"/>
        </w:rPr>
        <w:t xml:space="preserve">，</w:t>
      </w:r>
      <w:r/>
    </w:p>
    <w:p>
      <w:pPr>
        <w:numPr>
          <w:ilvl w:val="0"/>
          <w:numId w:val="7"/>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具有良好的商业信誉和健全的财务会计制度；</w:t>
      </w:r>
      <w:r/>
    </w:p>
    <w:p>
      <w:pPr>
        <w:numPr>
          <w:ilvl w:val="0"/>
          <w:numId w:val="7"/>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具有履行合同所必需的设备和专业技术能力证明材料；</w:t>
      </w:r>
      <w:r/>
    </w:p>
    <w:p>
      <w:pPr>
        <w:numPr>
          <w:ilvl w:val="0"/>
          <w:numId w:val="7"/>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有依法缴纳税收和社会保障资金的良好记录；</w:t>
      </w:r>
      <w:r/>
    </w:p>
    <w:p>
      <w:pPr>
        <w:numPr>
          <w:ilvl w:val="0"/>
          <w:numId w:val="7"/>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参加政府采购活动前三年内，在经营活动中没有重大违法记录；</w:t>
      </w:r>
      <w:r/>
    </w:p>
    <w:p>
      <w:pPr>
        <w:numPr>
          <w:ilvl w:val="0"/>
          <w:numId w:val="7"/>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014"/>
        <w:jc w:val="both"/>
        <w:rPr>
          <w:color w:val="auto"/>
          <w:sz w:val="24"/>
          <w:szCs w:val="24"/>
          <w:highlight w:val="none"/>
        </w:rPr>
      </w:pPr>
      <w:r>
        <w:rPr>
          <w:rFonts w:hint="eastAsia"/>
          <w:color w:val="auto"/>
          <w:sz w:val="24"/>
          <w:szCs w:val="24"/>
          <w:highlight w:val="none"/>
        </w:rPr>
        <w:t xml:space="preserve">    </w:t>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供应商名称：（加盖CA电子公章）</w:t>
      </w:r>
      <w:r/>
    </w:p>
    <w:p>
      <w:pPr>
        <w:ind w:firstLine="6240"/>
        <w:spacing w:line="560" w:lineRule="exact"/>
        <w:rPr>
          <w:color w:val="auto"/>
          <w:sz w:val="24"/>
          <w:szCs w:val="24"/>
          <w:highlight w:val="none"/>
        </w:rPr>
      </w:pPr>
      <w:r>
        <w:rPr>
          <w:rFonts w:hint="eastAsia"/>
          <w:color w:val="auto"/>
          <w:sz w:val="24"/>
          <w:szCs w:val="24"/>
          <w:highlight w:val="none"/>
        </w:rPr>
        <w:t xml:space="preserve">日  期：</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年___月___日</w:t>
      </w:r>
      <w:r/>
    </w:p>
    <w:p>
      <w:pPr>
        <w:spacing w:line="360" w:lineRule="auto"/>
        <w:rPr>
          <w:rFonts w:ascii="黑体" w:hAnsi="黑体" w:eastAsia="黑体"/>
          <w:b/>
          <w:bCs/>
          <w:i/>
          <w:color w:val="auto"/>
          <w:sz w:val="32"/>
          <w:szCs w:val="32"/>
          <w:highlight w:val="none"/>
          <w:u w:val="single"/>
        </w:rPr>
      </w:pPr>
      <w:r>
        <w:rPr>
          <w:rFonts w:ascii="黑体" w:hAnsi="黑体" w:eastAsia="黑体"/>
          <w:i/>
          <w:color w:val="auto"/>
          <w:sz w:val="32"/>
          <w:szCs w:val="32"/>
          <w:highlight w:val="none"/>
          <w:u w:val="single"/>
        </w:rPr>
        <w:br w:type="page" w:clear="all"/>
      </w:r>
      <w:r>
        <w:rPr>
          <w:rFonts w:hint="eastAsia" w:ascii="黑体" w:hAnsi="黑体" w:eastAsia="黑体"/>
          <w:b/>
          <w:bCs/>
          <w:i/>
          <w:color w:val="auto"/>
          <w:sz w:val="32"/>
          <w:szCs w:val="32"/>
          <w:highlight w:val="none"/>
          <w:u w:val="single"/>
        </w:rPr>
        <w:t xml:space="preserve">二、特定资格要求的证明文件</w:t>
      </w:r>
      <w:bookmarkEnd w:id="158"/>
      <w:r/>
      <w:bookmarkEnd w:id="159"/>
      <w:r/>
      <w:bookmarkEnd w:id="160"/>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color w:val="auto"/>
          <w:sz w:val="24"/>
          <w:szCs w:val="24"/>
          <w:highlight w:val="none"/>
        </w:rPr>
        <w:t xml:space="preserve">会议定点场所在</w:t>
      </w:r>
      <w:r>
        <w:rPr>
          <w:rFonts w:hint="eastAsia" w:ascii="宋体" w:hAnsi="宋体"/>
          <w:color w:val="auto"/>
          <w:sz w:val="24"/>
          <w:szCs w:val="24"/>
          <w:highlight w:val="none"/>
          <w:lang w:eastAsia="zh-CN"/>
        </w:rPr>
        <w:t xml:space="preserve">沛县</w:t>
      </w:r>
      <w:r>
        <w:rPr>
          <w:rFonts w:hint="eastAsia" w:ascii="宋体" w:hAnsi="宋体"/>
          <w:color w:val="auto"/>
          <w:sz w:val="24"/>
          <w:szCs w:val="24"/>
          <w:highlight w:val="none"/>
        </w:rPr>
        <w:t xml:space="preserve">行政区域内注册/登记的证明（提供有效证明文件），</w:t>
      </w:r>
      <w:r>
        <w:rPr>
          <w:rFonts w:hint="eastAsia" w:ascii="宋体" w:hAnsi="宋体"/>
          <w:b/>
          <w:bCs/>
          <w:color w:val="auto"/>
          <w:sz w:val="24"/>
          <w:szCs w:val="24"/>
          <w:highlight w:val="none"/>
        </w:rPr>
        <w:t xml:space="preserve">所有</w:t>
      </w:r>
      <w:r>
        <w:rPr>
          <w:rFonts w:hint="eastAsia" w:ascii="宋体" w:hAnsi="宋体"/>
          <w:b/>
          <w:bCs/>
          <w:color w:val="auto"/>
          <w:sz w:val="24"/>
          <w:szCs w:val="24"/>
          <w:highlight w:val="none"/>
          <w:lang w:eastAsia="zh-CN"/>
        </w:rPr>
        <w:t xml:space="preserve">采购包</w:t>
      </w:r>
      <w:r>
        <w:rPr>
          <w:rFonts w:hint="eastAsia" w:ascii="宋体" w:hAnsi="宋体"/>
          <w:b/>
          <w:bCs/>
          <w:color w:val="auto"/>
          <w:sz w:val="24"/>
          <w:szCs w:val="24"/>
          <w:highlight w:val="none"/>
        </w:rPr>
        <w:t xml:space="preserve">供应商均须提供。</w:t>
      </w:r>
      <w:r>
        <w:rPr>
          <w:rFonts w:hint="eastAsia" w:ascii="宋体" w:hAnsi="宋体"/>
          <w:bCs/>
          <w:color w:val="auto"/>
          <w:sz w:val="24"/>
          <w:highlight w:val="none"/>
        </w:rPr>
        <w:t xml:space="preserve">供应商</w:t>
      </w:r>
      <w:r>
        <w:rPr>
          <w:rFonts w:hint="eastAsia" w:ascii="宋体" w:hAnsi="宋体"/>
          <w:color w:val="auto"/>
          <w:sz w:val="24"/>
          <w:szCs w:val="24"/>
          <w:highlight w:val="none"/>
        </w:rPr>
        <w:t xml:space="preserve">为分支机构的，还须提供上级法人单位的授权文件。</w:t>
      </w:r>
      <w:r/>
    </w:p>
    <w:p>
      <w:pPr>
        <w:jc w:val="center"/>
        <w:spacing w:line="360" w:lineRule="auto"/>
        <w:rPr>
          <w:rFonts w:ascii="宋体" w:hAnsi="宋体"/>
          <w:b/>
          <w:color w:val="auto"/>
          <w:sz w:val="32"/>
          <w:szCs w:val="32"/>
          <w:highlight w:val="none"/>
        </w:rPr>
      </w:pPr>
      <w:r/>
      <w:bookmarkStart w:id="161" w:name="_Toc87696341"/>
      <w:r>
        <w:rPr>
          <w:rFonts w:hint="eastAsia" w:ascii="宋体" w:hAnsi="宋体"/>
          <w:b/>
          <w:color w:val="auto"/>
          <w:sz w:val="32"/>
          <w:szCs w:val="32"/>
          <w:highlight w:val="none"/>
        </w:rPr>
        <w:t xml:space="preserve">上级法人单位针对本项目授权文件</w:t>
      </w:r>
      <w:bookmarkEnd w:id="161"/>
      <w:r/>
      <w:r/>
    </w:p>
    <w:p>
      <w:pPr>
        <w:jc w:val="center"/>
        <w:spacing w:line="360" w:lineRule="auto"/>
        <w:rPr>
          <w:rFonts w:ascii="宋体" w:hAnsi="宋体"/>
          <w:b/>
          <w:color w:val="auto"/>
          <w:sz w:val="32"/>
          <w:szCs w:val="32"/>
          <w:highlight w:val="none"/>
        </w:rPr>
      </w:pPr>
      <w:r/>
      <w:bookmarkStart w:id="162" w:name="_Toc87696342"/>
      <w:r>
        <w:rPr>
          <w:rFonts w:hint="eastAsia" w:ascii="宋体" w:hAnsi="宋体"/>
          <w:b/>
          <w:color w:val="auto"/>
          <w:sz w:val="32"/>
          <w:szCs w:val="32"/>
          <w:highlight w:val="none"/>
        </w:rPr>
        <w:t xml:space="preserve">（分支机构须提供）</w:t>
      </w:r>
      <w:bookmarkEnd w:id="162"/>
      <w:r/>
      <w:r/>
    </w:p>
    <w:p>
      <w:pPr>
        <w:ind w:firstLine="480"/>
        <w:spacing w:line="360" w:lineRule="auto"/>
        <w:rPr>
          <w:color w:val="auto"/>
          <w:sz w:val="24"/>
          <w:szCs w:val="24"/>
          <w:highlight w:val="none"/>
        </w:rPr>
      </w:pPr>
      <w:r>
        <w:rPr>
          <w:rFonts w:hint="eastAsia"/>
          <w:color w:val="auto"/>
          <w:sz w:val="24"/>
          <w:szCs w:val="24"/>
          <w:highlight w:val="none"/>
        </w:rPr>
        <w:t xml:space="preserve">我单位是</w:t>
      </w:r>
      <w:r>
        <w:rPr>
          <w:rFonts w:hint="eastAsia"/>
          <w:color w:val="auto"/>
          <w:sz w:val="24"/>
          <w:szCs w:val="24"/>
          <w:highlight w:val="none"/>
          <w:u w:val="single"/>
        </w:rPr>
        <w:t xml:space="preserve">             </w:t>
      </w:r>
      <w:r>
        <w:rPr>
          <w:rFonts w:hint="eastAsia"/>
          <w:color w:val="auto"/>
          <w:sz w:val="24"/>
          <w:szCs w:val="24"/>
          <w:highlight w:val="none"/>
        </w:rPr>
        <w:t xml:space="preserve">（会议承办单位）的上级法人单位，我单位同意由该单位在</w:t>
      </w:r>
      <w:r>
        <w:rPr>
          <w:rFonts w:hint="eastAsia"/>
          <w:color w:val="auto"/>
          <w:sz w:val="24"/>
          <w:szCs w:val="24"/>
          <w:highlight w:val="none"/>
          <w:lang w:eastAsia="zh-CN"/>
        </w:rPr>
        <w:t xml:space="preserve">JSZC-320322-PXZX-K2025-0021</w:t>
      </w:r>
      <w:r>
        <w:rPr>
          <w:rFonts w:hint="eastAsia"/>
          <w:color w:val="auto"/>
          <w:sz w:val="24"/>
          <w:szCs w:val="24"/>
          <w:highlight w:val="none"/>
        </w:rPr>
        <w:t xml:space="preserve">（项目编号）</w:t>
      </w:r>
      <w:r>
        <w:rPr>
          <w:rFonts w:hint="eastAsia"/>
          <w:color w:val="auto"/>
          <w:sz w:val="24"/>
          <w:szCs w:val="24"/>
          <w:highlight w:val="none"/>
          <w:lang w:eastAsia="zh-CN"/>
        </w:rPr>
        <w:t xml:space="preserve">2025-2027年度沛县会议服务开放式框架协议采购项目</w:t>
      </w:r>
      <w:r>
        <w:rPr>
          <w:rFonts w:hint="eastAsia"/>
          <w:color w:val="auto"/>
          <w:sz w:val="24"/>
          <w:szCs w:val="24"/>
          <w:highlight w:val="none"/>
        </w:rPr>
        <w:t xml:space="preserve">框架协议采购（项目名称）中提供具体会议服务。在本次框架协议入围申请和签订、履行政府采购合同中出现的所有法律责任，均由我单位和该服务单位共同承担。</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0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授权人（公章）：</w:t>
      </w:r>
      <w:r/>
    </w:p>
    <w:p>
      <w:pPr>
        <w:ind w:firstLine="50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w:t>
      </w:r>
      <w:r/>
    </w:p>
    <w:p>
      <w:pPr>
        <w:ind w:firstLine="50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被授权人（公章）：</w:t>
      </w:r>
      <w:r/>
    </w:p>
    <w:p>
      <w:pPr>
        <w:ind w:firstLine="50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负 责 人：</w:t>
      </w:r>
      <w:r/>
    </w:p>
    <w:p>
      <w:pPr>
        <w:ind w:firstLine="50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   期：202</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   月   日</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
          <w:bCs/>
          <w:color w:val="auto"/>
          <w:sz w:val="24"/>
          <w:szCs w:val="24"/>
          <w:highlight w:val="none"/>
        </w:rPr>
      </w:pPr>
      <w:r>
        <w:rPr>
          <w:rFonts w:hint="eastAsia" w:ascii="宋体" w:hAnsi="宋体"/>
          <w:bCs/>
          <w:color w:val="auto"/>
          <w:sz w:val="24"/>
          <w:highlight w:val="none"/>
        </w:rPr>
        <w:t xml:space="preserve">2.</w:t>
      </w:r>
      <w:r>
        <w:rPr>
          <w:rFonts w:hint="eastAsia" w:ascii="宋体" w:hAnsi="宋体"/>
          <w:color w:val="auto"/>
          <w:sz w:val="24"/>
          <w:szCs w:val="24"/>
          <w:highlight w:val="none"/>
        </w:rPr>
        <w:t xml:space="preserve">会议定点场所具有卫生许可证或相关卫生许可证明（提供有效证明文件），</w:t>
      </w:r>
      <w:r>
        <w:rPr>
          <w:rFonts w:hint="eastAsia" w:ascii="宋体" w:hAnsi="宋体"/>
          <w:b/>
          <w:bCs/>
          <w:color w:val="auto"/>
          <w:sz w:val="24"/>
          <w:szCs w:val="24"/>
          <w:highlight w:val="none"/>
          <w:lang w:eastAsia="zh-CN"/>
        </w:rPr>
        <w:t xml:space="preserve">采购包一</w:t>
      </w:r>
      <w:r>
        <w:rPr>
          <w:rFonts w:hint="eastAsia" w:ascii="宋体" w:hAnsi="宋体"/>
          <w:b/>
          <w:bCs/>
          <w:color w:val="auto"/>
          <w:sz w:val="24"/>
          <w:szCs w:val="24"/>
          <w:highlight w:val="none"/>
        </w:rPr>
        <w:t xml:space="preserve">供应商须提供。</w:t>
      </w:r>
      <w:r/>
    </w:p>
    <w:p>
      <w:pPr>
        <w:spacing w:line="460" w:lineRule="exact"/>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
          <w:bCs/>
          <w:color w:val="auto"/>
          <w:sz w:val="24"/>
          <w:szCs w:val="24"/>
          <w:highlight w:val="none"/>
        </w:rPr>
      </w:pPr>
      <w:r>
        <w:rPr>
          <w:rFonts w:hint="eastAsia" w:ascii="宋体" w:hAnsi="宋体"/>
          <w:color w:val="auto"/>
          <w:sz w:val="24"/>
          <w:szCs w:val="24"/>
          <w:highlight w:val="none"/>
        </w:rPr>
        <w:t xml:space="preserve">3.会议定点场所具有消防安全许可证或相关消防安全证明（提供有效证明文件），</w:t>
      </w:r>
      <w:r>
        <w:rPr>
          <w:rFonts w:hint="eastAsia" w:ascii="宋体" w:hAnsi="宋体"/>
          <w:b/>
          <w:bCs/>
          <w:color w:val="auto"/>
          <w:sz w:val="24"/>
          <w:szCs w:val="24"/>
          <w:highlight w:val="none"/>
        </w:rPr>
        <w:t xml:space="preserve">所有</w:t>
      </w:r>
      <w:r>
        <w:rPr>
          <w:rFonts w:hint="eastAsia" w:ascii="宋体" w:hAnsi="宋体"/>
          <w:b/>
          <w:bCs/>
          <w:color w:val="auto"/>
          <w:sz w:val="24"/>
          <w:szCs w:val="24"/>
          <w:highlight w:val="none"/>
          <w:lang w:eastAsia="zh-CN"/>
        </w:rPr>
        <w:t xml:space="preserve">采购包</w:t>
      </w:r>
      <w:r>
        <w:rPr>
          <w:rFonts w:hint="eastAsia" w:ascii="宋体" w:hAnsi="宋体"/>
          <w:b/>
          <w:bCs/>
          <w:color w:val="auto"/>
          <w:sz w:val="24"/>
          <w:szCs w:val="24"/>
          <w:highlight w:val="none"/>
        </w:rPr>
        <w:t xml:space="preserve">供应商均须提供。</w:t>
      </w:r>
      <w:r/>
    </w:p>
    <w:p>
      <w:pPr>
        <w:spacing w:line="460" w:lineRule="exact"/>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
          <w:bCs/>
          <w:color w:val="auto"/>
          <w:sz w:val="24"/>
          <w:szCs w:val="24"/>
          <w:highlight w:val="none"/>
        </w:rPr>
      </w:pPr>
      <w:r>
        <w:rPr>
          <w:rFonts w:hint="eastAsia" w:ascii="宋体" w:hAnsi="宋体"/>
          <w:bCs/>
          <w:color w:val="auto"/>
          <w:sz w:val="24"/>
          <w:highlight w:val="none"/>
        </w:rPr>
        <w:t xml:space="preserve">4.</w:t>
      </w:r>
      <w:r>
        <w:rPr>
          <w:rFonts w:hint="eastAsia" w:ascii="宋体" w:hAnsi="宋体"/>
          <w:color w:val="auto"/>
          <w:sz w:val="24"/>
          <w:szCs w:val="24"/>
          <w:highlight w:val="none"/>
        </w:rPr>
        <w:t xml:space="preserve">会议定点场所具有市场监督管理局颁发的且在有效期内的《食品经营许可证》（提供有效证明文件），</w:t>
      </w:r>
      <w:r>
        <w:rPr>
          <w:rFonts w:hint="eastAsia" w:ascii="宋体" w:hAnsi="宋体"/>
          <w:b/>
          <w:bCs/>
          <w:color w:val="auto"/>
          <w:sz w:val="24"/>
          <w:szCs w:val="24"/>
          <w:highlight w:val="none"/>
          <w:lang w:eastAsia="zh-CN"/>
        </w:rPr>
        <w:t xml:space="preserve">采购包一</w:t>
      </w:r>
      <w:r>
        <w:rPr>
          <w:rFonts w:hint="eastAsia" w:ascii="宋体" w:hAnsi="宋体"/>
          <w:b/>
          <w:bCs/>
          <w:color w:val="auto"/>
          <w:sz w:val="24"/>
          <w:szCs w:val="24"/>
          <w:highlight w:val="none"/>
        </w:rPr>
        <w:t xml:space="preserve">供应商须提供。</w:t>
      </w:r>
      <w:r/>
    </w:p>
    <w:p>
      <w:pPr>
        <w:spacing w:line="360" w:lineRule="auto"/>
        <w:rPr>
          <w:rFonts w:ascii="黑体" w:hAnsi="黑体" w:eastAsia="黑体"/>
          <w:b/>
          <w:bCs/>
          <w:i/>
          <w:color w:val="auto"/>
          <w:sz w:val="32"/>
          <w:szCs w:val="32"/>
          <w:highlight w:val="none"/>
          <w:u w:val="single"/>
        </w:rPr>
      </w:pPr>
      <w:r>
        <w:rPr>
          <w:rFonts w:ascii="宋体" w:hAnsi="宋体"/>
          <w:b/>
          <w:bCs/>
          <w:color w:val="auto"/>
          <w:sz w:val="24"/>
          <w:szCs w:val="24"/>
          <w:highlight w:val="none"/>
        </w:rPr>
        <w:br w:type="page" w:clear="all"/>
      </w:r>
      <w:r>
        <w:rPr>
          <w:rFonts w:hint="eastAsia" w:ascii="黑体" w:hAnsi="黑体" w:eastAsia="黑体"/>
          <w:b/>
          <w:bCs/>
          <w:i/>
          <w:color w:val="auto"/>
          <w:sz w:val="32"/>
          <w:szCs w:val="32"/>
          <w:highlight w:val="none"/>
          <w:u w:val="single"/>
        </w:rPr>
        <w:t xml:space="preserve">三、法人授权书</w:t>
      </w:r>
      <w:r/>
    </w:p>
    <w:p>
      <w:pPr>
        <w:pStyle w:val="1001"/>
        <w:ind w:firstLine="480"/>
        <w:spacing w:line="360" w:lineRule="auto"/>
        <w:rPr>
          <w:color w:val="auto"/>
          <w:sz w:val="24"/>
          <w:szCs w:val="24"/>
          <w:highlight w:val="none"/>
        </w:rPr>
      </w:pPr>
      <w:r>
        <w:rPr>
          <w:rFonts w:hint="eastAsia"/>
          <w:color w:val="auto"/>
          <w:sz w:val="24"/>
          <w:szCs w:val="24"/>
          <w:highlight w:val="none"/>
        </w:rPr>
        <w:t xml:space="preserve">本授权书声明：____________（供应商名称）授权________________（被授权人的姓名）为我方就</w:t>
      </w:r>
      <w:r>
        <w:rPr>
          <w:rFonts w:hint="eastAsia"/>
          <w:color w:val="auto"/>
          <w:sz w:val="24"/>
          <w:szCs w:val="24"/>
          <w:highlight w:val="none"/>
          <w:u w:val="single"/>
        </w:rPr>
        <w:t xml:space="preserve"> </w:t>
      </w:r>
      <w:r>
        <w:rPr>
          <w:rFonts w:hint="eastAsia"/>
          <w:color w:val="auto"/>
          <w:sz w:val="24"/>
          <w:szCs w:val="24"/>
          <w:highlight w:val="none"/>
          <w:u w:val="single"/>
          <w:lang w:eastAsia="zh-CN"/>
        </w:rPr>
        <w:t xml:space="preserve">JSZC-320322-PXZX-K2025-0021</w:t>
      </w:r>
      <w:r>
        <w:rPr>
          <w:rFonts w:hint="eastAsia"/>
          <w:color w:val="auto"/>
          <w:sz w:val="24"/>
          <w:szCs w:val="24"/>
          <w:highlight w:val="none"/>
          <w:u w:val="single"/>
        </w:rPr>
        <w:t xml:space="preserve"> </w:t>
      </w:r>
      <w:r>
        <w:rPr>
          <w:rFonts w:hint="eastAsia"/>
          <w:color w:val="auto"/>
          <w:sz w:val="24"/>
          <w:szCs w:val="24"/>
          <w:highlight w:val="none"/>
        </w:rPr>
        <w:t xml:space="preserve">号项目框架</w:t>
      </w:r>
      <w:r>
        <w:rPr>
          <w:color w:val="auto"/>
          <w:sz w:val="24"/>
          <w:szCs w:val="24"/>
          <w:highlight w:val="none"/>
        </w:rPr>
        <w:t xml:space="preserve">协议</w:t>
      </w:r>
      <w:r>
        <w:rPr>
          <w:rFonts w:hint="eastAsia"/>
          <w:color w:val="auto"/>
          <w:sz w:val="24"/>
          <w:szCs w:val="24"/>
          <w:highlight w:val="none"/>
        </w:rPr>
        <w:t xml:space="preserve">采购活动的合法代理人，以本单位名义全权处理一切与该项目采购有关的事务。</w:t>
      </w:r>
      <w:r/>
    </w:p>
    <w:p>
      <w:pPr>
        <w:pStyle w:val="1001"/>
        <w:ind w:firstLine="480"/>
        <w:spacing w:line="360" w:lineRule="auto"/>
        <w:rPr>
          <w:color w:val="auto"/>
          <w:sz w:val="24"/>
          <w:szCs w:val="24"/>
          <w:highlight w:val="none"/>
        </w:rPr>
      </w:pPr>
      <w:r>
        <w:rPr>
          <w:rFonts w:hint="eastAsia"/>
          <w:color w:val="auto"/>
          <w:sz w:val="24"/>
          <w:szCs w:val="24"/>
          <w:highlight w:val="none"/>
        </w:rPr>
        <w:t xml:space="preserve">本授权书于______年____月____日起生效，特此声明。</w:t>
      </w:r>
      <w:r/>
    </w:p>
    <w:p>
      <w:pPr>
        <w:pStyle w:val="1001"/>
        <w:ind w:firstLine="480"/>
        <w:spacing w:line="360" w:lineRule="auto"/>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pStyle w:val="1001"/>
        <w:ind w:firstLine="480"/>
        <w:spacing w:line="360" w:lineRule="auto"/>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pStyle w:val="1001"/>
        <w:ind w:firstLine="1680"/>
        <w:spacing w:line="360" w:lineRule="auto"/>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   （加盖CA电子公章）  </w:t>
      </w:r>
      <w:r/>
    </w:p>
    <w:p>
      <w:pPr>
        <w:pStyle w:val="1001"/>
        <w:ind w:firstLine="480"/>
        <w:spacing w:line="360" w:lineRule="auto"/>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pStyle w:val="1001"/>
        <w:ind w:firstLine="480"/>
        <w:spacing w:line="360" w:lineRule="auto"/>
        <w:rPr>
          <w:color w:val="auto"/>
          <w:sz w:val="24"/>
          <w:szCs w:val="24"/>
          <w:highlight w:val="none"/>
        </w:rPr>
      </w:pPr>
      <w:r>
        <w:rPr>
          <w:rFonts w:hint="eastAsia"/>
          <w:color w:val="auto"/>
          <w:sz w:val="24"/>
          <w:szCs w:val="24"/>
          <w:highlight w:val="none"/>
        </w:rPr>
        <w:t xml:space="preserve">          日期：</w:t>
      </w:r>
      <w:bookmarkStart w:id="163" w:name="_Hlt26955070"/>
      <w:r/>
      <w:bookmarkEnd w:id="163"/>
      <w:r/>
      <w:bookmarkStart w:id="164" w:name="_Hlt26671380"/>
      <w:r/>
      <w:bookmarkEnd w:id="164"/>
      <w:r/>
      <w:bookmarkStart w:id="165" w:name="_格式3__银行出具的资信证明"/>
      <w:r/>
      <w:bookmarkEnd w:id="165"/>
      <w:r>
        <w:rPr>
          <w:rFonts w:hint="eastAsia"/>
          <w:color w:val="auto"/>
          <w:sz w:val="24"/>
          <w:szCs w:val="24"/>
          <w:highlight w:val="none"/>
          <w:u w:val="single"/>
        </w:rPr>
        <w:t xml:space="preserve">                                              </w:t>
      </w:r>
      <w:r/>
    </w:p>
    <w:p>
      <w:pPr>
        <w:spacing w:line="360" w:lineRule="auto"/>
        <w:rPr>
          <w:rFonts w:ascii="黑体" w:hAnsi="黑体" w:eastAsia="黑体"/>
          <w:b/>
          <w:bCs/>
          <w:i/>
          <w:color w:val="auto"/>
          <w:sz w:val="32"/>
          <w:szCs w:val="32"/>
          <w:highlight w:val="none"/>
          <w:u w:val="single"/>
        </w:rPr>
      </w:pPr>
      <w:r>
        <w:rPr>
          <w:rFonts w:ascii="宋体" w:hAnsi="宋体"/>
          <w:color w:val="auto"/>
          <w:sz w:val="24"/>
          <w:highlight w:val="none"/>
        </w:rPr>
        <w:br w:type="page" w:clear="all"/>
      </w:r>
      <w:r>
        <w:rPr>
          <w:rFonts w:hint="eastAsia" w:ascii="黑体" w:hAnsi="黑体" w:eastAsia="黑体"/>
          <w:b/>
          <w:bCs/>
          <w:i/>
          <w:color w:val="auto"/>
          <w:sz w:val="32"/>
          <w:szCs w:val="32"/>
          <w:highlight w:val="none"/>
          <w:u w:val="single"/>
        </w:rPr>
        <w:t xml:space="preserve">四、响应函</w:t>
      </w:r>
      <w:r/>
    </w:p>
    <w:p>
      <w:pPr>
        <w:pStyle w:val="1009"/>
        <w:jc w:val="both"/>
        <w:spacing w:before="0" w:after="0"/>
        <w:rPr>
          <w:rFonts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沛县</w:t>
      </w:r>
      <w:r>
        <w:rPr>
          <w:rFonts w:hint="eastAsia" w:ascii="宋体" w:hAnsi="宋体"/>
          <w:color w:val="auto"/>
          <w:szCs w:val="21"/>
          <w:highlight w:val="none"/>
        </w:rPr>
        <w:t xml:space="preserve">财政局</w:t>
      </w:r>
      <w:r/>
    </w:p>
    <w:p>
      <w:pPr>
        <w:pStyle w:val="1009"/>
        <w:jc w:val="both"/>
        <w:spacing w:before="0" w:after="0"/>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Cs w:val="21"/>
          <w:highlight w:val="none"/>
          <w:u w:val="single"/>
          <w:lang w:eastAsia="zh-CN"/>
        </w:rPr>
        <w:t xml:space="preserve">JSZC-320322-PXZX-K2025-0021</w:t>
      </w:r>
      <w:r>
        <w:rPr>
          <w:rFonts w:hint="eastAsia" w:ascii="宋体" w:hAnsi="宋体"/>
          <w:b/>
          <w:color w:val="auto"/>
          <w:sz w:val="36"/>
          <w:highlight w:val="none"/>
          <w:u w:val="single"/>
        </w:rPr>
        <w:t xml:space="preserve"> </w:t>
      </w:r>
      <w:r>
        <w:rPr>
          <w:rFonts w:hint="eastAsia" w:ascii="宋体" w:hAnsi="宋体"/>
          <w:color w:val="auto"/>
          <w:szCs w:val="21"/>
          <w:highlight w:val="none"/>
        </w:rPr>
        <w:t xml:space="preserve">号开放式框架协议</w:t>
      </w:r>
      <w:r>
        <w:rPr>
          <w:rFonts w:ascii="宋体" w:hAnsi="宋体"/>
          <w:color w:val="auto"/>
          <w:szCs w:val="21"/>
          <w:highlight w:val="none"/>
        </w:rPr>
        <w:t xml:space="preserve">采购征集</w:t>
      </w:r>
      <w:r>
        <w:rPr>
          <w:rFonts w:hint="eastAsia" w:ascii="宋体" w:hAnsi="宋体"/>
          <w:color w:val="auto"/>
          <w:szCs w:val="21"/>
          <w:highlight w:val="none"/>
        </w:rPr>
        <w:t xml:space="preserve">文件，正式授权下述签字人_____________(姓名)代表我方_____________（供应商的名称），全权处理本项目的有关事宜。</w:t>
      </w:r>
      <w:r/>
    </w:p>
    <w:p>
      <w:pPr>
        <w:pStyle w:val="1009"/>
        <w:jc w:val="both"/>
        <w:spacing w:before="0" w:after="0"/>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1009"/>
        <w:jc w:val="both"/>
        <w:spacing w:before="0" w:after="0"/>
        <w:rPr>
          <w:rFonts w:ascii="宋体" w:hAnsi="宋体"/>
          <w:color w:val="auto"/>
          <w:szCs w:val="21"/>
          <w:highlight w:val="none"/>
        </w:rPr>
      </w:pPr>
      <w:r>
        <w:rPr>
          <w:rFonts w:hint="eastAsia" w:ascii="宋体" w:hAnsi="宋体"/>
          <w:color w:val="auto"/>
          <w:szCs w:val="21"/>
          <w:highlight w:val="none"/>
        </w:rPr>
        <w:t xml:space="preserve">1.按</w:t>
      </w:r>
      <w:r>
        <w:rPr>
          <w:rFonts w:ascii="宋体" w:hAnsi="宋体"/>
          <w:color w:val="auto"/>
          <w:szCs w:val="21"/>
          <w:highlight w:val="none"/>
        </w:rPr>
        <w:t xml:space="preserve">征集</w:t>
      </w:r>
      <w:r>
        <w:rPr>
          <w:rFonts w:hint="eastAsia" w:ascii="宋体" w:hAnsi="宋体"/>
          <w:color w:val="auto"/>
          <w:szCs w:val="21"/>
          <w:highlight w:val="none"/>
        </w:rPr>
        <w:t xml:space="preserve">文件规定的各项要求，向采购人提供所需服务（包含与服务相关的货物）。</w:t>
      </w:r>
      <w:r/>
    </w:p>
    <w:p>
      <w:pPr>
        <w:pStyle w:val="1009"/>
        <w:jc w:val="both"/>
        <w:spacing w:before="0" w:after="0"/>
        <w:rPr>
          <w:rFonts w:ascii="宋体" w:hAnsi="宋体"/>
          <w:color w:val="auto"/>
          <w:szCs w:val="21"/>
          <w:highlight w:val="none"/>
        </w:rPr>
      </w:pPr>
      <w:r>
        <w:rPr>
          <w:rFonts w:hint="eastAsia" w:ascii="宋体" w:hAnsi="宋体"/>
          <w:color w:val="auto"/>
          <w:szCs w:val="21"/>
          <w:highlight w:val="none"/>
        </w:rPr>
        <w:t xml:space="preserve">2.我们完全理解采购人不一定将采购合同授予协议价格</w:t>
      </w:r>
      <w:r>
        <w:rPr>
          <w:rFonts w:ascii="宋体" w:hAnsi="宋体"/>
          <w:color w:val="auto"/>
          <w:szCs w:val="21"/>
          <w:highlight w:val="none"/>
        </w:rPr>
        <w:t xml:space="preserve">最低</w:t>
      </w:r>
      <w:r>
        <w:rPr>
          <w:rFonts w:hint="eastAsia" w:ascii="宋体" w:hAnsi="宋体"/>
          <w:color w:val="auto"/>
          <w:szCs w:val="21"/>
          <w:highlight w:val="none"/>
        </w:rPr>
        <w:t xml:space="preserve">的供应商。</w:t>
      </w:r>
      <w:r/>
    </w:p>
    <w:p>
      <w:pPr>
        <w:pStyle w:val="1009"/>
        <w:jc w:val="both"/>
        <w:spacing w:before="0" w:after="0"/>
        <w:rPr>
          <w:rFonts w:ascii="宋体" w:hAnsi="宋体"/>
          <w:color w:val="auto"/>
          <w:szCs w:val="21"/>
          <w:highlight w:val="none"/>
        </w:rPr>
      </w:pPr>
      <w:r>
        <w:rPr>
          <w:rFonts w:hint="eastAsia" w:ascii="宋体" w:hAnsi="宋体"/>
          <w:color w:val="auto"/>
          <w:szCs w:val="21"/>
          <w:highlight w:val="none"/>
        </w:rPr>
        <w:t xml:space="preserve">3.我们已详细审核全部</w:t>
      </w:r>
      <w:r>
        <w:rPr>
          <w:rFonts w:ascii="宋体" w:hAnsi="宋体"/>
          <w:color w:val="auto"/>
          <w:szCs w:val="21"/>
          <w:highlight w:val="none"/>
        </w:rPr>
        <w:t xml:space="preserve">征集</w:t>
      </w:r>
      <w:r>
        <w:rPr>
          <w:rFonts w:hint="eastAsia" w:ascii="宋体" w:hAnsi="宋体"/>
          <w:color w:val="auto"/>
          <w:szCs w:val="21"/>
          <w:highlight w:val="none"/>
        </w:rPr>
        <w:t xml:space="preserve">文件及其有效补充文件，我们知道必须放弃提出含糊不清或误解问题的权利。</w:t>
      </w:r>
      <w:r/>
    </w:p>
    <w:p>
      <w:pPr>
        <w:pStyle w:val="1009"/>
        <w:jc w:val="both"/>
        <w:spacing w:before="0" w:after="0"/>
        <w:rPr>
          <w:rFonts w:ascii="宋体" w:hAnsi="宋体"/>
          <w:color w:val="auto"/>
          <w:szCs w:val="21"/>
          <w:highlight w:val="none"/>
        </w:rPr>
      </w:pPr>
      <w:r>
        <w:rPr>
          <w:rFonts w:hint="eastAsia" w:ascii="宋体" w:hAnsi="宋体"/>
          <w:color w:val="auto"/>
          <w:szCs w:val="21"/>
          <w:highlight w:val="none"/>
        </w:rPr>
        <w:t xml:space="preserve">4.我们同意从规定的提交申请文件截止时间起遵循本申请文件，并在入围结果公告期届满前均具有约束力。</w:t>
      </w:r>
      <w:r/>
    </w:p>
    <w:p>
      <w:pPr>
        <w:pStyle w:val="1009"/>
        <w:jc w:val="both"/>
        <w:spacing w:before="0" w:after="0"/>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.同意向贵方提供贵方可能另外要求的与本次采购</w:t>
      </w:r>
      <w:r>
        <w:rPr>
          <w:rFonts w:ascii="宋体" w:hAnsi="宋体"/>
          <w:color w:val="auto"/>
          <w:szCs w:val="21"/>
          <w:highlight w:val="none"/>
        </w:rPr>
        <w:t xml:space="preserve">活动</w:t>
      </w:r>
      <w:r>
        <w:rPr>
          <w:rFonts w:hint="eastAsia" w:ascii="宋体" w:hAnsi="宋体"/>
          <w:color w:val="auto"/>
          <w:szCs w:val="21"/>
          <w:highlight w:val="none"/>
        </w:rPr>
        <w:t xml:space="preserve">有关的任何证据或资料，并保证我方已提供和将要提供的文件是真实的、准确的。</w:t>
      </w:r>
      <w:r/>
    </w:p>
    <w:p>
      <w:pPr>
        <w:pStyle w:val="1009"/>
        <w:jc w:val="both"/>
        <w:spacing w:before="0" w:after="0"/>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.一旦我方成为入围</w:t>
      </w:r>
      <w:r>
        <w:rPr>
          <w:rFonts w:ascii="宋体" w:hAnsi="宋体"/>
          <w:color w:val="auto"/>
          <w:szCs w:val="21"/>
          <w:highlight w:val="none"/>
        </w:rPr>
        <w:t xml:space="preserve">供应商</w:t>
      </w:r>
      <w:r>
        <w:rPr>
          <w:rFonts w:hint="eastAsia" w:ascii="宋体" w:hAnsi="宋体"/>
          <w:color w:val="auto"/>
          <w:szCs w:val="21"/>
          <w:highlight w:val="none"/>
        </w:rPr>
        <w:t xml:space="preserve">,我方将根据征集文件的规定，严格履行合同的责任和义务,并保证在采购合同规定的时间完成项目，交付采购人验收、使用。</w:t>
      </w:r>
      <w:r/>
    </w:p>
    <w:p>
      <w:pPr>
        <w:pStyle w:val="1009"/>
        <w:jc w:val="both"/>
        <w:spacing w:before="0" w:after="0"/>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.与本次</w:t>
      </w:r>
      <w:r>
        <w:rPr>
          <w:rFonts w:ascii="宋体" w:hAnsi="宋体"/>
          <w:color w:val="auto"/>
          <w:szCs w:val="21"/>
          <w:highlight w:val="none"/>
        </w:rPr>
        <w:t xml:space="preserve">采购活动</w:t>
      </w:r>
      <w:r>
        <w:rPr>
          <w:rFonts w:hint="eastAsia" w:ascii="宋体" w:hAnsi="宋体"/>
          <w:color w:val="auto"/>
          <w:szCs w:val="21"/>
          <w:highlight w:val="none"/>
        </w:rPr>
        <w:t xml:space="preserve">有关的正式通讯地址为：</w:t>
      </w:r>
      <w:r/>
    </w:p>
    <w:p>
      <w:pPr>
        <w:pStyle w:val="1009"/>
        <w:ind w:left="420" w:firstLine="7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1009"/>
        <w:ind w:left="420" w:firstLine="7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1009"/>
        <w:ind w:left="420" w:firstLine="7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        话：</w:t>
      </w:r>
      <w:r/>
    </w:p>
    <w:p>
      <w:pPr>
        <w:pStyle w:val="1009"/>
        <w:ind w:left="420" w:firstLine="7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        真：</w:t>
      </w:r>
      <w:r/>
    </w:p>
    <w:p>
      <w:pPr>
        <w:pStyle w:val="1009"/>
        <w:ind w:left="420" w:firstLine="7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供应商开户行：</w:t>
      </w:r>
      <w:r/>
    </w:p>
    <w:p>
      <w:pPr>
        <w:pStyle w:val="1009"/>
        <w:ind w:left="420" w:firstLine="7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        户：</w:t>
      </w:r>
      <w:r/>
    </w:p>
    <w:p>
      <w:pPr>
        <w:pStyle w:val="1009"/>
        <w:ind w:left="420" w:firstLine="7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spacing w:line="360" w:lineRule="auto"/>
        <w:rPr>
          <w:rFonts w:ascii="黑体" w:hAnsi="黑体" w:eastAsia="黑体"/>
          <w:b/>
          <w:bCs/>
          <w:i/>
          <w:color w:val="auto"/>
          <w:sz w:val="32"/>
          <w:szCs w:val="32"/>
          <w:highlight w:val="none"/>
          <w:u w:val="single"/>
        </w:rPr>
      </w:pPr>
      <w:r>
        <w:rPr>
          <w:rFonts w:ascii="宋体" w:hAnsi="宋体"/>
          <w:color w:val="auto"/>
          <w:highlight w:val="none"/>
        </w:rPr>
        <w:br w:type="page" w:clear="all"/>
      </w:r>
      <w:r>
        <w:rPr>
          <w:rFonts w:hint="eastAsia" w:ascii="黑体" w:hAnsi="黑体" w:eastAsia="黑体"/>
          <w:b/>
          <w:bCs/>
          <w:i/>
          <w:color w:val="auto"/>
          <w:sz w:val="32"/>
          <w:szCs w:val="32"/>
          <w:highlight w:val="none"/>
          <w:u w:val="single"/>
        </w:rPr>
        <w:t xml:space="preserve">五、承诺函</w:t>
      </w:r>
      <w:r/>
    </w:p>
    <w:p>
      <w:pPr>
        <w:pStyle w:val="1001"/>
        <w:ind w:firstLine="480"/>
        <w:spacing w:line="360" w:lineRule="auto"/>
        <w:rPr>
          <w:color w:val="auto"/>
          <w:sz w:val="24"/>
          <w:szCs w:val="24"/>
          <w:highlight w:val="none"/>
        </w:rPr>
      </w:pPr>
      <w:r>
        <w:rPr>
          <w:color w:val="auto"/>
          <w:sz w:val="24"/>
          <w:szCs w:val="24"/>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承诺函</w:t>
      </w:r>
      <w:r/>
    </w:p>
    <w:p>
      <w:pPr>
        <w:pStyle w:val="1001"/>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1.我单位完全响应</w:t>
      </w:r>
      <w:r>
        <w:rPr>
          <w:rFonts w:hint="eastAsia" w:ascii="宋体" w:hAnsi="宋体"/>
          <w:color w:val="auto"/>
          <w:sz w:val="24"/>
          <w:szCs w:val="24"/>
          <w:highlight w:val="none"/>
          <w:lang w:eastAsia="zh-CN"/>
        </w:rPr>
        <w:t xml:space="preserve">JSZC-320322-PXZX-K2025-0021</w:t>
      </w:r>
      <w:r>
        <w:rPr>
          <w:rFonts w:hint="eastAsia" w:ascii="宋体" w:hAnsi="宋体"/>
          <w:color w:val="auto"/>
          <w:sz w:val="24"/>
          <w:szCs w:val="24"/>
          <w:highlight w:val="none"/>
        </w:rPr>
        <w:t xml:space="preserve">号</w:t>
      </w:r>
      <w:r>
        <w:rPr>
          <w:rFonts w:hint="eastAsia" w:ascii="宋体" w:hAnsi="宋体"/>
          <w:b/>
          <w:bCs/>
          <w:color w:val="auto"/>
          <w:sz w:val="24"/>
          <w:szCs w:val="24"/>
          <w:highlight w:val="none"/>
          <w:lang w:eastAsia="zh-CN"/>
        </w:rPr>
        <w:t xml:space="preserve">2025-2027年度沛县会议服务开放式框架协议采购项目</w:t>
      </w:r>
      <w:r>
        <w:rPr>
          <w:rFonts w:hint="eastAsia" w:ascii="宋体" w:hAnsi="宋体"/>
          <w:color w:val="auto"/>
          <w:sz w:val="24"/>
          <w:szCs w:val="24"/>
          <w:highlight w:val="none"/>
        </w:rPr>
        <w:t xml:space="preserve">开放式框架协议采购征集文件中所有实质性要求。若我单位入围，在框架协议期内为采购人提供的产品和服务均满足本征集文件的相关技术和商务要求，接受框架协议采购征集文件中所有规定。</w:t>
      </w:r>
      <w:r/>
    </w:p>
    <w:p>
      <w:pPr>
        <w:pStyle w:val="1001"/>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2.我单位愿意在整个协议期内按照本项目全部标准要求履行，并能提供全部客房和会议室（场），并优先提供最新房间及会议室。</w:t>
      </w:r>
      <w:r/>
    </w:p>
    <w:p>
      <w:pPr>
        <w:pStyle w:val="1001"/>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上述承诺均是真实的、准确的。若有违背，本公司将视为自动放弃本次入围资格。</w:t>
      </w:r>
      <w:r/>
    </w:p>
    <w:p>
      <w:pPr>
        <w:pStyle w:val="1009"/>
        <w:jc w:val="both"/>
        <w:spacing w:before="0" w:after="0"/>
        <w:rPr>
          <w:rFonts w:ascii="宋体" w:hAnsi="宋体"/>
          <w:color w:val="auto"/>
          <w:highlight w:val="none"/>
        </w:rPr>
      </w:pPr>
      <w:r>
        <w:rPr>
          <w:rFonts w:ascii="宋体" w:hAnsi="宋体"/>
          <w:color w:val="auto"/>
          <w:highlight w:val="none"/>
        </w:rPr>
      </w:r>
      <w:r/>
    </w:p>
    <w:p>
      <w:pPr>
        <w:pStyle w:val="1009"/>
        <w:jc w:val="both"/>
        <w:spacing w:before="0" w:after="0"/>
        <w:rPr>
          <w:rFonts w:ascii="宋体" w:hAnsi="宋体"/>
          <w:color w:val="auto"/>
          <w:highlight w:val="none"/>
        </w:rPr>
      </w:pPr>
      <w:r>
        <w:rPr>
          <w:rFonts w:ascii="宋体" w:hAnsi="宋体"/>
          <w:color w:val="auto"/>
          <w:highlight w:val="none"/>
        </w:rPr>
      </w:r>
      <w:r/>
    </w:p>
    <w:p>
      <w:pPr>
        <w:pStyle w:val="1009"/>
        <w:jc w:val="both"/>
        <w:spacing w:before="0" w:after="0"/>
        <w:rPr>
          <w:rFonts w:ascii="宋体" w:hAnsi="宋体"/>
          <w:color w:val="auto"/>
          <w:highlight w:val="none"/>
        </w:rPr>
      </w:pPr>
      <w:r>
        <w:rPr>
          <w:rFonts w:hint="eastAsia" w:ascii="宋体" w:hAnsi="宋体"/>
          <w:color w:val="auto"/>
          <w:highlight w:val="none"/>
        </w:rPr>
        <w:t xml:space="preserve">                                         供应商全称：（加盖CA电子公章）</w:t>
      </w:r>
      <w:r/>
    </w:p>
    <w:p>
      <w:pPr>
        <w:pStyle w:val="1009"/>
        <w:ind w:firstLine="5520"/>
        <w:jc w:val="both"/>
        <w:spacing w:before="0" w:after="0"/>
        <w:rPr>
          <w:rFonts w:ascii="宋体" w:hAnsi="宋体"/>
          <w:color w:val="auto"/>
          <w:highlight w:val="none"/>
        </w:rPr>
      </w:pPr>
      <w:r>
        <w:rPr>
          <w:rFonts w:hint="eastAsia" w:ascii="宋体" w:hAnsi="宋体"/>
          <w:color w:val="auto"/>
          <w:highlight w:val="none"/>
        </w:rPr>
        <w:t xml:space="preserve">日     期：</w:t>
      </w:r>
      <w:r/>
    </w:p>
    <w:p>
      <w:pPr>
        <w:spacing w:line="360" w:lineRule="auto"/>
        <w:rPr>
          <w:rFonts w:ascii="黑体" w:hAnsi="黑体" w:eastAsia="黑体"/>
          <w:b/>
          <w:bCs/>
          <w:i/>
          <w:color w:val="auto"/>
          <w:sz w:val="32"/>
          <w:szCs w:val="32"/>
          <w:highlight w:val="none"/>
          <w:u w:val="single"/>
        </w:rPr>
      </w:pPr>
      <w:r>
        <w:rPr>
          <w:rFonts w:ascii="宋体" w:hAnsi="宋体"/>
          <w:color w:val="auto"/>
          <w:highlight w:val="none"/>
        </w:rPr>
        <w:br w:type="page" w:clear="all"/>
      </w:r>
      <w:r>
        <w:rPr>
          <w:rFonts w:hint="eastAsia" w:ascii="黑体" w:hAnsi="黑体" w:eastAsia="黑体"/>
          <w:b/>
          <w:bCs/>
          <w:i/>
          <w:color w:val="auto"/>
          <w:sz w:val="32"/>
          <w:szCs w:val="32"/>
          <w:highlight w:val="none"/>
          <w:u w:val="single"/>
        </w:rPr>
        <w:t xml:space="preserve">六、响应报价明细表</w:t>
      </w:r>
      <w:r/>
    </w:p>
    <w:p>
      <w:pPr>
        <w:rPr>
          <w:rFonts w:ascii="宋体" w:hAnsi="宋体"/>
          <w:b/>
          <w:bCs/>
          <w:color w:val="auto"/>
          <w:sz w:val="24"/>
          <w:szCs w:val="24"/>
          <w:highlight w:val="none"/>
        </w:rPr>
      </w:pPr>
      <w:r>
        <w:rPr>
          <w:rFonts w:hint="eastAsia" w:ascii="宋体" w:hAnsi="宋体"/>
          <w:color w:val="auto"/>
          <w:sz w:val="24"/>
          <w:szCs w:val="24"/>
          <w:highlight w:val="none"/>
        </w:rPr>
        <w:t xml:space="preserve">以下报价为最高限价，具体会议价格由采购人与定点供应商在最高限价以下商定。</w:t>
      </w:r>
      <w:r/>
    </w:p>
    <w:p>
      <w:pPr>
        <w:spacing w:before="312" w:after="312"/>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（一）</w:t>
      </w:r>
      <w:r>
        <w:rPr>
          <w:rFonts w:hint="eastAsia" w:ascii="黑体" w:hAnsi="黑体" w:eastAsia="黑体" w:cs="宋体"/>
          <w:bCs/>
          <w:color w:val="auto"/>
          <w:sz w:val="36"/>
          <w:szCs w:val="28"/>
          <w:highlight w:val="none"/>
          <w:lang w:eastAsia="zh-CN"/>
        </w:rPr>
        <w:t xml:space="preserve">采购包</w:t>
      </w:r>
      <w:r>
        <w:rPr>
          <w:rFonts w:hint="eastAsia" w:ascii="黑体" w:hAnsi="黑体" w:eastAsia="黑体" w:cs="宋体"/>
          <w:bCs/>
          <w:color w:val="auto"/>
          <w:sz w:val="36"/>
          <w:szCs w:val="28"/>
          <w:highlight w:val="none"/>
        </w:rPr>
        <w:t xml:space="preserve">一填报：</w:t>
      </w:r>
      <w:r>
        <w:rPr>
          <w:rFonts w:ascii="黑体" w:hAnsi="黑体" w:eastAsia="黑体" w:cs="宋体"/>
          <w:bCs/>
          <w:color w:val="auto"/>
          <w:sz w:val="36"/>
          <w:szCs w:val="28"/>
          <w:highlight w:val="none"/>
        </w:rPr>
        <w:t xml:space="preserve"> </w:t>
      </w:r>
      <w:r/>
    </w:p>
    <w:p>
      <w:pPr>
        <w:jc w:val="center"/>
        <w:spacing w:before="312" w:after="312"/>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报价一览表</w:t>
      </w:r>
      <w:r/>
    </w:p>
    <w:p>
      <w:pPr>
        <w:pStyle w:val="1013"/>
        <w:rPr>
          <w:rFonts w:hint="eastAsia" w:ascii="宋体" w:hAnsi="宋体" w:eastAsia="宋体" w:cs="宋体"/>
          <w:color w:val="auto"/>
          <w:highlight w:val="none"/>
          <w:lang w:eastAsia="zh-CN"/>
        </w:rPr>
      </w:pPr>
      <w:r>
        <w:rPr>
          <w:rFonts w:hint="eastAsia" w:eastAsia="宋体"/>
          <w:color w:val="auto"/>
          <w:highlight w:val="none"/>
        </w:rPr>
        <w:t xml:space="preserve">项目编号：</w:t>
      </w:r>
      <w:r>
        <w:rPr>
          <w:rFonts w:hint="eastAsia" w:ascii="宋体" w:hAnsi="宋体" w:eastAsia="宋体" w:cs="宋体"/>
          <w:color w:val="auto"/>
          <w:highlight w:val="none"/>
          <w:lang w:eastAsia="zh-CN"/>
        </w:rPr>
        <w:t xml:space="preserve">JSZC-320322-PXZX-K2025-0021</w:t>
      </w:r>
      <w:r/>
    </w:p>
    <w:tbl>
      <w:tblPr>
        <w:tblStyle w:val="765"/>
        <w:tblW w:w="96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992"/>
        <w:gridCol w:w="4875"/>
      </w:tblGrid>
      <w:tr>
        <w:trPr>
          <w:jc w:val="center"/>
          <w:trHeight w:val="510"/>
        </w:trPr>
        <w:tc>
          <w:tcPr>
            <w:tcW w:w="279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项目名称</w:t>
            </w:r>
            <w:r/>
          </w:p>
        </w:tc>
        <w:tc>
          <w:tcPr>
            <w:gridSpan w:val="2"/>
            <w:tcW w:w="686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综合</w:t>
            </w:r>
            <w:r>
              <w:rPr>
                <w:rFonts w:ascii="宋体" w:hAnsi="宋体"/>
                <w:color w:val="auto"/>
                <w:sz w:val="24"/>
                <w:szCs w:val="24"/>
                <w:highlight w:val="none"/>
              </w:rPr>
              <w:t xml:space="preserve">报价</w:t>
            </w:r>
            <w:r/>
          </w:p>
        </w:tc>
      </w:tr>
      <w:tr>
        <w:trPr>
          <w:jc w:val="center"/>
          <w:trHeight w:val="1282"/>
        </w:trPr>
        <w:tc>
          <w:tcPr>
            <w:tcW w:w="2791" w:type="dxa"/>
            <w:vAlign w:val="center"/>
            <w:vMerge w:val="restart"/>
            <w:textDirection w:val="lrTb"/>
            <w:noWrap w:val="false"/>
          </w:tcPr>
          <w:p>
            <w:pPr>
              <w:jc w:val="center"/>
              <w:spacing w:line="360" w:lineRule="auto"/>
              <w:rPr>
                <w:rFonts w:ascii="宋体" w:hAnsi="宋体"/>
                <w:color w:val="auto"/>
                <w:sz w:val="24"/>
                <w:szCs w:val="24"/>
                <w:highlight w:val="none"/>
              </w:rPr>
            </w:pPr>
            <w:r>
              <w:rPr>
                <w:rFonts w:hint="eastAsia" w:ascii="宋体" w:hAnsi="宋体"/>
                <w:b/>
                <w:bCs/>
                <w:color w:val="auto"/>
                <w:sz w:val="24"/>
                <w:szCs w:val="24"/>
                <w:highlight w:val="none"/>
                <w:lang w:eastAsia="zh-CN"/>
              </w:rPr>
              <w:t xml:space="preserve">2025-2027年度沛县会议服务开放式框架协议采购项目</w:t>
            </w:r>
            <w:r/>
          </w:p>
        </w:tc>
        <w:tc>
          <w:tcPr>
            <w:tcW w:w="1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一类</w:t>
            </w:r>
            <w:r>
              <w:rPr>
                <w:rFonts w:hint="eastAsia" w:ascii="宋体" w:hAnsi="宋体"/>
                <w:color w:val="auto"/>
                <w:sz w:val="24"/>
                <w:szCs w:val="24"/>
                <w:highlight w:val="none"/>
              </w:rPr>
              <w:t xml:space="preserve">会议</w:t>
            </w:r>
            <w:r/>
          </w:p>
        </w:tc>
        <w:tc>
          <w:tcPr>
            <w:tcW w:w="4875" w:type="dxa"/>
            <w:vAlign w:val="center"/>
            <w:textDirection w:val="lrTb"/>
            <w:noWrap w:val="false"/>
          </w:tcPr>
          <w:p>
            <w:pPr>
              <w:ind w:right="96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元/人.天</w:t>
            </w:r>
            <w:r>
              <w:rPr>
                <w:rFonts w:hint="eastAsia" w:ascii="宋体" w:hAnsi="宋体"/>
                <w:color w:val="auto"/>
                <w:sz w:val="24"/>
                <w:szCs w:val="24"/>
                <w:highlight w:val="none"/>
              </w:rPr>
              <w:t xml:space="preserve">；</w:t>
            </w:r>
            <w:r/>
          </w:p>
          <w:p>
            <w:pPr>
              <w:ind w:right="9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小写：</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元/人.天</w:t>
            </w:r>
            <w:r>
              <w:rPr>
                <w:rFonts w:hint="eastAsia" w:ascii="宋体" w:hAnsi="宋体"/>
                <w:color w:val="auto"/>
                <w:sz w:val="24"/>
                <w:szCs w:val="24"/>
                <w:highlight w:val="none"/>
              </w:rPr>
              <w:t xml:space="preserve">。</w:t>
            </w:r>
            <w:r/>
          </w:p>
        </w:tc>
      </w:tr>
      <w:tr>
        <w:trPr>
          <w:jc w:val="center"/>
          <w:trHeight w:val="1270"/>
        </w:trPr>
        <w:tc>
          <w:tcPr>
            <w:tcW w:w="2791" w:type="dxa"/>
            <w:vAlign w:val="center"/>
            <w:vMerge w:val="continue"/>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二类</w:t>
            </w:r>
            <w:r>
              <w:rPr>
                <w:rFonts w:hint="eastAsia" w:ascii="宋体" w:hAnsi="宋体"/>
                <w:color w:val="auto"/>
                <w:sz w:val="24"/>
                <w:szCs w:val="24"/>
                <w:highlight w:val="none"/>
              </w:rPr>
              <w:t xml:space="preserve">会议</w:t>
            </w:r>
            <w:r/>
          </w:p>
        </w:tc>
        <w:tc>
          <w:tcPr>
            <w:tcW w:w="4875" w:type="dxa"/>
            <w:vAlign w:val="center"/>
            <w:textDirection w:val="lrTb"/>
            <w:noWrap w:val="false"/>
          </w:tcPr>
          <w:p>
            <w:pPr>
              <w:ind w:right="9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元/人.天</w:t>
            </w:r>
            <w:r>
              <w:rPr>
                <w:rFonts w:hint="eastAsia" w:ascii="宋体" w:hAnsi="宋体"/>
                <w:color w:val="auto"/>
                <w:sz w:val="24"/>
                <w:szCs w:val="24"/>
                <w:highlight w:val="none"/>
              </w:rPr>
              <w:t xml:space="preserve">；</w:t>
            </w:r>
            <w:r/>
          </w:p>
          <w:p>
            <w:pPr>
              <w:ind w:right="9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小写：</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元/人.天</w:t>
            </w:r>
            <w:r>
              <w:rPr>
                <w:rFonts w:hint="eastAsia" w:ascii="宋体" w:hAnsi="宋体"/>
                <w:color w:val="auto"/>
                <w:sz w:val="24"/>
                <w:szCs w:val="24"/>
                <w:highlight w:val="none"/>
              </w:rPr>
              <w:t xml:space="preserve">。</w:t>
            </w:r>
            <w:r/>
          </w:p>
        </w:tc>
      </w:tr>
      <w:tr>
        <w:trPr>
          <w:jc w:val="center"/>
          <w:trHeight w:val="1417"/>
        </w:trPr>
        <w:tc>
          <w:tcPr>
            <w:tcW w:w="2791" w:type="dxa"/>
            <w:vAlign w:val="center"/>
            <w:vMerge w:val="continue"/>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三类</w:t>
            </w:r>
            <w:r>
              <w:rPr>
                <w:rFonts w:hint="eastAsia" w:ascii="宋体" w:hAnsi="宋体"/>
                <w:color w:val="auto"/>
                <w:sz w:val="24"/>
                <w:szCs w:val="24"/>
                <w:highlight w:val="none"/>
              </w:rPr>
              <w:t xml:space="preserve">会议</w:t>
            </w:r>
            <w:r/>
          </w:p>
        </w:tc>
        <w:tc>
          <w:tcPr>
            <w:tcW w:w="4875" w:type="dxa"/>
            <w:vAlign w:val="center"/>
            <w:textDirection w:val="lrTb"/>
            <w:noWrap w:val="false"/>
          </w:tcPr>
          <w:p>
            <w:pPr>
              <w:ind w:right="9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元/人.天</w:t>
            </w:r>
            <w:r>
              <w:rPr>
                <w:rFonts w:hint="eastAsia" w:ascii="宋体" w:hAnsi="宋体"/>
                <w:color w:val="auto"/>
                <w:sz w:val="24"/>
                <w:szCs w:val="24"/>
                <w:highlight w:val="none"/>
              </w:rPr>
              <w:t xml:space="preserve">；</w:t>
            </w:r>
            <w:r/>
          </w:p>
          <w:p>
            <w:pPr>
              <w:ind w:right="9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小写：</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元/人.天</w:t>
            </w:r>
            <w:r>
              <w:rPr>
                <w:rFonts w:hint="eastAsia" w:ascii="宋体" w:hAnsi="宋体"/>
                <w:color w:val="auto"/>
                <w:sz w:val="24"/>
                <w:szCs w:val="24"/>
                <w:highlight w:val="none"/>
              </w:rPr>
              <w:t xml:space="preserve">。</w:t>
            </w:r>
            <w:r/>
          </w:p>
        </w:tc>
      </w:tr>
    </w:tbl>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jc w:val="left"/>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ind w:firstLine="422"/>
        <w:spacing w:line="360" w:lineRule="auto"/>
        <w:widowControl/>
        <w:rPr>
          <w:rFonts w:ascii="宋体" w:hAnsi="宋体" w:cs="宋体"/>
          <w:b/>
          <w:color w:val="auto"/>
          <w:highlight w:val="none"/>
          <w:lang w:val="zh-CN"/>
        </w:rPr>
      </w:pPr>
      <w:r>
        <w:rPr>
          <w:rFonts w:hint="eastAsia" w:ascii="宋体" w:hAnsi="宋体" w:cs="宋体"/>
          <w:b/>
          <w:color w:val="auto"/>
          <w:highlight w:val="none"/>
          <w:lang w:val="zh-CN"/>
        </w:rPr>
        <w:t xml:space="preserve">注：</w:t>
      </w:r>
      <w:r/>
    </w:p>
    <w:p>
      <w:pPr>
        <w:ind w:firstLine="422"/>
        <w:spacing w:line="360" w:lineRule="auto"/>
        <w:widowControl/>
        <w:rPr>
          <w:rFonts w:ascii="宋体" w:hAnsi="宋体" w:cs="宋体"/>
          <w:b/>
          <w:color w:val="auto"/>
          <w:highlight w:val="none"/>
          <w:lang w:val="zh-CN"/>
        </w:rPr>
      </w:pPr>
      <w:r>
        <w:rPr>
          <w:rFonts w:hint="eastAsia" w:ascii="宋体" w:hAnsi="宋体" w:cs="宋体"/>
          <w:b/>
          <w:color w:val="auto"/>
          <w:highlight w:val="none"/>
          <w:lang w:val="zh-CN"/>
        </w:rPr>
        <w:t xml:space="preserve">1. 综合报价上限（会议费综合定额标准）：一类会议费综合定额标准上限：</w:t>
      </w:r>
      <w:r>
        <w:rPr>
          <w:rFonts w:hint="eastAsia" w:ascii="宋体" w:hAnsi="宋体" w:cs="宋体"/>
          <w:b/>
          <w:color w:val="auto"/>
          <w:highlight w:val="none"/>
          <w:lang w:val="en-US" w:eastAsia="zh-CN"/>
        </w:rPr>
        <w:t xml:space="preserve">500</w:t>
      </w:r>
      <w:r>
        <w:rPr>
          <w:rFonts w:hint="eastAsia" w:ascii="宋体" w:hAnsi="宋体" w:cs="宋体"/>
          <w:b/>
          <w:color w:val="auto"/>
          <w:highlight w:val="none"/>
          <w:lang w:val="zh-CN"/>
        </w:rPr>
        <w:t xml:space="preserve">（元/人.天）；二类会议费综合定额标准上限：</w:t>
      </w:r>
      <w:r>
        <w:rPr>
          <w:rFonts w:hint="eastAsia" w:ascii="宋体" w:hAnsi="宋体" w:cs="宋体"/>
          <w:b/>
          <w:color w:val="auto"/>
          <w:highlight w:val="none"/>
          <w:lang w:val="en-US" w:eastAsia="zh-CN"/>
        </w:rPr>
        <w:t xml:space="preserve">400</w:t>
      </w:r>
      <w:r>
        <w:rPr>
          <w:rFonts w:hint="eastAsia" w:ascii="宋体" w:hAnsi="宋体" w:cs="宋体"/>
          <w:b/>
          <w:color w:val="auto"/>
          <w:highlight w:val="none"/>
          <w:lang w:val="zh-CN"/>
        </w:rPr>
        <w:t xml:space="preserve">（元/人.天）；三类会议费综合定额标准上限：</w:t>
      </w:r>
      <w:r>
        <w:rPr>
          <w:rFonts w:hint="eastAsia" w:ascii="宋体" w:hAnsi="宋体" w:cs="宋体"/>
          <w:b/>
          <w:color w:val="auto"/>
          <w:highlight w:val="none"/>
          <w:lang w:val="en-US" w:eastAsia="zh-CN"/>
        </w:rPr>
        <w:t xml:space="preserve">300</w:t>
      </w:r>
      <w:r>
        <w:rPr>
          <w:rFonts w:hint="eastAsia" w:ascii="宋体" w:hAnsi="宋体" w:cs="宋体"/>
          <w:b/>
          <w:color w:val="auto"/>
          <w:highlight w:val="none"/>
          <w:lang w:val="zh-CN"/>
        </w:rPr>
        <w:t xml:space="preserve">（元/人.天）。</w:t>
      </w:r>
      <w:r/>
    </w:p>
    <w:p>
      <w:pPr>
        <w:ind w:firstLine="422"/>
        <w:spacing w:line="360" w:lineRule="auto"/>
        <w:widowControl/>
        <w:rPr>
          <w:rFonts w:ascii="宋体" w:hAnsi="宋体" w:cs="宋体"/>
          <w:b/>
          <w:color w:val="auto"/>
          <w:highlight w:val="none"/>
          <w:lang w:val="zh-CN"/>
        </w:rPr>
      </w:pPr>
      <w:r>
        <w:rPr>
          <w:rFonts w:hint="eastAsia" w:ascii="宋体" w:hAnsi="宋体" w:cs="宋体"/>
          <w:b/>
          <w:color w:val="auto"/>
          <w:highlight w:val="none"/>
          <w:lang w:val="zh-CN"/>
        </w:rPr>
        <w:t xml:space="preserve">2. 以上一类、二类、三类会议的综合报价供应商均须作出明确响应，且各类会议报价不得超过本项目规定的相应定额标准上限，否则申请文件无效。</w:t>
      </w:r>
      <w:r/>
    </w:p>
    <w:p>
      <w:pPr>
        <w:ind w:firstLine="422"/>
        <w:spacing w:line="360" w:lineRule="auto"/>
        <w:widowControl/>
        <w:rPr>
          <w:rFonts w:ascii="宋体" w:hAnsi="宋体" w:cs="宋体"/>
          <w:b/>
          <w:color w:val="auto"/>
          <w:highlight w:val="none"/>
          <w:lang w:val="zh-CN"/>
        </w:rPr>
        <w:sectPr>
          <w:footerReference w:type="default" r:id="rId9"/>
          <w:footerReference w:type="even" r:id="rId10"/>
          <w:footerReference w:type="first" r:id="rId11"/>
          <w:footnotePr/>
          <w:endnotePr/>
          <w:type w:val="nextPage"/>
          <w:pgSz w:w="11906" w:h="16838" w:orient="portrait"/>
          <w:pgMar w:top="1440" w:right="1080" w:bottom="1440" w:left="1080" w:header="851" w:footer="907" w:gutter="0"/>
          <w:pgNumType w:start="0"/>
          <w:cols w:num="1" w:sep="0" w:space="1701" w:equalWidth="1"/>
          <w:docGrid w:linePitch="360"/>
          <w:titlePg/>
        </w:sectPr>
      </w:pPr>
      <w:r>
        <w:rPr>
          <w:rFonts w:ascii="宋体" w:hAnsi="宋体" w:cs="宋体"/>
          <w:b/>
          <w:color w:val="auto"/>
          <w:highlight w:val="none"/>
          <w:lang w:val="zh-CN"/>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报价明细表</w:t>
      </w:r>
      <w:r/>
    </w:p>
    <w:p>
      <w:pPr>
        <w:spacing w:line="360" w:lineRule="auto"/>
        <w:rPr>
          <w:rFonts w:hint="eastAsia" w:ascii="宋体" w:hAnsi="宋体"/>
          <w:b/>
          <w:bCs/>
          <w:color w:val="auto"/>
          <w:sz w:val="24"/>
          <w:szCs w:val="24"/>
          <w:highlight w:val="none"/>
        </w:rPr>
      </w:pPr>
      <w:r>
        <w:rPr>
          <w:rFonts w:ascii="宋体" w:hAnsi="宋体"/>
          <w:color w:val="auto"/>
          <w:sz w:val="24"/>
          <w:szCs w:val="24"/>
          <w:highlight w:val="none"/>
        </w:rPr>
        <w:t xml:space="preserve">项目名称</w:t>
      </w:r>
      <w:r>
        <w:rPr>
          <w:rFonts w:hint="eastAsia" w:ascii="宋体" w:hAnsi="宋体"/>
          <w:color w:val="auto"/>
          <w:sz w:val="24"/>
          <w:szCs w:val="24"/>
          <w:highlight w:val="none"/>
        </w:rPr>
        <w:t xml:space="preserve">：</w:t>
      </w:r>
      <w:r>
        <w:rPr>
          <w:rFonts w:hint="eastAsia" w:ascii="宋体" w:hAnsi="宋体"/>
          <w:b/>
          <w:bCs/>
          <w:color w:val="auto"/>
          <w:sz w:val="24"/>
          <w:szCs w:val="24"/>
          <w:highlight w:val="none"/>
          <w:lang w:eastAsia="zh-CN"/>
        </w:rPr>
        <w:t xml:space="preserve">2025-2027年度沛县会议服务开放式框架协议采购项目</w:t>
      </w:r>
      <w:r/>
    </w:p>
    <w:p>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JSZC-320322-PXZX-K2025-0021</w:t>
      </w:r>
      <w:r/>
    </w:p>
    <w:tbl>
      <w:tblPr>
        <w:tblStyle w:val="765"/>
        <w:tblW w:w="897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8"/>
        <w:gridCol w:w="448"/>
        <w:gridCol w:w="448"/>
        <w:gridCol w:w="448"/>
        <w:gridCol w:w="448"/>
        <w:gridCol w:w="448"/>
        <w:gridCol w:w="449"/>
        <w:gridCol w:w="449"/>
        <w:gridCol w:w="449"/>
        <w:gridCol w:w="449"/>
        <w:gridCol w:w="449"/>
        <w:gridCol w:w="449"/>
        <w:gridCol w:w="449"/>
        <w:gridCol w:w="449"/>
        <w:gridCol w:w="449"/>
        <w:gridCol w:w="449"/>
        <w:gridCol w:w="449"/>
        <w:gridCol w:w="449"/>
        <w:gridCol w:w="449"/>
        <w:gridCol w:w="449"/>
      </w:tblGrid>
      <w:tr>
        <w:trPr>
          <w:jc w:val="center"/>
          <w:trHeight w:val="625"/>
        </w:trPr>
        <w:tc>
          <w:tcPr>
            <w:gridSpan w:val="20"/>
            <w:shd w:val="clear" w:color="auto" w:fill="auto"/>
            <w:tcW w:w="8974"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党政机关会议定点场所服务能力及协议价格表（格式）</w:t>
            </w:r>
            <w:r/>
          </w:p>
        </w:tc>
      </w:tr>
      <w:tr>
        <w:trPr>
          <w:jc w:val="center"/>
          <w:trHeight w:val="588"/>
        </w:trPr>
        <w:tc>
          <w:tcPr>
            <w:gridSpan w:val="12"/>
            <w:shd w:val="clear" w:color="auto" w:fill="auto"/>
            <w:tcW w:w="5382"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制表单位：</w:t>
            </w:r>
            <w:r>
              <w:rPr>
                <w:rFonts w:hint="eastAsia" w:ascii="宋体" w:hAnsi="宋体" w:cs="宋体"/>
                <w:color w:val="auto"/>
                <w:sz w:val="24"/>
                <w:szCs w:val="24"/>
                <w:highlight w:val="none"/>
                <w:u w:val="single"/>
              </w:rPr>
              <w:t xml:space="preserve">____    __                   </w:t>
            </w:r>
            <w:r/>
          </w:p>
        </w:tc>
        <w:tc>
          <w:tcPr>
            <w:gridSpan w:val="8"/>
            <w:shd w:val="clear" w:color="auto" w:fill="auto"/>
            <w:tcW w:w="3592"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制表日期：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tc>
      </w:tr>
      <w:tr>
        <w:trPr>
          <w:jc w:val="center"/>
          <w:trHeight w:val="282"/>
        </w:trPr>
        <w:tc>
          <w:tcPr>
            <w:shd w:val="clear" w:color="auto" w:fill="auto"/>
            <w:tcW w:w="448"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场所坐落行政区域</w:t>
            </w:r>
            <w:r/>
          </w:p>
        </w:tc>
        <w:tc>
          <w:tcPr>
            <w:shd w:val="clear" w:color="auto" w:fill="auto"/>
            <w:tcW w:w="448"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场所名称</w:t>
            </w:r>
            <w:r/>
          </w:p>
        </w:tc>
        <w:tc>
          <w:tcPr>
            <w:shd w:val="clear" w:color="auto" w:fill="auto"/>
            <w:tcW w:w="448"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发票开具单位名称</w:t>
            </w:r>
            <w:r/>
          </w:p>
        </w:tc>
        <w:tc>
          <w:tcPr>
            <w:gridSpan w:val="5"/>
            <w:shd w:val="clear" w:color="auto" w:fill="auto"/>
            <w:tcW w:w="224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客房(价格：元/天）（含早）</w:t>
            </w:r>
            <w:r/>
          </w:p>
        </w:tc>
        <w:tc>
          <w:tcPr>
            <w:gridSpan w:val="6"/>
            <w:shd w:val="clear" w:color="auto" w:fill="auto"/>
            <w:tcW w:w="269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会议室（数量：间；价格：元/半天）</w:t>
            </w:r>
            <w:r/>
          </w:p>
        </w:tc>
        <w:tc>
          <w:tcPr>
            <w:gridSpan w:val="2"/>
            <w:shd w:val="clear" w:color="auto" w:fill="auto"/>
            <w:tcW w:w="898"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综合报价(元/人.天）</w:t>
            </w:r>
            <w:r/>
          </w:p>
        </w:tc>
        <w:tc>
          <w:tcPr>
            <w:shd w:val="clear" w:color="auto" w:fill="auto"/>
            <w:tcW w:w="449"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shd w:val="clear" w:color="auto" w:fill="auto"/>
            <w:tcW w:w="449"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前台预定电话</w:t>
            </w:r>
            <w:r/>
          </w:p>
        </w:tc>
        <w:tc>
          <w:tcPr>
            <w:shd w:val="clear" w:color="auto" w:fill="auto"/>
            <w:tcW w:w="449"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联系人及电话</w:t>
            </w:r>
            <w:r/>
          </w:p>
        </w:tc>
        <w:tc>
          <w:tcPr>
            <w:shd w:val="clear" w:color="auto" w:fill="auto"/>
            <w:tcW w:w="449"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1704"/>
        </w:trPr>
        <w:tc>
          <w:tcPr>
            <w:tcW w:w="448"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8"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8"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房型</w:t>
            </w:r>
            <w:r/>
          </w:p>
        </w:tc>
        <w:tc>
          <w:tcPr>
            <w:shd w:val="clear" w:color="auto" w:fill="auto"/>
            <w:tcW w:w="44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总间数</w:t>
            </w:r>
            <w:r/>
          </w:p>
        </w:tc>
        <w:tc>
          <w:tcPr>
            <w:shd w:val="clear" w:color="auto" w:fill="auto"/>
            <w:tcW w:w="44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协议间数</w:t>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门市价</w:t>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协议价</w:t>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类型</w:t>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总间数</w:t>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协议间数</w:t>
            </w:r>
            <w:r/>
          </w:p>
        </w:tc>
        <w:tc>
          <w:tcPr>
            <w:shd w:val="clear" w:color="auto" w:fill="ffffff"/>
            <w:tcW w:w="44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容纳人数</w:t>
            </w:r>
            <w:r/>
          </w:p>
        </w:tc>
        <w:tc>
          <w:tcPr>
            <w:shd w:val="clear" w:color="auto" w:fill="ffffff"/>
            <w:tcW w:w="44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门市价</w:t>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协议价</w:t>
            </w:r>
            <w:r/>
          </w:p>
        </w:tc>
        <w:tc>
          <w:tcPr>
            <w:gridSpan w:val="2"/>
            <w:shd w:val="clear" w:color="auto" w:fill="auto"/>
            <w:tcW w:w="898"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9"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9"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9"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9"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969"/>
        </w:trPr>
        <w:tc>
          <w:tcPr>
            <w:shd w:val="clear" w:color="auto" w:fill="auto"/>
            <w:tcW w:w="448"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8"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8"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单间</w:t>
            </w:r>
            <w:r/>
          </w:p>
        </w:tc>
        <w:tc>
          <w:tcPr>
            <w:shd w:val="clear" w:color="auto" w:fill="auto"/>
            <w:tcW w:w="448"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8"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大会议室</w:t>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449"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ffffff"/>
            <w:tcW w:w="449"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一类会议</w:t>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871"/>
        </w:trPr>
        <w:tc>
          <w:tcPr>
            <w:tcW w:w="448"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8"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8"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标准间</w:t>
            </w:r>
            <w:r/>
          </w:p>
        </w:tc>
        <w:tc>
          <w:tcPr>
            <w:shd w:val="clear" w:color="auto" w:fill="auto"/>
            <w:tcW w:w="448"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8"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中会议室</w:t>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449"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ffffff"/>
            <w:tcW w:w="449"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二类会议</w:t>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9"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9"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9"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9"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1601"/>
        </w:trPr>
        <w:tc>
          <w:tcPr>
            <w:tcW w:w="448"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8"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8"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8"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套间</w:t>
            </w:r>
            <w:r/>
          </w:p>
        </w:tc>
        <w:tc>
          <w:tcPr>
            <w:shd w:val="clear" w:color="auto" w:fill="auto"/>
            <w:tcW w:w="448"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8"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小会议室</w:t>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449"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ffffff"/>
            <w:tcW w:w="449"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三类会议</w:t>
            </w:r>
            <w:r/>
          </w:p>
        </w:tc>
        <w:tc>
          <w:tcPr>
            <w:shd w:val="clear" w:color="auto" w:fill="auto"/>
            <w:tcW w:w="449"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9"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9"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9"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449"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t xml:space="preserve">注：1</w:t>
      </w:r>
      <w:r>
        <w:rPr>
          <w:rFonts w:hint="eastAsia" w:ascii="宋体" w:hAnsi="宋体"/>
          <w:color w:val="auto"/>
          <w:highlight w:val="none"/>
        </w:rPr>
        <w:t xml:space="preserve">. </w:t>
      </w:r>
      <w:r>
        <w:rPr>
          <w:rFonts w:ascii="宋体" w:hAnsi="宋体"/>
          <w:color w:val="auto"/>
          <w:highlight w:val="none"/>
        </w:rPr>
        <w:t xml:space="preserve">表中客房、会议室类型不能满足需要时，可以按实际情况进行细化，增加行次。</w:t>
      </w:r>
      <w:r/>
    </w:p>
    <w:p>
      <w:pPr>
        <w:ind w:firstLine="420"/>
        <w:spacing w:line="360" w:lineRule="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 会议定点场所</w:t>
      </w:r>
      <w:r>
        <w:rPr>
          <w:rFonts w:ascii="宋体" w:hAnsi="宋体"/>
          <w:color w:val="auto"/>
          <w:highlight w:val="none"/>
        </w:rPr>
        <w:t xml:space="preserve">名称与发票开具单位名称不一致的，需要填写“发票开具单位名称”。</w:t>
      </w:r>
      <w:r/>
    </w:p>
    <w:p>
      <w:pPr>
        <w:ind w:firstLine="420"/>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 响应单位</w:t>
      </w:r>
      <w:r>
        <w:rPr>
          <w:rFonts w:ascii="宋体" w:hAnsi="宋体"/>
          <w:color w:val="auto"/>
          <w:highlight w:val="none"/>
        </w:rPr>
        <w:t xml:space="preserve">必须如实填报全部房间数量。</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 会议综合报价一栏中所有价格均不得超过限价。</w:t>
      </w:r>
      <w:r/>
    </w:p>
    <w:p>
      <w:pPr>
        <w:ind w:firstLine="420"/>
        <w:spacing w:line="360" w:lineRule="auto"/>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 各分项</w:t>
      </w:r>
      <w:r>
        <w:rPr>
          <w:rFonts w:ascii="宋体" w:hAnsi="宋体"/>
          <w:color w:val="auto"/>
          <w:highlight w:val="none"/>
        </w:rPr>
        <w:t xml:space="preserve">报价上限</w:t>
      </w:r>
      <w:r>
        <w:rPr>
          <w:rFonts w:hint="eastAsia" w:ascii="宋体" w:hAnsi="宋体"/>
          <w:color w:val="auto"/>
          <w:highlight w:val="none"/>
        </w:rPr>
        <w:t xml:space="preserve">如下</w:t>
      </w:r>
      <w:r>
        <w:rPr>
          <w:rFonts w:ascii="宋体" w:hAnsi="宋体"/>
          <w:color w:val="auto"/>
          <w:highlight w:val="none"/>
        </w:rPr>
        <w:t xml:space="preserve">：</w:t>
      </w:r>
      <w:r>
        <w:rPr>
          <w:rFonts w:hint="eastAsia" w:ascii="宋体" w:hAnsi="宋体"/>
          <w:color w:val="auto"/>
          <w:highlight w:val="none"/>
        </w:rPr>
        <w:t xml:space="preserve">综合报价上限（会议费综合定额标准）：一类会议费综合定额标准上限：</w:t>
      </w:r>
      <w:r>
        <w:rPr>
          <w:rFonts w:hint="eastAsia" w:ascii="宋体" w:hAnsi="宋体"/>
          <w:color w:val="auto"/>
          <w:highlight w:val="none"/>
          <w:lang w:val="en-US" w:eastAsia="zh-CN"/>
        </w:rPr>
        <w:t xml:space="preserve">500</w:t>
      </w:r>
      <w:r>
        <w:rPr>
          <w:rFonts w:hint="eastAsia" w:ascii="宋体" w:hAnsi="宋体"/>
          <w:color w:val="auto"/>
          <w:highlight w:val="none"/>
        </w:rPr>
        <w:t xml:space="preserve">（元/人.天）；二类会议费综合定额标准上限：</w:t>
      </w:r>
      <w:r>
        <w:rPr>
          <w:rFonts w:hint="eastAsia" w:ascii="宋体" w:hAnsi="宋体"/>
          <w:color w:val="auto"/>
          <w:highlight w:val="none"/>
          <w:lang w:val="en-US" w:eastAsia="zh-CN"/>
        </w:rPr>
        <w:t xml:space="preserve">400</w:t>
      </w:r>
      <w:r>
        <w:rPr>
          <w:rFonts w:hint="eastAsia" w:ascii="宋体" w:hAnsi="宋体"/>
          <w:color w:val="auto"/>
          <w:highlight w:val="none"/>
        </w:rPr>
        <w:t xml:space="preserve">（元/人.天）；三类会议费综合定额标准上限：</w:t>
      </w:r>
      <w:r>
        <w:rPr>
          <w:rFonts w:hint="eastAsia" w:ascii="宋体" w:hAnsi="宋体"/>
          <w:color w:val="auto"/>
          <w:highlight w:val="none"/>
          <w:lang w:val="en-US" w:eastAsia="zh-CN"/>
        </w:rPr>
        <w:t xml:space="preserve">300</w:t>
      </w:r>
      <w:r>
        <w:rPr>
          <w:rFonts w:hint="eastAsia" w:ascii="宋体" w:hAnsi="宋体"/>
          <w:color w:val="auto"/>
          <w:highlight w:val="none"/>
        </w:rPr>
        <w:t xml:space="preserve">（元/人.天）。客房标准间（即双人间）价格不高于</w:t>
      </w:r>
      <w:r>
        <w:rPr>
          <w:rFonts w:hint="eastAsia" w:ascii="宋体" w:hAnsi="宋体"/>
          <w:color w:val="auto"/>
          <w:highlight w:val="none"/>
          <w:lang w:val="en-US" w:eastAsia="zh-CN"/>
        </w:rPr>
        <w:t xml:space="preserve">340</w:t>
      </w:r>
      <w:r>
        <w:rPr>
          <w:rFonts w:hint="eastAsia" w:ascii="宋体" w:hAnsi="宋体"/>
          <w:color w:val="auto"/>
          <w:highlight w:val="none"/>
        </w:rPr>
        <w:t xml:space="preserve">元/天（含双早），客房单间价格不高于</w:t>
      </w:r>
      <w:r>
        <w:rPr>
          <w:rFonts w:hint="eastAsia" w:ascii="宋体" w:hAnsi="宋体"/>
          <w:color w:val="auto"/>
          <w:highlight w:val="none"/>
          <w:lang w:val="en-US" w:eastAsia="zh-CN"/>
        </w:rPr>
        <w:t xml:space="preserve">340</w:t>
      </w:r>
      <w:r>
        <w:rPr>
          <w:rFonts w:hint="eastAsia" w:ascii="宋体" w:hAnsi="宋体"/>
          <w:color w:val="auto"/>
          <w:highlight w:val="none"/>
        </w:rPr>
        <w:t xml:space="preserve">元/天（含早）。</w:t>
      </w:r>
      <w:r/>
    </w:p>
    <w:p>
      <w:pPr>
        <w:ind w:firstLine="420"/>
        <w:spacing w:line="360" w:lineRule="auto"/>
        <w:rPr>
          <w:rFonts w:ascii="宋体" w:hAnsi="宋体"/>
          <w:color w:val="auto"/>
          <w:highlight w:val="none"/>
        </w:rPr>
      </w:pPr>
      <w:r>
        <w:rPr>
          <w:rFonts w:hint="eastAsia" w:ascii="宋体" w:hAnsi="宋体"/>
          <w:color w:val="auto"/>
          <w:highlight w:val="none"/>
        </w:rPr>
        <w:t xml:space="preserve">6. </w:t>
      </w:r>
      <w:r>
        <w:rPr>
          <w:rFonts w:ascii="宋体" w:hAnsi="宋体"/>
          <w:color w:val="auto"/>
          <w:highlight w:val="none"/>
        </w:rPr>
        <w:t xml:space="preserve">综合报价包括住宿费</w:t>
      </w:r>
      <w:r>
        <w:rPr>
          <w:rFonts w:hint="eastAsia" w:ascii="宋体" w:hAnsi="宋体"/>
          <w:color w:val="auto"/>
          <w:highlight w:val="none"/>
        </w:rPr>
        <w:t xml:space="preserve">（含早餐，早餐份数与房间床位数一致）、</w:t>
      </w:r>
      <w:r>
        <w:rPr>
          <w:rFonts w:ascii="宋体" w:hAnsi="宋体"/>
          <w:color w:val="auto"/>
          <w:highlight w:val="none"/>
        </w:rPr>
        <w:t xml:space="preserve">会场费</w:t>
      </w:r>
      <w:r>
        <w:rPr>
          <w:rFonts w:hint="eastAsia" w:ascii="宋体" w:hAnsi="宋体"/>
          <w:color w:val="auto"/>
          <w:highlight w:val="none"/>
        </w:rPr>
        <w:t xml:space="preserve">（应包含空调，并配备满足会议使用的音响设备，有多媒体演示设备（电脑、实物投影仪、多媒体投影仪等），灯光等）</w:t>
      </w:r>
      <w:r>
        <w:rPr>
          <w:rFonts w:ascii="宋体" w:hAnsi="宋体"/>
          <w:color w:val="auto"/>
          <w:highlight w:val="none"/>
        </w:rPr>
        <w:t xml:space="preserve">、伙食费、交通费、办公用品费、材料印刷费、医药费等，实行综合定额控制，在综合定额内据实支付。</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供应商全称（加盖CA电子公章）：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会议定点场所名称：</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发票开具单位名称：</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spacing w:line="360" w:lineRule="auto"/>
        <w:rPr>
          <w:rFonts w:ascii="宋体" w:hAnsi="宋体"/>
          <w:color w:val="auto"/>
          <w:sz w:val="24"/>
          <w:szCs w:val="24"/>
          <w:highlight w:val="none"/>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olor w:val="auto"/>
          <w:sz w:val="24"/>
          <w:szCs w:val="24"/>
          <w:highlight w:val="none"/>
        </w:rPr>
      </w:r>
      <w:r/>
    </w:p>
    <w:p>
      <w:pPr>
        <w:spacing w:before="312" w:after="312"/>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（二）</w:t>
      </w:r>
      <w:r>
        <w:rPr>
          <w:rFonts w:hint="eastAsia" w:ascii="黑体" w:hAnsi="黑体" w:eastAsia="黑体" w:cs="宋体"/>
          <w:bCs/>
          <w:color w:val="auto"/>
          <w:sz w:val="36"/>
          <w:szCs w:val="28"/>
          <w:highlight w:val="none"/>
          <w:lang w:eastAsia="zh-CN"/>
        </w:rPr>
        <w:t xml:space="preserve">采购包</w:t>
      </w:r>
      <w:r>
        <w:rPr>
          <w:rFonts w:hint="eastAsia" w:ascii="黑体" w:hAnsi="黑体" w:eastAsia="黑体" w:cs="宋体"/>
          <w:bCs/>
          <w:color w:val="auto"/>
          <w:sz w:val="36"/>
          <w:szCs w:val="28"/>
          <w:highlight w:val="none"/>
        </w:rPr>
        <w:t xml:space="preserve">二填报：</w:t>
      </w:r>
      <w:r/>
    </w:p>
    <w:p>
      <w:pPr>
        <w:ind w:firstLine="200"/>
        <w:jc w:val="center"/>
        <w:spacing w:before="312" w:after="312"/>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报价明细表</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项目名称</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2025-2027年度沛县会议服务开放式框架协议采购项目</w:t>
      </w:r>
      <w:r/>
    </w:p>
    <w:p>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JSZC-320322-PXZX-K2025-0021</w:t>
      </w:r>
      <w:r/>
    </w:p>
    <w:tbl>
      <w:tblPr>
        <w:tblStyle w:val="765"/>
        <w:tblW w:w="89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7"/>
        <w:gridCol w:w="597"/>
        <w:gridCol w:w="597"/>
        <w:gridCol w:w="597"/>
        <w:gridCol w:w="597"/>
        <w:gridCol w:w="597"/>
        <w:gridCol w:w="597"/>
        <w:gridCol w:w="597"/>
        <w:gridCol w:w="597"/>
        <w:gridCol w:w="597"/>
        <w:gridCol w:w="597"/>
        <w:gridCol w:w="597"/>
        <w:gridCol w:w="597"/>
        <w:gridCol w:w="597"/>
        <w:gridCol w:w="597"/>
      </w:tblGrid>
      <w:tr>
        <w:trPr>
          <w:jc w:val="center"/>
          <w:trHeight w:val="625"/>
        </w:trPr>
        <w:tc>
          <w:tcPr>
            <w:gridSpan w:val="15"/>
            <w:shd w:val="clear" w:color="auto" w:fill="auto"/>
            <w:tcW w:w="8955"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党政机关会议定点场所服务能力及协议价格表（格式）</w:t>
            </w:r>
            <w:r/>
          </w:p>
        </w:tc>
      </w:tr>
      <w:tr>
        <w:trPr>
          <w:jc w:val="center"/>
          <w:trHeight w:val="588"/>
        </w:trPr>
        <w:tc>
          <w:tcPr>
            <w:gridSpan w:val="9"/>
            <w:shd w:val="clear" w:color="auto" w:fill="auto"/>
            <w:tcW w:w="5373"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制表单位：</w:t>
            </w:r>
            <w:r>
              <w:rPr>
                <w:rFonts w:hint="eastAsia" w:ascii="宋体" w:hAnsi="宋体" w:cs="宋体"/>
                <w:color w:val="auto"/>
                <w:sz w:val="24"/>
                <w:szCs w:val="24"/>
                <w:highlight w:val="none"/>
                <w:u w:val="single"/>
              </w:rPr>
              <w:t xml:space="preserve">____    __                     </w:t>
            </w:r>
            <w:r/>
          </w:p>
        </w:tc>
        <w:tc>
          <w:tcPr>
            <w:gridSpan w:val="6"/>
            <w:shd w:val="clear" w:color="auto" w:fill="auto"/>
            <w:tcW w:w="3582"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制表日期：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tc>
      </w:tr>
      <w:tr>
        <w:trPr>
          <w:jc w:val="center"/>
          <w:trHeight w:val="282"/>
        </w:trPr>
        <w:tc>
          <w:tcPr>
            <w:shd w:val="clear" w:color="auto" w:fill="auto"/>
            <w:tcW w:w="597"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场所</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坐落行政区域</w:t>
            </w:r>
            <w:r/>
          </w:p>
        </w:tc>
        <w:tc>
          <w:tcPr>
            <w:shd w:val="clear" w:color="auto" w:fill="auto"/>
            <w:tcW w:w="597"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场所名称</w:t>
            </w:r>
            <w:r/>
          </w:p>
        </w:tc>
        <w:tc>
          <w:tcPr>
            <w:shd w:val="clear" w:color="auto" w:fill="auto"/>
            <w:tcW w:w="597"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发票开具单位名称</w:t>
            </w:r>
            <w:r/>
          </w:p>
        </w:tc>
        <w:tc>
          <w:tcPr>
            <w:gridSpan w:val="6"/>
            <w:shd w:val="clear" w:color="auto" w:fill="auto"/>
            <w:tcW w:w="35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会议室（数量：间；</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价格：元/半天）</w:t>
            </w:r>
            <w:r/>
          </w:p>
        </w:tc>
        <w:tc>
          <w:tcPr>
            <w:gridSpan w:val="2"/>
            <w:shd w:val="clear" w:color="auto" w:fill="auto"/>
            <w:tcW w:w="1194"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综合报价(元/人.天）</w:t>
            </w:r>
            <w:r/>
          </w:p>
        </w:tc>
        <w:tc>
          <w:tcPr>
            <w:shd w:val="clear" w:color="auto" w:fill="auto"/>
            <w:tcW w:w="597"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shd w:val="clear" w:color="auto" w:fill="auto"/>
            <w:tcW w:w="597"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前台预定电话</w:t>
            </w:r>
            <w:r/>
          </w:p>
        </w:tc>
        <w:tc>
          <w:tcPr>
            <w:shd w:val="clear" w:color="auto" w:fill="auto"/>
            <w:tcW w:w="597"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联系人及电话</w:t>
            </w:r>
            <w:r/>
          </w:p>
        </w:tc>
        <w:tc>
          <w:tcPr>
            <w:shd w:val="clear" w:color="auto" w:fill="auto"/>
            <w:tcW w:w="597"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1704"/>
        </w:trPr>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类型</w:t>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总间数</w:t>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协议间数</w:t>
            </w:r>
            <w:r/>
          </w:p>
        </w:tc>
        <w:tc>
          <w:tcPr>
            <w:shd w:val="clear" w:color="auto" w:fill="ffffff"/>
            <w:tcW w:w="59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容纳人数</w:t>
            </w:r>
            <w:r/>
          </w:p>
        </w:tc>
        <w:tc>
          <w:tcPr>
            <w:shd w:val="clear" w:color="auto" w:fill="ffffff"/>
            <w:tcW w:w="59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门市价</w:t>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协议价</w:t>
            </w:r>
            <w:r/>
          </w:p>
        </w:tc>
        <w:tc>
          <w:tcPr>
            <w:gridSpan w:val="2"/>
            <w:shd w:val="clear" w:color="auto" w:fill="auto"/>
            <w:tcW w:w="1194"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969"/>
        </w:trPr>
        <w:tc>
          <w:tcPr>
            <w:shd w:val="clear" w:color="auto" w:fill="auto"/>
            <w:tcW w:w="597"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大会议室</w:t>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597"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ffffff"/>
            <w:tcW w:w="597"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一类会议</w:t>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871"/>
        </w:trPr>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中会议室</w:t>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597"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ffffff"/>
            <w:tcW w:w="597"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二类会议</w:t>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1601"/>
        </w:trPr>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小会议室</w:t>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597"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ffffff"/>
            <w:tcW w:w="597" w:type="dxa"/>
            <w:vAlign w:val="center"/>
            <w:textDirection w:val="lrTb"/>
            <w:noWrap w:val="false"/>
          </w:tcPr>
          <w:p>
            <w:pPr>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三类会议</w:t>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59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597" w:type="dxa"/>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注：1．表中会议室类型不能满足需要时，可以按实际情况进行细化，增加行次。</w:t>
      </w:r>
      <w:r/>
    </w:p>
    <w:p>
      <w:pPr>
        <w:ind w:firstLine="420"/>
        <w:spacing w:line="360" w:lineRule="auto"/>
        <w:rPr>
          <w:rFonts w:ascii="宋体" w:hAnsi="宋体"/>
          <w:color w:val="auto"/>
          <w:highlight w:val="none"/>
        </w:rPr>
      </w:pPr>
      <w:r>
        <w:rPr>
          <w:rFonts w:hint="eastAsia" w:ascii="宋体" w:hAnsi="宋体"/>
          <w:color w:val="auto"/>
          <w:highlight w:val="none"/>
        </w:rPr>
        <w:t xml:space="preserve">2．会议定点场所名称与发票开具单位名称不一致的，需要填写“发票开具单位名称”。</w:t>
      </w:r>
      <w:r/>
    </w:p>
    <w:p>
      <w:pPr>
        <w:ind w:firstLine="420"/>
        <w:spacing w:line="360" w:lineRule="auto"/>
        <w:rPr>
          <w:rFonts w:ascii="宋体" w:hAnsi="宋体"/>
          <w:color w:val="auto"/>
          <w:highlight w:val="none"/>
        </w:rPr>
      </w:pPr>
      <w:r>
        <w:rPr>
          <w:rFonts w:hint="eastAsia" w:ascii="宋体" w:hAnsi="宋体"/>
          <w:color w:val="auto"/>
          <w:highlight w:val="none"/>
        </w:rPr>
        <w:t xml:space="preserve">3．响应单位必须如实填报全部会议室数量。</w:t>
      </w:r>
      <w:r/>
    </w:p>
    <w:p>
      <w:pPr>
        <w:ind w:firstLine="420"/>
        <w:spacing w:line="360" w:lineRule="auto"/>
        <w:rPr>
          <w:rFonts w:ascii="宋体" w:hAnsi="宋体"/>
          <w:b/>
          <w:bCs/>
          <w:color w:val="auto"/>
          <w:highlight w:val="none"/>
        </w:rPr>
      </w:pPr>
      <w:r>
        <w:rPr>
          <w:rFonts w:hint="eastAsia" w:ascii="宋体" w:hAnsi="宋体"/>
          <w:color w:val="auto"/>
          <w:highlight w:val="none"/>
        </w:rPr>
        <w:t xml:space="preserve">4. 会议综合报价一栏中所有价格均不得超过限价：</w:t>
      </w:r>
      <w:r>
        <w:rPr>
          <w:rFonts w:hint="eastAsia" w:ascii="宋体" w:hAnsi="宋体"/>
          <w:b/>
          <w:bCs/>
          <w:color w:val="auto"/>
          <w:highlight w:val="none"/>
        </w:rPr>
        <w:t xml:space="preserve">一类会议不超过110元/人.天；二类会议不超过100元/人.天；三类会议不超过80元/人.天。</w:t>
      </w:r>
      <w:r/>
    </w:p>
    <w:p>
      <w:pPr>
        <w:ind w:firstLine="420"/>
        <w:spacing w:line="360" w:lineRule="auto"/>
        <w:rPr>
          <w:rFonts w:ascii="宋体" w:hAnsi="宋体"/>
          <w:color w:val="auto"/>
          <w:highlight w:val="none"/>
        </w:rPr>
      </w:pPr>
      <w:r>
        <w:rPr>
          <w:rFonts w:hint="eastAsia" w:ascii="宋体" w:hAnsi="宋体"/>
          <w:color w:val="auto"/>
          <w:highlight w:val="none"/>
        </w:rPr>
        <w:t xml:space="preserve">5．综合报价包括会场费（应包含空调，并配备满足会议使用的音响设备，有多媒体演示设备（电脑、实物投影仪、多媒体投影仪等），灯光等）、办公用品费、材料印刷费、医药费等，实行综合定额控制，在综合定额内据实支付。</w:t>
      </w:r>
      <w:r/>
    </w:p>
    <w:p>
      <w:pPr>
        <w:ind w:firstLine="420"/>
        <w:spacing w:line="360" w:lineRule="auto"/>
        <w:rPr>
          <w:rFonts w:ascii="宋体" w:hAnsi="宋体"/>
          <w:b/>
          <w:bCs/>
          <w:color w:val="auto"/>
          <w:highlight w:val="none"/>
        </w:rPr>
      </w:pPr>
      <w:r>
        <w:rPr>
          <w:rFonts w:hint="eastAsia" w:ascii="宋体" w:hAnsi="宋体"/>
          <w:b/>
          <w:bCs/>
          <w:color w:val="auto"/>
          <w:highlight w:val="none"/>
        </w:rPr>
        <w:t xml:space="preserve">6. 以上一类、二类、三类会议的综合报价供应商均须作出明确响应，且各类会议报价不得超过本项目规定的相应定额标准上限，否则申请文件无效。</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供应商全称（加盖CA电子公章）：</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会议定点场所名称：</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发票开具单位名称：</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spacing w:line="360" w:lineRule="auto"/>
        <w:rPr>
          <w:rFonts w:ascii="黑体" w:hAnsi="黑体" w:eastAsia="黑体"/>
          <w:b/>
          <w:bCs/>
          <w:i/>
          <w:color w:val="auto"/>
          <w:sz w:val="32"/>
          <w:szCs w:val="32"/>
          <w:highlight w:val="none"/>
          <w:u w:val="single"/>
        </w:rPr>
      </w:pPr>
      <w:r>
        <w:rPr>
          <w:rFonts w:hint="eastAsia" w:ascii="宋体" w:hAnsi="宋体"/>
          <w:color w:val="auto"/>
          <w:sz w:val="24"/>
          <w:szCs w:val="24"/>
          <w:highlight w:val="none"/>
        </w:rPr>
        <w:br w:type="page" w:clear="all"/>
      </w:r>
      <w:r>
        <w:rPr>
          <w:rFonts w:hint="eastAsia" w:ascii="黑体" w:hAnsi="黑体" w:eastAsia="黑体"/>
          <w:b/>
          <w:bCs/>
          <w:i/>
          <w:color w:val="auto"/>
          <w:sz w:val="32"/>
          <w:szCs w:val="32"/>
          <w:highlight w:val="none"/>
          <w:u w:val="single"/>
        </w:rPr>
        <w:t xml:space="preserve">七、供应商基本情况一览表</w:t>
      </w:r>
      <w:r/>
    </w:p>
    <w:p>
      <w:pPr>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我们保证以下资料和数据是真实的、正确的，我们同意如贵方要求，可以出示相关证明文件。</w:t>
      </w:r>
      <w:bookmarkStart w:id="166" w:name="_Toc87696362"/>
      <w:r/>
      <w:r/>
    </w:p>
    <w:p>
      <w:pPr>
        <w:spacing w:line="4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1.</w:t>
      </w:r>
      <w:r>
        <w:rPr>
          <w:rFonts w:hint="eastAsia" w:ascii="宋体" w:hAnsi="宋体"/>
          <w:b/>
          <w:color w:val="auto"/>
          <w:sz w:val="32"/>
          <w:szCs w:val="32"/>
          <w:highlight w:val="none"/>
        </w:rPr>
        <w:t xml:space="preserve">供应商</w:t>
      </w:r>
      <w:bookmarkEnd w:id="166"/>
      <w:r>
        <w:rPr>
          <w:rFonts w:hint="eastAsia" w:ascii="宋体" w:hAnsi="宋体"/>
          <w:b/>
          <w:color w:val="auto"/>
          <w:sz w:val="32"/>
          <w:szCs w:val="32"/>
          <w:highlight w:val="none"/>
        </w:rPr>
        <w:t xml:space="preserve">基本信息表</w:t>
      </w:r>
      <w:r/>
    </w:p>
    <w:tbl>
      <w:tblPr>
        <w:tblStyle w:val="765"/>
        <w:tblW w:w="8789"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127"/>
        <w:gridCol w:w="1975"/>
        <w:gridCol w:w="1778"/>
        <w:gridCol w:w="2909"/>
      </w:tblGrid>
      <w:tr>
        <w:trPr>
          <w:cantSplit/>
          <w:trHeight w:val="567" w:hRule="exact"/>
        </w:trPr>
        <w:tc>
          <w:tcPr>
            <w:tcW w:w="2127" w:type="dxa"/>
            <w:vAlign w:val="bottom"/>
            <w:textDirection w:val="lrTb"/>
            <w:noWrap w:val="false"/>
          </w:tcPr>
          <w:p>
            <w:pPr>
              <w:pStyle w:val="767"/>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法定代表人</w:t>
            </w:r>
            <w:r/>
          </w:p>
        </w:tc>
        <w:tc>
          <w:tcPr>
            <w:tcW w:w="1975" w:type="dxa"/>
            <w:vAlign w:val="bottom"/>
            <w:textDirection w:val="lrTb"/>
            <w:noWrap w:val="false"/>
          </w:tcPr>
          <w:p>
            <w:pPr>
              <w:pStyle w:val="767"/>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778" w:type="dxa"/>
            <w:vAlign w:val="bottom"/>
            <w:textDirection w:val="lrTb"/>
            <w:noWrap w:val="false"/>
          </w:tcPr>
          <w:p>
            <w:pPr>
              <w:pStyle w:val="767"/>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成立日期</w:t>
            </w:r>
            <w:r/>
          </w:p>
        </w:tc>
        <w:tc>
          <w:tcPr>
            <w:tcW w:w="2909" w:type="dxa"/>
            <w:vAlign w:val="bottom"/>
            <w:textDirection w:val="lrTb"/>
            <w:noWrap w:val="false"/>
          </w:tcPr>
          <w:p>
            <w:pPr>
              <w:pStyle w:val="767"/>
              <w:ind w:firstLine="96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年   月   日</w:t>
            </w:r>
            <w:r/>
          </w:p>
        </w:tc>
      </w:tr>
      <w:tr>
        <w:trPr>
          <w:cantSplit/>
          <w:trHeight w:val="567" w:hRule="exact"/>
        </w:trPr>
        <w:tc>
          <w:tcPr>
            <w:tcW w:w="2127" w:type="dxa"/>
            <w:vAlign w:val="bottom"/>
            <w:textDirection w:val="lrTb"/>
            <w:noWrap w:val="false"/>
          </w:tcPr>
          <w:p>
            <w:pPr>
              <w:pStyle w:val="767"/>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企业地址</w:t>
            </w:r>
            <w:r/>
          </w:p>
        </w:tc>
        <w:tc>
          <w:tcPr>
            <w:tcW w:w="1975" w:type="dxa"/>
            <w:vAlign w:val="bottom"/>
            <w:textDirection w:val="lrTb"/>
            <w:noWrap w:val="false"/>
          </w:tcPr>
          <w:p>
            <w:pPr>
              <w:pStyle w:val="767"/>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778" w:type="dxa"/>
            <w:vAlign w:val="bottom"/>
            <w:textDirection w:val="lrTb"/>
            <w:noWrap w:val="false"/>
          </w:tcPr>
          <w:p>
            <w:pPr>
              <w:pStyle w:val="767"/>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注册资本</w:t>
            </w:r>
            <w:r/>
          </w:p>
        </w:tc>
        <w:tc>
          <w:tcPr>
            <w:tcW w:w="2909" w:type="dxa"/>
            <w:vAlign w:val="bottom"/>
            <w:textDirection w:val="lrTb"/>
            <w:noWrap w:val="false"/>
          </w:tcPr>
          <w:p>
            <w:pPr>
              <w:pStyle w:val="767"/>
              <w:ind w:firstLine="192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万元</w:t>
            </w:r>
            <w:r/>
          </w:p>
        </w:tc>
      </w:tr>
      <w:tr>
        <w:trPr>
          <w:cantSplit/>
          <w:trHeight w:val="567" w:hRule="exact"/>
        </w:trPr>
        <w:tc>
          <w:tcPr>
            <w:tcW w:w="2127" w:type="dxa"/>
            <w:vAlign w:val="bottom"/>
            <w:textDirection w:val="lrTb"/>
            <w:noWrap w:val="false"/>
          </w:tcPr>
          <w:p>
            <w:pPr>
              <w:pStyle w:val="767"/>
              <w:ind w:firstLine="0"/>
              <w:spacing w:line="360" w:lineRule="auto"/>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坐落地址</w:t>
            </w:r>
            <w:r/>
          </w:p>
        </w:tc>
        <w:tc>
          <w:tcPr>
            <w:gridSpan w:val="3"/>
            <w:tcW w:w="6662" w:type="dxa"/>
            <w:vAlign w:val="bottom"/>
            <w:textDirection w:val="lrTb"/>
            <w:noWrap w:val="false"/>
          </w:tcPr>
          <w:p>
            <w:pPr>
              <w:pStyle w:val="767"/>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567" w:hRule="exact"/>
        </w:trPr>
        <w:tc>
          <w:tcPr>
            <w:tcW w:w="2127" w:type="dxa"/>
            <w:vAlign w:val="bottom"/>
            <w:textDirection w:val="lrTb"/>
            <w:noWrap w:val="false"/>
          </w:tcPr>
          <w:p>
            <w:pPr>
              <w:pStyle w:val="767"/>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职工人数</w:t>
            </w:r>
            <w:r/>
          </w:p>
        </w:tc>
        <w:tc>
          <w:tcPr>
            <w:gridSpan w:val="3"/>
            <w:tcW w:w="6662" w:type="dxa"/>
            <w:vAlign w:val="bottom"/>
            <w:textDirection w:val="lrTb"/>
            <w:noWrap w:val="false"/>
          </w:tcPr>
          <w:p>
            <w:pPr>
              <w:pStyle w:val="767"/>
              <w:ind w:firstLine="0"/>
              <w:spacing w:line="360" w:lineRule="auto"/>
              <w:rPr>
                <w:rFonts w:ascii="宋体" w:hAnsi="宋体"/>
                <w:color w:val="auto"/>
                <w:sz w:val="24"/>
                <w:szCs w:val="24"/>
                <w:highlight w:val="none"/>
                <w:u w:val="single"/>
                <w:lang w:val="en-US" w:eastAsia="zh-CN"/>
              </w:rPr>
            </w:pPr>
            <w:r>
              <w:rPr>
                <w:rFonts w:ascii="宋体" w:hAnsi="宋体"/>
                <w:color w:val="auto"/>
                <w:sz w:val="24"/>
                <w:szCs w:val="24"/>
                <w:highlight w:val="none"/>
                <w:u w:val="single"/>
                <w:lang w:val="en-US" w:eastAsia="zh-CN"/>
              </w:rPr>
            </w:r>
            <w:r/>
          </w:p>
        </w:tc>
      </w:tr>
      <w:tr>
        <w:trPr>
          <w:cantSplit/>
          <w:trHeight w:val="991" w:hRule="exact"/>
        </w:trPr>
        <w:tc>
          <w:tcPr>
            <w:tcW w:w="2127" w:type="dxa"/>
            <w:vAlign w:val="center"/>
            <w:textDirection w:val="lrTb"/>
            <w:noWrap w:val="false"/>
          </w:tcPr>
          <w:p>
            <w:pPr>
              <w:pStyle w:val="767"/>
              <w:ind w:firstLine="0"/>
              <w:spacing w:line="360" w:lineRule="auto"/>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经营</w:t>
            </w:r>
            <w:r>
              <w:rPr>
                <w:rFonts w:ascii="宋体" w:hAnsi="宋体"/>
                <w:color w:val="auto"/>
                <w:sz w:val="24"/>
                <w:szCs w:val="24"/>
                <w:highlight w:val="none"/>
                <w:lang w:val="en-US" w:eastAsia="zh-CN"/>
              </w:rPr>
              <w:t xml:space="preserve">面积</w:t>
            </w:r>
            <w:r/>
          </w:p>
        </w:tc>
        <w:tc>
          <w:tcPr>
            <w:tcW w:w="1975" w:type="dxa"/>
            <w:vAlign w:val="center"/>
            <w:textDirection w:val="lrTb"/>
            <w:noWrap w:val="false"/>
          </w:tcPr>
          <w:p>
            <w:pPr>
              <w:pStyle w:val="767"/>
              <w:ind w:right="240" w:firstLine="72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平方米</w:t>
            </w:r>
            <w:r/>
          </w:p>
        </w:tc>
        <w:tc>
          <w:tcPr>
            <w:tcW w:w="1778" w:type="dxa"/>
            <w:vAlign w:val="center"/>
            <w:textDirection w:val="lrTb"/>
            <w:noWrap w:val="false"/>
          </w:tcPr>
          <w:p>
            <w:pPr>
              <w:pStyle w:val="767"/>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其中：</w:t>
            </w:r>
            <w:r/>
          </w:p>
        </w:tc>
        <w:tc>
          <w:tcPr>
            <w:tcW w:w="2909" w:type="dxa"/>
            <w:vAlign w:val="center"/>
            <w:textDirection w:val="lrTb"/>
            <w:noWrap w:val="false"/>
          </w:tcPr>
          <w:p>
            <w:pPr>
              <w:pStyle w:val="767"/>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自有面积</w:t>
            </w:r>
            <w:r>
              <w:rPr>
                <w:rFonts w:ascii="宋体" w:hAnsi="宋体"/>
                <w:color w:val="auto"/>
                <w:sz w:val="24"/>
                <w:szCs w:val="24"/>
                <w:highlight w:val="none"/>
                <w:u w:val="single"/>
                <w:lang w:val="en-US" w:eastAsia="zh-CN"/>
              </w:rPr>
              <w:t xml:space="preserve">      </w:t>
            </w:r>
            <w:r>
              <w:rPr>
                <w:rFonts w:ascii="宋体" w:hAnsi="宋体"/>
                <w:color w:val="auto"/>
                <w:sz w:val="24"/>
                <w:szCs w:val="24"/>
                <w:highlight w:val="none"/>
                <w:lang w:val="en-US" w:eastAsia="zh-CN"/>
              </w:rPr>
              <w:t xml:space="preserve">平方米</w:t>
            </w:r>
            <w:r/>
          </w:p>
          <w:p>
            <w:pPr>
              <w:pStyle w:val="767"/>
              <w:ind w:firstLine="0"/>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承租面积</w:t>
            </w:r>
            <w:r>
              <w:rPr>
                <w:rFonts w:ascii="宋体" w:hAnsi="宋体"/>
                <w:color w:val="auto"/>
                <w:sz w:val="24"/>
                <w:szCs w:val="24"/>
                <w:highlight w:val="none"/>
                <w:u w:val="single"/>
                <w:lang w:val="en-US" w:eastAsia="zh-CN"/>
              </w:rPr>
              <w:t xml:space="preserve">      </w:t>
            </w:r>
            <w:r>
              <w:rPr>
                <w:rFonts w:ascii="宋体" w:hAnsi="宋体"/>
                <w:color w:val="auto"/>
                <w:sz w:val="24"/>
                <w:szCs w:val="24"/>
                <w:highlight w:val="none"/>
                <w:lang w:val="en-US" w:eastAsia="zh-CN"/>
              </w:rPr>
              <w:t xml:space="preserve">平方米</w:t>
            </w:r>
            <w:r/>
          </w:p>
        </w:tc>
      </w:tr>
      <w:tr>
        <w:trPr>
          <w:cantSplit/>
          <w:trHeight w:val="2552"/>
        </w:trPr>
        <w:tc>
          <w:tcPr>
            <w:tcW w:w="2127" w:type="dxa"/>
            <w:vAlign w:val="center"/>
            <w:textDirection w:val="lrTb"/>
            <w:noWrap w:val="false"/>
          </w:tcPr>
          <w:p>
            <w:pPr>
              <w:pStyle w:val="767"/>
              <w:ind w:firstLine="0"/>
              <w:jc w:val="left"/>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单位简</w:t>
            </w:r>
            <w:r>
              <w:rPr>
                <w:rFonts w:hint="eastAsia" w:ascii="宋体" w:hAnsi="宋体"/>
                <w:color w:val="auto"/>
                <w:sz w:val="24"/>
                <w:szCs w:val="24"/>
                <w:highlight w:val="none"/>
                <w:lang w:val="en-US" w:eastAsia="zh-CN"/>
              </w:rPr>
              <w:t xml:space="preserve">介</w:t>
            </w:r>
            <w:r>
              <w:rPr>
                <w:rFonts w:ascii="宋体" w:hAnsi="宋体"/>
                <w:color w:val="auto"/>
                <w:sz w:val="24"/>
                <w:szCs w:val="24"/>
                <w:highlight w:val="none"/>
                <w:lang w:val="en-US" w:eastAsia="zh-CN"/>
              </w:rPr>
              <w:t xml:space="preserve">及内设</w:t>
            </w:r>
            <w:r/>
          </w:p>
          <w:p>
            <w:pPr>
              <w:pStyle w:val="767"/>
              <w:ind w:firstLine="0"/>
              <w:jc w:val="left"/>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机构情况</w:t>
            </w:r>
            <w:r/>
          </w:p>
        </w:tc>
        <w:tc>
          <w:tcPr>
            <w:gridSpan w:val="3"/>
            <w:tcW w:w="6662" w:type="dxa"/>
            <w:vAlign w:val="center"/>
            <w:textDirection w:val="lrTb"/>
            <w:noWrap w:val="false"/>
          </w:tcPr>
          <w:p>
            <w:pPr>
              <w:pStyle w:val="767"/>
              <w:ind w:firstLine="0"/>
              <w:jc w:val="center"/>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2552"/>
        </w:trPr>
        <w:tc>
          <w:tcPr>
            <w:tcW w:w="2127" w:type="dxa"/>
            <w:vAlign w:val="center"/>
            <w:textDirection w:val="lrTb"/>
            <w:noWrap w:val="false"/>
          </w:tcPr>
          <w:p>
            <w:pPr>
              <w:pStyle w:val="767"/>
              <w:ind w:firstLine="0"/>
              <w:jc w:val="left"/>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单位优势及特长</w:t>
            </w:r>
            <w:r/>
          </w:p>
        </w:tc>
        <w:tc>
          <w:tcPr>
            <w:gridSpan w:val="3"/>
            <w:tcW w:w="6662" w:type="dxa"/>
            <w:vAlign w:val="center"/>
            <w:textDirection w:val="lrTb"/>
            <w:noWrap w:val="false"/>
          </w:tcPr>
          <w:p>
            <w:pPr>
              <w:pStyle w:val="767"/>
              <w:ind w:firstLine="0"/>
              <w:jc w:val="center"/>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851" w:hRule="exact"/>
        </w:trPr>
        <w:tc>
          <w:tcPr>
            <w:gridSpan w:val="4"/>
            <w:tcW w:w="8789" w:type="dxa"/>
            <w:vAlign w:val="center"/>
            <w:textDirection w:val="lrTb"/>
            <w:noWrap w:val="false"/>
          </w:tcPr>
          <w:p>
            <w:pPr>
              <w:pStyle w:val="767"/>
              <w:ind w:firstLine="0"/>
              <w:jc w:val="left"/>
              <w:spacing w:line="360" w:lineRule="auto"/>
              <w:rPr>
                <w:rFonts w:ascii="宋体" w:hAnsi="宋体"/>
                <w:color w:val="auto"/>
                <w:sz w:val="24"/>
                <w:szCs w:val="24"/>
                <w:highlight w:val="none"/>
                <w:lang w:val="en-US" w:eastAsia="zh-CN"/>
              </w:rPr>
            </w:pPr>
            <w:r>
              <w:rPr>
                <w:rFonts w:ascii="宋体" w:hAnsi="宋体"/>
                <w:color w:val="auto"/>
                <w:sz w:val="24"/>
                <w:szCs w:val="24"/>
                <w:highlight w:val="none"/>
                <w:lang w:val="en-US" w:eastAsia="zh-CN"/>
              </w:rPr>
              <w:t xml:space="preserve">其他需要说明的情况：</w:t>
            </w:r>
            <w:r/>
          </w:p>
        </w:tc>
      </w:tr>
    </w:tbl>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highlight w:val="none"/>
        </w:rPr>
      </w:pPr>
      <w:r>
        <w:rPr>
          <w:rFonts w:ascii="宋体" w:hAnsi="宋体"/>
          <w:bCs/>
          <w:color w:val="auto"/>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spacing w:line="460" w:lineRule="exact"/>
        <w:rPr>
          <w:rFonts w:ascii="宋体" w:hAnsi="宋体"/>
          <w:b/>
          <w:bCs/>
          <w:color w:val="auto"/>
          <w:sz w:val="32"/>
          <w:szCs w:val="32"/>
          <w:highlight w:val="none"/>
        </w:rPr>
      </w:pPr>
      <w:r>
        <w:rPr>
          <w:rFonts w:ascii="宋体" w:hAnsi="Courier New"/>
          <w:color w:val="auto"/>
          <w:sz w:val="24"/>
          <w:szCs w:val="24"/>
          <w:highlight w:val="none"/>
        </w:rPr>
        <w:br w:type="page" w:clear="all"/>
      </w:r>
      <w:bookmarkStart w:id="167" w:name="_Toc87696364"/>
      <w:r>
        <w:rPr>
          <w:rFonts w:hint="eastAsia" w:ascii="宋体" w:hAnsi="宋体"/>
          <w:b/>
          <w:bCs/>
          <w:color w:val="auto"/>
          <w:sz w:val="32"/>
          <w:szCs w:val="32"/>
          <w:highlight w:val="none"/>
        </w:rPr>
        <w:t xml:space="preserve">2.会议室情况表</w:t>
      </w:r>
      <w:bookmarkEnd w:id="167"/>
      <w:r/>
      <w:r/>
    </w:p>
    <w:tbl>
      <w:tblPr>
        <w:tblStyle w:val="765"/>
        <w:tblW w:w="888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42"/>
        <w:gridCol w:w="906"/>
        <w:gridCol w:w="927"/>
        <w:gridCol w:w="732"/>
        <w:gridCol w:w="715"/>
        <w:gridCol w:w="732"/>
        <w:gridCol w:w="699"/>
        <w:gridCol w:w="732"/>
        <w:gridCol w:w="699"/>
        <w:gridCol w:w="699"/>
        <w:gridCol w:w="699"/>
        <w:gridCol w:w="699"/>
      </w:tblGrid>
      <w:tr>
        <w:trPr>
          <w:jc w:val="center"/>
          <w:trHeight w:val="1400" w:hRule="exact"/>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widowControl/>
              <w:rPr>
                <w:rFonts w:ascii="宋体" w:hAnsi="宋体" w:cs="宋体"/>
                <w:b/>
                <w:color w:val="auto"/>
                <w:sz w:val="24"/>
                <w:szCs w:val="24"/>
                <w:highlight w:val="none"/>
              </w:rPr>
            </w:pPr>
            <w:r>
              <w:rPr>
                <w:rFonts w:ascii="宋体" w:hAnsi="宋体" w:cs="宋体"/>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会议室类型</w:t>
            </w:r>
            <w:r/>
          </w:p>
        </w:tc>
        <w:tc>
          <w:tcPr>
            <w:tcBorders>
              <w:top w:val="single" w:color="000000" w:sz="4" w:space="0"/>
              <w:left w:val="none" w:color="000000" w:sz="4" w:space="0"/>
              <w:bottom w:val="single" w:color="000000" w:sz="4" w:space="0"/>
              <w:right w:val="single" w:color="000000" w:sz="4" w:space="0"/>
            </w:tcBorders>
            <w:tcW w:w="927"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会议室名称</w:t>
            </w:r>
            <w:r/>
          </w:p>
        </w:tc>
        <w:tc>
          <w:tcPr>
            <w:tcBorders>
              <w:top w:val="singl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建筑面积（平米）</w:t>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使用面积</w:t>
            </w:r>
            <w:r>
              <w:rPr>
                <w:rFonts w:hint="eastAsia" w:ascii="宋体" w:hAnsi="宋体"/>
                <w:b/>
                <w:color w:val="auto"/>
                <w:sz w:val="24"/>
                <w:szCs w:val="24"/>
                <w:highlight w:val="none"/>
              </w:rPr>
              <w:t xml:space="preserve">(</w:t>
            </w:r>
            <w:r>
              <w:rPr>
                <w:rFonts w:hint="eastAsia" w:ascii="宋体" w:hAnsi="宋体" w:cs="宋体"/>
                <w:b/>
                <w:color w:val="auto"/>
                <w:sz w:val="24"/>
                <w:szCs w:val="24"/>
                <w:highlight w:val="none"/>
              </w:rPr>
              <w:t xml:space="preserve">平米</w:t>
            </w:r>
            <w:r>
              <w:rPr>
                <w:rFonts w:hint="eastAsia" w:ascii="宋体" w:hAnsi="宋体"/>
                <w:b/>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容纳人数</w:t>
            </w:r>
            <w:r>
              <w:rPr>
                <w:rFonts w:hint="eastAsia" w:ascii="宋体" w:hAnsi="宋体"/>
                <w:b/>
                <w:color w:val="auto"/>
                <w:sz w:val="24"/>
                <w:szCs w:val="24"/>
                <w:highlight w:val="none"/>
              </w:rPr>
              <w:t xml:space="preserve">(</w:t>
            </w:r>
            <w:r>
              <w:rPr>
                <w:rFonts w:hint="eastAsia" w:ascii="宋体" w:hAnsi="宋体" w:cs="宋体"/>
                <w:b/>
                <w:color w:val="auto"/>
                <w:sz w:val="24"/>
                <w:szCs w:val="24"/>
                <w:highlight w:val="none"/>
              </w:rPr>
              <w:t xml:space="preserve">人</w:t>
            </w:r>
            <w:r>
              <w:rPr>
                <w:rFonts w:hint="eastAsia" w:ascii="宋体" w:hAnsi="宋体"/>
                <w:b/>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同声翻译</w:t>
            </w:r>
            <w:r/>
          </w:p>
        </w:tc>
        <w:tc>
          <w:tcPr>
            <w:tcBorders>
              <w:top w:val="singl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投影机、幕布</w:t>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视频会议</w:t>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话筒</w:t>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因特网</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其他现代化设施</w:t>
            </w:r>
            <w:r/>
          </w:p>
        </w:tc>
      </w:tr>
      <w:tr>
        <w:trPr>
          <w:jc w:val="center"/>
          <w:trHeight w:val="567" w:hRule="exact"/>
        </w:trPr>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non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927"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567" w:hRule="exact"/>
        </w:trPr>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non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927"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567" w:hRule="exact"/>
        </w:trPr>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non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927"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567" w:hRule="exact"/>
        </w:trPr>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927"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567" w:hRule="exact"/>
        </w:trPr>
        <w:tc>
          <w:tcPr>
            <w:tcBorders>
              <w:top w:val="none" w:color="000000" w:sz="4" w:space="0"/>
              <w:left w:val="single" w:color="000000" w:sz="4" w:space="0"/>
              <w:bottom w:val="single" w:color="000000" w:sz="8" w:space="0"/>
              <w:right w:val="single" w:color="000000" w:sz="4" w:space="0"/>
            </w:tcBorders>
            <w:tcW w:w="642"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000000" w:sz="4" w:space="0"/>
              <w:bottom w:val="single" w:color="000000" w:sz="8" w:space="0"/>
              <w:right w:val="single" w:color="000000" w:sz="4" w:space="0"/>
            </w:tcBorders>
            <w:tcW w:w="90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927"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15"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ascii="宋体" w:hAnsi="宋体"/>
          <w:color w:val="auto"/>
          <w:highlight w:val="none"/>
        </w:rPr>
        <w:t xml:space="preserve"> 会议室类型</w:t>
      </w:r>
      <w:r>
        <w:rPr>
          <w:rFonts w:hint="eastAsia" w:ascii="宋体" w:hAnsi="宋体"/>
          <w:color w:val="auto"/>
          <w:highlight w:val="none"/>
        </w:rPr>
        <w:t xml:space="preserve">为</w:t>
      </w:r>
      <w:r>
        <w:rPr>
          <w:rFonts w:ascii="宋体" w:hAnsi="宋体"/>
          <w:b/>
          <w:color w:val="auto"/>
          <w:highlight w:val="none"/>
          <w:u w:val="single"/>
        </w:rPr>
        <w:t xml:space="preserve">大会议室</w:t>
      </w:r>
      <w:r>
        <w:rPr>
          <w:rFonts w:ascii="宋体" w:hAnsi="宋体"/>
          <w:color w:val="auto"/>
          <w:highlight w:val="none"/>
        </w:rPr>
        <w:t xml:space="preserve">、</w:t>
      </w:r>
      <w:r>
        <w:rPr>
          <w:rFonts w:ascii="宋体" w:hAnsi="宋体"/>
          <w:b/>
          <w:color w:val="auto"/>
          <w:highlight w:val="none"/>
          <w:u w:val="single"/>
        </w:rPr>
        <w:t xml:space="preserve">中会议室</w:t>
      </w:r>
      <w:r>
        <w:rPr>
          <w:rFonts w:ascii="宋体" w:hAnsi="宋体"/>
          <w:color w:val="auto"/>
          <w:highlight w:val="none"/>
        </w:rPr>
        <w:t xml:space="preserve">、</w:t>
      </w:r>
      <w:r>
        <w:rPr>
          <w:rFonts w:ascii="宋体" w:hAnsi="宋体"/>
          <w:b/>
          <w:color w:val="auto"/>
          <w:highlight w:val="none"/>
          <w:u w:val="single"/>
        </w:rPr>
        <w:t xml:space="preserve">小会议室</w:t>
      </w:r>
      <w:r>
        <w:rPr>
          <w:rFonts w:hint="eastAsia" w:ascii="宋体" w:hAnsi="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 表格不够可自行增行。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 大会议室（200平方以上（含））人数多少以课桌式计算。</w:t>
      </w:r>
      <w:r/>
    </w:p>
    <w:p>
      <w:pPr>
        <w:ind w:firstLine="420"/>
        <w:spacing w:line="360" w:lineRule="auto"/>
        <w:rPr>
          <w:rFonts w:ascii="宋体" w:hAnsi="宋体"/>
          <w:color w:val="auto"/>
          <w:highlight w:val="none"/>
        </w:rPr>
      </w:pPr>
      <w:r>
        <w:rPr>
          <w:rFonts w:hint="eastAsia" w:ascii="宋体" w:hAnsi="宋体"/>
          <w:color w:val="auto"/>
          <w:highlight w:val="none"/>
        </w:rPr>
        <w:t xml:space="preserve">4. 每个会议室必须至少提供一张现场全景彩色图片，以说明会议室实际情况。未提供或不符合要求的视为无效申请文件</w:t>
      </w:r>
      <w:r>
        <w:rPr>
          <w:rFonts w:hint="eastAsia" w:ascii="宋体" w:hAnsi="宋体" w:cs="宋体"/>
          <w:color w:val="auto"/>
          <w:highlight w:val="none"/>
        </w:rPr>
        <w:t xml:space="preserve">。</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spacing w:line="460" w:lineRule="exact"/>
        <w:rPr>
          <w:rFonts w:ascii="宋体" w:hAnsi="宋体"/>
          <w:b/>
          <w:bCs/>
          <w:color w:val="auto"/>
          <w:sz w:val="32"/>
          <w:szCs w:val="32"/>
          <w:highlight w:val="none"/>
        </w:rPr>
      </w:pPr>
      <w:r>
        <w:rPr>
          <w:rFonts w:ascii="宋体" w:hAnsi="Courier New"/>
          <w:color w:val="auto"/>
          <w:sz w:val="24"/>
          <w:szCs w:val="24"/>
          <w:highlight w:val="none"/>
        </w:rPr>
        <w:br w:type="page" w:clear="all"/>
      </w:r>
      <w:bookmarkStart w:id="168" w:name="_Toc87696365"/>
      <w:r>
        <w:rPr>
          <w:rFonts w:hint="eastAsia" w:ascii="宋体" w:hAnsi="宋体"/>
          <w:b/>
          <w:bCs/>
          <w:color w:val="auto"/>
          <w:sz w:val="32"/>
          <w:szCs w:val="32"/>
          <w:highlight w:val="none"/>
        </w:rPr>
        <w:t xml:space="preserve">3.客房情况表</w:t>
      </w:r>
      <w:bookmarkEnd w:id="168"/>
      <w:r/>
      <w:r/>
    </w:p>
    <w:tbl>
      <w:tblPr>
        <w:tblStyle w:val="765"/>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434"/>
        <w:gridCol w:w="1401"/>
        <w:gridCol w:w="1417"/>
        <w:gridCol w:w="1843"/>
        <w:gridCol w:w="1843"/>
      </w:tblGrid>
      <w:tr>
        <w:trPr>
          <w:trHeight w:val="858"/>
        </w:trPr>
        <w:tc>
          <w:tcPr>
            <w:tcW w:w="851" w:type="dxa"/>
            <w:vAlign w:val="center"/>
            <w:textDirection w:val="lrTb"/>
            <w:noWrap w:val="false"/>
          </w:tcPr>
          <w:p>
            <w:pPr>
              <w:jc w:val="center"/>
              <w:rPr>
                <w:rFonts w:ascii="宋体" w:hAnsi="宋体"/>
                <w:b/>
                <w:color w:val="auto"/>
                <w:sz w:val="24"/>
                <w:szCs w:val="24"/>
                <w:highlight w:val="none"/>
              </w:rPr>
            </w:pPr>
            <w:r>
              <w:rPr>
                <w:rFonts w:ascii="宋体" w:hAnsi="宋体"/>
                <w:b/>
                <w:color w:val="auto"/>
                <w:sz w:val="24"/>
                <w:szCs w:val="24"/>
                <w:highlight w:val="none"/>
              </w:rPr>
              <w:t xml:space="preserve">序号</w:t>
            </w:r>
            <w:r/>
          </w:p>
        </w:tc>
        <w:tc>
          <w:tcPr>
            <w:tcW w:w="1434" w:type="dxa"/>
            <w:vAlign w:val="center"/>
            <w:textDirection w:val="lrTb"/>
            <w:noWrap w:val="false"/>
          </w:tcPr>
          <w:p>
            <w:pPr>
              <w:jc w:val="center"/>
              <w:rPr>
                <w:rFonts w:ascii="宋体" w:hAnsi="宋体"/>
                <w:b/>
                <w:color w:val="auto"/>
                <w:sz w:val="24"/>
                <w:szCs w:val="24"/>
                <w:highlight w:val="none"/>
              </w:rPr>
            </w:pPr>
            <w:r>
              <w:rPr>
                <w:rFonts w:hint="eastAsia" w:ascii="宋体" w:hAnsi="宋体"/>
                <w:b/>
                <w:bCs/>
                <w:color w:val="auto"/>
                <w:sz w:val="24"/>
                <w:szCs w:val="24"/>
                <w:highlight w:val="none"/>
              </w:rPr>
              <w:t xml:space="preserve">房间</w:t>
            </w:r>
            <w:r>
              <w:rPr>
                <w:rFonts w:ascii="宋体" w:hAnsi="宋体"/>
                <w:b/>
                <w:bCs/>
                <w:color w:val="auto"/>
                <w:sz w:val="24"/>
                <w:szCs w:val="24"/>
                <w:highlight w:val="none"/>
              </w:rPr>
              <w:t xml:space="preserve">类型</w:t>
            </w:r>
            <w:r/>
          </w:p>
        </w:tc>
        <w:tc>
          <w:tcPr>
            <w:tcW w:w="1401" w:type="dxa"/>
            <w:vAlign w:val="center"/>
            <w:textDirection w:val="lrTb"/>
            <w:noWrap w:val="false"/>
          </w:tcPr>
          <w:p>
            <w:pPr>
              <w:jc w:val="center"/>
              <w:tabs>
                <w:tab w:val="left" w:pos="6252" w:leader="none"/>
              </w:tabs>
              <w:rPr>
                <w:rFonts w:ascii="宋体" w:hAnsi="宋体"/>
                <w:b/>
                <w:color w:val="auto"/>
                <w:sz w:val="24"/>
                <w:szCs w:val="24"/>
                <w:highlight w:val="none"/>
              </w:rPr>
            </w:pPr>
            <w:r>
              <w:rPr>
                <w:rFonts w:ascii="宋体" w:hAnsi="宋体"/>
                <w:b/>
                <w:bCs/>
                <w:color w:val="auto"/>
                <w:sz w:val="24"/>
                <w:szCs w:val="24"/>
                <w:highlight w:val="none"/>
              </w:rPr>
              <w:t xml:space="preserve">数量</w:t>
            </w:r>
            <w:r>
              <w:rPr>
                <w:rFonts w:hint="eastAsia" w:ascii="宋体" w:hAnsi="宋体"/>
                <w:b/>
                <w:bCs/>
                <w:color w:val="auto"/>
                <w:sz w:val="24"/>
                <w:szCs w:val="24"/>
                <w:highlight w:val="none"/>
              </w:rPr>
              <w:t xml:space="preserve">（个）</w:t>
            </w:r>
            <w:r/>
          </w:p>
        </w:tc>
        <w:tc>
          <w:tcPr>
            <w:tcW w:w="1417" w:type="dxa"/>
            <w:vAlign w:val="center"/>
            <w:textDirection w:val="lrTb"/>
            <w:noWrap w:val="false"/>
          </w:tcPr>
          <w:p>
            <w:pPr>
              <w:jc w:val="center"/>
              <w:tabs>
                <w:tab w:val="left" w:pos="6252" w:leader="none"/>
              </w:tabs>
              <w:rPr>
                <w:rFonts w:ascii="宋体" w:hAnsi="宋体"/>
                <w:b/>
                <w:color w:val="auto"/>
                <w:sz w:val="24"/>
                <w:szCs w:val="24"/>
                <w:highlight w:val="none"/>
              </w:rPr>
            </w:pPr>
            <w:r>
              <w:rPr>
                <w:rFonts w:hint="eastAsia" w:ascii="宋体" w:hAnsi="宋体"/>
                <w:b/>
                <w:bCs/>
                <w:color w:val="auto"/>
                <w:sz w:val="24"/>
                <w:szCs w:val="24"/>
                <w:highlight w:val="none"/>
              </w:rPr>
              <w:t xml:space="preserve">面积（㎡）</w:t>
            </w:r>
            <w:r/>
          </w:p>
        </w:tc>
        <w:tc>
          <w:tcPr>
            <w:tcW w:w="1843" w:type="dxa"/>
            <w:vAlign w:val="center"/>
            <w:textDirection w:val="lrTb"/>
            <w:noWrap w:val="false"/>
          </w:tcPr>
          <w:p>
            <w:pPr>
              <w:jc w:val="center"/>
              <w:tabs>
                <w:tab w:val="left" w:pos="6252" w:leader="none"/>
              </w:tabs>
              <w:rPr>
                <w:rFonts w:ascii="宋体" w:hAnsi="宋体"/>
                <w:b/>
                <w:color w:val="auto"/>
                <w:sz w:val="24"/>
                <w:szCs w:val="24"/>
                <w:highlight w:val="none"/>
              </w:rPr>
            </w:pPr>
            <w:r>
              <w:rPr>
                <w:rFonts w:hint="eastAsia" w:ascii="宋体" w:hAnsi="宋体"/>
                <w:b/>
                <w:bCs/>
                <w:color w:val="auto"/>
                <w:sz w:val="24"/>
                <w:szCs w:val="24"/>
                <w:highlight w:val="none"/>
              </w:rPr>
              <w:t xml:space="preserve">最近一次</w:t>
            </w:r>
            <w:r>
              <w:rPr>
                <w:rFonts w:ascii="宋体" w:hAnsi="宋体"/>
                <w:b/>
                <w:bCs/>
                <w:color w:val="auto"/>
                <w:sz w:val="24"/>
                <w:szCs w:val="24"/>
                <w:highlight w:val="none"/>
              </w:rPr>
              <w:t xml:space="preserve">装修年份</w:t>
            </w:r>
            <w:r/>
          </w:p>
        </w:tc>
        <w:tc>
          <w:tcPr>
            <w:tcW w:w="1843" w:type="dxa"/>
            <w:vAlign w:val="center"/>
            <w:textDirection w:val="lrTb"/>
            <w:noWrap w:val="false"/>
          </w:tcPr>
          <w:p>
            <w:pPr>
              <w:jc w:val="center"/>
              <w:tabs>
                <w:tab w:val="left" w:pos="6252" w:leader="none"/>
              </w:tabs>
              <w:rPr>
                <w:rFonts w:ascii="宋体" w:hAnsi="宋体"/>
                <w:b/>
                <w:color w:val="auto"/>
                <w:sz w:val="24"/>
                <w:szCs w:val="24"/>
                <w:highlight w:val="none"/>
              </w:rPr>
            </w:pPr>
            <w:r>
              <w:rPr>
                <w:rFonts w:hint="eastAsia" w:ascii="宋体" w:hAnsi="宋体"/>
                <w:b/>
                <w:bCs/>
                <w:color w:val="auto"/>
                <w:sz w:val="24"/>
                <w:szCs w:val="24"/>
                <w:highlight w:val="none"/>
              </w:rPr>
              <w:t xml:space="preserve">内部设施简单描述</w:t>
            </w:r>
            <w:r/>
          </w:p>
        </w:tc>
      </w:tr>
      <w:tr>
        <w:trPr>
          <w:trHeight w:val="567" w:hRule="exact"/>
        </w:trPr>
        <w:tc>
          <w:tcPr>
            <w:tcW w:w="8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1</w:t>
            </w:r>
            <w:r/>
          </w:p>
        </w:tc>
        <w:tc>
          <w:tcPr>
            <w:tcW w:w="14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0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1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4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0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1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85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0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1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8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0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1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8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0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1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 </w:t>
      </w:r>
      <w:r>
        <w:rPr>
          <w:rFonts w:ascii="宋体" w:hAnsi="宋体"/>
          <w:color w:val="auto"/>
          <w:highlight w:val="none"/>
        </w:rPr>
        <w:t xml:space="preserve">房间类型包括单间、标准间</w:t>
      </w:r>
      <w:r>
        <w:rPr>
          <w:rFonts w:hint="eastAsia" w:ascii="宋体" w:hAnsi="宋体"/>
          <w:color w:val="auto"/>
          <w:highlight w:val="none"/>
        </w:rPr>
        <w:t xml:space="preserve">、</w:t>
      </w:r>
      <w:r>
        <w:rPr>
          <w:rFonts w:ascii="宋体" w:hAnsi="宋体"/>
          <w:color w:val="auto"/>
          <w:highlight w:val="none"/>
        </w:rPr>
        <w:t xml:space="preserve">套间等</w:t>
      </w:r>
      <w:r>
        <w:rPr>
          <w:rFonts w:hint="eastAsia" w:ascii="宋体" w:hAnsi="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olor w:val="auto"/>
          <w:highlight w:val="none"/>
        </w:rPr>
        <w:t xml:space="preserve">2. 每个类型的房间须附2张及以上现场彩色图片，至少包括卧室、卫生间。未提供或不符合要求的视为无效申请文件</w:t>
      </w:r>
      <w:r>
        <w:rPr>
          <w:rFonts w:hint="eastAsia" w:ascii="宋体" w:hAnsi="宋体" w:cs="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3.“面积”填写该类房间的面积区间范围。</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 上述篇幅无法满足填写要求的可</w:t>
      </w:r>
      <w:r>
        <w:rPr>
          <w:rFonts w:hint="eastAsia" w:ascii="宋体" w:hAnsi="宋体"/>
          <w:color w:val="auto"/>
          <w:highlight w:val="none"/>
        </w:rPr>
        <w:t xml:space="preserve">自行增行。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5. 上述表格须按内容要求如实填写完整。</w:t>
      </w:r>
      <w:r/>
    </w:p>
    <w:p>
      <w:pPr>
        <w:pStyle w:val="788"/>
        <w:rPr>
          <w:rFonts w:hint="eastAsia" w:eastAsia="宋体"/>
          <w:color w:val="auto"/>
          <w:highlight w:val="none"/>
          <w:lang w:val="en-US" w:eastAsia="zh-CN"/>
        </w:rPr>
      </w:pPr>
      <w:r/>
      <w:bookmarkStart w:id="169" w:name="OLE_LINK14"/>
      <w:r>
        <w:rPr>
          <w:rFonts w:hint="eastAsia"/>
          <w:color w:val="auto"/>
          <w:highlight w:val="none"/>
          <w:lang w:val="en-US" w:eastAsia="zh-CN"/>
        </w:rPr>
        <w:t xml:space="preserve">6</w:t>
      </w:r>
      <w:r>
        <w:rPr>
          <w:rFonts w:hint="eastAsia" w:ascii="宋体" w:hAnsi="宋体" w:eastAsia="宋体" w:cs="Times New Roman"/>
          <w:color w:val="auto"/>
          <w:sz w:val="21"/>
          <w:szCs w:val="21"/>
          <w:highlight w:val="none"/>
          <w:lang w:val="en-US" w:eastAsia="zh-CN"/>
        </w:rPr>
        <w:t xml:space="preserve">.</w:t>
      </w:r>
      <w:r>
        <w:rPr>
          <w:rFonts w:hint="eastAsia"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lang w:val="en-US" w:eastAsia="zh-CN"/>
        </w:rPr>
        <w:t xml:space="preserve">报</w:t>
      </w:r>
      <w:r>
        <w:rPr>
          <w:rFonts w:hint="eastAsia" w:cs="Times New Roman"/>
          <w:color w:val="auto"/>
          <w:sz w:val="21"/>
          <w:szCs w:val="21"/>
          <w:highlight w:val="none"/>
          <w:lang w:eastAsia="zh-CN"/>
        </w:rPr>
        <w:t xml:space="preserve">采购包</w:t>
      </w:r>
      <w:r>
        <w:rPr>
          <w:rFonts w:hint="eastAsia" w:ascii="宋体" w:hAnsi="宋体" w:eastAsia="宋体" w:cs="Times New Roman"/>
          <w:color w:val="auto"/>
          <w:sz w:val="21"/>
          <w:szCs w:val="21"/>
          <w:highlight w:val="none"/>
        </w:rPr>
        <w:t xml:space="preserve">二</w:t>
      </w:r>
      <w:r>
        <w:rPr>
          <w:rFonts w:hint="eastAsia" w:cs="Times New Roman"/>
          <w:color w:val="auto"/>
          <w:sz w:val="21"/>
          <w:szCs w:val="21"/>
          <w:highlight w:val="none"/>
          <w:lang w:eastAsia="zh-CN"/>
        </w:rPr>
        <w:t xml:space="preserve">的供应商无需提供该表。</w:t>
      </w:r>
      <w:bookmarkEnd w:id="169"/>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spacing w:line="360" w:lineRule="auto"/>
        <w:rPr>
          <w:rFonts w:ascii="宋体" w:hAnsi="宋体"/>
          <w:b/>
          <w:bCs/>
          <w:color w:val="auto"/>
          <w:sz w:val="32"/>
          <w:szCs w:val="32"/>
          <w:highlight w:val="none"/>
        </w:rPr>
      </w:pPr>
      <w:r>
        <w:rPr>
          <w:rFonts w:ascii="宋体" w:hAnsi="Courier New"/>
          <w:color w:val="auto"/>
          <w:sz w:val="24"/>
          <w:szCs w:val="24"/>
          <w:highlight w:val="none"/>
        </w:rPr>
        <w:br w:type="page" w:clear="all"/>
      </w:r>
      <w:bookmarkStart w:id="170" w:name="_Toc87696366"/>
      <w:r>
        <w:rPr>
          <w:rFonts w:hint="eastAsia" w:ascii="宋体" w:hAnsi="宋体"/>
          <w:b/>
          <w:bCs/>
          <w:color w:val="auto"/>
          <w:sz w:val="32"/>
          <w:szCs w:val="32"/>
          <w:highlight w:val="none"/>
        </w:rPr>
        <w:t xml:space="preserve">4.餐饮设施情况表</w:t>
      </w:r>
      <w:bookmarkEnd w:id="170"/>
      <w:r/>
      <w:r/>
    </w:p>
    <w:tbl>
      <w:tblPr>
        <w:tblStyle w:val="765"/>
        <w:tblW w:w="874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191"/>
        <w:gridCol w:w="2266"/>
        <w:gridCol w:w="2360"/>
        <w:gridCol w:w="1928"/>
      </w:tblGrid>
      <w:tr>
        <w:trPr>
          <w:jc w:val="center"/>
          <w:trHeight w:val="680" w:hRule="exact"/>
        </w:trPr>
        <w:tc>
          <w:tcPr>
            <w:tcBorders>
              <w:top w:val="single" w:color="000000" w:sz="8" w:space="0"/>
              <w:left w:val="single" w:color="000000" w:sz="8" w:space="0"/>
              <w:bottom w:val="single" w:color="000000" w:sz="4" w:space="0"/>
              <w:right w:val="single" w:color="000000" w:sz="4" w:space="0"/>
            </w:tcBorders>
            <w:tcW w:w="2191"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餐厅类型</w:t>
            </w:r>
            <w:r/>
          </w:p>
        </w:tc>
        <w:tc>
          <w:tcPr>
            <w:tcBorders>
              <w:top w:val="single" w:color="000000" w:sz="8" w:space="0"/>
              <w:left w:val="non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餐厅名称</w:t>
            </w:r>
            <w:r/>
          </w:p>
        </w:tc>
        <w:tc>
          <w:tcPr>
            <w:tcBorders>
              <w:top w:val="single" w:color="000000" w:sz="8" w:space="0"/>
              <w:left w:val="none" w:color="000000" w:sz="4" w:space="0"/>
              <w:bottom w:val="single" w:color="000000" w:sz="4" w:space="0"/>
              <w:right w:val="single" w:color="000000" w:sz="4" w:space="0"/>
            </w:tcBorders>
            <w:tcW w:w="2360"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餐厅面积（㎡）</w:t>
            </w:r>
            <w:r/>
          </w:p>
        </w:tc>
        <w:tc>
          <w:tcPr>
            <w:tcBorders>
              <w:top w:val="single" w:color="000000" w:sz="8" w:space="0"/>
              <w:left w:val="non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座位数量</w:t>
            </w:r>
            <w:r/>
          </w:p>
        </w:tc>
      </w:tr>
      <w:tr>
        <w:trPr>
          <w:jc w:val="center"/>
          <w:trHeight w:val="680" w:hRule="exact"/>
        </w:trPr>
        <w:tc>
          <w:tcPr>
            <w:tcBorders>
              <w:top w:val="none" w:color="000000" w:sz="4" w:space="0"/>
              <w:left w:val="single" w:color="000000" w:sz="8" w:space="0"/>
              <w:bottom w:val="single" w:color="000000" w:sz="4" w:space="0"/>
              <w:right w:val="single" w:color="000000" w:sz="4" w:space="0"/>
            </w:tcBorders>
            <w:tcW w:w="219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中餐厅</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hRule="exact"/>
        </w:trPr>
        <w:tc>
          <w:tcPr>
            <w:tcBorders>
              <w:top w:val="none" w:color="000000" w:sz="4" w:space="0"/>
              <w:left w:val="single" w:color="000000" w:sz="8" w:space="0"/>
              <w:bottom w:val="single" w:color="000000" w:sz="4" w:space="0"/>
              <w:right w:val="single" w:color="000000" w:sz="4" w:space="0"/>
            </w:tcBorders>
            <w:tcW w:w="219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西餐厅</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hRule="exact"/>
        </w:trPr>
        <w:tc>
          <w:tcPr>
            <w:tcBorders>
              <w:top w:val="none" w:color="000000" w:sz="4" w:space="0"/>
              <w:left w:val="single" w:color="000000" w:sz="8" w:space="0"/>
              <w:bottom w:val="single" w:color="000000" w:sz="4" w:space="0"/>
              <w:right w:val="single" w:color="000000" w:sz="4" w:space="0"/>
            </w:tcBorders>
            <w:tcW w:w="219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清真餐厅</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hRule="exact"/>
        </w:trPr>
        <w:tc>
          <w:tcPr>
            <w:tcBorders>
              <w:top w:val="none" w:color="000000" w:sz="4" w:space="0"/>
              <w:left w:val="single" w:color="000000" w:sz="8" w:space="0"/>
              <w:bottom w:val="single" w:color="000000" w:sz="4" w:space="0"/>
              <w:right w:val="single" w:color="000000" w:sz="4" w:space="0"/>
            </w:tcBorders>
            <w:tcW w:w="219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食街/快餐厅</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hRule="exact"/>
        </w:trPr>
        <w:tc>
          <w:tcPr>
            <w:tcBorders>
              <w:top w:val="none" w:color="000000" w:sz="4" w:space="0"/>
              <w:left w:val="single" w:color="000000" w:sz="8" w:space="0"/>
              <w:bottom w:val="single" w:color="000000" w:sz="4" w:space="0"/>
              <w:right w:val="single" w:color="000000" w:sz="4" w:space="0"/>
            </w:tcBorders>
            <w:tcW w:w="219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其他餐厅</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hRule="exact"/>
        </w:trPr>
        <w:tc>
          <w:tcPr>
            <w:tcBorders>
              <w:top w:val="none" w:color="000000" w:sz="4" w:space="0"/>
              <w:left w:val="single" w:color="000000" w:sz="8" w:space="0"/>
              <w:bottom w:val="single" w:color="000000" w:sz="4" w:space="0"/>
              <w:right w:val="single" w:color="000000" w:sz="4" w:space="0"/>
            </w:tcBorders>
            <w:tcW w:w="219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236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928"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hRule="exact"/>
        </w:trPr>
        <w:tc>
          <w:tcPr>
            <w:gridSpan w:val="2"/>
            <w:tcBorders>
              <w:top w:val="none" w:color="000000" w:sz="4" w:space="0"/>
              <w:left w:val="single" w:color="000000" w:sz="8" w:space="0"/>
              <w:bottom w:val="single" w:color="000000" w:sz="8" w:space="0"/>
              <w:right w:val="single" w:color="000000" w:sz="4" w:space="0"/>
            </w:tcBorders>
            <w:tcW w:w="4457" w:type="dxa"/>
            <w:vAlign w:val="center"/>
            <w:textDirection w:val="lrTb"/>
            <w:noWrap w:val="false"/>
          </w:tcPr>
          <w:p>
            <w:pPr>
              <w:widowControl/>
              <w:rPr>
                <w:rFonts w:ascii="宋体" w:hAnsi="宋体" w:cs="宋体"/>
                <w:color w:val="auto"/>
                <w:sz w:val="24"/>
                <w:szCs w:val="24"/>
                <w:highlight w:val="none"/>
              </w:rPr>
            </w:pPr>
            <w:r>
              <w:rPr>
                <w:rFonts w:hint="eastAsia" w:ascii="宋体" w:hAnsi="宋体"/>
                <w:color w:val="auto"/>
                <w:sz w:val="24"/>
                <w:szCs w:val="24"/>
                <w:highlight w:val="none"/>
              </w:rPr>
              <w:t xml:space="preserve">非自助餐菜单价格基础上的折扣</w:t>
            </w:r>
            <w:r/>
          </w:p>
        </w:tc>
        <w:tc>
          <w:tcPr>
            <w:gridSpan w:val="2"/>
            <w:tcBorders>
              <w:top w:val="none" w:color="000000" w:sz="4" w:space="0"/>
              <w:left w:val="none" w:color="000000" w:sz="4" w:space="0"/>
              <w:bottom w:val="single" w:color="000000" w:sz="8" w:space="0"/>
              <w:right w:val="single" w:color="000000" w:sz="4" w:space="0"/>
            </w:tcBorders>
            <w:tcW w:w="428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s="宋体"/>
          <w:color w:val="auto"/>
          <w:highlight w:val="none"/>
        </w:rPr>
      </w:pPr>
      <w:r>
        <w:rPr>
          <w:rFonts w:hint="eastAsia" w:ascii="宋体" w:hAnsi="宋体"/>
          <w:color w:val="auto"/>
          <w:highlight w:val="none"/>
        </w:rPr>
        <w:t xml:space="preserve">注：1.</w:t>
      </w:r>
      <w:r>
        <w:rPr>
          <w:rFonts w:hint="eastAsia" w:ascii="宋体" w:hAnsi="宋体" w:cs="宋体"/>
          <w:color w:val="auto"/>
          <w:highlight w:val="none"/>
        </w:rPr>
        <w:t xml:space="preserve">其他餐厅应列举详细清单。</w:t>
      </w:r>
      <w:r/>
    </w:p>
    <w:p>
      <w:pPr>
        <w:ind w:firstLine="420"/>
        <w:spacing w:line="360" w:lineRule="auto"/>
        <w:rPr>
          <w:rFonts w:ascii="宋体" w:hAnsi="宋体"/>
          <w:color w:val="auto"/>
          <w:highlight w:val="none"/>
        </w:rPr>
      </w:pPr>
      <w:r>
        <w:rPr>
          <w:rFonts w:hint="eastAsia" w:ascii="宋体" w:hAnsi="宋体"/>
          <w:color w:val="auto"/>
          <w:highlight w:val="none"/>
        </w:rPr>
        <w:t xml:space="preserve">2.每种餐厅类型必须至少提供一张图片，以说明餐厅实际情况。</w:t>
      </w:r>
      <w:r/>
    </w:p>
    <w:p>
      <w:pPr>
        <w:ind w:firstLine="420"/>
        <w:spacing w:line="360" w:lineRule="auto"/>
        <w:rPr>
          <w:rFonts w:ascii="宋体" w:hAnsi="宋体"/>
          <w:color w:val="auto"/>
          <w:highlight w:val="none"/>
        </w:rPr>
      </w:pPr>
      <w:r>
        <w:rPr>
          <w:rFonts w:hint="eastAsia" w:ascii="宋体" w:hAnsi="宋体"/>
          <w:color w:val="auto"/>
          <w:highlight w:val="none"/>
        </w:rPr>
        <w:t xml:space="preserve">3.非自助餐菜单价格基础上的折扣，折扣以“%”的形式填写，如“八五折”应填写为“85%”，折扣精确到整数位,不带小数位（四舍五入）。</w:t>
      </w:r>
      <w:r/>
    </w:p>
    <w:p>
      <w:pPr>
        <w:ind w:firstLine="420"/>
        <w:spacing w:line="360" w:lineRule="auto"/>
        <w:rPr>
          <w:rFonts w:hint="eastAsia" w:ascii="宋体" w:hAnsi="宋体"/>
          <w:color w:val="auto"/>
          <w:highlight w:val="none"/>
        </w:rPr>
      </w:pPr>
      <w:r>
        <w:rPr>
          <w:rFonts w:ascii="宋体" w:hAnsi="宋体"/>
          <w:color w:val="auto"/>
          <w:highlight w:val="none"/>
        </w:rPr>
        <w:t xml:space="preserve">4</w:t>
      </w:r>
      <w:r>
        <w:rPr>
          <w:rFonts w:hint="eastAsia" w:ascii="宋体" w:hAnsi="宋体"/>
          <w:color w:val="auto"/>
          <w:highlight w:val="none"/>
        </w:rPr>
        <w:t xml:space="preserve">.提供80个人、60元/位标准的自助餐和80个人、80元/位的自助餐菜单，附于本表后，菜单应包括具体的菜名（明确菜的主要组成原料）、饮料、点心和水果等。</w:t>
      </w:r>
      <w:r/>
    </w:p>
    <w:p>
      <w:pPr>
        <w:pStyle w:val="788"/>
        <w:rPr>
          <w:rFonts w:hint="eastAsia" w:eastAsia="宋体"/>
          <w:color w:val="auto"/>
          <w:highlight w:val="none"/>
          <w:lang w:val="en-US" w:eastAsia="zh-CN"/>
        </w:rPr>
      </w:pPr>
      <w:r>
        <w:rPr>
          <w:rFonts w:hint="eastAsia"/>
          <w:color w:val="auto"/>
          <w:highlight w:val="none"/>
          <w:lang w:val="en-US" w:eastAsia="zh-CN"/>
        </w:rPr>
        <w:t xml:space="preserve">5</w:t>
      </w:r>
      <w:r>
        <w:rPr>
          <w:rFonts w:hint="eastAsia" w:ascii="宋体" w:hAnsi="宋体" w:eastAsia="宋体" w:cs="Times New Roman"/>
          <w:color w:val="auto"/>
          <w:sz w:val="21"/>
          <w:szCs w:val="21"/>
          <w:highlight w:val="none"/>
          <w:lang w:val="en-US" w:eastAsia="zh-CN"/>
        </w:rPr>
        <w:t xml:space="preserve">.</w:t>
      </w:r>
      <w:r>
        <w:rPr>
          <w:rFonts w:hint="eastAsia"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lang w:val="en-US" w:eastAsia="zh-CN"/>
        </w:rPr>
        <w:t xml:space="preserve">报</w:t>
      </w:r>
      <w:r>
        <w:rPr>
          <w:rFonts w:hint="eastAsia" w:cs="Times New Roman"/>
          <w:color w:val="auto"/>
          <w:sz w:val="21"/>
          <w:szCs w:val="21"/>
          <w:highlight w:val="none"/>
          <w:lang w:eastAsia="zh-CN"/>
        </w:rPr>
        <w:t xml:space="preserve">采购包</w:t>
      </w:r>
      <w:r>
        <w:rPr>
          <w:rFonts w:hint="eastAsia" w:ascii="宋体" w:hAnsi="宋体" w:eastAsia="宋体" w:cs="Times New Roman"/>
          <w:color w:val="auto"/>
          <w:sz w:val="21"/>
          <w:szCs w:val="21"/>
          <w:highlight w:val="none"/>
        </w:rPr>
        <w:t xml:space="preserve">二</w:t>
      </w:r>
      <w:r>
        <w:rPr>
          <w:rFonts w:hint="eastAsia" w:cs="Times New Roman"/>
          <w:color w:val="auto"/>
          <w:sz w:val="21"/>
          <w:szCs w:val="21"/>
          <w:highlight w:val="none"/>
          <w:lang w:eastAsia="zh-CN"/>
        </w:rPr>
        <w:t xml:space="preserve">的供应商无需提供该表。</w:t>
      </w:r>
      <w:r/>
    </w:p>
    <w:p>
      <w:pPr>
        <w:pStyle w:val="788"/>
        <w:rPr>
          <w:color w:val="auto"/>
          <w:highlight w:val="none"/>
        </w:rPr>
      </w:pPr>
      <w:r>
        <w:rPr>
          <w:color w:val="auto"/>
          <w:highlight w:val="none"/>
        </w:rPr>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bookmarkStart w:id="171" w:name="_Toc87696367"/>
      <w:r/>
      <w:r/>
    </w:p>
    <w:p>
      <w:pPr>
        <w:spacing w:line="360" w:lineRule="auto"/>
        <w:rPr>
          <w:rFonts w:ascii="宋体" w:hAnsi="宋体"/>
          <w:b/>
          <w:bCs/>
          <w:color w:val="auto"/>
          <w:sz w:val="32"/>
          <w:szCs w:val="32"/>
          <w:highlight w:val="none"/>
        </w:rPr>
      </w:pPr>
      <w:r>
        <w:rPr>
          <w:rFonts w:ascii="宋体" w:hAnsi="Courier New"/>
          <w:color w:val="auto"/>
          <w:sz w:val="24"/>
          <w:szCs w:val="24"/>
          <w:highlight w:val="none"/>
        </w:rPr>
        <w:br w:type="page" w:clear="all"/>
      </w:r>
      <w:r>
        <w:rPr>
          <w:rFonts w:hint="eastAsia" w:ascii="宋体" w:hAnsi="宋体"/>
          <w:b/>
          <w:bCs/>
          <w:color w:val="auto"/>
          <w:sz w:val="32"/>
          <w:szCs w:val="32"/>
          <w:highlight w:val="none"/>
        </w:rPr>
        <w:t xml:space="preserve">5.配套服务情况表</w:t>
      </w:r>
      <w:bookmarkEnd w:id="171"/>
      <w:r/>
      <w:r/>
    </w:p>
    <w:tbl>
      <w:tblPr>
        <w:tblStyle w:val="765"/>
        <w:tblW w:w="88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3323"/>
        <w:gridCol w:w="4023"/>
      </w:tblGrid>
      <w:tr>
        <w:trPr>
          <w:trHeight w:val="567" w:hRule="exact"/>
        </w:trPr>
        <w:tc>
          <w:tcPr>
            <w:tcW w:w="1497"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服务类别</w:t>
            </w:r>
            <w:r/>
          </w:p>
        </w:tc>
        <w:tc>
          <w:tcPr>
            <w:tcW w:w="3323"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服务项目名称</w:t>
            </w:r>
            <w:r/>
          </w:p>
        </w:tc>
        <w:tc>
          <w:tcPr>
            <w:tcW w:w="4023" w:type="dxa"/>
            <w:vAlign w:val="center"/>
            <w:textDirection w:val="lrTb"/>
            <w:noWrap w:val="false"/>
          </w:tcPr>
          <w:p>
            <w:pPr>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基本描述</w:t>
            </w:r>
            <w:r/>
          </w:p>
        </w:tc>
      </w:tr>
      <w:tr>
        <w:trPr>
          <w:trHeight w:val="567" w:hRule="exact"/>
        </w:trPr>
        <w:tc>
          <w:tcPr>
            <w:tcW w:w="1497" w:type="dxa"/>
            <w:vAlign w:val="center"/>
            <w:vMerge w:val="restart"/>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计时客房服务</w:t>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钟点房</w:t>
            </w:r>
            <w:r/>
          </w:p>
        </w:tc>
        <w:tc>
          <w:tcPr>
            <w:tcW w:w="40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（说明房间类型）</w:t>
            </w:r>
            <w:r/>
          </w:p>
        </w:tc>
      </w:tr>
      <w:tr>
        <w:trPr>
          <w:trHeight w:val="567" w:hRule="exact"/>
        </w:trPr>
        <w:tc>
          <w:tcPr>
            <w:tcW w:w="1497" w:type="dxa"/>
            <w:vAlign w:val="center"/>
            <w:vMerge w:val="continue"/>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空房费</w:t>
            </w:r>
            <w:r/>
          </w:p>
        </w:tc>
        <w:tc>
          <w:tcPr>
            <w:tcW w:w="40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免费</w:t>
            </w:r>
            <w:r/>
          </w:p>
        </w:tc>
      </w:tr>
      <w:tr>
        <w:trPr>
          <w:trHeight w:val="802" w:hRule="exact"/>
        </w:trPr>
        <w:tc>
          <w:tcPr>
            <w:tcW w:w="1497" w:type="dxa"/>
            <w:vAlign w:val="center"/>
            <w:vMerge w:val="continue"/>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零星的延时交房（2小时内）</w:t>
            </w:r>
            <w:r/>
          </w:p>
        </w:tc>
        <w:tc>
          <w:tcPr>
            <w:tcW w:w="40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免费</w:t>
            </w:r>
            <w:r/>
          </w:p>
        </w:tc>
      </w:tr>
      <w:tr>
        <w:trPr>
          <w:trHeight w:val="567" w:hRule="exact"/>
        </w:trPr>
        <w:tc>
          <w:tcPr>
            <w:tcW w:w="1497" w:type="dxa"/>
            <w:vAlign w:val="center"/>
            <w:vMerge w:val="restart"/>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商务服务</w:t>
            </w:r>
            <w:r/>
          </w:p>
          <w:p>
            <w:pPr>
              <w:jc w:val="center"/>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投影仪</w:t>
            </w:r>
            <w:r/>
          </w:p>
        </w:tc>
        <w:tc>
          <w:tcPr>
            <w:tcW w:w="4023"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1497"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租车</w:t>
            </w:r>
            <w:r/>
          </w:p>
        </w:tc>
        <w:tc>
          <w:tcPr>
            <w:tcW w:w="40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（说明车型）</w:t>
            </w:r>
            <w:r/>
          </w:p>
        </w:tc>
      </w:tr>
      <w:tr>
        <w:trPr>
          <w:trHeight w:val="567" w:hRule="exact"/>
        </w:trPr>
        <w:tc>
          <w:tcPr>
            <w:tcW w:w="1497"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会标</w:t>
            </w:r>
            <w:r/>
          </w:p>
        </w:tc>
        <w:tc>
          <w:tcPr>
            <w:tcW w:w="4023"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1497"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席卡</w:t>
            </w:r>
            <w:r/>
          </w:p>
        </w:tc>
        <w:tc>
          <w:tcPr>
            <w:tcW w:w="4023"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1497"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茶歇</w:t>
            </w:r>
            <w:r/>
          </w:p>
        </w:tc>
        <w:tc>
          <w:tcPr>
            <w:tcW w:w="40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（说明种类或档次）</w:t>
            </w:r>
            <w:r/>
          </w:p>
        </w:tc>
      </w:tr>
      <w:tr>
        <w:trPr>
          <w:trHeight w:val="567" w:hRule="exact"/>
        </w:trPr>
        <w:tc>
          <w:tcPr>
            <w:tcW w:w="1497"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客房服务</w:t>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洗衣</w:t>
            </w:r>
            <w:r/>
          </w:p>
        </w:tc>
        <w:tc>
          <w:tcPr>
            <w:tcW w:w="40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（说明是否有干洗、湿洗、熨烫）</w:t>
            </w:r>
            <w:r/>
          </w:p>
        </w:tc>
      </w:tr>
      <w:tr>
        <w:trPr>
          <w:trHeight w:val="707" w:hRule="exact"/>
        </w:trPr>
        <w:tc>
          <w:tcPr>
            <w:tcW w:w="1497" w:type="dxa"/>
            <w:vAlign w:val="center"/>
            <w:vMerge w:val="continue"/>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送餐</w:t>
            </w:r>
            <w:r/>
          </w:p>
        </w:tc>
        <w:tc>
          <w:tcPr>
            <w:tcW w:w="40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（说明是否应客人要求提供送餐服务）</w:t>
            </w:r>
            <w:r/>
          </w:p>
        </w:tc>
      </w:tr>
      <w:tr>
        <w:trPr>
          <w:trHeight w:val="567" w:hRule="exact"/>
        </w:trPr>
        <w:tc>
          <w:tcPr>
            <w:tcW w:w="1497" w:type="dxa"/>
            <w:vAlign w:val="center"/>
            <w:vMerge w:val="continue"/>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3323"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因特网</w:t>
            </w:r>
            <w:r/>
          </w:p>
        </w:tc>
        <w:tc>
          <w:tcPr>
            <w:tcW w:w="4023" w:type="dxa"/>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s="宋体"/>
          <w:color w:val="auto"/>
          <w:highlight w:val="none"/>
        </w:rPr>
      </w:pPr>
      <w:r>
        <w:rPr>
          <w:rFonts w:hint="eastAsia" w:ascii="宋体" w:hAnsi="宋体"/>
          <w:color w:val="auto"/>
          <w:highlight w:val="none"/>
        </w:rPr>
        <w:t xml:space="preserve">注：1.除</w:t>
      </w:r>
      <w:r>
        <w:rPr>
          <w:rFonts w:hint="eastAsia" w:ascii="宋体" w:hAnsi="宋体" w:cs="宋体"/>
          <w:color w:val="auto"/>
          <w:highlight w:val="none"/>
        </w:rPr>
        <w:t xml:space="preserve">上述各项内容可根据供应商具体情况自行增行并归类填报。</w:t>
      </w:r>
      <w:r/>
    </w:p>
    <w:p>
      <w:pPr>
        <w:ind w:firstLine="420"/>
        <w:spacing w:line="360" w:lineRule="auto"/>
        <w:rPr>
          <w:rFonts w:ascii="宋体" w:hAnsi="宋体"/>
          <w:color w:val="auto"/>
          <w:highlight w:val="none"/>
        </w:rPr>
      </w:pPr>
      <w:r>
        <w:rPr>
          <w:rFonts w:hint="eastAsia" w:ascii="宋体" w:hAnsi="宋体"/>
          <w:color w:val="auto"/>
          <w:highlight w:val="none"/>
        </w:rPr>
        <w:t xml:space="preserve">2.各项配套服务可提供图片（张数不限），展示服务项目的具体情况。</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3.以上计时客房服务空房费和零星的延时交房（2小时内）两栏填写应为免费，若有产生费用则按无效标处理。</w:t>
      </w:r>
      <w:r/>
    </w:p>
    <w:p>
      <w:pPr>
        <w:pStyle w:val="788"/>
        <w:rPr>
          <w:rFonts w:hint="eastAsia" w:eastAsia="宋体"/>
          <w:color w:val="auto"/>
          <w:highlight w:val="none"/>
          <w:lang w:val="en-US" w:eastAsia="zh-CN"/>
        </w:rPr>
      </w:pPr>
      <w:r>
        <w:rPr>
          <w:rFonts w:hint="eastAsia"/>
          <w:color w:val="auto"/>
          <w:highlight w:val="none"/>
          <w:lang w:val="en-US" w:eastAsia="zh-CN"/>
        </w:rPr>
        <w:t xml:space="preserve">6</w:t>
      </w:r>
      <w:r>
        <w:rPr>
          <w:rFonts w:hint="eastAsia" w:ascii="宋体" w:hAnsi="宋体" w:eastAsia="宋体" w:cs="Times New Roman"/>
          <w:color w:val="auto"/>
          <w:sz w:val="21"/>
          <w:szCs w:val="21"/>
          <w:highlight w:val="none"/>
          <w:lang w:val="en-US" w:eastAsia="zh-CN"/>
        </w:rPr>
        <w:t xml:space="preserve">.</w:t>
      </w:r>
      <w:r>
        <w:rPr>
          <w:rFonts w:hint="eastAsia"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lang w:val="en-US" w:eastAsia="zh-CN"/>
        </w:rPr>
        <w:t xml:space="preserve">报</w:t>
      </w:r>
      <w:r>
        <w:rPr>
          <w:rFonts w:hint="eastAsia" w:cs="Times New Roman"/>
          <w:color w:val="auto"/>
          <w:sz w:val="21"/>
          <w:szCs w:val="21"/>
          <w:highlight w:val="none"/>
          <w:lang w:eastAsia="zh-CN"/>
        </w:rPr>
        <w:t xml:space="preserve">采购包</w:t>
      </w:r>
      <w:r>
        <w:rPr>
          <w:rFonts w:hint="eastAsia" w:ascii="宋体" w:hAnsi="宋体" w:eastAsia="宋体" w:cs="Times New Roman"/>
          <w:color w:val="auto"/>
          <w:sz w:val="21"/>
          <w:szCs w:val="21"/>
          <w:highlight w:val="none"/>
        </w:rPr>
        <w:t xml:space="preserve">二</w:t>
      </w:r>
      <w:r>
        <w:rPr>
          <w:rFonts w:hint="eastAsia" w:cs="Times New Roman"/>
          <w:color w:val="auto"/>
          <w:sz w:val="21"/>
          <w:szCs w:val="21"/>
          <w:highlight w:val="none"/>
          <w:lang w:eastAsia="zh-CN"/>
        </w:rPr>
        <w:t xml:space="preserve">的供应商只需填该表的商务服务。</w:t>
      </w:r>
      <w:r/>
    </w:p>
    <w:p>
      <w:pPr>
        <w:pStyle w:val="788"/>
        <w:rPr>
          <w:color w:val="auto"/>
          <w:highlight w:val="none"/>
        </w:rPr>
      </w:pPr>
      <w:r>
        <w:rPr>
          <w:color w:val="auto"/>
          <w:highlight w:val="none"/>
        </w:rPr>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bookmarkStart w:id="172" w:name="_Toc87696368"/>
      <w:r/>
      <w:r/>
    </w:p>
    <w:p>
      <w:pPr>
        <w:spacing w:line="360" w:lineRule="auto"/>
        <w:rPr>
          <w:rFonts w:ascii="宋体" w:hAnsi="宋体"/>
          <w:b/>
          <w:bCs/>
          <w:color w:val="auto"/>
          <w:sz w:val="32"/>
          <w:szCs w:val="32"/>
          <w:highlight w:val="none"/>
        </w:rPr>
      </w:pPr>
      <w:r>
        <w:rPr>
          <w:rFonts w:ascii="宋体" w:hAnsi="Courier New"/>
          <w:color w:val="auto"/>
          <w:sz w:val="24"/>
          <w:szCs w:val="24"/>
          <w:highlight w:val="none"/>
        </w:rPr>
        <w:br w:type="page" w:clear="all"/>
      </w:r>
      <w:r>
        <w:rPr>
          <w:rFonts w:hint="eastAsia" w:ascii="宋体" w:hAnsi="宋体"/>
          <w:b/>
          <w:bCs/>
          <w:color w:val="auto"/>
          <w:sz w:val="32"/>
          <w:szCs w:val="32"/>
          <w:highlight w:val="none"/>
        </w:rPr>
        <w:t xml:space="preserve">6.停车场情况表</w:t>
      </w:r>
      <w:bookmarkEnd w:id="172"/>
      <w:r/>
      <w:r/>
    </w:p>
    <w:tbl>
      <w:tblPr>
        <w:tblStyle w:val="765"/>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409"/>
        <w:gridCol w:w="2977"/>
        <w:gridCol w:w="2410"/>
      </w:tblGrid>
      <w:tr>
        <w:trPr>
          <w:trHeight w:val="858"/>
        </w:trPr>
        <w:tc>
          <w:tcPr>
            <w:tcW w:w="993" w:type="dxa"/>
            <w:vAlign w:val="center"/>
            <w:textDirection w:val="lrTb"/>
            <w:noWrap w:val="false"/>
          </w:tcPr>
          <w:p>
            <w:pPr>
              <w:jc w:val="center"/>
              <w:rPr>
                <w:rFonts w:ascii="宋体" w:hAnsi="宋体"/>
                <w:b/>
                <w:color w:val="auto"/>
                <w:sz w:val="24"/>
                <w:szCs w:val="24"/>
                <w:highlight w:val="none"/>
              </w:rPr>
            </w:pPr>
            <w:r>
              <w:rPr>
                <w:rFonts w:ascii="宋体" w:hAnsi="宋体"/>
                <w:b/>
                <w:color w:val="auto"/>
                <w:sz w:val="24"/>
                <w:szCs w:val="24"/>
                <w:highlight w:val="none"/>
              </w:rPr>
              <w:t xml:space="preserve">序号</w:t>
            </w:r>
            <w:r/>
          </w:p>
        </w:tc>
        <w:tc>
          <w:tcPr>
            <w:tcW w:w="2409"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停车场类型</w:t>
            </w:r>
            <w:r/>
          </w:p>
        </w:tc>
        <w:tc>
          <w:tcPr>
            <w:tcW w:w="2977" w:type="dxa"/>
            <w:vAlign w:val="center"/>
            <w:textDirection w:val="lrTb"/>
            <w:noWrap w:val="false"/>
          </w:tcPr>
          <w:p>
            <w:pPr>
              <w:jc w:val="center"/>
              <w:tabs>
                <w:tab w:val="left" w:pos="6252" w:leader="none"/>
              </w:tabs>
              <w:rPr>
                <w:rFonts w:ascii="宋体" w:hAnsi="宋体"/>
                <w:b/>
                <w:color w:val="auto"/>
                <w:sz w:val="24"/>
                <w:szCs w:val="24"/>
                <w:highlight w:val="none"/>
              </w:rPr>
            </w:pPr>
            <w:r>
              <w:rPr>
                <w:rFonts w:hint="eastAsia" w:ascii="宋体" w:hAnsi="宋体"/>
                <w:b/>
                <w:color w:val="auto"/>
                <w:sz w:val="24"/>
                <w:szCs w:val="24"/>
                <w:highlight w:val="none"/>
              </w:rPr>
              <w:t xml:space="preserve">面积（㎡）</w:t>
            </w:r>
            <w:r/>
          </w:p>
        </w:tc>
        <w:tc>
          <w:tcPr>
            <w:tcW w:w="2410" w:type="dxa"/>
            <w:vAlign w:val="center"/>
            <w:textDirection w:val="lrTb"/>
            <w:noWrap w:val="false"/>
          </w:tcPr>
          <w:p>
            <w:pPr>
              <w:jc w:val="center"/>
              <w:tabs>
                <w:tab w:val="left" w:pos="6252" w:leader="none"/>
              </w:tabs>
              <w:rPr>
                <w:rFonts w:ascii="宋体" w:hAnsi="宋体"/>
                <w:b/>
                <w:color w:val="auto"/>
                <w:sz w:val="24"/>
                <w:szCs w:val="24"/>
                <w:highlight w:val="none"/>
              </w:rPr>
            </w:pPr>
            <w:r>
              <w:rPr>
                <w:rFonts w:hint="eastAsia" w:ascii="宋体" w:hAnsi="宋体"/>
                <w:b/>
                <w:color w:val="auto"/>
                <w:sz w:val="24"/>
                <w:szCs w:val="24"/>
                <w:highlight w:val="none"/>
              </w:rPr>
              <w:t xml:space="preserve">车位数（个）</w:t>
            </w:r>
            <w:r/>
          </w:p>
        </w:tc>
      </w:tr>
      <w:tr>
        <w:trPr>
          <w:trHeight w:val="567" w:hRule="exact"/>
        </w:trPr>
        <w:tc>
          <w:tcPr>
            <w:tcW w:w="99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1</w:t>
            </w:r>
            <w:r/>
          </w:p>
        </w:tc>
        <w:tc>
          <w:tcPr>
            <w:tcW w:w="240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97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4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99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40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97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4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99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240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97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4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99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40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97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4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99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40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97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41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 停车位类型填写“地面”或“地下”。</w:t>
      </w:r>
      <w:r/>
    </w:p>
    <w:p>
      <w:pPr>
        <w:ind w:firstLine="420"/>
        <w:spacing w:line="360" w:lineRule="auto"/>
        <w:rPr>
          <w:rFonts w:ascii="宋体" w:hAnsi="宋体"/>
          <w:color w:val="auto"/>
          <w:highlight w:val="none"/>
        </w:rPr>
      </w:pPr>
      <w:r>
        <w:rPr>
          <w:rFonts w:hint="eastAsia" w:ascii="宋体" w:hAnsi="宋体"/>
          <w:color w:val="auto"/>
          <w:highlight w:val="none"/>
        </w:rPr>
        <w:t xml:space="preserve">2. 本表格后须附每个停车场至少一张现场彩色图片，未提供或不符合要求均视为无效申请文件。</w:t>
      </w:r>
      <w:r/>
    </w:p>
    <w:p>
      <w:pPr>
        <w:ind w:firstLine="420"/>
        <w:spacing w:line="360" w:lineRule="auto"/>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 上述篇幅无法满足填写要求的可</w:t>
      </w:r>
      <w:r>
        <w:rPr>
          <w:rFonts w:hint="eastAsia" w:ascii="宋体" w:hAnsi="宋体"/>
          <w:color w:val="auto"/>
          <w:highlight w:val="none"/>
        </w:rPr>
        <w:t xml:space="preserve">自行增行。</w:t>
      </w:r>
      <w:r/>
    </w:p>
    <w:p>
      <w:pPr>
        <w:ind w:firstLine="420"/>
        <w:spacing w:line="360" w:lineRule="auto"/>
        <w:rPr>
          <w:rFonts w:ascii="宋体" w:hAnsi="宋体"/>
          <w:color w:val="auto"/>
          <w:highlight w:val="none"/>
        </w:rPr>
      </w:pPr>
      <w:r>
        <w:rPr>
          <w:rFonts w:hint="eastAsia" w:ascii="宋体" w:hAnsi="宋体"/>
          <w:color w:val="auto"/>
          <w:highlight w:val="none"/>
        </w:rPr>
        <w:t xml:space="preserve">4. 上述表格须按内容要求如实填写完整。</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spacing w:line="360" w:lineRule="auto"/>
        <w:rPr>
          <w:rFonts w:ascii="黑体" w:eastAsia="黑体"/>
          <w:bCs/>
          <w:color w:val="auto"/>
          <w:sz w:val="28"/>
          <w:szCs w:val="28"/>
          <w:highlight w:val="none"/>
        </w:rPr>
      </w:pPr>
      <w:r>
        <w:rPr>
          <w:rFonts w:ascii="宋体" w:hAnsi="Courier New"/>
          <w:color w:val="auto"/>
          <w:sz w:val="24"/>
          <w:szCs w:val="24"/>
          <w:highlight w:val="none"/>
        </w:rPr>
        <w:br w:type="page" w:clear="all"/>
      </w:r>
      <w:bookmarkStart w:id="173" w:name="_Toc87696369"/>
      <w:r>
        <w:rPr>
          <w:rFonts w:hint="eastAsia" w:ascii="宋体" w:hAnsi="宋体"/>
          <w:b/>
          <w:bCs/>
          <w:color w:val="auto"/>
          <w:sz w:val="32"/>
          <w:szCs w:val="32"/>
          <w:highlight w:val="none"/>
        </w:rPr>
        <w:t xml:space="preserve">7.</w:t>
      </w:r>
      <w:bookmarkEnd w:id="173"/>
      <w:r>
        <w:rPr>
          <w:rFonts w:ascii="宋体" w:hAnsi="宋体"/>
          <w:b/>
          <w:bCs/>
          <w:color w:val="auto"/>
          <w:sz w:val="32"/>
          <w:szCs w:val="32"/>
          <w:highlight w:val="none"/>
        </w:rPr>
        <w:t xml:space="preserve">近</w:t>
      </w:r>
      <w:r>
        <w:rPr>
          <w:rFonts w:hint="eastAsia" w:ascii="宋体" w:hAnsi="宋体"/>
          <w:b/>
          <w:bCs/>
          <w:color w:val="auto"/>
          <w:sz w:val="32"/>
          <w:szCs w:val="32"/>
          <w:highlight w:val="none"/>
        </w:rPr>
        <w:t xml:space="preserve">3</w:t>
      </w:r>
      <w:r>
        <w:rPr>
          <w:rFonts w:ascii="宋体" w:hAnsi="宋体"/>
          <w:b/>
          <w:bCs/>
          <w:color w:val="auto"/>
          <w:sz w:val="32"/>
          <w:szCs w:val="32"/>
          <w:highlight w:val="none"/>
        </w:rPr>
        <w:t xml:space="preserve">年内完成过的大型接待项目</w:t>
      </w:r>
      <w:r>
        <w:rPr>
          <w:rFonts w:hint="eastAsia" w:ascii="宋体" w:hAnsi="宋体"/>
          <w:b/>
          <w:bCs/>
          <w:color w:val="auto"/>
          <w:sz w:val="32"/>
          <w:szCs w:val="32"/>
          <w:highlight w:val="none"/>
        </w:rPr>
        <w:t xml:space="preserve">情况表</w:t>
      </w:r>
      <w:r/>
    </w:p>
    <w:tbl>
      <w:tblPr>
        <w:tblStyle w:val="765"/>
        <w:tblW w:w="88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751"/>
        <w:gridCol w:w="1239"/>
        <w:gridCol w:w="1280"/>
        <w:gridCol w:w="1697"/>
        <w:gridCol w:w="1275"/>
        <w:gridCol w:w="906"/>
      </w:tblGrid>
      <w:tr>
        <w:trPr>
          <w:trHeight w:val="858"/>
        </w:trPr>
        <w:tc>
          <w:tcPr>
            <w:tcW w:w="696" w:type="dxa"/>
            <w:vAlign w:val="center"/>
            <w:textDirection w:val="lrTb"/>
            <w:noWrap w:val="false"/>
          </w:tcPr>
          <w:p>
            <w:pPr>
              <w:jc w:val="center"/>
              <w:rPr>
                <w:rFonts w:ascii="宋体" w:hAnsi="宋体"/>
                <w:b/>
                <w:color w:val="auto"/>
                <w:sz w:val="24"/>
                <w:szCs w:val="24"/>
                <w:highlight w:val="none"/>
              </w:rPr>
            </w:pPr>
            <w:r>
              <w:rPr>
                <w:rFonts w:ascii="宋体" w:hAnsi="宋体"/>
                <w:b/>
                <w:color w:val="auto"/>
                <w:sz w:val="24"/>
                <w:szCs w:val="24"/>
                <w:highlight w:val="none"/>
              </w:rPr>
              <w:t xml:space="preserve">序号</w:t>
            </w:r>
            <w:r/>
          </w:p>
        </w:tc>
        <w:tc>
          <w:tcPr>
            <w:tcW w:w="1751" w:type="dxa"/>
            <w:vAlign w:val="center"/>
            <w:textDirection w:val="lrTb"/>
            <w:noWrap w:val="false"/>
          </w:tcPr>
          <w:p>
            <w:pPr>
              <w:jc w:val="center"/>
              <w:rPr>
                <w:rFonts w:ascii="宋体" w:hAnsi="宋体"/>
                <w:b/>
                <w:color w:val="auto"/>
                <w:sz w:val="24"/>
                <w:szCs w:val="24"/>
                <w:highlight w:val="none"/>
              </w:rPr>
            </w:pPr>
            <w:r>
              <w:rPr>
                <w:rFonts w:ascii="宋体" w:hAnsi="宋体"/>
                <w:b/>
                <w:color w:val="auto"/>
                <w:sz w:val="24"/>
                <w:szCs w:val="24"/>
                <w:highlight w:val="none"/>
              </w:rPr>
              <w:t xml:space="preserve">接待单位名称</w:t>
            </w:r>
            <w:r/>
          </w:p>
        </w:tc>
        <w:tc>
          <w:tcPr>
            <w:tcW w:w="1239" w:type="dxa"/>
            <w:vAlign w:val="center"/>
            <w:textDirection w:val="lrTb"/>
            <w:noWrap w:val="false"/>
          </w:tcPr>
          <w:p>
            <w:pPr>
              <w:jc w:val="center"/>
              <w:tabs>
                <w:tab w:val="left" w:pos="6252" w:leader="none"/>
              </w:tabs>
              <w:rPr>
                <w:rFonts w:ascii="宋体" w:hAnsi="宋体"/>
                <w:b/>
                <w:color w:val="auto"/>
                <w:sz w:val="24"/>
                <w:szCs w:val="24"/>
                <w:highlight w:val="none"/>
              </w:rPr>
            </w:pPr>
            <w:r>
              <w:rPr>
                <w:rFonts w:hint="eastAsia" w:ascii="宋体" w:hAnsi="宋体"/>
                <w:b/>
                <w:color w:val="auto"/>
                <w:sz w:val="24"/>
                <w:szCs w:val="24"/>
                <w:highlight w:val="none"/>
              </w:rPr>
              <w:t xml:space="preserve">会议名称</w:t>
            </w:r>
            <w:r/>
          </w:p>
        </w:tc>
        <w:tc>
          <w:tcPr>
            <w:tcW w:w="1280" w:type="dxa"/>
            <w:vAlign w:val="center"/>
            <w:textDirection w:val="lrTb"/>
            <w:noWrap w:val="false"/>
          </w:tcPr>
          <w:p>
            <w:pPr>
              <w:jc w:val="center"/>
              <w:tabs>
                <w:tab w:val="left" w:pos="6252" w:leader="none"/>
              </w:tabs>
              <w:rPr>
                <w:rFonts w:ascii="宋体" w:hAnsi="宋体"/>
                <w:b/>
                <w:color w:val="auto"/>
                <w:sz w:val="24"/>
                <w:szCs w:val="24"/>
                <w:highlight w:val="none"/>
              </w:rPr>
            </w:pPr>
            <w:r>
              <w:rPr>
                <w:rFonts w:ascii="宋体" w:hAnsi="宋体"/>
                <w:b/>
                <w:color w:val="auto"/>
                <w:sz w:val="24"/>
                <w:szCs w:val="24"/>
                <w:highlight w:val="none"/>
              </w:rPr>
              <w:t xml:space="preserve">合同金额</w:t>
            </w:r>
            <w:r/>
          </w:p>
        </w:tc>
        <w:tc>
          <w:tcPr>
            <w:tcW w:w="1697" w:type="dxa"/>
            <w:vAlign w:val="center"/>
            <w:textDirection w:val="lrTb"/>
            <w:noWrap w:val="false"/>
          </w:tcPr>
          <w:p>
            <w:pPr>
              <w:jc w:val="center"/>
              <w:tabs>
                <w:tab w:val="left" w:pos="6252" w:leader="none"/>
              </w:tabs>
              <w:rPr>
                <w:rFonts w:ascii="宋体" w:hAnsi="宋体"/>
                <w:b/>
                <w:color w:val="auto"/>
                <w:sz w:val="24"/>
                <w:szCs w:val="24"/>
                <w:highlight w:val="none"/>
              </w:rPr>
            </w:pPr>
            <w:r>
              <w:rPr>
                <w:rFonts w:ascii="宋体" w:hAnsi="宋体"/>
                <w:b/>
                <w:color w:val="auto"/>
                <w:sz w:val="24"/>
                <w:szCs w:val="24"/>
                <w:highlight w:val="none"/>
              </w:rPr>
              <w:t xml:space="preserve">接待单位人数</w:t>
            </w:r>
            <w:r/>
          </w:p>
        </w:tc>
        <w:tc>
          <w:tcPr>
            <w:tcW w:w="1275" w:type="dxa"/>
            <w:vAlign w:val="center"/>
            <w:textDirection w:val="lrTb"/>
            <w:noWrap w:val="false"/>
          </w:tcPr>
          <w:p>
            <w:pPr>
              <w:jc w:val="center"/>
              <w:tabs>
                <w:tab w:val="left" w:pos="6252" w:leader="none"/>
              </w:tabs>
              <w:rPr>
                <w:rFonts w:ascii="宋体" w:hAnsi="宋体"/>
                <w:b/>
                <w:color w:val="auto"/>
                <w:sz w:val="24"/>
                <w:szCs w:val="24"/>
                <w:highlight w:val="none"/>
              </w:rPr>
            </w:pPr>
            <w:r>
              <w:rPr>
                <w:rFonts w:hint="eastAsia" w:ascii="宋体" w:hAnsi="宋体"/>
                <w:b/>
                <w:color w:val="auto"/>
                <w:sz w:val="24"/>
                <w:szCs w:val="24"/>
                <w:highlight w:val="none"/>
              </w:rPr>
              <w:t xml:space="preserve">接待时间</w:t>
            </w:r>
            <w:r/>
          </w:p>
        </w:tc>
        <w:tc>
          <w:tcPr>
            <w:tcW w:w="906"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备注</w:t>
            </w:r>
            <w:r/>
          </w:p>
        </w:tc>
      </w:tr>
      <w:tr>
        <w:trPr>
          <w:trHeight w:val="567" w:hRule="exact"/>
        </w:trPr>
        <w:tc>
          <w:tcPr>
            <w:tcW w:w="69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1</w:t>
            </w:r>
            <w:r/>
          </w:p>
        </w:tc>
        <w:tc>
          <w:tcPr>
            <w:tcW w:w="17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3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8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69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7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696"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7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3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8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69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7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696"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7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3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8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69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7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69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w:t>
            </w:r>
            <w:r/>
          </w:p>
        </w:tc>
        <w:tc>
          <w:tcPr>
            <w:tcW w:w="17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3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8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69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7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trHeight w:val="567" w:hRule="exact"/>
        </w:trPr>
        <w:tc>
          <w:tcPr>
            <w:tcW w:w="69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751"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3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8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69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7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6"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t xml:space="preserve">注：</w:t>
      </w:r>
      <w:r>
        <w:rPr>
          <w:rFonts w:hint="eastAsia" w:ascii="宋体" w:hAnsi="宋体"/>
          <w:color w:val="auto"/>
          <w:highlight w:val="none"/>
        </w:rPr>
        <w:t xml:space="preserve">1. 上述表格须按内容要求如实填写完整，如有说明请在备注栏内详细描述</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2. 须</w:t>
      </w:r>
      <w:r>
        <w:rPr>
          <w:rFonts w:ascii="宋体" w:hAnsi="宋体"/>
          <w:color w:val="auto"/>
          <w:highlight w:val="none"/>
        </w:rPr>
        <w:t xml:space="preserve">提供合同书</w:t>
      </w:r>
      <w:r>
        <w:rPr>
          <w:rFonts w:hint="eastAsia" w:ascii="宋体" w:hAnsi="宋体"/>
          <w:color w:val="auto"/>
          <w:highlight w:val="none"/>
        </w:rPr>
        <w:t xml:space="preserve">或其它能证明本服务业绩的材料扫描</w:t>
      </w:r>
      <w:r>
        <w:rPr>
          <w:rFonts w:ascii="宋体" w:hAnsi="宋体"/>
          <w:color w:val="auto"/>
          <w:highlight w:val="none"/>
        </w:rPr>
        <w:t xml:space="preserve">件</w:t>
      </w:r>
      <w:r>
        <w:rPr>
          <w:rFonts w:hint="eastAsia" w:ascii="宋体" w:hAnsi="宋体"/>
          <w:color w:val="auto"/>
          <w:highlight w:val="none"/>
        </w:rPr>
        <w:t xml:space="preserve">，否则视为无效申请文件</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3. 上述合同或证明材料按上述表格顺序上传并一一对应</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4. </w:t>
      </w:r>
      <w:r>
        <w:rPr>
          <w:rFonts w:ascii="宋体" w:hAnsi="宋体"/>
          <w:color w:val="auto"/>
          <w:highlight w:val="none"/>
        </w:rPr>
        <w:t xml:space="preserve">上述篇幅无法满足填写要求的可</w:t>
      </w:r>
      <w:r>
        <w:rPr>
          <w:rFonts w:hint="eastAsia" w:ascii="宋体" w:hAnsi="宋体"/>
          <w:color w:val="auto"/>
          <w:highlight w:val="none"/>
        </w:rPr>
        <w:t xml:space="preserve">自行增行。</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供应商全称（加盖CA电子公章）：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rPr>
          <w:rFonts w:ascii="黑体" w:hAnsi="黑体" w:eastAsia="黑体"/>
          <w:b/>
          <w:bCs/>
          <w:i/>
          <w:color w:val="auto"/>
          <w:sz w:val="32"/>
          <w:szCs w:val="32"/>
          <w:highlight w:val="none"/>
          <w:u w:val="single"/>
        </w:rPr>
      </w:pPr>
      <w:r>
        <w:rPr>
          <w:rFonts w:ascii="宋体" w:hAnsi="宋体"/>
          <w:color w:val="auto"/>
          <w:sz w:val="24"/>
          <w:highlight w:val="none"/>
        </w:rPr>
        <w:br w:type="page" w:clear="all"/>
      </w:r>
      <w:r>
        <w:rPr>
          <w:rFonts w:hint="eastAsia" w:ascii="黑体" w:hAnsi="黑体" w:eastAsia="黑体"/>
          <w:b/>
          <w:bCs/>
          <w:i/>
          <w:color w:val="auto"/>
          <w:sz w:val="32"/>
          <w:szCs w:val="32"/>
          <w:highlight w:val="none"/>
          <w:u w:val="single"/>
        </w:rPr>
        <w:t xml:space="preserve">八、服务团队情况表</w:t>
      </w:r>
      <w:r/>
    </w:p>
    <w:p>
      <w:pPr>
        <w:pStyle w:val="767"/>
        <w:ind w:firstLine="0"/>
        <w:jc w:val="center"/>
        <w:rPr>
          <w:rFonts w:ascii="宋体" w:hAnsi="宋体"/>
          <w:b/>
          <w:color w:val="auto"/>
          <w:sz w:val="30"/>
          <w:szCs w:val="30"/>
          <w:highlight w:val="none"/>
        </w:rPr>
      </w:pPr>
      <w:r>
        <w:rPr>
          <w:rFonts w:ascii="宋体" w:hAnsi="宋体"/>
          <w:b/>
          <w:color w:val="auto"/>
          <w:sz w:val="30"/>
          <w:szCs w:val="30"/>
          <w:highlight w:val="none"/>
        </w:rPr>
      </w:r>
      <w:r/>
    </w:p>
    <w:p>
      <w:pPr>
        <w:pStyle w:val="767"/>
        <w:ind w:firstLine="0"/>
        <w:jc w:val="center"/>
        <w:rPr>
          <w:rFonts w:ascii="宋体" w:hAnsi="宋体"/>
          <w:b/>
          <w:color w:val="auto"/>
          <w:sz w:val="32"/>
          <w:szCs w:val="32"/>
          <w:highlight w:val="none"/>
        </w:rPr>
      </w:pPr>
      <w:r>
        <w:rPr>
          <w:rFonts w:hint="eastAsia" w:ascii="宋体" w:hAnsi="宋体"/>
          <w:b/>
          <w:color w:val="auto"/>
          <w:sz w:val="32"/>
          <w:szCs w:val="32"/>
          <w:highlight w:val="none"/>
        </w:rPr>
        <w:t xml:space="preserve">服务团队情况表</w:t>
      </w:r>
      <w:r/>
    </w:p>
    <w:tbl>
      <w:tblPr>
        <w:tblStyle w:val="765"/>
        <w:tblW w:w="8976" w:type="dxa"/>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6"/>
      </w:tblGrid>
      <w:tr>
        <w:trPr>
          <w:cantSplit/>
          <w:trHeight w:val="4473"/>
        </w:trPr>
        <w:tc>
          <w:tcPr>
            <w:tcW w:w="897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针对本项目所成立的服务团队详细介绍</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包括项目经理及服务人员的经验、素质等。</w:t>
            </w:r>
            <w:r/>
          </w:p>
        </w:tc>
      </w:tr>
      <w:tr>
        <w:trPr>
          <w:cantSplit/>
          <w:trHeight w:val="4664"/>
        </w:trPr>
        <w:tc>
          <w:tcPr>
            <w:tcW w:w="897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相关人员相关证书等复印件（如有）</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w:t>
            </w:r>
            <w:r/>
          </w:p>
        </w:tc>
      </w:tr>
    </w:tbl>
    <w:p>
      <w:pPr>
        <w:spacing w:line="360" w:lineRule="auto"/>
        <w:rPr>
          <w:rFonts w:ascii="宋体" w:hAnsi="宋体"/>
          <w:color w:val="auto"/>
          <w:highlight w:val="none"/>
        </w:rPr>
      </w:pPr>
      <w:r>
        <w:rPr>
          <w:rFonts w:hint="eastAsia" w:ascii="宋体" w:hAnsi="宋体"/>
          <w:color w:val="auto"/>
          <w:highlight w:val="none"/>
        </w:rPr>
        <w:t xml:space="preserve">注：上述篇幅无法满足填写要求的可另附页。</w:t>
      </w:r>
      <w:r/>
    </w:p>
    <w:p>
      <w:pPr>
        <w:pStyle w:val="767"/>
        <w:ind w:firstLine="0"/>
        <w:spacing w:line="360" w:lineRule="auto"/>
        <w:rPr>
          <w:rFonts w:ascii="楷体_GB2312" w:hAnsi="Arial" w:eastAsia="楷体_GB2312"/>
          <w:color w:val="auto"/>
          <w:sz w:val="28"/>
          <w:szCs w:val="28"/>
          <w:highlight w:val="none"/>
        </w:rPr>
      </w:pPr>
      <w:r>
        <w:rPr>
          <w:rFonts w:ascii="楷体_GB2312" w:hAnsi="Arial" w:eastAsia="楷体_GB2312"/>
          <w:color w:val="auto"/>
          <w:sz w:val="28"/>
          <w:szCs w:val="28"/>
          <w:highlight w:val="none"/>
        </w:rPr>
      </w:r>
      <w:r/>
    </w:p>
    <w:p>
      <w:pPr>
        <w:pStyle w:val="767"/>
        <w:ind w:firstLine="0"/>
        <w:spacing w:line="360" w:lineRule="auto"/>
        <w:rPr>
          <w:color w:val="auto"/>
          <w:highlight w:val="none"/>
        </w:rPr>
      </w:pPr>
      <w:r>
        <w:rPr>
          <w:color w:val="auto"/>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Courier New"/>
          <w:color w:val="auto"/>
          <w:sz w:val="24"/>
          <w:szCs w:val="24"/>
          <w:highlight w:val="none"/>
        </w:rPr>
      </w:pPr>
      <w:r>
        <w:rPr>
          <w:rFonts w:hint="eastAsia" w:ascii="宋体" w:hAnsi="Courier New"/>
          <w:color w:val="auto"/>
          <w:sz w:val="24"/>
          <w:szCs w:val="24"/>
          <w:highlight w:val="none"/>
        </w:rPr>
        <w:t xml:space="preserve">日期：    年     月     日</w:t>
      </w:r>
      <w:r/>
    </w:p>
    <w:p>
      <w:pPr>
        <w:rPr>
          <w:rFonts w:ascii="黑体" w:hAnsi="黑体" w:eastAsia="黑体"/>
          <w:b/>
          <w:bCs/>
          <w:i/>
          <w:color w:val="auto"/>
          <w:sz w:val="32"/>
          <w:szCs w:val="32"/>
          <w:highlight w:val="none"/>
          <w:u w:val="single"/>
        </w:rPr>
      </w:pPr>
      <w:r>
        <w:rPr>
          <w:rFonts w:hint="eastAsia"/>
          <w:color w:val="auto"/>
          <w:sz w:val="24"/>
          <w:szCs w:val="24"/>
          <w:highlight w:val="none"/>
        </w:rPr>
        <w:br w:type="page" w:clear="all"/>
      </w:r>
      <w:r>
        <w:rPr>
          <w:rFonts w:hint="eastAsia" w:ascii="黑体" w:hAnsi="黑体" w:eastAsia="黑体"/>
          <w:b/>
          <w:bCs/>
          <w:i/>
          <w:color w:val="auto"/>
          <w:sz w:val="32"/>
          <w:szCs w:val="32"/>
          <w:highlight w:val="none"/>
          <w:u w:val="single"/>
        </w:rPr>
        <w:t xml:space="preserve">九、服务方案</w:t>
      </w:r>
      <w:r/>
    </w:p>
    <w:p>
      <w:pPr>
        <w:pStyle w:val="767"/>
        <w:ind w:firstLine="0"/>
        <w:jc w:val="center"/>
        <w:rPr>
          <w:rFonts w:ascii="宋体" w:hAnsi="宋体"/>
          <w:b/>
          <w:color w:val="auto"/>
          <w:sz w:val="30"/>
          <w:szCs w:val="30"/>
          <w:highlight w:val="none"/>
        </w:rPr>
      </w:pPr>
      <w:r>
        <w:rPr>
          <w:rFonts w:ascii="宋体" w:hAnsi="宋体"/>
          <w:b/>
          <w:color w:val="auto"/>
          <w:sz w:val="30"/>
          <w:szCs w:val="30"/>
          <w:highlight w:val="none"/>
        </w:rPr>
      </w:r>
      <w:r/>
    </w:p>
    <w:p>
      <w:pPr>
        <w:pStyle w:val="767"/>
        <w:ind w:firstLine="4084"/>
        <w:rPr>
          <w:rFonts w:ascii="宋体" w:hAnsi="宋体"/>
          <w:b/>
          <w:color w:val="auto"/>
          <w:sz w:val="32"/>
          <w:szCs w:val="32"/>
          <w:highlight w:val="none"/>
        </w:rPr>
      </w:pPr>
      <w:r>
        <w:rPr>
          <w:rFonts w:hint="eastAsia" w:ascii="宋体" w:hAnsi="宋体"/>
          <w:b/>
          <w:color w:val="auto"/>
          <w:sz w:val="32"/>
          <w:szCs w:val="32"/>
          <w:highlight w:val="none"/>
        </w:rPr>
        <w:t xml:space="preserve">服务方案</w:t>
      </w:r>
      <w:r/>
    </w:p>
    <w:tbl>
      <w:tblPr>
        <w:tblStyle w:val="765"/>
        <w:tblW w:w="8961" w:type="dxa"/>
        <w:tblInd w:w="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1"/>
      </w:tblGrid>
      <w:tr>
        <w:trPr>
          <w:cantSplit/>
          <w:trHeight w:val="9151"/>
        </w:trPr>
        <w:tc>
          <w:tcPr>
            <w:tcW w:w="8961" w:type="dxa"/>
            <w:textDirection w:val="lrTb"/>
            <w:noWrap w:val="false"/>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针对本项目所制定的详细服务方案</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包括会议、餐饮、客房及接待服务方案等。</w:t>
            </w:r>
            <w:r/>
          </w:p>
        </w:tc>
      </w:tr>
    </w:tbl>
    <w:p>
      <w:pPr>
        <w:jc w:val="left"/>
        <w:spacing w:line="360" w:lineRule="auto"/>
        <w:rPr>
          <w:rFonts w:ascii="宋体" w:hAnsi="宋体"/>
          <w:color w:val="auto"/>
          <w:highlight w:val="none"/>
        </w:rPr>
      </w:pPr>
      <w:r>
        <w:rPr>
          <w:rFonts w:ascii="宋体" w:hAnsi="宋体"/>
          <w:color w:val="auto"/>
          <w:highlight w:val="none"/>
        </w:rPr>
        <w:t xml:space="preserve">注：上述篇幅无法满足填写要求的可另附</w:t>
      </w:r>
      <w:r>
        <w:rPr>
          <w:rFonts w:hint="eastAsia" w:ascii="宋体" w:hAnsi="宋体"/>
          <w:color w:val="auto"/>
          <w:highlight w:val="none"/>
        </w:rPr>
        <w:t xml:space="preserve">页。</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ascii="宋体" w:hAnsi="宋体"/>
          <w:color w:val="auto"/>
          <w:highlight w:val="none"/>
        </w:rPr>
      </w:r>
      <w:r/>
    </w:p>
    <w:p>
      <w:pPr>
        <w:spacing w:line="360" w:lineRule="auto"/>
        <w:rPr>
          <w:color w:val="auto"/>
          <w:sz w:val="24"/>
          <w:szCs w:val="24"/>
          <w:highlight w:val="none"/>
        </w:rPr>
      </w:pPr>
      <w:r>
        <w:rPr>
          <w:rFonts w:hint="eastAsia"/>
          <w:color w:val="auto"/>
          <w:sz w:val="24"/>
          <w:szCs w:val="24"/>
          <w:highlight w:val="none"/>
        </w:rPr>
        <w:t xml:space="preserve">供应商全称（加盖CA电子公章）：</w:t>
      </w:r>
      <w:r/>
    </w:p>
    <w:p>
      <w:pPr>
        <w:spacing w:line="360" w:lineRule="auto"/>
        <w:rPr>
          <w:rFonts w:ascii="宋体" w:hAnsi="宋体"/>
          <w:color w:val="auto"/>
          <w:sz w:val="24"/>
          <w:szCs w:val="24"/>
          <w:highlight w:val="none"/>
        </w:rPr>
      </w:pPr>
      <w:r>
        <w:rPr>
          <w:rFonts w:hint="eastAsia" w:ascii="宋体" w:hAnsi="Courier New"/>
          <w:color w:val="auto"/>
          <w:sz w:val="24"/>
          <w:szCs w:val="24"/>
          <w:highlight w:val="none"/>
        </w:rPr>
        <w:t xml:space="preserve">日期：    年     月     日 </w:t>
      </w:r>
      <w:r/>
    </w:p>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PAGE \* MERGEFORMAT</w:instrText>
    </w:r>
    <w:r>
      <w:fldChar w:fldCharType="separate"/>
    </w:r>
    <w:r>
      <w:rPr>
        <w:lang w:val="zh-CN"/>
      </w:rPr>
      <w:t xml:space="preserve">1</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Style w:val="806"/>
      </w:rPr>
      <w:framePr w:wrap="around" w:vAnchor="text" w:hAnchor="margin" w:xAlign="center" w:y="1"/>
    </w:pPr>
    <w:r>
      <w:fldChar w:fldCharType="begin"/>
    </w:r>
    <w:r>
      <w:rPr>
        <w:rStyle w:val="806"/>
      </w:rPr>
      <w:instrText xml:space="preserve">PAGE  </w:instrText>
    </w:r>
    <w:r>
      <w:fldChar w:fldCharType="separate"/>
    </w:r>
    <w:r>
      <w:rPr>
        <w:rStyle w:val="806"/>
      </w:rPr>
      <w:t xml:space="preserve">1</w:t>
    </w:r>
    <w:r>
      <w:fldChar w:fldCharType="end"/>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b/>
        <w:i/>
      </w:rPr>
    </w:pPr>
    <w:r>
      <w:fldChar w:fldCharType="begin"/>
    </w:r>
    <w:r>
      <w:instrText xml:space="preserve">PAGE \* MERGEFORMAT</w:instrText>
    </w:r>
    <w:r>
      <w:fldChar w:fldCharType="separate"/>
    </w:r>
    <w:r>
      <w:rPr>
        <w:lang w:val="zh-CN"/>
      </w:rPr>
      <w:t xml:space="preserve">1</w:t>
    </w:r>
    <w:r>
      <w:rPr>
        <w:lang w:val="zh-C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PAGE \* MERGEFORMAT</w:instrText>
    </w:r>
    <w:r>
      <w:fldChar w:fldCharType="separate"/>
    </w:r>
    <w:r>
      <w:rPr>
        <w:lang w:val="zh-CN"/>
      </w:rPr>
      <w:t xml:space="preserve">1</w:t>
    </w:r>
    <w:r>
      <w:rPr>
        <w:lang w:val="zh-CN"/>
      </w:rPr>
      <w:fldChar w:fldCharType="end"/>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PAGE \* MERGEFORMAT</w:instrText>
    </w:r>
    <w:r>
      <w:fldChar w:fldCharType="separate"/>
    </w:r>
    <w:r>
      <w:rPr>
        <w:lang w:val="zh-CN"/>
      </w:rPr>
      <w:t xml:space="preserve">1</w:t>
    </w:r>
    <w:r>
      <w:rPr>
        <w:lang w:val="zh-CN"/>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PAGE \* MERGEFORMAT</w:instrText>
    </w:r>
    <w:r>
      <w:fldChar w:fldCharType="separate"/>
    </w:r>
    <w:r>
      <w:rPr>
        <w:lang w:val="zh-CN"/>
      </w:rPr>
      <w:t xml:space="preserve">1</w:t>
    </w:r>
    <w:r>
      <w:rPr>
        <w:lang w:val="zh-CN"/>
      </w:rP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ind w:left="425" w:hanging="425"/>
      </w:pPr>
      <w:rPr>
        <w:rFonts w:ascii="Times New Roman" w:hAnsi="Times New Roman" w:eastAsia="黑体"/>
      </w:rPr>
    </w:lvl>
    <w:lvl w:ilvl="1">
      <w:start w:val="1"/>
      <w:numFmt w:val="chineseCountingThousand"/>
      <w:isLgl w:val="false"/>
      <w:suff w:val="space"/>
      <w:lvlText w:val="（%2）"/>
      <w:lvlJc w:val="left"/>
      <w:pPr>
        <w:ind w:left="567" w:hanging="567"/>
      </w:pPr>
      <w:rPr>
        <w:rFonts w:ascii="Times New Roman" w:hAnsi="Times New Roman" w:eastAsia="黑体"/>
      </w:rPr>
    </w:lvl>
    <w:lvl w:ilvl="2">
      <w:start w:val="1"/>
      <w:numFmt w:val="decimal"/>
      <w:pStyle w:val="1016"/>
      <w:isLgl w:val="false"/>
      <w:suff w:val="space"/>
      <w:lvlText w:val="%3."/>
      <w:lvlJc w:val="left"/>
      <w:pPr>
        <w:ind w:left="653" w:hanging="369"/>
      </w:pPr>
      <w:rPr>
        <w:rFonts w:ascii="Times New Roman" w:hAnsi="Times New Roman" w:eastAsia="黑体"/>
      </w:rPr>
    </w:lvl>
    <w:lvl w:ilvl="3">
      <w:start w:val="1"/>
      <w:numFmt w:val="decimal"/>
      <w:isLgl w:val="false"/>
      <w:suff w:val="space"/>
      <w:lvlText w:val="（%4）"/>
      <w:lvlJc w:val="left"/>
      <w:pPr>
        <w:ind w:left="851" w:hanging="567"/>
      </w:pPr>
      <w:rPr>
        <w:rFonts w:ascii="Times New Roman" w:hAnsi="Times New Roman" w:eastAsia="黑体"/>
      </w:rPr>
    </w:lvl>
    <w:lvl w:ilvl="4">
      <w:start w:val="1"/>
      <w:numFmt w:val="lowerLetter"/>
      <w:isLgl w:val="false"/>
      <w:suff w:val="space"/>
      <w:lvlText w:val="%5."/>
      <w:lvlJc w:val="left"/>
      <w:pPr>
        <w:ind w:left="992" w:hanging="425"/>
      </w:pPr>
      <w:rPr>
        <w:rFonts w:ascii="Times New Roman" w:hAnsi="Times New Roman" w:eastAsia="黑体"/>
      </w:rPr>
    </w:lvl>
    <w:lvl w:ilvl="5">
      <w:start w:val="1"/>
      <w:numFmt w:val="lowerLetter"/>
      <w:isLgl w:val="false"/>
      <w:suff w:val="space"/>
      <w:lvlText w:val="（%6）"/>
      <w:lvlJc w:val="left"/>
      <w:pPr>
        <w:ind w:left="1134" w:hanging="680"/>
      </w:pPr>
      <w:rPr>
        <w:rFonts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bullet"/>
      <w:isLgl w:val="false"/>
      <w:suff w:val="tab"/>
      <w:lvlText w:val=""/>
      <w:lvlJc w:val="left"/>
      <w:pPr>
        <w:ind w:left="360" w:hanging="360"/>
        <w:tabs>
          <w:tab w:val="left" w:pos="360" w:leader="none"/>
        </w:tabs>
      </w:pPr>
      <w:rPr>
        <w:rFonts w:ascii="Wingdings" w:hAnsi="Wingdings"/>
      </w:rPr>
    </w:lvl>
    <w:lvl w:ilvl="1">
      <w:start w:val="1"/>
      <w:numFmt w:val="bullet"/>
      <w:pStyle w:val="101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0"/>
      <w:isLgl w:val="false"/>
      <w:suff w:val="nothing"/>
      <w:lvlText w:val=""/>
      <w:lvlJc w:val="left"/>
      <w:pPr>
        <w:ind w:left="0" w:firstLine="0"/>
      </w:pPr>
      <w:rPr>
        <w:rFonts w:hint="eastAsia"/>
      </w:rPr>
    </w:lvl>
    <w:lvl w:ilvl="6">
      <w:start w:val="1"/>
      <w:numFmt w:val="decimal"/>
      <w:pStyle w:val="761"/>
      <w:isLgl w:val="false"/>
      <w:suff w:val="nothing"/>
      <w:lvlText w:val=""/>
      <w:lvlJc w:val="left"/>
      <w:pPr>
        <w:ind w:left="0" w:firstLine="0"/>
      </w:pPr>
      <w:rPr>
        <w:rFonts w:hint="eastAsia"/>
      </w:rPr>
    </w:lvl>
    <w:lvl w:ilvl="7">
      <w:start w:val="1"/>
      <w:numFmt w:val="decimal"/>
      <w:pStyle w:val="762"/>
      <w:isLgl w:val="false"/>
      <w:suff w:val="nothing"/>
      <w:lvlText w:val=""/>
      <w:lvlJc w:val="left"/>
      <w:pPr>
        <w:ind w:left="0" w:firstLine="0"/>
      </w:pPr>
      <w:rPr>
        <w:rFonts w:hint="eastAsia"/>
      </w:rPr>
    </w:lvl>
    <w:lvl w:ilvl="8">
      <w:start w:val="1"/>
      <w:numFmt w:val="decimal"/>
      <w:pStyle w:val="763"/>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66"/>
    <w:uiPriority w:val="0"/>
    <w:qFormat/>
    <w:pPr>
      <w:jc w:val="both"/>
      <w:widowControl w:val="off"/>
    </w:pPr>
    <w:rPr>
      <w:rFonts w:hint="default" w:ascii="Times New Roman" w:hAnsi="Times New Roman" w:eastAsia="宋体" w:cs="Times New Roman"/>
      <w:sz w:val="21"/>
      <w:szCs w:val="21"/>
    </w:rPr>
  </w:style>
  <w:style w:type="paragraph" w:styleId="755">
    <w:name w:val="Heading 1"/>
    <w:basedOn w:val="754"/>
    <w:next w:val="754"/>
    <w:uiPriority w:val="0"/>
    <w:qFormat/>
    <w:pPr>
      <w:jc w:val="center"/>
      <w:keepNext/>
      <w:outlineLvl w:val="0"/>
    </w:pPr>
    <w:rPr>
      <w:rFonts w:ascii="楷体_GB2312" w:eastAsia="楷体_GB2312"/>
      <w:sz w:val="28"/>
      <w:szCs w:val="28"/>
    </w:rPr>
  </w:style>
  <w:style w:type="paragraph" w:styleId="756">
    <w:name w:val="Heading 2"/>
    <w:basedOn w:val="754"/>
    <w:next w:val="76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7">
    <w:name w:val="Heading 3"/>
    <w:basedOn w:val="754"/>
    <w:next w:val="767"/>
    <w:uiPriority w:val="0"/>
    <w:qFormat/>
    <w:pPr>
      <w:keepLines/>
      <w:keepNext/>
      <w:spacing w:before="260" w:after="260" w:line="416" w:lineRule="auto"/>
      <w:outlineLvl w:val="2"/>
    </w:pPr>
    <w:rPr>
      <w:b/>
      <w:bCs/>
      <w:sz w:val="32"/>
      <w:szCs w:val="32"/>
    </w:rPr>
  </w:style>
  <w:style w:type="paragraph" w:styleId="758">
    <w:name w:val="Heading 4"/>
    <w:basedOn w:val="754"/>
    <w:next w:val="767"/>
    <w:uiPriority w:val="0"/>
    <w:qFormat/>
    <w:pPr>
      <w:keepLines/>
      <w:keepNext/>
      <w:spacing w:before="280" w:after="290" w:line="376" w:lineRule="auto"/>
      <w:outlineLvl w:val="3"/>
    </w:pPr>
    <w:rPr>
      <w:rFonts w:ascii="Arial" w:hAnsi="Arial" w:eastAsia="黑体" w:cs="Arial"/>
      <w:b/>
      <w:bCs/>
      <w:sz w:val="28"/>
      <w:szCs w:val="28"/>
    </w:rPr>
  </w:style>
  <w:style w:type="paragraph" w:styleId="759">
    <w:name w:val="Heading 5"/>
    <w:basedOn w:val="754"/>
    <w:next w:val="767"/>
    <w:uiPriority w:val="0"/>
    <w:qFormat/>
    <w:pPr>
      <w:keepNext/>
      <w:outlineLvl w:val="4"/>
    </w:pPr>
    <w:rPr>
      <w:rFonts w:ascii="宋体"/>
      <w:color w:val="000000"/>
      <w:sz w:val="28"/>
      <w:szCs w:val="28"/>
    </w:rPr>
  </w:style>
  <w:style w:type="paragraph" w:styleId="760">
    <w:name w:val="Heading 6"/>
    <w:basedOn w:val="754"/>
    <w:next w:val="75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61">
    <w:name w:val="Heading 7"/>
    <w:basedOn w:val="754"/>
    <w:next w:val="754"/>
    <w:uiPriority w:val="0"/>
    <w:qFormat/>
    <w:pPr>
      <w:numPr>
        <w:ilvl w:val="6"/>
        <w:numId w:val="1"/>
      </w:numPr>
      <w:keepLines/>
      <w:keepNext/>
      <w:spacing w:before="240" w:after="64" w:line="320" w:lineRule="auto"/>
      <w:outlineLvl w:val="6"/>
    </w:pPr>
    <w:rPr>
      <w:b/>
      <w:bCs/>
      <w:sz w:val="24"/>
      <w:szCs w:val="24"/>
    </w:rPr>
  </w:style>
  <w:style w:type="paragraph" w:styleId="762">
    <w:name w:val="Heading 8"/>
    <w:basedOn w:val="754"/>
    <w:next w:val="75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63">
    <w:name w:val="Heading 9"/>
    <w:basedOn w:val="754"/>
    <w:next w:val="754"/>
    <w:uiPriority w:val="0"/>
    <w:qFormat/>
    <w:pPr>
      <w:numPr>
        <w:ilvl w:val="8"/>
        <w:numId w:val="1"/>
      </w:numPr>
      <w:keepLines/>
      <w:keepNext/>
      <w:spacing w:before="240" w:after="64" w:line="320" w:lineRule="auto"/>
      <w:outlineLvl w:val="8"/>
    </w:pPr>
    <w:rPr>
      <w:rFonts w:ascii="Arial" w:hAnsi="Arial" w:eastAsia="黑体"/>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Layout w:type="fixed"/>
      <w:tblCellMar>
        <w:left w:w="108" w:type="dxa"/>
        <w:top w:w="0" w:type="dxa"/>
        <w:right w:w="108" w:type="dxa"/>
        <w:bottom w:w="0" w:type="dxa"/>
      </w:tblCellMar>
    </w:tblPr>
  </w:style>
  <w:style w:type="paragraph" w:styleId="766">
    <w:name w:val="List Paragraph"/>
    <w:basedOn w:val="754"/>
    <w:uiPriority w:val="0"/>
    <w:qFormat/>
    <w:pPr>
      <w:contextualSpacing/>
      <w:ind w:left="720"/>
      <w:jc w:val="left"/>
      <w:widowControl/>
    </w:pPr>
    <w:rPr>
      <w:rFonts w:ascii="Calibri" w:hAnsi="Calibri"/>
      <w:sz w:val="24"/>
      <w:szCs w:val="24"/>
      <w:lang w:eastAsia="en-US" w:bidi="en-US"/>
    </w:rPr>
  </w:style>
  <w:style w:type="paragraph" w:styleId="767">
    <w:name w:val="Normal Indent"/>
    <w:basedOn w:val="754"/>
    <w:link w:val="977"/>
    <w:uiPriority w:val="0"/>
    <w:qFormat/>
    <w:pPr>
      <w:ind w:firstLine="420"/>
    </w:pPr>
  </w:style>
  <w:style w:type="paragraph" w:styleId="768">
    <w:name w:val="List 3"/>
    <w:basedOn w:val="754"/>
    <w:uiPriority w:val="0"/>
    <w:qFormat/>
    <w:pPr>
      <w:ind w:left="100" w:hanging="200"/>
    </w:pPr>
  </w:style>
  <w:style w:type="paragraph" w:styleId="769">
    <w:name w:val="annotation subject"/>
    <w:basedOn w:val="770"/>
    <w:next w:val="770"/>
    <w:uiPriority w:val="0"/>
    <w:semiHidden/>
    <w:qFormat/>
    <w:rPr>
      <w:b/>
      <w:bCs/>
    </w:rPr>
  </w:style>
  <w:style w:type="paragraph" w:styleId="770">
    <w:name w:val="annotation text"/>
    <w:basedOn w:val="754"/>
    <w:uiPriority w:val="0"/>
    <w:semiHidden/>
    <w:qFormat/>
    <w:pPr>
      <w:jc w:val="left"/>
    </w:pPr>
  </w:style>
  <w:style w:type="paragraph" w:styleId="771">
    <w:name w:val="toc 7"/>
    <w:basedOn w:val="754"/>
    <w:next w:val="754"/>
    <w:uiPriority w:val="0"/>
    <w:semiHidden/>
    <w:qFormat/>
    <w:pPr>
      <w:ind w:left="1260"/>
      <w:jc w:val="left"/>
    </w:pPr>
  </w:style>
  <w:style w:type="paragraph" w:styleId="772">
    <w:name w:val="Body Text First Indent"/>
    <w:basedOn w:val="754"/>
    <w:uiPriority w:val="0"/>
    <w:qFormat/>
    <w:pPr>
      <w:ind w:firstLine="200"/>
      <w:spacing w:line="360" w:lineRule="auto"/>
    </w:pPr>
    <w:rPr>
      <w:rFonts w:ascii="仿宋_GB2312" w:eastAsia="仿宋_GB2312"/>
      <w:sz w:val="30"/>
      <w:szCs w:val="30"/>
    </w:rPr>
  </w:style>
  <w:style w:type="paragraph" w:styleId="773">
    <w:name w:val="Document Map"/>
    <w:basedOn w:val="754"/>
    <w:uiPriority w:val="0"/>
    <w:semiHidden/>
    <w:qFormat/>
    <w:pPr>
      <w:shd w:val="clear" w:color="auto" w:fill="000080"/>
    </w:pPr>
  </w:style>
  <w:style w:type="paragraph" w:styleId="774">
    <w:name w:val="Body Text 3"/>
    <w:basedOn w:val="754"/>
    <w:uiPriority w:val="0"/>
    <w:qFormat/>
    <w:rPr>
      <w:rFonts w:ascii="仿宋_GB2312" w:hAnsi="Arial" w:eastAsia="仿宋_GB2312"/>
      <w:sz w:val="32"/>
      <w:szCs w:val="32"/>
    </w:rPr>
  </w:style>
  <w:style w:type="paragraph" w:styleId="775">
    <w:name w:val="Body Text"/>
    <w:basedOn w:val="754"/>
    <w:next w:val="767"/>
    <w:uiPriority w:val="0"/>
    <w:qFormat/>
    <w:rPr>
      <w:rFonts w:ascii="楷体_GB2312" w:hAnsi="Arial" w:eastAsia="楷体_GB2312"/>
      <w:sz w:val="28"/>
      <w:szCs w:val="28"/>
    </w:rPr>
  </w:style>
  <w:style w:type="paragraph" w:styleId="776">
    <w:name w:val="Body Text Indent"/>
    <w:basedOn w:val="754"/>
    <w:next w:val="777"/>
    <w:uiPriority w:val="0"/>
    <w:qFormat/>
    <w:pPr>
      <w:ind w:firstLine="645"/>
    </w:pPr>
    <w:rPr>
      <w:rFonts w:ascii="楷体_GB2312" w:eastAsia="楷体_GB2312"/>
      <w:sz w:val="32"/>
      <w:szCs w:val="32"/>
    </w:rPr>
  </w:style>
  <w:style w:type="paragraph" w:styleId="777">
    <w:name w:val="envelope return"/>
    <w:basedOn w:val="754"/>
    <w:uiPriority w:val="0"/>
    <w:qFormat/>
    <w:pPr>
      <w:jc w:val="both"/>
      <w:spacing w:line="360" w:lineRule="auto"/>
      <w:widowControl w:val="off"/>
    </w:pPr>
    <w:rPr>
      <w:rFonts w:ascii="Arial" w:hAnsi="Arial" w:eastAsia="宋体" w:cs="Arial"/>
      <w:sz w:val="21"/>
      <w:szCs w:val="24"/>
      <w:lang w:val="en-US" w:eastAsia="zh-CN" w:bidi="ar-SA"/>
    </w:rPr>
  </w:style>
  <w:style w:type="paragraph" w:styleId="778">
    <w:name w:val="List 2"/>
    <w:basedOn w:val="754"/>
    <w:uiPriority w:val="0"/>
    <w:qFormat/>
    <w:pPr>
      <w:ind w:left="100" w:hanging="200"/>
    </w:pPr>
  </w:style>
  <w:style w:type="paragraph" w:styleId="779">
    <w:name w:val="toc 5"/>
    <w:basedOn w:val="754"/>
    <w:next w:val="754"/>
    <w:uiPriority w:val="0"/>
    <w:semiHidden/>
    <w:qFormat/>
    <w:pPr>
      <w:ind w:left="840"/>
      <w:jc w:val="left"/>
    </w:pPr>
  </w:style>
  <w:style w:type="paragraph" w:styleId="780">
    <w:name w:val="toc 3"/>
    <w:basedOn w:val="754"/>
    <w:next w:val="754"/>
    <w:uiPriority w:val="0"/>
    <w:semiHidden/>
    <w:qFormat/>
    <w:pPr>
      <w:ind w:left="420"/>
      <w:jc w:val="left"/>
    </w:pPr>
    <w:rPr>
      <w:i/>
      <w:iCs/>
      <w:szCs w:val="24"/>
    </w:rPr>
  </w:style>
  <w:style w:type="paragraph" w:styleId="781">
    <w:name w:val="Plain Text"/>
    <w:basedOn w:val="754"/>
    <w:link w:val="978"/>
    <w:uiPriority w:val="0"/>
    <w:qFormat/>
    <w:rPr>
      <w:rFonts w:ascii="宋体" w:hAnsi="Courier New"/>
    </w:rPr>
  </w:style>
  <w:style w:type="paragraph" w:styleId="782">
    <w:name w:val="toc 8"/>
    <w:basedOn w:val="754"/>
    <w:next w:val="754"/>
    <w:uiPriority w:val="0"/>
    <w:semiHidden/>
    <w:qFormat/>
    <w:pPr>
      <w:ind w:left="1470"/>
      <w:jc w:val="left"/>
    </w:pPr>
  </w:style>
  <w:style w:type="paragraph" w:styleId="783">
    <w:name w:val="Date"/>
    <w:basedOn w:val="754"/>
    <w:next w:val="754"/>
    <w:uiPriority w:val="0"/>
    <w:qFormat/>
    <w:rPr>
      <w:sz w:val="24"/>
      <w:szCs w:val="24"/>
    </w:rPr>
  </w:style>
  <w:style w:type="paragraph" w:styleId="784">
    <w:name w:val="Body Text Indent 2"/>
    <w:basedOn w:val="754"/>
    <w:uiPriority w:val="0"/>
    <w:qFormat/>
    <w:pPr>
      <w:ind w:left="630" w:firstLine="645"/>
    </w:pPr>
    <w:rPr>
      <w:rFonts w:ascii="Arial" w:hAnsi="Arial" w:eastAsia="仿宋_GB2312" w:cs="Arial"/>
      <w:sz w:val="32"/>
      <w:szCs w:val="32"/>
    </w:rPr>
  </w:style>
  <w:style w:type="paragraph" w:styleId="785">
    <w:name w:val="endnote text"/>
    <w:basedOn w:val="754"/>
    <w:link w:val="975"/>
    <w:uiPriority w:val="99"/>
    <w:semiHidden/>
    <w:unhideWhenUsed/>
    <w:qFormat/>
    <w:rPr>
      <w:sz w:val="20"/>
      <w:szCs w:val="20"/>
    </w:rPr>
  </w:style>
  <w:style w:type="paragraph" w:styleId="786">
    <w:name w:val="Balloon Text"/>
    <w:basedOn w:val="754"/>
    <w:uiPriority w:val="0"/>
    <w:semiHidden/>
    <w:qFormat/>
    <w:rPr>
      <w:sz w:val="18"/>
      <w:szCs w:val="18"/>
    </w:rPr>
  </w:style>
  <w:style w:type="paragraph" w:styleId="787">
    <w:name w:val="Footer"/>
    <w:basedOn w:val="754"/>
    <w:uiPriority w:val="99"/>
    <w:unhideWhenUsed/>
    <w:qFormat/>
    <w:pPr>
      <w:spacing w:after="0" w:line="240" w:lineRule="auto"/>
      <w:tabs>
        <w:tab w:val="center" w:pos="7143" w:leader="none"/>
        <w:tab w:val="right" w:pos="14287" w:leader="none"/>
      </w:tabs>
    </w:pPr>
  </w:style>
  <w:style w:type="paragraph" w:styleId="788">
    <w:name w:val="Body Text First Indent 2"/>
    <w:basedOn w:val="776"/>
    <w:next w:val="754"/>
    <w:uiPriority w:val="0"/>
    <w:qFormat/>
    <w:pPr>
      <w:ind w:firstLine="420"/>
      <w:spacing w:line="360" w:lineRule="auto"/>
    </w:pPr>
    <w:rPr>
      <w:rFonts w:ascii="宋体" w:hAnsi="宋体" w:eastAsia="宋体"/>
      <w:sz w:val="21"/>
      <w:szCs w:val="20"/>
    </w:rPr>
  </w:style>
  <w:style w:type="paragraph" w:styleId="789">
    <w:name w:val="Header"/>
    <w:basedOn w:val="754"/>
    <w:uiPriority w:val="99"/>
    <w:unhideWhenUsed/>
    <w:qFormat/>
    <w:pPr>
      <w:spacing w:after="0" w:line="240" w:lineRule="auto"/>
      <w:tabs>
        <w:tab w:val="center" w:pos="7143" w:leader="none"/>
        <w:tab w:val="right" w:pos="14287" w:leader="none"/>
      </w:tabs>
    </w:pPr>
  </w:style>
  <w:style w:type="paragraph" w:styleId="790">
    <w:name w:val="toc 1"/>
    <w:basedOn w:val="754"/>
    <w:next w:val="754"/>
    <w:uiPriority w:val="0"/>
    <w:semiHidden/>
    <w:qFormat/>
    <w:pPr>
      <w:jc w:val="left"/>
      <w:spacing w:before="120" w:after="120" w:line="400" w:lineRule="exact"/>
      <w:tabs>
        <w:tab w:val="right" w:pos="8720" w:leader="dot"/>
      </w:tabs>
    </w:pPr>
    <w:rPr>
      <w:rFonts w:ascii="宋体" w:hAnsi="宋体"/>
      <w:caps/>
      <w:sz w:val="24"/>
      <w:szCs w:val="24"/>
    </w:rPr>
  </w:style>
  <w:style w:type="paragraph" w:styleId="791">
    <w:name w:val="toc 4"/>
    <w:basedOn w:val="754"/>
    <w:next w:val="754"/>
    <w:uiPriority w:val="0"/>
    <w:semiHidden/>
    <w:qFormat/>
    <w:pPr>
      <w:ind w:left="630"/>
      <w:jc w:val="left"/>
    </w:pPr>
  </w:style>
  <w:style w:type="paragraph" w:styleId="792">
    <w:name w:val="Subtitle"/>
    <w:basedOn w:val="754"/>
    <w:next w:val="754"/>
    <w:link w:val="838"/>
    <w:uiPriority w:val="11"/>
    <w:qFormat/>
    <w:pPr>
      <w:spacing w:before="200" w:after="200"/>
    </w:pPr>
    <w:rPr>
      <w:sz w:val="24"/>
      <w:szCs w:val="24"/>
    </w:rPr>
  </w:style>
  <w:style w:type="paragraph" w:styleId="793">
    <w:name w:val="List"/>
    <w:basedOn w:val="754"/>
    <w:uiPriority w:val="0"/>
    <w:qFormat/>
    <w:pPr>
      <w:ind w:left="200" w:hanging="200"/>
    </w:pPr>
  </w:style>
  <w:style w:type="paragraph" w:styleId="794">
    <w:name w:val="footnote text"/>
    <w:basedOn w:val="754"/>
    <w:link w:val="974"/>
    <w:uiPriority w:val="99"/>
    <w:semiHidden/>
    <w:unhideWhenUsed/>
    <w:qFormat/>
    <w:pPr>
      <w:spacing w:after="40"/>
    </w:pPr>
    <w:rPr>
      <w:sz w:val="18"/>
      <w:szCs w:val="20"/>
    </w:rPr>
  </w:style>
  <w:style w:type="paragraph" w:styleId="795">
    <w:name w:val="toc 6"/>
    <w:basedOn w:val="754"/>
    <w:next w:val="754"/>
    <w:uiPriority w:val="0"/>
    <w:semiHidden/>
    <w:qFormat/>
    <w:pPr>
      <w:ind w:left="1050"/>
      <w:jc w:val="left"/>
    </w:pPr>
  </w:style>
  <w:style w:type="paragraph" w:styleId="796">
    <w:name w:val="Body Text Indent 3"/>
    <w:basedOn w:val="754"/>
    <w:uiPriority w:val="0"/>
    <w:qFormat/>
    <w:pPr>
      <w:ind w:left="645" w:firstLine="645"/>
    </w:pPr>
    <w:rPr>
      <w:rFonts w:ascii="Arial" w:hAnsi="Arial" w:eastAsia="仿宋_GB2312" w:cs="Arial"/>
      <w:color w:val="ffff00"/>
      <w:sz w:val="32"/>
      <w:szCs w:val="32"/>
    </w:rPr>
  </w:style>
  <w:style w:type="paragraph" w:styleId="797">
    <w:name w:val="table of figures"/>
    <w:basedOn w:val="754"/>
    <w:next w:val="754"/>
    <w:uiPriority w:val="0"/>
    <w:semiHidden/>
    <w:qFormat/>
    <w:pPr>
      <w:ind w:left="840" w:hanging="420"/>
    </w:pPr>
  </w:style>
  <w:style w:type="paragraph" w:styleId="798">
    <w:name w:val="toc 2"/>
    <w:basedOn w:val="754"/>
    <w:next w:val="754"/>
    <w:uiPriority w:val="0"/>
    <w:semiHidden/>
    <w:qFormat/>
    <w:pPr>
      <w:ind w:left="210"/>
      <w:jc w:val="left"/>
    </w:pPr>
    <w:rPr>
      <w:smallCaps/>
      <w:szCs w:val="24"/>
    </w:rPr>
  </w:style>
  <w:style w:type="paragraph" w:styleId="799">
    <w:name w:val="toc 9"/>
    <w:basedOn w:val="754"/>
    <w:next w:val="754"/>
    <w:uiPriority w:val="0"/>
    <w:semiHidden/>
    <w:qFormat/>
    <w:pPr>
      <w:ind w:left="1680"/>
      <w:jc w:val="left"/>
    </w:pPr>
  </w:style>
  <w:style w:type="paragraph" w:styleId="800">
    <w:name w:val="Body Text 2"/>
    <w:basedOn w:val="754"/>
    <w:uiPriority w:val="0"/>
    <w:qFormat/>
    <w:pPr>
      <w:jc w:val="center"/>
      <w:widowControl/>
    </w:pPr>
    <w:rPr>
      <w:rFonts w:ascii="楷体_GB2312" w:eastAsia="楷体_GB2312"/>
      <w:sz w:val="28"/>
      <w:szCs w:val="28"/>
    </w:rPr>
  </w:style>
  <w:style w:type="paragraph" w:styleId="801">
    <w:name w:val="Normal (Web)"/>
    <w:basedOn w:val="754"/>
    <w:uiPriority w:val="99"/>
    <w:qFormat/>
    <w:pPr>
      <w:jc w:val="left"/>
      <w:spacing w:before="100" w:beforeAutospacing="1" w:after="100" w:afterAutospacing="1"/>
      <w:widowControl/>
    </w:pPr>
    <w:rPr>
      <w:rFonts w:ascii="宋体" w:hAnsi="宋体" w:cs="宋体"/>
      <w:sz w:val="24"/>
      <w:szCs w:val="24"/>
    </w:rPr>
  </w:style>
  <w:style w:type="paragraph" w:styleId="802">
    <w:name w:val="index 1"/>
    <w:basedOn w:val="754"/>
    <w:next w:val="754"/>
    <w:uiPriority w:val="0"/>
    <w:semiHidden/>
    <w:qFormat/>
    <w:pPr>
      <w:spacing w:line="240" w:lineRule="atLeast"/>
    </w:pPr>
    <w:rPr>
      <w:b/>
      <w:bCs/>
    </w:rPr>
  </w:style>
  <w:style w:type="paragraph" w:styleId="803">
    <w:name w:val="Title"/>
    <w:basedOn w:val="754"/>
    <w:next w:val="754"/>
    <w:link w:val="837"/>
    <w:uiPriority w:val="10"/>
    <w:qFormat/>
    <w:pPr>
      <w:contextualSpacing/>
      <w:spacing w:before="300" w:after="200"/>
    </w:pPr>
    <w:rPr>
      <w:sz w:val="48"/>
      <w:szCs w:val="48"/>
    </w:rPr>
  </w:style>
  <w:style w:type="character" w:styleId="804">
    <w:name w:val="Strong"/>
    <w:uiPriority w:val="0"/>
    <w:qFormat/>
    <w:rPr>
      <w:b/>
      <w:bCs/>
    </w:rPr>
  </w:style>
  <w:style w:type="character" w:styleId="805">
    <w:name w:val="endnote reference"/>
    <w:uiPriority w:val="99"/>
    <w:semiHidden/>
    <w:unhideWhenUsed/>
    <w:qFormat/>
    <w:rPr>
      <w:vertAlign w:val="superscript"/>
    </w:rPr>
  </w:style>
  <w:style w:type="character" w:styleId="806">
    <w:name w:val="page number"/>
    <w:uiPriority w:val="0"/>
    <w:qFormat/>
  </w:style>
  <w:style w:type="character" w:styleId="807">
    <w:name w:val="FollowedHyperlink"/>
    <w:uiPriority w:val="0"/>
    <w:qFormat/>
    <w:rPr>
      <w:color w:val="800080"/>
      <w:u w:val="single"/>
    </w:rPr>
  </w:style>
  <w:style w:type="character" w:styleId="808">
    <w:name w:val="Hyperlink"/>
    <w:uiPriority w:val="0"/>
    <w:qFormat/>
    <w:rPr>
      <w:color w:val="0000ff"/>
      <w:u w:val="single"/>
    </w:rPr>
  </w:style>
  <w:style w:type="character" w:styleId="809">
    <w:name w:val="annotation reference"/>
    <w:uiPriority w:val="0"/>
    <w:semiHidden/>
    <w:qFormat/>
    <w:rPr>
      <w:sz w:val="21"/>
      <w:szCs w:val="21"/>
    </w:rPr>
  </w:style>
  <w:style w:type="character" w:styleId="810">
    <w:name w:val="footnote reference"/>
    <w:uiPriority w:val="99"/>
    <w:unhideWhenUsed/>
    <w:qFormat/>
    <w:rPr>
      <w:vertAlign w:val="superscript"/>
    </w:rPr>
  </w:style>
  <w:style w:type="table" w:styleId="811">
    <w:name w:val="Table Grid"/>
    <w:basedOn w:val="765"/>
    <w:uiPriority w:val="0"/>
    <w:qFormat/>
    <w:pPr>
      <w:jc w:val="both"/>
      <w:widowControl w:val="off"/>
    </w:pPr>
    <w:tblPr>
      <w:tblLayout w:type="fixed"/>
      <w:tblCellMar>
        <w:left w:w="108" w:type="dxa"/>
        <w:top w:w="0" w:type="dxa"/>
        <w:right w:w="108" w:type="dxa"/>
        <w:bottom w:w="0" w:type="dxa"/>
      </w:tblCellMar>
    </w:tblPr>
  </w:style>
  <w:style w:type="character" w:styleId="812" w:customStyle="1">
    <w:name w:val="Title Char"/>
    <w:basedOn w:val="764"/>
    <w:uiPriority w:val="10"/>
    <w:qFormat/>
    <w:rPr>
      <w:sz w:val="48"/>
      <w:szCs w:val="48"/>
    </w:rPr>
  </w:style>
  <w:style w:type="character" w:styleId="813" w:customStyle="1">
    <w:name w:val="Subtitle Char"/>
    <w:basedOn w:val="764"/>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Heading 1"/>
    <w:basedOn w:val="754"/>
    <w:next w:val="754"/>
    <w:link w:val="819"/>
    <w:uiPriority w:val="9"/>
    <w:qFormat/>
    <w:pPr>
      <w:keepLines/>
      <w:keepNext/>
      <w:spacing w:before="480" w:after="200"/>
      <w:outlineLvl w:val="0"/>
    </w:pPr>
    <w:rPr>
      <w:rFonts w:ascii="Arial" w:hAnsi="Arial" w:eastAsia="Arial"/>
      <w:sz w:val="40"/>
      <w:szCs w:val="40"/>
    </w:rPr>
  </w:style>
  <w:style w:type="character" w:styleId="819" w:customStyle="1">
    <w:name w:val="Heading 1 Char"/>
    <w:link w:val="818"/>
    <w:uiPriority w:val="9"/>
    <w:qFormat/>
    <w:rPr>
      <w:rFonts w:ascii="Arial" w:hAnsi="Arial" w:eastAsia="Arial" w:cs="Arial"/>
      <w:sz w:val="40"/>
      <w:szCs w:val="40"/>
    </w:rPr>
  </w:style>
  <w:style w:type="paragraph" w:styleId="820" w:customStyle="1">
    <w:name w:val="Heading 2"/>
    <w:basedOn w:val="754"/>
    <w:next w:val="754"/>
    <w:link w:val="821"/>
    <w:uiPriority w:val="9"/>
    <w:unhideWhenUsed/>
    <w:qFormat/>
    <w:pPr>
      <w:keepLines/>
      <w:keepNext/>
      <w:spacing w:before="360" w:after="200"/>
      <w:outlineLvl w:val="1"/>
    </w:pPr>
    <w:rPr>
      <w:rFonts w:ascii="Arial" w:hAnsi="Arial" w:eastAsia="Arial"/>
      <w:sz w:val="34"/>
      <w:szCs w:val="20"/>
    </w:rPr>
  </w:style>
  <w:style w:type="character" w:styleId="821" w:customStyle="1">
    <w:name w:val="Heading 2 Char"/>
    <w:link w:val="820"/>
    <w:uiPriority w:val="9"/>
    <w:qFormat/>
    <w:rPr>
      <w:rFonts w:ascii="Arial" w:hAnsi="Arial" w:eastAsia="Arial" w:cs="Arial"/>
      <w:sz w:val="34"/>
    </w:rPr>
  </w:style>
  <w:style w:type="paragraph" w:styleId="822" w:customStyle="1">
    <w:name w:val="Heading 3"/>
    <w:basedOn w:val="754"/>
    <w:next w:val="754"/>
    <w:link w:val="823"/>
    <w:uiPriority w:val="9"/>
    <w:unhideWhenUsed/>
    <w:qFormat/>
    <w:pPr>
      <w:keepLines/>
      <w:keepNext/>
      <w:spacing w:before="320" w:after="200"/>
      <w:outlineLvl w:val="2"/>
    </w:pPr>
    <w:rPr>
      <w:rFonts w:ascii="Arial" w:hAnsi="Arial" w:eastAsia="Arial"/>
      <w:sz w:val="30"/>
      <w:szCs w:val="30"/>
    </w:rPr>
  </w:style>
  <w:style w:type="character" w:styleId="823" w:customStyle="1">
    <w:name w:val="Heading 3 Char"/>
    <w:link w:val="822"/>
    <w:uiPriority w:val="9"/>
    <w:qFormat/>
    <w:rPr>
      <w:rFonts w:ascii="Arial" w:hAnsi="Arial" w:eastAsia="Arial" w:cs="Arial"/>
      <w:sz w:val="30"/>
      <w:szCs w:val="30"/>
    </w:rPr>
  </w:style>
  <w:style w:type="paragraph" w:styleId="824" w:customStyle="1">
    <w:name w:val="Heading 4"/>
    <w:basedOn w:val="754"/>
    <w:next w:val="754"/>
    <w:link w:val="825"/>
    <w:uiPriority w:val="9"/>
    <w:unhideWhenUsed/>
    <w:qFormat/>
    <w:pPr>
      <w:keepLines/>
      <w:keepNext/>
      <w:spacing w:before="320" w:after="200"/>
      <w:outlineLvl w:val="3"/>
    </w:pPr>
    <w:rPr>
      <w:rFonts w:ascii="Arial" w:hAnsi="Arial" w:eastAsia="Arial"/>
      <w:b/>
      <w:bCs/>
      <w:sz w:val="26"/>
      <w:szCs w:val="26"/>
    </w:rPr>
  </w:style>
  <w:style w:type="character" w:styleId="825" w:customStyle="1">
    <w:name w:val="Heading 4 Char"/>
    <w:link w:val="824"/>
    <w:uiPriority w:val="9"/>
    <w:qFormat/>
    <w:rPr>
      <w:rFonts w:ascii="Arial" w:hAnsi="Arial" w:eastAsia="Arial" w:cs="Arial"/>
      <w:b/>
      <w:bCs/>
      <w:sz w:val="26"/>
      <w:szCs w:val="26"/>
    </w:rPr>
  </w:style>
  <w:style w:type="paragraph" w:styleId="826" w:customStyle="1">
    <w:name w:val="Heading 5"/>
    <w:basedOn w:val="754"/>
    <w:next w:val="754"/>
    <w:link w:val="827"/>
    <w:uiPriority w:val="9"/>
    <w:unhideWhenUsed/>
    <w:qFormat/>
    <w:pPr>
      <w:keepLines/>
      <w:keepNext/>
      <w:spacing w:before="320" w:after="200"/>
      <w:outlineLvl w:val="4"/>
    </w:pPr>
    <w:rPr>
      <w:rFonts w:ascii="Arial" w:hAnsi="Arial" w:eastAsia="Arial"/>
      <w:b/>
      <w:bCs/>
      <w:sz w:val="24"/>
      <w:szCs w:val="24"/>
    </w:rPr>
  </w:style>
  <w:style w:type="character" w:styleId="827" w:customStyle="1">
    <w:name w:val="Heading 5 Char"/>
    <w:link w:val="826"/>
    <w:uiPriority w:val="9"/>
    <w:qFormat/>
    <w:rPr>
      <w:rFonts w:ascii="Arial" w:hAnsi="Arial" w:eastAsia="Arial" w:cs="Arial"/>
      <w:b/>
      <w:bCs/>
      <w:sz w:val="24"/>
      <w:szCs w:val="24"/>
    </w:rPr>
  </w:style>
  <w:style w:type="paragraph" w:styleId="828" w:customStyle="1">
    <w:name w:val="Heading 6"/>
    <w:basedOn w:val="754"/>
    <w:next w:val="754"/>
    <w:link w:val="829"/>
    <w:uiPriority w:val="9"/>
    <w:unhideWhenUsed/>
    <w:qFormat/>
    <w:pPr>
      <w:keepLines/>
      <w:keepNext/>
      <w:spacing w:before="320" w:after="200"/>
      <w:outlineLvl w:val="5"/>
    </w:pPr>
    <w:rPr>
      <w:rFonts w:ascii="Arial" w:hAnsi="Arial" w:eastAsia="Arial"/>
      <w:b/>
      <w:bCs/>
      <w:sz w:val="22"/>
      <w:szCs w:val="22"/>
    </w:rPr>
  </w:style>
  <w:style w:type="character" w:styleId="829" w:customStyle="1">
    <w:name w:val="Heading 6 Char"/>
    <w:link w:val="828"/>
    <w:uiPriority w:val="9"/>
    <w:qFormat/>
    <w:rPr>
      <w:rFonts w:ascii="Arial" w:hAnsi="Arial" w:eastAsia="Arial" w:cs="Arial"/>
      <w:b/>
      <w:bCs/>
      <w:sz w:val="22"/>
      <w:szCs w:val="22"/>
    </w:rPr>
  </w:style>
  <w:style w:type="paragraph" w:styleId="830" w:customStyle="1">
    <w:name w:val="Heading 7"/>
    <w:basedOn w:val="754"/>
    <w:next w:val="754"/>
    <w:link w:val="831"/>
    <w:uiPriority w:val="9"/>
    <w:unhideWhenUsed/>
    <w:qFormat/>
    <w:pPr>
      <w:keepLines/>
      <w:keepNext/>
      <w:spacing w:before="320" w:after="200"/>
      <w:outlineLvl w:val="6"/>
    </w:pPr>
    <w:rPr>
      <w:rFonts w:ascii="Arial" w:hAnsi="Arial" w:eastAsia="Arial"/>
      <w:b/>
      <w:bCs/>
      <w:i/>
      <w:iCs/>
      <w:sz w:val="22"/>
      <w:szCs w:val="22"/>
    </w:rPr>
  </w:style>
  <w:style w:type="character" w:styleId="831" w:customStyle="1">
    <w:name w:val="Heading 7 Char"/>
    <w:link w:val="830"/>
    <w:uiPriority w:val="9"/>
    <w:qFormat/>
    <w:rPr>
      <w:rFonts w:ascii="Arial" w:hAnsi="Arial" w:eastAsia="Arial" w:cs="Arial"/>
      <w:b/>
      <w:bCs/>
      <w:i/>
      <w:iCs/>
      <w:sz w:val="22"/>
      <w:szCs w:val="22"/>
    </w:rPr>
  </w:style>
  <w:style w:type="paragraph" w:styleId="832" w:customStyle="1">
    <w:name w:val="Heading 8"/>
    <w:basedOn w:val="754"/>
    <w:next w:val="754"/>
    <w:link w:val="833"/>
    <w:uiPriority w:val="9"/>
    <w:unhideWhenUsed/>
    <w:qFormat/>
    <w:pPr>
      <w:keepLines/>
      <w:keepNext/>
      <w:spacing w:before="320" w:after="200"/>
      <w:outlineLvl w:val="7"/>
    </w:pPr>
    <w:rPr>
      <w:rFonts w:ascii="Arial" w:hAnsi="Arial" w:eastAsia="Arial"/>
      <w:i/>
      <w:iCs/>
      <w:sz w:val="22"/>
      <w:szCs w:val="22"/>
    </w:rPr>
  </w:style>
  <w:style w:type="character" w:styleId="833" w:customStyle="1">
    <w:name w:val="Heading 8 Char"/>
    <w:link w:val="832"/>
    <w:uiPriority w:val="9"/>
    <w:qFormat/>
    <w:rPr>
      <w:rFonts w:ascii="Arial" w:hAnsi="Arial" w:eastAsia="Arial" w:cs="Arial"/>
      <w:i/>
      <w:iCs/>
      <w:sz w:val="22"/>
      <w:szCs w:val="22"/>
    </w:rPr>
  </w:style>
  <w:style w:type="paragraph" w:styleId="834" w:customStyle="1">
    <w:name w:val="Heading 9"/>
    <w:basedOn w:val="754"/>
    <w:next w:val="754"/>
    <w:link w:val="835"/>
    <w:uiPriority w:val="9"/>
    <w:unhideWhenUsed/>
    <w:qFormat/>
    <w:pPr>
      <w:keepLines/>
      <w:keepNext/>
      <w:spacing w:before="320" w:after="200"/>
      <w:outlineLvl w:val="8"/>
    </w:pPr>
    <w:rPr>
      <w:rFonts w:ascii="Arial" w:hAnsi="Arial" w:eastAsia="Arial"/>
      <w:i/>
      <w:iCs/>
    </w:rPr>
  </w:style>
  <w:style w:type="character" w:styleId="835" w:customStyle="1">
    <w:name w:val="Heading 9 Char"/>
    <w:link w:val="834"/>
    <w:uiPriority w:val="9"/>
    <w:qFormat/>
    <w:rPr>
      <w:rFonts w:ascii="Arial" w:hAnsi="Arial" w:eastAsia="Arial" w:cs="Arial"/>
      <w:i/>
      <w:iCs/>
      <w:sz w:val="21"/>
      <w:szCs w:val="21"/>
    </w:rPr>
  </w:style>
  <w:style w:type="paragraph" w:styleId="836">
    <w:name w:val="No Spacing"/>
    <w:link w:val="1017"/>
    <w:uiPriority w:val="1"/>
    <w:qFormat/>
    <w:pPr>
      <w:jc w:val="both"/>
      <w:widowControl w:val="off"/>
    </w:pPr>
    <w:rPr>
      <w:rFonts w:hint="default" w:ascii="Times New Roman" w:hAnsi="Times New Roman" w:eastAsia="宋体" w:cs="Times New Roman"/>
      <w:sz w:val="21"/>
      <w:szCs w:val="21"/>
    </w:rPr>
  </w:style>
  <w:style w:type="character" w:styleId="837" w:customStyle="1">
    <w:name w:val="标题 Char"/>
    <w:link w:val="803"/>
    <w:uiPriority w:val="10"/>
    <w:qFormat/>
    <w:rPr>
      <w:sz w:val="48"/>
      <w:szCs w:val="48"/>
    </w:rPr>
  </w:style>
  <w:style w:type="character" w:styleId="838" w:customStyle="1">
    <w:name w:val="副标题 Char"/>
    <w:link w:val="792"/>
    <w:uiPriority w:val="11"/>
    <w:qFormat/>
    <w:rPr>
      <w:sz w:val="24"/>
      <w:szCs w:val="24"/>
    </w:rPr>
  </w:style>
  <w:style w:type="paragraph" w:styleId="839">
    <w:name w:val="Quote"/>
    <w:basedOn w:val="754"/>
    <w:next w:val="754"/>
    <w:link w:val="840"/>
    <w:uiPriority w:val="29"/>
    <w:qFormat/>
    <w:pPr>
      <w:ind w:left="720" w:right="720"/>
    </w:pPr>
    <w:rPr>
      <w:i/>
      <w:sz w:val="20"/>
      <w:szCs w:val="20"/>
    </w:rPr>
  </w:style>
  <w:style w:type="character" w:styleId="840" w:customStyle="1">
    <w:name w:val="引用 Char"/>
    <w:link w:val="839"/>
    <w:uiPriority w:val="29"/>
    <w:qFormat/>
    <w:rPr>
      <w:i/>
    </w:rPr>
  </w:style>
  <w:style w:type="paragraph" w:styleId="841">
    <w:name w:val="Intense Quote"/>
    <w:basedOn w:val="754"/>
    <w:next w:val="754"/>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42" w:customStyle="1">
    <w:name w:val="明显引用 Char"/>
    <w:link w:val="841"/>
    <w:uiPriority w:val="30"/>
    <w:qFormat/>
    <w:rPr>
      <w:i/>
    </w:rPr>
  </w:style>
  <w:style w:type="paragraph" w:styleId="843" w:customStyle="1">
    <w:name w:val="Header1"/>
    <w:basedOn w:val="754"/>
    <w:link w:val="844"/>
    <w:uiPriority w:val="99"/>
    <w:unhideWhenUsed/>
    <w:qFormat/>
    <w:pPr>
      <w:tabs>
        <w:tab w:val="center" w:pos="7143" w:leader="none"/>
        <w:tab w:val="right" w:pos="14287" w:leader="none"/>
      </w:tabs>
    </w:pPr>
  </w:style>
  <w:style w:type="character" w:styleId="844" w:customStyle="1">
    <w:name w:val="Header Char"/>
    <w:link w:val="843"/>
    <w:uiPriority w:val="99"/>
    <w:qFormat/>
  </w:style>
  <w:style w:type="paragraph" w:styleId="845" w:customStyle="1">
    <w:name w:val="Footer1"/>
    <w:basedOn w:val="754"/>
    <w:link w:val="848"/>
    <w:uiPriority w:val="99"/>
    <w:unhideWhenUsed/>
    <w:qFormat/>
    <w:pPr>
      <w:tabs>
        <w:tab w:val="center" w:pos="7143" w:leader="none"/>
        <w:tab w:val="right" w:pos="14287" w:leader="none"/>
      </w:tabs>
    </w:pPr>
  </w:style>
  <w:style w:type="character" w:styleId="846" w:customStyle="1">
    <w:name w:val="Footer Char"/>
    <w:uiPriority w:val="99"/>
    <w:qFormat/>
  </w:style>
  <w:style w:type="paragraph" w:styleId="847" w:customStyle="1">
    <w:name w:val="Caption"/>
    <w:basedOn w:val="754"/>
    <w:next w:val="754"/>
    <w:uiPriority w:val="35"/>
    <w:semiHidden/>
    <w:unhideWhenUsed/>
    <w:qFormat/>
    <w:pPr>
      <w:spacing w:line="276" w:lineRule="auto"/>
    </w:pPr>
    <w:rPr>
      <w:b/>
      <w:bCs/>
      <w:color w:val="4f81bd"/>
      <w:sz w:val="18"/>
      <w:szCs w:val="18"/>
    </w:rPr>
  </w:style>
  <w:style w:type="character" w:styleId="848" w:customStyle="1">
    <w:name w:val="Caption Char"/>
    <w:link w:val="845"/>
    <w:uiPriority w:val="99"/>
    <w:qFormat/>
  </w:style>
  <w:style w:type="table" w:styleId="84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850"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851" w:customStyle="1">
    <w:name w:val="Plain Table 2"/>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style>
  <w:style w:type="table" w:styleId="852" w:customStyle="1">
    <w:name w:val="Plain Table 3"/>
    <w:uiPriority w:val="99"/>
    <w:qFormat/>
    <w:tblPr>
      <w:tblLayout w:type="fixed"/>
      <w:tblCellMar>
        <w:left w:w="0" w:type="dxa"/>
        <w:top w:w="0" w:type="dxa"/>
        <w:right w:w="0" w:type="dxa"/>
        <w:bottom w:w="0" w:type="dxa"/>
      </w:tblCellMar>
    </w:tblPr>
  </w:style>
  <w:style w:type="table" w:styleId="853" w:customStyle="1">
    <w:name w:val="Plain Table 4"/>
    <w:uiPriority w:val="99"/>
    <w:qFormat/>
    <w:tblPr>
      <w:tblLayout w:type="fixed"/>
      <w:tblCellMar>
        <w:left w:w="0" w:type="dxa"/>
        <w:top w:w="0" w:type="dxa"/>
        <w:right w:w="0" w:type="dxa"/>
        <w:bottom w:w="0" w:type="dxa"/>
      </w:tblCellMar>
    </w:tblPr>
  </w:style>
  <w:style w:type="table" w:styleId="854" w:customStyle="1">
    <w:name w:val="Plain Table 5"/>
    <w:uiPriority w:val="99"/>
    <w:qFormat/>
    <w:tblPr>
      <w:tblLayout w:type="fixed"/>
      <w:tblCellMar>
        <w:left w:w="0" w:type="dxa"/>
        <w:top w:w="0" w:type="dxa"/>
        <w:right w:w="0" w:type="dxa"/>
        <w:bottom w:w="0" w:type="dxa"/>
      </w:tblCellMar>
    </w:tblPr>
  </w:style>
  <w:style w:type="table" w:styleId="855"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left w:w="0" w:type="dxa"/>
        <w:top w:w="0" w:type="dxa"/>
        <w:right w:w="0" w:type="dxa"/>
        <w:bottom w:w="0" w:type="dxa"/>
      </w:tblCellMar>
    </w:tblPr>
  </w:style>
  <w:style w:type="table" w:styleId="85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85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85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85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86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86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table" w:styleId="862" w:customStyle="1">
    <w:name w:val="Grid Table 2"/>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863" w:customStyle="1">
    <w:name w:val="Grid Table 2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864" w:customStyle="1">
    <w:name w:val="Grid Table 2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865" w:customStyle="1">
    <w:name w:val="Grid Table 2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866" w:customStyle="1">
    <w:name w:val="Grid Table 2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867" w:customStyle="1">
    <w:name w:val="Grid Table 2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868" w:customStyle="1">
    <w:name w:val="Grid Table 2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869" w:customStyle="1">
    <w:name w:val="Grid Table 3"/>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870" w:customStyle="1">
    <w:name w:val="Grid Table 3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871" w:customStyle="1">
    <w:name w:val="Grid Table 3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872" w:customStyle="1">
    <w:name w:val="Grid Table 3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873" w:customStyle="1">
    <w:name w:val="Grid Table 3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874" w:customStyle="1">
    <w:name w:val="Grid Table 3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875" w:customStyle="1">
    <w:name w:val="Grid Table 3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876"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left w:w="0" w:type="dxa"/>
        <w:top w:w="0" w:type="dxa"/>
        <w:right w:w="0" w:type="dxa"/>
        <w:bottom w:w="0" w:type="dxa"/>
      </w:tblCellMar>
    </w:tblPr>
  </w:style>
  <w:style w:type="table" w:styleId="87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style>
  <w:style w:type="table" w:styleId="87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left w:w="0" w:type="dxa"/>
        <w:top w:w="0" w:type="dxa"/>
        <w:right w:w="0" w:type="dxa"/>
        <w:bottom w:w="0" w:type="dxa"/>
      </w:tblCellMar>
    </w:tblPr>
  </w:style>
  <w:style w:type="table" w:styleId="87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style>
  <w:style w:type="table" w:styleId="88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style>
  <w:style w:type="table" w:styleId="88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88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883"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90"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89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89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89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89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89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89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897"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8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8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9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9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9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9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904" w:customStyle="1">
    <w:name w:val="List Table 1 Light"/>
    <w:uiPriority w:val="99"/>
    <w:qFormat/>
    <w:tblPr>
      <w:tblLayout w:type="fixed"/>
      <w:tblCellMar>
        <w:left w:w="0" w:type="dxa"/>
        <w:top w:w="0" w:type="dxa"/>
        <w:right w:w="0" w:type="dxa"/>
        <w:bottom w:w="0" w:type="dxa"/>
      </w:tblCellMar>
    </w:tblPr>
  </w:style>
  <w:style w:type="table" w:styleId="905" w:customStyle="1">
    <w:name w:val="List Table 1 Light - Accent 1"/>
    <w:uiPriority w:val="99"/>
    <w:qFormat/>
    <w:tblPr>
      <w:tblLayout w:type="fixed"/>
      <w:tblCellMar>
        <w:left w:w="0" w:type="dxa"/>
        <w:top w:w="0" w:type="dxa"/>
        <w:right w:w="0" w:type="dxa"/>
        <w:bottom w:w="0" w:type="dxa"/>
      </w:tblCellMar>
    </w:tblPr>
  </w:style>
  <w:style w:type="table" w:styleId="906" w:customStyle="1">
    <w:name w:val="List Table 1 Light - Accent 2"/>
    <w:uiPriority w:val="99"/>
    <w:qFormat/>
    <w:tblPr>
      <w:tblLayout w:type="fixed"/>
      <w:tblCellMar>
        <w:left w:w="0" w:type="dxa"/>
        <w:top w:w="0" w:type="dxa"/>
        <w:right w:w="0" w:type="dxa"/>
        <w:bottom w:w="0" w:type="dxa"/>
      </w:tblCellMar>
    </w:tblPr>
  </w:style>
  <w:style w:type="table" w:styleId="907" w:customStyle="1">
    <w:name w:val="List Table 1 Light - Accent 3"/>
    <w:uiPriority w:val="99"/>
    <w:qFormat/>
    <w:tblPr>
      <w:tblLayout w:type="fixed"/>
      <w:tblCellMar>
        <w:left w:w="0" w:type="dxa"/>
        <w:top w:w="0" w:type="dxa"/>
        <w:right w:w="0" w:type="dxa"/>
        <w:bottom w:w="0" w:type="dxa"/>
      </w:tblCellMar>
    </w:tblPr>
  </w:style>
  <w:style w:type="table" w:styleId="908" w:customStyle="1">
    <w:name w:val="List Table 1 Light - Accent 4"/>
    <w:uiPriority w:val="99"/>
    <w:qFormat/>
    <w:tblPr>
      <w:tblLayout w:type="fixed"/>
      <w:tblCellMar>
        <w:left w:w="0" w:type="dxa"/>
        <w:top w:w="0" w:type="dxa"/>
        <w:right w:w="0" w:type="dxa"/>
        <w:bottom w:w="0" w:type="dxa"/>
      </w:tblCellMar>
    </w:tblPr>
  </w:style>
  <w:style w:type="table" w:styleId="909" w:customStyle="1">
    <w:name w:val="List Table 1 Light - Accent 5"/>
    <w:uiPriority w:val="99"/>
    <w:qFormat/>
    <w:tblPr>
      <w:tblLayout w:type="fixed"/>
      <w:tblCellMar>
        <w:left w:w="0" w:type="dxa"/>
        <w:top w:w="0" w:type="dxa"/>
        <w:right w:w="0" w:type="dxa"/>
        <w:bottom w:w="0" w:type="dxa"/>
      </w:tblCellMar>
    </w:tblPr>
  </w:style>
  <w:style w:type="table" w:styleId="910" w:customStyle="1">
    <w:name w:val="List Table 1 Light - Accent 6"/>
    <w:uiPriority w:val="99"/>
    <w:qFormat/>
    <w:tblPr>
      <w:tblLayout w:type="fixed"/>
      <w:tblCellMar>
        <w:left w:w="0" w:type="dxa"/>
        <w:top w:w="0" w:type="dxa"/>
        <w:right w:w="0" w:type="dxa"/>
        <w:bottom w:w="0" w:type="dxa"/>
      </w:tblCellMar>
    </w:tblPr>
  </w:style>
  <w:style w:type="table" w:styleId="911" w:customStyle="1">
    <w:name w:val="List Table 2"/>
    <w:uiPriority w:val="99"/>
    <w:qFormat/>
    <w:tblPr>
      <w:tblBorders>
        <w:top w:val="single" w:color="6F6F6F" w:sz="4" w:space="0"/>
        <w:bottom w:val="single" w:color="6F6F6F" w:sz="4" w:space="0"/>
        <w:insideH w:val="single" w:color="6F6F6F" w:sz="4" w:space="0"/>
      </w:tblBorders>
      <w:tblLayout w:type="fixed"/>
      <w:tblCellMar>
        <w:left w:w="0" w:type="dxa"/>
        <w:top w:w="0" w:type="dxa"/>
        <w:right w:w="0" w:type="dxa"/>
        <w:bottom w:w="0" w:type="dxa"/>
      </w:tblCellMar>
    </w:tblPr>
  </w:style>
  <w:style w:type="table" w:styleId="912" w:customStyle="1">
    <w:name w:val="List Table 2 - Accent 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style>
  <w:style w:type="table" w:styleId="913" w:customStyle="1">
    <w:name w:val="List Table 2 - Accent 2"/>
    <w:uiPriority w:val="99"/>
    <w:qFormat/>
    <w:tblPr>
      <w:tblBorders>
        <w:top w:val="single" w:color="DB9B9A" w:sz="4" w:space="0"/>
        <w:bottom w:val="single" w:color="DB9B9A" w:sz="4" w:space="0"/>
        <w:insideH w:val="single" w:color="DB9B9A" w:sz="4" w:space="0"/>
      </w:tblBorders>
      <w:tblLayout w:type="fixed"/>
      <w:tblCellMar>
        <w:left w:w="0" w:type="dxa"/>
        <w:top w:w="0" w:type="dxa"/>
        <w:right w:w="0" w:type="dxa"/>
        <w:bottom w:w="0" w:type="dxa"/>
      </w:tblCellMar>
    </w:tblPr>
  </w:style>
  <w:style w:type="table" w:styleId="914" w:customStyle="1">
    <w:name w:val="List Table 2 - Accent 3"/>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style>
  <w:style w:type="table" w:styleId="915" w:customStyle="1">
    <w:name w:val="List Table 2 - Accent 4"/>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style>
  <w:style w:type="table" w:styleId="916" w:customStyle="1">
    <w:name w:val="List Table 2 - Accent 5"/>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style>
  <w:style w:type="table" w:styleId="917" w:customStyle="1">
    <w:name w:val="List Table 2 - Accent 6"/>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style>
  <w:style w:type="table" w:styleId="918" w:customStyle="1">
    <w:name w:val="List Table 3"/>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style>
  <w:style w:type="table" w:styleId="91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style>
  <w:style w:type="table" w:styleId="92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Layout w:type="fixed"/>
      <w:tblCellMar>
        <w:left w:w="0" w:type="dxa"/>
        <w:top w:w="0" w:type="dxa"/>
        <w:right w:w="0" w:type="dxa"/>
        <w:bottom w:w="0" w:type="dxa"/>
      </w:tblCellMar>
    </w:tblPr>
  </w:style>
  <w:style w:type="table" w:styleId="92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Layout w:type="fixed"/>
      <w:tblCellMar>
        <w:left w:w="0" w:type="dxa"/>
        <w:top w:w="0" w:type="dxa"/>
        <w:right w:w="0" w:type="dxa"/>
        <w:bottom w:w="0" w:type="dxa"/>
      </w:tblCellMar>
    </w:tblPr>
  </w:style>
  <w:style w:type="table" w:styleId="92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style>
  <w:style w:type="table" w:styleId="92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style>
  <w:style w:type="table" w:styleId="92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style>
  <w:style w:type="table" w:styleId="925"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style>
  <w:style w:type="table" w:styleId="92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style>
  <w:style w:type="table" w:styleId="92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left w:w="0" w:type="dxa"/>
        <w:top w:w="0" w:type="dxa"/>
        <w:right w:w="0" w:type="dxa"/>
        <w:bottom w:w="0" w:type="dxa"/>
      </w:tblCellMar>
    </w:tblPr>
  </w:style>
  <w:style w:type="table" w:styleId="92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style>
  <w:style w:type="table" w:styleId="92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style>
  <w:style w:type="table" w:styleId="93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style>
  <w:style w:type="table" w:styleId="93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style>
  <w:style w:type="table" w:styleId="932"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Layout w:type="fixed"/>
      <w:tblCellMar>
        <w:left w:w="0" w:type="dxa"/>
        <w:top w:w="0" w:type="dxa"/>
        <w:right w:w="0" w:type="dxa"/>
        <w:bottom w:w="0" w:type="dxa"/>
      </w:tblCellMar>
    </w:tblPr>
  </w:style>
  <w:style w:type="table" w:styleId="93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style>
  <w:style w:type="table" w:styleId="93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Layout w:type="fixed"/>
      <w:tblCellMar>
        <w:left w:w="0" w:type="dxa"/>
        <w:top w:w="0" w:type="dxa"/>
        <w:right w:w="0" w:type="dxa"/>
        <w:bottom w:w="0" w:type="dxa"/>
      </w:tblCellMar>
    </w:tblPr>
  </w:style>
  <w:style w:type="table" w:styleId="93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Layout w:type="fixed"/>
      <w:tblCellMar>
        <w:left w:w="0" w:type="dxa"/>
        <w:top w:w="0" w:type="dxa"/>
        <w:right w:w="0" w:type="dxa"/>
        <w:bottom w:w="0" w:type="dxa"/>
      </w:tblCellMar>
    </w:tblPr>
  </w:style>
  <w:style w:type="table" w:styleId="93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style>
  <w:style w:type="table" w:styleId="93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style>
  <w:style w:type="table" w:styleId="93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style>
  <w:style w:type="table" w:styleId="939" w:customStyle="1">
    <w:name w:val="List Table 6 Colorful"/>
    <w:uiPriority w:val="99"/>
    <w:qFormat/>
    <w:tblPr>
      <w:tblBorders>
        <w:top w:val="single" w:color="7F7F7F" w:sz="4" w:space="0"/>
        <w:bottom w:val="single" w:color="7F7F7F" w:sz="4" w:space="0"/>
      </w:tblBorders>
      <w:tblLayout w:type="fixed"/>
      <w:tblCellMar>
        <w:left w:w="0" w:type="dxa"/>
        <w:top w:w="0" w:type="dxa"/>
        <w:right w:w="0" w:type="dxa"/>
        <w:bottom w:w="0" w:type="dxa"/>
      </w:tblCellMar>
    </w:tblPr>
  </w:style>
  <w:style w:type="table" w:styleId="940" w:customStyle="1">
    <w:name w:val="List Table 6 Colorful - Accent 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style>
  <w:style w:type="table" w:styleId="941" w:customStyle="1">
    <w:name w:val="List Table 6 Colorful - Accent 2"/>
    <w:uiPriority w:val="99"/>
    <w:qFormat/>
    <w:tblPr>
      <w:tblBorders>
        <w:top w:val="single" w:color="D99695" w:sz="4" w:space="0"/>
        <w:bottom w:val="single" w:color="D99695" w:sz="4" w:space="0"/>
      </w:tblBorders>
      <w:tblLayout w:type="fixed"/>
      <w:tblCellMar>
        <w:left w:w="0" w:type="dxa"/>
        <w:top w:w="0" w:type="dxa"/>
        <w:right w:w="0" w:type="dxa"/>
        <w:bottom w:w="0" w:type="dxa"/>
      </w:tblCellMar>
    </w:tblPr>
  </w:style>
  <w:style w:type="table" w:styleId="942" w:customStyle="1">
    <w:name w:val="List Table 6 Colorful - Accent 3"/>
    <w:uiPriority w:val="99"/>
    <w:qFormat/>
    <w:tblPr>
      <w:tblBorders>
        <w:top w:val="single" w:color="C3D69B" w:sz="4" w:space="0"/>
        <w:bottom w:val="single" w:color="C3D69B" w:sz="4" w:space="0"/>
      </w:tblBorders>
      <w:tblLayout w:type="fixed"/>
      <w:tblCellMar>
        <w:left w:w="0" w:type="dxa"/>
        <w:top w:w="0" w:type="dxa"/>
        <w:right w:w="0" w:type="dxa"/>
        <w:bottom w:w="0" w:type="dxa"/>
      </w:tblCellMar>
    </w:tblPr>
  </w:style>
  <w:style w:type="table" w:styleId="943" w:customStyle="1">
    <w:name w:val="List Table 6 Colorful - Accent 4"/>
    <w:uiPriority w:val="99"/>
    <w:qFormat/>
    <w:tblPr>
      <w:tblBorders>
        <w:top w:val="single" w:color="B2A1C6" w:sz="4" w:space="0"/>
        <w:bottom w:val="single" w:color="B2A1C6" w:sz="4" w:space="0"/>
      </w:tblBorders>
      <w:tblLayout w:type="fixed"/>
      <w:tblCellMar>
        <w:left w:w="0" w:type="dxa"/>
        <w:top w:w="0" w:type="dxa"/>
        <w:right w:w="0" w:type="dxa"/>
        <w:bottom w:w="0" w:type="dxa"/>
      </w:tblCellMar>
    </w:tblPr>
  </w:style>
  <w:style w:type="table" w:styleId="944" w:customStyle="1">
    <w:name w:val="List Table 6 Colorful - Accent 5"/>
    <w:uiPriority w:val="99"/>
    <w:qFormat/>
    <w:tblPr>
      <w:tblBorders>
        <w:top w:val="single" w:color="92CCDC" w:sz="4" w:space="0"/>
        <w:bottom w:val="single" w:color="92CCDC" w:sz="4" w:space="0"/>
      </w:tblBorders>
      <w:tblLayout w:type="fixed"/>
      <w:tblCellMar>
        <w:left w:w="0" w:type="dxa"/>
        <w:top w:w="0" w:type="dxa"/>
        <w:right w:w="0" w:type="dxa"/>
        <w:bottom w:w="0" w:type="dxa"/>
      </w:tblCellMar>
    </w:tblPr>
  </w:style>
  <w:style w:type="table" w:styleId="945" w:customStyle="1">
    <w:name w:val="List Table 6 Colorful - Accent 6"/>
    <w:uiPriority w:val="99"/>
    <w:qFormat/>
    <w:tblPr>
      <w:tblBorders>
        <w:top w:val="single" w:color="FAC090" w:sz="4" w:space="0"/>
        <w:bottom w:val="single" w:color="FAC090" w:sz="4" w:space="0"/>
      </w:tblBorders>
      <w:tblLayout w:type="fixed"/>
      <w:tblCellMar>
        <w:left w:w="0" w:type="dxa"/>
        <w:top w:w="0" w:type="dxa"/>
        <w:right w:w="0" w:type="dxa"/>
        <w:bottom w:w="0" w:type="dxa"/>
      </w:tblCellMar>
    </w:tblPr>
  </w:style>
  <w:style w:type="table" w:styleId="946" w:customStyle="1">
    <w:name w:val="List Table 7 Colorful"/>
    <w:uiPriority w:val="99"/>
    <w:qFormat/>
    <w:tblPr>
      <w:tblBorders>
        <w:right w:val="single" w:color="7F7F7F" w:sz="4" w:space="0"/>
      </w:tblBorders>
      <w:tblLayout w:type="fixed"/>
      <w:tblCellMar>
        <w:left w:w="0" w:type="dxa"/>
        <w:top w:w="0" w:type="dxa"/>
        <w:right w:w="0" w:type="dxa"/>
        <w:bottom w:w="0" w:type="dxa"/>
      </w:tblCellMar>
    </w:tblPr>
  </w:style>
  <w:style w:type="table" w:styleId="947" w:customStyle="1">
    <w:name w:val="List Table 7 Colorful - Accent 1"/>
    <w:uiPriority w:val="99"/>
    <w:qFormat/>
    <w:tblPr>
      <w:tblBorders>
        <w:right w:val="single" w:color="4F81BD" w:sz="4" w:space="0"/>
      </w:tblBorders>
      <w:tblLayout w:type="fixed"/>
      <w:tblCellMar>
        <w:left w:w="0" w:type="dxa"/>
        <w:top w:w="0" w:type="dxa"/>
        <w:right w:w="0" w:type="dxa"/>
        <w:bottom w:w="0" w:type="dxa"/>
      </w:tblCellMar>
    </w:tblPr>
  </w:style>
  <w:style w:type="table" w:styleId="948" w:customStyle="1">
    <w:name w:val="List Table 7 Colorful - Accent 2"/>
    <w:uiPriority w:val="99"/>
    <w:qFormat/>
    <w:tblPr>
      <w:tblBorders>
        <w:right w:val="single" w:color="D99695" w:sz="4" w:space="0"/>
      </w:tblBorders>
      <w:tblLayout w:type="fixed"/>
      <w:tblCellMar>
        <w:left w:w="0" w:type="dxa"/>
        <w:top w:w="0" w:type="dxa"/>
        <w:right w:w="0" w:type="dxa"/>
        <w:bottom w:w="0" w:type="dxa"/>
      </w:tblCellMar>
    </w:tblPr>
  </w:style>
  <w:style w:type="table" w:styleId="949" w:customStyle="1">
    <w:name w:val="List Table 7 Colorful - Accent 3"/>
    <w:uiPriority w:val="99"/>
    <w:qFormat/>
    <w:tblPr>
      <w:tblBorders>
        <w:right w:val="single" w:color="C3D69B" w:sz="4" w:space="0"/>
      </w:tblBorders>
      <w:tblLayout w:type="fixed"/>
      <w:tblCellMar>
        <w:left w:w="0" w:type="dxa"/>
        <w:top w:w="0" w:type="dxa"/>
        <w:right w:w="0" w:type="dxa"/>
        <w:bottom w:w="0" w:type="dxa"/>
      </w:tblCellMar>
    </w:tblPr>
  </w:style>
  <w:style w:type="table" w:styleId="950" w:customStyle="1">
    <w:name w:val="List Table 7 Colorful - Accent 4"/>
    <w:uiPriority w:val="99"/>
    <w:qFormat/>
    <w:tblPr>
      <w:tblBorders>
        <w:right w:val="single" w:color="B2A1C6" w:sz="4" w:space="0"/>
      </w:tblBorders>
      <w:tblLayout w:type="fixed"/>
      <w:tblCellMar>
        <w:left w:w="0" w:type="dxa"/>
        <w:top w:w="0" w:type="dxa"/>
        <w:right w:w="0" w:type="dxa"/>
        <w:bottom w:w="0" w:type="dxa"/>
      </w:tblCellMar>
    </w:tblPr>
  </w:style>
  <w:style w:type="table" w:styleId="951" w:customStyle="1">
    <w:name w:val="List Table 7 Colorful - Accent 5"/>
    <w:uiPriority w:val="99"/>
    <w:qFormat/>
    <w:tblPr>
      <w:tblBorders>
        <w:right w:val="single" w:color="92CCDC" w:sz="4" w:space="0"/>
      </w:tblBorders>
      <w:tblLayout w:type="fixed"/>
      <w:tblCellMar>
        <w:left w:w="0" w:type="dxa"/>
        <w:top w:w="0" w:type="dxa"/>
        <w:right w:w="0" w:type="dxa"/>
        <w:bottom w:w="0" w:type="dxa"/>
      </w:tblCellMar>
    </w:tblPr>
  </w:style>
  <w:style w:type="table" w:styleId="952" w:customStyle="1">
    <w:name w:val="List Table 7 Colorful - Accent 6"/>
    <w:uiPriority w:val="99"/>
    <w:qFormat/>
    <w:tblPr>
      <w:tblBorders>
        <w:right w:val="single" w:color="FAC090" w:sz="4" w:space="0"/>
      </w:tblBorders>
      <w:tblLayout w:type="fixed"/>
      <w:tblCellMar>
        <w:left w:w="0" w:type="dxa"/>
        <w:top w:w="0" w:type="dxa"/>
        <w:right w:w="0" w:type="dxa"/>
        <w:bottom w:w="0" w:type="dxa"/>
      </w:tblCellMar>
    </w:tblPr>
  </w:style>
  <w:style w:type="table" w:styleId="953" w:customStyle="1">
    <w:name w:val="Lined - Accent"/>
    <w:uiPriority w:val="99"/>
    <w:qFormat/>
    <w:rPr>
      <w:color w:val="404040"/>
    </w:rPr>
    <w:tblPr>
      <w:tblLayout w:type="fixed"/>
      <w:tblCellMar>
        <w:left w:w="0" w:type="dxa"/>
        <w:top w:w="0" w:type="dxa"/>
        <w:right w:w="0" w:type="dxa"/>
        <w:bottom w:w="0" w:type="dxa"/>
      </w:tblCellMar>
    </w:tblPr>
  </w:style>
  <w:style w:type="table" w:styleId="954" w:customStyle="1">
    <w:name w:val="Lined - Accent 1"/>
    <w:uiPriority w:val="99"/>
    <w:qFormat/>
    <w:rPr>
      <w:color w:val="404040"/>
    </w:rPr>
    <w:tblPr>
      <w:tblLayout w:type="fixed"/>
      <w:tblCellMar>
        <w:left w:w="0" w:type="dxa"/>
        <w:top w:w="0" w:type="dxa"/>
        <w:right w:w="0" w:type="dxa"/>
        <w:bottom w:w="0" w:type="dxa"/>
      </w:tblCellMar>
    </w:tblPr>
  </w:style>
  <w:style w:type="table" w:styleId="955" w:customStyle="1">
    <w:name w:val="Lined - Accent 2"/>
    <w:uiPriority w:val="99"/>
    <w:qFormat/>
    <w:rPr>
      <w:color w:val="404040"/>
    </w:rPr>
    <w:tblPr>
      <w:tblLayout w:type="fixed"/>
      <w:tblCellMar>
        <w:left w:w="0" w:type="dxa"/>
        <w:top w:w="0" w:type="dxa"/>
        <w:right w:w="0" w:type="dxa"/>
        <w:bottom w:w="0" w:type="dxa"/>
      </w:tblCellMar>
    </w:tblPr>
  </w:style>
  <w:style w:type="table" w:styleId="956" w:customStyle="1">
    <w:name w:val="Lined - Accent 3"/>
    <w:uiPriority w:val="99"/>
    <w:qFormat/>
    <w:rPr>
      <w:color w:val="404040"/>
    </w:rPr>
    <w:tblPr>
      <w:tblLayout w:type="fixed"/>
      <w:tblCellMar>
        <w:left w:w="0" w:type="dxa"/>
        <w:top w:w="0" w:type="dxa"/>
        <w:right w:w="0" w:type="dxa"/>
        <w:bottom w:w="0" w:type="dxa"/>
      </w:tblCellMar>
    </w:tblPr>
  </w:style>
  <w:style w:type="table" w:styleId="957" w:customStyle="1">
    <w:name w:val="Lined - Accent 4"/>
    <w:uiPriority w:val="99"/>
    <w:qFormat/>
    <w:rPr>
      <w:color w:val="404040"/>
    </w:rPr>
    <w:tblPr>
      <w:tblLayout w:type="fixed"/>
      <w:tblCellMar>
        <w:left w:w="0" w:type="dxa"/>
        <w:top w:w="0" w:type="dxa"/>
        <w:right w:w="0" w:type="dxa"/>
        <w:bottom w:w="0" w:type="dxa"/>
      </w:tblCellMar>
    </w:tblPr>
  </w:style>
  <w:style w:type="table" w:styleId="958" w:customStyle="1">
    <w:name w:val="Lined - Accent 5"/>
    <w:uiPriority w:val="99"/>
    <w:qFormat/>
    <w:rPr>
      <w:color w:val="404040"/>
    </w:rPr>
    <w:tblPr>
      <w:tblLayout w:type="fixed"/>
      <w:tblCellMar>
        <w:left w:w="0" w:type="dxa"/>
        <w:top w:w="0" w:type="dxa"/>
        <w:right w:w="0" w:type="dxa"/>
        <w:bottom w:w="0" w:type="dxa"/>
      </w:tblCellMar>
    </w:tblPr>
  </w:style>
  <w:style w:type="table" w:styleId="959" w:customStyle="1">
    <w:name w:val="Lined - Accent 6"/>
    <w:uiPriority w:val="99"/>
    <w:qFormat/>
    <w:rPr>
      <w:color w:val="404040"/>
    </w:rPr>
    <w:tblPr>
      <w:tblLayout w:type="fixed"/>
      <w:tblCellMar>
        <w:left w:w="0" w:type="dxa"/>
        <w:top w:w="0" w:type="dxa"/>
        <w:right w:w="0" w:type="dxa"/>
        <w:bottom w:w="0" w:type="dxa"/>
      </w:tblCellMar>
    </w:tblPr>
  </w:style>
  <w:style w:type="table" w:styleId="96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left w:w="0" w:type="dxa"/>
        <w:top w:w="0" w:type="dxa"/>
        <w:right w:w="0" w:type="dxa"/>
        <w:bottom w:w="0" w:type="dxa"/>
      </w:tblCellMar>
    </w:tblPr>
  </w:style>
  <w:style w:type="table" w:styleId="96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Layout w:type="fixed"/>
      <w:tblCellMar>
        <w:left w:w="0" w:type="dxa"/>
        <w:top w:w="0" w:type="dxa"/>
        <w:right w:w="0" w:type="dxa"/>
        <w:bottom w:w="0" w:type="dxa"/>
      </w:tblCellMar>
    </w:tblPr>
  </w:style>
  <w:style w:type="table" w:styleId="96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left w:w="0" w:type="dxa"/>
        <w:top w:w="0" w:type="dxa"/>
        <w:right w:w="0" w:type="dxa"/>
        <w:bottom w:w="0" w:type="dxa"/>
      </w:tblCellMar>
    </w:tblPr>
  </w:style>
  <w:style w:type="table" w:styleId="96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left w:w="0" w:type="dxa"/>
        <w:top w:w="0" w:type="dxa"/>
        <w:right w:w="0" w:type="dxa"/>
        <w:bottom w:w="0" w:type="dxa"/>
      </w:tblCellMar>
    </w:tblPr>
  </w:style>
  <w:style w:type="table" w:styleId="96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style>
  <w:style w:type="table" w:styleId="96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style>
  <w:style w:type="table" w:styleId="96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style>
  <w:style w:type="table" w:styleId="96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left w:w="0" w:type="dxa"/>
        <w:top w:w="0" w:type="dxa"/>
        <w:right w:w="0" w:type="dxa"/>
        <w:bottom w:w="0" w:type="dxa"/>
      </w:tblCellMar>
    </w:tblPr>
  </w:style>
  <w:style w:type="table" w:styleId="96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96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97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97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97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97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character" w:styleId="974" w:customStyle="1">
    <w:name w:val="脚注文本 Char"/>
    <w:link w:val="794"/>
    <w:uiPriority w:val="99"/>
    <w:qFormat/>
    <w:rPr>
      <w:sz w:val="18"/>
    </w:rPr>
  </w:style>
  <w:style w:type="character" w:styleId="975" w:customStyle="1">
    <w:name w:val="尾注文本 Char"/>
    <w:link w:val="785"/>
    <w:uiPriority w:val="99"/>
    <w:qFormat/>
    <w:rPr>
      <w:sz w:val="20"/>
    </w:rPr>
  </w:style>
  <w:style w:type="paragraph" w:styleId="976" w:customStyle="1">
    <w:name w:val="TOC Heading"/>
    <w:uiPriority w:val="39"/>
    <w:unhideWhenUsed/>
    <w:qFormat/>
    <w:rPr>
      <w:rFonts w:hint="default" w:ascii="Times New Roman" w:hAnsi="Times New Roman" w:eastAsia="宋体" w:cs="Times New Roman"/>
    </w:rPr>
  </w:style>
  <w:style w:type="character" w:styleId="977" w:customStyle="1">
    <w:name w:val="正文缩进 Char"/>
    <w:link w:val="767"/>
    <w:uiPriority w:val="0"/>
    <w:qFormat/>
    <w:rPr>
      <w:sz w:val="21"/>
      <w:szCs w:val="21"/>
    </w:rPr>
  </w:style>
  <w:style w:type="character" w:styleId="978" w:customStyle="1">
    <w:name w:val="纯文本 Char"/>
    <w:link w:val="781"/>
    <w:uiPriority w:val="0"/>
    <w:qFormat/>
    <w:rPr>
      <w:rFonts w:ascii="宋体" w:hAnsi="Courier New" w:cs="Courier New"/>
      <w:sz w:val="21"/>
      <w:szCs w:val="21"/>
    </w:rPr>
  </w:style>
  <w:style w:type="character" w:styleId="979" w:customStyle="1">
    <w:name w:val="font5 Char"/>
    <w:uiPriority w:val="0"/>
    <w:qFormat/>
    <w:rPr>
      <w:rFonts w:ascii="宋体" w:hAnsi="宋体" w:eastAsia="宋体"/>
      <w:sz w:val="28"/>
      <w:szCs w:val="28"/>
      <w:lang w:val="en-US" w:eastAsia="zh-CN" w:bidi="ar-SA"/>
    </w:rPr>
  </w:style>
  <w:style w:type="character" w:styleId="980" w:customStyle="1">
    <w:name w:val="二级目录 Char"/>
    <w:link w:val="981"/>
    <w:uiPriority w:val="0"/>
    <w:qFormat/>
    <w:rPr>
      <w:b/>
      <w:sz w:val="30"/>
      <w:szCs w:val="28"/>
      <w:lang w:val="en-US" w:eastAsia="zh-CN" w:bidi="ar-SA"/>
    </w:rPr>
  </w:style>
  <w:style w:type="paragraph" w:styleId="981" w:customStyle="1">
    <w:name w:val="二级目录"/>
    <w:next w:val="754"/>
    <w:link w:val="980"/>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character" w:styleId="982" w:customStyle="1">
    <w:name w:val="列出段落 Char"/>
    <w:link w:val="983"/>
    <w:uiPriority w:val="0"/>
    <w:qFormat/>
    <w:rPr>
      <w:rFonts w:ascii="Calibri" w:hAnsi="Calibri"/>
      <w:sz w:val="24"/>
      <w:szCs w:val="24"/>
      <w:lang w:eastAsia="en-US" w:bidi="en-US"/>
    </w:rPr>
  </w:style>
  <w:style w:type="paragraph" w:styleId="983" w:customStyle="1">
    <w:name w:val="列出段落1"/>
    <w:basedOn w:val="754"/>
    <w:link w:val="982"/>
    <w:uiPriority w:val="0"/>
    <w:qFormat/>
    <w:pPr>
      <w:contextualSpacing/>
      <w:ind w:left="720"/>
      <w:jc w:val="left"/>
      <w:widowControl/>
    </w:pPr>
    <w:rPr>
      <w:rFonts w:ascii="Calibri" w:hAnsi="Calibri"/>
      <w:sz w:val="24"/>
      <w:szCs w:val="24"/>
      <w:lang w:eastAsia="en-US" w:bidi="en-US"/>
    </w:rPr>
  </w:style>
  <w:style w:type="paragraph" w:styleId="984" w:customStyle="1">
    <w:name w:val="普通 (Web)"/>
    <w:basedOn w:val="754"/>
    <w:uiPriority w:val="0"/>
    <w:qFormat/>
    <w:pPr>
      <w:jc w:val="left"/>
      <w:spacing w:before="100" w:beforeAutospacing="1" w:after="100" w:afterAutospacing="1"/>
      <w:widowControl/>
    </w:pPr>
    <w:rPr>
      <w:rFonts w:ascii="宋体" w:hAnsi="宋体"/>
      <w:sz w:val="24"/>
      <w:szCs w:val="24"/>
    </w:rPr>
  </w:style>
  <w:style w:type="paragraph" w:styleId="985" w:customStyle="1">
    <w:name w:val="xl28"/>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customStyle="1">
    <w:name w:val="标题1"/>
    <w:basedOn w:val="754"/>
    <w:next w:val="75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7" w:customStyle="1">
    <w:name w:val="xl25"/>
    <w:basedOn w:val="7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font6"/>
    <w:basedOn w:val="754"/>
    <w:uiPriority w:val="0"/>
    <w:qFormat/>
    <w:pPr>
      <w:jc w:val="left"/>
      <w:spacing w:before="100" w:beforeAutospacing="1" w:after="100" w:afterAutospacing="1"/>
      <w:widowControl/>
    </w:pPr>
    <w:rPr>
      <w:rFonts w:hint="eastAsia" w:ascii="宋体" w:hAnsi="宋体"/>
      <w:sz w:val="28"/>
      <w:szCs w:val="28"/>
      <w:u w:val="single"/>
    </w:rPr>
  </w:style>
  <w:style w:type="paragraph" w:styleId="989" w:customStyle="1">
    <w:name w:val="xl30"/>
    <w:basedOn w:val="754"/>
    <w:uiPriority w:val="0"/>
    <w:qFormat/>
    <w:pPr>
      <w:jc w:val="center"/>
      <w:spacing w:before="100" w:beforeAutospacing="1" w:after="100" w:afterAutospacing="1"/>
      <w:widowControl/>
    </w:pPr>
    <w:rPr>
      <w:rFonts w:ascii="宋体" w:hAnsi="宋体"/>
      <w:b/>
      <w:bCs/>
      <w:sz w:val="36"/>
      <w:szCs w:val="36"/>
    </w:rPr>
  </w:style>
  <w:style w:type="paragraph" w:styleId="990" w:customStyle="1">
    <w:name w:val="xl29"/>
    <w:basedOn w:val="75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customStyle="1">
    <w:name w:val="xl27"/>
    <w:basedOn w:val="7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xl24"/>
    <w:basedOn w:val="7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customStyle="1">
    <w:name w:val="Char Char Char Char Char Char Char Char"/>
    <w:basedOn w:val="754"/>
    <w:uiPriority w:val="0"/>
    <w:qFormat/>
    <w:pPr>
      <w:jc w:val="left"/>
      <w:spacing w:after="160" w:line="240" w:lineRule="exact"/>
      <w:widowControl/>
    </w:pPr>
    <w:rPr>
      <w:rFonts w:ascii="Verdana" w:hAnsi="Verdana"/>
      <w:sz w:val="20"/>
      <w:szCs w:val="20"/>
      <w:lang w:eastAsia="en-US"/>
    </w:rPr>
  </w:style>
  <w:style w:type="paragraph" w:styleId="994" w:customStyle="1">
    <w:name w:val="Char Char Char Char Char Char Char Char1"/>
    <w:basedOn w:val="754"/>
    <w:uiPriority w:val="0"/>
    <w:qFormat/>
    <w:pPr>
      <w:jc w:val="left"/>
      <w:spacing w:after="160" w:line="240" w:lineRule="exact"/>
      <w:widowControl/>
    </w:pPr>
    <w:rPr>
      <w:rFonts w:ascii="Verdana" w:hAnsi="Verdana"/>
      <w:sz w:val="20"/>
      <w:szCs w:val="20"/>
      <w:lang w:eastAsia="en-US"/>
    </w:rPr>
  </w:style>
  <w:style w:type="paragraph" w:styleId="995" w:customStyle="1">
    <w:name w:val="Char Char Char Char Char Char Char Char Char Char"/>
    <w:basedOn w:val="754"/>
    <w:uiPriority w:val="0"/>
    <w:qFormat/>
    <w:pPr>
      <w:spacing w:line="360" w:lineRule="auto"/>
    </w:pPr>
    <w:rPr>
      <w:sz w:val="24"/>
      <w:szCs w:val="20"/>
    </w:rPr>
  </w:style>
  <w:style w:type="paragraph" w:styleId="996" w:customStyle="1">
    <w:name w:val="font5"/>
    <w:basedOn w:val="754"/>
    <w:uiPriority w:val="0"/>
    <w:qFormat/>
    <w:pPr>
      <w:jc w:val="left"/>
      <w:spacing w:before="100" w:beforeAutospacing="1" w:after="100" w:afterAutospacing="1"/>
      <w:widowControl/>
    </w:pPr>
    <w:rPr>
      <w:rFonts w:hint="eastAsia" w:ascii="宋体" w:hAnsi="宋体"/>
      <w:sz w:val="28"/>
      <w:szCs w:val="28"/>
    </w:rPr>
  </w:style>
  <w:style w:type="paragraph" w:styleId="997" w:customStyle="1">
    <w:name w:val="table_lines"/>
    <w:basedOn w:val="754"/>
    <w:uiPriority w:val="0"/>
    <w:qFormat/>
    <w:pPr>
      <w:jc w:val="left"/>
      <w:widowControl/>
    </w:pPr>
    <w:rPr>
      <w:sz w:val="20"/>
      <w:szCs w:val="20"/>
      <w:lang w:val="de-DE" w:eastAsia="de-DE"/>
    </w:rPr>
  </w:style>
  <w:style w:type="paragraph" w:styleId="998" w:customStyle="1">
    <w:name w:val="样式1"/>
    <w:basedOn w:val="754"/>
    <w:uiPriority w:val="0"/>
    <w:qFormat/>
    <w:pPr>
      <w:numPr>
        <w:ilvl w:val="0"/>
        <w:numId w:val="3"/>
      </w:numPr>
    </w:pPr>
    <w:rPr>
      <w:rFonts w:ascii="宋体" w:hAnsi="宋体"/>
    </w:rPr>
  </w:style>
  <w:style w:type="paragraph" w:styleId="99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000" w:customStyle="1">
    <w:name w:val="font7"/>
    <w:basedOn w:val="754"/>
    <w:uiPriority w:val="0"/>
    <w:qFormat/>
    <w:pPr>
      <w:jc w:val="left"/>
      <w:spacing w:before="100" w:beforeAutospacing="1" w:after="100" w:afterAutospacing="1"/>
      <w:widowControl/>
    </w:pPr>
    <w:rPr>
      <w:rFonts w:hint="eastAsia" w:ascii="宋体" w:hAnsi="宋体"/>
      <w:sz w:val="18"/>
      <w:szCs w:val="18"/>
    </w:rPr>
  </w:style>
  <w:style w:type="paragraph" w:styleId="1001" w:customStyle="1">
    <w:name w:val="Char"/>
    <w:basedOn w:val="754"/>
    <w:uiPriority w:val="0"/>
    <w:qFormat/>
    <w:pPr>
      <w:ind w:firstLine="200"/>
      <w:tabs>
        <w:tab w:val="left" w:pos="360" w:leader="none"/>
      </w:tabs>
    </w:pPr>
    <w:rPr>
      <w:sz w:val="28"/>
      <w:szCs w:val="30"/>
    </w:rPr>
  </w:style>
  <w:style w:type="paragraph" w:styleId="1002" w:customStyle="1">
    <w:name w:val="Char Char Char Char"/>
    <w:basedOn w:val="773"/>
    <w:uiPriority w:val="0"/>
    <w:qFormat/>
    <w:pPr>
      <w:spacing w:line="360" w:lineRule="auto"/>
    </w:pPr>
    <w:rPr>
      <w:rFonts w:ascii="Tahoma" w:hAnsi="Tahoma"/>
      <w:sz w:val="24"/>
      <w:szCs w:val="24"/>
    </w:rPr>
  </w:style>
  <w:style w:type="paragraph" w:styleId="1003" w:customStyle="1">
    <w:name w:val="Char Char Char Char1"/>
    <w:basedOn w:val="773"/>
    <w:uiPriority w:val="0"/>
    <w:qFormat/>
    <w:pPr>
      <w:spacing w:line="360" w:lineRule="auto"/>
    </w:pPr>
    <w:rPr>
      <w:rFonts w:ascii="Tahoma" w:hAnsi="Tahoma"/>
      <w:sz w:val="24"/>
      <w:szCs w:val="24"/>
    </w:rPr>
  </w:style>
  <w:style w:type="paragraph" w:styleId="1004" w:customStyle="1">
    <w:name w:val="Char1"/>
    <w:basedOn w:val="773"/>
    <w:uiPriority w:val="0"/>
    <w:qFormat/>
    <w:rPr>
      <w:rFonts w:ascii="Tahoma" w:hAnsi="Tahoma"/>
      <w:sz w:val="24"/>
      <w:szCs w:val="24"/>
    </w:rPr>
  </w:style>
  <w:style w:type="paragraph" w:styleId="1005" w:customStyle="1">
    <w:name w:val="标题3"/>
    <w:basedOn w:val="754"/>
    <w:next w:val="754"/>
    <w:uiPriority w:val="0"/>
    <w:qFormat/>
    <w:pPr>
      <w:ind w:firstLine="624"/>
      <w:spacing w:line="590" w:lineRule="atLeast"/>
    </w:pPr>
    <w:rPr>
      <w:rFonts w:ascii="方正黑体_GBK" w:eastAsia="方正黑体_GBK"/>
      <w:sz w:val="32"/>
      <w:szCs w:val="32"/>
    </w:rPr>
  </w:style>
  <w:style w:type="paragraph" w:styleId="1006" w:customStyle="1">
    <w:name w:val="table_1stline"/>
    <w:basedOn w:val="754"/>
    <w:uiPriority w:val="0"/>
    <w:qFormat/>
    <w:pPr>
      <w:jc w:val="left"/>
      <w:spacing w:before="120"/>
      <w:widowControl/>
    </w:pPr>
    <w:rPr>
      <w:bCs/>
      <w:sz w:val="20"/>
      <w:szCs w:val="20"/>
      <w:lang w:val="de-DE" w:eastAsia="de-DE"/>
    </w:rPr>
  </w:style>
  <w:style w:type="paragraph" w:styleId="1007" w:customStyle="1">
    <w:name w:val="Revision"/>
    <w:uiPriority w:val="99"/>
    <w:semiHidden/>
    <w:qFormat/>
    <w:rPr>
      <w:rFonts w:hint="default" w:ascii="Times New Roman" w:hAnsi="Times New Roman" w:eastAsia="宋体" w:cs="Times New Roman"/>
      <w:sz w:val="21"/>
      <w:szCs w:val="21"/>
    </w:rPr>
  </w:style>
  <w:style w:type="paragraph" w:styleId="1008" w:customStyle="1">
    <w:name w:val="4"/>
    <w:basedOn w:val="754"/>
    <w:next w:val="796"/>
    <w:uiPriority w:val="0"/>
    <w:qFormat/>
    <w:pPr>
      <w:ind w:firstLine="420"/>
      <w:spacing w:line="360" w:lineRule="auto"/>
    </w:pPr>
    <w:rPr>
      <w:color w:val="ff0000"/>
      <w:sz w:val="24"/>
      <w:szCs w:val="24"/>
    </w:rPr>
  </w:style>
  <w:style w:type="paragraph" w:styleId="1009" w:customStyle="1">
    <w:name w:val="普通正文"/>
    <w:basedOn w:val="754"/>
    <w:uiPriority w:val="0"/>
    <w:qFormat/>
    <w:pPr>
      <w:ind w:firstLine="480"/>
      <w:jc w:val="left"/>
      <w:spacing w:before="120" w:after="120" w:line="360" w:lineRule="auto"/>
    </w:pPr>
    <w:rPr>
      <w:rFonts w:ascii="Arial" w:hAnsi="Arial"/>
      <w:sz w:val="24"/>
      <w:szCs w:val="24"/>
    </w:rPr>
  </w:style>
  <w:style w:type="paragraph" w:styleId="1010" w:customStyle="1">
    <w:name w:val="图标"/>
    <w:basedOn w:val="754"/>
    <w:next w:val="75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customStyle="1">
    <w:name w:val="xl26"/>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customStyle="1">
    <w:name w:val="Body Text(ch)"/>
    <w:basedOn w:val="754"/>
    <w:next w:val="775"/>
    <w:uiPriority w:val="0"/>
    <w:qFormat/>
    <w:pPr>
      <w:spacing w:after="120"/>
    </w:pPr>
    <w:rPr>
      <w:rFonts w:ascii="宋体" w:hAnsi="Arial"/>
      <w:bCs/>
      <w:iCs/>
      <w:szCs w:val="24"/>
    </w:rPr>
  </w:style>
  <w:style w:type="paragraph" w:styleId="1013" w:customStyle="1">
    <w:name w:val="Default"/>
    <w:uiPriority w:val="99"/>
    <w:qFormat/>
    <w:pPr>
      <w:widowControl w:val="off"/>
    </w:pPr>
    <w:rPr>
      <w:rFonts w:hint="default" w:ascii="MS Mincho" w:hAnsi="Calibri" w:eastAsia="MS Mincho" w:cs="Times New Roman"/>
      <w:color w:val="000000"/>
      <w:sz w:val="24"/>
      <w:szCs w:val="24"/>
    </w:rPr>
  </w:style>
  <w:style w:type="paragraph" w:styleId="1014" w:customStyle="1">
    <w:name w:val="正文文本 211"/>
    <w:basedOn w:val="754"/>
    <w:uiPriority w:val="99"/>
    <w:qFormat/>
    <w:pPr>
      <w:jc w:val="center"/>
    </w:pPr>
    <w:rPr>
      <w:b/>
      <w:bCs/>
      <w:sz w:val="20"/>
      <w:szCs w:val="20"/>
    </w:rPr>
  </w:style>
  <w:style w:type="paragraph" w:styleId="1015" w:customStyle="1">
    <w:name w:val="样式 样式 样式 样式 标题 2 + 宋体 五号 非加粗 黑色 + 段前: 6 磅 段后: 0 磅 行距: 单倍行距 + 段前:..."/>
    <w:basedOn w:val="754"/>
    <w:uiPriority w:val="0"/>
    <w:qFormat/>
    <w:pPr>
      <w:numPr>
        <w:ilvl w:val="1"/>
        <w:numId w:val="4"/>
      </w:numPr>
      <w:jc w:val="left"/>
      <w:keepLines/>
      <w:keepNext/>
      <w:spacing w:before="240"/>
      <w:tabs>
        <w:tab w:val="left" w:pos="360" w:leader="none"/>
      </w:tabs>
      <w:outlineLvl w:val="1"/>
    </w:pPr>
    <w:rPr>
      <w:rFonts w:ascii="宋体" w:hAnsi="宋体" w:cs="宋体"/>
      <w:b/>
      <w:bCs/>
      <w:color w:val="000000"/>
    </w:rPr>
  </w:style>
  <w:style w:type="paragraph" w:styleId="1016" w:customStyle="1">
    <w:name w:val="公文标题3"/>
    <w:basedOn w:val="757"/>
    <w:next w:val="754"/>
    <w:uiPriority w:val="0"/>
    <w:qFormat/>
    <w:pPr>
      <w:numPr>
        <w:ilvl w:val="2"/>
        <w:numId w:val="5"/>
      </w:numPr>
    </w:pPr>
    <w:rPr>
      <w:rFonts w:eastAsia="黑体"/>
      <w:sz w:val="30"/>
    </w:rPr>
  </w:style>
  <w:style w:type="character" w:styleId="1017" w:customStyle="1">
    <w:name w:val="无间隔 Char"/>
    <w:basedOn w:val="764"/>
    <w:link w:val="836"/>
    <w:uiPriority w:val="1"/>
    <w:qFormat/>
    <w:rPr>
      <w:sz w:val="21"/>
      <w:szCs w:val="21"/>
      <w:lang w:val="en-US" w:eastAsia="zh-CN" w:bidi="ar-SA"/>
    </w:rPr>
  </w:style>
  <w:style w:type="character" w:styleId="1018" w:customStyle="1">
    <w:name w:val="页眉 Char"/>
    <w:basedOn w:val="764"/>
    <w:uiPriority w:val="99"/>
    <w:qFormat/>
    <w:rPr>
      <w:sz w:val="18"/>
      <w:szCs w:val="18"/>
    </w:rPr>
  </w:style>
  <w:style w:type="character" w:styleId="1019" w:customStyle="1">
    <w:name w:val="页脚 Char"/>
    <w:basedOn w:val="764"/>
    <w:uiPriority w:val="99"/>
    <w:qFormat/>
    <w:rPr>
      <w:sz w:val="18"/>
      <w:szCs w:val="18"/>
    </w:r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09E3F49E-4238-4292-B8E6-8184C840637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业务账号</cp:lastModifiedBy>
  <cp:revision>1884</cp:revision>
  <dcterms:created xsi:type="dcterms:W3CDTF">2023-03-24T07:56:00Z</dcterms:created>
  <dcterms:modified xsi:type="dcterms:W3CDTF">2025-09-23T08:20:22Z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eyJoZGlkIjoiZWQwZTYwYmM5MDkzZThlYWZlNzE4NDE2MDU0YmQ3ZWIiLCJ1c2VySWQiOiIxOTUzODUwIn0=</vt:lpwstr>
  </property>
  <property fmtid="{D5CDD505-2E9C-101B-9397-08002B2CF9AE}" pid="4" name="ICV">
    <vt:lpwstr>90A8C136AC1F487E995A9738B4C6BB0A_12</vt:lpwstr>
  </property>
</Properties>
</file>