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960" w:lineRule="auto"/>
        <w:rPr>
          <w:rFonts w:ascii="宋体"/>
          <w:b/>
          <w:spacing w:val="40"/>
          <w:sz w:val="72"/>
          <w:szCs w:val="72"/>
        </w:rPr>
      </w:pPr>
      <w:r>
        <w:rPr>
          <w:rFonts w:hint="eastAsia" w:ascii="宋体" w:hAnsi="宋体"/>
          <w:b/>
          <w:spacing w:val="40"/>
          <w:sz w:val="72"/>
          <w:szCs w:val="72"/>
        </w:rPr>
        <w:t xml:space="preserve">苏州市相城区政府采购</w:t>
      </w:r>
      <w:r/>
    </w:p>
    <w:p>
      <w:pPr>
        <w:jc w:val="center"/>
        <w:spacing w:line="960" w:lineRule="auto"/>
        <w:rPr>
          <w:rFonts w:ascii="宋体"/>
          <w:b/>
          <w:spacing w:val="40"/>
          <w:sz w:val="72"/>
          <w:szCs w:val="72"/>
        </w:rPr>
      </w:pPr>
      <w:r>
        <w:rPr>
          <w:rFonts w:hint="eastAsia" w:ascii="宋体" w:hAnsi="宋体"/>
          <w:b/>
          <w:spacing w:val="40"/>
          <w:sz w:val="72"/>
          <w:szCs w:val="72"/>
        </w:rPr>
        <w:t xml:space="preserve">竞争性磋商</w:t>
      </w:r>
      <w:r>
        <w:rPr>
          <w:rFonts w:hint="eastAsia" w:ascii="宋体" w:hAnsi="宋体"/>
          <w:b/>
          <w:spacing w:val="20"/>
          <w:sz w:val="72"/>
          <w:szCs w:val="72"/>
        </w:rPr>
        <w:t xml:space="preserve">文件</w:t>
      </w:r>
      <w:r/>
    </w:p>
    <w:p>
      <w:pPr>
        <w:jc w:val="center"/>
        <w:rPr>
          <w:rFonts w:ascii="Times New Roman" w:hAnsi="Times New Roman"/>
          <w:szCs w:val="24"/>
        </w:rPr>
      </w:pPr>
      <w:r>
        <w:rPr>
          <w:rFonts w:ascii="Times New Roman" w:hAnsi="Times New Roman"/>
          <w:szCs w:val="24"/>
        </w:rPr>
      </w:r>
      <w:r/>
    </w:p>
    <w:p>
      <w:pPr>
        <w:jc w:val="center"/>
        <w:rPr>
          <w:rFonts w:ascii="Times New Roman" w:hAnsi="Times New Roman"/>
          <w:szCs w:val="24"/>
        </w:rPr>
      </w:pPr>
      <w:r>
        <w:rPr>
          <w:rFonts w:ascii="Times New Roman" w:hAnsi="Times New Roman"/>
          <w:szCs w:val="24"/>
        </w:rPr>
      </w:r>
      <w:r/>
    </w:p>
    <w:p>
      <w:pPr>
        <w:ind w:firstLine="964"/>
        <w:spacing w:line="360" w:lineRule="auto"/>
        <w:tabs>
          <w:tab w:val="left" w:pos="709" w:leader="none"/>
        </w:tabs>
        <w:rPr>
          <w:rFonts w:ascii="Times New Roman" w:hAnsi="Times New Roman"/>
          <w:b/>
          <w:sz w:val="32"/>
          <w:szCs w:val="24"/>
        </w:rPr>
      </w:pPr>
      <w:r>
        <w:rPr>
          <w:rFonts w:hint="eastAsia" w:ascii="Times New Roman" w:hAnsi="Times New Roman"/>
          <w:b/>
          <w:sz w:val="32"/>
          <w:szCs w:val="24"/>
        </w:rPr>
        <w:t xml:space="preserve">采购编号：</w:t>
      </w:r>
      <w:r>
        <w:rPr>
          <w:rFonts w:hint="eastAsia" w:ascii="Times New Roman" w:hAnsi="Times New Roman"/>
          <w:b/>
          <w:sz w:val="32"/>
          <w:szCs w:val="24"/>
        </w:rPr>
        <w:t xml:space="preserve">JSZC-320507-BZJS-C2026-0001</w:t>
      </w:r>
      <w:r>
        <w:rPr>
          <w:rFonts w:hint="eastAsia" w:ascii="Times New Roman" w:hAnsi="Times New Roman"/>
          <w:b/>
          <w:sz w:val="32"/>
          <w:szCs w:val="24"/>
        </w:rPr>
        <w:t xml:space="preserve"> </w:t>
      </w:r>
      <w:r/>
    </w:p>
    <w:p>
      <w:pPr>
        <w:ind w:firstLine="964"/>
        <w:spacing w:line="360" w:lineRule="auto"/>
        <w:tabs>
          <w:tab w:val="left" w:pos="709" w:leader="none"/>
        </w:tabs>
        <w:rPr>
          <w:rFonts w:ascii="Times New Roman" w:hAnsi="Times New Roman"/>
          <w:b/>
          <w:sz w:val="32"/>
          <w:szCs w:val="24"/>
        </w:rPr>
      </w:pPr>
      <w:r>
        <w:rPr>
          <w:rFonts w:hint="eastAsia" w:ascii="Times New Roman" w:hAnsi="Times New Roman"/>
          <w:b/>
          <w:sz w:val="32"/>
          <w:szCs w:val="24"/>
        </w:rPr>
        <w:t xml:space="preserve">采购人：苏州相城经济技术开发区管理委员会</w:t>
      </w:r>
      <w:r/>
    </w:p>
    <w:p>
      <w:pPr>
        <w:ind w:firstLine="964"/>
        <w:spacing w:line="360" w:lineRule="auto"/>
        <w:tabs>
          <w:tab w:val="left" w:pos="709" w:leader="none"/>
        </w:tabs>
        <w:rPr>
          <w:rFonts w:ascii="Times New Roman" w:hAnsi="Times New Roman"/>
          <w:b/>
          <w:sz w:val="32"/>
          <w:szCs w:val="24"/>
        </w:rPr>
      </w:pPr>
      <w:r>
        <w:rPr>
          <w:rFonts w:hint="eastAsia" w:ascii="Times New Roman" w:hAnsi="Times New Roman"/>
          <w:b/>
          <w:sz w:val="32"/>
          <w:szCs w:val="24"/>
        </w:rPr>
        <w:t xml:space="preserve">项目名称：</w:t>
      </w:r>
      <w:r>
        <w:rPr>
          <w:rFonts w:hint="eastAsia" w:ascii="Times New Roman" w:hAnsi="Times New Roman"/>
          <w:b/>
          <w:sz w:val="32"/>
          <w:szCs w:val="24"/>
        </w:rPr>
        <w:t xml:space="preserve">2026</w:t>
      </w:r>
      <w:r>
        <w:rPr>
          <w:rFonts w:hint="eastAsia" w:ascii="Times New Roman" w:hAnsi="Times New Roman"/>
          <w:b/>
          <w:sz w:val="32"/>
          <w:szCs w:val="24"/>
        </w:rPr>
        <w:t xml:space="preserve">年相城经开区无主垃圾清运项目</w:t>
      </w:r>
      <w:r/>
    </w:p>
    <w:p>
      <w:pPr>
        <w:ind w:firstLine="964"/>
        <w:spacing w:line="360" w:lineRule="auto"/>
        <w:tabs>
          <w:tab w:val="left" w:pos="709" w:leader="none"/>
        </w:tabs>
        <w:rPr>
          <w:rFonts w:ascii="Times New Roman" w:hAnsi="Times New Roman"/>
          <w:b/>
          <w:sz w:val="32"/>
          <w:szCs w:val="24"/>
        </w:rPr>
      </w:pPr>
      <w:r>
        <w:rPr>
          <w:rFonts w:hint="eastAsia" w:ascii="Times New Roman" w:hAnsi="Times New Roman"/>
          <w:b/>
          <w:sz w:val="32"/>
          <w:szCs w:val="24"/>
        </w:rPr>
        <w:t xml:space="preserve">项目类别：服务类</w:t>
      </w:r>
      <w:r/>
    </w:p>
    <w:p>
      <w:pPr>
        <w:spacing w:line="360" w:lineRule="auto"/>
        <w:tabs>
          <w:tab w:val="left" w:pos="709" w:leader="none"/>
        </w:tabs>
        <w:rPr>
          <w:rFonts w:ascii="Times New Roman" w:hAnsi="Times New Roman"/>
          <w:b/>
          <w:sz w:val="32"/>
          <w:szCs w:val="24"/>
        </w:rPr>
      </w:pPr>
      <w:r>
        <w:rPr>
          <w:rFonts w:ascii="Times New Roman" w:hAnsi="Times New Roman"/>
          <w:b/>
          <w:sz w:val="32"/>
          <w:szCs w:val="24"/>
        </w:rPr>
      </w:r>
      <w:r/>
    </w:p>
    <w:p>
      <w:pPr>
        <w:jc w:val="center"/>
        <w:spacing w:line="360" w:lineRule="auto"/>
        <w:tabs>
          <w:tab w:val="left" w:pos="709" w:leader="none"/>
        </w:tabs>
        <w:rPr>
          <w:rFonts w:hint="eastAsia" w:ascii="宋体" w:hAnsi="宋体" w:cs="宋体"/>
          <w:sz w:val="30"/>
          <w:szCs w:val="30"/>
        </w:rPr>
      </w:pPr>
      <w:r>
        <w:rPr>
          <w:rFonts w:hint="eastAsia" w:ascii="宋体" w:hAnsi="宋体" w:cs="宋体"/>
          <w:sz w:val="30"/>
          <w:szCs w:val="30"/>
        </w:rPr>
      </w:r>
      <w:r/>
    </w:p>
    <w:p>
      <w:pPr>
        <w:pStyle w:val="738"/>
        <w:numPr>
          <w:ilvl w:val="0"/>
          <w:numId w:val="0"/>
        </w:numPr>
        <w:rPr>
          <w:rFonts w:hint="eastAsia"/>
        </w:rPr>
      </w:pPr>
      <w:r>
        <w:rPr>
          <w:rFonts w:hint="eastAsia"/>
        </w:rPr>
      </w:r>
      <w:r/>
    </w:p>
    <w:p>
      <w:r/>
      <w:r/>
    </w:p>
    <w:p>
      <w:pPr>
        <w:jc w:val="center"/>
        <w:spacing w:line="360" w:lineRule="auto"/>
        <w:tabs>
          <w:tab w:val="left" w:pos="709" w:leader="none"/>
        </w:tabs>
        <w:rPr>
          <w:rFonts w:ascii="Times New Roman" w:hAnsi="Times New Roman"/>
          <w:sz w:val="32"/>
          <w:szCs w:val="24"/>
        </w:rPr>
      </w:pPr>
      <w:r>
        <w:rPr>
          <w:rFonts w:ascii="Times New Roman" w:hAnsi="Times New Roman"/>
          <w:sz w:val="32"/>
          <w:szCs w:val="24"/>
        </w:rPr>
      </w:r>
      <w:r/>
    </w:p>
    <w:p>
      <w:pPr>
        <w:jc w:val="center"/>
        <w:rPr>
          <w:rFonts w:ascii="Times New Roman" w:hAnsi="Times New Roman"/>
          <w:b/>
          <w:bCs/>
          <w:sz w:val="32"/>
          <w:szCs w:val="32"/>
        </w:rPr>
      </w:pPr>
      <w:r>
        <w:rPr>
          <w:rFonts w:ascii="Times New Roman" w:hAnsi="Times New Roman"/>
          <w:b/>
          <w:bCs/>
          <w:sz w:val="32"/>
          <w:szCs w:val="32"/>
        </w:rPr>
      </w:r>
      <w:r/>
    </w:p>
    <w:p>
      <w:pPr>
        <w:jc w:val="center"/>
        <w:rPr>
          <w:rFonts w:ascii="Times New Roman" w:hAnsi="Times New Roman"/>
          <w:b/>
          <w:sz w:val="32"/>
          <w:szCs w:val="32"/>
        </w:rPr>
      </w:pPr>
      <w:r>
        <w:rPr>
          <w:rFonts w:hint="eastAsia" w:ascii="Times New Roman" w:hAnsi="Times New Roman"/>
          <w:b/>
          <w:bCs/>
          <w:sz w:val="32"/>
          <w:szCs w:val="32"/>
        </w:rPr>
        <w:t xml:space="preserve">苏州市保泽建设管理有限公司</w:t>
      </w:r>
      <w:r/>
    </w:p>
    <w:p>
      <w:pPr>
        <w:jc w:val="center"/>
        <w:spacing w:line="360" w:lineRule="auto"/>
        <w:tabs>
          <w:tab w:val="left" w:pos="709" w:leader="none"/>
        </w:tabs>
        <w:rPr>
          <w:rFonts w:ascii="Times New Roman" w:hAnsi="Times New Roman"/>
          <w:b/>
          <w:sz w:val="32"/>
          <w:szCs w:val="32"/>
        </w:rPr>
        <w:sectPr>
          <w:headerReference w:type="default" r:id="rId9"/>
          <w:footerReference w:type="default" r:id="rId10"/>
          <w:footnotePr/>
          <w:endnotePr/>
          <w:type w:val="nextPage"/>
          <w:pgSz w:w="11906" w:h="16838" w:orient="portrait"/>
          <w:pgMar w:top="1247" w:right="1418" w:bottom="1021" w:left="1701" w:header="624" w:footer="510" w:gutter="113"/>
          <w:pgNumType w:start="1"/>
          <w:cols w:num="1" w:sep="0" w:space="720" w:equalWidth="1"/>
          <w:docGrid w:linePitch="360"/>
          <w:titlePg/>
        </w:sectPr>
      </w:pPr>
      <w:r>
        <w:rPr>
          <w:rFonts w:hint="eastAsia" w:ascii="Times New Roman" w:hAnsi="Times New Roman"/>
          <w:b/>
          <w:sz w:val="32"/>
          <w:szCs w:val="32"/>
        </w:rPr>
        <w:t xml:space="preserve">二零二六年六月</w:t>
      </w:r>
      <w:r/>
    </w:p>
    <w:p>
      <w:pPr>
        <w:ind w:right="-506"/>
        <w:jc w:val="center"/>
        <w:rPr>
          <w:rFonts w:hint="eastAsia" w:cs="宋体" w:asciiTheme="minorEastAsia" w:hAnsiTheme="minorEastAsia" w:eastAsiaTheme="minorEastAsia"/>
          <w:b/>
          <w:sz w:val="44"/>
          <w:szCs w:val="44"/>
        </w:rPr>
      </w:pPr>
      <w:r>
        <w:rPr>
          <w:rFonts w:hint="eastAsia" w:cs="宋体" w:asciiTheme="minorEastAsia" w:hAnsiTheme="minorEastAsia" w:eastAsiaTheme="minorEastAsia"/>
          <w:b/>
          <w:sz w:val="44"/>
          <w:szCs w:val="44"/>
        </w:rPr>
        <w:t xml:space="preserve">前附表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tblCellMar>
        <w:tblLook w:val="04A0" w:firstRow="1" w:lastRow="0" w:firstColumn="1" w:lastColumn="0" w:noHBand="0" w:noVBand="1"/>
      </w:tblPr>
      <w:tblGrid>
        <w:gridCol w:w="657"/>
        <w:gridCol w:w="1710"/>
        <w:gridCol w:w="6672"/>
      </w:tblGrid>
      <w:tr>
        <w:trPr>
          <w:trHeight w:val="416"/>
        </w:trPr>
        <w:tc>
          <w:tcPr>
            <w:tcW w:w="657" w:type="dxa"/>
            <w:vAlign w:val="center"/>
            <w:textDirection w:val="lrTb"/>
            <w:noWrap w:val="false"/>
          </w:tcPr>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序号</w:t>
            </w:r>
            <w:r/>
          </w:p>
        </w:tc>
        <w:tc>
          <w:tcPr>
            <w:tcW w:w="1710" w:type="dxa"/>
            <w:vAlign w:val="center"/>
            <w:textDirection w:val="lrTb"/>
            <w:noWrap w:val="false"/>
          </w:tcPr>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内容</w:t>
            </w:r>
            <w:r/>
          </w:p>
        </w:tc>
        <w:tc>
          <w:tcPr>
            <w:tcW w:w="6672" w:type="dxa"/>
            <w:vAlign w:val="center"/>
            <w:textDirection w:val="lrTb"/>
            <w:noWrap w:val="false"/>
          </w:tcPr>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规定</w:t>
            </w:r>
            <w:r/>
          </w:p>
        </w:tc>
      </w:tr>
      <w:tr>
        <w:trPr>
          <w:trHeight w:val="425"/>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采购名称</w:t>
            </w:r>
            <w:r/>
          </w:p>
        </w:tc>
        <w:tc>
          <w:tcPr>
            <w:tcW w:w="6672"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2026年相城经开区无主垃圾清运项目</w:t>
            </w:r>
            <w:r/>
          </w:p>
        </w:tc>
      </w:tr>
      <w:tr>
        <w:trPr>
          <w:trHeight w:val="452"/>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响应文件有效期</w:t>
            </w:r>
            <w:r/>
          </w:p>
        </w:tc>
        <w:tc>
          <w:tcPr>
            <w:tcW w:w="6672"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响应文件有效期为60日历天（从提交响应文件截止时间当日起算）</w:t>
            </w:r>
            <w:r/>
          </w:p>
        </w:tc>
      </w:tr>
      <w:tr>
        <w:trPr>
          <w:trHeight w:val="202"/>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响应保证金</w:t>
            </w:r>
            <w:r/>
          </w:p>
        </w:tc>
        <w:tc>
          <w:tcPr>
            <w:tcW w:w="6672" w:type="dxa"/>
            <w:vAlign w:val="center"/>
            <w:textDirection w:val="lrTb"/>
            <w:noWrap w:val="false"/>
          </w:tcPr>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无（招标文件中提供</w:t>
            </w:r>
            <w:r>
              <w:rPr>
                <w:rFonts w:hint="eastAsia" w:cs="宋体" w:asciiTheme="minorEastAsia" w:hAnsiTheme="minorEastAsia" w:eastAsiaTheme="minorEastAsia"/>
                <w:szCs w:val="21"/>
              </w:rPr>
              <w:t xml:space="preserve">投标（响应）保证承诺书</w:t>
            </w:r>
            <w:r>
              <w:rPr>
                <w:rFonts w:hint="eastAsia" w:asciiTheme="minorEastAsia" w:hAnsiTheme="minorEastAsia" w:eastAsiaTheme="minorEastAsia"/>
                <w:szCs w:val="21"/>
              </w:rPr>
              <w:t xml:space="preserve">）</w:t>
            </w:r>
            <w:r/>
          </w:p>
        </w:tc>
      </w:tr>
      <w:tr>
        <w:trPr>
          <w:trHeight w:val="428"/>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现场考察</w:t>
            </w:r>
            <w:r/>
          </w:p>
        </w:tc>
        <w:tc>
          <w:tcPr>
            <w:tcW w:w="6672" w:type="dxa"/>
            <w:vAlign w:val="center"/>
            <w:textDirection w:val="lrTb"/>
            <w:noWrap w:val="false"/>
          </w:tcPr>
          <w:p>
            <w:pPr>
              <w:ind w:right="-159"/>
              <w:jc w:val="left"/>
              <w:rPr>
                <w:rFonts w:hint="eastAsia" w:cs="宋体" w:asciiTheme="minorEastAsia" w:hAnsiTheme="minorEastAsia" w:eastAsiaTheme="minorEastAsia"/>
                <w:szCs w:val="21"/>
              </w:rPr>
            </w:pPr>
            <w:r>
              <w:rPr>
                <w:rFonts w:hint="eastAsia" w:ascii="宋体" w:hAnsi="宋体"/>
                <w:szCs w:val="21"/>
              </w:rPr>
              <w:t xml:space="preserve">根据自身投标需要，供应商可对有关现场和周围环境自行进行考察，以获取编制响应文件和签署合同所需的信息。现场考察所发生的费用由供应商自己承担。</w:t>
            </w:r>
            <w:r/>
          </w:p>
        </w:tc>
      </w:tr>
      <w:tr>
        <w:trPr>
          <w:trHeight w:val="428"/>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710" w:type="dxa"/>
            <w:vAlign w:val="center"/>
            <w:textDirection w:val="lrTb"/>
            <w:noWrap w:val="false"/>
          </w:tcPr>
          <w:p>
            <w:pPr>
              <w:spacing w:line="360" w:lineRule="auto"/>
              <w:tabs>
                <w:tab w:val="center" w:pos="813"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质疑</w:t>
            </w:r>
            <w:r/>
          </w:p>
        </w:tc>
        <w:tc>
          <w:tcPr>
            <w:tcW w:w="6672" w:type="dxa"/>
            <w:vAlign w:val="center"/>
            <w:textDirection w:val="lrTb"/>
            <w:noWrap w:val="false"/>
          </w:tcPr>
          <w:p>
            <w:pPr>
              <w:ind w:right="-159"/>
              <w:jc w:val="left"/>
              <w:rPr>
                <w:rFonts w:hint="eastAsia" w:cs="宋体" w:asciiTheme="minorEastAsia" w:hAnsiTheme="minorEastAsia" w:eastAsiaTheme="minorEastAsia"/>
                <w:szCs w:val="21"/>
              </w:rPr>
            </w:pPr>
            <w:r>
              <w:rPr>
                <w:rFonts w:hint="eastAsia" w:ascii="宋体" w:hAnsi="宋体"/>
                <w:szCs w:val="21"/>
              </w:rPr>
              <w:t xml:space="preserve">投标单位对招标文件如有疑问，请将疑问及“供应商投标确认函”于规定时间前以书面形式递交至苏州市保泽建设管理有限公司（联系地址：苏州市吴中区太湖东路28号106室，联系人：徐霄晨，联系电话：0512-65109581）</w:t>
            </w:r>
            <w:r/>
          </w:p>
        </w:tc>
      </w:tr>
      <w:tr>
        <w:trPr>
          <w:trHeight w:val="322"/>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磋商响应货币</w:t>
            </w:r>
            <w:r/>
          </w:p>
        </w:tc>
        <w:tc>
          <w:tcPr>
            <w:tcW w:w="6672"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w:t>
            </w:r>
            <w:r/>
          </w:p>
        </w:tc>
      </w:tr>
      <w:tr>
        <w:trPr>
          <w:trHeight w:val="499"/>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磋商时间和地点</w:t>
            </w:r>
            <w:r/>
          </w:p>
        </w:tc>
        <w:tc>
          <w:tcPr>
            <w:tcW w:w="6672" w:type="dxa"/>
            <w:vAlign w:val="center"/>
            <w:textDirection w:val="lrTb"/>
            <w:noWrap w:val="false"/>
          </w:tcPr>
          <w:p>
            <w:pPr>
              <w:ind w:right="-159"/>
              <w:jc w:val="left"/>
              <w:rPr>
                <w:rFonts w:hint="eastAsia" w:ascii="宋体" w:hAnsi="宋体"/>
                <w:szCs w:val="21"/>
              </w:rPr>
            </w:pPr>
            <w:r>
              <w:rPr>
                <w:rFonts w:hint="eastAsia" w:ascii="宋体" w:hAnsi="宋体"/>
                <w:szCs w:val="21"/>
              </w:rPr>
              <w:t xml:space="preserve">时间：</w:t>
            </w:r>
            <w:bookmarkStart w:id="0" w:name="OLE_LINK110"/>
            <w:r>
              <w:rPr>
                <w:rFonts w:hint="eastAsia" w:cs="宋体" w:asciiTheme="minorEastAsia" w:hAnsiTheme="minorEastAsia" w:eastAsiaTheme="minorEastAsia"/>
                <w:szCs w:val="21"/>
              </w:rPr>
              <w:t xml:space="preserve">2026年 </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 月 </w:t>
            </w:r>
            <w:r>
              <w:rPr>
                <w:rFonts w:hint="eastAsia" w:cs="宋体" w:asciiTheme="minorEastAsia" w:hAnsiTheme="minorEastAsia" w:eastAsiaTheme="minorEastAsia"/>
                <w:szCs w:val="21"/>
              </w:rPr>
              <w:t xml:space="preserve">29</w:t>
            </w:r>
            <w:r>
              <w:rPr>
                <w:rFonts w:hint="eastAsia" w:cs="宋体" w:asciiTheme="minorEastAsia" w:hAnsiTheme="minorEastAsia" w:eastAsiaTheme="minorEastAsia"/>
                <w:szCs w:val="21"/>
              </w:rPr>
              <w:t xml:space="preserve"> 日</w:t>
            </w:r>
            <w:r>
              <w:rPr>
                <w:rFonts w:hint="eastAsia" w:ascii="宋体" w:hAnsi="宋体"/>
                <w:szCs w:val="21"/>
              </w:rPr>
              <w:t xml:space="preserve">13：30</w:t>
            </w:r>
            <w:bookmarkEnd w:id="0"/>
            <w:r>
              <w:rPr>
                <w:rFonts w:hint="eastAsia" w:ascii="宋体" w:hAnsi="宋体"/>
                <w:szCs w:val="21"/>
              </w:rPr>
              <w:t xml:space="preserve">（北京时间）</w:t>
            </w:r>
            <w:r/>
          </w:p>
          <w:p>
            <w:pPr>
              <w:ind w:right="-159"/>
              <w:jc w:val="left"/>
              <w:rPr>
                <w:rFonts w:hint="eastAsia" w:ascii="宋体" w:hAnsi="宋体"/>
                <w:szCs w:val="21"/>
              </w:rPr>
            </w:pPr>
            <w:r>
              <w:rPr>
                <w:rFonts w:hint="eastAsia" w:ascii="宋体" w:hAnsi="宋体"/>
                <w:szCs w:val="21"/>
              </w:rPr>
              <w:t xml:space="preserve">地点：“苏</w:t>
            </w:r>
            <w:r>
              <w:rPr>
                <w:rFonts w:hint="eastAsia" w:ascii="宋体" w:hAnsi="宋体"/>
                <w:szCs w:val="21"/>
              </w:rPr>
              <w:t xml:space="preserve">采云</w:t>
            </w:r>
            <w:r>
              <w:rPr>
                <w:rFonts w:hint="eastAsia" w:ascii="宋体" w:hAnsi="宋体"/>
                <w:szCs w:val="21"/>
              </w:rPr>
              <w:t xml:space="preserve">”系统（网址：http://jszfcg.jsczt.cn/）</w:t>
            </w:r>
            <w:r/>
          </w:p>
          <w:p>
            <w:pPr>
              <w:ind w:right="-159"/>
              <w:jc w:val="left"/>
              <w:rPr>
                <w:rFonts w:hint="eastAsia" w:cs="宋体" w:asciiTheme="minorEastAsia" w:hAnsiTheme="minorEastAsia" w:eastAsiaTheme="minorEastAsia"/>
                <w:szCs w:val="21"/>
              </w:rPr>
            </w:pPr>
            <w:r>
              <w:rPr>
                <w:rFonts w:hint="eastAsia" w:ascii="宋体" w:hAnsi="宋体"/>
                <w:szCs w:val="21"/>
              </w:rPr>
              <w:t xml:space="preserve">本项目为不</w:t>
            </w:r>
            <w:r>
              <w:rPr>
                <w:rFonts w:hint="eastAsia" w:ascii="宋体" w:hAnsi="宋体"/>
                <w:szCs w:val="21"/>
              </w:rPr>
              <w:t xml:space="preserve">见面磋商</w:t>
            </w:r>
            <w:r>
              <w:rPr>
                <w:rFonts w:hint="eastAsia" w:ascii="宋体" w:hAnsi="宋体"/>
                <w:szCs w:val="21"/>
              </w:rPr>
              <w:t xml:space="preserve">项目，开启阶段供应商在【供应商解密】环节必须使用 CA证书解密电子响应文件。</w:t>
            </w:r>
            <w:r/>
          </w:p>
        </w:tc>
      </w:tr>
      <w:tr>
        <w:trPr>
          <w:trHeight w:val="1409"/>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成交原则</w:t>
            </w:r>
            <w:r/>
          </w:p>
        </w:tc>
        <w:tc>
          <w:tcPr>
            <w:tcW w:w="6672" w:type="dxa"/>
            <w:vAlign w:val="center"/>
            <w:textDirection w:val="lrTb"/>
            <w:noWrap w:val="false"/>
          </w:tcPr>
          <w:p>
            <w:pPr>
              <w:ind w:right="-159"/>
              <w:jc w:val="left"/>
              <w:rPr>
                <w:rFonts w:hint="eastAsia" w:cs="宋体" w:asciiTheme="minorEastAsia" w:hAnsiTheme="minorEastAsia" w:eastAsiaTheme="minorEastAsia"/>
                <w:szCs w:val="21"/>
              </w:rPr>
            </w:pPr>
            <w:r>
              <w:rPr>
                <w:rFonts w:hint="eastAsia" w:ascii="宋体" w:hAnsi="宋体" w:cs="宋体"/>
                <w:szCs w:val="21"/>
              </w:rPr>
              <w:t xml:space="preserve">采购人</w:t>
            </w:r>
            <w:r>
              <w:rPr>
                <w:rFonts w:hint="eastAsia" w:ascii="宋体" w:hAnsi="宋体" w:cs="宋体"/>
                <w:szCs w:val="21"/>
              </w:rPr>
              <w:t xml:space="preserve">授权磋商</w:t>
            </w:r>
            <w:r>
              <w:rPr>
                <w:rFonts w:hint="eastAsia" w:ascii="宋体" w:hAnsi="宋体" w:cs="宋体"/>
                <w:szCs w:val="21"/>
              </w:rPr>
              <w:t xml:space="preserve">小组根据本文件规定的成交原则确定成交供应商，即在响应文件满足磋商文件全部实质性要求且按评审因素的量化指标评审得分最高的供应商为成交候选供应商。采购人书面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1565" w:hRule="exact"/>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签订合同</w:t>
            </w:r>
            <w:r/>
          </w:p>
        </w:tc>
        <w:tc>
          <w:tcPr>
            <w:tcW w:w="6672" w:type="dxa"/>
            <w:vAlign w:val="center"/>
            <w:textDirection w:val="lrTb"/>
            <w:noWrap w:val="false"/>
          </w:tcPr>
          <w:p>
            <w:pPr>
              <w:ind w:right="-159"/>
              <w:jc w:val="left"/>
              <w:rPr>
                <w:rFonts w:hint="eastAsia" w:cs="宋体" w:asciiTheme="minorEastAsia" w:hAnsiTheme="minorEastAsia" w:eastAsiaTheme="minorEastAsia"/>
                <w:szCs w:val="21"/>
              </w:rPr>
            </w:pPr>
            <w:r>
              <w:rPr>
                <w:rFonts w:hint="eastAsia" w:ascii="宋体" w:hAnsi="宋体" w:cs="宋体"/>
                <w:szCs w:val="21"/>
              </w:rPr>
              <w:t xml:space="preserve">按照《关于做好政府采购支持企业发展有关事项的通知》（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488" w:hRule="exact"/>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710" w:type="dxa"/>
            <w:vAlign w:val="center"/>
            <w:textDirection w:val="lrTb"/>
            <w:noWrap w:val="false"/>
          </w:tcPr>
          <w:p>
            <w:pPr>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评审办法</w:t>
            </w:r>
            <w:r/>
          </w:p>
        </w:tc>
        <w:tc>
          <w:tcPr>
            <w:tcW w:w="6672" w:type="dxa"/>
            <w:vAlign w:val="center"/>
            <w:textDirection w:val="lrTb"/>
            <w:noWrap w:val="false"/>
          </w:tcPr>
          <w:p>
            <w:pPr>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详见第三章  评审方法及评分标准</w:t>
            </w:r>
            <w:r/>
          </w:p>
        </w:tc>
      </w:tr>
      <w:tr>
        <w:trPr>
          <w:trHeight w:val="415"/>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W w:w="1710" w:type="dxa"/>
            <w:vAlign w:val="center"/>
            <w:textDirection w:val="lrTb"/>
            <w:noWrap w:val="false"/>
          </w:tcPr>
          <w:p>
            <w:pPr>
              <w:jc w:val="left"/>
              <w:rPr>
                <w:rFonts w:hint="eastAsia" w:ascii="宋体" w:hAnsi="宋体"/>
                <w:szCs w:val="21"/>
              </w:rPr>
            </w:pPr>
            <w:r>
              <w:rPr>
                <w:rFonts w:hint="eastAsia" w:ascii="宋体" w:hAnsi="宋体"/>
                <w:szCs w:val="21"/>
              </w:rPr>
              <w:t xml:space="preserve">导致废标</w:t>
            </w:r>
            <w:r/>
          </w:p>
          <w:p>
            <w:pPr>
              <w:jc w:val="left"/>
              <w:rPr>
                <w:rFonts w:hint="eastAsia" w:ascii="宋体" w:hAnsi="宋体"/>
                <w:szCs w:val="21"/>
              </w:rPr>
            </w:pPr>
            <w:r>
              <w:rPr>
                <w:rFonts w:hint="eastAsia" w:ascii="宋体" w:hAnsi="宋体"/>
                <w:szCs w:val="21"/>
              </w:rPr>
              <w:t xml:space="preserve">因素</w:t>
            </w:r>
            <w:r/>
          </w:p>
        </w:tc>
        <w:tc>
          <w:tcPr>
            <w:tcW w:w="6672" w:type="dxa"/>
            <w:vAlign w:val="center"/>
            <w:textDirection w:val="lrTb"/>
            <w:noWrap w:val="false"/>
          </w:tcPr>
          <w:p>
            <w:pPr>
              <w:ind w:right="-159"/>
              <w:jc w:val="left"/>
              <w:rPr>
                <w:rFonts w:hint="eastAsia" w:ascii="宋体" w:hAnsi="宋体"/>
                <w:szCs w:val="21"/>
              </w:rPr>
            </w:pPr>
            <w:r>
              <w:rPr>
                <w:rFonts w:hint="eastAsia" w:ascii="宋体" w:hAnsi="宋体"/>
                <w:szCs w:val="21"/>
              </w:rPr>
              <w:t xml:space="preserve">出现下列情形之一的，为废标： </w:t>
            </w:r>
            <w:r/>
          </w:p>
          <w:p>
            <w:pPr>
              <w:numPr>
                <w:ilvl w:val="0"/>
                <w:numId w:val="3"/>
              </w:numPr>
              <w:ind w:right="-159"/>
              <w:jc w:val="left"/>
              <w:rPr>
                <w:rFonts w:hint="eastAsia" w:ascii="宋体" w:hAnsi="宋体"/>
                <w:szCs w:val="21"/>
              </w:rPr>
            </w:pPr>
            <w:r>
              <w:rPr>
                <w:rFonts w:hint="eastAsia" w:ascii="宋体" w:hAnsi="宋体"/>
                <w:szCs w:val="21"/>
              </w:rPr>
              <w:t xml:space="preserve">符合专业条件的响应单位或者对招标文件作实质响应的响应单位不足三家的； </w:t>
            </w:r>
            <w:r/>
          </w:p>
          <w:p>
            <w:pPr>
              <w:ind w:right="-159"/>
              <w:jc w:val="left"/>
              <w:rPr>
                <w:rFonts w:hint="eastAsia" w:ascii="宋体" w:hAnsi="宋体"/>
                <w:szCs w:val="21"/>
              </w:rPr>
            </w:pPr>
            <w:r>
              <w:rPr>
                <w:rFonts w:hint="eastAsia" w:ascii="宋体" w:hAnsi="宋体"/>
                <w:szCs w:val="21"/>
              </w:rPr>
              <w:t xml:space="preserve">（二）出现影响采购公正的违法、违规行为的； </w:t>
            </w:r>
            <w:r/>
          </w:p>
          <w:p>
            <w:pPr>
              <w:ind w:right="-159"/>
              <w:jc w:val="left"/>
              <w:rPr>
                <w:rFonts w:hint="eastAsia" w:ascii="宋体" w:hAnsi="宋体"/>
                <w:szCs w:val="21"/>
              </w:rPr>
            </w:pPr>
            <w:r>
              <w:rPr>
                <w:rFonts w:hint="eastAsia" w:ascii="宋体" w:hAnsi="宋体"/>
                <w:szCs w:val="21"/>
              </w:rPr>
              <w:t xml:space="preserve">（三）响应单位的报价均超过了采购预算，采购人不能支付的； </w:t>
            </w:r>
            <w:r/>
          </w:p>
          <w:p>
            <w:pPr>
              <w:jc w:val="left"/>
              <w:rPr>
                <w:rFonts w:hint="eastAsia" w:ascii="宋体" w:hAnsi="宋体"/>
                <w:szCs w:val="21"/>
              </w:rPr>
            </w:pPr>
            <w:r>
              <w:rPr>
                <w:rFonts w:hint="eastAsia" w:ascii="宋体" w:hAnsi="宋体"/>
                <w:szCs w:val="21"/>
              </w:rPr>
              <w:t xml:space="preserve">（四）因重大变故，采购任务取消的。</w:t>
            </w:r>
            <w:r/>
          </w:p>
        </w:tc>
      </w:tr>
      <w:tr>
        <w:trPr>
          <w:trHeight w:val="415"/>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投标无效因素</w:t>
            </w:r>
            <w:r/>
          </w:p>
        </w:tc>
        <w:tc>
          <w:tcPr>
            <w:tcW w:w="6672" w:type="dxa"/>
            <w:vAlign w:val="center"/>
            <w:textDirection w:val="lrTb"/>
            <w:noWrap w:val="false"/>
          </w:tcPr>
          <w:p>
            <w:pPr>
              <w:ind w:right="-159"/>
              <w:jc w:val="left"/>
              <w:rPr>
                <w:rFonts w:hint="eastAsia" w:ascii="宋体" w:hAnsi="宋体" w:cs="宋体"/>
                <w:szCs w:val="21"/>
              </w:rPr>
            </w:pPr>
            <w:r>
              <w:rPr>
                <w:rFonts w:hint="eastAsia" w:ascii="宋体" w:hAnsi="宋体" w:cs="宋体"/>
                <w:szCs w:val="21"/>
              </w:rPr>
              <w:t xml:space="preserve">（一）有下列情形之一的，视为投标人串通投标，其投标无效：</w:t>
            </w:r>
            <w:r/>
          </w:p>
          <w:p>
            <w:pPr>
              <w:ind w:right="-159"/>
              <w:jc w:val="left"/>
              <w:rPr>
                <w:rFonts w:hint="eastAsia" w:ascii="宋体" w:hAnsi="宋体" w:cs="宋体"/>
                <w:szCs w:val="21"/>
              </w:rPr>
            </w:pPr>
            <w:r>
              <w:rPr>
                <w:rFonts w:hint="eastAsia" w:ascii="宋体" w:hAnsi="宋体" w:cs="宋体"/>
                <w:szCs w:val="21"/>
              </w:rPr>
              <w:t xml:space="preserve">1.不同投标人的响应文件由同一单位或者个人编制；</w:t>
            </w:r>
            <w:r/>
          </w:p>
          <w:p>
            <w:pPr>
              <w:ind w:right="-159"/>
              <w:jc w:val="left"/>
              <w:rPr>
                <w:rFonts w:hint="eastAsia" w:ascii="宋体" w:hAnsi="宋体" w:cs="宋体"/>
                <w:szCs w:val="21"/>
              </w:rPr>
            </w:pPr>
            <w:r>
              <w:rPr>
                <w:rFonts w:hint="eastAsia" w:ascii="宋体" w:hAnsi="宋体" w:cs="宋体"/>
                <w:szCs w:val="21"/>
              </w:rPr>
              <w:t xml:space="preserve">2.不同投标人委托同一单位或者个人办理投标事宜；</w:t>
            </w:r>
            <w:r/>
          </w:p>
          <w:p>
            <w:pPr>
              <w:ind w:right="-159"/>
              <w:jc w:val="left"/>
              <w:rPr>
                <w:rFonts w:hint="eastAsia" w:ascii="宋体" w:hAnsi="宋体" w:cs="宋体"/>
                <w:szCs w:val="21"/>
              </w:rPr>
            </w:pPr>
            <w:r>
              <w:rPr>
                <w:rFonts w:hint="eastAsia" w:ascii="宋体" w:hAnsi="宋体" w:cs="宋体"/>
                <w:szCs w:val="21"/>
              </w:rPr>
              <w:t xml:space="preserve">3.不同投标人的响应文件载明的项目管理成员或者联系人员为同一人；</w:t>
            </w:r>
            <w:r/>
          </w:p>
          <w:p>
            <w:pPr>
              <w:ind w:right="-159"/>
              <w:jc w:val="left"/>
              <w:rPr>
                <w:rFonts w:hint="eastAsia" w:ascii="宋体" w:hAnsi="宋体" w:cs="宋体"/>
                <w:szCs w:val="21"/>
              </w:rPr>
            </w:pPr>
            <w:r>
              <w:rPr>
                <w:rFonts w:hint="eastAsia" w:ascii="宋体" w:hAnsi="宋体" w:cs="宋体"/>
                <w:szCs w:val="21"/>
              </w:rPr>
              <w:t xml:space="preserve">4.不同投标人的响应文件异常一致或者投标报价呈规律性差异；</w:t>
            </w:r>
            <w:r/>
          </w:p>
          <w:p>
            <w:pPr>
              <w:ind w:right="-159"/>
              <w:jc w:val="left"/>
              <w:rPr>
                <w:rFonts w:hint="eastAsia" w:ascii="宋体" w:hAnsi="宋体" w:cs="宋体"/>
                <w:szCs w:val="21"/>
              </w:rPr>
            </w:pPr>
            <w:r>
              <w:rPr>
                <w:rFonts w:hint="eastAsia" w:ascii="宋体" w:hAnsi="宋体" w:cs="宋体"/>
                <w:szCs w:val="21"/>
              </w:rPr>
              <w:t xml:space="preserve">5.不同投标人的响应文件相互混装；</w:t>
            </w:r>
            <w:r/>
          </w:p>
          <w:p>
            <w:pPr>
              <w:ind w:right="-159"/>
              <w:jc w:val="left"/>
              <w:rPr>
                <w:rFonts w:hint="eastAsia" w:ascii="宋体" w:hAnsi="宋体" w:cs="宋体"/>
                <w:szCs w:val="21"/>
              </w:rPr>
            </w:pPr>
            <w:r>
              <w:rPr>
                <w:rFonts w:hint="eastAsia" w:ascii="宋体" w:hAnsi="宋体" w:cs="宋体"/>
                <w:szCs w:val="21"/>
              </w:rPr>
              <w:t xml:space="preserve">6.不同投标人的投标保证金从同一单位或者个人的账户转出。</w:t>
            </w:r>
            <w:r/>
          </w:p>
          <w:p>
            <w:pPr>
              <w:ind w:right="-159"/>
              <w:jc w:val="left"/>
            </w:pPr>
            <w:r>
              <w:rPr>
                <w:rFonts w:hint="eastAsia" w:ascii="宋体" w:hAnsi="宋体"/>
                <w:szCs w:val="21"/>
              </w:rPr>
              <w:t xml:space="preserve">7.不同投标（响应）文件制作机器码一致，则投标无效；</w:t>
            </w:r>
            <w:r/>
          </w:p>
          <w:p>
            <w:pPr>
              <w:ind w:right="-159"/>
              <w:jc w:val="left"/>
              <w:rPr>
                <w:rFonts w:hint="eastAsia" w:ascii="宋体" w:hAnsi="宋体" w:cs="宋体"/>
                <w:szCs w:val="21"/>
              </w:rPr>
            </w:pPr>
            <w:r>
              <w:rPr>
                <w:rFonts w:hint="eastAsia" w:ascii="宋体" w:hAnsi="宋体" w:cs="宋体"/>
                <w:szCs w:val="21"/>
              </w:rPr>
              <w:t xml:space="preserve">（二）投标人存在下列情况之一的，投标无效:</w:t>
            </w:r>
            <w:r/>
          </w:p>
          <w:p>
            <w:pPr>
              <w:ind w:right="-159"/>
              <w:jc w:val="left"/>
              <w:rPr>
                <w:rFonts w:hint="eastAsia" w:ascii="宋体" w:hAnsi="宋体" w:cs="宋体"/>
                <w:szCs w:val="21"/>
              </w:rPr>
            </w:pPr>
            <w:r>
              <w:rPr>
                <w:rFonts w:hint="eastAsia" w:ascii="宋体" w:hAnsi="宋体" w:cs="宋体"/>
                <w:szCs w:val="21"/>
              </w:rPr>
              <w:t xml:space="preserve">1.未按照招标文件的规定提交投标保证金的；</w:t>
            </w:r>
            <w:r/>
          </w:p>
          <w:p>
            <w:pPr>
              <w:ind w:right="-159"/>
              <w:jc w:val="left"/>
              <w:rPr>
                <w:rFonts w:hint="eastAsia" w:ascii="宋体" w:hAnsi="宋体" w:cs="宋体"/>
                <w:szCs w:val="21"/>
              </w:rPr>
            </w:pPr>
            <w:r>
              <w:rPr>
                <w:rFonts w:hint="eastAsia" w:ascii="宋体" w:hAnsi="宋体" w:cs="宋体"/>
                <w:szCs w:val="21"/>
              </w:rPr>
              <w:t xml:space="preserve">2.未按照招标文件规定要求签署、盖章；</w:t>
            </w:r>
            <w:r/>
          </w:p>
          <w:p>
            <w:pPr>
              <w:ind w:right="-159"/>
              <w:jc w:val="left"/>
              <w:rPr>
                <w:rFonts w:hint="eastAsia" w:ascii="宋体" w:hAnsi="宋体" w:cs="宋体"/>
                <w:szCs w:val="21"/>
              </w:rPr>
            </w:pPr>
            <w:r>
              <w:rPr>
                <w:rFonts w:hint="eastAsia" w:ascii="宋体" w:hAnsi="宋体" w:cs="宋体"/>
                <w:szCs w:val="21"/>
              </w:rPr>
              <w:t xml:space="preserve">3.不具备招标文件中规定资格要求；</w:t>
            </w:r>
            <w:r/>
          </w:p>
          <w:p>
            <w:pPr>
              <w:ind w:right="-159"/>
              <w:jc w:val="left"/>
              <w:rPr>
                <w:rFonts w:hint="eastAsia" w:ascii="宋体" w:hAnsi="宋体" w:cs="宋体"/>
                <w:szCs w:val="21"/>
              </w:rPr>
            </w:pPr>
            <w:r>
              <w:rPr>
                <w:rFonts w:hint="eastAsia" w:ascii="宋体" w:hAnsi="宋体" w:cs="宋体"/>
                <w:szCs w:val="21"/>
              </w:rPr>
              <w:t xml:space="preserve">4.报价超过招标文件中规定的采购预算金额的；</w:t>
            </w:r>
            <w:r/>
          </w:p>
          <w:p>
            <w:pPr>
              <w:ind w:right="-159"/>
              <w:jc w:val="left"/>
              <w:rPr>
                <w:rFonts w:hint="eastAsia" w:ascii="宋体" w:hAnsi="宋体" w:cs="宋体"/>
                <w:szCs w:val="21"/>
              </w:rPr>
            </w:pPr>
            <w:r>
              <w:rPr>
                <w:rFonts w:hint="eastAsia" w:ascii="宋体" w:hAnsi="宋体" w:cs="宋体"/>
                <w:szCs w:val="21"/>
              </w:rPr>
              <w:t xml:space="preserve">5.响应文件含有采购人不能接受的附加条件的；</w:t>
            </w:r>
            <w:r/>
          </w:p>
          <w:p>
            <w:pPr>
              <w:ind w:right="-159"/>
              <w:jc w:val="left"/>
              <w:rPr>
                <w:rFonts w:hint="eastAsia" w:cs="宋体" w:asciiTheme="minorEastAsia" w:hAnsiTheme="minorEastAsia" w:eastAsiaTheme="minorEastAsia"/>
                <w:szCs w:val="21"/>
              </w:rPr>
            </w:pPr>
            <w:r>
              <w:rPr>
                <w:rFonts w:hint="eastAsia" w:ascii="宋体" w:hAnsi="宋体" w:cs="宋体"/>
                <w:szCs w:val="21"/>
              </w:rPr>
              <w:t xml:space="preserve">6.法律、法规和招标文件规定的其他无效情形；</w:t>
            </w:r>
            <w:r/>
          </w:p>
        </w:tc>
      </w:tr>
      <w:tr>
        <w:trPr>
          <w:trHeight w:val="1145"/>
        </w:trPr>
        <w:tc>
          <w:tcPr>
            <w:tcW w:w="657"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W w:w="1710"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成交服务费</w:t>
            </w:r>
            <w:r/>
          </w:p>
        </w:tc>
        <w:tc>
          <w:tcPr>
            <w:tcW w:w="6672" w:type="dxa"/>
            <w:vAlign w:val="center"/>
            <w:textDirection w:val="lrTb"/>
            <w:noWrap w:val="false"/>
          </w:tcPr>
          <w:p>
            <w:pPr>
              <w:ind w:right="-159"/>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t xml:space="preserve">按</w:t>
            </w:r>
            <w:bookmarkStart w:id="1" w:name="OLE_LINK7"/>
            <w:r/>
            <w:bookmarkStart w:id="2" w:name="OLE_LINK10"/>
            <w:r>
              <w:rPr>
                <w:rFonts w:hint="eastAsia" w:ascii="宋体" w:hAnsi="宋体" w:cs="宋体"/>
                <w:szCs w:val="21"/>
              </w:rPr>
              <w:t xml:space="preserve">苏财购告</w:t>
            </w:r>
            <w:bookmarkEnd w:id="1"/>
            <w:r>
              <w:rPr>
                <w:rFonts w:hint="eastAsia" w:ascii="宋体" w:hAnsi="宋体" w:cs="宋体"/>
                <w:szCs w:val="21"/>
              </w:rPr>
              <w:t xml:space="preserve">[2016]31号</w:t>
            </w:r>
            <w:bookmarkEnd w:id="2"/>
            <w:r>
              <w:rPr>
                <w:rFonts w:hint="eastAsia" w:ascii="宋体" w:hAnsi="宋体" w:cs="宋体"/>
                <w:szCs w:val="21"/>
              </w:rPr>
              <w:t xml:space="preserve">公示内容执行。按照采购预算金额的如下比例进行计算：即100万元以内1.5%、100～500万元以1.1%、500~1000万元以0.8%，差额定率累进法计算；单个项目的代理服务费不足3000.00元时，按3000.00元收取</w:t>
            </w:r>
            <w:r/>
          </w:p>
          <w:p>
            <w:pPr>
              <w:ind w:right="-159"/>
              <w:jc w:val="left"/>
              <w:rPr>
                <w:rFonts w:hint="eastAsia" w:ascii="宋体" w:hAnsi="宋体" w:cs="宋体"/>
                <w:szCs w:val="21"/>
              </w:rPr>
            </w:pPr>
            <w:r>
              <w:rPr>
                <w:rFonts w:hint="eastAsia" w:ascii="宋体" w:hAnsi="宋体" w:cs="宋体"/>
                <w:szCs w:val="21"/>
              </w:rPr>
              <w:t xml:space="preserve">说明：代理服务费以采购预算金额为基数，采用差额定率累进法计算。例如，若预算金额为150万元，则代理服务费计算方式为：100万元以下部分 × 1.5% + （150万元 - 100万元） × 1.1%。</w:t>
            </w:r>
            <w:r/>
          </w:p>
          <w:p>
            <w:pPr>
              <w:ind w:right="-159"/>
              <w:jc w:val="left"/>
              <w:rPr>
                <w:rFonts w:hint="eastAsia" w:ascii="宋体" w:hAnsi="宋体" w:cs="宋体"/>
                <w:szCs w:val="21"/>
              </w:rPr>
            </w:pPr>
            <w:r>
              <w:rPr>
                <w:rFonts w:hint="eastAsia" w:ascii="宋体" w:hAnsi="宋体" w:cs="宋体"/>
                <w:szCs w:val="21"/>
              </w:rPr>
              <w:t xml:space="preserve">本项目采购预算已包含代</w:t>
            </w:r>
            <w:r>
              <w:rPr>
                <w:rFonts w:ascii="宋体" w:hAnsi="宋体" w:cs="宋体"/>
                <w:szCs w:val="21"/>
              </w:rPr>
              <w:t xml:space="preserve">理服务费</w:t>
            </w:r>
            <w:r>
              <w:rPr>
                <w:rFonts w:hint="eastAsia" w:ascii="宋体" w:hAnsi="宋体" w:cs="宋体"/>
                <w:szCs w:val="21"/>
              </w:rPr>
              <w:t xml:space="preserve">（人民币）:</w:t>
            </w:r>
            <w:r>
              <w:rPr>
                <w:rFonts w:hint="eastAsia" w:cs="宋体" w:asciiTheme="minorEastAsia" w:hAnsiTheme="minorEastAsia" w:eastAsiaTheme="minorEastAsia"/>
                <w:szCs w:val="21"/>
              </w:rPr>
              <w:t xml:space="preserve"> 15675.00</w:t>
            </w:r>
            <w:r>
              <w:rPr>
                <w:rFonts w:cs="宋体" w:asciiTheme="minorEastAsia" w:hAnsiTheme="minorEastAsia" w:eastAsiaTheme="minorEastAsia"/>
                <w:szCs w:val="21"/>
              </w:rPr>
              <w:t xml:space="preserve">元</w:t>
            </w:r>
            <w:r/>
          </w:p>
          <w:p>
            <w:pPr>
              <w:ind w:right="-159"/>
              <w:jc w:val="left"/>
              <w:rPr>
                <w:rFonts w:hint="eastAsia" w:ascii="宋体" w:hAnsi="宋体" w:cs="宋体"/>
                <w:szCs w:val="21"/>
              </w:rPr>
            </w:pPr>
            <w:r>
              <w:rPr>
                <w:rFonts w:hint="eastAsia" w:ascii="宋体" w:hAnsi="宋体" w:cs="宋体"/>
                <w:szCs w:val="21"/>
              </w:rPr>
              <w:t xml:space="preserve">由成交</w:t>
            </w:r>
            <w:r>
              <w:rPr>
                <w:rFonts w:hint="eastAsia" w:ascii="宋体" w:hAnsi="宋体" w:cs="宋体"/>
                <w:szCs w:val="21"/>
              </w:rPr>
              <w:t xml:space="preserve">单位在领取成交通知书时向采购代理机构一次性付清。</w:t>
            </w:r>
            <w:r/>
          </w:p>
          <w:p>
            <w:pPr>
              <w:ind w:right="-159"/>
              <w:jc w:val="left"/>
              <w:rPr>
                <w:rFonts w:hint="eastAsia" w:ascii="宋体" w:hAnsi="宋体" w:cs="宋体"/>
                <w:szCs w:val="21"/>
              </w:rPr>
            </w:pPr>
            <w:r>
              <w:rPr>
                <w:rFonts w:ascii="宋体" w:hAnsi="宋体" w:cs="宋体"/>
                <w:szCs w:val="21"/>
              </w:rPr>
              <w:t xml:space="preserve">本项目成交服务费为：</w:t>
            </w:r>
            <w:r>
              <w:rPr>
                <w:rFonts w:hint="eastAsia" w:cs="宋体" w:asciiTheme="minorEastAsia" w:hAnsiTheme="minorEastAsia" w:eastAsiaTheme="minorEastAsia"/>
                <w:szCs w:val="21"/>
              </w:rPr>
              <w:t xml:space="preserve">15675.00</w:t>
            </w:r>
            <w:r>
              <w:rPr>
                <w:rFonts w:cs="宋体" w:asciiTheme="minorEastAsia" w:hAnsiTheme="minorEastAsia" w:eastAsiaTheme="minorEastAsia"/>
                <w:szCs w:val="21"/>
              </w:rPr>
              <w:t xml:space="preserve">元</w:t>
            </w:r>
            <w:r/>
          </w:p>
          <w:p>
            <w:pPr>
              <w:ind w:right="-159"/>
              <w:jc w:val="left"/>
              <w:rPr>
                <w:rFonts w:hint="eastAsia" w:ascii="宋体" w:hAnsi="宋体" w:cs="宋体"/>
                <w:szCs w:val="21"/>
              </w:rPr>
            </w:pPr>
            <w:r>
              <w:rPr>
                <w:rFonts w:hint="eastAsia" w:ascii="宋体" w:hAnsi="宋体" w:cs="宋体"/>
                <w:szCs w:val="21"/>
              </w:rPr>
              <w:t xml:space="preserve">服务费交纳账户：苏州市保泽建设管理有限公司</w:t>
            </w:r>
            <w:r/>
          </w:p>
          <w:p>
            <w:pPr>
              <w:ind w:right="-159"/>
              <w:jc w:val="left"/>
              <w:rPr>
                <w:rFonts w:hint="eastAsia" w:ascii="宋体" w:hAnsi="宋体" w:cs="宋体"/>
                <w:szCs w:val="21"/>
              </w:rPr>
            </w:pPr>
            <w:r>
              <w:rPr>
                <w:rFonts w:hint="eastAsia" w:ascii="宋体" w:hAnsi="宋体" w:cs="宋体"/>
                <w:szCs w:val="21"/>
              </w:rPr>
              <w:t xml:space="preserve">开户行：上海浦东发展银行股份有限公司苏州金阊支行</w:t>
            </w:r>
            <w:r/>
          </w:p>
          <w:p>
            <w:pPr>
              <w:ind w:right="-159"/>
              <w:jc w:val="left"/>
            </w:pPr>
            <w:r>
              <w:rPr>
                <w:rFonts w:hint="eastAsia" w:ascii="宋体" w:hAnsi="宋体" w:cs="宋体"/>
                <w:szCs w:val="21"/>
              </w:rPr>
              <w:t xml:space="preserve">账</w:t>
            </w:r>
            <w:r>
              <w:rPr>
                <w:rFonts w:hint="eastAsia" w:ascii="宋体" w:hAnsi="宋体" w:cs="宋体"/>
                <w:szCs w:val="21"/>
              </w:rPr>
              <w:t xml:space="preserve">  号：</w:t>
            </w:r>
            <w:r>
              <w:rPr>
                <w:rFonts w:ascii="宋体" w:hAnsi="宋体" w:cs="宋体"/>
                <w:szCs w:val="21"/>
              </w:rPr>
              <w:t xml:space="preserve">89060154740009125</w:t>
            </w:r>
            <w:r/>
          </w:p>
        </w:tc>
      </w:tr>
    </w:tbl>
    <w:p>
      <w:pPr>
        <w:jc w:val="left"/>
        <w:spacing w:line="360" w:lineRule="auto"/>
        <w:tabs>
          <w:tab w:val="center" w:pos="4399" w:leader="none"/>
          <w:tab w:val="left" w:pos="7664" w:leader="none"/>
        </w:tabs>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ab/>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pPr>
        <w:ind w:firstLine="3373"/>
        <w:jc w:val="left"/>
        <w:spacing w:line="360" w:lineRule="auto"/>
        <w:tabs>
          <w:tab w:val="center" w:pos="4399" w:leader="none"/>
          <w:tab w:val="left" w:pos="7664" w:leader="none"/>
        </w:tabs>
        <w:rPr>
          <w:rFonts w:hint="eastAsia" w:ascii="宋体" w:hAnsi="宋体"/>
          <w:b/>
          <w:sz w:val="48"/>
          <w:szCs w:val="24"/>
        </w:rPr>
      </w:pPr>
      <w:r>
        <w:rPr>
          <w:rFonts w:hint="eastAsia" w:ascii="宋体" w:hAnsi="宋体"/>
          <w:b/>
          <w:sz w:val="48"/>
          <w:szCs w:val="24"/>
        </w:rPr>
      </w:r>
      <w:r/>
    </w:p>
    <w:p>
      <w:pPr>
        <w:ind w:firstLine="3373"/>
        <w:jc w:val="left"/>
        <w:spacing w:line="360" w:lineRule="auto"/>
        <w:tabs>
          <w:tab w:val="center" w:pos="4399" w:leader="none"/>
          <w:tab w:val="left" w:pos="7664" w:leader="none"/>
        </w:tabs>
        <w:rPr>
          <w:rFonts w:hint="eastAsia" w:ascii="宋体" w:hAnsi="宋体"/>
          <w:b/>
          <w:sz w:val="48"/>
          <w:szCs w:val="24"/>
        </w:rPr>
      </w:pPr>
      <w:r>
        <w:rPr>
          <w:rFonts w:hint="eastAsia" w:ascii="宋体" w:hAnsi="宋体"/>
          <w:b/>
          <w:sz w:val="48"/>
          <w:szCs w:val="24"/>
        </w:rPr>
      </w:r>
      <w:r/>
    </w:p>
    <w:p>
      <w:pPr>
        <w:ind w:firstLine="3373"/>
        <w:jc w:val="left"/>
        <w:spacing w:line="360" w:lineRule="auto"/>
        <w:tabs>
          <w:tab w:val="center" w:pos="4399" w:leader="none"/>
          <w:tab w:val="left" w:pos="7664" w:leader="none"/>
        </w:tabs>
        <w:rPr>
          <w:rFonts w:hint="eastAsia" w:ascii="宋体" w:hAnsi="宋体"/>
          <w:b/>
          <w:sz w:val="48"/>
          <w:szCs w:val="24"/>
        </w:rPr>
      </w:pPr>
      <w:r>
        <w:rPr>
          <w:rFonts w:hint="eastAsia" w:ascii="宋体" w:hAnsi="宋体"/>
          <w:b/>
          <w:sz w:val="48"/>
          <w:szCs w:val="24"/>
        </w:rPr>
      </w:r>
      <w:r/>
    </w:p>
    <w:p>
      <w:pPr>
        <w:ind w:firstLine="3373"/>
        <w:jc w:val="left"/>
        <w:spacing w:line="360" w:lineRule="auto"/>
        <w:tabs>
          <w:tab w:val="center" w:pos="4399" w:leader="none"/>
          <w:tab w:val="left" w:pos="7664" w:leader="none"/>
        </w:tabs>
        <w:rPr>
          <w:rFonts w:ascii="宋体"/>
          <w:b/>
          <w:sz w:val="48"/>
          <w:szCs w:val="24"/>
        </w:rPr>
      </w:pPr>
      <w:r>
        <w:rPr>
          <w:rFonts w:hint="eastAsia" w:ascii="宋体" w:hAnsi="宋体"/>
          <w:b/>
          <w:sz w:val="48"/>
          <w:szCs w:val="24"/>
        </w:rPr>
        <w:t xml:space="preserve">目录</w:t>
      </w:r>
      <w:r>
        <w:rPr>
          <w:rFonts w:hint="eastAsia" w:ascii="宋体" w:hAnsi="宋体"/>
          <w:b/>
          <w:sz w:val="48"/>
          <w:szCs w:val="24"/>
        </w:rPr>
        <w:tab/>
      </w:r>
      <w:r/>
    </w:p>
    <w:p>
      <w:pPr>
        <w:spacing w:line="380" w:lineRule="exact"/>
        <w:rPr>
          <w:rFonts w:ascii="宋体"/>
          <w:sz w:val="32"/>
          <w:szCs w:val="24"/>
        </w:rPr>
      </w:pPr>
      <w:r>
        <w:rPr>
          <w:rFonts w:ascii="宋体"/>
          <w:sz w:val="32"/>
          <w:szCs w:val="24"/>
        </w:rPr>
      </w:r>
      <w:r/>
    </w:p>
    <w:p>
      <w:pPr>
        <w:pStyle w:val="769"/>
        <w:ind w:right="735"/>
        <w:jc w:val="left"/>
        <w:spacing w:line="360" w:lineRule="auto"/>
        <w:tabs>
          <w:tab w:val="right" w:pos="8647" w:leader="dot"/>
          <w:tab w:val="clear" w:pos="9628" w:leader="none"/>
        </w:tabs>
        <w:rPr>
          <w:rFonts w:ascii="Calibri" w:hAnsi="Calibri"/>
          <w:b w:val="0"/>
          <w:szCs w:val="22"/>
        </w:rPr>
      </w:pPr>
      <w:r>
        <w:rPr>
          <w:rFonts w:ascii="宋体" w:hAnsi="宋体"/>
          <w:sz w:val="40"/>
          <w:szCs w:val="24"/>
        </w:rPr>
        <w:fldChar w:fldCharType="begin"/>
      </w:r>
      <w:r>
        <w:rPr>
          <w:rFonts w:ascii="宋体" w:hAnsi="宋体"/>
          <w:sz w:val="40"/>
          <w:szCs w:val="24"/>
        </w:rPr>
        <w:instrText xml:space="preserve"> TOC \o "1-3" \h \z \u </w:instrText>
      </w:r>
      <w:r>
        <w:rPr>
          <w:rFonts w:ascii="宋体" w:hAnsi="宋体"/>
          <w:sz w:val="40"/>
          <w:szCs w:val="24"/>
        </w:rPr>
        <w:fldChar w:fldCharType="separate"/>
      </w:r>
      <w:hyperlink w:tooltip="#_Toc484503767" w:anchor="_Toc484503767" w:history="1">
        <w:r>
          <w:rPr>
            <w:rStyle w:val="782"/>
            <w:rFonts w:hint="eastAsia"/>
            <w:sz w:val="32"/>
          </w:rPr>
          <w:t xml:space="preserve">第一章竞争性磋商公告</w:t>
        </w:r>
      </w:hyperlink>
      <w:r/>
      <w:r/>
    </w:p>
    <w:p>
      <w:pPr>
        <w:pStyle w:val="769"/>
        <w:ind w:right="735"/>
        <w:jc w:val="left"/>
        <w:spacing w:line="360" w:lineRule="auto"/>
        <w:tabs>
          <w:tab w:val="right" w:pos="8647" w:leader="dot"/>
          <w:tab w:val="clear" w:pos="9628" w:leader="none"/>
        </w:tabs>
        <w:rPr>
          <w:rFonts w:ascii="Calibri" w:hAnsi="Calibri"/>
          <w:b w:val="0"/>
          <w:szCs w:val="22"/>
        </w:rPr>
      </w:pPr>
      <w:r/>
      <w:hyperlink w:tooltip="#_Toc484503768" w:anchor="_Toc484503768" w:history="1">
        <w:r>
          <w:rPr>
            <w:rStyle w:val="782"/>
            <w:rFonts w:hint="eastAsia"/>
            <w:sz w:val="32"/>
          </w:rPr>
          <w:t xml:space="preserve">第二章</w:t>
        </w:r>
        <w:r>
          <w:rPr>
            <w:rStyle w:val="782"/>
            <w:sz w:val="32"/>
          </w:rPr>
          <w:t xml:space="preserve">采购需求</w:t>
        </w:r>
      </w:hyperlink>
      <w:r/>
      <w:r/>
    </w:p>
    <w:p>
      <w:pPr>
        <w:pStyle w:val="769"/>
        <w:ind w:right="735"/>
        <w:jc w:val="left"/>
        <w:spacing w:line="360" w:lineRule="auto"/>
        <w:tabs>
          <w:tab w:val="right" w:pos="8647" w:leader="dot"/>
          <w:tab w:val="clear" w:pos="9628" w:leader="none"/>
        </w:tabs>
        <w:rPr>
          <w:rFonts w:ascii="Calibri" w:hAnsi="Calibri"/>
          <w:b w:val="0"/>
          <w:szCs w:val="22"/>
        </w:rPr>
      </w:pPr>
      <w:r/>
      <w:hyperlink w:tooltip="#_Toc484503769" w:anchor="_Toc484503769" w:history="1">
        <w:r>
          <w:rPr>
            <w:rStyle w:val="782"/>
            <w:rFonts w:hint="eastAsia"/>
            <w:sz w:val="32"/>
          </w:rPr>
          <w:t xml:space="preserve">第三章</w:t>
        </w:r>
        <w:r>
          <w:rPr>
            <w:rStyle w:val="782"/>
            <w:sz w:val="32"/>
          </w:rPr>
          <w:t xml:space="preserve">评审方法及标准</w:t>
        </w:r>
      </w:hyperlink>
      <w:r/>
      <w:r/>
    </w:p>
    <w:p>
      <w:pPr>
        <w:pStyle w:val="769"/>
        <w:ind w:right="735"/>
        <w:jc w:val="left"/>
        <w:spacing w:line="360" w:lineRule="auto"/>
        <w:tabs>
          <w:tab w:val="right" w:pos="8647" w:leader="dot"/>
          <w:tab w:val="clear" w:pos="9628" w:leader="none"/>
        </w:tabs>
        <w:rPr>
          <w:rFonts w:ascii="Calibri" w:hAnsi="Calibri"/>
          <w:b w:val="0"/>
          <w:szCs w:val="22"/>
        </w:rPr>
      </w:pPr>
      <w:r/>
      <w:hyperlink w:tooltip="#_Toc484503770" w:anchor="_Toc484503770" w:history="1">
        <w:r>
          <w:rPr>
            <w:rStyle w:val="782"/>
            <w:rFonts w:hint="eastAsia"/>
            <w:sz w:val="32"/>
          </w:rPr>
          <w:t xml:space="preserve">第四章合同主要条款</w:t>
        </w:r>
      </w:hyperlink>
      <w:r/>
      <w:r/>
    </w:p>
    <w:p>
      <w:pPr>
        <w:pStyle w:val="769"/>
        <w:ind w:right="735"/>
        <w:jc w:val="left"/>
        <w:spacing w:line="360" w:lineRule="auto"/>
        <w:tabs>
          <w:tab w:val="right" w:pos="8647" w:leader="dot"/>
          <w:tab w:val="clear" w:pos="9628" w:leader="none"/>
        </w:tabs>
        <w:rPr>
          <w:rFonts w:ascii="Calibri" w:hAnsi="Calibri"/>
          <w:b w:val="0"/>
          <w:szCs w:val="22"/>
        </w:rPr>
      </w:pPr>
      <w:r/>
      <w:hyperlink w:tooltip="#_Toc484503771" w:anchor="_Toc484503771" w:history="1">
        <w:r>
          <w:rPr>
            <w:rStyle w:val="782"/>
            <w:rFonts w:hint="eastAsia"/>
            <w:sz w:val="32"/>
          </w:rPr>
          <w:t xml:space="preserve">第五章附件格式</w:t>
        </w:r>
      </w:hyperlink>
      <w:r/>
      <w:r/>
    </w:p>
    <w:p>
      <w:pPr>
        <w:pStyle w:val="769"/>
        <w:ind w:left="0" w:right="735"/>
        <w:jc w:val="left"/>
        <w:spacing w:line="360" w:lineRule="auto"/>
        <w:tabs>
          <w:tab w:val="right" w:pos="8647" w:leader="dot"/>
          <w:tab w:val="clear" w:pos="9628" w:leader="none"/>
        </w:tabs>
        <w:rPr>
          <w:rFonts w:ascii="Calibri" w:hAnsi="Calibri"/>
          <w:b w:val="0"/>
          <w:szCs w:val="22"/>
        </w:rPr>
      </w:pPr>
      <w:r>
        <w:rPr>
          <w:rFonts w:ascii="Calibri" w:hAnsi="Calibri"/>
          <w:b w:val="0"/>
          <w:szCs w:val="22"/>
        </w:rPr>
      </w:r>
      <w:r/>
    </w:p>
    <w:p>
      <w:pPr>
        <w:ind w:left="593" w:right="735" w:hanging="876"/>
        <w:jc w:val="left"/>
        <w:spacing w:line="360" w:lineRule="auto"/>
        <w:tabs>
          <w:tab w:val="right" w:pos="8647" w:leader="dot"/>
        </w:tabs>
        <w:rPr>
          <w:rFonts w:ascii="宋体"/>
          <w:sz w:val="32"/>
          <w:szCs w:val="24"/>
        </w:rPr>
      </w:pPr>
      <w:r>
        <w:rPr>
          <w:rFonts w:ascii="宋体" w:hAnsi="宋体"/>
          <w:sz w:val="40"/>
          <w:szCs w:val="24"/>
        </w:rPr>
        <w:fldChar w:fldCharType="end"/>
      </w:r>
      <w:r/>
    </w:p>
    <w:p>
      <w:pPr>
        <w:spacing w:line="380" w:lineRule="exact"/>
        <w:rPr>
          <w:rFonts w:ascii="宋体"/>
          <w:sz w:val="32"/>
          <w:szCs w:val="24"/>
        </w:rPr>
      </w:pPr>
      <w:r>
        <w:rPr>
          <w:rFonts w:ascii="宋体"/>
          <w:sz w:val="32"/>
          <w:szCs w:val="24"/>
        </w:rPr>
      </w:r>
      <w:r/>
    </w:p>
    <w:p>
      <w:pPr>
        <w:spacing w:line="380" w:lineRule="exact"/>
        <w:rPr>
          <w:rFonts w:ascii="宋体"/>
          <w:sz w:val="32"/>
          <w:szCs w:val="24"/>
        </w:rPr>
      </w:pPr>
      <w:r>
        <w:rPr>
          <w:rFonts w:ascii="宋体"/>
          <w:sz w:val="32"/>
          <w:szCs w:val="24"/>
        </w:rPr>
      </w:r>
      <w:r/>
    </w:p>
    <w:p>
      <w:pPr>
        <w:pStyle w:val="727"/>
        <w:spacing w:line="360" w:lineRule="auto"/>
        <w:rPr>
          <w:rFonts w:hint="eastAsia" w:asciiTheme="minorEastAsia" w:hAnsiTheme="minorEastAsia" w:eastAsiaTheme="minorEastAsia"/>
          <w:color w:val="auto"/>
          <w:sz w:val="44"/>
          <w:szCs w:val="44"/>
        </w:rPr>
      </w:pPr>
      <w:r>
        <w:rPr>
          <w:sz w:val="72"/>
          <w:szCs w:val="72"/>
        </w:rPr>
        <w:br w:type="page" w:clear="all"/>
      </w:r>
      <w:bookmarkStart w:id="3" w:name="_Toc484503767"/>
      <w:r>
        <w:rPr>
          <w:rFonts w:hint="eastAsia" w:asciiTheme="minorEastAsia" w:hAnsiTheme="minorEastAsia" w:eastAsiaTheme="minorEastAsia"/>
          <w:color w:val="auto"/>
          <w:sz w:val="44"/>
          <w:szCs w:val="44"/>
        </w:rPr>
        <w:t xml:space="preserve">第一章竞争性磋商公告</w:t>
      </w:r>
      <w:bookmarkEnd w:id="3"/>
      <w:r/>
      <w:r/>
    </w:p>
    <w:p>
      <w:pPr>
        <w:ind w:firstLine="420"/>
        <w:spacing w:line="360" w:lineRule="auto"/>
        <w:rPr>
          <w:rFonts w:hint="eastAsia" w:cs="宋体" w:asciiTheme="minorEastAsia" w:hAnsiTheme="minorEastAsia" w:eastAsiaTheme="minorEastAsia"/>
          <w:szCs w:val="21"/>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1"/>
        </w:rPr>
        <w:t xml:space="preserve">项目概况</w:t>
      </w:r>
      <w:r/>
    </w:p>
    <w:p>
      <w:pPr>
        <w:ind w:firstLine="420"/>
        <w:spacing w:line="360" w:lineRule="auto"/>
        <w:rPr>
          <w:rFonts w:hint="eastAsia" w:cs="宋体" w:asciiTheme="minorEastAsia" w:hAnsiTheme="minorEastAsia" w:eastAsiaTheme="minorEastAsia"/>
          <w:szCs w:val="21"/>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1"/>
          <w:u w:val="single"/>
        </w:rPr>
        <w:t xml:space="preserve">2026年相城经开区无主垃圾清运项目 </w:t>
      </w:r>
      <w:r>
        <w:rPr>
          <w:rFonts w:hint="eastAsia" w:cs="宋体" w:asciiTheme="minorEastAsia" w:hAnsiTheme="minorEastAsia" w:eastAsiaTheme="minorEastAsia"/>
          <w:szCs w:val="21"/>
        </w:rPr>
        <w:t xml:space="preserve">采购项目的潜在供应商应在 </w:t>
      </w:r>
      <w:r>
        <w:rPr>
          <w:rFonts w:hint="eastAsia" w:cs="宋体" w:asciiTheme="minorEastAsia" w:hAnsiTheme="minorEastAsia" w:eastAsiaTheme="minorEastAsia"/>
          <w:szCs w:val="21"/>
          <w:u w:val="single"/>
        </w:rPr>
        <w:t xml:space="preserve">“苏</w:t>
      </w:r>
      <w:r>
        <w:rPr>
          <w:rFonts w:hint="eastAsia" w:cs="宋体" w:asciiTheme="minorEastAsia" w:hAnsiTheme="minorEastAsia" w:eastAsiaTheme="minorEastAsia"/>
          <w:szCs w:val="21"/>
          <w:u w:val="single"/>
        </w:rPr>
        <w:t xml:space="preserve">采云</w:t>
      </w:r>
      <w:r>
        <w:rPr>
          <w:rFonts w:hint="eastAsia" w:cs="宋体" w:asciiTheme="minorEastAsia" w:hAnsiTheme="minorEastAsia" w:eastAsiaTheme="minorEastAsia"/>
          <w:szCs w:val="21"/>
          <w:u w:val="single"/>
        </w:rPr>
        <w:t xml:space="preserve">”系统</w:t>
      </w:r>
      <w:r>
        <w:rPr>
          <w:rFonts w:hint="eastAsia" w:cs="宋体" w:asciiTheme="minorEastAsia" w:hAnsiTheme="minorEastAsia" w:eastAsiaTheme="minorEastAsia"/>
          <w:szCs w:val="21"/>
        </w:rPr>
        <w:t xml:space="preserve">获取采购文件，并于</w:t>
      </w:r>
      <w:bookmarkStart w:id="4" w:name="XMKBSJ_1"/>
      <w:r>
        <w:rPr>
          <w:rFonts w:hint="eastAsia" w:cs="宋体" w:asciiTheme="minorEastAsia" w:hAnsiTheme="minorEastAsia" w:eastAsiaTheme="minorEastAsia"/>
          <w:szCs w:val="21"/>
          <w:u w:val="single"/>
        </w:rPr>
        <w:t xml:space="preserve">2026年</w:t>
      </w:r>
      <w:r>
        <w:rPr>
          <w:rFonts w:hint="eastAsia" w:cs="宋体" w:asciiTheme="minorEastAsia" w:hAnsiTheme="minorEastAsia" w:eastAsiaTheme="minorEastAsia"/>
          <w:szCs w:val="21"/>
          <w:u w:val="single"/>
        </w:rPr>
        <w:t xml:space="preserve">6</w:t>
      </w:r>
      <w:r>
        <w:rPr>
          <w:rFonts w:hint="eastAsia" w:cs="宋体" w:asciiTheme="minorEastAsia" w:hAnsiTheme="minorEastAsia" w:eastAsiaTheme="minorEastAsia"/>
          <w:szCs w:val="21"/>
          <w:u w:val="single"/>
        </w:rPr>
        <w:t xml:space="preserve">月</w:t>
      </w:r>
      <w:r>
        <w:rPr>
          <w:rFonts w:hint="eastAsia" w:cs="宋体" w:asciiTheme="minorEastAsia" w:hAnsiTheme="minorEastAsia" w:eastAsiaTheme="minorEastAsia"/>
          <w:szCs w:val="21"/>
          <w:u w:val="single"/>
        </w:rPr>
        <w:t xml:space="preserve">29</w:t>
      </w:r>
      <w:r>
        <w:rPr>
          <w:rFonts w:hint="eastAsia" w:cs="宋体" w:asciiTheme="minorEastAsia" w:hAnsiTheme="minorEastAsia" w:eastAsiaTheme="minorEastAsia"/>
          <w:szCs w:val="21"/>
          <w:u w:val="single"/>
        </w:rPr>
        <w:t xml:space="preserve">日13点30分</w:t>
      </w:r>
      <w:bookmarkEnd w:id="4"/>
      <w:r>
        <w:rPr>
          <w:rFonts w:hint="eastAsia" w:cs="宋体" w:asciiTheme="minorEastAsia" w:hAnsiTheme="minorEastAsia" w:eastAsiaTheme="minorEastAsia"/>
          <w:bCs/>
          <w:szCs w:val="21"/>
        </w:rPr>
        <w:t xml:space="preserve">（北京时间）前提交响应文件</w:t>
      </w:r>
      <w:r>
        <w:rPr>
          <w:rFonts w:hint="eastAsia" w:cs="宋体" w:asciiTheme="minorEastAsia" w:hAnsiTheme="minorEastAsia" w:eastAsiaTheme="minorEastAsia"/>
          <w:szCs w:val="21"/>
        </w:rPr>
        <w:t xml:space="preserve">。</w:t>
      </w: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一、项目基本情况</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项目编号：JSZC-320507-BZJS-C2026-0001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项目名称：2026年相城经开区无主垃圾清运项目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采购方式：竞争性磋商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预算金额：106.145000万元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最高限价（如有）：单价最高限价：混合垃圾清运为405元/吨；装修建筑垃圾清运为280元/吨；超过单价最高限价的为无效投标；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采购需求：</w:t>
      </w:r>
      <w:r>
        <w:rPr>
          <w:sz w:val="21"/>
          <w:szCs w:val="21"/>
        </w:rPr>
      </w:r>
      <w:r>
        <w:rPr>
          <w:rFonts w:ascii="SimSun" w:hAnsi="SimSun" w:eastAsia="SimSun" w:cs="SimSun"/>
          <w:color w:val="000000"/>
          <w:sz w:val="21"/>
          <w:szCs w:val="21"/>
        </w:rPr>
        <w:t xml:space="preserve">为保障区域内的地块环境整治工作，对无主工业、建筑垃圾进行清运；</w:t>
      </w:r>
      <w:r>
        <w:rPr>
          <w:sz w:val="21"/>
          <w:szCs w:val="21"/>
        </w:rPr>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合同履行期限：合同签订之日起一年，合同终止条件为服务期限截止（具体以甲方实际通知时间为准）或合同签订后累计完成金额达到本项目采购预算（二者中以先到者为准）；</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本项目（是/否）接受联合体：否 </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二、申请人的资格要求：</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（一）满足《中华人民共和国政府采购法》第二十二条规定：</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1.具有独立承担民事责任的能力；</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2.具有良好的商业信誉和健全的财务会计制度；</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3.具有履行合同所必需的设备和专业技术能力；</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4.有依法缴纳税收和社会保障资金的良好记录；</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5.参加政府采购活动前三年内，在经营活动中没有重大违法记录；</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6.法律、行政法规规定的其他条件；</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（二）落实政府采购政策需满足的资格要求：</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u w:val="none"/>
        </w:rPr>
        <w:t xml:space="preserve">根据《政府采购促进中小企业发展管理办法》的相关规定，本项目专门面向中小企业采购，所属行业为其他未列明行业，投标人必须提供《中小企业声明函》或《残疾人福利性单位声明函》或由省级以上监狱管理局、戒毒管理局（含新疆生产建设兵团）出具的属于监狱企业的证明文件。</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（三）本项目的特定资格要求：</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1.未被“信用中国”网站（www.creditchina.gov.cn）列入失信被执行人、重大税收违法案件当事人名单、政府采购严重失信行为记录名单。</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2.响应单位须在苏州市城市管理局《苏州市区建筑垃圾（装修垃圾）运输企业清单》公告名单目录内</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三、获取采购文件</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时间：自磋商文件公告发布之日起5个工作日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地点：“苏采云”系统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方式：线上 </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售价：0.00元 </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四、响应文件提交</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截止时间：2026-06-29 13:30 （北京时间）</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地点：“苏采云”系统 </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五、开启</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时间：2026-06-29 13:30 （北京时间）</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地点：苏州市市辖区政府采购不见面虚拟开标室 </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六、公告期限</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自本公告发布之日起3个工作日。</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七、其他补充事宜</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1.CA证书办理</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2.参与采购活动</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3.电子投标准备</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在系统操作过程中如有疑问，请按以下方式联系：</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注册咨询：18261002950；</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CA技术咨询电话：400-608-6099；</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签章使用问题：025-83633811、025-83633812、15380932027、15371015030；</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系统使用指导与咨询：联系电话：18261002950；QQ：3048755361、1315179389、895706745。</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智能客服：登录苏采云系统后，联系系统右下方智能客服图标进行咨询。</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请供应商确保电脑、系统及其他设备（视频输入输出设备等）无误，且开启直至项目结束始终保持系统在线状态。</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6.本项目获取采购文件截止日期之后仍可以下载采购文件，但截止日期之后下载的采购文件，视为非有效方式且不作为供应商权益受到损害的证明材料和依据。</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7.本次采购的有关信息将同时在苏州市政府采购网、江苏政府采购网上发布，敬请留意。</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8.政府采购监督电话：0512-67591005/67591006。</w:t>
      </w:r>
      <w:r>
        <w:rPr>
          <w:sz w:val="21"/>
          <w:szCs w:val="21"/>
        </w:rPr>
      </w:r>
    </w:p>
    <w:p>
      <w:pPr>
        <w:ind w:left="0" w:right="0" w:firstLine="482"/>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八、凡对本次采购提出询问，请按以下方式联系。</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1.采购人信息</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单位名称：苏州相城经济技术开发区管理委员会</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单位地址：蠡塘河路900号</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联系人：赵敏华</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联系电话：0512-66180139</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2.采购代理机构信息（如有）</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单位名称：苏州市保泽建设项目管理有限公司</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单位地址：苏州市吴中区太湖东路28号</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联系人：徐霄晨</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联系电话：0512-65109581</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3.项目联系方式</w:t>
      </w:r>
      <w:r>
        <w:rPr>
          <w:sz w:val="21"/>
          <w:szCs w:val="21"/>
        </w:rPr>
      </w:r>
    </w:p>
    <w:p>
      <w:pPr>
        <w:ind w:left="0" w:right="0" w:firstLine="480"/>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项目联系人：徐霄晨</w:t>
      </w:r>
      <w:r>
        <w:rPr>
          <w:sz w:val="21"/>
          <w:szCs w:val="21"/>
        </w:rPr>
      </w:r>
    </w:p>
    <w:p>
      <w:pPr>
        <w:ind w:firstLine="420"/>
        <w:jc w:val="left"/>
        <w:spacing w:line="360" w:lineRule="auto"/>
        <w:widowControl/>
        <w:rPr>
          <w:rFonts w:hint="eastAsia" w:ascii="宋体" w:hAnsi="宋体"/>
          <w:sz w:val="21"/>
          <w:szCs w:val="21"/>
        </w:rPr>
      </w:pPr>
      <w:r>
        <w:rPr>
          <w:rFonts w:ascii="SimSun" w:hAnsi="SimSun" w:eastAsia="SimSun" w:cs="SimSun"/>
          <w:color w:val="000000"/>
          <w:sz w:val="21"/>
          <w:szCs w:val="21"/>
        </w:rPr>
        <w:t xml:space="preserve">电话：0512-65109581</w:t>
      </w:r>
      <w:r>
        <w:rPr>
          <w:rFonts w:hint="eastAsia" w:ascii="宋体" w:hAnsi="宋体"/>
          <w:sz w:val="21"/>
          <w:szCs w:val="21"/>
        </w:rPr>
      </w:r>
      <w:r>
        <w:rPr>
          <w:sz w:val="21"/>
          <w:szCs w:val="21"/>
        </w:rPr>
      </w:r>
    </w:p>
    <w:p>
      <w:pPr>
        <w:rPr>
          <w:rFonts w:hint="eastAsia"/>
        </w:rPr>
      </w:pPr>
      <w:r>
        <w:rPr>
          <w:rFonts w:hint="eastAsia"/>
        </w:rPr>
      </w:r>
      <w:r/>
    </w:p>
    <w:p>
      <w:pPr>
        <w:pStyle w:val="727"/>
        <w:rPr>
          <w:rFonts w:hint="eastAsia"/>
        </w:rPr>
      </w:pPr>
      <w:r/>
      <w:bookmarkStart w:id="23" w:name="_Toc484503768"/>
      <w:r>
        <w:rPr>
          <w:rFonts w:hint="eastAsia"/>
        </w:rPr>
        <w:t xml:space="preserve">第二章</w:t>
      </w:r>
      <w:bookmarkEnd w:id="23"/>
      <w:r>
        <w:rPr>
          <w:rFonts w:hint="eastAsia"/>
        </w:rPr>
        <w:t xml:space="preserve">采购需求</w:t>
      </w:r>
      <w:r/>
    </w:p>
    <w:p>
      <w:pPr>
        <w:ind w:firstLine="420"/>
        <w:jc w:val="left"/>
        <w:spacing w:line="360" w:lineRule="auto"/>
        <w:widowControl/>
        <w:rPr>
          <w:rFonts w:hint="eastAsia" w:ascii="宋体" w:hAnsi="宋体"/>
          <w:szCs w:val="21"/>
        </w:rPr>
      </w:pPr>
      <w:r>
        <w:rPr>
          <w:rFonts w:hint="eastAsia" w:ascii="宋体" w:hAnsi="宋体"/>
          <w:szCs w:val="21"/>
        </w:rPr>
        <w:t xml:space="preserve">苏州市保泽建设管理有限公司受苏州相城经济技术开发区管理委员会的委托，就其所需2026年相城经开区无主垃圾清运项目采用竞争性磋商方式进行采购。</w:t>
      </w:r>
      <w:r/>
    </w:p>
    <w:p>
      <w:pPr>
        <w:ind w:firstLine="422"/>
        <w:jc w:val="left"/>
        <w:spacing w:line="360" w:lineRule="auto"/>
        <w:widowControl/>
        <w:rPr>
          <w:rFonts w:hint="eastAsia" w:ascii="宋体" w:hAnsi="宋体"/>
          <w:b/>
          <w:szCs w:val="21"/>
        </w:rPr>
      </w:pPr>
      <w:r>
        <w:rPr>
          <w:rFonts w:hint="eastAsia" w:ascii="宋体" w:hAnsi="宋体"/>
          <w:b/>
          <w:szCs w:val="21"/>
        </w:rPr>
        <w:t xml:space="preserve">一、磋商编号：</w:t>
      </w:r>
      <w:r>
        <w:rPr>
          <w:rFonts w:hint="eastAsia" w:ascii="宋体" w:hAnsi="宋体"/>
          <w:szCs w:val="21"/>
        </w:rPr>
        <w:t xml:space="preserve">JSZC-320507-BZJS-C2026-0001</w:t>
      </w:r>
      <w:r>
        <w:rPr>
          <w:rFonts w:hint="eastAsia" w:ascii="宋体" w:hAnsi="宋体"/>
          <w:szCs w:val="21"/>
        </w:rPr>
        <w:t xml:space="preserve">号</w:t>
      </w:r>
      <w:r>
        <w:rPr>
          <w:rFonts w:hint="eastAsia" w:ascii="宋体" w:hAnsi="宋体"/>
          <w:b/>
          <w:szCs w:val="21"/>
        </w:rPr>
        <w:t xml:space="preserve"> </w:t>
      </w:r>
      <w:r/>
    </w:p>
    <w:p>
      <w:pPr>
        <w:ind w:firstLine="422"/>
        <w:jc w:val="left"/>
        <w:spacing w:line="360" w:lineRule="auto"/>
        <w:widowControl/>
        <w:rPr>
          <w:rFonts w:hint="eastAsia" w:ascii="宋体" w:hAnsi="宋体"/>
          <w:b/>
          <w:szCs w:val="21"/>
        </w:rPr>
      </w:pPr>
      <w:r>
        <w:rPr>
          <w:rFonts w:hint="eastAsia" w:ascii="宋体" w:hAnsi="宋体"/>
          <w:b/>
          <w:szCs w:val="21"/>
        </w:rPr>
        <w:t xml:space="preserve">二、采购方式：</w:t>
      </w:r>
      <w:r>
        <w:rPr>
          <w:rFonts w:hint="eastAsia" w:ascii="宋体" w:hAnsi="宋体"/>
          <w:szCs w:val="21"/>
        </w:rPr>
        <w:t xml:space="preserve">竞争性磋商采购</w:t>
      </w:r>
      <w:r/>
    </w:p>
    <w:p>
      <w:pPr>
        <w:ind w:firstLine="422"/>
        <w:jc w:val="left"/>
        <w:spacing w:line="360" w:lineRule="auto"/>
        <w:widowControl/>
        <w:rPr>
          <w:rFonts w:hint="eastAsia" w:ascii="宋体" w:hAnsi="宋体"/>
          <w:szCs w:val="21"/>
        </w:rPr>
      </w:pPr>
      <w:r>
        <w:rPr>
          <w:rFonts w:hint="eastAsia" w:ascii="宋体" w:hAnsi="宋体"/>
          <w:b/>
          <w:szCs w:val="21"/>
        </w:rPr>
        <w:t xml:space="preserve">三、采购项目名称：</w:t>
      </w:r>
      <w:r>
        <w:rPr>
          <w:rFonts w:hint="eastAsia" w:ascii="宋体" w:hAnsi="宋体"/>
          <w:szCs w:val="21"/>
        </w:rPr>
        <w:t xml:space="preserve">2026年相城经开区无主垃圾清运项目</w:t>
      </w:r>
      <w:r/>
    </w:p>
    <w:p>
      <w:pPr>
        <w:ind w:firstLine="422"/>
        <w:jc w:val="left"/>
        <w:spacing w:line="360" w:lineRule="auto"/>
        <w:widowControl/>
        <w:rPr>
          <w:rFonts w:hint="eastAsia" w:ascii="宋体" w:hAnsi="宋体"/>
          <w:b/>
          <w:szCs w:val="21"/>
        </w:rPr>
      </w:pPr>
      <w:r>
        <w:rPr>
          <w:rFonts w:hint="eastAsia" w:ascii="宋体" w:hAnsi="宋体"/>
          <w:b/>
          <w:szCs w:val="21"/>
        </w:rPr>
        <w:t xml:space="preserve">四、采购清单及服务要求：</w:t>
      </w:r>
      <w:r/>
    </w:p>
    <w:p>
      <w:pPr>
        <w:ind w:firstLine="420"/>
        <w:jc w:val="left"/>
        <w:spacing w:line="360" w:lineRule="auto"/>
        <w:widowControl/>
        <w:rPr>
          <w:rFonts w:hint="eastAsia" w:ascii="宋体" w:hAnsi="宋体"/>
          <w:szCs w:val="21"/>
        </w:rPr>
      </w:pPr>
      <w:r>
        <w:rPr>
          <w:rFonts w:hint="eastAsia" w:ascii="宋体" w:hAnsi="宋体"/>
          <w:szCs w:val="21"/>
        </w:rPr>
        <w:t xml:space="preserve">（一）服务需求：为保障区域内的地块环境整治工作，对无主工业、建筑垃圾进行清运；</w:t>
      </w:r>
      <w:r/>
    </w:p>
    <w:p>
      <w:pPr>
        <w:ind w:firstLine="420"/>
        <w:jc w:val="left"/>
        <w:spacing w:line="360" w:lineRule="auto"/>
        <w:widowControl/>
        <w:rPr>
          <w:rFonts w:hint="eastAsia" w:ascii="宋体" w:hAnsi="宋体"/>
          <w:szCs w:val="21"/>
        </w:rPr>
      </w:pPr>
      <w:r>
        <w:rPr>
          <w:rFonts w:hint="eastAsia" w:ascii="宋体" w:hAnsi="宋体"/>
          <w:szCs w:val="21"/>
        </w:rPr>
        <w:t xml:space="preserve">（二）服务清单：</w:t>
      </w:r>
      <w:r/>
    </w:p>
    <w:tbl>
      <w:tblPr>
        <w:tblW w:w="9418" w:type="dxa"/>
        <w:tblInd w:w="93" w:type="dxa"/>
        <w:tblLook w:val="04A0" w:firstRow="1" w:lastRow="0" w:firstColumn="1" w:lastColumn="0" w:noHBand="0" w:noVBand="1"/>
      </w:tblPr>
      <w:tblGrid>
        <w:gridCol w:w="1149"/>
        <w:gridCol w:w="7181"/>
        <w:gridCol w:w="616"/>
        <w:gridCol w:w="472"/>
      </w:tblGrid>
      <w:tr>
        <w:trPr>
          <w:trHeight w:val="806"/>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项目名称</w:t>
            </w:r>
            <w:r/>
          </w:p>
        </w:tc>
        <w:tc>
          <w:tcPr>
            <w:tcBorders>
              <w:top w:val="single" w:color="auto" w:sz="4" w:space="0"/>
              <w:left w:val="none" w:color="000000" w:sz="4" w:space="0"/>
              <w:bottom w:val="single" w:color="auto" w:sz="4" w:space="0"/>
              <w:right w:val="single" w:color="auto" w:sz="4" w:space="0"/>
            </w:tcBorders>
            <w:tcW w:w="718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工作内容及特征描述</w:t>
            </w:r>
            <w:r/>
          </w:p>
        </w:tc>
        <w:tc>
          <w:tcPr>
            <w:tcBorders>
              <w:top w:val="single" w:color="auto" w:sz="4" w:space="0"/>
              <w:left w:val="none" w:color="000000" w:sz="4" w:space="0"/>
              <w:bottom w:val="single" w:color="auto" w:sz="4" w:space="0"/>
              <w:right w:val="single" w:color="auto" w:sz="4" w:space="0"/>
            </w:tcBorders>
            <w:tcW w:w="61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暂估数量</w:t>
            </w:r>
            <w:r/>
          </w:p>
        </w:tc>
        <w:tc>
          <w:tcPr>
            <w:tcBorders>
              <w:top w:val="single" w:color="auto" w:sz="4" w:space="0"/>
              <w:left w:val="none" w:color="000000" w:sz="4" w:space="0"/>
              <w:bottom w:val="single" w:color="auto" w:sz="4" w:space="0"/>
              <w:right w:val="single" w:color="auto" w:sz="4" w:space="0"/>
            </w:tcBorders>
            <w:tcW w:w="472"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单位</w:t>
            </w:r>
            <w:r/>
          </w:p>
        </w:tc>
      </w:tr>
      <w:tr>
        <w:trPr>
          <w:trHeight w:val="3453"/>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装修建筑垃圾清运</w:t>
            </w:r>
            <w:r/>
          </w:p>
        </w:tc>
        <w:tc>
          <w:tcPr>
            <w:tcBorders>
              <w:top w:val="none" w:color="000000" w:sz="4" w:space="0"/>
              <w:left w:val="none" w:color="000000" w:sz="4" w:space="0"/>
              <w:bottom w:val="single" w:color="auto" w:sz="4" w:space="0"/>
              <w:right w:val="single" w:color="auto" w:sz="4" w:space="0"/>
            </w:tcBorders>
            <w:tcW w:w="7181"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（1）负责清理、收集采购要求服务范围内分散的装修建筑垃圾如：砖块、水泥块、瓷砖、地砖、加气块、石膏板、抽水马桶、碎玻璃、装修木线条、地板、小型木料、装料包装袋等。 </w:t>
            </w:r>
            <w:r>
              <w:rPr>
                <w:rFonts w:hint="eastAsia" w:ascii="宋体" w:hAnsi="宋体" w:cs="宋体"/>
                <w:sz w:val="20"/>
                <w:szCs w:val="20"/>
              </w:rPr>
              <w:br/>
              <w:t xml:space="preserve">（2）机械设备进场：场地须配备挖掘机、重型载货专项作业车、压缩设备、地磅，并配备环境保护需要的路面清洗设备、防扬尘设备及除臭设备等。（地磅由采购人指定,并由采购双方做好计量工作）</w:t>
            </w:r>
            <w:r>
              <w:rPr>
                <w:rFonts w:hint="eastAsia" w:ascii="宋体" w:hAnsi="宋体" w:cs="宋体"/>
                <w:sz w:val="20"/>
                <w:szCs w:val="20"/>
              </w:rPr>
              <w:br/>
              <w:t xml:space="preserve">（3）分拣、机械装车：采用铲车、</w:t>
            </w:r>
            <w:r>
              <w:rPr>
                <w:rFonts w:hint="eastAsia" w:ascii="宋体" w:hAnsi="宋体" w:cs="宋体"/>
                <w:sz w:val="20"/>
                <w:szCs w:val="20"/>
              </w:rPr>
              <w:t xml:space="preserve">挖机等</w:t>
            </w:r>
            <w:r>
              <w:rPr>
                <w:rFonts w:hint="eastAsia" w:ascii="宋体" w:hAnsi="宋体" w:cs="宋体"/>
                <w:sz w:val="20"/>
                <w:szCs w:val="20"/>
              </w:rPr>
              <w:t xml:space="preserve">机械及人工进行分拣，并将轻质垃圾压缩打包，分拣后的垃圾全部用重型载货车辆装运。</w:t>
            </w:r>
            <w:r>
              <w:rPr>
                <w:rFonts w:hint="eastAsia" w:ascii="宋体" w:hAnsi="宋体" w:cs="宋体"/>
                <w:sz w:val="20"/>
                <w:szCs w:val="20"/>
              </w:rPr>
              <w:br/>
              <w:t xml:space="preserve">（4）车辆运输：车辆装车并过磅完毕后，将垃圾运输到指定的垃圾处置地点。</w:t>
            </w:r>
            <w:r>
              <w:rPr>
                <w:rFonts w:hint="eastAsia" w:ascii="宋体" w:hAnsi="宋体" w:cs="宋体"/>
                <w:sz w:val="20"/>
                <w:szCs w:val="20"/>
              </w:rPr>
              <w:br/>
              <w:t xml:space="preserve">（5）垃圾处理：将可燃烧垃圾运输至电厂并进行无害化处置；将不可焚烧的建筑装修垃圾运送至有资质的建筑垃圾再生资源利用单位进行再生利用处置。                                                      </w:t>
            </w:r>
            <w:r/>
          </w:p>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790</w:t>
            </w:r>
            <w:r/>
          </w:p>
        </w:tc>
        <w:tc>
          <w:tcPr>
            <w:tcBorders>
              <w:top w:val="none" w:color="000000" w:sz="4" w:space="0"/>
              <w:left w:val="none" w:color="000000" w:sz="4" w:space="0"/>
              <w:bottom w:val="single" w:color="auto" w:sz="4" w:space="0"/>
              <w:right w:val="single" w:color="auto" w:sz="4" w:space="0"/>
            </w:tcBorders>
            <w:tcW w:w="47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吨</w:t>
            </w:r>
            <w:r/>
          </w:p>
        </w:tc>
      </w:tr>
      <w:tr>
        <w:trPr>
          <w:trHeight w:val="4373"/>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混合垃圾清运</w:t>
            </w:r>
            <w:r/>
          </w:p>
        </w:tc>
        <w:tc>
          <w:tcPr>
            <w:tcBorders>
              <w:top w:val="none" w:color="000000" w:sz="4" w:space="0"/>
              <w:left w:val="none" w:color="000000" w:sz="4" w:space="0"/>
              <w:bottom w:val="single" w:color="auto" w:sz="4" w:space="0"/>
              <w:right w:val="single" w:color="auto" w:sz="4" w:space="0"/>
            </w:tcBorders>
            <w:tcW w:w="7181"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（1）负责清理、收集采购要求服务范围内分散的混合垃圾如：                    </w:t>
            </w:r>
            <w:r>
              <w:rPr>
                <w:rFonts w:hint="eastAsia" w:ascii="宋体" w:hAnsi="宋体" w:cs="宋体"/>
                <w:sz w:val="20"/>
                <w:szCs w:val="20"/>
              </w:rPr>
              <w:br/>
              <w:t xml:space="preserve">不可利用泥土，绿化垃圾包括不限于树叶、树枝等，生活垃圾包括不限于纤维类垃圾、餐厨垃圾、白色垃圾等，工业及有害垃圾包括不限于油漆桶、香蕉水桶、废电池、化妆品、药品及化学品外包装等，大件垃圾包括不限于床垫、木柜、木架、大木板、广告布等。</w:t>
            </w:r>
            <w:r>
              <w:rPr>
                <w:rFonts w:hint="eastAsia" w:ascii="宋体" w:hAnsi="宋体" w:cs="宋体"/>
                <w:sz w:val="20"/>
                <w:szCs w:val="20"/>
              </w:rPr>
              <w:br/>
              <w:t xml:space="preserve">（2）机械设备进场：</w:t>
            </w:r>
            <w:r>
              <w:rPr>
                <w:rFonts w:hint="eastAsia" w:ascii="宋体" w:hAnsi="宋体" w:cs="宋体"/>
                <w:sz w:val="20"/>
                <w:szCs w:val="20"/>
              </w:rPr>
              <w:br/>
              <w:t xml:space="preserve">场地须配备挖掘机、重型载货专项作业车、压缩设备、地磅，并配备环境保护需要的路面清洗设备、防扬尘设备及除臭设备等。（地磅由采购人指定,并由采购双方做好计量工作）</w:t>
            </w:r>
            <w:r>
              <w:rPr>
                <w:rFonts w:hint="eastAsia" w:ascii="宋体" w:hAnsi="宋体" w:cs="宋体"/>
                <w:sz w:val="20"/>
                <w:szCs w:val="20"/>
              </w:rPr>
              <w:br/>
              <w:t xml:space="preserve">（3）分拣、机械装车：</w:t>
            </w:r>
            <w:r>
              <w:rPr>
                <w:rFonts w:hint="eastAsia" w:ascii="宋体" w:hAnsi="宋体" w:cs="宋体"/>
                <w:sz w:val="20"/>
                <w:szCs w:val="20"/>
              </w:rPr>
              <w:br/>
              <w:t xml:space="preserve">采用铲车、挖机、重型载货等机械车辆装车并过磅完毕后，运至临时集中堆放点进行机械及人工进行分拣，并将各类垃圾压缩打包，然后把各类垃圾全部用重型载货车辆装运。</w:t>
            </w:r>
            <w:r>
              <w:rPr>
                <w:rFonts w:hint="eastAsia" w:ascii="宋体" w:hAnsi="宋体" w:cs="宋体"/>
                <w:sz w:val="20"/>
                <w:szCs w:val="20"/>
              </w:rPr>
              <w:br/>
              <w:t xml:space="preserve">（4）车辆运输：</w:t>
            </w:r>
            <w:r>
              <w:rPr>
                <w:rFonts w:hint="eastAsia" w:ascii="宋体" w:hAnsi="宋体" w:cs="宋体"/>
                <w:sz w:val="20"/>
                <w:szCs w:val="20"/>
              </w:rPr>
              <w:br/>
              <w:t xml:space="preserve">所有垃圾用重型载货运输到指定的垃圾处置地点。</w:t>
            </w:r>
            <w:r>
              <w:rPr>
                <w:rFonts w:hint="eastAsia" w:ascii="宋体" w:hAnsi="宋体" w:cs="宋体"/>
                <w:sz w:val="20"/>
                <w:szCs w:val="20"/>
              </w:rPr>
              <w:br/>
              <w:t xml:space="preserve">（5）垃圾处理：                                                              </w:t>
            </w:r>
            <w:r>
              <w:rPr>
                <w:rFonts w:hint="eastAsia" w:ascii="宋体" w:hAnsi="宋体" w:cs="宋体"/>
                <w:sz w:val="20"/>
                <w:szCs w:val="20"/>
              </w:rPr>
              <w:br/>
              <w:t xml:space="preserve">将可燃烧垃圾运输至电厂并进行无害化处置；将少部分的混合垃圾（如大件垃圾等）经拆解后，再运送至有资质再生资源利用单位进行再生无害化处置。</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2150</w:t>
            </w:r>
            <w:r/>
          </w:p>
        </w:tc>
        <w:tc>
          <w:tcPr>
            <w:tcBorders>
              <w:top w:val="none" w:color="000000" w:sz="4" w:space="0"/>
              <w:left w:val="none" w:color="000000" w:sz="4" w:space="0"/>
              <w:bottom w:val="single" w:color="auto" w:sz="4" w:space="0"/>
              <w:right w:val="single" w:color="auto" w:sz="4" w:space="0"/>
            </w:tcBorders>
            <w:tcW w:w="472"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吨</w:t>
            </w:r>
            <w:r/>
          </w:p>
        </w:tc>
      </w:tr>
    </w:tbl>
    <w:p>
      <w:pPr>
        <w:ind w:firstLine="420"/>
        <w:jc w:val="left"/>
        <w:spacing w:line="360" w:lineRule="auto"/>
        <w:widowControl/>
        <w:rPr>
          <w:rFonts w:hint="eastAsia" w:ascii="宋体" w:hAnsi="宋体"/>
          <w:szCs w:val="21"/>
        </w:rPr>
      </w:pPr>
      <w:r>
        <w:rPr>
          <w:rFonts w:hint="eastAsia" w:ascii="宋体" w:hAnsi="宋体"/>
          <w:szCs w:val="21"/>
        </w:rPr>
      </w:r>
      <w:r/>
    </w:p>
    <w:p>
      <w:pPr>
        <w:ind w:firstLine="420"/>
        <w:jc w:val="left"/>
        <w:spacing w:line="360" w:lineRule="auto"/>
        <w:widowControl/>
        <w:rPr>
          <w:rFonts w:hint="eastAsia" w:ascii="宋体" w:hAnsi="宋体"/>
          <w:szCs w:val="21"/>
        </w:rPr>
      </w:pPr>
      <w:r>
        <w:rPr>
          <w:rFonts w:hint="eastAsia" w:ascii="宋体" w:hAnsi="宋体"/>
          <w:szCs w:val="21"/>
        </w:rPr>
        <w:t xml:space="preserve">（三）作业流程：</w:t>
      </w:r>
      <w:r/>
    </w:p>
    <w:p>
      <w:pPr>
        <w:ind w:firstLine="420"/>
        <w:jc w:val="left"/>
        <w:spacing w:line="360" w:lineRule="auto"/>
        <w:widowControl/>
        <w:rPr>
          <w:rFonts w:hint="eastAsia" w:ascii="宋体" w:hAnsi="宋体"/>
          <w:szCs w:val="21"/>
        </w:rPr>
      </w:pPr>
      <w:r>
        <w:rPr>
          <w:rFonts w:hint="eastAsia" w:ascii="宋体" w:hAnsi="宋体"/>
          <w:szCs w:val="21"/>
        </w:rPr>
        <w:t xml:space="preserve">1、机械设备进场：配置</w:t>
      </w:r>
      <w:r>
        <w:rPr>
          <w:rFonts w:hint="eastAsia" w:cs="宋体" w:asciiTheme="minorEastAsia" w:hAnsiTheme="minorEastAsia" w:eastAsiaTheme="minorEastAsia"/>
          <w:szCs w:val="21"/>
        </w:rPr>
        <w:t xml:space="preserve">配备挖掘机、重型载货专项作业车、压缩设备、地磅</w:t>
      </w:r>
      <w:r>
        <w:rPr>
          <w:rFonts w:hint="eastAsia" w:ascii="宋体" w:hAnsi="宋体"/>
          <w:szCs w:val="21"/>
        </w:rPr>
        <w:t xml:space="preserve">等，并配备环境保护需要的除臭设备等。</w:t>
      </w:r>
      <w:r/>
    </w:p>
    <w:p>
      <w:pPr>
        <w:ind w:firstLine="420"/>
        <w:jc w:val="left"/>
        <w:spacing w:line="360" w:lineRule="auto"/>
        <w:widowControl/>
        <w:rPr>
          <w:rFonts w:hint="eastAsia" w:ascii="宋体" w:hAnsi="宋体"/>
          <w:szCs w:val="21"/>
        </w:rPr>
      </w:pPr>
      <w:r>
        <w:rPr>
          <w:rFonts w:hint="eastAsia" w:ascii="宋体" w:hAnsi="宋体"/>
          <w:szCs w:val="21"/>
        </w:rPr>
        <w:t xml:space="preserve">2、分拣、机械装车：采用机械及人工进行分拣，垃圾用重型载货专项作业车装运。</w:t>
      </w:r>
      <w:r/>
    </w:p>
    <w:p>
      <w:pPr>
        <w:ind w:firstLine="420"/>
        <w:jc w:val="left"/>
        <w:spacing w:line="360" w:lineRule="auto"/>
        <w:widowControl/>
        <w:rPr>
          <w:rFonts w:hint="eastAsia" w:ascii="宋体" w:hAnsi="宋体"/>
          <w:szCs w:val="21"/>
        </w:rPr>
      </w:pPr>
      <w:r>
        <w:rPr>
          <w:rFonts w:hint="eastAsia" w:ascii="宋体" w:hAnsi="宋体"/>
          <w:szCs w:val="21"/>
        </w:rPr>
        <w:t xml:space="preserve">3、车辆运输：配置</w:t>
      </w:r>
      <w:r>
        <w:rPr>
          <w:rFonts w:hint="eastAsia" w:cs="宋体" w:asciiTheme="minorEastAsia" w:hAnsiTheme="minorEastAsia" w:eastAsiaTheme="minorEastAsia"/>
          <w:szCs w:val="21"/>
        </w:rPr>
        <w:t xml:space="preserve">7吨及以上的运输专用车4辆</w:t>
      </w:r>
      <w:r>
        <w:rPr>
          <w:rFonts w:hint="eastAsia" w:ascii="宋体" w:hAnsi="宋体"/>
          <w:szCs w:val="21"/>
        </w:rPr>
        <w:t xml:space="preserve">。车辆装车并过磅完毕后，将垃圾运输到</w:t>
      </w:r>
      <w:r>
        <w:rPr>
          <w:rFonts w:hint="eastAsia" w:cs="宋体" w:asciiTheme="minorEastAsia" w:hAnsiTheme="minorEastAsia" w:eastAsiaTheme="minorEastAsia"/>
          <w:szCs w:val="21"/>
        </w:rPr>
        <w:t xml:space="preserve">合同指定地点</w:t>
      </w:r>
      <w:r>
        <w:rPr>
          <w:rFonts w:hint="eastAsia" w:ascii="宋体" w:hAnsi="宋体"/>
          <w:szCs w:val="21"/>
        </w:rPr>
        <w:t xml:space="preserve">。</w:t>
      </w:r>
      <w:r/>
    </w:p>
    <w:p>
      <w:pPr>
        <w:ind w:firstLine="420"/>
        <w:jc w:val="left"/>
        <w:spacing w:line="360" w:lineRule="auto"/>
        <w:widowControl/>
        <w:rPr>
          <w:rFonts w:hint="eastAsia" w:ascii="宋体" w:hAnsi="宋体"/>
          <w:szCs w:val="21"/>
        </w:rPr>
      </w:pPr>
      <w:r>
        <w:rPr>
          <w:rFonts w:hint="eastAsia" w:ascii="宋体" w:hAnsi="宋体"/>
          <w:szCs w:val="21"/>
        </w:rPr>
        <w:t xml:space="preserve">4、垃圾处置：建筑装修固</w:t>
      </w:r>
      <w:r>
        <w:rPr>
          <w:rFonts w:hint="eastAsia" w:ascii="宋体" w:hAnsi="宋体"/>
          <w:szCs w:val="21"/>
        </w:rPr>
        <w:t xml:space="preserve">废及沉腐</w:t>
      </w:r>
      <w:r>
        <w:rPr>
          <w:rFonts w:hint="eastAsia" w:ascii="宋体" w:hAnsi="宋体"/>
          <w:szCs w:val="21"/>
        </w:rPr>
        <w:t xml:space="preserve">垃圾处置；将少部分的装修垃圾（如大件垃圾等）、建筑垃圾，经拆解后，再运送至有资质再生资源利用单位进行再生无害化处置。</w:t>
      </w:r>
      <w:r/>
    </w:p>
    <w:p>
      <w:pPr>
        <w:ind w:firstLine="420"/>
        <w:jc w:val="left"/>
        <w:spacing w:line="360" w:lineRule="auto"/>
        <w:widowControl/>
        <w:rPr>
          <w:rFonts w:hint="eastAsia" w:ascii="宋体" w:hAnsi="宋体"/>
          <w:szCs w:val="21"/>
        </w:rPr>
      </w:pPr>
      <w:r>
        <w:rPr>
          <w:rFonts w:hint="eastAsia" w:ascii="宋体" w:hAnsi="宋体"/>
          <w:szCs w:val="21"/>
        </w:rPr>
        <w:t xml:space="preserve">（四）垃圾处理具体要求：</w:t>
      </w:r>
      <w:r/>
    </w:p>
    <w:p>
      <w:pPr>
        <w:ind w:firstLine="420"/>
        <w:jc w:val="left"/>
        <w:spacing w:line="360" w:lineRule="auto"/>
        <w:widowControl/>
        <w:rPr>
          <w:rFonts w:hint="eastAsia" w:ascii="宋体" w:hAnsi="宋体"/>
          <w:szCs w:val="21"/>
        </w:rPr>
      </w:pPr>
      <w:r>
        <w:rPr>
          <w:rFonts w:hint="eastAsia" w:ascii="宋体" w:hAnsi="宋体"/>
          <w:szCs w:val="21"/>
        </w:rPr>
        <w:t xml:space="preserve">1、日常运输制度 </w:t>
      </w:r>
      <w:r/>
    </w:p>
    <w:p>
      <w:pPr>
        <w:ind w:firstLine="420"/>
        <w:jc w:val="left"/>
        <w:spacing w:line="360" w:lineRule="auto"/>
        <w:widowControl/>
        <w:rPr>
          <w:rFonts w:hint="eastAsia" w:ascii="宋体" w:hAnsi="宋体"/>
          <w:szCs w:val="21"/>
        </w:rPr>
      </w:pPr>
      <w:r>
        <w:rPr>
          <w:rFonts w:hint="eastAsia" w:ascii="宋体" w:hAnsi="宋体"/>
          <w:szCs w:val="21"/>
        </w:rPr>
        <w:t xml:space="preserve">（1）运输要求：坚持</w:t>
      </w:r>
      <w:r>
        <w:rPr>
          <w:rFonts w:ascii="宋体" w:hAnsi="宋体"/>
          <w:szCs w:val="21"/>
        </w:rPr>
        <w:t xml:space="preserve">“</w:t>
      </w:r>
      <w:r>
        <w:rPr>
          <w:rFonts w:hint="eastAsia" w:ascii="宋体" w:hAnsi="宋体"/>
          <w:szCs w:val="21"/>
        </w:rPr>
        <w:t xml:space="preserve">固定</w:t>
      </w:r>
      <w:r>
        <w:rPr>
          <w:rFonts w:ascii="宋体" w:hAnsi="宋体"/>
          <w:szCs w:val="21"/>
        </w:rPr>
        <w:t xml:space="preserve">”</w:t>
      </w:r>
      <w:r>
        <w:rPr>
          <w:rFonts w:hint="eastAsia" w:ascii="宋体" w:hAnsi="宋体"/>
          <w:szCs w:val="21"/>
        </w:rPr>
        <w:t xml:space="preserve">原则：固定车辆、固定人员（含GPS定位设备）、固定时间、固定路线；认真做好运输、进入电厂过磅记录和及时上报； </w:t>
      </w:r>
      <w:r/>
    </w:p>
    <w:p>
      <w:pPr>
        <w:ind w:firstLine="420"/>
        <w:jc w:val="left"/>
        <w:spacing w:line="360" w:lineRule="auto"/>
        <w:widowControl/>
        <w:rPr>
          <w:rFonts w:hint="eastAsia" w:ascii="宋体" w:hAnsi="宋体"/>
          <w:szCs w:val="21"/>
        </w:rPr>
      </w:pPr>
      <w:r>
        <w:rPr>
          <w:rFonts w:hint="eastAsia" w:ascii="宋体" w:hAnsi="宋体"/>
          <w:szCs w:val="21"/>
        </w:rPr>
        <w:t xml:space="preserve">（2）运输线路范围：建筑装修固</w:t>
      </w:r>
      <w:r>
        <w:rPr>
          <w:rFonts w:hint="eastAsia" w:ascii="宋体" w:hAnsi="宋体"/>
          <w:szCs w:val="21"/>
        </w:rPr>
        <w:t xml:space="preserve">废及沉腐</w:t>
      </w:r>
      <w:r>
        <w:rPr>
          <w:rFonts w:hint="eastAsia" w:ascii="宋体" w:hAnsi="宋体"/>
          <w:szCs w:val="21"/>
        </w:rPr>
        <w:t xml:space="preserve">垃圾处置；将部分的装修垃圾（如大件垃圾等）、建筑垃圾，经拆解后，运输至有资质再生资源利用单位进行再生无害化处置，不得随意外运其它地方处理。 </w:t>
      </w:r>
      <w:r/>
    </w:p>
    <w:p>
      <w:pPr>
        <w:ind w:firstLine="420"/>
        <w:jc w:val="left"/>
        <w:spacing w:line="360" w:lineRule="auto"/>
        <w:widowControl/>
        <w:rPr>
          <w:rFonts w:hint="eastAsia" w:ascii="宋体" w:hAnsi="宋体"/>
          <w:szCs w:val="21"/>
        </w:rPr>
      </w:pPr>
      <w:r>
        <w:rPr>
          <w:rFonts w:hint="eastAsia" w:ascii="宋体" w:hAnsi="宋体"/>
          <w:szCs w:val="21"/>
        </w:rPr>
        <w:t xml:space="preserve">（3）运输内容：采购人指定区域范围内的混合垃圾。</w:t>
      </w:r>
      <w:r/>
    </w:p>
    <w:p>
      <w:pPr>
        <w:ind w:firstLine="420"/>
        <w:jc w:val="left"/>
        <w:spacing w:line="360" w:lineRule="auto"/>
        <w:widowControl/>
        <w:rPr>
          <w:rFonts w:hint="eastAsia" w:ascii="宋体" w:hAnsi="宋体"/>
          <w:szCs w:val="21"/>
        </w:rPr>
      </w:pPr>
      <w:r>
        <w:rPr>
          <w:rFonts w:hint="eastAsia" w:ascii="宋体" w:hAnsi="宋体"/>
          <w:szCs w:val="21"/>
        </w:rPr>
        <w:t xml:space="preserve">2、混合垃圾外运及处置长效机制 </w:t>
      </w:r>
      <w:r/>
    </w:p>
    <w:p>
      <w:pPr>
        <w:ind w:firstLine="420"/>
        <w:jc w:val="left"/>
        <w:spacing w:line="360" w:lineRule="auto"/>
        <w:widowControl/>
        <w:rPr>
          <w:rFonts w:hint="eastAsia" w:ascii="宋体" w:hAnsi="宋体"/>
          <w:szCs w:val="21"/>
        </w:rPr>
      </w:pPr>
      <w:r>
        <w:rPr>
          <w:rFonts w:hint="eastAsia" w:ascii="宋体" w:hAnsi="宋体"/>
          <w:szCs w:val="21"/>
        </w:rPr>
        <w:t xml:space="preserve">（1）限时承诺办结制度：针对运输过程中出现的车辆抛锚、交通事故等意外情况，在限定时间内及时处理完成。遇省、市、区等举行大型活动或其他创建突击活动时，乙方必须服从甲方的统一调配，安全、优质地开展处置工作，并承担处置中的安全责任。 </w:t>
      </w:r>
      <w:r/>
    </w:p>
    <w:p>
      <w:pPr>
        <w:ind w:firstLine="420"/>
        <w:jc w:val="left"/>
        <w:spacing w:line="360" w:lineRule="auto"/>
        <w:widowControl/>
        <w:rPr>
          <w:rFonts w:hint="eastAsia" w:ascii="宋体" w:hAnsi="宋体"/>
          <w:szCs w:val="21"/>
        </w:rPr>
      </w:pPr>
      <w:r>
        <w:rPr>
          <w:rFonts w:hint="eastAsia" w:ascii="宋体" w:hAnsi="宋体"/>
          <w:szCs w:val="21"/>
        </w:rPr>
        <w:t xml:space="preserve">（2）内业资料同步制度 </w:t>
      </w:r>
      <w:r/>
    </w:p>
    <w:p>
      <w:pPr>
        <w:ind w:firstLine="420"/>
        <w:jc w:val="left"/>
        <w:spacing w:line="360" w:lineRule="auto"/>
        <w:widowControl/>
        <w:rPr>
          <w:rFonts w:hint="eastAsia" w:ascii="宋体" w:hAnsi="宋体"/>
          <w:szCs w:val="21"/>
        </w:rPr>
      </w:pPr>
      <w:r>
        <w:rPr>
          <w:rFonts w:hint="eastAsia" w:ascii="宋体" w:hAnsi="宋体"/>
          <w:szCs w:val="21"/>
        </w:rPr>
        <w:t xml:space="preserve">随着经济的发展、社会的进步，资料的整理归档必须引起足够的重视。日常运输</w:t>
      </w:r>
      <w:r>
        <w:rPr>
          <w:rFonts w:hint="eastAsia" w:ascii="宋体" w:hAnsi="宋体"/>
          <w:szCs w:val="21"/>
        </w:rPr>
        <w:t xml:space="preserve">计量台</w:t>
      </w:r>
      <w:r>
        <w:rPr>
          <w:rFonts w:hint="eastAsia" w:ascii="宋体" w:hAnsi="宋体"/>
          <w:szCs w:val="21"/>
        </w:rPr>
        <w:t xml:space="preserve">账、安全管理检查记录、外运末端进厂过磅记录等材料要齐全。 </w:t>
      </w:r>
      <w:r/>
    </w:p>
    <w:p>
      <w:pPr>
        <w:ind w:firstLine="420"/>
        <w:jc w:val="left"/>
        <w:spacing w:line="360" w:lineRule="auto"/>
        <w:widowControl/>
        <w:rPr>
          <w:rFonts w:hint="eastAsia" w:ascii="宋体" w:hAnsi="宋体"/>
          <w:szCs w:val="21"/>
        </w:rPr>
      </w:pPr>
      <w:r>
        <w:rPr>
          <w:rFonts w:hint="eastAsia" w:ascii="宋体" w:hAnsi="宋体"/>
          <w:szCs w:val="21"/>
        </w:rPr>
        <w:t xml:space="preserve">（3）安全文明作业 </w:t>
      </w:r>
      <w:r/>
    </w:p>
    <w:p>
      <w:pPr>
        <w:ind w:firstLine="420"/>
        <w:jc w:val="left"/>
        <w:spacing w:line="360" w:lineRule="auto"/>
        <w:widowControl/>
        <w:rPr>
          <w:rFonts w:hint="eastAsia" w:ascii="宋体" w:hAnsi="宋体"/>
          <w:szCs w:val="21"/>
        </w:rPr>
      </w:pPr>
      <w:r>
        <w:rPr>
          <w:rFonts w:hint="eastAsia" w:ascii="宋体" w:hAnsi="宋体"/>
          <w:szCs w:val="21"/>
        </w:rPr>
        <w:t xml:space="preserve">服务单位应遵守安全生产有关管理规定，操作人员工作时，必须穿着工作服、增强防毒意识，按规定穿戴好劳动防护用具；处置场地应设置安全警示标志和指示标志，并专人指挥车辆进出，机具操作要严格执行安全操作规定，确保安全，场地应做好。 </w:t>
      </w:r>
      <w:r/>
    </w:p>
    <w:p>
      <w:pPr>
        <w:ind w:firstLine="420"/>
        <w:jc w:val="left"/>
        <w:spacing w:line="360" w:lineRule="auto"/>
        <w:widowControl/>
        <w:rPr>
          <w:rFonts w:hint="eastAsia" w:ascii="宋体" w:hAnsi="宋体"/>
          <w:szCs w:val="21"/>
        </w:rPr>
      </w:pPr>
      <w:r>
        <w:rPr>
          <w:rFonts w:hint="eastAsia" w:ascii="宋体" w:hAnsi="宋体"/>
          <w:szCs w:val="21"/>
        </w:rPr>
        <w:t xml:space="preserve">转运和处置所涉及人员、车辆必须符合国家安监部门相关要求，证照齐全。运输车辆要符合相关部门规定和要求，专业运输必须使用专业运输垃圾的车辆，运输过程中作好密闭运输，严禁抛洒滴漏。 </w:t>
      </w:r>
      <w:r/>
    </w:p>
    <w:p>
      <w:pPr>
        <w:ind w:firstLine="420"/>
        <w:jc w:val="left"/>
        <w:spacing w:line="360" w:lineRule="auto"/>
        <w:widowControl/>
        <w:rPr>
          <w:rFonts w:hint="eastAsia" w:ascii="宋体" w:hAnsi="宋体"/>
          <w:szCs w:val="21"/>
        </w:rPr>
      </w:pPr>
      <w:r>
        <w:rPr>
          <w:rFonts w:hint="eastAsia" w:ascii="宋体" w:hAnsi="宋体"/>
          <w:szCs w:val="21"/>
        </w:rPr>
        <w:t xml:space="preserve">（4）处置场地做到： </w:t>
      </w:r>
      <w:r/>
    </w:p>
    <w:p>
      <w:pPr>
        <w:ind w:firstLine="420"/>
        <w:jc w:val="left"/>
        <w:spacing w:line="360" w:lineRule="auto"/>
        <w:widowControl/>
        <w:rPr>
          <w:rFonts w:hint="eastAsia" w:ascii="宋体" w:hAnsi="宋体"/>
          <w:szCs w:val="21"/>
        </w:rPr>
      </w:pPr>
      <w:r>
        <w:rPr>
          <w:rFonts w:hint="eastAsia" w:ascii="宋体" w:hAnsi="宋体"/>
          <w:szCs w:val="21"/>
        </w:rPr>
        <w:t xml:space="preserve">①保持场内没有蚊蝇滋生地，防止尘土飞扬、污水流溢，每天及时做好消杀除臭工作； </w:t>
      </w:r>
      <w:r/>
    </w:p>
    <w:p>
      <w:pPr>
        <w:ind w:firstLine="420"/>
        <w:jc w:val="left"/>
        <w:spacing w:line="360" w:lineRule="auto"/>
        <w:widowControl/>
        <w:rPr>
          <w:rFonts w:hint="eastAsia" w:ascii="宋体" w:hAnsi="宋体"/>
          <w:szCs w:val="21"/>
        </w:rPr>
      </w:pPr>
      <w:r>
        <w:rPr>
          <w:rFonts w:hint="eastAsia" w:ascii="宋体" w:hAnsi="宋体"/>
          <w:szCs w:val="21"/>
        </w:rPr>
        <w:t xml:space="preserve">②保持进场道路整洁、畅通； </w:t>
      </w:r>
      <w:r/>
    </w:p>
    <w:p>
      <w:pPr>
        <w:ind w:firstLine="420"/>
        <w:jc w:val="left"/>
        <w:spacing w:line="360" w:lineRule="auto"/>
        <w:widowControl/>
        <w:rPr>
          <w:rFonts w:hint="eastAsia" w:ascii="宋体" w:hAnsi="宋体"/>
          <w:szCs w:val="21"/>
        </w:rPr>
      </w:pPr>
      <w:r>
        <w:rPr>
          <w:rFonts w:hint="eastAsia" w:ascii="宋体" w:hAnsi="宋体"/>
          <w:szCs w:val="21"/>
        </w:rPr>
        <w:t xml:space="preserve">③混合垃圾需按类分好，便于无害化处置，不得出现混装； </w:t>
      </w:r>
      <w:r/>
    </w:p>
    <w:p>
      <w:pPr>
        <w:ind w:firstLine="420"/>
        <w:jc w:val="left"/>
        <w:spacing w:line="360" w:lineRule="auto"/>
        <w:widowControl/>
        <w:rPr>
          <w:rFonts w:hint="eastAsia" w:ascii="宋体" w:hAnsi="宋体"/>
          <w:szCs w:val="21"/>
        </w:rPr>
      </w:pPr>
      <w:r>
        <w:rPr>
          <w:rFonts w:hint="eastAsia" w:ascii="宋体" w:hAnsi="宋体"/>
          <w:szCs w:val="21"/>
        </w:rPr>
        <w:t xml:space="preserve">④各类车辆进入处置场地，管理人员应做好进场的指挥工作；及时做好运输车辆送往无害化处置场所的垃圾的计量工作； </w:t>
      </w:r>
      <w:r/>
    </w:p>
    <w:p>
      <w:pPr>
        <w:ind w:firstLine="420"/>
        <w:jc w:val="left"/>
        <w:spacing w:line="360" w:lineRule="auto"/>
        <w:widowControl/>
        <w:rPr>
          <w:rFonts w:hint="eastAsia" w:ascii="宋体" w:hAnsi="宋体"/>
          <w:szCs w:val="21"/>
        </w:rPr>
      </w:pPr>
      <w:r>
        <w:rPr>
          <w:rFonts w:hint="eastAsia" w:ascii="宋体" w:hAnsi="宋体"/>
          <w:szCs w:val="21"/>
        </w:rPr>
        <w:t xml:space="preserve">⑤现场应做好卫生管理和安全管理。 </w:t>
      </w:r>
      <w:r/>
    </w:p>
    <w:p>
      <w:pPr>
        <w:ind w:firstLine="420"/>
        <w:jc w:val="left"/>
        <w:spacing w:line="360" w:lineRule="auto"/>
        <w:widowControl/>
        <w:rPr>
          <w:rFonts w:hint="eastAsia" w:ascii="宋体" w:hAnsi="宋体"/>
          <w:szCs w:val="21"/>
        </w:rPr>
      </w:pPr>
      <w:r>
        <w:rPr>
          <w:rFonts w:hint="eastAsia" w:ascii="宋体" w:hAnsi="宋体"/>
          <w:szCs w:val="21"/>
        </w:rPr>
        <w:t xml:space="preserve">（5）购买各类责任保险 </w:t>
      </w:r>
      <w:r/>
    </w:p>
    <w:p>
      <w:pPr>
        <w:ind w:firstLine="42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投标人的作业车辆必须购买第三责任险和工作人员人员意外险。</w:t>
      </w:r>
      <w:r/>
    </w:p>
    <w:p>
      <w:pPr>
        <w:ind w:firstLine="420"/>
        <w:jc w:val="left"/>
        <w:spacing w:line="360" w:lineRule="auto"/>
        <w:widowControl/>
        <w:rPr>
          <w:rFonts w:hint="eastAsia" w:ascii="宋体" w:hAnsi="宋体"/>
          <w:szCs w:val="21"/>
        </w:rPr>
      </w:pPr>
      <w:r>
        <w:rPr>
          <w:rFonts w:hint="eastAsia" w:ascii="宋体" w:hAnsi="宋体"/>
          <w:szCs w:val="21"/>
        </w:rPr>
        <w:t xml:space="preserve">（五）运输方案要求 </w:t>
      </w:r>
      <w:r/>
    </w:p>
    <w:p>
      <w:pPr>
        <w:ind w:firstLine="420"/>
        <w:jc w:val="left"/>
        <w:spacing w:line="360" w:lineRule="auto"/>
        <w:widowControl/>
        <w:rPr>
          <w:rFonts w:hint="eastAsia" w:ascii="宋体" w:hAnsi="宋体"/>
          <w:szCs w:val="21"/>
        </w:rPr>
      </w:pPr>
      <w:r>
        <w:rPr>
          <w:rFonts w:hint="eastAsia" w:ascii="宋体" w:hAnsi="宋体"/>
          <w:szCs w:val="21"/>
        </w:rPr>
        <w:t xml:space="preserve">1、运输过程中GPS定位 </w:t>
      </w:r>
      <w:r/>
    </w:p>
    <w:p>
      <w:pPr>
        <w:ind w:firstLine="420"/>
        <w:jc w:val="left"/>
        <w:spacing w:line="360" w:lineRule="auto"/>
        <w:widowControl/>
        <w:rPr>
          <w:rFonts w:hint="eastAsia" w:ascii="宋体" w:hAnsi="宋体"/>
          <w:szCs w:val="21"/>
        </w:rPr>
      </w:pPr>
      <w:r>
        <w:rPr>
          <w:rFonts w:hint="eastAsia" w:ascii="宋体" w:hAnsi="宋体"/>
          <w:szCs w:val="21"/>
        </w:rPr>
        <w:t xml:space="preserve">坚持</w:t>
      </w:r>
      <w:r>
        <w:rPr>
          <w:rFonts w:ascii="宋体" w:hAnsi="宋体"/>
          <w:szCs w:val="21"/>
        </w:rPr>
        <w:t xml:space="preserve">“</w:t>
      </w:r>
      <w:r>
        <w:rPr>
          <w:rFonts w:hint="eastAsia" w:ascii="宋体" w:hAnsi="宋体"/>
          <w:szCs w:val="21"/>
        </w:rPr>
        <w:t xml:space="preserve">固定</w:t>
      </w:r>
      <w:r>
        <w:rPr>
          <w:rFonts w:ascii="宋体" w:hAnsi="宋体"/>
          <w:szCs w:val="21"/>
        </w:rPr>
        <w:t xml:space="preserve">”</w:t>
      </w:r>
      <w:r>
        <w:rPr>
          <w:rFonts w:hint="eastAsia" w:ascii="宋体" w:hAnsi="宋体"/>
          <w:szCs w:val="21"/>
        </w:rPr>
        <w:t xml:space="preserve">原则：固定车辆、固定人员（含GPS定位设备）、固定时间、固定路线；认真做好运输、进入电厂全过程监控管理，每辆运行作业车辆全部安装GPS定位装置，并开启使用，以保障车辆运行、实时动态监督车辆运行状况正常。 </w:t>
      </w:r>
      <w:r/>
    </w:p>
    <w:p>
      <w:pPr>
        <w:ind w:firstLine="420"/>
        <w:jc w:val="left"/>
        <w:spacing w:line="360" w:lineRule="auto"/>
        <w:widowControl/>
        <w:rPr>
          <w:rFonts w:hint="eastAsia" w:ascii="宋体" w:hAnsi="宋体"/>
          <w:szCs w:val="21"/>
        </w:rPr>
      </w:pPr>
      <w:r>
        <w:rPr>
          <w:rFonts w:hint="eastAsia" w:ascii="宋体" w:hAnsi="宋体"/>
          <w:szCs w:val="21"/>
        </w:rPr>
        <w:t xml:space="preserve">车辆运输途中的实时与定位：作业时必须开启GPS定位系统，不得故意损坏GPS设备；遵守交通规则，严禁逆向行驶作业；禁止擅自代工；机械作业行驶过程中不得拨打、接听电话；作业时如发生安全事故，</w:t>
      </w:r>
      <w:r>
        <w:rPr>
          <w:rFonts w:hint="eastAsia" w:ascii="宋体" w:hAnsi="宋体"/>
          <w:szCs w:val="21"/>
        </w:rPr>
        <w:t xml:space="preserve">应第一时间</w:t>
      </w:r>
      <w:r>
        <w:rPr>
          <w:rFonts w:hint="eastAsia" w:ascii="宋体" w:hAnsi="宋体"/>
          <w:szCs w:val="21"/>
        </w:rPr>
        <w:t xml:space="preserve">报警并及时上报；作业过程中停车检查或因其他原因临时停车的，需将警示标志置于有效位置。 </w:t>
      </w:r>
      <w:r/>
    </w:p>
    <w:p>
      <w:pPr>
        <w:ind w:firstLine="420"/>
        <w:jc w:val="left"/>
        <w:spacing w:line="360" w:lineRule="auto"/>
        <w:widowControl/>
        <w:rPr>
          <w:rFonts w:hint="eastAsia" w:ascii="宋体" w:hAnsi="宋体"/>
          <w:szCs w:val="21"/>
        </w:rPr>
      </w:pPr>
      <w:r>
        <w:rPr>
          <w:rFonts w:hint="eastAsia" w:ascii="宋体" w:hAnsi="宋体"/>
          <w:szCs w:val="21"/>
        </w:rPr>
        <w:t xml:space="preserve">GPS定位监管功能：系统中能够为所有作业车辆设定运行路线，并且实时查询到车辆的位置，同时可跟踪指定车辆某段时间的运行轨迹并进行回放。对于偏离了既定线路或超越了作业范围以及超速行驶的车辆，系统将进行报警，报警信息将进行保存，方便日后查询，同时系统能够向指定车辆发送短信。 </w:t>
      </w:r>
      <w:r/>
    </w:p>
    <w:p>
      <w:pPr>
        <w:ind w:firstLine="420"/>
        <w:jc w:val="left"/>
        <w:spacing w:line="360" w:lineRule="auto"/>
        <w:widowControl/>
        <w:rPr>
          <w:rFonts w:hint="eastAsia" w:ascii="宋体" w:hAnsi="宋体"/>
          <w:szCs w:val="21"/>
        </w:rPr>
      </w:pPr>
      <w:r>
        <w:rPr>
          <w:rFonts w:hint="eastAsia" w:ascii="宋体" w:hAnsi="宋体"/>
          <w:szCs w:val="21"/>
        </w:rPr>
        <w:t xml:space="preserve">2、控制抛洒、滴漏和空气污染措施要求 </w:t>
      </w:r>
      <w:r/>
    </w:p>
    <w:p>
      <w:pPr>
        <w:ind w:firstLine="420"/>
        <w:jc w:val="left"/>
        <w:spacing w:line="360" w:lineRule="auto"/>
        <w:widowControl/>
        <w:rPr>
          <w:rFonts w:hint="eastAsia" w:ascii="宋体" w:hAnsi="宋体"/>
          <w:szCs w:val="21"/>
        </w:rPr>
      </w:pPr>
      <w:r>
        <w:rPr>
          <w:rFonts w:hint="eastAsia" w:ascii="宋体" w:hAnsi="宋体"/>
          <w:szCs w:val="21"/>
        </w:rPr>
        <w:t xml:space="preserve">（1）控制抛洒、滴漏措施要求 </w:t>
      </w:r>
      <w:r/>
    </w:p>
    <w:p>
      <w:pPr>
        <w:ind w:firstLine="420"/>
        <w:jc w:val="left"/>
        <w:spacing w:line="360" w:lineRule="auto"/>
        <w:widowControl/>
        <w:rPr>
          <w:rFonts w:hint="eastAsia" w:ascii="宋体" w:hAnsi="宋体"/>
          <w:szCs w:val="21"/>
        </w:rPr>
      </w:pPr>
      <w:r>
        <w:rPr>
          <w:rFonts w:hint="eastAsia" w:ascii="宋体" w:hAnsi="宋体"/>
          <w:szCs w:val="21"/>
        </w:rPr>
        <w:t xml:space="preserve">鉴于混合垃圾成分很多，干垃圾、湿垃圾、油污垃圾等都可能存在，为控制、防范车辆在运输过程中抛洒、滴漏和对空气造成污染的不良影响，对运输车辆的选择配置上、车辆在运输过程中如何控制抛洒、滴漏和空气污染需制定具体措施要求。 </w:t>
      </w:r>
      <w:r/>
    </w:p>
    <w:p>
      <w:pPr>
        <w:ind w:firstLine="420"/>
        <w:jc w:val="left"/>
        <w:spacing w:line="360" w:lineRule="auto"/>
        <w:widowControl/>
        <w:rPr>
          <w:rFonts w:hint="eastAsia" w:ascii="宋体" w:hAnsi="宋体"/>
          <w:szCs w:val="21"/>
        </w:rPr>
      </w:pPr>
      <w:r>
        <w:rPr>
          <w:rFonts w:hint="eastAsia" w:ascii="宋体" w:hAnsi="宋体"/>
          <w:szCs w:val="21"/>
        </w:rPr>
        <w:t xml:space="preserve">控制渗漏液措施：做好垃圾污水渗漏液的防控工作，特别是在垃圾清运运输中不得抛、洒、滴、漏污染路面。 </w:t>
      </w:r>
      <w:r/>
    </w:p>
    <w:p>
      <w:pPr>
        <w:ind w:firstLine="420"/>
        <w:jc w:val="left"/>
        <w:spacing w:line="360" w:lineRule="auto"/>
        <w:widowControl/>
        <w:rPr>
          <w:rFonts w:hint="eastAsia" w:ascii="宋体" w:hAnsi="宋体"/>
          <w:szCs w:val="21"/>
        </w:rPr>
      </w:pPr>
      <w:r>
        <w:rPr>
          <w:rFonts w:hint="eastAsia" w:ascii="宋体" w:hAnsi="宋体"/>
          <w:szCs w:val="21"/>
        </w:rPr>
        <w:t xml:space="preserve">使用符合环保要求的作业车辆：作业所使用的各类车辆必须符合国家规定的废气排放规定的指标。决不使用超标机械作业车辆。 </w:t>
      </w:r>
      <w:r/>
    </w:p>
    <w:p>
      <w:pPr>
        <w:ind w:firstLine="420"/>
        <w:jc w:val="left"/>
        <w:spacing w:line="360" w:lineRule="auto"/>
        <w:widowControl/>
        <w:rPr>
          <w:rFonts w:hint="eastAsia" w:ascii="宋体" w:hAnsi="宋体"/>
          <w:szCs w:val="21"/>
        </w:rPr>
      </w:pPr>
      <w:r>
        <w:rPr>
          <w:rFonts w:hint="eastAsia" w:ascii="宋体" w:hAnsi="宋体"/>
          <w:szCs w:val="21"/>
        </w:rPr>
        <w:t xml:space="preserve">车辆必须符合国家安监部门相关要求，证照齐全。运输车辆要符合相关部门规定和要求，专业运输必须使用专业运输垃圾的车辆，运输过程中作好密闭运输，严禁抛洒滴漏。 </w:t>
      </w:r>
      <w:r/>
    </w:p>
    <w:p>
      <w:pPr>
        <w:ind w:firstLine="420"/>
        <w:jc w:val="left"/>
        <w:spacing w:line="360" w:lineRule="auto"/>
        <w:widowControl/>
        <w:rPr>
          <w:rFonts w:hint="eastAsia" w:ascii="宋体" w:hAnsi="宋体"/>
          <w:szCs w:val="21"/>
        </w:rPr>
      </w:pPr>
      <w:r>
        <w:rPr>
          <w:rFonts w:hint="eastAsia" w:ascii="宋体" w:hAnsi="宋体"/>
          <w:szCs w:val="21"/>
        </w:rPr>
        <w:t xml:space="preserve">运输作业车辆配置污水收集装置，确保完好、运行正常，并及时定点排放污水，严禁污水滴漏污染道路。 </w:t>
      </w:r>
      <w:r/>
    </w:p>
    <w:p>
      <w:pPr>
        <w:ind w:firstLine="420"/>
        <w:jc w:val="left"/>
        <w:spacing w:line="360" w:lineRule="auto"/>
        <w:widowControl/>
        <w:rPr>
          <w:rFonts w:hint="eastAsia" w:ascii="宋体" w:hAnsi="宋体"/>
          <w:szCs w:val="21"/>
        </w:rPr>
      </w:pPr>
      <w:r>
        <w:rPr>
          <w:rFonts w:hint="eastAsia" w:ascii="宋体" w:hAnsi="宋体"/>
          <w:szCs w:val="21"/>
        </w:rPr>
        <w:t xml:space="preserve">经常检查车辆污水排放储存装置，发现渗漏或堵塞及时报修，坚决杜绝车辆在行驶和作业过程中的抛、洒、滴、漏。 </w:t>
      </w:r>
      <w:r/>
    </w:p>
    <w:p>
      <w:pPr>
        <w:ind w:firstLine="420"/>
        <w:jc w:val="left"/>
        <w:spacing w:line="360" w:lineRule="auto"/>
        <w:widowControl/>
        <w:rPr>
          <w:rFonts w:hint="eastAsia" w:ascii="宋体" w:hAnsi="宋体"/>
          <w:szCs w:val="21"/>
        </w:rPr>
      </w:pPr>
      <w:r>
        <w:rPr>
          <w:rFonts w:hint="eastAsia" w:ascii="宋体" w:hAnsi="宋体"/>
          <w:szCs w:val="21"/>
        </w:rPr>
        <w:t xml:space="preserve">（2）控制空气污染具体措施 </w:t>
      </w:r>
      <w:r/>
    </w:p>
    <w:p>
      <w:pPr>
        <w:ind w:firstLine="420"/>
        <w:jc w:val="left"/>
        <w:spacing w:line="360" w:lineRule="auto"/>
        <w:widowControl/>
        <w:rPr>
          <w:rFonts w:hint="eastAsia" w:ascii="宋体" w:hAnsi="宋体"/>
          <w:szCs w:val="21"/>
        </w:rPr>
      </w:pPr>
      <w:r>
        <w:rPr>
          <w:rFonts w:hint="eastAsia" w:ascii="宋体" w:hAnsi="宋体"/>
          <w:szCs w:val="21"/>
        </w:rPr>
        <w:t xml:space="preserve">降尘措施：混合垃圾清运处理工作中必须控制扬尘，在垃圾分拣、装车、运输过程中减少灰尘的飞扬，防止污染环境是垃圾运输环节中必不可少的重要工作。为做好有效的降尘、控制空气污染工作。根据相关作业规定，实施作业现场洒水、雾炮车喷水雾降尘是做好控制空气污染工作的首要保证。</w:t>
      </w:r>
      <w:r/>
    </w:p>
    <w:p>
      <w:pPr>
        <w:ind w:firstLine="420"/>
        <w:jc w:val="left"/>
        <w:spacing w:line="360" w:lineRule="auto"/>
        <w:widowControl/>
        <w:rPr>
          <w:rFonts w:hint="eastAsia" w:ascii="宋体" w:hAnsi="宋体"/>
          <w:szCs w:val="21"/>
        </w:rPr>
      </w:pPr>
      <w:r>
        <w:rPr>
          <w:rFonts w:hint="eastAsia" w:ascii="宋体" w:hAnsi="宋体"/>
          <w:szCs w:val="21"/>
        </w:rPr>
        <w:t xml:space="preserve">（六）其他要求</w:t>
      </w:r>
      <w:r/>
    </w:p>
    <w:p>
      <w:pPr>
        <w:ind w:firstLine="420"/>
        <w:jc w:val="left"/>
        <w:spacing w:line="360" w:lineRule="auto"/>
        <w:widowControl/>
        <w:rPr>
          <w:rFonts w:hint="eastAsia" w:ascii="宋体" w:hAnsi="宋体"/>
          <w:szCs w:val="21"/>
        </w:rPr>
      </w:pPr>
      <w:r>
        <w:rPr>
          <w:rFonts w:hint="eastAsia" w:ascii="宋体" w:hAnsi="宋体"/>
          <w:szCs w:val="21"/>
        </w:rPr>
        <w:t xml:space="preserve">1、成交单位须接受采购单位的监管，并做好服务范围内的垃圾清运及处置服务。</w:t>
      </w:r>
      <w:r/>
    </w:p>
    <w:p>
      <w:pPr>
        <w:ind w:firstLine="420"/>
        <w:jc w:val="left"/>
        <w:spacing w:line="360" w:lineRule="auto"/>
        <w:widowControl/>
        <w:rPr>
          <w:rFonts w:hint="eastAsia" w:ascii="宋体" w:hAnsi="宋体"/>
          <w:szCs w:val="21"/>
        </w:rPr>
      </w:pPr>
      <w:r>
        <w:rPr>
          <w:rFonts w:hint="eastAsia" w:ascii="宋体" w:hAnsi="宋体"/>
          <w:szCs w:val="21"/>
        </w:rPr>
        <w:t xml:space="preserve">2、成交单位根据采购要求，负责作业人员的管理、考勤、考核等；加强与采购单位及作业方的协调、沟通；及时征求采购单位的意见、建议要求，并归纳问题进行分析、研究，制定整改措施并组织落实。</w:t>
      </w:r>
      <w:r/>
    </w:p>
    <w:p>
      <w:pPr>
        <w:ind w:firstLine="420"/>
        <w:jc w:val="left"/>
        <w:spacing w:line="360" w:lineRule="auto"/>
        <w:widowControl/>
        <w:rPr>
          <w:rFonts w:hint="eastAsia" w:ascii="宋体" w:hAnsi="宋体"/>
          <w:szCs w:val="21"/>
        </w:rPr>
      </w:pPr>
      <w:r>
        <w:rPr>
          <w:rFonts w:hint="eastAsia" w:ascii="宋体" w:hAnsi="宋体"/>
          <w:szCs w:val="21"/>
        </w:rPr>
        <w:t xml:space="preserve">3、成交单位需结合现场情况有针对性的建立完善的运行管理制度及工作台帐，</w:t>
      </w:r>
      <w:r>
        <w:rPr>
          <w:rFonts w:hint="eastAsia" w:ascii="宋体" w:hAnsi="宋体"/>
          <w:szCs w:val="21"/>
        </w:rPr>
        <w:t xml:space="preserve">台帐需按照</w:t>
      </w:r>
      <w:r>
        <w:rPr>
          <w:rFonts w:hint="eastAsia" w:ascii="宋体" w:hAnsi="宋体"/>
          <w:szCs w:val="21"/>
        </w:rPr>
        <w:t xml:space="preserve">采购单位相关格式记录。</w:t>
      </w:r>
      <w:r/>
    </w:p>
    <w:p>
      <w:pPr>
        <w:ind w:firstLine="420"/>
        <w:jc w:val="left"/>
        <w:spacing w:line="360" w:lineRule="auto"/>
        <w:widowControl/>
        <w:rPr>
          <w:rFonts w:hint="eastAsia" w:ascii="宋体" w:hAnsi="宋体"/>
          <w:szCs w:val="21"/>
        </w:rPr>
      </w:pPr>
      <w:r>
        <w:rPr>
          <w:rFonts w:hint="eastAsia" w:ascii="宋体" w:hAnsi="宋体"/>
          <w:szCs w:val="21"/>
        </w:rPr>
        <w:t xml:space="preserve">4、结算时出具由采购单位确认的数量核准凭证，双方留存，作为收/付费凭据，具体根据综合单价按实结算。</w:t>
      </w:r>
      <w:r/>
    </w:p>
    <w:p>
      <w:pPr>
        <w:ind w:firstLine="420"/>
        <w:jc w:val="left"/>
        <w:spacing w:line="360" w:lineRule="auto"/>
        <w:widowControl/>
        <w:rPr>
          <w:rFonts w:hint="eastAsia" w:ascii="宋体" w:hAnsi="宋体"/>
          <w:szCs w:val="21"/>
        </w:rPr>
      </w:pPr>
      <w:r>
        <w:rPr>
          <w:rFonts w:hint="eastAsia" w:ascii="宋体" w:hAnsi="宋体"/>
          <w:szCs w:val="21"/>
        </w:rPr>
        <w:t xml:space="preserve">5、成交单位接到采购单位通知后应立即响应，及时下达作业，遇到紧急任务应无条件全力配合采购单位完成应急任务。</w:t>
      </w:r>
      <w:r/>
    </w:p>
    <w:p>
      <w:pPr>
        <w:ind w:firstLine="420"/>
        <w:jc w:val="left"/>
        <w:spacing w:line="360" w:lineRule="auto"/>
        <w:widowControl/>
        <w:rPr>
          <w:rFonts w:hint="eastAsia" w:ascii="宋体" w:hAnsi="宋体"/>
          <w:szCs w:val="21"/>
        </w:rPr>
      </w:pPr>
      <w:r>
        <w:rPr>
          <w:rFonts w:hint="eastAsia" w:ascii="宋体" w:hAnsi="宋体"/>
          <w:szCs w:val="21"/>
        </w:rPr>
        <w:t xml:space="preserve">6、验收标准：按照国家标准及采购文件要求执行。</w:t>
      </w:r>
      <w:r/>
    </w:p>
    <w:p>
      <w:pPr>
        <w:ind w:firstLine="420"/>
        <w:jc w:val="left"/>
        <w:spacing w:line="360" w:lineRule="auto"/>
        <w:widowControl/>
        <w:rPr>
          <w:rFonts w:hint="eastAsia" w:ascii="宋体" w:hAnsi="宋体"/>
          <w:szCs w:val="21"/>
        </w:rPr>
      </w:pPr>
      <w:r>
        <w:rPr>
          <w:rFonts w:hint="eastAsia" w:ascii="宋体" w:hAnsi="宋体"/>
          <w:szCs w:val="21"/>
        </w:rPr>
        <w:t xml:space="preserve">7、成交单位负责车辆运营、进入垃圾处置单位等服务涉及的相关手续办理。</w:t>
      </w:r>
      <w:r/>
    </w:p>
    <w:p>
      <w:pPr>
        <w:ind w:firstLine="420"/>
        <w:jc w:val="left"/>
        <w:spacing w:line="360" w:lineRule="auto"/>
        <w:widowControl/>
        <w:rPr>
          <w:rFonts w:hint="eastAsia" w:ascii="宋体" w:hAnsi="宋体"/>
          <w:szCs w:val="21"/>
        </w:rPr>
      </w:pPr>
      <w:r>
        <w:rPr>
          <w:rFonts w:hint="eastAsia" w:ascii="宋体" w:hAnsi="宋体"/>
          <w:szCs w:val="21"/>
        </w:rPr>
        <w:t xml:space="preserve">8、成交单位应为作业人员提供工作服及必要的劳动防护用品。</w:t>
      </w:r>
      <w:r/>
    </w:p>
    <w:p>
      <w:pPr>
        <w:ind w:firstLine="420"/>
        <w:jc w:val="left"/>
        <w:spacing w:line="360" w:lineRule="auto"/>
        <w:widowControl/>
        <w:rPr>
          <w:rFonts w:hint="eastAsia" w:ascii="宋体" w:hAnsi="宋体"/>
          <w:szCs w:val="21"/>
        </w:rPr>
      </w:pPr>
      <w:r>
        <w:rPr>
          <w:rFonts w:hint="eastAsia" w:ascii="宋体" w:hAnsi="宋体"/>
          <w:szCs w:val="21"/>
        </w:rPr>
        <w:t xml:space="preserve">9、作业服务期内，采购单位根据工作需要召开会议，成交单位负责人必须准时参加。</w:t>
      </w:r>
      <w:r/>
    </w:p>
    <w:p>
      <w:pPr>
        <w:ind w:firstLine="420"/>
        <w:jc w:val="left"/>
        <w:spacing w:line="360" w:lineRule="auto"/>
        <w:widowControl/>
        <w:rPr>
          <w:rFonts w:hint="eastAsia" w:ascii="宋体" w:hAnsi="宋体"/>
          <w:szCs w:val="21"/>
        </w:rPr>
      </w:pPr>
      <w:r>
        <w:rPr>
          <w:rFonts w:hint="eastAsia" w:ascii="宋体" w:hAnsi="宋体"/>
          <w:szCs w:val="21"/>
        </w:rPr>
        <w:t xml:space="preserve">10、机器设备采用符合采购单位要求的专用设备，所有机器设备外观整洁，状况良好。</w:t>
      </w:r>
      <w:r/>
    </w:p>
    <w:p>
      <w:pPr>
        <w:ind w:firstLine="420"/>
        <w:jc w:val="left"/>
        <w:spacing w:line="360" w:lineRule="auto"/>
        <w:widowControl/>
        <w:rPr>
          <w:rFonts w:hint="eastAsia" w:ascii="宋体" w:hAnsi="宋体"/>
          <w:szCs w:val="21"/>
        </w:rPr>
      </w:pPr>
      <w:r>
        <w:rPr>
          <w:rFonts w:hint="eastAsia" w:ascii="宋体" w:hAnsi="宋体"/>
          <w:szCs w:val="21"/>
        </w:rPr>
        <w:t xml:space="preserve">11、专用机器设备必须符合法律法规要求，具备购买或租赁手续，所产生费用及事故责任均</w:t>
      </w:r>
      <w:r>
        <w:rPr>
          <w:rFonts w:hint="eastAsia" w:ascii="宋体" w:hAnsi="宋体"/>
          <w:szCs w:val="21"/>
        </w:rPr>
        <w:t xml:space="preserve">由成交</w:t>
      </w:r>
      <w:r>
        <w:rPr>
          <w:rFonts w:hint="eastAsia" w:ascii="宋体" w:hAnsi="宋体"/>
          <w:szCs w:val="21"/>
        </w:rPr>
        <w:t xml:space="preserve">单位承担。</w:t>
      </w:r>
      <w:r/>
    </w:p>
    <w:p>
      <w:pPr>
        <w:ind w:firstLine="420"/>
        <w:jc w:val="left"/>
        <w:spacing w:line="360" w:lineRule="auto"/>
        <w:widowControl/>
        <w:rPr>
          <w:rFonts w:hint="eastAsia" w:ascii="宋体" w:hAnsi="宋体"/>
          <w:szCs w:val="21"/>
        </w:rPr>
      </w:pPr>
      <w:r>
        <w:rPr>
          <w:rFonts w:hint="eastAsia" w:ascii="宋体" w:hAnsi="宋体"/>
          <w:szCs w:val="21"/>
        </w:rPr>
        <w:t xml:space="preserve">12、安全责任：成交单位负责在服务中一切安全工作，如发生人员伤亡等意外事故，一切后果全部</w:t>
      </w:r>
      <w:r>
        <w:rPr>
          <w:rFonts w:hint="eastAsia" w:ascii="宋体" w:hAnsi="宋体"/>
          <w:szCs w:val="21"/>
        </w:rPr>
        <w:t xml:space="preserve">由成交</w:t>
      </w:r>
      <w:r>
        <w:rPr>
          <w:rFonts w:hint="eastAsia" w:ascii="宋体" w:hAnsi="宋体"/>
          <w:szCs w:val="21"/>
        </w:rPr>
        <w:t xml:space="preserve">单位负责，采购方不承担任何安全及事故责任。</w:t>
      </w:r>
      <w:r/>
    </w:p>
    <w:p>
      <w:pPr>
        <w:ind w:firstLine="420"/>
        <w:jc w:val="left"/>
        <w:spacing w:line="360" w:lineRule="auto"/>
        <w:widowControl/>
        <w:rPr>
          <w:rFonts w:hint="eastAsia" w:ascii="宋体" w:hAnsi="宋体"/>
          <w:szCs w:val="21"/>
        </w:rPr>
      </w:pPr>
      <w:r>
        <w:rPr>
          <w:rFonts w:hint="eastAsia" w:ascii="宋体" w:hAnsi="宋体"/>
          <w:szCs w:val="21"/>
        </w:rPr>
        <w:t xml:space="preserve">13、因成交单位管理不善，造成工作范围内的设施、设备、景观等损坏的，由直接责任人赔偿，若直接责任人因故无法赔偿的，采购单位有权要求成交单位第一次赔偿损失金额的30%；第二次赔偿损失金额的50%；第三次终止合同。</w:t>
      </w:r>
      <w:r/>
    </w:p>
    <w:p>
      <w:pPr>
        <w:ind w:firstLine="422"/>
        <w:jc w:val="left"/>
        <w:spacing w:line="360" w:lineRule="auto"/>
        <w:widowControl/>
        <w:rPr>
          <w:rFonts w:hint="eastAsia" w:ascii="宋体" w:hAnsi="宋体"/>
          <w:b/>
          <w:szCs w:val="21"/>
        </w:rPr>
      </w:pPr>
      <w:r>
        <w:rPr>
          <w:rFonts w:hint="eastAsia" w:ascii="宋体" w:hAnsi="宋体"/>
          <w:b/>
          <w:szCs w:val="21"/>
        </w:rPr>
        <w:t xml:space="preserve">五、综合说明及其他要求：</w:t>
      </w:r>
      <w:r/>
    </w:p>
    <w:p>
      <w:pPr>
        <w:ind w:firstLine="420"/>
        <w:jc w:val="left"/>
        <w:spacing w:line="360" w:lineRule="auto"/>
        <w:widowControl/>
        <w:rPr>
          <w:rFonts w:hint="eastAsia" w:ascii="宋体" w:hAnsi="宋体"/>
          <w:szCs w:val="21"/>
        </w:rPr>
      </w:pPr>
      <w:r>
        <w:rPr>
          <w:rFonts w:hint="eastAsia" w:ascii="宋体" w:hAnsi="宋体"/>
          <w:szCs w:val="21"/>
        </w:rPr>
        <w:t xml:space="preserve">1.供应商须为本项目配备的所有服务人员按规定缴纳社会保险及人身意外险，</w:t>
      </w:r>
      <w:r>
        <w:rPr>
          <w:rFonts w:hint="eastAsia" w:ascii="宋体" w:hAnsi="宋体"/>
          <w:szCs w:val="21"/>
        </w:rPr>
        <w:t xml:space="preserve">若工作人</w:t>
      </w:r>
      <w:r>
        <w:rPr>
          <w:rFonts w:hint="eastAsia" w:ascii="宋体" w:hAnsi="宋体"/>
          <w:szCs w:val="21"/>
        </w:rPr>
        <w:t xml:space="preserve">员在服务期间内出现的工伤及其他意外事故，均由供应商自行负责，采购人不承担任何责任。</w:t>
      </w:r>
      <w:r/>
    </w:p>
    <w:p>
      <w:pPr>
        <w:ind w:firstLine="420"/>
        <w:jc w:val="left"/>
        <w:spacing w:line="360" w:lineRule="auto"/>
        <w:widowControl/>
        <w:rPr>
          <w:rFonts w:hint="eastAsia" w:ascii="宋体" w:hAnsi="宋体"/>
          <w:szCs w:val="21"/>
        </w:rPr>
      </w:pPr>
      <w:r>
        <w:rPr>
          <w:rFonts w:hint="eastAsia" w:ascii="宋体" w:hAnsi="宋体"/>
          <w:szCs w:val="21"/>
        </w:rPr>
        <w:t xml:space="preserve">2.若成交供应商在服务期间，违反下列规定将被解除服务合同：</w:t>
      </w:r>
      <w:r/>
    </w:p>
    <w:p>
      <w:pPr>
        <w:ind w:firstLine="420"/>
        <w:jc w:val="left"/>
        <w:spacing w:line="360" w:lineRule="auto"/>
        <w:widowControl/>
        <w:rPr>
          <w:rFonts w:hint="eastAsia" w:ascii="宋体" w:hAnsi="宋体"/>
          <w:szCs w:val="21"/>
        </w:rPr>
      </w:pPr>
      <w:r>
        <w:rPr>
          <w:rFonts w:hint="eastAsia" w:ascii="宋体" w:hAnsi="宋体"/>
          <w:szCs w:val="21"/>
        </w:rPr>
        <w:t xml:space="preserve">（1）将承包的人员服务转包他人；</w:t>
      </w:r>
      <w:r/>
    </w:p>
    <w:p>
      <w:pPr>
        <w:ind w:firstLine="420"/>
        <w:jc w:val="left"/>
        <w:spacing w:line="360" w:lineRule="auto"/>
        <w:widowControl/>
        <w:rPr>
          <w:rFonts w:hint="eastAsia" w:ascii="宋体" w:hAnsi="宋体"/>
          <w:szCs w:val="21"/>
        </w:rPr>
      </w:pPr>
      <w:r>
        <w:rPr>
          <w:rFonts w:hint="eastAsia" w:ascii="宋体" w:hAnsi="宋体"/>
          <w:szCs w:val="21"/>
        </w:rPr>
        <w:t xml:space="preserve">（2）未按照国家劳动法规定聘用服务人员；</w:t>
      </w:r>
      <w:r/>
    </w:p>
    <w:p>
      <w:pPr>
        <w:ind w:firstLine="420"/>
        <w:jc w:val="left"/>
        <w:spacing w:line="360" w:lineRule="auto"/>
        <w:widowControl/>
        <w:rPr>
          <w:rFonts w:hint="eastAsia" w:ascii="宋体" w:hAnsi="宋体"/>
          <w:szCs w:val="21"/>
        </w:rPr>
      </w:pPr>
      <w:r>
        <w:rPr>
          <w:rFonts w:hint="eastAsia" w:ascii="宋体" w:hAnsi="宋体"/>
          <w:szCs w:val="21"/>
        </w:rPr>
        <w:t xml:space="preserve">（3）其他采购文件中约定的可解除合同的情况。</w:t>
      </w:r>
      <w:r/>
    </w:p>
    <w:p>
      <w:pPr>
        <w:ind w:firstLine="420"/>
        <w:jc w:val="left"/>
        <w:spacing w:line="360" w:lineRule="auto"/>
        <w:widowControl/>
        <w:rPr>
          <w:rFonts w:hint="eastAsia" w:ascii="宋体" w:hAnsi="宋体"/>
          <w:szCs w:val="21"/>
        </w:rPr>
      </w:pPr>
      <w:r>
        <w:rPr>
          <w:rFonts w:hint="eastAsia" w:ascii="宋体" w:hAnsi="宋体"/>
          <w:szCs w:val="21"/>
        </w:rPr>
        <w:t xml:space="preserve">3.采购人有权检查监督成交供应</w:t>
      </w:r>
      <w:r>
        <w:rPr>
          <w:rFonts w:hint="eastAsia" w:ascii="宋体" w:hAnsi="宋体"/>
          <w:szCs w:val="21"/>
        </w:rPr>
        <w:t xml:space="preserve">商服务</w:t>
      </w:r>
      <w:r>
        <w:rPr>
          <w:rFonts w:hint="eastAsia" w:ascii="宋体" w:hAnsi="宋体"/>
          <w:szCs w:val="21"/>
        </w:rPr>
        <w:t xml:space="preserve">质量，对不称职的工作人员有权要求成交供应商在一周内更换，直至人选合格为止。 </w:t>
      </w:r>
      <w:r/>
    </w:p>
    <w:p>
      <w:pPr>
        <w:ind w:firstLine="420"/>
        <w:jc w:val="left"/>
        <w:spacing w:line="360" w:lineRule="auto"/>
        <w:widowControl/>
        <w:rPr>
          <w:rFonts w:hint="eastAsia" w:ascii="宋体" w:hAnsi="宋体"/>
          <w:szCs w:val="21"/>
        </w:rPr>
      </w:pPr>
      <w:r>
        <w:rPr>
          <w:rFonts w:hint="eastAsia" w:ascii="宋体" w:hAnsi="宋体"/>
          <w:szCs w:val="21"/>
        </w:rPr>
        <w:t xml:space="preserve">4.技术情报和资料保密 </w:t>
      </w:r>
      <w:r/>
    </w:p>
    <w:p>
      <w:pPr>
        <w:ind w:firstLine="420"/>
        <w:jc w:val="left"/>
        <w:spacing w:line="360" w:lineRule="auto"/>
        <w:widowControl/>
        <w:rPr>
          <w:rFonts w:hint="eastAsia" w:ascii="宋体" w:hAnsi="宋体"/>
          <w:szCs w:val="21"/>
        </w:rPr>
      </w:pPr>
      <w:r>
        <w:rPr>
          <w:rFonts w:hint="eastAsia" w:ascii="宋体" w:hAnsi="宋体"/>
          <w:szCs w:val="21"/>
        </w:rPr>
        <w:t xml:space="preserve">（1）所收集的原始资料与数据在执行过程中，仅供双方使用，项目结束后成交单位将其以成果附件的形式一并提交给采购人。 </w:t>
      </w:r>
      <w:r/>
    </w:p>
    <w:p>
      <w:pPr>
        <w:ind w:firstLine="420"/>
        <w:jc w:val="left"/>
        <w:spacing w:line="360" w:lineRule="auto"/>
        <w:widowControl/>
        <w:rPr>
          <w:rFonts w:hint="eastAsia" w:ascii="宋体" w:hAnsi="宋体"/>
          <w:szCs w:val="21"/>
        </w:rPr>
      </w:pPr>
      <w:r>
        <w:rPr>
          <w:rFonts w:hint="eastAsia" w:ascii="宋体" w:hAnsi="宋体"/>
          <w:szCs w:val="21"/>
        </w:rPr>
        <w:t xml:space="preserve">（2）采购人提供</w:t>
      </w:r>
      <w:r>
        <w:rPr>
          <w:rFonts w:hint="eastAsia" w:ascii="宋体" w:hAnsi="宋体"/>
          <w:szCs w:val="21"/>
        </w:rPr>
        <w:t xml:space="preserve">给成交</w:t>
      </w:r>
      <w:r>
        <w:rPr>
          <w:rFonts w:hint="eastAsia" w:ascii="宋体" w:hAnsi="宋体"/>
          <w:szCs w:val="21"/>
        </w:rPr>
        <w:t xml:space="preserve">单位以及协助成交单位调查收集的数据文件、图纸、资料等文件，仅</w:t>
      </w:r>
      <w:r>
        <w:rPr>
          <w:rFonts w:hint="eastAsia" w:ascii="宋体" w:hAnsi="宋体"/>
          <w:szCs w:val="21"/>
        </w:rPr>
        <w:t xml:space="preserve">供成交</w:t>
      </w:r>
      <w:r>
        <w:rPr>
          <w:rFonts w:hint="eastAsia" w:ascii="宋体" w:hAnsi="宋体"/>
          <w:szCs w:val="21"/>
        </w:rPr>
        <w:t xml:space="preserve">单位在本项目中使用，成交单位在任何时候都应遵守本保密条款，在未经采购人事先</w:t>
      </w:r>
      <w:r>
        <w:rPr>
          <w:rFonts w:hint="eastAsia" w:ascii="宋体" w:hAnsi="宋体"/>
          <w:szCs w:val="21"/>
        </w:rPr>
        <w:t xml:space="preserve">书面允许前，不得将采购人提供的以及成交单位参与本项目所知悉的有关信息透露给与完成本项目无关的第三方。 </w:t>
      </w:r>
      <w:r/>
    </w:p>
    <w:p>
      <w:pPr>
        <w:ind w:firstLine="420"/>
        <w:jc w:val="left"/>
        <w:spacing w:line="360" w:lineRule="auto"/>
        <w:widowControl/>
        <w:rPr>
          <w:rFonts w:hint="eastAsia" w:ascii="宋体" w:hAnsi="宋体"/>
          <w:szCs w:val="21"/>
        </w:rPr>
      </w:pPr>
      <w:r>
        <w:rPr>
          <w:rFonts w:hint="eastAsia" w:ascii="宋体" w:hAnsi="宋体"/>
          <w:szCs w:val="21"/>
        </w:rPr>
        <w:t xml:space="preserve">（3）成交单位应加强对项目资料的保管，在工作全面完成后，成交单位应将采购人认为必要的有关资料返还给采购人；其余资料，成交单位应按采购人要求存档，并应及时满足成交单位对方案资料有关调用、审核等要求。 </w:t>
      </w:r>
      <w:r/>
    </w:p>
    <w:p>
      <w:pPr>
        <w:ind w:firstLine="420"/>
        <w:jc w:val="left"/>
        <w:spacing w:line="360" w:lineRule="auto"/>
        <w:widowControl/>
        <w:rPr>
          <w:rFonts w:hint="eastAsia" w:ascii="宋体" w:hAnsi="宋体"/>
          <w:szCs w:val="21"/>
        </w:rPr>
      </w:pPr>
      <w:r>
        <w:rPr>
          <w:rFonts w:hint="eastAsia" w:ascii="宋体" w:hAnsi="宋体"/>
          <w:szCs w:val="21"/>
        </w:rPr>
        <w:t xml:space="preserve">5.供应商提供的服务能够至少达到以上要求，同时明确详细的服务方案。 </w:t>
      </w:r>
      <w:r/>
    </w:p>
    <w:p>
      <w:pPr>
        <w:ind w:firstLine="420"/>
        <w:jc w:val="left"/>
        <w:spacing w:line="360" w:lineRule="auto"/>
        <w:widowControl/>
        <w:rPr>
          <w:rFonts w:hint="eastAsia" w:ascii="宋体" w:hAnsi="宋体"/>
          <w:szCs w:val="21"/>
        </w:rPr>
      </w:pPr>
      <w:r>
        <w:rPr>
          <w:rFonts w:hint="eastAsia" w:ascii="宋体" w:hAnsi="宋体"/>
          <w:szCs w:val="21"/>
        </w:rPr>
        <w:t xml:space="preserve">6.供应商必须承诺磋商采购文件中提出的全部服务要求，如果以其中某些条款不响应时，应在文件中逐条列出，未列出的视同响应。 </w:t>
      </w:r>
      <w:r/>
    </w:p>
    <w:p>
      <w:pPr>
        <w:ind w:firstLine="420"/>
        <w:jc w:val="left"/>
        <w:spacing w:line="360" w:lineRule="auto"/>
        <w:widowControl/>
        <w:rPr>
          <w:rFonts w:hint="eastAsia" w:ascii="宋体" w:hAnsi="宋体"/>
          <w:szCs w:val="21"/>
        </w:rPr>
      </w:pPr>
      <w:r>
        <w:rPr>
          <w:rFonts w:hint="eastAsia" w:ascii="宋体" w:hAnsi="宋体"/>
          <w:szCs w:val="21"/>
        </w:rPr>
        <w:t xml:space="preserve">7.总报价合同金额</w:t>
      </w:r>
      <w:r>
        <w:rPr>
          <w:rFonts w:hint="eastAsia" w:cs="宋体" w:asciiTheme="minorEastAsia" w:hAnsiTheme="minorEastAsia" w:eastAsiaTheme="minorEastAsia"/>
          <w:szCs w:val="21"/>
        </w:rPr>
        <w:t xml:space="preserve">包括完成垃圾清运及处置服务所需的所有费用，包括在承包期内垃圾清运及处置服务所需的所有费用，包括但不限于称重、装车、堆放点的长效堆高、人员社保、公积金、意外险、车辆运作费、工具费、代理服务费、</w:t>
      </w:r>
      <w:r>
        <w:rPr>
          <w:rFonts w:hint="eastAsia" w:cs="宋体" w:asciiTheme="minorEastAsia" w:hAnsiTheme="minorEastAsia" w:eastAsiaTheme="minorEastAsia"/>
          <w:szCs w:val="21"/>
        </w:rPr>
        <w:t xml:space="preserve">国假加班费</w:t>
      </w:r>
      <w:r>
        <w:rPr>
          <w:rFonts w:hint="eastAsia" w:cs="宋体" w:asciiTheme="minorEastAsia" w:hAnsiTheme="minorEastAsia" w:eastAsiaTheme="minorEastAsia"/>
          <w:szCs w:val="21"/>
        </w:rPr>
        <w:t xml:space="preserve">、利润、税金、政策性文件规定及合同包含的所有风险、责任等各项应有费用(车辆缴纳的</w:t>
      </w:r>
      <w:r>
        <w:rPr>
          <w:rFonts w:hint="eastAsia" w:cs="宋体" w:asciiTheme="minorEastAsia" w:hAnsiTheme="minorEastAsia" w:eastAsiaTheme="minorEastAsia"/>
          <w:szCs w:val="21"/>
        </w:rPr>
        <w:t xml:space="preserve">交强险</w:t>
      </w:r>
      <w:r>
        <w:rPr>
          <w:rFonts w:hint="eastAsia" w:cs="宋体" w:asciiTheme="minorEastAsia" w:hAnsiTheme="minorEastAsia" w:eastAsiaTheme="minorEastAsia"/>
          <w:szCs w:val="21"/>
        </w:rPr>
        <w:t xml:space="preserve">、车身险、第三者责任险、不计免赔险等由供应商负责)。</w:t>
      </w:r>
      <w:r>
        <w:rPr>
          <w:rFonts w:hint="eastAsia" w:ascii="宋体" w:hAnsi="宋体"/>
          <w:szCs w:val="21"/>
        </w:rPr>
        <w:t xml:space="preserve"> </w:t>
      </w:r>
      <w:r/>
    </w:p>
    <w:p>
      <w:pPr>
        <w:ind w:firstLine="420"/>
        <w:jc w:val="left"/>
        <w:spacing w:line="360" w:lineRule="auto"/>
        <w:widowControl/>
        <w:rPr>
          <w:rFonts w:hint="eastAsia" w:ascii="宋体" w:hAnsi="宋体"/>
          <w:szCs w:val="21"/>
        </w:rPr>
      </w:pPr>
      <w:r>
        <w:rPr>
          <w:rFonts w:hint="eastAsia" w:ascii="宋体" w:hAnsi="宋体"/>
          <w:szCs w:val="21"/>
        </w:rPr>
        <w:t xml:space="preserve">8.供应商应对所投项目的全部内容进行报价，只</w:t>
      </w:r>
      <w:r>
        <w:rPr>
          <w:rFonts w:hint="eastAsia" w:ascii="宋体" w:hAnsi="宋体"/>
          <w:szCs w:val="21"/>
        </w:rPr>
        <w:t xml:space="preserve">投其中</w:t>
      </w:r>
      <w:r>
        <w:rPr>
          <w:rFonts w:hint="eastAsia" w:ascii="宋体" w:hAnsi="宋体"/>
          <w:szCs w:val="21"/>
        </w:rPr>
        <w:t xml:space="preserve">部分内容者，其响应文件将被拒绝。成交供应商对服务缺陷不予更正，采购人有权另请其它单位更正，所发生的费用在合同总价款中扣除。 </w:t>
      </w:r>
      <w:r/>
    </w:p>
    <w:p>
      <w:pPr>
        <w:ind w:firstLine="420"/>
        <w:jc w:val="left"/>
        <w:spacing w:line="360" w:lineRule="auto"/>
        <w:widowControl/>
        <w:rPr>
          <w:rFonts w:hint="eastAsia" w:ascii="宋体" w:hAnsi="宋体"/>
          <w:szCs w:val="21"/>
        </w:rPr>
      </w:pPr>
      <w:r>
        <w:rPr>
          <w:rFonts w:hint="eastAsia" w:ascii="宋体" w:hAnsi="宋体"/>
          <w:szCs w:val="21"/>
        </w:rPr>
        <w:t xml:space="preserve">9.采购人除以上服务费用</w:t>
      </w:r>
      <w:r>
        <w:rPr>
          <w:rFonts w:hint="eastAsia" w:ascii="宋体" w:hAnsi="宋体"/>
          <w:szCs w:val="21"/>
        </w:rPr>
        <w:t xml:space="preserve">外不再</w:t>
      </w:r>
      <w:r>
        <w:rPr>
          <w:rFonts w:hint="eastAsia" w:ascii="宋体" w:hAnsi="宋体"/>
          <w:szCs w:val="21"/>
        </w:rPr>
        <w:t xml:space="preserve">承担其它任何费用。工作人员的薪金、福利、休假日补贴、加班费、医疗费用等均</w:t>
      </w:r>
      <w:r>
        <w:rPr>
          <w:rFonts w:hint="eastAsia" w:ascii="宋体" w:hAnsi="宋体"/>
          <w:szCs w:val="21"/>
        </w:rPr>
        <w:t xml:space="preserve">由成交</w:t>
      </w:r>
      <w:r>
        <w:rPr>
          <w:rFonts w:hint="eastAsia" w:ascii="宋体" w:hAnsi="宋体"/>
          <w:szCs w:val="21"/>
        </w:rPr>
        <w:t xml:space="preserve">供应商负责，与采购人无关。</w:t>
      </w:r>
      <w:r/>
    </w:p>
    <w:p>
      <w:pPr>
        <w:ind w:firstLine="420"/>
        <w:spacing w:line="360" w:lineRule="auto"/>
        <w:rPr>
          <w:rFonts w:hint="eastAsia" w:ascii="宋体" w:hAnsi="宋体"/>
          <w:szCs w:val="21"/>
        </w:rPr>
      </w:pPr>
      <w:r>
        <w:rPr>
          <w:rFonts w:hint="eastAsia" w:ascii="宋体" w:hAnsi="宋体"/>
          <w:szCs w:val="21"/>
        </w:rPr>
        <w:t xml:space="preserve">10、代理服务费：</w:t>
      </w:r>
      <w:r/>
    </w:p>
    <w:p>
      <w:pPr>
        <w:ind w:firstLine="420"/>
        <w:spacing w:line="360" w:lineRule="auto"/>
        <w:rPr>
          <w:rFonts w:hint="eastAsia" w:ascii="宋体" w:hAnsi="宋体"/>
          <w:szCs w:val="21"/>
        </w:rPr>
      </w:pPr>
      <w:r>
        <w:rPr>
          <w:rFonts w:hint="eastAsia" w:ascii="宋体" w:hAnsi="宋体"/>
          <w:szCs w:val="21"/>
        </w:rPr>
        <w:t xml:space="preserve">10</w:t>
      </w:r>
      <w:r>
        <w:rPr>
          <w:rFonts w:ascii="宋体" w:hAnsi="宋体"/>
          <w:szCs w:val="21"/>
        </w:rPr>
        <w:t xml:space="preserve">.1</w:t>
      </w:r>
      <w:r>
        <w:rPr>
          <w:rFonts w:hint="eastAsia" w:ascii="宋体" w:hAnsi="宋体"/>
          <w:szCs w:val="21"/>
        </w:rPr>
        <w:t xml:space="preserve">收费标准：预算金额</w:t>
      </w:r>
      <w:r>
        <w:rPr>
          <w:rFonts w:ascii="宋体" w:hAnsi="宋体"/>
          <w:szCs w:val="21"/>
        </w:rPr>
        <w:t xml:space="preserve">100</w:t>
      </w:r>
      <w:r>
        <w:rPr>
          <w:rFonts w:hint="eastAsia" w:ascii="宋体" w:hAnsi="宋体"/>
          <w:szCs w:val="21"/>
        </w:rPr>
        <w:t xml:space="preserve">万以下费率为预算金额的</w:t>
      </w:r>
      <w:r>
        <w:rPr>
          <w:rFonts w:ascii="宋体" w:hAnsi="宋体"/>
          <w:szCs w:val="21"/>
        </w:rPr>
        <w:t xml:space="preserve">1.5%，</w:t>
      </w:r>
      <w:r>
        <w:rPr>
          <w:rFonts w:hint="eastAsia" w:cs="宋体" w:asciiTheme="minorEastAsia" w:hAnsiTheme="minorEastAsia" w:eastAsiaTheme="minorEastAsia"/>
          <w:szCs w:val="21"/>
        </w:rPr>
        <w:t xml:space="preserve">100～500万元以1.1%</w:t>
      </w:r>
      <w:r>
        <w:rPr>
          <w:rFonts w:hint="eastAsia" w:ascii="宋体" w:hAnsi="宋体"/>
          <w:szCs w:val="21"/>
        </w:rPr>
        <w:t xml:space="preserve">。</w:t>
      </w:r>
      <w:r/>
    </w:p>
    <w:p>
      <w:pPr>
        <w:ind w:firstLine="420"/>
        <w:spacing w:line="360" w:lineRule="auto"/>
        <w:rPr>
          <w:rFonts w:hint="eastAsia" w:cs="宋体" w:asciiTheme="minorEastAsia" w:hAnsiTheme="minorEastAsia" w:eastAsiaTheme="minorEastAsia"/>
          <w:szCs w:val="21"/>
        </w:rPr>
      </w:pPr>
      <w:r>
        <w:rPr>
          <w:rFonts w:hint="eastAsia" w:ascii="宋体" w:hAnsi="宋体"/>
          <w:szCs w:val="21"/>
        </w:rPr>
        <w:t xml:space="preserve">10</w:t>
      </w:r>
      <w:r>
        <w:rPr>
          <w:rFonts w:ascii="宋体" w:hAnsi="宋体"/>
          <w:szCs w:val="21"/>
        </w:rPr>
        <w:t xml:space="preserve">.2</w:t>
      </w:r>
      <w:r>
        <w:rPr>
          <w:rFonts w:hint="eastAsia" w:ascii="宋体" w:hAnsi="宋体"/>
          <w:szCs w:val="21"/>
        </w:rPr>
        <w:t xml:space="preserve">收费金额：</w:t>
      </w:r>
      <w:bookmarkStart w:id="24" w:name="OLE_LINK8"/>
      <w:r>
        <w:rPr>
          <w:rFonts w:hint="eastAsia" w:cs="宋体" w:asciiTheme="minorEastAsia" w:hAnsiTheme="minorEastAsia" w:eastAsiaTheme="minorEastAsia"/>
          <w:szCs w:val="21"/>
        </w:rPr>
        <w:t xml:space="preserve">15675.00</w:t>
      </w:r>
      <w:r>
        <w:rPr>
          <w:rFonts w:cs="宋体" w:asciiTheme="minorEastAsia" w:hAnsiTheme="minorEastAsia" w:eastAsiaTheme="minorEastAsia"/>
          <w:szCs w:val="21"/>
        </w:rPr>
        <w:t xml:space="preserve">元</w:t>
      </w:r>
      <w:bookmarkEnd w:id="24"/>
      <w:r>
        <w:rPr>
          <w:rFonts w:hint="eastAsia" w:cs="宋体" w:asciiTheme="minorEastAsia" w:hAnsiTheme="minorEastAsia" w:eastAsiaTheme="minor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10.3 支付方式：</w:t>
      </w:r>
      <w:r>
        <w:rPr>
          <w:rFonts w:hint="eastAsia" w:cs="宋体" w:asciiTheme="minorEastAsia" w:hAnsiTheme="minorEastAsia" w:eastAsiaTheme="minorEastAsia"/>
          <w:szCs w:val="21"/>
        </w:rPr>
        <w:t xml:space="preserve">由成交</w:t>
      </w:r>
      <w:r>
        <w:rPr>
          <w:rFonts w:hint="eastAsia" w:cs="宋体" w:asciiTheme="minorEastAsia" w:hAnsiTheme="minorEastAsia" w:eastAsiaTheme="minorEastAsia"/>
          <w:szCs w:val="21"/>
        </w:rPr>
        <w:t xml:space="preserve">单位支付；</w:t>
      </w:r>
      <w:r/>
    </w:p>
    <w:p>
      <w:pPr>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六、响应文件的组成及要求</w:t>
      </w:r>
      <w:r/>
    </w:p>
    <w:p>
      <w:pPr>
        <w:ind w:firstLine="480"/>
        <w:spacing w:line="360" w:lineRule="auto"/>
        <w:rPr>
          <w:rFonts w:hint="eastAsia" w:ascii="宋体" w:hAnsi="宋体" w:cs="宋体"/>
          <w:szCs w:val="21"/>
        </w:rPr>
      </w:pPr>
      <w:r>
        <w:rPr>
          <w:rFonts w:hint="eastAsia" w:ascii="宋体" w:hAnsi="宋体" w:cs="宋体"/>
          <w:szCs w:val="21"/>
        </w:rPr>
        <w:t xml:space="preserve">（一）本项目实质性响应要求、资格性审查资料</w:t>
      </w:r>
      <w:r/>
    </w:p>
    <w:p>
      <w:pPr>
        <w:ind w:firstLine="480"/>
        <w:spacing w:line="360" w:lineRule="auto"/>
        <w:rPr>
          <w:rFonts w:hint="eastAsia" w:ascii="宋体" w:hAnsi="宋体" w:cs="宋体"/>
          <w:szCs w:val="21"/>
        </w:rPr>
      </w:pPr>
      <w:r>
        <w:rPr>
          <w:rFonts w:hint="eastAsia" w:ascii="宋体" w:hAnsi="宋体" w:cs="宋体"/>
          <w:szCs w:val="21"/>
        </w:rPr>
        <w:t xml:space="preserve">1、封面；</w:t>
      </w:r>
      <w:r/>
    </w:p>
    <w:p>
      <w:pPr>
        <w:ind w:firstLine="480"/>
        <w:spacing w:line="360" w:lineRule="auto"/>
        <w:rPr>
          <w:rFonts w:hint="eastAsia" w:ascii="宋体" w:hAnsi="宋体" w:cs="宋体"/>
          <w:szCs w:val="21"/>
        </w:rPr>
      </w:pPr>
      <w:r>
        <w:rPr>
          <w:rFonts w:hint="eastAsia" w:ascii="宋体" w:hAnsi="宋体" w:cs="宋体"/>
          <w:szCs w:val="21"/>
        </w:rPr>
        <w:t xml:space="preserve">2、磋商响应报价表（格式见附件）；</w:t>
      </w:r>
      <w:r/>
    </w:p>
    <w:p>
      <w:pPr>
        <w:ind w:firstLine="480"/>
        <w:spacing w:line="360" w:lineRule="auto"/>
        <w:rPr>
          <w:rFonts w:hint="eastAsia" w:ascii="宋体" w:hAnsi="宋体" w:cs="宋体"/>
          <w:szCs w:val="21"/>
        </w:rPr>
      </w:pPr>
      <w:r>
        <w:rPr>
          <w:rFonts w:hint="eastAsia" w:ascii="宋体" w:hAnsi="宋体" w:cs="宋体"/>
          <w:szCs w:val="21"/>
        </w:rPr>
        <w:t xml:space="preserve">3、报价明细表（格式见附件）； </w:t>
      </w:r>
      <w:r/>
    </w:p>
    <w:p>
      <w:pPr>
        <w:ind w:firstLine="480"/>
        <w:spacing w:line="360" w:lineRule="auto"/>
        <w:rPr>
          <w:rFonts w:hint="eastAsia" w:ascii="宋体" w:hAnsi="宋体" w:cs="宋体"/>
          <w:szCs w:val="21"/>
        </w:rPr>
      </w:pPr>
      <w:r>
        <w:rPr>
          <w:rFonts w:hint="eastAsia" w:ascii="宋体" w:hAnsi="宋体" w:cs="宋体"/>
          <w:szCs w:val="21"/>
        </w:rPr>
        <w:t xml:space="preserve">4、资格审查响应文件</w:t>
      </w:r>
      <w:r/>
    </w:p>
    <w:p>
      <w:pPr>
        <w:ind w:firstLine="480"/>
        <w:spacing w:line="360" w:lineRule="auto"/>
        <w:rPr>
          <w:rFonts w:hint="eastAsia" w:ascii="宋体" w:hAnsi="宋体" w:cs="宋体"/>
          <w:sz w:val="21"/>
          <w:szCs w:val="21"/>
        </w:rPr>
      </w:pPr>
      <w:r>
        <w:rPr>
          <w:rFonts w:hint="eastAsia" w:ascii="宋体" w:hAnsi="宋体" w:cs="宋体"/>
          <w:szCs w:val="21"/>
        </w:rPr>
        <w:t xml:space="preserve">4.1 磋商响应单位基本情况表、</w:t>
      </w:r>
      <w:r>
        <w:rPr>
          <w:rFonts w:ascii="SimSun" w:hAnsi="SimSun" w:eastAsia="SimSun" w:cs="SimSun"/>
          <w:color w:val="000000"/>
          <w:sz w:val="21"/>
          <w:szCs w:val="21"/>
        </w:rPr>
        <w:t xml:space="preserve">供应商与其他单位存在控股、管理关系情况表</w:t>
      </w:r>
      <w:r>
        <w:rPr>
          <w:rFonts w:hint="eastAsia" w:ascii="宋体" w:hAnsi="宋体" w:cs="宋体"/>
          <w:sz w:val="21"/>
          <w:szCs w:val="21"/>
        </w:rPr>
        <w:t xml:space="preserve">（格式见附件）；</w:t>
      </w:r>
      <w:r>
        <w:rPr>
          <w:sz w:val="21"/>
          <w:szCs w:val="21"/>
        </w:rPr>
      </w:r>
    </w:p>
    <w:p>
      <w:pPr>
        <w:ind w:firstLine="480"/>
        <w:spacing w:line="360" w:lineRule="auto"/>
        <w:rPr>
          <w:rFonts w:hint="eastAsia" w:ascii="宋体" w:hAnsi="宋体" w:cs="宋体"/>
          <w:szCs w:val="21"/>
        </w:rPr>
      </w:pPr>
      <w:r>
        <w:rPr>
          <w:rFonts w:hint="eastAsia" w:ascii="宋体" w:hAnsi="宋体" w:cs="宋体"/>
          <w:szCs w:val="21"/>
        </w:rPr>
        <w:t xml:space="preserve">4.2磋商响应单位法定代表人身份证扫描件；</w:t>
      </w:r>
      <w:r/>
    </w:p>
    <w:p>
      <w:pPr>
        <w:ind w:firstLine="480"/>
        <w:spacing w:line="360" w:lineRule="auto"/>
        <w:rPr>
          <w:rFonts w:hint="eastAsia" w:ascii="宋体" w:hAnsi="宋体" w:cs="宋体"/>
          <w:szCs w:val="21"/>
        </w:rPr>
      </w:pPr>
      <w:r>
        <w:rPr>
          <w:rFonts w:hint="eastAsia" w:ascii="宋体" w:hAnsi="宋体" w:cs="宋体"/>
          <w:szCs w:val="21"/>
        </w:rPr>
        <w:t xml:space="preserve">4.3法定代表人授权委托书（如有授权）；</w:t>
      </w:r>
      <w:r/>
    </w:p>
    <w:p>
      <w:pPr>
        <w:ind w:firstLine="480"/>
        <w:spacing w:line="360" w:lineRule="auto"/>
        <w:rPr>
          <w:rFonts w:hint="eastAsia" w:ascii="宋体" w:hAnsi="宋体" w:cs="宋体"/>
          <w:szCs w:val="21"/>
        </w:rPr>
      </w:pPr>
      <w:r>
        <w:rPr>
          <w:rFonts w:hint="eastAsia" w:ascii="宋体" w:hAnsi="宋体" w:cs="宋体"/>
          <w:szCs w:val="21"/>
        </w:rPr>
        <w:t xml:space="preserve">4.4授权委托代理人身份证扫描件（如有授权）；</w:t>
      </w:r>
      <w:r/>
    </w:p>
    <w:p>
      <w:pPr>
        <w:ind w:firstLine="480"/>
        <w:spacing w:line="360" w:lineRule="auto"/>
        <w:rPr>
          <w:rFonts w:hint="eastAsia" w:ascii="宋体" w:hAnsi="宋体" w:cs="宋体"/>
          <w:szCs w:val="21"/>
        </w:rPr>
      </w:pPr>
      <w:r>
        <w:rPr>
          <w:rFonts w:hint="eastAsia" w:ascii="宋体" w:hAnsi="宋体" w:cs="宋体"/>
          <w:szCs w:val="21"/>
        </w:rPr>
        <w:t xml:space="preserve">4.5供应</w:t>
      </w:r>
      <w:r>
        <w:rPr>
          <w:rFonts w:hint="eastAsia" w:ascii="宋体" w:hAnsi="宋体" w:cs="宋体"/>
          <w:szCs w:val="21"/>
        </w:rPr>
        <w:t xml:space="preserve">商满足</w:t>
      </w:r>
      <w:r>
        <w:rPr>
          <w:rFonts w:hint="eastAsia" w:ascii="宋体" w:hAnsi="宋体" w:cs="宋体"/>
          <w:szCs w:val="21"/>
        </w:rPr>
        <w:t xml:space="preserve">条件的资格证明文件：</w:t>
      </w:r>
      <w:r/>
    </w:p>
    <w:p>
      <w:pPr>
        <w:ind w:firstLine="480"/>
        <w:spacing w:line="360" w:lineRule="auto"/>
        <w:rPr>
          <w:rFonts w:hint="eastAsia" w:ascii="宋体" w:hAnsi="宋体" w:cs="宋体"/>
          <w:szCs w:val="21"/>
        </w:rPr>
      </w:pPr>
      <w:r>
        <w:rPr>
          <w:rFonts w:hint="eastAsia" w:ascii="宋体" w:hAnsi="宋体" w:cs="宋体"/>
          <w:szCs w:val="21"/>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cs="宋体"/>
          <w:szCs w:val="21"/>
        </w:rPr>
      </w:pPr>
      <w:r>
        <w:rPr>
          <w:rFonts w:hint="eastAsia" w:ascii="宋体" w:hAnsi="宋体" w:cs="宋体"/>
          <w:szCs w:val="21"/>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cs="宋体"/>
          <w:szCs w:val="21"/>
        </w:rPr>
      </w:pPr>
      <w:r>
        <w:rPr>
          <w:rFonts w:hint="eastAsia" w:ascii="宋体" w:hAnsi="宋体" w:cs="宋体"/>
          <w:szCs w:val="21"/>
        </w:rPr>
        <w:t xml:space="preserve">③具备履行合同所必需的设备和专业技术能力的证明材料；（具备履行合同的相关设备、人员等证明材料）；</w:t>
      </w:r>
      <w:r/>
    </w:p>
    <w:p>
      <w:pPr>
        <w:ind w:firstLine="480"/>
        <w:spacing w:line="360" w:lineRule="auto"/>
        <w:rPr>
          <w:rFonts w:hint="eastAsia" w:ascii="宋体" w:hAnsi="宋体" w:cs="宋体"/>
          <w:szCs w:val="21"/>
        </w:rPr>
      </w:pPr>
      <w:r>
        <w:rPr>
          <w:rFonts w:hint="eastAsia" w:ascii="宋体" w:hAnsi="宋体" w:cs="宋体"/>
          <w:szCs w:val="21"/>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hint="eastAsia" w:ascii="宋体" w:hAnsi="宋体" w:cs="宋体"/>
          <w:szCs w:val="21"/>
        </w:rPr>
      </w:pPr>
      <w:r>
        <w:rPr>
          <w:rFonts w:hint="eastAsia" w:ascii="宋体" w:hAnsi="宋体" w:cs="宋体"/>
          <w:szCs w:val="21"/>
        </w:rPr>
        <w:t xml:space="preserve">⑤参加政府采购活动前三年内，在经营活动中没有重大违法记录的声明（格式自拟）；</w:t>
      </w:r>
      <w:r/>
    </w:p>
    <w:p>
      <w:pPr>
        <w:ind w:firstLine="48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符合性证明材料；</w:t>
      </w:r>
      <w:r/>
    </w:p>
    <w:p>
      <w:pPr>
        <w:ind w:firstLine="480"/>
        <w:spacing w:line="360" w:lineRule="auto"/>
        <w:rPr>
          <w:rFonts w:hint="eastAsia" w:ascii="宋体" w:hAnsi="宋体" w:cs="宋体"/>
          <w:szCs w:val="21"/>
        </w:rPr>
      </w:pPr>
      <w:r>
        <w:rPr>
          <w:rFonts w:hint="eastAsia" w:ascii="宋体" w:hAnsi="宋体" w:cs="宋体"/>
          <w:szCs w:val="21"/>
        </w:rPr>
        <w:t xml:space="preserve">（1）关于资格文件的声明函；</w:t>
      </w:r>
      <w:r/>
    </w:p>
    <w:p>
      <w:pPr>
        <w:ind w:firstLine="480"/>
        <w:spacing w:line="360" w:lineRule="auto"/>
        <w:rPr>
          <w:rFonts w:hint="eastAsia" w:ascii="宋体" w:hAnsi="宋体" w:cs="宋体"/>
          <w:szCs w:val="21"/>
        </w:rPr>
      </w:pPr>
      <w:r>
        <w:rPr>
          <w:rFonts w:hint="eastAsia" w:ascii="宋体" w:hAnsi="宋体" w:cs="宋体"/>
          <w:szCs w:val="21"/>
        </w:rPr>
        <w:t xml:space="preserve">（2）磋商响应函（格式附后）；</w:t>
      </w:r>
      <w:r/>
    </w:p>
    <w:p>
      <w:pPr>
        <w:ind w:firstLine="480"/>
        <w:spacing w:line="360" w:lineRule="auto"/>
        <w:rPr>
          <w:rFonts w:hint="eastAsia" w:ascii="宋体" w:hAnsi="宋体" w:cs="宋体"/>
          <w:szCs w:val="21"/>
        </w:rPr>
      </w:pPr>
      <w:r>
        <w:rPr>
          <w:rFonts w:hint="eastAsia" w:ascii="宋体" w:hAnsi="宋体" w:cs="宋体"/>
          <w:szCs w:val="21"/>
        </w:rPr>
        <w:t xml:space="preserve">（3）投标（响应）保证承诺书、安全责任承诺书；</w:t>
      </w:r>
      <w:r/>
    </w:p>
    <w:p>
      <w:pPr>
        <w:ind w:firstLine="480"/>
        <w:spacing w:line="360" w:lineRule="auto"/>
        <w:rPr>
          <w:rFonts w:hint="eastAsia" w:ascii="宋体" w:hAnsi="宋体" w:cs="宋体"/>
          <w:szCs w:val="21"/>
        </w:rPr>
      </w:pPr>
      <w:r>
        <w:rPr>
          <w:rFonts w:hint="eastAsia" w:ascii="宋体" w:hAnsi="宋体" w:cs="宋体"/>
          <w:szCs w:val="21"/>
        </w:rPr>
        <w:t xml:space="preserve">（4）服务要求偏离表、商务条款偏离表（格式见附件）；</w:t>
      </w:r>
      <w:r/>
    </w:p>
    <w:p>
      <w:pPr>
        <w:ind w:firstLine="480"/>
        <w:spacing w:line="360" w:lineRule="auto"/>
        <w:rPr>
          <w:rFonts w:hint="eastAsia" w:ascii="宋体" w:hAnsi="宋体" w:cs="宋体"/>
          <w:szCs w:val="21"/>
        </w:rPr>
      </w:pPr>
      <w:r>
        <w:rPr>
          <w:rFonts w:hint="eastAsia" w:ascii="宋体" w:hAnsi="宋体" w:cs="宋体"/>
          <w:szCs w:val="21"/>
        </w:rPr>
        <w:t xml:space="preserve">注：响应单位所提交的资料文件的完整与否，将直接影响对响应单位是否实质性响应采购文件要求的评判。</w:t>
      </w:r>
      <w:r/>
    </w:p>
    <w:p>
      <w:pPr>
        <w:ind w:firstLine="480"/>
        <w:spacing w:line="360" w:lineRule="auto"/>
        <w:rPr>
          <w:rFonts w:hint="eastAsia" w:ascii="宋体" w:hAnsi="宋体" w:cs="宋体"/>
          <w:szCs w:val="21"/>
          <w:lang w:val="zh-CN"/>
        </w:rPr>
      </w:pPr>
      <w:r>
        <w:rPr>
          <w:rFonts w:hint="eastAsia" w:ascii="宋体" w:hAnsi="宋体" w:cs="宋体"/>
          <w:szCs w:val="21"/>
        </w:rPr>
        <w:t xml:space="preserve">（二）</w:t>
      </w:r>
      <w:r>
        <w:rPr>
          <w:rFonts w:hint="eastAsia" w:ascii="宋体" w:hAnsi="宋体" w:cs="宋体"/>
          <w:szCs w:val="21"/>
          <w:lang w:val="zh-CN"/>
        </w:rPr>
        <w:t xml:space="preserve">综合评审响应文件</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《中小企业声明函》或《残疾人福利性单位声明函》或由省级以上监狱管理局、戒毒管理局（含新疆生产建设兵团）出具的属于监狱企业的证明文件（如属）</w:t>
      </w:r>
      <w:r>
        <w:rPr>
          <w:rFonts w:hint="eastAsia" w:ascii="宋体" w:hAnsi="宋体" w:cs="宋体"/>
          <w:b/>
          <w:szCs w:val="21"/>
          <w:lang w:val="zh-CN"/>
        </w:rPr>
        <w:t xml:space="preserve">（《中小企业声明函》、《残疾人福利性单位声明函》、监狱企业的证明文件，上</w:t>
      </w:r>
      <w:r>
        <w:rPr>
          <w:rFonts w:hint="eastAsia" w:ascii="宋体" w:hAnsi="宋体" w:cs="宋体"/>
          <w:b/>
          <w:szCs w:val="21"/>
          <w:lang w:val="zh-CN"/>
        </w:rPr>
        <w:t xml:space="preserve">传资料</w:t>
      </w:r>
      <w:r>
        <w:rPr>
          <w:rFonts w:hint="eastAsia" w:ascii="宋体" w:hAnsi="宋体" w:cs="宋体"/>
          <w:b/>
          <w:szCs w:val="21"/>
          <w:lang w:val="zh-CN"/>
        </w:rPr>
        <w:t xml:space="preserve">须加盖响应单位公章，否则视为无效声明函）；</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rPr>
        <w:t xml:space="preserve">7、类似项目一览表（格式见附件）</w:t>
      </w:r>
      <w:r>
        <w:rPr>
          <w:rFonts w:hint="eastAsia" w:ascii="宋体" w:hAnsi="宋体" w:cs="宋体"/>
          <w:color w:val="000000"/>
          <w:szCs w:val="21"/>
          <w:lang w:val="zh-CN"/>
        </w:rPr>
        <w:t xml:space="preserve">；</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8、响应单位针对本项目的实施方案</w:t>
      </w:r>
      <w:r>
        <w:rPr>
          <w:rFonts w:hint="eastAsia" w:ascii="宋体" w:hAnsi="宋体" w:cs="宋体"/>
          <w:color w:val="000000"/>
          <w:szCs w:val="21"/>
          <w:lang w:val="zh-CN"/>
        </w:rPr>
        <w:t xml:space="preserve">（自拟）；</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rPr>
        <w:t xml:space="preserve">9、</w:t>
      </w:r>
      <w:r>
        <w:rPr>
          <w:rFonts w:hint="eastAsia" w:ascii="宋体" w:hAnsi="宋体" w:cs="宋体"/>
          <w:color w:val="000000"/>
          <w:szCs w:val="21"/>
          <w:lang w:val="zh-CN"/>
        </w:rPr>
        <w:t xml:space="preserve">其他可以证明磋商供应商资信、资质和货物、服务质量的证书、文件、推荐信等资料。</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10、采购文件中采购需求、附件格式及评分标准中所涉及到的其他材料如人员证书、获奖文件、荣誉证书等与本项目有关的其它资料。</w:t>
      </w:r>
      <w:r/>
    </w:p>
    <w:p>
      <w:pPr>
        <w:spacing w:line="457" w:lineRule="exact"/>
        <w:rPr>
          <w:rFonts w:hint="eastAsia"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（1）以上序号1</w:t>
      </w:r>
      <w:r>
        <w:rPr>
          <w:rFonts w:ascii="宋体" w:hAnsi="宋体" w:cs="宋体"/>
          <w:b/>
          <w:bCs/>
          <w:szCs w:val="21"/>
          <w:lang w:val="zh-CN"/>
        </w:rPr>
        <w:t xml:space="preserve">-</w:t>
      </w:r>
      <w:r>
        <w:rPr>
          <w:rFonts w:hint="eastAsia" w:ascii="宋体" w:hAnsi="宋体" w:cs="宋体"/>
          <w:b/>
          <w:bCs/>
          <w:szCs w:val="21"/>
          <w:lang w:val="zh-CN"/>
        </w:rPr>
        <w:t xml:space="preserve">4</w:t>
      </w:r>
      <w:r>
        <w:rPr>
          <w:rFonts w:hint="eastAsia" w:ascii="宋体" w:hAnsi="宋体" w:cs="宋体"/>
          <w:b/>
          <w:bCs/>
          <w:szCs w:val="21"/>
          <w:lang w:val="zh-CN"/>
        </w:rPr>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57" w:lineRule="exact"/>
        <w:rPr>
          <w:rFonts w:hint="eastAsia" w:ascii="宋体" w:hAnsi="宋体" w:cs="宋体"/>
          <w:b/>
          <w:bCs/>
          <w:szCs w:val="21"/>
          <w:lang w:val="zh-CN"/>
        </w:rPr>
      </w:pPr>
      <w:r>
        <w:rPr>
          <w:rFonts w:hint="eastAsia" w:ascii="宋体" w:hAnsi="宋体" w:cs="宋体"/>
          <w:b/>
          <w:bCs/>
          <w:szCs w:val="21"/>
          <w:lang w:val="zh-CN"/>
        </w:rPr>
        <w:t xml:space="preserve">（2）以上序号5为符合性审查须提供的资料，响应供应商必须提供并加盖电子公章。否则，磋商响应文件将被认定为未实质性响应。</w:t>
      </w:r>
      <w:r/>
    </w:p>
    <w:p>
      <w:pPr>
        <w:ind w:firstLine="480"/>
        <w:spacing w:line="360" w:lineRule="auto"/>
        <w:rPr>
          <w:rFonts w:hint="eastAsia" w:ascii="宋体" w:hAnsi="宋体" w:cs="宋体"/>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七、报价（编制）要求的说明</w:t>
      </w:r>
      <w:r/>
    </w:p>
    <w:p>
      <w:pPr>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除非合同中另有规定，供应商对全部服务的报价应包含在承包期内垃圾清运及处置服务所需的所有费用，包括但不限于称重、装车、堆放点的长效堆高、人员社保、公积金、意外险、车辆运作费、工具费、代理服务费、</w:t>
      </w:r>
      <w:r>
        <w:rPr>
          <w:rFonts w:hint="eastAsia" w:ascii="宋体" w:hAnsi="宋体" w:cs="宋体"/>
          <w:szCs w:val="21"/>
        </w:rPr>
        <w:t xml:space="preserve">国假加班费</w:t>
      </w:r>
      <w:r>
        <w:rPr>
          <w:rFonts w:hint="eastAsia" w:ascii="宋体" w:hAnsi="宋体" w:cs="宋体"/>
          <w:szCs w:val="21"/>
        </w:rPr>
        <w:t xml:space="preserve">、利润、税金、政策性文件规定及合同包含的</w:t>
      </w:r>
      <w:r>
        <w:rPr>
          <w:rFonts w:hint="eastAsia" w:ascii="宋体" w:hAnsi="宋体" w:cs="宋体"/>
          <w:szCs w:val="21"/>
        </w:rPr>
        <w:t xml:space="preserve">所有风险、责任等各项应有费用(车辆缴纳的</w:t>
      </w:r>
      <w:r>
        <w:rPr>
          <w:rFonts w:hint="eastAsia" w:ascii="宋体" w:hAnsi="宋体" w:cs="宋体"/>
          <w:szCs w:val="21"/>
        </w:rPr>
        <w:t xml:space="preserve">交强险</w:t>
      </w:r>
      <w:r>
        <w:rPr>
          <w:rFonts w:hint="eastAsia" w:ascii="宋体" w:hAnsi="宋体" w:cs="宋体"/>
          <w:szCs w:val="21"/>
        </w:rPr>
        <w:t xml:space="preserve">、车身险、第三者责任险、不计免赔险等由供应商负责)。其他均不再另行计费</w:t>
      </w:r>
      <w:r>
        <w:rPr>
          <w:rFonts w:ascii="宋体" w:hAnsi="宋体" w:cs="宋体"/>
          <w:szCs w:val="21"/>
        </w:rPr>
        <w:t xml:space="preserve">。</w:t>
      </w:r>
      <w:r>
        <w:rPr>
          <w:rFonts w:hint="eastAsia" w:ascii="宋体" w:hAnsi="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cs="宋体"/>
          <w:b/>
          <w:szCs w:val="21"/>
        </w:rPr>
        <w:outlineLvl w:val="0"/>
      </w:pPr>
      <w:r>
        <w:rPr>
          <w:rFonts w:hint="eastAsia" w:ascii="宋体" w:hAnsi="宋体" w:cs="宋体"/>
          <w:b/>
          <w:szCs w:val="21"/>
        </w:rPr>
        <w:t xml:space="preserve">本项目采用线上二次报价：</w:t>
      </w:r>
      <w:r/>
    </w:p>
    <w:p>
      <w:pPr>
        <w:ind w:firstLine="408"/>
        <w:spacing w:line="360" w:lineRule="auto"/>
        <w:rPr>
          <w:rFonts w:hint="eastAsia" w:ascii="宋体" w:hAnsi="宋体" w:cs="宋体"/>
          <w:b/>
          <w:szCs w:val="21"/>
        </w:rPr>
        <w:outlineLvl w:val="0"/>
      </w:pPr>
      <w:r>
        <w:rPr>
          <w:rFonts w:hint="eastAsia" w:ascii="宋体" w:hAnsi="宋体" w:cs="宋体"/>
          <w:b/>
          <w:szCs w:val="21"/>
        </w:rPr>
        <w:t xml:space="preserve">登录苏</w:t>
      </w:r>
      <w:r>
        <w:rPr>
          <w:rFonts w:hint="eastAsia" w:ascii="宋体" w:hAnsi="宋体" w:cs="宋体"/>
          <w:b/>
          <w:szCs w:val="21"/>
        </w:rPr>
        <w:t xml:space="preserve">采云</w:t>
      </w:r>
      <w:r>
        <w:rPr>
          <w:rFonts w:hint="eastAsia" w:ascii="宋体" w:hAnsi="宋体" w:cs="宋体"/>
          <w:b/>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cs="宋体"/>
          <w:b/>
          <w:szCs w:val="21"/>
        </w:rPr>
        <w:t xml:space="preserve">采云</w:t>
      </w:r>
      <w:r>
        <w:rPr>
          <w:rFonts w:hint="eastAsia" w:ascii="宋体" w:hAnsi="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08"/>
        <w:spacing w:line="360" w:lineRule="auto"/>
        <w:rPr>
          <w:rFonts w:hint="eastAsia" w:ascii="宋体" w:hAnsi="宋体" w:cs="宋体"/>
          <w:b/>
          <w:szCs w:val="21"/>
        </w:rPr>
        <w:outlineLvl w:val="0"/>
      </w:pPr>
      <w:r>
        <w:rPr>
          <w:rFonts w:hint="eastAsia" w:ascii="宋体" w:hAnsi="宋体" w:cs="宋体"/>
          <w:szCs w:val="21"/>
        </w:rPr>
        <w:t xml:space="preserve">原则上第二次报价不得高于第一次报价，特殊情况由磋商小组确定。</w:t>
      </w:r>
      <w:r/>
    </w:p>
    <w:p>
      <w:pPr>
        <w:ind w:firstLine="410"/>
        <w:spacing w:line="360" w:lineRule="auto"/>
        <w:rPr>
          <w:rFonts w:hint="eastAsia" w:ascii="宋体" w:hAnsi="宋体" w:cs="宋体"/>
          <w:szCs w:val="21"/>
        </w:rPr>
        <w:outlineLvl w:val="0"/>
      </w:pPr>
      <w:r>
        <w:rPr>
          <w:rFonts w:hint="eastAsia" w:ascii="宋体" w:hAnsi="宋体" w:cs="宋体"/>
          <w:szCs w:val="21"/>
        </w:rPr>
        <w:t xml:space="preserve">进入项目评审流程后，建议各供应</w:t>
      </w:r>
      <w:r>
        <w:rPr>
          <w:rFonts w:hint="eastAsia" w:ascii="宋体" w:hAnsi="宋体" w:cs="宋体"/>
          <w:szCs w:val="21"/>
        </w:rPr>
        <w:t xml:space="preserve">商法定</w:t>
      </w:r>
      <w:r>
        <w:rPr>
          <w:rFonts w:hint="eastAsia" w:ascii="宋体" w:hAnsi="宋体" w:cs="宋体"/>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2.磋商供应商应对采购文件内所要采购的全部内容进行报价，只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部分内容者，其响应文件将被拒绝。但如果采购文件要求分标段响应的，则供应商可以有选择地只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一个或几个标段，也可以投全部标段，但各标段应分别计算填写总价。</w:t>
      </w:r>
      <w:r/>
    </w:p>
    <w:p>
      <w:pPr>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3.一项内容只允许一个报价，采购单位不接受任何有选择性的报价。</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4.磋商响应文件报价中的单价和总价全部采用人民币表示，除非合同的特殊条款另有规定。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t xml:space="preserve">八、响应文件的有效期</w:t>
      </w:r>
      <w:r/>
    </w:p>
    <w:p>
      <w:pPr>
        <w:ind w:firstLine="480"/>
        <w:spacing w:line="360" w:lineRule="auto"/>
        <w:rPr>
          <w:rFonts w:hint="eastAsia" w:ascii="宋体" w:hAnsi="宋体" w:cs="宋体"/>
          <w:szCs w:val="21"/>
        </w:rPr>
      </w:pPr>
      <w:r>
        <w:rPr>
          <w:rFonts w:hint="eastAsia" w:ascii="宋体" w:hAnsi="宋体" w:cs="宋体"/>
          <w:szCs w:val="21"/>
        </w:rPr>
        <w:t xml:space="preserve">1.本项目响应文件的有效期60日历天。响应截止时间后，响应人在投标有效期内不得撤销响应文件。</w:t>
      </w:r>
      <w:r/>
    </w:p>
    <w:p>
      <w:pPr>
        <w:ind w:firstLine="480"/>
        <w:spacing w:line="360" w:lineRule="auto"/>
        <w:rPr>
          <w:rFonts w:hint="eastAsia" w:ascii="宋体" w:hAnsi="宋体" w:cs="宋体"/>
          <w:szCs w:val="21"/>
        </w:rPr>
      </w:pPr>
      <w:r>
        <w:rPr>
          <w:rFonts w:hint="eastAsia" w:ascii="宋体" w:hAnsi="宋体" w:cs="宋体"/>
          <w:szCs w:val="21"/>
        </w:rPr>
        <w:t xml:space="preserve">2.在特殊情况下，采购人或采购代理机构可与响应人协商延长响应文件的有效期。这种要求和答复都应以书面形式进行。同意延长有效期的响应人除按照采购人或代理机构要求修改响应文件有效期外，不得修改响应文件的其他内容。</w:t>
      </w:r>
      <w:r/>
    </w:p>
    <w:p>
      <w:pPr>
        <w:spacing w:line="360" w:lineRule="auto"/>
        <w:rPr>
          <w:rFonts w:hint="eastAsia" w:ascii="宋体" w:hAnsi="宋体" w:cs="宋体"/>
          <w:b/>
          <w:szCs w:val="21"/>
        </w:rPr>
      </w:pPr>
      <w:r>
        <w:rPr>
          <w:rFonts w:hint="eastAsia" w:ascii="宋体" w:hAnsi="宋体" w:cs="宋体"/>
          <w:b/>
          <w:szCs w:val="21"/>
        </w:rPr>
        <w:t xml:space="preserve">九、截止时间</w:t>
      </w:r>
      <w:r/>
    </w:p>
    <w:p>
      <w:pPr>
        <w:ind w:firstLine="480"/>
        <w:spacing w:line="360" w:lineRule="auto"/>
        <w:rPr>
          <w:rFonts w:hint="eastAsia" w:ascii="宋体" w:hAnsi="宋体" w:cs="宋体"/>
          <w:szCs w:val="21"/>
        </w:rPr>
      </w:pPr>
      <w:r>
        <w:rPr>
          <w:rFonts w:hint="eastAsia" w:ascii="宋体" w:hAnsi="宋体" w:cs="宋体"/>
          <w:szCs w:val="21"/>
        </w:rPr>
        <w:t xml:space="preserve">1.响应文件必须在递交（上传）截止时间前上传系统。</w:t>
      </w:r>
      <w:r/>
    </w:p>
    <w:p>
      <w:pPr>
        <w:ind w:firstLine="480"/>
        <w:spacing w:line="360" w:lineRule="auto"/>
        <w:rPr>
          <w:rFonts w:hint="eastAsia" w:ascii="宋体" w:hAnsi="宋体" w:cs="宋体"/>
          <w:szCs w:val="21"/>
        </w:rPr>
      </w:pPr>
      <w:r>
        <w:rPr>
          <w:rFonts w:hint="eastAsia" w:ascii="宋体" w:hAnsi="宋体" w:cs="宋体"/>
          <w:szCs w:val="21"/>
        </w:rPr>
        <w:t xml:space="preserve">2.采购单位</w:t>
      </w:r>
      <w:r>
        <w:rPr>
          <w:rFonts w:hint="eastAsia" w:ascii="宋体" w:hAnsi="宋体" w:cs="宋体"/>
          <w:szCs w:val="21"/>
        </w:rPr>
        <w:t xml:space="preserve">推迟磋商</w:t>
      </w:r>
      <w:r>
        <w:rPr>
          <w:rFonts w:hint="eastAsia" w:ascii="宋体" w:hAnsi="宋体" w:cs="宋体"/>
          <w:szCs w:val="21"/>
        </w:rPr>
        <w:t xml:space="preserve">截止时间时，应以网上公告形式，通知所有供应商。在这种情况下，采购单位和供应商的权利和义务将受到新的截止期的约束。</w:t>
      </w:r>
      <w:r/>
    </w:p>
    <w:p>
      <w:pPr>
        <w:ind w:firstLine="480"/>
        <w:spacing w:line="360" w:lineRule="auto"/>
        <w:rPr>
          <w:rFonts w:hint="eastAsia" w:ascii="宋体" w:hAnsi="宋体" w:cs="宋体"/>
          <w:szCs w:val="21"/>
        </w:rPr>
      </w:pPr>
      <w:r>
        <w:rPr>
          <w:rFonts w:hint="eastAsia" w:ascii="宋体" w:hAnsi="宋体" w:cs="宋体"/>
          <w:szCs w:val="21"/>
        </w:rPr>
        <w:t xml:space="preserve">3.在递交（上传）截止时间以后递交（上传）的磋商响应文件，采购单位将拒绝接收。</w:t>
      </w:r>
      <w:r/>
    </w:p>
    <w:p>
      <w:pPr>
        <w:spacing w:line="360" w:lineRule="auto"/>
        <w:rPr>
          <w:rFonts w:hint="eastAsia" w:ascii="宋体" w:hAnsi="宋体" w:cs="宋体"/>
          <w:b/>
          <w:szCs w:val="21"/>
        </w:rPr>
      </w:pPr>
      <w:r>
        <w:rPr>
          <w:rFonts w:hint="eastAsia" w:ascii="宋体" w:hAnsi="宋体" w:cs="宋体"/>
          <w:b/>
          <w:szCs w:val="21"/>
        </w:rPr>
        <w:t xml:space="preserve">十、磋商程序 </w:t>
      </w:r>
      <w:r/>
    </w:p>
    <w:p>
      <w:pPr>
        <w:ind w:firstLine="480"/>
        <w:spacing w:line="360" w:lineRule="auto"/>
        <w:rPr>
          <w:rFonts w:hint="eastAsia" w:ascii="宋体" w:hAnsi="宋体" w:cs="宋体"/>
          <w:szCs w:val="21"/>
        </w:rPr>
      </w:pPr>
      <w:r>
        <w:rPr>
          <w:rFonts w:hint="eastAsia" w:ascii="宋体" w:hAnsi="宋体" w:cs="宋体"/>
          <w:szCs w:val="21"/>
        </w:rPr>
        <w:t xml:space="preserve">1.采购代理机构按本须知规定的时间、地点主持磋商采购活动。</w:t>
      </w:r>
      <w:r/>
    </w:p>
    <w:p>
      <w:pPr>
        <w:ind w:firstLine="480"/>
        <w:spacing w:line="360" w:lineRule="auto"/>
        <w:rPr>
          <w:rFonts w:hint="eastAsia" w:ascii="宋体" w:hAnsi="宋体" w:cs="宋体"/>
          <w:szCs w:val="21"/>
        </w:rPr>
      </w:pPr>
      <w:r>
        <w:rPr>
          <w:rFonts w:hint="eastAsia" w:ascii="宋体" w:hAnsi="宋体" w:cs="宋体"/>
          <w:szCs w:val="21"/>
        </w:rPr>
        <w:t xml:space="preserve">2.供应商通过“苏</w:t>
      </w:r>
      <w:r>
        <w:rPr>
          <w:rFonts w:hint="eastAsia" w:ascii="宋体" w:hAnsi="宋体" w:cs="宋体"/>
          <w:szCs w:val="21"/>
        </w:rPr>
        <w:t xml:space="preserve">采云</w:t>
      </w:r>
      <w:r>
        <w:rPr>
          <w:rFonts w:hint="eastAsia" w:ascii="宋体" w:hAnsi="宋体" w:cs="宋体"/>
          <w:szCs w:val="21"/>
        </w:rPr>
        <w:t xml:space="preserve">”系统在线参与磋商活动。供应商应当按照《苏</w:t>
      </w:r>
      <w:r>
        <w:rPr>
          <w:rFonts w:hint="eastAsia" w:ascii="宋体" w:hAnsi="宋体" w:cs="宋体"/>
          <w:szCs w:val="21"/>
        </w:rPr>
        <w:t xml:space="preserve">采云</w:t>
      </w:r>
      <w:r>
        <w:rPr>
          <w:rFonts w:hint="eastAsia" w:ascii="宋体" w:hAnsi="宋体" w:cs="宋体"/>
          <w:szCs w:val="21"/>
        </w:rPr>
        <w:t xml:space="preserve">系统供应商操作手册》规定在 “苏</w:t>
      </w:r>
      <w:r>
        <w:rPr>
          <w:rFonts w:hint="eastAsia" w:ascii="宋体" w:hAnsi="宋体" w:cs="宋体"/>
          <w:szCs w:val="21"/>
        </w:rPr>
        <w:t xml:space="preserve">采云</w:t>
      </w:r>
      <w:r>
        <w:rPr>
          <w:rFonts w:hint="eastAsia" w:ascii="宋体" w:hAnsi="宋体" w:cs="宋体"/>
          <w:szCs w:val="21"/>
        </w:rPr>
        <w:t xml:space="preserve">”系统规定的时间内对响应文件进行解密。在磋商响应文件网上递</w:t>
      </w:r>
      <w:r>
        <w:rPr>
          <w:rFonts w:hint="eastAsia" w:ascii="宋体" w:hAnsi="宋体" w:cs="宋体"/>
          <w:szCs w:val="21"/>
        </w:rPr>
        <w:t xml:space="preserve">交截止时间</w:t>
      </w:r>
      <w:r>
        <w:rPr>
          <w:rFonts w:hint="eastAsia" w:ascii="宋体" w:hAnsi="宋体" w:cs="宋体"/>
          <w:szCs w:val="21"/>
        </w:rPr>
        <w:t xml:space="preserve">止</w:t>
      </w:r>
      <w:r>
        <w:rPr>
          <w:rFonts w:hint="eastAsia" w:ascii="宋体" w:hAnsi="宋体" w:cs="宋体"/>
          <w:szCs w:val="21"/>
        </w:rPr>
        <w:t xml:space="preserve">成功解密的磋商供应商少于三家，则本次采购失败。</w:t>
      </w:r>
      <w:r/>
    </w:p>
    <w:p>
      <w:pPr>
        <w:ind w:firstLine="480"/>
        <w:spacing w:line="360" w:lineRule="auto"/>
        <w:rPr>
          <w:rFonts w:hint="eastAsia" w:ascii="宋体" w:hAnsi="宋体" w:cs="宋体"/>
          <w:szCs w:val="21"/>
        </w:rPr>
      </w:pPr>
      <w:r>
        <w:rPr>
          <w:rFonts w:hint="eastAsia" w:ascii="宋体" w:hAnsi="宋体" w:cs="宋体"/>
          <w:szCs w:val="21"/>
        </w:rPr>
        <w:t xml:space="preserve">3.由磋商小组审查供应商解密的响应文件。</w:t>
      </w:r>
      <w:r/>
    </w:p>
    <w:p>
      <w:pPr>
        <w:ind w:firstLine="480"/>
        <w:spacing w:line="360" w:lineRule="auto"/>
        <w:rPr>
          <w:rFonts w:hint="eastAsia" w:ascii="宋体" w:hAnsi="宋体" w:cs="宋体"/>
          <w:szCs w:val="21"/>
        </w:rPr>
      </w:pPr>
      <w:r>
        <w:rPr>
          <w:rFonts w:hint="eastAsia" w:ascii="宋体" w:hAnsi="宋体" w:cs="宋体"/>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Cs w:val="21"/>
        </w:rPr>
      </w:pPr>
      <w:r>
        <w:rPr>
          <w:rFonts w:hint="eastAsia" w:ascii="宋体" w:hAnsi="宋体" w:cs="宋体"/>
          <w:szCs w:val="21"/>
        </w:rPr>
        <w:t xml:space="preserve">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rPr>
          <w:rFonts w:hint="eastAsia" w:ascii="宋体" w:hAnsi="宋体" w:cs="宋体"/>
          <w:szCs w:val="21"/>
        </w:rPr>
      </w:pPr>
      <w:r>
        <w:rPr>
          <w:rFonts w:hint="eastAsia" w:ascii="宋体" w:hAnsi="宋体" w:cs="宋体"/>
          <w:szCs w:val="21"/>
        </w:rPr>
        <w:t xml:space="preserve">本项目供应商的澄清、说明或者补正采用线上澄清:磋商小组将通过“苏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”系统向供应商发布“澄清要求函”，接到“澄清要求函”的供应商应当按要求在规定时间内通过“苏</w:t>
      </w:r>
      <w:r>
        <w:rPr>
          <w:rFonts w:hint="eastAsia" w:ascii="宋体" w:hAnsi="宋体" w:cs="宋体"/>
          <w:szCs w:val="21"/>
        </w:rPr>
        <w:t xml:space="preserve">采云</w:t>
      </w:r>
      <w:r>
        <w:rPr>
          <w:rFonts w:hint="eastAsia" w:ascii="宋体" w:hAnsi="宋体" w:cs="宋体"/>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szCs w:val="21"/>
        </w:rPr>
      </w:pPr>
      <w:r>
        <w:rPr>
          <w:rFonts w:hint="eastAsia" w:ascii="宋体" w:hAnsi="宋体" w:cs="宋体"/>
          <w:szCs w:val="21"/>
        </w:rPr>
        <w:t xml:space="preserve">6.对于通过资格审查和符合性审查的供应商，磋商小组所有成员集中与单一供应商分别进行磋商，并给予所有参加磋商的供应商平等的磋商机会。磋商小组通过“苏</w:t>
      </w:r>
      <w:r>
        <w:rPr>
          <w:rFonts w:hint="eastAsia" w:ascii="宋体" w:hAnsi="宋体" w:cs="宋体"/>
          <w:szCs w:val="21"/>
        </w:rPr>
        <w:t xml:space="preserve">采云</w:t>
      </w:r>
      <w:r>
        <w:rPr>
          <w:rFonts w:hint="eastAsia" w:ascii="宋体" w:hAnsi="宋体" w:cs="宋体"/>
          <w:szCs w:val="21"/>
        </w:rPr>
        <w:t xml:space="preserve">”系统向供应商发布“磋商函”，供应商应当按照要求在“苏</w:t>
      </w:r>
      <w:r>
        <w:rPr>
          <w:rFonts w:hint="eastAsia" w:ascii="宋体" w:hAnsi="宋体" w:cs="宋体"/>
          <w:szCs w:val="21"/>
        </w:rPr>
        <w:t xml:space="preserve">采云</w:t>
      </w:r>
      <w:r>
        <w:rPr>
          <w:rFonts w:hint="eastAsia" w:ascii="宋体" w:hAnsi="宋体" w:cs="宋体"/>
          <w:szCs w:val="21"/>
        </w:rPr>
        <w:t xml:space="preserve">”系统提交“磋商响应函”并加盖CA电子公章。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Cs w:val="21"/>
        </w:rPr>
        <w:t xml:space="preserve">采云</w:t>
      </w:r>
      <w:r>
        <w:rPr>
          <w:rFonts w:hint="eastAsia" w:ascii="宋体" w:hAnsi="宋体" w:cs="宋体"/>
          <w:szCs w:val="21"/>
        </w:rPr>
        <w:t xml:space="preserve">”系统中同时通知所有参加磋商的供应商，供应商应当按照磋商文件的变动情况和磋商小组的要求在“苏</w:t>
      </w:r>
      <w:r>
        <w:rPr>
          <w:rFonts w:hint="eastAsia" w:ascii="宋体" w:hAnsi="宋体" w:cs="宋体"/>
          <w:szCs w:val="21"/>
        </w:rPr>
        <w:t xml:space="preserve">采云</w:t>
      </w:r>
      <w:r>
        <w:rPr>
          <w:rFonts w:hint="eastAsia" w:ascii="宋体" w:hAnsi="宋体" w:cs="宋体"/>
          <w:szCs w:val="21"/>
        </w:rPr>
        <w:t xml:space="preserve">”系统中重新提交响应文件，并加盖CA电子公章。</w:t>
      </w:r>
      <w:r/>
    </w:p>
    <w:p>
      <w:pPr>
        <w:ind w:firstLine="480"/>
        <w:spacing w:line="360" w:lineRule="auto"/>
        <w:rPr>
          <w:rFonts w:hint="eastAsia" w:ascii="宋体" w:hAnsi="宋体" w:cs="宋体"/>
          <w:szCs w:val="21"/>
        </w:rPr>
      </w:pPr>
      <w:r>
        <w:rPr>
          <w:rFonts w:hint="eastAsia" w:ascii="宋体" w:hAnsi="宋体" w:cs="宋体"/>
          <w:szCs w:val="21"/>
        </w:rPr>
        <w:t xml:space="preserve">8.供应商应当按照采购文件的变动情况和磋商小组的要求，各供应商应及时关注【评审】环节等待询标澄清进行回复。</w:t>
      </w:r>
      <w:r/>
    </w:p>
    <w:p>
      <w:pPr>
        <w:ind w:firstLine="480"/>
        <w:spacing w:line="360" w:lineRule="auto"/>
        <w:rPr>
          <w:rFonts w:hint="eastAsia" w:ascii="宋体" w:hAnsi="宋体" w:cs="宋体"/>
          <w:szCs w:val="21"/>
        </w:rPr>
      </w:pPr>
      <w:r>
        <w:rPr>
          <w:rFonts w:hint="eastAsia" w:ascii="宋体" w:hAnsi="宋体" w:cs="宋体"/>
          <w:szCs w:val="21"/>
        </w:rPr>
        <w:t xml:space="preserve">9.磋商结束后，磋商小组将在“苏</w:t>
      </w:r>
      <w:r>
        <w:rPr>
          <w:rFonts w:hint="eastAsia" w:ascii="宋体" w:hAnsi="宋体" w:cs="宋体"/>
          <w:szCs w:val="21"/>
        </w:rPr>
        <w:t xml:space="preserve">采云</w:t>
      </w:r>
      <w:r>
        <w:rPr>
          <w:rFonts w:hint="eastAsia" w:ascii="宋体" w:hAnsi="宋体" w:cs="宋体"/>
          <w:szCs w:val="21"/>
        </w:rPr>
        <w:t xml:space="preserve">”系统向所有实质性响应的供应商发布“最后报价要求函”及最后报价格式表，要求所有实质性响应的供应商在规定时间内提交最后报价。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szCs w:val="21"/>
        </w:rPr>
      </w:pPr>
      <w:r>
        <w:rPr>
          <w:rFonts w:hint="eastAsia" w:ascii="宋体" w:hAnsi="宋体" w:cs="宋体"/>
          <w:szCs w:val="21"/>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Cs w:val="21"/>
        </w:rPr>
      </w:pPr>
      <w:r>
        <w:rPr>
          <w:rFonts w:hint="eastAsia" w:ascii="宋体" w:hAnsi="宋体" w:cs="宋体"/>
          <w:szCs w:val="21"/>
        </w:rPr>
        <w:t xml:space="preserve">11.磋商小组根据磋商成交原则确定成交供应商，并将结果通知所有参加磋商的供应商。</w:t>
      </w:r>
      <w:r/>
    </w:p>
    <w:p>
      <w:pPr>
        <w:ind w:firstLine="480"/>
        <w:spacing w:line="360" w:lineRule="auto"/>
        <w:rPr>
          <w:rFonts w:hint="eastAsia" w:ascii="宋体" w:hAnsi="宋体" w:cs="宋体"/>
          <w:szCs w:val="21"/>
        </w:rPr>
      </w:pPr>
      <w:r>
        <w:rPr>
          <w:rFonts w:hint="eastAsia" w:ascii="宋体" w:hAnsi="宋体" w:cs="宋体"/>
          <w:szCs w:val="21"/>
        </w:rPr>
        <w:t xml:space="preserve">12.如磋商过程中出现本采购文件未尽事宜，由磋商小组根据政府采购有关法律、法规讨论决定。</w:t>
      </w:r>
      <w:r/>
    </w:p>
    <w:p>
      <w:pPr>
        <w:ind w:firstLine="480"/>
        <w:spacing w:line="360" w:lineRule="auto"/>
        <w:rPr>
          <w:rFonts w:hint="eastAsia" w:ascii="宋体" w:hAnsi="宋体" w:cs="宋体"/>
          <w:szCs w:val="21"/>
        </w:rPr>
      </w:pPr>
      <w:r>
        <w:rPr>
          <w:rFonts w:hint="eastAsia" w:ascii="宋体" w:hAnsi="宋体" w:cs="宋体"/>
          <w:szCs w:val="21"/>
        </w:rPr>
        <w:t xml:space="preserve">13.信用记录评审</w:t>
      </w:r>
      <w:r/>
    </w:p>
    <w:p>
      <w:pPr>
        <w:ind w:firstLine="480"/>
        <w:spacing w:line="360" w:lineRule="auto"/>
        <w:rPr>
          <w:rFonts w:hint="eastAsia" w:ascii="宋体" w:hAnsi="宋体" w:cs="宋体"/>
          <w:szCs w:val="21"/>
        </w:rPr>
      </w:pPr>
      <w:r>
        <w:rPr>
          <w:rFonts w:hint="eastAsia" w:ascii="宋体" w:hAnsi="宋体" w:cs="宋体"/>
          <w:szCs w:val="21"/>
        </w:rPr>
        <w:t xml:space="preserve">（1）根据苏州市财政局《关于印发苏州市市级政府采购信用记录查询和使用工作试行办法的通知》（</w:t>
      </w:r>
      <w:r>
        <w:rPr>
          <w:rFonts w:hint="eastAsia" w:ascii="宋体" w:hAnsi="宋体" w:cs="宋体"/>
          <w:szCs w:val="21"/>
        </w:rPr>
        <w:t xml:space="preserve">苏财购〔2017〕</w:t>
      </w:r>
      <w:r>
        <w:rPr>
          <w:rFonts w:hint="eastAsia" w:ascii="宋体" w:hAnsi="宋体" w:cs="宋体"/>
          <w:szCs w:val="21"/>
        </w:rPr>
        <w:t xml:space="preserve">11号）文件的规定，将对供应商进行信用查询，凡经评标委员会确认不符合政府采购相关法律法规规定的，将拒绝其参与政府采购活动。两个以上的自然人、</w:t>
      </w:r>
      <w:r>
        <w:rPr>
          <w:rFonts w:hint="eastAsia" w:ascii="宋体" w:hAnsi="宋体" w:cs="宋体"/>
          <w:szCs w:val="21"/>
        </w:rPr>
        <w:t xml:space="preserve">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80"/>
        <w:spacing w:line="360" w:lineRule="auto"/>
        <w:rPr>
          <w:rFonts w:hint="eastAsia"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cs="宋体"/>
          <w:szCs w:val="21"/>
        </w:rPr>
      </w:pPr>
      <w:r>
        <w:rPr>
          <w:rFonts w:hint="eastAsia" w:ascii="宋体" w:hAnsi="宋体" w:cs="宋体"/>
          <w:szCs w:val="21"/>
        </w:rPr>
        <w:t xml:space="preserve">（2.1）政府采购严重违法记录，</w:t>
      </w:r>
      <w:r>
        <w:rPr>
          <w:rFonts w:hint="eastAsia" w:ascii="宋体" w:hAnsi="宋体" w:cs="宋体"/>
          <w:szCs w:val="21"/>
        </w:rPr>
        <w:t xml:space="preserve">即供应</w:t>
      </w:r>
      <w:r>
        <w:rPr>
          <w:rFonts w:hint="eastAsia" w:ascii="宋体" w:hAnsi="宋体" w:cs="宋体"/>
          <w:szCs w:val="21"/>
        </w:rPr>
        <w:t xml:space="preserve">商被全国各级财政部门列入“政府采购严重违法失信行为记录名单”，且在处罚有效期内的。</w:t>
      </w:r>
      <w:r/>
    </w:p>
    <w:p>
      <w:pPr>
        <w:ind w:firstLine="480"/>
        <w:spacing w:line="360" w:lineRule="auto"/>
        <w:rPr>
          <w:rFonts w:hint="eastAsia" w:ascii="宋体" w:hAnsi="宋体" w:cs="宋体"/>
          <w:szCs w:val="21"/>
        </w:rPr>
      </w:pPr>
      <w:r>
        <w:rPr>
          <w:rFonts w:hint="eastAsia" w:ascii="宋体" w:hAnsi="宋体" w:cs="宋体"/>
          <w:szCs w:val="21"/>
        </w:rPr>
        <w:t xml:space="preserve">（2.2）财政部门与法院、工商、税务等部门联合惩戒的失信信息，包括：</w:t>
      </w:r>
      <w:r/>
    </w:p>
    <w:p>
      <w:pPr>
        <w:ind w:firstLine="48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8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8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80"/>
        <w:spacing w:line="360" w:lineRule="auto"/>
        <w:rPr>
          <w:rFonts w:hint="eastAsia" w:ascii="宋体" w:hAnsi="宋体" w:cs="宋体"/>
          <w:szCs w:val="21"/>
        </w:rPr>
      </w:pPr>
      <w:r>
        <w:rPr>
          <w:rFonts w:hint="eastAsia" w:ascii="宋体" w:hAnsi="宋体" w:cs="宋体"/>
          <w:szCs w:val="21"/>
        </w:rPr>
        <w:t xml:space="preserve">第2.1条的失信信息应通过“中国政府采购网”网的“政府采购严重违法失信行为记录名单”，以及“信用中国”网的“政府采购严重违法失信名单”栏目予以查询。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cs="宋体"/>
          <w:szCs w:val="21"/>
        </w:rPr>
      </w:pPr>
      <w:r>
        <w:rPr>
          <w:rFonts w:hint="eastAsia" w:ascii="宋体" w:hAnsi="宋体" w:cs="宋体"/>
          <w:szCs w:val="21"/>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cs="宋体"/>
          <w:szCs w:val="21"/>
        </w:rPr>
      </w:pPr>
      <w:r>
        <w:rPr>
          <w:rFonts w:hint="eastAsia" w:ascii="宋体" w:hAnsi="宋体" w:cs="宋体"/>
          <w:szCs w:val="21"/>
        </w:rPr>
        <w:t xml:space="preserve">（3）查询渠道：中国政府采购网、信用中国、信用江苏、诚信苏州网站的相关主体信用记录。</w:t>
      </w:r>
      <w:r/>
    </w:p>
    <w:p>
      <w:pPr>
        <w:ind w:firstLine="480"/>
        <w:spacing w:line="360" w:lineRule="auto"/>
        <w:rPr>
          <w:rFonts w:hint="eastAsia" w:ascii="宋体" w:hAnsi="宋体" w:cs="宋体"/>
          <w:szCs w:val="21"/>
        </w:rPr>
      </w:pPr>
      <w:r>
        <w:rPr>
          <w:rFonts w:hint="eastAsia" w:ascii="宋体" w:hAnsi="宋体" w:cs="宋体"/>
          <w:szCs w:val="21"/>
        </w:rPr>
        <w:t xml:space="preserve">（4）查询截止时点：在响应文件递交截止时间之后。</w:t>
      </w:r>
      <w:r/>
    </w:p>
    <w:p>
      <w:pPr>
        <w:ind w:firstLine="480"/>
        <w:spacing w:line="360" w:lineRule="auto"/>
      </w:pPr>
      <w:r>
        <w:rPr>
          <w:rFonts w:hint="eastAsia" w:ascii="宋体" w:hAnsi="宋体" w:cs="宋体"/>
          <w:szCs w:val="21"/>
        </w:rPr>
        <w:t xml:space="preserve">（5）证据留存具体方式：对存在失信信息的供应商，评审小组应填写《政府采购供应商失信信息确认函》，由失信供应商应签名确认。同时，采购代理机构工作人员应根据评审小组确认的失信信息，登录到来源网站页面进行复核并打印，作为证据留存。</w:t>
      </w:r>
      <w:r/>
    </w:p>
    <w:p>
      <w:pPr>
        <w:ind w:firstLine="480"/>
        <w:spacing w:line="360" w:lineRule="auto"/>
        <w:rPr>
          <w:rFonts w:hint="eastAsia" w:ascii="宋体" w:hAnsi="宋体" w:cs="宋体"/>
          <w:b/>
          <w:szCs w:val="21"/>
        </w:rPr>
      </w:pPr>
      <w:r>
        <w:rPr>
          <w:rFonts w:hint="eastAsia" w:ascii="宋体" w:hAnsi="宋体" w:cs="宋体"/>
          <w:b/>
          <w:szCs w:val="21"/>
        </w:rPr>
        <w:t xml:space="preserve">十一、无效投标条款和项目终止</w:t>
      </w:r>
      <w:r/>
    </w:p>
    <w:p>
      <w:pPr>
        <w:ind w:firstLine="480"/>
        <w:spacing w:line="360" w:lineRule="auto"/>
        <w:rPr>
          <w:rFonts w:hint="eastAsia" w:ascii="宋体" w:hAnsi="宋体" w:cs="宋体"/>
          <w:szCs w:val="21"/>
        </w:rPr>
      </w:pPr>
      <w:r>
        <w:rPr>
          <w:rFonts w:hint="eastAsia" w:ascii="宋体" w:hAnsi="宋体" w:cs="宋体"/>
          <w:szCs w:val="21"/>
        </w:rPr>
        <w:t xml:space="preserve">1.无效投标条款</w:t>
      </w:r>
      <w:r/>
    </w:p>
    <w:p>
      <w:pPr>
        <w:ind w:firstLine="480"/>
        <w:spacing w:line="360" w:lineRule="auto"/>
        <w:rPr>
          <w:rFonts w:hint="eastAsia" w:ascii="宋体" w:hAnsi="宋体" w:cs="宋体"/>
          <w:szCs w:val="21"/>
        </w:rPr>
      </w:pPr>
      <w:r>
        <w:rPr>
          <w:rFonts w:hint="eastAsia" w:ascii="宋体" w:hAnsi="宋体" w:cs="宋体"/>
          <w:szCs w:val="21"/>
        </w:rPr>
        <w:t xml:space="preserve">（1）投标文件未按招标文件要求签署、盖章的。</w:t>
      </w:r>
      <w:r/>
    </w:p>
    <w:p>
      <w:pPr>
        <w:ind w:firstLine="480"/>
        <w:spacing w:line="360" w:lineRule="auto"/>
        <w:rPr>
          <w:rFonts w:hint="eastAsia" w:ascii="宋体" w:hAnsi="宋体" w:cs="宋体"/>
          <w:szCs w:val="21"/>
        </w:rPr>
      </w:pPr>
      <w:r>
        <w:rPr>
          <w:rFonts w:hint="eastAsia" w:ascii="宋体" w:hAnsi="宋体" w:cs="宋体"/>
          <w:szCs w:val="21"/>
        </w:rPr>
        <w:t xml:space="preserve">（2）投标人在“苏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480"/>
        <w:spacing w:line="360" w:lineRule="auto"/>
        <w:rPr>
          <w:rFonts w:hint="eastAsia" w:ascii="宋体" w:hAnsi="宋体" w:cs="宋体"/>
          <w:szCs w:val="21"/>
        </w:rPr>
      </w:pPr>
      <w:r>
        <w:rPr>
          <w:rFonts w:hint="eastAsia" w:ascii="宋体" w:hAnsi="宋体" w:cs="宋体"/>
          <w:szCs w:val="21"/>
        </w:rPr>
        <w:t xml:space="preserve">（3）投标人未按照招标文件要求上传电子投标文件的。</w:t>
      </w:r>
      <w:r/>
    </w:p>
    <w:p>
      <w:pPr>
        <w:ind w:firstLine="480"/>
        <w:spacing w:line="360" w:lineRule="auto"/>
        <w:rPr>
          <w:rFonts w:hint="eastAsia" w:ascii="宋体" w:hAnsi="宋体" w:cs="宋体"/>
          <w:szCs w:val="21"/>
        </w:rPr>
      </w:pPr>
      <w:r>
        <w:rPr>
          <w:rFonts w:hint="eastAsia" w:ascii="宋体" w:hAnsi="宋体" w:cs="宋体"/>
          <w:szCs w:val="21"/>
        </w:rPr>
        <w:t xml:space="preserve">（4）投标人同一分包提交两个（含两个）以上不同的投标报价的。</w:t>
      </w:r>
      <w:r/>
    </w:p>
    <w:p>
      <w:pPr>
        <w:ind w:firstLine="480"/>
        <w:spacing w:line="360" w:lineRule="auto"/>
        <w:rPr>
          <w:rFonts w:hint="eastAsia" w:ascii="宋体" w:hAnsi="宋体" w:cs="宋体"/>
          <w:szCs w:val="21"/>
        </w:rPr>
      </w:pPr>
      <w:r>
        <w:rPr>
          <w:rFonts w:hint="eastAsia" w:ascii="宋体" w:hAnsi="宋体" w:cs="宋体"/>
          <w:szCs w:val="21"/>
        </w:rPr>
        <w:t xml:space="preserve">（5）投标人不具备招标文件中规定资格要求的。</w:t>
      </w:r>
      <w:r/>
    </w:p>
    <w:p>
      <w:pPr>
        <w:ind w:firstLine="480"/>
        <w:spacing w:line="360" w:lineRule="auto"/>
        <w:rPr>
          <w:rFonts w:hint="eastAsia" w:ascii="宋体" w:hAnsi="宋体" w:cs="宋体"/>
          <w:szCs w:val="21"/>
        </w:rPr>
      </w:pPr>
      <w:r>
        <w:rPr>
          <w:rFonts w:hint="eastAsia" w:ascii="宋体" w:hAnsi="宋体" w:cs="宋体"/>
          <w:szCs w:val="21"/>
        </w:rPr>
        <w:t xml:space="preserve">（6）投标人的报价超过了采购预算或最高限价的。</w:t>
      </w:r>
      <w:r/>
    </w:p>
    <w:p>
      <w:pPr>
        <w:ind w:firstLine="480"/>
        <w:spacing w:line="360" w:lineRule="auto"/>
        <w:rPr>
          <w:rFonts w:hint="eastAsia" w:ascii="宋体" w:hAnsi="宋体" w:cs="宋体"/>
          <w:szCs w:val="21"/>
        </w:rPr>
      </w:pPr>
      <w:r>
        <w:rPr>
          <w:rFonts w:hint="eastAsia" w:ascii="宋体" w:hAnsi="宋体" w:cs="宋体"/>
          <w:szCs w:val="21"/>
        </w:rPr>
        <w:t xml:space="preserve">（7）未通过符合性审查的。</w:t>
      </w:r>
      <w:r/>
    </w:p>
    <w:p>
      <w:pPr>
        <w:ind w:firstLine="480"/>
        <w:spacing w:line="360" w:lineRule="auto"/>
        <w:rPr>
          <w:rFonts w:hint="eastAsia" w:ascii="宋体" w:hAnsi="宋体" w:cs="宋体"/>
          <w:szCs w:val="21"/>
        </w:rPr>
      </w:pPr>
      <w:r>
        <w:rPr>
          <w:rFonts w:hint="eastAsia" w:ascii="宋体" w:hAnsi="宋体" w:cs="宋体"/>
          <w:szCs w:val="21"/>
        </w:rPr>
        <w:t xml:space="preserve">（8）不符合招标文件中规定的实质性要求的。</w:t>
      </w:r>
      <w:r/>
    </w:p>
    <w:p>
      <w:pPr>
        <w:ind w:firstLine="480"/>
        <w:spacing w:line="360" w:lineRule="auto"/>
        <w:rPr>
          <w:rFonts w:hint="eastAsia" w:ascii="宋体" w:hAnsi="宋体" w:cs="宋体"/>
          <w:szCs w:val="21"/>
        </w:rPr>
      </w:pPr>
      <w:r>
        <w:rPr>
          <w:rFonts w:hint="eastAsia" w:ascii="宋体" w:hAnsi="宋体" w:cs="宋体"/>
          <w:szCs w:val="21"/>
        </w:rPr>
        <w:t xml:space="preserve">（9）投标人被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szCs w:val="21"/>
        </w:rPr>
      </w:pPr>
      <w:r>
        <w:rPr>
          <w:rFonts w:hint="eastAsia" w:ascii="宋体" w:hAnsi="宋体" w:cs="宋体"/>
          <w:szCs w:val="21"/>
        </w:rPr>
        <w:t xml:space="preserve">（10）投标文件含有采购人不能接受的附加条件的。</w:t>
      </w:r>
      <w:r/>
    </w:p>
    <w:p>
      <w:pPr>
        <w:ind w:firstLine="480"/>
        <w:spacing w:line="360" w:lineRule="auto"/>
        <w:rPr>
          <w:rFonts w:hint="eastAsia" w:ascii="宋体" w:hAnsi="宋体" w:cs="宋体"/>
          <w:szCs w:val="21"/>
        </w:rPr>
      </w:pPr>
      <w:r>
        <w:rPr>
          <w:rFonts w:hint="eastAsia" w:ascii="宋体" w:hAnsi="宋体" w:cs="宋体"/>
          <w:szCs w:val="21"/>
        </w:rPr>
        <w:t xml:space="preserve">（11）评标委员会认为投标人的报价明显低于其他通过符合性审查投标人的报价，有可能影响产品质量或者不能诚信履约的，将通过苏</w:t>
      </w:r>
      <w:r>
        <w:rPr>
          <w:rFonts w:hint="eastAsia" w:ascii="宋体" w:hAnsi="宋体" w:cs="宋体"/>
          <w:szCs w:val="21"/>
        </w:rPr>
        <w:t xml:space="preserve">采云</w:t>
      </w:r>
      <w:r>
        <w:rPr>
          <w:rFonts w:hint="eastAsia" w:ascii="宋体" w:hAnsi="宋体" w:cs="宋体"/>
          <w:szCs w:val="21"/>
        </w:rPr>
        <w:t xml:space="preserve">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szCs w:val="21"/>
        </w:rPr>
      </w:pPr>
      <w:r>
        <w:rPr>
          <w:rFonts w:hint="eastAsia" w:ascii="宋体" w:hAnsi="宋体" w:cs="宋体"/>
          <w:szCs w:val="21"/>
        </w:rPr>
        <w:t xml:space="preserve">（12）其他法律、法规及本招标文件规定的属无效投标的情形。</w:t>
      </w:r>
      <w:r/>
    </w:p>
    <w:p>
      <w:pPr>
        <w:ind w:firstLine="480"/>
        <w:spacing w:line="360" w:lineRule="auto"/>
        <w:rPr>
          <w:rFonts w:hint="eastAsia" w:ascii="宋体" w:hAnsi="宋体" w:cs="宋体"/>
          <w:szCs w:val="21"/>
        </w:rPr>
      </w:pPr>
      <w:r>
        <w:rPr>
          <w:rFonts w:hint="eastAsia" w:ascii="宋体" w:hAnsi="宋体" w:cs="宋体"/>
          <w:szCs w:val="21"/>
        </w:rPr>
        <w:t xml:space="preserve">2.项目终止</w:t>
      </w:r>
      <w:r/>
    </w:p>
    <w:p>
      <w:pPr>
        <w:ind w:firstLine="480"/>
        <w:spacing w:line="360" w:lineRule="auto"/>
        <w:rPr>
          <w:rFonts w:hint="eastAsia" w:ascii="宋体" w:hAnsi="宋体" w:cs="宋体"/>
          <w:szCs w:val="21"/>
        </w:rPr>
      </w:pPr>
      <w:r>
        <w:rPr>
          <w:rFonts w:hint="eastAsia" w:ascii="宋体" w:hAnsi="宋体" w:cs="宋体"/>
          <w:szCs w:val="21"/>
        </w:rPr>
        <w:t xml:space="preserve">出现下列情形之一的，将终止竞争性磋商采购活动：</w:t>
      </w:r>
      <w:r/>
    </w:p>
    <w:p>
      <w:pPr>
        <w:ind w:firstLine="48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ind w:firstLine="48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ind w:firstLine="48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ind w:firstLine="480"/>
        <w:spacing w:line="360" w:lineRule="auto"/>
        <w:rPr>
          <w:rFonts w:hint="eastAsia" w:ascii="宋体" w:hAnsi="宋体" w:cs="宋体"/>
          <w:szCs w:val="21"/>
        </w:rPr>
      </w:pPr>
      <w:r>
        <w:rPr>
          <w:rFonts w:hint="eastAsia" w:ascii="宋体" w:hAnsi="宋体" w:cs="宋体"/>
          <w:szCs w:val="21"/>
        </w:rPr>
        <w:t xml:space="preserve">（4）在采购活动中因重大变故，采购任务取消的。</w:t>
      </w:r>
      <w:r/>
    </w:p>
    <w:p>
      <w:pPr>
        <w:ind w:firstLine="480"/>
        <w:spacing w:line="360" w:lineRule="auto"/>
        <w:rPr>
          <w:rFonts w:hint="eastAsia" w:ascii="宋体" w:hAnsi="宋体" w:cs="宋体"/>
          <w:szCs w:val="21"/>
        </w:rPr>
      </w:pPr>
      <w:r>
        <w:rPr>
          <w:rFonts w:hint="eastAsia" w:ascii="宋体" w:hAnsi="宋体" w:cs="宋体"/>
          <w:szCs w:val="21"/>
        </w:rPr>
        <w:t xml:space="preserve">（5）因“苏</w:t>
      </w:r>
      <w:r>
        <w:rPr>
          <w:rFonts w:hint="eastAsia" w:ascii="宋体" w:hAnsi="宋体" w:cs="宋体"/>
          <w:szCs w:val="21"/>
        </w:rPr>
        <w:t xml:space="preserve">采云</w:t>
      </w:r>
      <w:r>
        <w:rPr>
          <w:rFonts w:hint="eastAsia" w:ascii="宋体" w:hAnsi="宋体" w:cs="宋体"/>
          <w:szCs w:val="21"/>
        </w:rPr>
        <w:t xml:space="preserve">”系统系统故障原因造成开标不成功的。</w:t>
      </w:r>
      <w:r/>
    </w:p>
    <w:p>
      <w:pPr>
        <w:ind w:firstLine="480"/>
        <w:spacing w:line="360" w:lineRule="auto"/>
        <w:rPr>
          <w:rFonts w:hint="eastAsia" w:ascii="宋体" w:hAnsi="宋体" w:cs="宋体"/>
          <w:szCs w:val="21"/>
        </w:rPr>
      </w:pPr>
      <w:r>
        <w:rPr>
          <w:rFonts w:hint="eastAsia" w:ascii="宋体" w:hAnsi="宋体" w:cs="宋体"/>
          <w:szCs w:val="21"/>
        </w:rPr>
        <w:t xml:space="preserve">注：采用竞争性磋商采购方式采购的政府购买服务项目，在采购过程中符合要求的供应商只有2家的，竞争性磋商采购活动可以继续进行。</w:t>
      </w:r>
      <w:r/>
    </w:p>
    <w:p>
      <w:pPr>
        <w:ind w:firstLine="480"/>
        <w:spacing w:line="360" w:lineRule="auto"/>
        <w:rPr>
          <w:rFonts w:hint="eastAsia" w:ascii="宋体" w:hAnsi="宋体" w:cs="宋体"/>
          <w:b/>
          <w:szCs w:val="21"/>
        </w:rPr>
      </w:pPr>
      <w:r>
        <w:rPr>
          <w:rFonts w:hint="eastAsia" w:ascii="宋体" w:hAnsi="宋体" w:cs="宋体"/>
          <w:b/>
          <w:szCs w:val="21"/>
        </w:rPr>
        <w:t xml:space="preserve">十二、评审内容的保密</w:t>
      </w:r>
      <w:r/>
    </w:p>
    <w:p>
      <w:pPr>
        <w:ind w:firstLine="480"/>
        <w:spacing w:line="360" w:lineRule="auto"/>
        <w:rPr>
          <w:rFonts w:hint="eastAsia" w:ascii="宋体" w:hAnsi="宋体" w:cs="宋体"/>
          <w:szCs w:val="21"/>
        </w:rPr>
      </w:pPr>
      <w:r>
        <w:rPr>
          <w:rFonts w:hint="eastAsia" w:ascii="宋体" w:hAnsi="宋体" w:cs="宋体"/>
          <w:szCs w:val="21"/>
        </w:rPr>
        <w:t xml:space="preserve">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rPr>
          <w:rFonts w:hint="eastAsia" w:ascii="宋体" w:hAnsi="宋体" w:cs="宋体"/>
          <w:szCs w:val="21"/>
        </w:rPr>
      </w:pPr>
      <w:r>
        <w:rPr>
          <w:rFonts w:hint="eastAsia" w:ascii="宋体" w:hAnsi="宋体" w:cs="宋体"/>
          <w:szCs w:val="21"/>
        </w:rPr>
        <w:t xml:space="preserve">2.在磋商响应文件的审查、澄清、评价和比较以及授予合同的过程中，磋商供应商对采购单位和磋商小组施加影响的任何行为，都将取消其成交资格。</w:t>
      </w:r>
      <w:r/>
    </w:p>
    <w:p>
      <w:pPr>
        <w:ind w:firstLine="480"/>
        <w:spacing w:line="360" w:lineRule="auto"/>
        <w:rPr>
          <w:rFonts w:hint="eastAsia" w:ascii="宋体" w:hAnsi="宋体" w:cs="宋体"/>
          <w:szCs w:val="21"/>
        </w:rPr>
      </w:pPr>
      <w:r>
        <w:rPr>
          <w:rFonts w:hint="eastAsia" w:ascii="宋体" w:hAnsi="宋体" w:cs="宋体"/>
          <w:szCs w:val="21"/>
        </w:rPr>
        <w:t xml:space="preserve">3.在评审期间，采购单位将通过指定联络人与磋商供应商进行联系。</w:t>
      </w:r>
      <w:r/>
    </w:p>
    <w:p>
      <w:pPr>
        <w:ind w:firstLine="480"/>
        <w:spacing w:line="360" w:lineRule="auto"/>
        <w:rPr>
          <w:rFonts w:hint="eastAsia" w:ascii="宋体" w:hAnsi="宋体" w:cs="宋体"/>
          <w:b/>
          <w:szCs w:val="21"/>
        </w:rPr>
      </w:pPr>
      <w:r>
        <w:rPr>
          <w:rFonts w:hint="eastAsia" w:ascii="宋体" w:hAnsi="宋体" w:cs="宋体"/>
          <w:b/>
          <w:szCs w:val="21"/>
        </w:rPr>
        <w:t xml:space="preserve">十三、成交单位的确认</w:t>
      </w:r>
      <w:r/>
    </w:p>
    <w:p>
      <w:pPr>
        <w:ind w:firstLine="480"/>
        <w:spacing w:line="360" w:lineRule="auto"/>
        <w:rPr>
          <w:rFonts w:hint="eastAsia" w:ascii="宋体" w:hAnsi="宋体" w:cs="宋体"/>
          <w:szCs w:val="21"/>
        </w:rPr>
      </w:pPr>
      <w:r>
        <w:rPr>
          <w:rFonts w:hint="eastAsia" w:ascii="宋体" w:hAnsi="宋体" w:cs="宋体"/>
          <w:szCs w:val="21"/>
        </w:rPr>
        <w:t xml:space="preserve">1.磋商小组根据磋商供应商资格审查情况，对其响应文件进行评价和比较，按照评审办法和标准进行评审，并按采购单位的委托向采购单位推荐成交候选单位。</w:t>
      </w:r>
      <w:r/>
    </w:p>
    <w:p>
      <w:pPr>
        <w:ind w:firstLine="480"/>
        <w:spacing w:line="360" w:lineRule="auto"/>
        <w:rPr>
          <w:rFonts w:hint="eastAsia" w:ascii="宋体" w:hAnsi="宋体" w:cs="宋体"/>
          <w:szCs w:val="21"/>
        </w:rPr>
      </w:pPr>
      <w:r>
        <w:rPr>
          <w:rFonts w:hint="eastAsia" w:ascii="宋体" w:hAnsi="宋体" w:cs="宋体"/>
          <w:szCs w:val="21"/>
        </w:rPr>
        <w:t xml:space="preserve">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Cs w:val="21"/>
        </w:rPr>
        <w:t xml:space="preserve">应有磋商供应商法定</w:t>
      </w:r>
      <w:r>
        <w:rPr>
          <w:rFonts w:hint="eastAsia" w:ascii="宋体" w:hAnsi="宋体" w:cs="宋体"/>
          <w:szCs w:val="21"/>
        </w:rPr>
        <w:t xml:space="preserve">代表人或参加磋商的代理人签署。采购单位将在收到经磋商供应</w:t>
      </w:r>
      <w:r>
        <w:rPr>
          <w:rFonts w:hint="eastAsia" w:ascii="宋体" w:hAnsi="宋体" w:cs="宋体"/>
          <w:szCs w:val="21"/>
        </w:rPr>
        <w:t xml:space="preserve">商法定</w:t>
      </w:r>
      <w:r>
        <w:rPr>
          <w:rFonts w:hint="eastAsia" w:ascii="宋体" w:hAnsi="宋体" w:cs="宋体"/>
          <w:szCs w:val="21"/>
        </w:rPr>
        <w:t xml:space="preserve">代表人或参加响应供应商的代理人签署的书面质疑后七个工作日内，对质疑内容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答复。如磋商供应商未在成交结果公告期满后七个工作日内向磋商采购单位提出质疑或质疑未经磋商供应</w:t>
      </w:r>
      <w:r>
        <w:rPr>
          <w:rFonts w:hint="eastAsia" w:ascii="宋体" w:hAnsi="宋体" w:cs="宋体"/>
          <w:szCs w:val="21"/>
        </w:rPr>
        <w:t xml:space="preserve">商法定</w:t>
      </w:r>
      <w:r>
        <w:rPr>
          <w:rFonts w:hint="eastAsia" w:ascii="宋体" w:hAnsi="宋体" w:cs="宋体"/>
          <w:szCs w:val="21"/>
        </w:rPr>
        <w:t xml:space="preserve">代表人或参加磋商的代理人签署，采购单位有权对该质疑不予答复。</w:t>
      </w:r>
      <w:r/>
    </w:p>
    <w:p>
      <w:pPr>
        <w:ind w:firstLine="480"/>
        <w:spacing w:line="360" w:lineRule="auto"/>
        <w:rPr>
          <w:rFonts w:hint="eastAsia" w:ascii="宋体" w:hAnsi="宋体" w:cs="宋体"/>
          <w:szCs w:val="21"/>
        </w:rPr>
      </w:pPr>
      <w:r>
        <w:rPr>
          <w:rFonts w:hint="eastAsia" w:ascii="宋体" w:hAnsi="宋体" w:cs="宋体"/>
          <w:szCs w:val="21"/>
        </w:rPr>
        <w:t xml:space="preserve">3.由采购人授权评审委员会在候选供应商名单中直</w:t>
      </w:r>
      <w:r>
        <w:rPr>
          <w:rFonts w:hint="eastAsia" w:ascii="宋体" w:hAnsi="宋体" w:cs="宋体"/>
          <w:szCs w:val="21"/>
        </w:rPr>
        <w:t xml:space="preserve">接确定</w:t>
      </w:r>
      <w:r>
        <w:rPr>
          <w:rFonts w:hint="eastAsia" w:ascii="宋体" w:hAnsi="宋体" w:cs="宋体"/>
          <w:szCs w:val="21"/>
        </w:rPr>
        <w:t xml:space="preserve">成交供应商。</w:t>
      </w:r>
      <w:r/>
    </w:p>
    <w:p>
      <w:pPr>
        <w:ind w:firstLine="480"/>
        <w:spacing w:line="360" w:lineRule="auto"/>
        <w:rPr>
          <w:rFonts w:hint="eastAsia" w:ascii="宋体" w:hAnsi="宋体" w:cs="宋体"/>
          <w:b/>
          <w:szCs w:val="21"/>
        </w:rPr>
      </w:pPr>
      <w:r>
        <w:rPr>
          <w:rFonts w:hint="eastAsia" w:ascii="宋体" w:hAnsi="宋体" w:cs="宋体"/>
          <w:b/>
          <w:szCs w:val="21"/>
        </w:rPr>
        <w:t xml:space="preserve">十四、合同授予标准</w:t>
      </w:r>
      <w:r/>
    </w:p>
    <w:p>
      <w:pPr>
        <w:ind w:firstLine="480"/>
        <w:spacing w:line="360" w:lineRule="auto"/>
        <w:rPr>
          <w:rFonts w:hint="eastAsia" w:ascii="宋体" w:hAnsi="宋体" w:cs="宋体"/>
          <w:szCs w:val="21"/>
        </w:rPr>
      </w:pPr>
      <w:r>
        <w:rPr>
          <w:rFonts w:hint="eastAsia" w:ascii="宋体" w:hAnsi="宋体" w:cs="宋体"/>
          <w:szCs w:val="21"/>
        </w:rPr>
        <w:t xml:space="preserve">采购单位将把合同授予其磋商响应文件在实质上响应采购文件要求和按本须知规定评选出的供应商。确定为成交的供应商必须具有实施本合同的能力和资源。</w:t>
      </w:r>
      <w:r/>
    </w:p>
    <w:p>
      <w:pPr>
        <w:ind w:firstLine="480"/>
        <w:spacing w:line="360" w:lineRule="auto"/>
        <w:rPr>
          <w:rFonts w:hint="eastAsia" w:ascii="宋体" w:hAnsi="宋体" w:cs="宋体"/>
          <w:b/>
          <w:szCs w:val="21"/>
        </w:rPr>
      </w:pPr>
      <w:r>
        <w:rPr>
          <w:rFonts w:hint="eastAsia" w:ascii="宋体" w:hAnsi="宋体" w:cs="宋体"/>
          <w:b/>
          <w:szCs w:val="21"/>
        </w:rPr>
        <w:t xml:space="preserve">十五、成交通知书</w:t>
      </w:r>
      <w:r/>
    </w:p>
    <w:p>
      <w:pPr>
        <w:ind w:firstLine="480"/>
        <w:spacing w:line="360" w:lineRule="auto"/>
        <w:rPr>
          <w:rFonts w:hint="eastAsia" w:ascii="宋体" w:hAnsi="宋体" w:cs="宋体"/>
          <w:szCs w:val="21"/>
        </w:rPr>
      </w:pPr>
      <w:r>
        <w:rPr>
          <w:rFonts w:hint="eastAsia" w:ascii="宋体" w:hAnsi="宋体" w:cs="宋体"/>
          <w:szCs w:val="21"/>
        </w:rPr>
        <w:t xml:space="preserve">1.确定出成交人后，采购代理机构在法定时间内向成交人发出成交通知书。</w:t>
      </w:r>
      <w:r>
        <w:rPr>
          <w:rFonts w:hint="eastAsia" w:ascii="宋体" w:hAnsi="宋体" w:cs="宋体"/>
          <w:szCs w:val="21"/>
        </w:rPr>
        <w:t xml:space="preserve">请成交人</w:t>
      </w:r>
      <w:r>
        <w:rPr>
          <w:rFonts w:hint="eastAsia" w:ascii="宋体" w:hAnsi="宋体" w:cs="宋体"/>
          <w:szCs w:val="21"/>
        </w:rPr>
        <w:t xml:space="preserve">在成交结果公告届满之日起30日内，使用CA证书登录“苏</w:t>
      </w:r>
      <w:r>
        <w:rPr>
          <w:rFonts w:hint="eastAsia" w:ascii="宋体" w:hAnsi="宋体" w:cs="宋体"/>
          <w:szCs w:val="21"/>
        </w:rPr>
        <w:t xml:space="preserve">采云</w:t>
      </w:r>
      <w:r>
        <w:rPr>
          <w:rFonts w:hint="eastAsia" w:ascii="宋体" w:hAnsi="宋体" w:cs="宋体"/>
          <w:szCs w:val="21"/>
        </w:rPr>
        <w:t xml:space="preserve">”系统及时下载成交通知书。因系统存储空间有限，自成交结果公告届满之日起30日后，“苏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”系统不再保证提供下载成交通知书服务,因未及时下载而造成的不利后果</w:t>
      </w:r>
      <w:r>
        <w:rPr>
          <w:rFonts w:hint="eastAsia" w:ascii="宋体" w:hAnsi="宋体" w:cs="宋体"/>
          <w:szCs w:val="21"/>
        </w:rPr>
        <w:t xml:space="preserve">由成交人</w:t>
      </w:r>
      <w:r>
        <w:rPr>
          <w:rFonts w:hint="eastAsia" w:ascii="宋体" w:hAnsi="宋体" w:cs="宋体"/>
          <w:szCs w:val="21"/>
        </w:rPr>
        <w:t xml:space="preserve">自行承担。</w:t>
      </w:r>
      <w:r/>
    </w:p>
    <w:p>
      <w:pPr>
        <w:ind w:firstLine="480"/>
        <w:spacing w:line="360" w:lineRule="auto"/>
        <w:rPr>
          <w:rFonts w:hint="eastAsia" w:ascii="宋体" w:hAnsi="宋体" w:cs="宋体"/>
          <w:szCs w:val="21"/>
        </w:rPr>
      </w:pPr>
      <w:r>
        <w:rPr>
          <w:rFonts w:hint="eastAsia" w:ascii="宋体" w:hAnsi="宋体" w:cs="宋体"/>
          <w:szCs w:val="21"/>
        </w:rPr>
        <w:t xml:space="preserve">2.成交通知书将成为合同的组成部分，对采购人和成交人具有同等法律效力。</w:t>
      </w:r>
      <w:r/>
    </w:p>
    <w:p>
      <w:pPr>
        <w:ind w:firstLine="480"/>
        <w:spacing w:line="360" w:lineRule="auto"/>
        <w:rPr>
          <w:rFonts w:hint="eastAsia" w:ascii="宋体" w:hAnsi="宋体" w:cs="宋体"/>
          <w:szCs w:val="21"/>
        </w:rPr>
      </w:pPr>
      <w:r>
        <w:rPr>
          <w:rFonts w:hint="eastAsia" w:ascii="宋体" w:hAnsi="宋体" w:cs="宋体"/>
          <w:szCs w:val="21"/>
        </w:rPr>
        <w:t xml:space="preserve">3.成交通知书发出后，采购人不得违法改变成交结果，成交人无正当理由不得放弃成交。</w:t>
      </w:r>
      <w:r/>
    </w:p>
    <w:p>
      <w:pPr>
        <w:ind w:firstLine="480"/>
        <w:spacing w:line="360" w:lineRule="auto"/>
        <w:rPr>
          <w:rFonts w:hint="eastAsia" w:ascii="宋体" w:hAnsi="宋体" w:cs="宋体"/>
          <w:b/>
          <w:szCs w:val="21"/>
        </w:rPr>
      </w:pPr>
      <w:r>
        <w:rPr>
          <w:rFonts w:hint="eastAsia" w:ascii="宋体" w:hAnsi="宋体" w:cs="宋体"/>
          <w:b/>
          <w:szCs w:val="21"/>
        </w:rPr>
        <w:t xml:space="preserve">十六、签订合同</w:t>
      </w:r>
      <w:r/>
    </w:p>
    <w:p>
      <w:pPr>
        <w:ind w:firstLine="480"/>
        <w:spacing w:line="360" w:lineRule="auto"/>
        <w:rPr>
          <w:rFonts w:hint="eastAsia" w:ascii="宋体" w:hAnsi="宋体" w:cs="宋体"/>
          <w:szCs w:val="21"/>
        </w:rPr>
      </w:pPr>
      <w:r>
        <w:rPr>
          <w:rFonts w:hint="eastAsia" w:ascii="宋体" w:hAnsi="宋体" w:cs="宋体"/>
          <w:szCs w:val="21"/>
        </w:rPr>
        <w:t xml:space="preserve">1.采购人与成交供应商应当在成交通知书发出之日起15日内（原则上不超过30日），按照磋商文件确定的合同文本以及采购标的、规格型号、采购金额、采购数量、技术和服务要求等事项签订政府采购合同。采购人不得向成交供应商提出</w:t>
      </w:r>
      <w:r>
        <w:rPr>
          <w:rFonts w:hint="eastAsia" w:ascii="宋体" w:hAnsi="宋体" w:cs="宋体"/>
          <w:szCs w:val="21"/>
        </w:rPr>
        <w:t xml:space="preserve">超出磋商</w:t>
      </w:r>
      <w:r>
        <w:rPr>
          <w:rFonts w:hint="eastAsia" w:ascii="宋体" w:hAnsi="宋体" w:cs="宋体"/>
          <w:szCs w:val="21"/>
        </w:rPr>
        <w:t xml:space="preserve">文件以外的任何要求作为签订合同的条件，不得与成交供应商订立</w:t>
      </w:r>
      <w:r>
        <w:rPr>
          <w:rFonts w:hint="eastAsia" w:ascii="宋体" w:hAnsi="宋体" w:cs="宋体"/>
          <w:szCs w:val="21"/>
        </w:rPr>
        <w:t xml:space="preserve">背离磋商</w:t>
      </w:r>
      <w:r>
        <w:rPr>
          <w:rFonts w:hint="eastAsia" w:ascii="宋体" w:hAnsi="宋体" w:cs="宋体"/>
          <w:szCs w:val="21"/>
        </w:rPr>
        <w:t xml:space="preserve">文件确定的合同文本以及采购标的、规格型号、采购金额、采购数量、技术和服务要求等实质性内容的协议。</w:t>
      </w:r>
      <w:r/>
    </w:p>
    <w:p>
      <w:pPr>
        <w:ind w:firstLine="480"/>
        <w:spacing w:line="360" w:lineRule="auto"/>
        <w:rPr>
          <w:rFonts w:hint="eastAsia" w:ascii="宋体" w:hAnsi="宋体" w:cs="宋体"/>
          <w:szCs w:val="21"/>
        </w:rPr>
      </w:pPr>
      <w:r>
        <w:rPr>
          <w:rFonts w:hint="eastAsia" w:ascii="宋体" w:hAnsi="宋体" w:cs="宋体"/>
          <w:szCs w:val="21"/>
        </w:rPr>
        <w:t xml:space="preserve">2.采购人如需追加与合同标的相同的货物，在不改变合同其他条款的前提下，成交供应商可与采购人协商签订补充合同，但所有补充合同的采购金额不得超过原合同金额的百分之十。</w:t>
      </w:r>
      <w:r/>
    </w:p>
    <w:p>
      <w:pPr>
        <w:ind w:firstLine="480"/>
        <w:spacing w:line="360" w:lineRule="auto"/>
        <w:rPr>
          <w:rFonts w:hint="eastAsia" w:ascii="宋体" w:hAnsi="宋体" w:cs="宋体"/>
          <w:szCs w:val="21"/>
        </w:rPr>
      </w:pPr>
      <w:r>
        <w:rPr>
          <w:rFonts w:hint="eastAsia" w:ascii="宋体" w:hAnsi="宋体" w:cs="宋体"/>
          <w:szCs w:val="21"/>
        </w:rPr>
        <w:t xml:space="preserve">3.成交供应</w:t>
      </w:r>
      <w:r>
        <w:rPr>
          <w:rFonts w:hint="eastAsia" w:ascii="宋体" w:hAnsi="宋体" w:cs="宋体"/>
          <w:szCs w:val="21"/>
        </w:rPr>
        <w:t xml:space="preserve">商拒绝</w:t>
      </w:r>
      <w:r>
        <w:rPr>
          <w:rFonts w:hint="eastAsia" w:ascii="宋体" w:hAnsi="宋体" w:cs="宋体"/>
          <w:szCs w:val="21"/>
        </w:rPr>
        <w:t xml:space="preserve">签订政府采购合同的，采购人可以按照《政府采购竞争性磋商采购方式管理暂行办法》第二十八条第二款规定的原则确定其他响应人作为成交供应商并签订政府采购合同，也可以重新开展采购活动。拒绝签订政府采购合同的成交供应商不得参加对该项目重新开展的采购活动。</w:t>
      </w:r>
      <w:r/>
    </w:p>
    <w:p>
      <w:pPr>
        <w:ind w:firstLine="480"/>
        <w:spacing w:line="360" w:lineRule="auto"/>
        <w:rPr>
          <w:rFonts w:hint="eastAsia" w:ascii="宋体" w:hAnsi="宋体" w:cs="宋体"/>
          <w:szCs w:val="21"/>
        </w:rPr>
      </w:pPr>
      <w:r>
        <w:rPr>
          <w:rFonts w:hint="eastAsia" w:ascii="宋体" w:hAnsi="宋体" w:cs="宋体"/>
          <w:szCs w:val="21"/>
        </w:rPr>
        <w:t xml:space="preserve">4.成交供应商一旦成交，及签订合同后，不得转包、分包，亦不得将合同全部及任何权利、义务向第三方转让，否则将被视为严重违约，采购代理机构有权决定按照成交供应</w:t>
      </w:r>
      <w:r>
        <w:rPr>
          <w:rFonts w:hint="eastAsia" w:ascii="宋体" w:hAnsi="宋体" w:cs="宋体"/>
          <w:szCs w:val="21"/>
        </w:rPr>
        <w:t xml:space="preserve">商成交</w:t>
      </w:r>
      <w:r>
        <w:rPr>
          <w:rFonts w:hint="eastAsia" w:ascii="宋体" w:hAnsi="宋体" w:cs="宋体"/>
          <w:szCs w:val="21"/>
        </w:rPr>
        <w:t xml:space="preserve">后终止或解除合同等依约处理。</w:t>
      </w:r>
      <w:r/>
    </w:p>
    <w:p>
      <w:pPr>
        <w:ind w:firstLine="480"/>
        <w:spacing w:line="360" w:lineRule="auto"/>
        <w:rPr>
          <w:rFonts w:hint="eastAsia" w:ascii="宋体" w:hAnsi="宋体" w:cs="宋体"/>
          <w:b/>
          <w:szCs w:val="21"/>
        </w:rPr>
      </w:pPr>
      <w:r>
        <w:rPr>
          <w:rFonts w:hint="eastAsia" w:ascii="宋体" w:hAnsi="宋体" w:cs="宋体"/>
          <w:b/>
          <w:szCs w:val="21"/>
        </w:rPr>
        <w:t xml:space="preserve">十七、其他</w:t>
      </w:r>
      <w:r/>
    </w:p>
    <w:p>
      <w:pPr>
        <w:ind w:firstLine="480"/>
        <w:spacing w:line="360" w:lineRule="auto"/>
        <w:rPr>
          <w:rFonts w:hint="eastAsia" w:ascii="宋体" w:hAnsi="宋体" w:cs="宋体"/>
          <w:szCs w:val="21"/>
        </w:rPr>
      </w:pPr>
      <w:r>
        <w:rPr>
          <w:rFonts w:hint="eastAsia" w:ascii="宋体" w:hAnsi="宋体" w:cs="宋体"/>
          <w:szCs w:val="21"/>
        </w:rPr>
        <w:t xml:space="preserve">1.代理服务费</w:t>
      </w:r>
      <w:r/>
    </w:p>
    <w:p>
      <w:pPr>
        <w:ind w:firstLine="480"/>
        <w:spacing w:line="360" w:lineRule="auto"/>
        <w:rPr>
          <w:rFonts w:hint="eastAsia" w:ascii="宋体" w:hAnsi="宋体" w:cs="宋体"/>
          <w:szCs w:val="21"/>
        </w:rPr>
      </w:pPr>
      <w:r>
        <w:rPr>
          <w:rFonts w:hint="eastAsia" w:ascii="宋体" w:hAnsi="宋体" w:cs="宋体"/>
          <w:szCs w:val="21"/>
        </w:rPr>
        <w:t xml:space="preserve">成交单位须按前附表的规定按其预算金额计算并支付服务费，该费用应在领取成交通知书时付清。</w:t>
      </w:r>
      <w:r/>
    </w:p>
    <w:p>
      <w:pPr>
        <w:ind w:firstLine="480"/>
        <w:spacing w:line="360" w:lineRule="auto"/>
        <w:rPr>
          <w:rFonts w:hint="eastAsia" w:ascii="宋体" w:hAnsi="宋体" w:cs="宋体"/>
          <w:szCs w:val="21"/>
        </w:rPr>
      </w:pPr>
      <w:r>
        <w:rPr>
          <w:rFonts w:hint="eastAsia" w:ascii="宋体" w:hAnsi="宋体" w:cs="宋体"/>
          <w:szCs w:val="21"/>
        </w:rPr>
        <w:t xml:space="preserve">2.政府采购政策（如属）</w:t>
      </w:r>
      <w:r/>
    </w:p>
    <w:p>
      <w:pPr>
        <w:ind w:firstLine="480"/>
        <w:spacing w:line="360" w:lineRule="auto"/>
        <w:rPr>
          <w:rFonts w:hint="eastAsia" w:ascii="宋体" w:hAnsi="宋体" w:cs="宋体"/>
          <w:szCs w:val="21"/>
        </w:rPr>
      </w:pPr>
      <w:r>
        <w:rPr>
          <w:rFonts w:hint="eastAsia" w:ascii="宋体" w:hAnsi="宋体" w:cs="宋体"/>
          <w:szCs w:val="21"/>
        </w:rPr>
        <w:t xml:space="preserve">（1）小、微企业</w:t>
      </w:r>
      <w:r/>
    </w:p>
    <w:p>
      <w:pPr>
        <w:ind w:firstLine="48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根据《政府采购促进中小企业发展管理办法》（财库〔2020〕46号）的及江苏省财政厅《关于做好政府采购支持企业发展有关事项的通知》（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52号）的相关规定，如供应商认定本企业为小型、微型企业，则需根据《中小企业划型标准规定》（工信部联企业</w:t>
      </w:r>
      <w:r>
        <w:rPr>
          <w:rFonts w:hint="eastAsia" w:ascii="宋体" w:hAnsi="宋体" w:cs="宋体"/>
          <w:szCs w:val="21"/>
        </w:rPr>
        <w:t xml:space="preserve">〔2011〕300号）提交《中小企业声明函》并加盖公章。</w:t>
      </w:r>
      <w:r/>
    </w:p>
    <w:p>
      <w:pPr>
        <w:ind w:firstLine="480"/>
        <w:spacing w:line="360" w:lineRule="auto"/>
        <w:rPr>
          <w:rFonts w:hint="eastAsia" w:ascii="宋体" w:hAnsi="宋体" w:cs="宋体"/>
          <w:szCs w:val="21"/>
        </w:rPr>
      </w:pPr>
      <w:r>
        <w:rPr>
          <w:rFonts w:hint="eastAsia" w:ascii="宋体" w:hAnsi="宋体" w:cs="宋体"/>
          <w:szCs w:val="21"/>
        </w:rPr>
        <w:t xml:space="preserve">（2）残疾人福利性单位</w:t>
      </w:r>
      <w:r/>
    </w:p>
    <w:p>
      <w:pPr>
        <w:ind w:firstLine="48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根据《关于促进残疾人就业政府采购政策的通知》（财库〔2017〕141号）的相关规定，如供应商为残疾人福利性单位，则视同小型、微型企业，应提交《残疾人福利性单位声明函》并加盖公章。</w:t>
      </w:r>
      <w:r/>
    </w:p>
    <w:p>
      <w:pPr>
        <w:ind w:firstLine="480"/>
        <w:spacing w:line="360" w:lineRule="auto"/>
        <w:rPr>
          <w:rFonts w:hint="eastAsia" w:ascii="宋体" w:hAnsi="宋体" w:cs="宋体"/>
          <w:szCs w:val="21"/>
        </w:rPr>
      </w:pPr>
      <w:r>
        <w:rPr>
          <w:rFonts w:hint="eastAsia" w:ascii="宋体" w:hAnsi="宋体" w:cs="宋体"/>
          <w:szCs w:val="21"/>
        </w:rPr>
        <w:t xml:space="preserve">（3）监狱企业</w:t>
      </w:r>
      <w:r/>
    </w:p>
    <w:p>
      <w:pPr>
        <w:ind w:firstLine="480"/>
        <w:spacing w:line="360" w:lineRule="auto"/>
        <w:rPr>
          <w:rFonts w:hint="eastAsia"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如供应商为监狱企业，则视同小型、微型企业，应当提供由省级以上监狱管理局、戒毒管理局（含新疆生产建设兵团）出具的属于监狱企业的证明文件。</w:t>
      </w:r>
      <w:r/>
    </w:p>
    <w:p>
      <w:pPr>
        <w:ind w:firstLine="480"/>
        <w:spacing w:line="360" w:lineRule="auto"/>
        <w:rPr>
          <w:rFonts w:hint="eastAsia" w:ascii="宋体" w:hAnsi="宋体" w:cs="宋体"/>
          <w:szCs w:val="21"/>
        </w:rPr>
      </w:pPr>
      <w:r>
        <w:rPr>
          <w:rFonts w:hint="eastAsia" w:ascii="宋体" w:hAnsi="宋体" w:cs="宋体"/>
          <w:szCs w:val="21"/>
        </w:rPr>
        <w:t xml:space="preserve">（4）绿色采购</w:t>
      </w:r>
      <w:r/>
    </w:p>
    <w:p>
      <w:pPr>
        <w:ind w:firstLine="48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cs="宋体"/>
          <w:szCs w:val="21"/>
        </w:rPr>
      </w:pPr>
      <w:r>
        <w:rPr>
          <w:rFonts w:hint="eastAsia" w:ascii="宋体" w:hAnsi="宋体" w:cs="宋体"/>
          <w:szCs w:val="21"/>
        </w:rPr>
        <w:t xml:space="preserve">（5）若供应商提供的《中小企业声明函》、《残疾人福利性单位声明函》及监狱企业认定证明等材料为虚假材料，按《政府采购法》相关规定处理并报请政府采购监管部门给予行政处罚。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hAnsi="宋体" w:cs="宋体"/>
          <w:b/>
          <w:szCs w:val="21"/>
        </w:rPr>
      </w:pPr>
      <w:r>
        <w:rPr>
          <w:rFonts w:hint="eastAsia" w:ascii="宋体" w:hAnsi="宋体" w:cs="宋体"/>
          <w:b/>
          <w:szCs w:val="21"/>
        </w:rPr>
        <w:t xml:space="preserve">十八、未尽事宜</w:t>
      </w:r>
      <w:r/>
    </w:p>
    <w:p>
      <w:pPr>
        <w:ind w:firstLine="480"/>
        <w:spacing w:line="360" w:lineRule="auto"/>
      </w:pPr>
      <w:r>
        <w:rPr>
          <w:rFonts w:hint="eastAsia" w:ascii="宋体" w:hAnsi="宋体" w:cs="宋体"/>
          <w:szCs w:val="21"/>
        </w:rPr>
        <w:t xml:space="preserve">按《中华人民共和国政府采购法》及其他有关的法律法规的规定执行。</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十九、凡</w:t>
      </w:r>
      <w:r>
        <w:rPr>
          <w:rFonts w:hint="eastAsia" w:ascii="宋体" w:hAnsi="宋体" w:cs="宋体"/>
          <w:b/>
          <w:szCs w:val="21"/>
        </w:rPr>
        <w:t xml:space="preserve">涉及磋商</w:t>
      </w:r>
      <w:r>
        <w:rPr>
          <w:rFonts w:hint="eastAsia" w:ascii="宋体" w:hAnsi="宋体" w:cs="宋体"/>
          <w:b/>
          <w:szCs w:val="21"/>
        </w:rPr>
        <w:t xml:space="preserve">采购文件的补充说明和修改，均以苏州市政府采购网上公示的补充通知为准。</w:t>
      </w:r>
      <w:r/>
    </w:p>
    <w:p>
      <w:pPr>
        <w:ind w:firstLine="422"/>
        <w:spacing w:line="360" w:lineRule="auto"/>
        <w:widowControl/>
        <w:rPr>
          <w:rFonts w:hint="eastAsia" w:ascii="宋体" w:hAnsi="宋体" w:cs="宋体"/>
          <w:b/>
          <w:szCs w:val="21"/>
        </w:rPr>
      </w:pPr>
      <w:r>
        <w:rPr>
          <w:rFonts w:hint="eastAsia" w:ascii="宋体" w:hAnsi="宋体" w:cs="宋体"/>
          <w:b/>
          <w:szCs w:val="21"/>
        </w:rPr>
      </w:r>
      <w:r/>
    </w:p>
    <w:p>
      <w:pPr>
        <w:ind w:firstLine="420"/>
        <w:spacing w:line="360" w:lineRule="auto"/>
        <w:widowControl/>
        <w:rPr>
          <w:rFonts w:hint="eastAsia" w:ascii="宋体" w:hAnsi="宋体" w:cs="宋体"/>
          <w:szCs w:val="21"/>
        </w:rPr>
      </w:pPr>
      <w:r>
        <w:rPr>
          <w:rFonts w:hint="eastAsia" w:ascii="宋体" w:hAnsi="宋体" w:cs="宋体"/>
          <w:szCs w:val="21"/>
        </w:rPr>
      </w:r>
      <w:r/>
    </w:p>
    <w:p>
      <w:pPr>
        <w:pStyle w:val="738"/>
        <w:rPr>
          <w:rFonts w:hint="eastAsia"/>
        </w:rPr>
      </w:pPr>
      <w:r>
        <w:rPr>
          <w:rFonts w:hint="eastAsia"/>
        </w:rPr>
      </w:r>
      <w:r/>
    </w:p>
    <w:p>
      <w:r/>
      <w:r/>
    </w:p>
    <w:p>
      <w:pPr>
        <w:pStyle w:val="738"/>
        <w:rPr>
          <w:rFonts w:hint="eastAsia"/>
        </w:rPr>
      </w:pPr>
      <w:r>
        <w:rPr>
          <w:rFonts w:hint="eastAsia"/>
        </w:rPr>
      </w:r>
      <w:r/>
    </w:p>
    <w:p>
      <w:r/>
      <w:r/>
    </w:p>
    <w:p>
      <w:r/>
      <w:r/>
    </w:p>
    <w:p>
      <w:pPr>
        <w:pStyle w:val="738"/>
        <w:rPr>
          <w:rFonts w:hint="eastAsia"/>
        </w:rPr>
      </w:pPr>
      <w:r>
        <w:rPr>
          <w:rFonts w:hint="eastAsia"/>
        </w:rPr>
      </w:r>
      <w:r/>
    </w:p>
    <w:p>
      <w:r/>
      <w:r/>
    </w:p>
    <w:p>
      <w:pPr>
        <w:pStyle w:val="738"/>
        <w:rPr>
          <w:rFonts w:hint="eastAsia"/>
        </w:rPr>
      </w:pPr>
      <w:r>
        <w:rPr>
          <w:rFonts w:hint="eastAsia"/>
        </w:rPr>
      </w:r>
      <w:r/>
    </w:p>
    <w:p>
      <w:r/>
      <w:r/>
    </w:p>
    <w:p>
      <w:r/>
      <w:r/>
    </w:p>
    <w:p>
      <w:pPr>
        <w:pStyle w:val="738"/>
        <w:rPr>
          <w:rFonts w:hint="eastAsia"/>
        </w:rPr>
      </w:pPr>
      <w:r>
        <w:rPr>
          <w:rFonts w:hint="eastAsia"/>
        </w:rPr>
      </w:r>
      <w:r/>
    </w:p>
    <w:p>
      <w:pPr>
        <w:pStyle w:val="738"/>
        <w:numPr>
          <w:ilvl w:val="0"/>
          <w:numId w:val="0"/>
        </w:numPr>
        <w:ind w:left="0" w:firstLine="0"/>
        <w:rPr>
          <w:rFonts w:hint="eastAsia"/>
        </w:rPr>
      </w:pPr>
      <w:r>
        <w:rPr>
          <w:rFonts w:hint="eastAsia"/>
        </w:rPr>
      </w:r>
      <w:r/>
      <w:r>
        <w:rPr>
          <w:rFonts w:hint="eastAsia"/>
        </w:rPr>
      </w:r>
      <w:r/>
      <w:r>
        <w:rPr>
          <w:rFonts w:hint="eastAsia"/>
        </w:rPr>
      </w:r>
    </w:p>
    <w:p>
      <w:pPr>
        <w:pStyle w:val="727"/>
        <w:rPr>
          <w:rFonts w:hint="eastAsia"/>
          <w:szCs w:val="32"/>
        </w:rPr>
      </w:pPr>
      <w:r/>
      <w:bookmarkStart w:id="25" w:name="_Toc484503769"/>
      <w:r>
        <w:rPr>
          <w:rFonts w:hint="eastAsia"/>
          <w:szCs w:val="32"/>
        </w:rPr>
        <w:t xml:space="preserve">第三章</w:t>
      </w:r>
      <w:bookmarkEnd w:id="25"/>
      <w:r>
        <w:rPr>
          <w:rFonts w:hint="eastAsia"/>
          <w:szCs w:val="32"/>
        </w:rPr>
        <w:t xml:space="preserve">评审方法及评分标准</w:t>
      </w:r>
      <w:r/>
    </w:p>
    <w:p>
      <w:pPr>
        <w:ind w:firstLine="422"/>
        <w:spacing w:line="360" w:lineRule="auto"/>
        <w:widowControl/>
        <w:rPr>
          <w:rFonts w:hint="eastAsia" w:cs="宋体" w:asciiTheme="minorEastAsia" w:hAnsiTheme="minorEastAsia" w:eastAsiaTheme="minorEastAsia"/>
          <w:b/>
          <w:bCs/>
          <w:szCs w:val="21"/>
        </w:rPr>
      </w:pPr>
      <w:r/>
      <w:bookmarkStart w:id="26" w:name="_Toc484503770"/>
      <w:r>
        <w:rPr>
          <w:rFonts w:hint="eastAsia" w:cs="宋体" w:asciiTheme="minorEastAsia" w:hAnsiTheme="minorEastAsia" w:eastAsiaTheme="minorEastAsia"/>
          <w:b/>
          <w:bCs/>
          <w:szCs w:val="21"/>
        </w:rPr>
        <w:t xml:space="preserve">一、评审方法：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1.本次磋商采用综合评分法，即在响应文件满足采购文件全部实质性要求且按评审因素的量化指标评审得分最高的供应商为成交候选供应商。采购人</w:t>
      </w:r>
      <w:r>
        <w:rPr>
          <w:rFonts w:hint="eastAsia" w:cs="宋体" w:asciiTheme="minorEastAsia" w:hAnsiTheme="minorEastAsia" w:eastAsiaTheme="minorEastAsia"/>
          <w:bCs/>
          <w:szCs w:val="21"/>
        </w:rPr>
        <w:t xml:space="preserve">授权磋商</w:t>
      </w:r>
      <w:r>
        <w:rPr>
          <w:rFonts w:hint="eastAsia" w:cs="宋体" w:asciiTheme="minorEastAsia" w:hAnsiTheme="minorEastAsia" w:eastAsiaTheme="minorEastAsia"/>
          <w:bCs/>
          <w:szCs w:val="21"/>
        </w:rPr>
        <w:t xml:space="preserve">小组直接确定成交供应商。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2.磋商小组各成员独立对每个</w:t>
      </w:r>
      <w:r>
        <w:rPr>
          <w:rFonts w:hint="eastAsia" w:cs="宋体" w:asciiTheme="minorEastAsia" w:hAnsiTheme="minorEastAsia" w:eastAsiaTheme="minorEastAsia"/>
          <w:bCs/>
          <w:szCs w:val="21"/>
        </w:rPr>
        <w:t xml:space="preserve">有效响应</w:t>
      </w:r>
      <w:r>
        <w:rPr>
          <w:rFonts w:hint="eastAsia" w:cs="宋体" w:asciiTheme="minorEastAsia" w:hAnsiTheme="minorEastAsia" w:eastAsiaTheme="minorEastAsia"/>
          <w:bCs/>
          <w:szCs w:val="21"/>
        </w:rPr>
        <w:t xml:space="preserve">的文件进行评价、打分。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3.对评委的评分（除价格分外）进行统计汇总，直接算术平均计算出每个供应商的得分，加上价格得分即为每个供应商的综合得分。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4.如出现评审总得分最高的供应商有两个或两个以上的，以最后报价较低者优先作为成交供应商，如果最后报价也相同的，则由磋商小组以抽签方式确定成交供应商。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5.本项目专门面向中小企业采购，不再执行价格评审优惠的扶持政策。 </w:t>
      </w:r>
      <w:r/>
    </w:p>
    <w:p>
      <w:pPr>
        <w:ind w:firstLine="422"/>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二、评分标准：</w:t>
      </w:r>
      <w:r>
        <w:rPr>
          <w:rFonts w:cs="宋体" w:asciiTheme="minorEastAsia" w:hAnsiTheme="minorEastAsia" w:eastAsiaTheme="minorEastAsia"/>
          <w:b/>
          <w:bCs/>
          <w:szCs w:val="21"/>
        </w:rPr>
        <w:t xml:space="preserve"> </w:t>
      </w:r>
      <w:r/>
    </w:p>
    <w:p>
      <w:pPr>
        <w:ind w:firstLine="422"/>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（一）</w:t>
      </w:r>
      <w:r>
        <w:rPr>
          <w:rFonts w:hint="eastAsia" w:cs="宋体" w:asciiTheme="minorEastAsia" w:hAnsiTheme="minorEastAsia" w:eastAsiaTheme="minorEastAsia"/>
          <w:b/>
          <w:bCs/>
          <w:szCs w:val="21"/>
        </w:rPr>
        <w:t xml:space="preserve">价格分</w:t>
      </w:r>
      <w:r>
        <w:rPr>
          <w:rFonts w:hint="eastAsia" w:cs="宋体" w:asciiTheme="minorEastAsia" w:hAnsiTheme="minorEastAsia" w:eastAsiaTheme="minorEastAsia"/>
          <w:b/>
          <w:bCs/>
          <w:szCs w:val="21"/>
        </w:rPr>
        <w:t xml:space="preserve">分（10分）</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第一步：</w:t>
      </w:r>
      <w:r>
        <w:rPr>
          <w:rFonts w:hint="eastAsia" w:cs="宋体" w:asciiTheme="minorEastAsia" w:hAnsiTheme="minorEastAsia" w:eastAsiaTheme="minorEastAsia"/>
          <w:bCs/>
          <w:szCs w:val="21"/>
        </w:rPr>
        <w:t xml:space="preserve">磋商报价（优惠率）</w:t>
      </w:r>
      <w:r>
        <w:rPr>
          <w:rFonts w:cs="宋体" w:asciiTheme="minorEastAsia" w:hAnsiTheme="minorEastAsia" w:eastAsiaTheme="minorEastAsia"/>
          <w:bCs/>
          <w:szCs w:val="21"/>
        </w:rPr>
        <w:t xml:space="preserve">低于或等于</w:t>
      </w:r>
      <w:r>
        <w:rPr>
          <w:rFonts w:hint="eastAsia" w:cs="宋体" w:asciiTheme="minorEastAsia" w:hAnsiTheme="minorEastAsia" w:eastAsiaTheme="minorEastAsia"/>
          <w:bCs/>
          <w:szCs w:val="21"/>
        </w:rPr>
        <w:t xml:space="preserve">采购预算价格的，为有效磋商报价。</w:t>
      </w:r>
      <w:r>
        <w:rPr>
          <w:rFonts w:hint="eastAsia" w:cs="宋体" w:asciiTheme="minorEastAsia" w:hAnsiTheme="minorEastAsia" w:eastAsiaTheme="minorEastAsia"/>
          <w:bCs/>
          <w:szCs w:val="21"/>
        </w:rPr>
        <w:t xml:space="preserve">超财政</w:t>
      </w:r>
      <w:r>
        <w:rPr>
          <w:rFonts w:hint="eastAsia" w:cs="宋体" w:asciiTheme="minorEastAsia" w:hAnsiTheme="minorEastAsia" w:eastAsiaTheme="minorEastAsia"/>
          <w:bCs/>
          <w:szCs w:val="21"/>
        </w:rPr>
        <w:t xml:space="preserve">预算的磋商报价文件为未实质性响应文件，不参与评审；</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第二步：</w:t>
      </w:r>
      <w:r>
        <w:rPr>
          <w:rFonts w:hint="eastAsia" w:cs="宋体" w:asciiTheme="minorEastAsia" w:hAnsiTheme="minorEastAsia" w:eastAsiaTheme="minorEastAsia"/>
          <w:bCs/>
          <w:szCs w:val="21"/>
        </w:rPr>
        <w:t xml:space="preserve">价格</w:t>
      </w:r>
      <w:r>
        <w:rPr>
          <w:rFonts w:hint="eastAsia" w:cs="宋体" w:asciiTheme="minorEastAsia" w:hAnsiTheme="minorEastAsia" w:eastAsiaTheme="minorEastAsia"/>
          <w:bCs/>
          <w:szCs w:val="21"/>
        </w:rPr>
        <w:t xml:space="preserve">分采用低价优先法计算，即满足磋商响应文件要求且最终</w:t>
      </w:r>
      <w:r>
        <w:rPr>
          <w:rFonts w:hint="eastAsia" w:cs="宋体" w:asciiTheme="minorEastAsia" w:hAnsiTheme="minorEastAsia" w:eastAsiaTheme="minorEastAsia"/>
          <w:bCs/>
          <w:szCs w:val="21"/>
        </w:rPr>
        <w:t xml:space="preserve">磋商</w:t>
      </w:r>
      <w:bookmarkStart w:id="27" w:name="OLE_LINK13"/>
      <w:r>
        <w:rPr>
          <w:rFonts w:hint="eastAsia" w:cs="宋体" w:asciiTheme="minorEastAsia" w:hAnsiTheme="minorEastAsia" w:eastAsiaTheme="minorEastAsia"/>
          <w:bCs/>
          <w:szCs w:val="21"/>
        </w:rPr>
        <w:t xml:space="preserve">报价（1-优惠率）</w:t>
      </w:r>
      <w:bookmarkEnd w:id="27"/>
      <w:r>
        <w:rPr>
          <w:rFonts w:hint="eastAsia" w:cs="宋体" w:asciiTheme="minorEastAsia" w:hAnsiTheme="minorEastAsia" w:eastAsiaTheme="minorEastAsia"/>
          <w:bCs/>
          <w:szCs w:val="21"/>
        </w:rPr>
        <w:t xml:space="preserve">最低的为评标基准</w:t>
      </w:r>
      <w:r>
        <w:rPr>
          <w:rFonts w:hint="eastAsia" w:cs="宋体" w:asciiTheme="minorEastAsia" w:hAnsiTheme="minorEastAsia" w:eastAsiaTheme="minorEastAsia"/>
          <w:bCs/>
          <w:szCs w:val="21"/>
        </w:rPr>
        <w:t xml:space="preserve">价</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其价格分为10分，</w:t>
      </w:r>
      <w:r>
        <w:rPr>
          <w:rFonts w:hint="eastAsia" w:cs="宋体" w:asciiTheme="minorEastAsia" w:hAnsiTheme="minorEastAsia" w:eastAsiaTheme="minorEastAsia"/>
          <w:bCs/>
          <w:szCs w:val="21"/>
        </w:rPr>
        <w:t xml:space="preserve">其他磋商响应供应商的系数得分统一按照下列公式计算：</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优惠率得分=（评标基准价/最终磋商报价（1-优惠率））*得分权值（1</w:t>
      </w:r>
      <w:r>
        <w:rPr>
          <w:rFonts w:cs="宋体" w:asciiTheme="minorEastAsia" w:hAnsiTheme="minorEastAsia" w:eastAsiaTheme="minorEastAsia"/>
          <w:bCs/>
          <w:szCs w:val="21"/>
        </w:rPr>
        <w:t xml:space="preserve">0</w:t>
      </w:r>
      <w:r>
        <w:rPr>
          <w:rFonts w:hint="eastAsia" w:cs="宋体" w:asciiTheme="minorEastAsia" w:hAnsiTheme="minorEastAsia" w:eastAsiaTheme="minorEastAsia"/>
          <w:bCs/>
          <w:szCs w:val="21"/>
        </w:rPr>
        <w:t xml:space="preserve">%）*100，小数点后保留两位</w:t>
      </w:r>
      <w:r>
        <w:rPr>
          <w:rFonts w:cs="宋体" w:asciiTheme="minorEastAsia" w:hAnsiTheme="minorEastAsia" w:eastAsiaTheme="minorEastAsia"/>
          <w:bCs/>
          <w:szCs w:val="21"/>
        </w:rPr>
        <w:t xml:space="preserve">。</w:t>
      </w:r>
      <w:r/>
    </w:p>
    <w:p>
      <w:pPr>
        <w:ind w:firstLine="422"/>
        <w:spacing w:line="360" w:lineRule="auto"/>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（二）技术方案与服务（</w:t>
      </w:r>
      <w:r>
        <w:rPr>
          <w:rFonts w:hint="eastAsia" w:cs="宋体" w:asciiTheme="minorEastAsia" w:hAnsiTheme="minorEastAsia" w:eastAsiaTheme="minorEastAsia"/>
          <w:b/>
          <w:bCs/>
          <w:szCs w:val="21"/>
        </w:rPr>
        <w:t xml:space="preserve">54</w:t>
      </w:r>
      <w:r>
        <w:rPr>
          <w:rFonts w:hint="eastAsia" w:cs="宋体" w:asciiTheme="minorEastAsia" w:hAnsiTheme="minorEastAsia" w:eastAsiaTheme="minorEastAsia"/>
          <w:b/>
          <w:bCs/>
          <w:szCs w:val="21"/>
        </w:rPr>
        <w:t xml:space="preserve">分）</w:t>
      </w:r>
      <w:r/>
    </w:p>
    <w:p>
      <w:pPr>
        <w:ind w:firstLine="420"/>
        <w:jc w:val="left"/>
        <w:spacing w:line="360" w:lineRule="auto"/>
        <w:rPr>
          <w:rFonts w:hint="eastAsia" w:ascii="宋体" w:hAnsi="宋体" w:cs="宋体"/>
          <w:szCs w:val="21"/>
        </w:rPr>
      </w:pPr>
      <w:r>
        <w:rPr>
          <w:rFonts w:hint="eastAsia" w:ascii="宋体" w:hAnsi="宋体" w:cs="宋体"/>
          <w:szCs w:val="21"/>
        </w:rPr>
        <w:t xml:space="preserve">1、对项目的认识、方法路线、实施思路比较：方案内容全面完整详细、具有明确针对性、操作流程清晰明了的得9分；方案内容完整、针对性不突出、操作流程存在不明确的得6分；方案无实质性内容、针对性缺失、操作流程不具备可实施性的得3分；未提供不得分。本项最高为9分。</w:t>
      </w:r>
      <w:r/>
    </w:p>
    <w:p>
      <w:pPr>
        <w:ind w:firstLine="420"/>
        <w:jc w:val="left"/>
        <w:spacing w:line="360" w:lineRule="auto"/>
        <w:rPr>
          <w:rFonts w:hint="eastAsia" w:ascii="宋体" w:hAnsi="宋体" w:cs="宋体"/>
          <w:szCs w:val="21"/>
        </w:rPr>
      </w:pPr>
      <w:r>
        <w:rPr>
          <w:rFonts w:hint="eastAsia" w:ascii="宋体" w:hAnsi="宋体" w:cs="宋体"/>
          <w:szCs w:val="21"/>
        </w:rPr>
        <w:t xml:space="preserve">2、对项目的重点、难点及解决方案针对性比较：</w:t>
      </w:r>
      <w:bookmarkStart w:id="28" w:name="OLE_LINK18"/>
      <w:r>
        <w:rPr>
          <w:rFonts w:hint="eastAsia" w:ascii="宋体" w:hAnsi="宋体" w:cs="宋体"/>
          <w:szCs w:val="21"/>
        </w:rPr>
        <w:t xml:space="preserve">方案内容全面完整详细、具有明确针对性、操作流程清晰明了的得9分；方案内容完整、针对性不突出、操作流程存在不明确的得6分；方案无实质性内容、针对性缺失、操作流程不具备可实施性的得3分；未提供不得分。本项最高为9分。</w:t>
      </w:r>
      <w:bookmarkEnd w:id="28"/>
      <w:r/>
      <w:r/>
    </w:p>
    <w:p>
      <w:pPr>
        <w:ind w:firstLine="420"/>
        <w:jc w:val="left"/>
        <w:spacing w:line="360" w:lineRule="auto"/>
        <w:rPr>
          <w:rFonts w:hint="eastAsia" w:ascii="宋体" w:hAnsi="宋体" w:cs="宋体"/>
          <w:szCs w:val="21"/>
        </w:rPr>
      </w:pPr>
      <w:r>
        <w:rPr>
          <w:rFonts w:hint="eastAsia" w:ascii="宋体" w:hAnsi="宋体" w:cs="宋体"/>
          <w:szCs w:val="21"/>
        </w:rPr>
        <w:t xml:space="preserve">3、内部管理制度比较：管理规章制度（岗位责任、管理维护运作制度及标准、管理人员考核制度及标准）：制度完善、科学，可实施性强的得9分；制度完整但针对性不突出的得6分；制度简单，不具备可实施性的得3分，不提供不得分。本项最高为9分。</w:t>
      </w:r>
      <w:r/>
    </w:p>
    <w:p>
      <w:pPr>
        <w:ind w:firstLine="420"/>
        <w:jc w:val="left"/>
        <w:spacing w:line="360" w:lineRule="auto"/>
        <w:rPr>
          <w:rFonts w:hint="eastAsia" w:ascii="宋体" w:hAnsi="宋体" w:cs="宋体"/>
          <w:szCs w:val="21"/>
        </w:rPr>
      </w:pPr>
      <w:r>
        <w:rPr>
          <w:rFonts w:hint="eastAsia" w:ascii="宋体" w:hAnsi="宋体" w:cs="宋体"/>
          <w:szCs w:val="21"/>
        </w:rPr>
        <w:t xml:space="preserve">4、针对本项目的安全管理方案：</w:t>
      </w:r>
      <w:bookmarkStart w:id="29" w:name="OLE_LINK19"/>
      <w:r>
        <w:rPr>
          <w:rFonts w:hint="eastAsia" w:ascii="宋体" w:hAnsi="宋体" w:cs="宋体"/>
          <w:szCs w:val="21"/>
        </w:rPr>
        <w:t xml:space="preserve">方案内容全面完整详细、具有明确针对性、操作流程清晰明了的得9分；方案内容完整、针对性不突出、操作流程存在不明确的得6分；方案无实质性内容、针对性缺失、操作流程不具备可实施性的得3分；未提供不得分。本项最高为9分。</w:t>
      </w:r>
      <w:bookmarkEnd w:id="29"/>
      <w:r/>
      <w:r/>
    </w:p>
    <w:p>
      <w:pPr>
        <w:ind w:firstLine="420"/>
        <w:jc w:val="left"/>
        <w:spacing w:line="360" w:lineRule="auto"/>
        <w:rPr>
          <w:szCs w:val="21"/>
        </w:rPr>
      </w:pPr>
      <w:r>
        <w:rPr>
          <w:rFonts w:hint="eastAsia" w:ascii="宋体" w:hAnsi="宋体" w:cs="宋体"/>
          <w:szCs w:val="21"/>
        </w:rPr>
        <w:t xml:space="preserve">5、针对本项目的运输管理方案：</w:t>
      </w:r>
      <w:bookmarkStart w:id="30" w:name="OLE_LINK20"/>
      <w:r>
        <w:rPr>
          <w:rFonts w:hint="eastAsia" w:ascii="宋体" w:hAnsi="宋体" w:cs="宋体"/>
          <w:szCs w:val="21"/>
        </w:rPr>
        <w:t xml:space="preserve">方案完整、科学、合理、全面的得9分；方案较完整、</w:t>
      </w:r>
      <w:r>
        <w:rPr>
          <w:rFonts w:hint="eastAsia" w:ascii="宋体" w:hAnsi="宋体" w:cs="宋体"/>
          <w:szCs w:val="21"/>
        </w:rPr>
        <w:t xml:space="preserve">科学、合理性较好的得 6分；方案较完整、科学、合理性一般、且有明显缺陷的得3分；未提供不得分。本项最高为9分。</w:t>
      </w:r>
      <w:bookmarkEnd w:id="30"/>
      <w:r/>
      <w:r/>
    </w:p>
    <w:p>
      <w:pPr>
        <w:ind w:firstLine="420"/>
        <w:spacing w:line="360" w:lineRule="auto"/>
        <w:rPr>
          <w:rStyle w:val="1029"/>
          <w:rFonts w:hint="eastAsia" w:ascii="宋体" w:hAnsi="宋体" w:cs="宋体"/>
          <w:szCs w:val="21"/>
        </w:rPr>
      </w:pPr>
      <w:r>
        <w:rPr>
          <w:rFonts w:hint="eastAsia" w:ascii="宋体" w:hAnsi="宋体" w:cs="宋体"/>
          <w:szCs w:val="21"/>
        </w:rPr>
        <w:t xml:space="preserve">6、针对本项目的应急预案：应急突发情况预案表述全面，分析全面考虑周到，控制措施高效的得9分；应急突发情况预案</w:t>
      </w:r>
      <w:r>
        <w:rPr>
          <w:rFonts w:hint="eastAsia" w:ascii="宋体" w:hAnsi="宋体" w:cs="宋体"/>
          <w:szCs w:val="21"/>
        </w:rPr>
        <w:t xml:space="preserve">表述较</w:t>
      </w:r>
      <w:r>
        <w:rPr>
          <w:rFonts w:hint="eastAsia" w:ascii="宋体" w:hAnsi="宋体" w:cs="宋体"/>
          <w:szCs w:val="21"/>
        </w:rPr>
        <w:t xml:space="preserve">清晰，分析到位</w:t>
      </w:r>
      <w:r>
        <w:rPr>
          <w:rFonts w:hint="eastAsia" w:ascii="宋体" w:hAnsi="宋体" w:cs="宋体"/>
          <w:szCs w:val="21"/>
        </w:rPr>
        <w:t xml:space="preserve">考虑较</w:t>
      </w:r>
      <w:r>
        <w:rPr>
          <w:rFonts w:hint="eastAsia" w:ascii="宋体" w:hAnsi="宋体" w:cs="宋体"/>
          <w:szCs w:val="21"/>
        </w:rPr>
        <w:t xml:space="preserve">周到，控制措施一般的得6分；应急突发情况预案表述一般，分析不全面，控制措施较一般的得3分；未提供不得分。本项最高为9分。</w:t>
      </w:r>
      <w:r/>
    </w:p>
    <w:p>
      <w:pPr>
        <w:ind w:firstLine="200"/>
        <w:spacing w:line="360" w:lineRule="auto"/>
        <w:rPr>
          <w:rFonts w:hint="eastAsia" w:ascii="宋体" w:hAnsi="宋体" w:cs="宋体"/>
          <w:b/>
          <w:bCs/>
          <w:color w:val="000000"/>
          <w:szCs w:val="21"/>
        </w:rPr>
      </w:pPr>
      <w:r>
        <w:rPr>
          <w:rFonts w:hint="eastAsia" w:ascii="宋体" w:hAnsi="宋体" w:cs="宋体"/>
          <w:b/>
          <w:bCs/>
          <w:color w:val="000000"/>
          <w:szCs w:val="21"/>
        </w:rPr>
        <w:t xml:space="preserve">（三）拟投入项目的人员、设备（</w:t>
      </w:r>
      <w:r>
        <w:rPr>
          <w:rFonts w:ascii="宋体" w:hAnsi="宋体" w:cs="宋体"/>
          <w:b/>
          <w:bCs/>
          <w:color w:val="000000"/>
          <w:szCs w:val="21"/>
        </w:rPr>
        <w:t xml:space="preserve">20</w:t>
      </w:r>
      <w:r>
        <w:rPr>
          <w:rFonts w:hint="eastAsia" w:ascii="宋体" w:hAnsi="宋体" w:cs="宋体"/>
          <w:b/>
          <w:bCs/>
          <w:color w:val="000000"/>
          <w:szCs w:val="21"/>
        </w:rPr>
        <w:t xml:space="preserve">分）</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1、响应单位为本项目配备的安全生产管理人员：具有本科学历及以上的有一个得3分，最高得6分；具有道路运输企业安全生产管理人员安全考核合格证书的有一个得3分，最高得6分；本项最高得12分。</w:t>
      </w:r>
      <w:r>
        <w:rPr>
          <w:rFonts w:hint="eastAsia" w:ascii="宋体" w:hAnsi="宋体" w:cs="宋体"/>
          <w:b/>
          <w:bCs/>
          <w:color w:val="000000"/>
          <w:szCs w:val="21"/>
        </w:rPr>
        <w:t xml:space="preserve">（响应文件中须提供相关证书及响应单位为其缴纳近三个月的</w:t>
      </w:r>
      <w:r>
        <w:rPr>
          <w:rFonts w:hint="eastAsia" w:ascii="宋体" w:hAnsi="宋体" w:cs="宋体"/>
          <w:b/>
          <w:bCs/>
          <w:color w:val="000000"/>
          <w:szCs w:val="21"/>
        </w:rPr>
        <w:t xml:space="preserve">社保证明扫描件并</w:t>
      </w:r>
      <w:r>
        <w:rPr>
          <w:rFonts w:hint="eastAsia" w:ascii="宋体" w:hAnsi="宋体" w:cs="宋体"/>
          <w:b/>
          <w:bCs/>
          <w:color w:val="000000"/>
          <w:szCs w:val="21"/>
        </w:rPr>
        <w:t xml:space="preserve">加盖响应单位公章，未提供或提供不全的不得分）</w:t>
      </w:r>
      <w:r/>
    </w:p>
    <w:p>
      <w:pPr>
        <w:ind w:firstLine="420"/>
        <w:spacing w:line="360" w:lineRule="auto"/>
        <w:rPr>
          <w:rFonts w:hint="eastAsia" w:ascii="宋体" w:hAnsi="宋体" w:cs="宋体"/>
          <w:b/>
          <w:bCs/>
          <w:color w:val="000000"/>
          <w:szCs w:val="21"/>
        </w:rPr>
        <w:outlineLvl w:val="2"/>
      </w:pPr>
      <w:r>
        <w:rPr>
          <w:rFonts w:hint="eastAsia" w:ascii="宋体" w:hAnsi="宋体" w:cs="宋体"/>
          <w:color w:val="000000"/>
          <w:szCs w:val="21"/>
        </w:rPr>
        <w:t xml:space="preserve">2、机械设备配备情况：</w:t>
      </w:r>
      <w:r>
        <w:rPr>
          <w:rFonts w:hint="eastAsia" w:ascii="宋体" w:hAnsi="宋体" w:cs="宋体"/>
          <w:szCs w:val="21"/>
        </w:rPr>
        <w:t xml:space="preserve">响应单</w:t>
      </w:r>
      <w:r>
        <w:rPr>
          <w:rFonts w:hint="eastAsia" w:ascii="宋体" w:hAnsi="宋体" w:cs="宋体"/>
          <w:szCs w:val="21"/>
        </w:rPr>
        <w:t xml:space="preserve">位拟</w:t>
      </w:r>
      <w:r>
        <w:rPr>
          <w:rFonts w:hint="eastAsia" w:ascii="宋体" w:hAnsi="宋体" w:cs="宋体"/>
          <w:szCs w:val="21"/>
        </w:rPr>
        <w:t xml:space="preserve">投入本项目的建筑垃圾运输车辆，在满足采购文件最低配备情况下（4辆）每增加一辆7吨及以上得2分，本项最高8分</w:t>
      </w:r>
      <w:r>
        <w:rPr>
          <w:rFonts w:hint="eastAsia" w:ascii="宋体" w:hAnsi="宋体" w:cs="宋体"/>
          <w:color w:val="000000"/>
          <w:szCs w:val="21"/>
        </w:rPr>
        <w:t xml:space="preserve">。</w:t>
      </w:r>
      <w:r>
        <w:rPr>
          <w:rFonts w:hint="eastAsia" w:ascii="宋体" w:hAnsi="宋体" w:cs="宋体"/>
          <w:b/>
          <w:bCs/>
          <w:color w:val="000000"/>
          <w:szCs w:val="21"/>
        </w:rPr>
        <w:t xml:space="preserve">（响应文件中提供车辆产权证扫描件；如为租赁还需提供完整的租赁合同扫描件和出租人购置发票扫描件，租赁合同期限不得短于本项目服务期限，未提供或提供不全的不得分）。</w:t>
      </w:r>
      <w:r/>
    </w:p>
    <w:p>
      <w:pPr>
        <w:ind w:firstLine="200"/>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（四）供应商履约能力（</w:t>
      </w:r>
      <w:r>
        <w:rPr>
          <w:rFonts w:hint="eastAsia" w:ascii="宋体" w:hAnsi="宋体" w:cs="宋体"/>
          <w:b/>
          <w:bCs/>
          <w:color w:val="000000"/>
          <w:szCs w:val="21"/>
        </w:rPr>
        <w:t xml:space="preserve">16</w:t>
      </w:r>
      <w:r>
        <w:rPr>
          <w:rFonts w:hint="eastAsia" w:ascii="宋体" w:hAnsi="宋体" w:cs="宋体"/>
          <w:b/>
          <w:bCs/>
          <w:color w:val="000000"/>
          <w:szCs w:val="21"/>
        </w:rPr>
        <w:t xml:space="preserve">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1、类似业绩（8分）</w:t>
      </w:r>
      <w:r/>
    </w:p>
    <w:p>
      <w:pPr>
        <w:ind w:firstLine="420"/>
        <w:spacing w:line="360" w:lineRule="auto"/>
        <w:rPr>
          <w:rFonts w:hint="eastAsia" w:ascii="宋体" w:hAnsi="宋体" w:cs="宋体"/>
          <w:szCs w:val="21"/>
          <w:lang w:bidi="ar"/>
        </w:rPr>
      </w:pPr>
      <w:r>
        <w:rPr>
          <w:rFonts w:hint="eastAsia" w:ascii="宋体" w:hAnsi="宋体" w:cs="宋体"/>
          <w:color w:val="000000"/>
          <w:szCs w:val="21"/>
        </w:rPr>
        <w:t xml:space="preserve">响应单位类似业绩（</w:t>
      </w:r>
      <w:r>
        <w:rPr>
          <w:rFonts w:ascii="宋体" w:hAnsi="宋体" w:cs="宋体"/>
          <w:color w:val="000000"/>
          <w:szCs w:val="21"/>
        </w:rPr>
        <w:t xml:space="preserve">9</w:t>
      </w:r>
      <w:r>
        <w:rPr>
          <w:rFonts w:hint="eastAsia" w:ascii="宋体" w:hAnsi="宋体" w:cs="宋体"/>
          <w:color w:val="000000"/>
          <w:szCs w:val="21"/>
        </w:rPr>
        <w:t xml:space="preserve">分）：</w:t>
      </w:r>
      <w:r>
        <w:rPr>
          <w:rFonts w:hint="eastAsia" w:ascii="宋体" w:hAnsi="宋体" w:cs="宋体"/>
          <w:szCs w:val="21"/>
          <w:lang w:bidi="ar"/>
        </w:rPr>
        <w:t xml:space="preserve">响应单位具有自2023年1月1日（以合同签订日期为准）以来类似项目业绩，每提供一份得2分，最高得8分。（响应文件中需提供合同扫描件，</w:t>
      </w:r>
      <w:r>
        <w:rPr>
          <w:rFonts w:hint="eastAsia" w:ascii="宋体" w:hAnsi="宋体" w:cs="宋体"/>
          <w:szCs w:val="21"/>
          <w:lang w:bidi="ar"/>
        </w:rPr>
        <w:t xml:space="preserve">扫描件须清晰</w:t>
      </w:r>
      <w:r>
        <w:rPr>
          <w:rFonts w:hint="eastAsia" w:ascii="宋体" w:hAnsi="宋体" w:cs="宋体"/>
          <w:szCs w:val="21"/>
          <w:lang w:bidi="ar"/>
        </w:rPr>
        <w:t xml:space="preserve">可辨，未提供或提供资料模糊不清无法辨认的不得分。）</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企业认证(</w:t>
      </w:r>
      <w:r>
        <w:rPr>
          <w:rFonts w:hint="eastAsia" w:ascii="宋体" w:hAnsi="宋体" w:cs="宋体"/>
          <w:color w:val="000000"/>
          <w:szCs w:val="21"/>
        </w:rPr>
        <w:t xml:space="preserve">8</w:t>
      </w:r>
      <w:r>
        <w:rPr>
          <w:rFonts w:hint="eastAsia" w:ascii="宋体" w:hAnsi="宋体" w:cs="宋体"/>
          <w:color w:val="000000"/>
          <w:szCs w:val="21"/>
          <w:lang w:val="zh-CN"/>
        </w:rPr>
        <w:t xml:space="preserve">分):</w:t>
      </w:r>
      <w:r/>
    </w:p>
    <w:p>
      <w:pPr>
        <w:ind w:firstLine="480"/>
        <w:spacing w:line="360" w:lineRule="auto"/>
        <w:rPr>
          <w:rFonts w:hint="eastAsia" w:ascii="宋体" w:hAnsi="宋体" w:cs="宋体"/>
          <w:b/>
          <w:bCs/>
          <w:color w:val="000000"/>
          <w:szCs w:val="21"/>
        </w:rPr>
      </w:pPr>
      <w:r/>
      <w:bookmarkStart w:id="31" w:name="OLE_LINK21"/>
      <w:r>
        <w:rPr>
          <w:rFonts w:hint="eastAsia" w:ascii="宋体" w:hAnsi="宋体" w:cs="宋体"/>
          <w:color w:val="000000"/>
          <w:szCs w:val="21"/>
        </w:rPr>
        <w:t xml:space="preserve">响应单位具有有效期内质量管理体系认证、环境管理体系认证、职业健康安全管理体系认证、</w:t>
      </w:r>
      <w:r>
        <w:rPr>
          <w:rFonts w:hint="eastAsia" w:ascii="宋体" w:cs="宋体"/>
          <w:color w:val="000000"/>
          <w:szCs w:val="21"/>
          <w:lang w:val="zh-CN"/>
        </w:rPr>
        <w:t xml:space="preserve">五星售后服务认证</w:t>
      </w:r>
      <w:r>
        <w:rPr>
          <w:rFonts w:hint="eastAsia" w:ascii="宋体" w:hAnsi="宋体" w:cs="宋体"/>
          <w:color w:val="000000"/>
          <w:szCs w:val="21"/>
        </w:rPr>
        <w:t xml:space="preserve">证书的</w:t>
      </w:r>
      <w:r>
        <w:rPr>
          <w:rFonts w:hint="eastAsia" w:ascii="宋体" w:hAnsi="宋体" w:cs="宋体"/>
          <w:color w:val="000000"/>
          <w:szCs w:val="21"/>
          <w:lang w:val="zh-CN"/>
        </w:rPr>
        <w:t xml:space="preserve">(认证范围包含垃圾运输)</w:t>
      </w:r>
      <w:r>
        <w:rPr>
          <w:rFonts w:hint="eastAsia" w:ascii="宋体" w:hAnsi="宋体" w:cs="宋体"/>
          <w:color w:val="000000"/>
          <w:szCs w:val="21"/>
        </w:rPr>
        <w:t xml:space="preserve">，每有一个得2分。本项最高得8分。</w:t>
      </w:r>
      <w:r>
        <w:rPr>
          <w:rFonts w:hint="eastAsia" w:ascii="宋体" w:hAnsi="宋体" w:cs="宋体"/>
          <w:b/>
          <w:bCs/>
          <w:color w:val="000000"/>
          <w:szCs w:val="21"/>
        </w:rPr>
        <w:t xml:space="preserve">（响应文件中须提供相关认证证书扫描件及该证书在中国国家认证认可监督管理委员会网站</w:t>
      </w:r>
      <w:hyperlink r:id="rId14" w:tooltip="http://www.cnca.gov.cn/" w:history="1">
        <w:r>
          <w:rPr>
            <w:rFonts w:hint="eastAsia" w:ascii="宋体" w:hAnsi="宋体" w:cs="宋体"/>
            <w:b/>
            <w:bCs/>
            <w:color w:val="000000"/>
            <w:szCs w:val="21"/>
          </w:rPr>
          <w:t xml:space="preserve">http://www.cnca.gov.cn/</w:t>
        </w:r>
      </w:hyperlink>
      <w:r>
        <w:rPr>
          <w:rFonts w:hint="eastAsia" w:ascii="宋体" w:hAnsi="宋体" w:cs="宋体"/>
          <w:b/>
          <w:bCs/>
          <w:color w:val="000000"/>
          <w:szCs w:val="21"/>
        </w:rPr>
        <w:t xml:space="preserve">上查询的页面截图，未提供或提供不全的不得分）</w:t>
      </w:r>
      <w:bookmarkEnd w:id="31"/>
      <w:r/>
      <w:r/>
    </w:p>
    <w:p>
      <w:pPr>
        <w:pStyle w:val="738"/>
        <w:rPr>
          <w:rFonts w:hint="eastAsia"/>
          <w:szCs w:val="21"/>
          <w:lang w:bidi="ar"/>
        </w:rPr>
      </w:pPr>
      <w:r>
        <w:rPr>
          <w:rFonts w:hint="eastAsia"/>
          <w:szCs w:val="21"/>
          <w:lang w:bidi="ar"/>
        </w:rPr>
      </w:r>
      <w:r/>
    </w:p>
    <w:p>
      <w:pPr>
        <w:spacing w:line="360" w:lineRule="auto"/>
        <w:widowControl/>
        <w:rPr>
          <w:rFonts w:hint="eastAsia" w:ascii="宋体" w:hAnsi="宋体"/>
          <w:b/>
          <w:bCs/>
          <w:szCs w:val="21"/>
        </w:rPr>
      </w:pPr>
      <w:r>
        <w:rPr>
          <w:rFonts w:hint="eastAsia" w:ascii="宋体" w:hAnsi="宋体"/>
          <w:b/>
          <w:bCs/>
          <w:szCs w:val="21"/>
        </w:rPr>
        <w:t xml:space="preserve">注：</w:t>
      </w:r>
      <w:r/>
    </w:p>
    <w:p>
      <w:pPr>
        <w:ind w:left="360"/>
        <w:spacing w:line="360" w:lineRule="auto"/>
        <w:widowControl/>
        <w:rPr>
          <w:rFonts w:hint="eastAsia" w:ascii="宋体" w:hAnsi="宋体"/>
          <w:b/>
          <w:bCs/>
          <w:szCs w:val="21"/>
        </w:rPr>
      </w:pPr>
      <w:r>
        <w:rPr>
          <w:rFonts w:hint="eastAsia" w:ascii="宋体" w:hAnsi="宋体"/>
          <w:b/>
          <w:bCs/>
          <w:szCs w:val="21"/>
        </w:rPr>
        <w:t xml:space="preserve">1、报价超过采购预算（限价）的为无效投标。</w:t>
      </w:r>
      <w:r/>
    </w:p>
    <w:p>
      <w:pPr>
        <w:ind w:left="360"/>
        <w:spacing w:line="360" w:lineRule="auto"/>
        <w:widowControl/>
        <w:rPr>
          <w:rFonts w:hint="eastAsia" w:ascii="宋体" w:hAnsi="宋体" w:cs="宋体"/>
          <w:szCs w:val="21"/>
        </w:rPr>
      </w:pPr>
      <w:r>
        <w:rPr>
          <w:rFonts w:hint="eastAsia" w:ascii="宋体" w:hAnsi="宋体"/>
          <w:b/>
          <w:bCs/>
          <w:szCs w:val="21"/>
        </w:rPr>
        <w:t xml:space="preserve">2、针对评分标准中评分的每一条，投标人均应提供相关资料并</w:t>
      </w:r>
      <w:r>
        <w:rPr>
          <w:rFonts w:hint="eastAsia" w:ascii="宋体" w:hAnsi="宋体"/>
          <w:b/>
          <w:bCs/>
          <w:szCs w:val="21"/>
        </w:rPr>
        <w:t xml:space="preserve">作出</w:t>
      </w:r>
      <w:r>
        <w:rPr>
          <w:rFonts w:hint="eastAsia" w:ascii="宋体" w:hAnsi="宋体"/>
          <w:b/>
          <w:bCs/>
          <w:szCs w:val="21"/>
        </w:rPr>
        <w:t xml:space="preserve">相应说明供评委评判，不提供相关资料的视为不具备该项得分的条件。</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pStyle w:val="738"/>
        <w:rPr>
          <w:rFonts w:hint="eastAsia"/>
        </w:rPr>
      </w:pPr>
      <w:r>
        <w:rPr>
          <w:rFonts w:hint="eastAsia"/>
        </w:rPr>
      </w:r>
      <w:r/>
    </w:p>
    <w:p>
      <w:pPr>
        <w:ind w:firstLine="0"/>
        <w:jc w:val="center"/>
        <w:spacing w:line="360" w:lineRule="auto"/>
        <w:rPr>
          <w:rFonts w:hint="eastAsia" w:asciiTheme="minorEastAsia" w:hAnsiTheme="minorEastAsia" w:eastAsiaTheme="minorEastAsia"/>
          <w:b/>
          <w:sz w:val="32"/>
          <w:szCs w:val="32"/>
        </w:rPr>
        <w:outlineLvl w:val="0"/>
      </w:pPr>
      <w:r>
        <w:rPr>
          <w:rStyle w:val="778"/>
          <w:rFonts w:hint="eastAsia" w:ascii="宋体" w:hAnsi="宋体" w:cs="宋体"/>
          <w:sz w:val="43"/>
          <w:szCs w:val="43"/>
        </w:rPr>
        <w:br w:type="page" w:clear="all"/>
      </w:r>
      <w:r>
        <w:rPr>
          <w:rFonts w:hint="eastAsia"/>
          <w:b/>
          <w:sz w:val="32"/>
          <w:szCs w:val="32"/>
        </w:rPr>
        <w:t xml:space="preserve">第四章</w:t>
      </w:r>
      <w:bookmarkEnd w:id="26"/>
      <w:r>
        <w:rPr>
          <w:rFonts w:hint="eastAsia"/>
          <w:b/>
          <w:sz w:val="32"/>
          <w:szCs w:val="32"/>
        </w:rPr>
        <w:t xml:space="preserve"> </w:t>
      </w:r>
      <w:r>
        <w:rPr>
          <w:rFonts w:hint="eastAsia"/>
          <w:b/>
          <w:sz w:val="32"/>
          <w:szCs w:val="32"/>
        </w:rPr>
        <w:t xml:space="preserve">合同主要条款</w:t>
      </w:r>
      <w:bookmarkStart w:id="32" w:name="_Toc484503771"/>
      <w:r/>
      <w:r/>
    </w:p>
    <w:p>
      <w:pPr>
        <w:ind w:firstLine="420"/>
        <w:jc w:val="righ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采购编号：</w:t>
      </w:r>
      <w:r>
        <w:rPr>
          <w:rFonts w:hint="eastAsia" w:cs="宋体" w:asciiTheme="minorEastAsia" w:hAnsiTheme="minorEastAsia" w:eastAsiaTheme="minorEastAsia"/>
          <w:szCs w:val="21"/>
        </w:rPr>
        <w:t xml:space="preserve">JSZC-320507-BZJS-C2026-0001</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甲方（采购方）：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联系地址：</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乙方（供应方）：</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szCs w:val="21"/>
        </w:rPr>
        <w:t xml:space="preserve">联系电话：</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按照《中华人民共和国民法典》之规定，经甲乙双方协商，本着平等互利和诚实信用的原则，双方一致同意，签订本合同。</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第一条 购买服务的内容及期限</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.甲方以竞争性磋商（政府采购方式）采购乙方提供的以下服务：</w:t>
      </w:r>
      <w:r>
        <w:rPr>
          <w:rFonts w:hint="eastAsia" w:cs="宋体" w:asciiTheme="minorEastAsia" w:hAnsiTheme="minorEastAsia" w:eastAsiaTheme="minorEastAsia"/>
          <w:bCs/>
          <w:szCs w:val="21"/>
          <w:u w:val="single"/>
        </w:rPr>
        <w:t xml:space="preserve">2026年相城经开区无主垃圾清运项目</w:t>
      </w:r>
      <w:r>
        <w:rPr>
          <w:rFonts w:hint="eastAsia"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内容包括：</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（一）服务内容：</w:t>
      </w:r>
      <w:bookmarkStart w:id="33" w:name="OLE_LINK100"/>
      <w:r/>
      <w:bookmarkStart w:id="34" w:name="OLE_LINK99"/>
      <w:r/>
      <w:bookmarkStart w:id="35" w:name="OLE_LINK94"/>
      <w:r/>
      <w:bookmarkStart w:id="36" w:name="OLE_LINK93"/>
      <w:r>
        <w:rPr>
          <w:rFonts w:hint="eastAsia" w:cs="宋体" w:asciiTheme="minorEastAsia" w:hAnsiTheme="minorEastAsia" w:eastAsiaTheme="minorEastAsia"/>
          <w:bCs/>
          <w:szCs w:val="21"/>
        </w:rPr>
        <w:t xml:space="preserve">为保障区域内的地块环境整治工作，对无主工业、建筑垃圾进行清</w:t>
      </w:r>
      <w:bookmarkEnd w:id="33"/>
      <w:r/>
      <w:bookmarkEnd w:id="34"/>
      <w:r>
        <w:rPr>
          <w:rFonts w:hint="eastAsia" w:cs="宋体" w:asciiTheme="minorEastAsia" w:hAnsiTheme="minorEastAsia" w:eastAsiaTheme="minorEastAsia"/>
          <w:bCs/>
          <w:szCs w:val="21"/>
        </w:rPr>
        <w:t xml:space="preserve">运。</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（二）作业流程：</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w:t>
      </w:r>
      <w:r>
        <w:rPr>
          <w:rFonts w:hint="eastAsia" w:cs="宋体" w:asciiTheme="minorEastAsia" w:hAnsiTheme="minorEastAsia" w:eastAsiaTheme="minorEastAsia"/>
          <w:bCs/>
          <w:szCs w:val="21"/>
        </w:rPr>
        <w:t xml:space="preserve">、机械设备进场：配置挖掘机、重型载货专项作业车、压缩设备、地磅等，并配备环境保护需要的除臭设备等。</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、分拣、机械装车：采用机械及人工进行分拣，垃圾用重型载货专项作业车装运。</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、车辆运输：车</w:t>
      </w:r>
      <w:bookmarkEnd w:id="35"/>
      <w:r/>
      <w:bookmarkEnd w:id="36"/>
      <w:r>
        <w:rPr>
          <w:rFonts w:hint="eastAsia" w:cs="宋体" w:asciiTheme="minorEastAsia" w:hAnsiTheme="minorEastAsia" w:eastAsiaTheme="minorEastAsia"/>
          <w:bCs/>
          <w:szCs w:val="21"/>
        </w:rPr>
        <w:t xml:space="preserve">辆装车并过磅完毕后，将垃圾运输到</w:t>
      </w:r>
      <w:r>
        <w:rPr>
          <w:rFonts w:hint="eastAsia" w:cs="宋体" w:asciiTheme="minorEastAsia" w:hAnsiTheme="minorEastAsia" w:eastAsiaTheme="minorEastAsia"/>
          <w:szCs w:val="21"/>
        </w:rPr>
        <w:t xml:space="preserve">有资质处置单位</w:t>
      </w:r>
      <w:r>
        <w:rPr>
          <w:rFonts w:hint="eastAsia"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4</w:t>
      </w:r>
      <w:r>
        <w:rPr>
          <w:rFonts w:hint="eastAsia" w:cs="宋体" w:asciiTheme="minorEastAsia" w:hAnsiTheme="minorEastAsia" w:eastAsiaTheme="minorEastAsia"/>
          <w:bCs/>
          <w:szCs w:val="21"/>
        </w:rPr>
        <w:t xml:space="preserve">、垃圾处置：建筑装修固</w:t>
      </w:r>
      <w:r>
        <w:rPr>
          <w:rFonts w:hint="eastAsia" w:cs="宋体" w:asciiTheme="minorEastAsia" w:hAnsiTheme="minorEastAsia" w:eastAsiaTheme="minorEastAsia"/>
          <w:bCs/>
          <w:szCs w:val="21"/>
        </w:rPr>
        <w:t xml:space="preserve">废及沉腐</w:t>
      </w:r>
      <w:r>
        <w:rPr>
          <w:rFonts w:hint="eastAsia" w:cs="宋体" w:asciiTheme="minorEastAsia" w:hAnsiTheme="minorEastAsia" w:eastAsiaTheme="minorEastAsia"/>
          <w:bCs/>
          <w:szCs w:val="21"/>
        </w:rPr>
        <w:t xml:space="preserve">垃圾处置；将少部分的装修垃圾（如大件垃圾等）、建筑垃圾，经拆解后，再运送至有资质再生资源利用单位进行再生无害化处置。</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w:t>
      </w:r>
      <w:r>
        <w:rPr>
          <w:rFonts w:hint="eastAsia" w:cs="宋体" w:asciiTheme="minorEastAsia" w:hAnsiTheme="minorEastAsia" w:eastAsiaTheme="minorEastAsia"/>
          <w:bCs/>
          <w:szCs w:val="21"/>
        </w:rPr>
        <w:t xml:space="preserve">.本合同项目下的服务期限为：壹年，</w:t>
      </w:r>
      <w:r>
        <w:rPr>
          <w:rFonts w:hint="eastAsia" w:cs="宋体" w:asciiTheme="minorEastAsia" w:hAnsiTheme="minorEastAsia" w:eastAsiaTheme="minorEastAsia"/>
          <w:szCs w:val="21"/>
        </w:rPr>
        <w:t xml:space="preserve">合同签订之日起一年，合同终止条件为服务期限截止（具体以甲方通知时间</w:t>
      </w:r>
      <w:bookmarkStart w:id="37" w:name="OLE_LINK106"/>
      <w:r/>
      <w:bookmarkStart w:id="38" w:name="OLE_LINK107"/>
      <w:r>
        <w:rPr>
          <w:rFonts w:hint="eastAsia" w:cs="宋体" w:asciiTheme="minorEastAsia" w:hAnsiTheme="minorEastAsia" w:eastAsiaTheme="minorEastAsia"/>
          <w:szCs w:val="21"/>
        </w:rPr>
        <w:t xml:space="preserve">为准</w:t>
      </w:r>
      <w:bookmarkEnd w:id="37"/>
      <w:r/>
      <w:bookmarkEnd w:id="38"/>
      <w:r>
        <w:rPr>
          <w:rFonts w:hint="eastAsia" w:cs="宋体" w:asciiTheme="minorEastAsia" w:hAnsiTheme="minorEastAsia" w:eastAsiaTheme="minorEastAsia"/>
          <w:szCs w:val="21"/>
        </w:rPr>
        <w:t xml:space="preserve">）或合同签订后累计完成金额达到本项目采购预算</w:t>
      </w:r>
      <w:bookmarkStart w:id="39" w:name="OLE_LINK108"/>
      <w:r/>
      <w:bookmarkStart w:id="40" w:name="OLE_LINK109"/>
      <w:r>
        <w:rPr>
          <w:rFonts w:hint="eastAsia" w:cs="宋体" w:asciiTheme="minorEastAsia" w:hAnsiTheme="minorEastAsia" w:eastAsiaTheme="minorEastAsia"/>
          <w:szCs w:val="21"/>
        </w:rPr>
        <w:t xml:space="preserve">（二者中以先到者为准）</w:t>
      </w:r>
      <w:r>
        <w:rPr>
          <w:rFonts w:hint="eastAsia" w:cs="宋体" w:asciiTheme="minorEastAsia" w:hAnsiTheme="minorEastAsia" w:eastAsiaTheme="minorEastAsia"/>
          <w:bCs/>
          <w:szCs w:val="21"/>
        </w:rPr>
        <w:t xml:space="preserve">。</w:t>
      </w:r>
      <w:r>
        <w:rPr>
          <w:rFonts w:cs="宋体" w:asciiTheme="minorEastAsia" w:hAnsiTheme="minorEastAsia" w:eastAsiaTheme="minorEastAsia"/>
          <w:bCs/>
          <w:szCs w:val="21"/>
        </w:rPr>
        <w:t xml:space="preserve"> </w:t>
      </w:r>
      <w:bookmarkEnd w:id="39"/>
      <w:r/>
      <w:bookmarkEnd w:id="40"/>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.服务地点：</w:t>
      </w:r>
      <w:r>
        <w:rPr>
          <w:rFonts w:hint="eastAsia" w:cs="宋体" w:asciiTheme="minorEastAsia" w:hAnsiTheme="minorEastAsia" w:eastAsiaTheme="minorEastAsia"/>
          <w:szCs w:val="21"/>
          <w:u w:val="single"/>
        </w:rPr>
        <w:t xml:space="preserve">甲方指定地点</w:t>
      </w:r>
      <w:r>
        <w:rPr>
          <w:rFonts w:hint="eastAsia"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第二条  合同金额</w:t>
      </w:r>
      <w:r/>
    </w:p>
    <w:p>
      <w:pPr>
        <w:ind w:firstLine="420"/>
        <w:spacing w:line="360" w:lineRule="auto"/>
        <w:widowControl/>
        <w:rPr>
          <w:rFonts w:hint="eastAsia" w:cs="宋体" w:asciiTheme="minorEastAsia" w:hAnsiTheme="minorEastAsia" w:eastAsiaTheme="minorEastAsia"/>
          <w:bCs/>
          <w:szCs w:val="21"/>
        </w:rPr>
      </w:pPr>
      <w:r/>
      <w:bookmarkStart w:id="41" w:name="OLE_LINK23"/>
      <w:r/>
      <w:bookmarkStart w:id="42" w:name="OLE_LINK24"/>
      <w:r/>
      <w:bookmarkStart w:id="43" w:name="OLE_LINK25"/>
      <w:r>
        <w:rPr>
          <w:rFonts w:hint="eastAsia" w:cs="宋体" w:asciiTheme="minorEastAsia" w:hAnsiTheme="minorEastAsia" w:eastAsiaTheme="minorEastAsia"/>
          <w:bCs/>
          <w:szCs w:val="21"/>
        </w:rPr>
        <w:t xml:space="preserve">1、本项目</w:t>
      </w:r>
      <w:bookmarkStart w:id="44" w:name="OLE_LINK14"/>
      <w:r>
        <w:rPr>
          <w:rFonts w:hint="eastAsia" w:cs="宋体" w:asciiTheme="minorEastAsia" w:hAnsiTheme="minorEastAsia" w:eastAsiaTheme="minorEastAsia"/>
          <w:szCs w:val="21"/>
        </w:rPr>
        <w:t xml:space="preserve">成交</w:t>
      </w:r>
      <w:r>
        <w:rPr>
          <w:rFonts w:hint="eastAsia" w:cs="宋体" w:asciiTheme="minorEastAsia" w:hAnsiTheme="minorEastAsia" w:eastAsiaTheme="minorEastAsia"/>
          <w:szCs w:val="21"/>
        </w:rPr>
        <w:t xml:space="preserve">优惠</w:t>
      </w:r>
      <w:r>
        <w:rPr>
          <w:rFonts w:hint="eastAsia" w:cs="宋体" w:asciiTheme="minorEastAsia" w:hAnsiTheme="minorEastAsia" w:eastAsiaTheme="minorEastAsia"/>
          <w:szCs w:val="21"/>
        </w:rPr>
        <w:t xml:space="preserve">系数</w:t>
      </w:r>
      <w:bookmarkEnd w:id="44"/>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%（系数在合同履约过程中不予改动）；</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szCs w:val="21"/>
        </w:rPr>
        <w:t xml:space="preserve">实际结算单价=服务清单各项单价最高限价*</w:t>
      </w:r>
      <w:r>
        <w:rPr>
          <w:rFonts w:hint="eastAsia" w:cs="宋体" w:asciiTheme="minorEastAsia" w:hAnsiTheme="minorEastAsia" w:eastAsiaTheme="minorEastAsia"/>
          <w:szCs w:val="21"/>
        </w:rPr>
        <w:t xml:space="preserve">（1-成交优惠系数）</w:t>
      </w:r>
      <w:r>
        <w:rPr>
          <w:rFonts w:hint="eastAsia" w:cs="宋体" w:asciiTheme="minorEastAsia" w:hAnsiTheme="minorEastAsia" w:eastAsiaTheme="minorEastAsia"/>
          <w:szCs w:val="21"/>
        </w:rPr>
        <w:t xml:space="preserve">，按实结算，不可超采购预算</w:t>
      </w:r>
      <w:r>
        <w:rPr>
          <w:rFonts w:hint="eastAsia"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2、本合同垃圾清运服务费综合单价为人民币每吨 ，即混合垃圾清运为</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元/吨（含开票税金）/装修建筑垃圾清运为</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元/吨（含开票税金），按实结算，乙方需提供正式发票（含开票税金），</w:t>
      </w:r>
      <w:r>
        <w:rPr>
          <w:rFonts w:cs="宋体" w:asciiTheme="minorEastAsia" w:hAnsiTheme="minorEastAsia" w:eastAsiaTheme="minorEastAsia"/>
          <w:bCs/>
          <w:szCs w:val="21"/>
        </w:rPr>
        <w:t xml:space="preserve">该费用包括了垃圾分拣、运输、分类处置等全部费用。</w:t>
      </w:r>
      <w:bookmarkEnd w:id="41"/>
      <w:r/>
      <w:bookmarkEnd w:id="42"/>
      <w:r/>
      <w:bookmarkEnd w:id="43"/>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3、合同金额包括在承包期内垃圾清运及处置服务所需的所有费用，包括但不限于称重、装车、堆放点的长效堆高、人员社保、公积金、意外险、车辆运作费、工具费、代理服务费、</w:t>
      </w:r>
      <w:r>
        <w:rPr>
          <w:rFonts w:hint="eastAsia" w:cs="宋体" w:asciiTheme="minorEastAsia" w:hAnsiTheme="minorEastAsia" w:eastAsiaTheme="minorEastAsia"/>
          <w:bCs/>
          <w:szCs w:val="21"/>
        </w:rPr>
        <w:t xml:space="preserve">国假加班费</w:t>
      </w:r>
      <w:r>
        <w:rPr>
          <w:rFonts w:hint="eastAsia" w:cs="宋体" w:asciiTheme="minorEastAsia" w:hAnsiTheme="minorEastAsia" w:eastAsiaTheme="minorEastAsia"/>
          <w:bCs/>
          <w:szCs w:val="21"/>
        </w:rPr>
        <w:t xml:space="preserve">、利润、税金、政策性文件规定及合同包含的所有风险、责任等各项应有费用(车辆缴纳的</w:t>
      </w:r>
      <w:r>
        <w:rPr>
          <w:rFonts w:hint="eastAsia" w:cs="宋体" w:asciiTheme="minorEastAsia" w:hAnsiTheme="minorEastAsia" w:eastAsiaTheme="minorEastAsia"/>
          <w:bCs/>
          <w:szCs w:val="21"/>
        </w:rPr>
        <w:t xml:space="preserve">交强险</w:t>
      </w:r>
      <w:r>
        <w:rPr>
          <w:rFonts w:hint="eastAsia" w:cs="宋体" w:asciiTheme="minorEastAsia" w:hAnsiTheme="minorEastAsia" w:eastAsiaTheme="minorEastAsia"/>
          <w:bCs/>
          <w:szCs w:val="21"/>
        </w:rPr>
        <w:t xml:space="preserve">、车身险、第三者责任险、不计免赔险等由供应商负责)；</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w:t>
      </w:r>
      <w:r>
        <w:rPr>
          <w:rFonts w:hint="eastAsia" w:cs="宋体" w:asciiTheme="minorEastAsia" w:hAnsiTheme="minorEastAsia" w:eastAsiaTheme="minorEastAsia"/>
          <w:bCs/>
          <w:szCs w:val="21"/>
        </w:rPr>
        <w:t xml:space="preserve">三</w:t>
      </w:r>
      <w:r>
        <w:rPr>
          <w:rFonts w:cs="宋体" w:asciiTheme="minorEastAsia" w:hAnsiTheme="minorEastAsia" w:eastAsiaTheme="minorEastAsia"/>
          <w:bCs/>
          <w:szCs w:val="21"/>
        </w:rPr>
        <w:t xml:space="preserve">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付款方式</w:t>
      </w:r>
      <w:r/>
    </w:p>
    <w:p>
      <w:pPr>
        <w:ind w:firstLine="420"/>
        <w:spacing w:line="360" w:lineRule="auto"/>
        <w:rPr>
          <w:rFonts w:hint="eastAsia" w:ascii="宋体" w:hAnsi="宋体" w:cs="宋体"/>
          <w:szCs w:val="21"/>
        </w:rPr>
      </w:pPr>
      <w:r/>
      <w:bookmarkStart w:id="45" w:name="OLE_LINK52"/>
      <w:r/>
      <w:bookmarkStart w:id="46" w:name="OLE_LINK53"/>
      <w:r/>
      <w:bookmarkStart w:id="47" w:name="OLE_LINK39"/>
      <w:r/>
      <w:bookmarkStart w:id="48" w:name="OLE_LINK37"/>
      <w:r/>
      <w:bookmarkStart w:id="49" w:name="OLE_LINK38"/>
      <w:r>
        <w:rPr>
          <w:rFonts w:hint="eastAsia" w:ascii="宋体" w:hAnsi="宋体" w:cs="宋体"/>
          <w:szCs w:val="21"/>
        </w:rPr>
        <w:t xml:space="preserve">1、</w:t>
      </w:r>
      <w:bookmarkStart w:id="50" w:name="OLE_LINK26"/>
      <w:r/>
      <w:bookmarkStart w:id="51" w:name="OLE_LINK85"/>
      <w:r/>
      <w:bookmarkStart w:id="52" w:name="OLE_LINK84"/>
      <w:r/>
      <w:bookmarkStart w:id="53" w:name="OLE_LINK66"/>
      <w:r/>
      <w:bookmarkStart w:id="54" w:name="OLE_LINK67"/>
      <w:r/>
      <w:bookmarkStart w:id="55" w:name="OLE_LINK36"/>
      <w:r/>
      <w:bookmarkStart w:id="56" w:name="OLE_LINK76"/>
      <w:r/>
      <w:bookmarkStart w:id="57" w:name="OLE_LINK74"/>
      <w:r/>
      <w:bookmarkStart w:id="58" w:name="OLE_LINK75"/>
      <w:r>
        <w:rPr>
          <w:rFonts w:hint="eastAsia" w:ascii="宋体" w:hAnsi="宋体" w:cs="宋体"/>
          <w:szCs w:val="21"/>
        </w:rPr>
        <w:t xml:space="preserve">每</w:t>
      </w:r>
      <w:bookmarkStart w:id="59" w:name="OLE_LINK42"/>
      <w:r/>
      <w:bookmarkStart w:id="60" w:name="OLE_LINK43"/>
      <w:r>
        <w:rPr>
          <w:rFonts w:hint="eastAsia" w:ascii="宋体" w:hAnsi="宋体" w:cs="宋体"/>
          <w:szCs w:val="21"/>
        </w:rPr>
        <w:t xml:space="preserve">月</w:t>
      </w:r>
      <w:bookmarkEnd w:id="50"/>
      <w:r>
        <w:rPr>
          <w:rFonts w:hint="eastAsia" w:ascii="宋体" w:hAnsi="宋体" w:cs="宋体"/>
          <w:szCs w:val="21"/>
        </w:rPr>
        <w:t xml:space="preserve">实际的</w:t>
      </w:r>
      <w:bookmarkStart w:id="61" w:name="OLE_LINK16"/>
      <w:r/>
      <w:bookmarkStart w:id="62" w:name="OLE_LINK17"/>
      <w:r>
        <w:rPr>
          <w:rFonts w:hint="eastAsia" w:ascii="宋体" w:hAnsi="宋体" w:cs="宋体"/>
          <w:szCs w:val="21"/>
        </w:rPr>
        <w:t xml:space="preserve">垃圾清运</w:t>
      </w:r>
      <w:bookmarkStart w:id="63" w:name="OLE_LINK50"/>
      <w:r/>
      <w:bookmarkStart w:id="64" w:name="OLE_LINK51"/>
      <w:r/>
      <w:bookmarkEnd w:id="61"/>
      <w:r/>
      <w:bookmarkEnd w:id="62"/>
      <w:r>
        <w:rPr>
          <w:rFonts w:hint="eastAsia" w:ascii="宋体" w:hAnsi="宋体" w:cs="宋体"/>
          <w:szCs w:val="21"/>
        </w:rPr>
        <w:t xml:space="preserve">费根据月度综合考核得分</w:t>
      </w:r>
      <w:r>
        <w:rPr>
          <w:rFonts w:hint="eastAsia" w:ascii="宋体" w:hAnsi="宋体" w:cs="宋体"/>
          <w:b/>
          <w:bCs/>
          <w:szCs w:val="21"/>
        </w:rPr>
        <w:t xml:space="preserve">（考核表详见附件1）</w:t>
      </w:r>
      <w:r>
        <w:rPr>
          <w:rFonts w:hint="eastAsia" w:ascii="宋体" w:hAnsi="宋体" w:cs="宋体"/>
          <w:szCs w:val="21"/>
        </w:rPr>
        <w:t xml:space="preserve">进行经费核算后所得的最</w:t>
      </w:r>
      <w:bookmarkStart w:id="65" w:name="OLE_LINK31"/>
      <w:r/>
      <w:bookmarkStart w:id="66" w:name="OLE_LINK32"/>
      <w:r>
        <w:rPr>
          <w:rFonts w:hint="eastAsia" w:ascii="宋体" w:hAnsi="宋体" w:cs="宋体"/>
          <w:szCs w:val="21"/>
        </w:rPr>
        <w:t xml:space="preserve">终金额作为当月</w:t>
      </w:r>
      <w:r>
        <w:rPr>
          <w:rFonts w:hint="eastAsia" w:ascii="宋体" w:hAnsi="宋体" w:cs="宋体"/>
          <w:szCs w:val="21"/>
        </w:rPr>
        <w:t xml:space="preserve">应实际</w:t>
      </w:r>
      <w:r>
        <w:rPr>
          <w:rFonts w:hint="eastAsia" w:ascii="宋体" w:hAnsi="宋体" w:cs="宋体"/>
          <w:szCs w:val="21"/>
        </w:rPr>
        <w:t xml:space="preserve">支付的经</w:t>
      </w:r>
      <w:bookmarkStart w:id="67" w:name="OLE_LINK55"/>
      <w:r/>
      <w:bookmarkStart w:id="68" w:name="OLE_LINK54"/>
      <w:r>
        <w:rPr>
          <w:rFonts w:hint="eastAsia" w:ascii="宋体" w:hAnsi="宋体" w:cs="宋体"/>
          <w:szCs w:val="21"/>
        </w:rPr>
        <w:t xml:space="preserve">费，三个月经费相加得出该季度应核发的经费予以支</w:t>
      </w:r>
      <w:bookmarkEnd w:id="67"/>
      <w:r/>
      <w:bookmarkEnd w:id="68"/>
      <w:r>
        <w:rPr>
          <w:rFonts w:hint="eastAsia" w:ascii="宋体" w:hAnsi="宋体" w:cs="宋体"/>
          <w:szCs w:val="21"/>
        </w:rPr>
        <w:t xml:space="preserve">付。</w:t>
      </w:r>
      <w:bookmarkEnd w:id="45"/>
      <w:r/>
      <w:bookmarkEnd w:id="46"/>
      <w:r/>
      <w:r/>
    </w:p>
    <w:p>
      <w:pPr>
        <w:ind w:firstLine="420"/>
        <w:spacing w:line="360" w:lineRule="auto"/>
        <w:rPr>
          <w:rFonts w:hint="eastAsia" w:ascii="宋体" w:hAnsi="宋体" w:cs="宋体"/>
          <w:szCs w:val="21"/>
        </w:rPr>
      </w:pPr>
      <w:r/>
      <w:bookmarkStart w:id="69" w:name="OLE_LINK68"/>
      <w:r/>
      <w:bookmarkStart w:id="70" w:name="OLE_LINK69"/>
      <w:r/>
      <w:bookmarkStart w:id="71" w:name="OLE_LINK78"/>
      <w:r/>
      <w:bookmarkStart w:id="72" w:name="OLE_LINK77"/>
      <w:r/>
      <w:bookmarkEnd w:id="51"/>
      <w:r/>
      <w:bookmarkEnd w:id="52"/>
      <w:r/>
      <w:bookmarkEnd w:id="63"/>
      <w:r/>
      <w:bookmarkEnd w:id="64"/>
      <w:r>
        <w:rPr>
          <w:rFonts w:hint="eastAsia" w:ascii="宋体" w:hAnsi="宋体" w:cs="宋体"/>
          <w:szCs w:val="21"/>
        </w:rPr>
        <w:t xml:space="preserve">月</w:t>
      </w:r>
      <w:bookmarkStart w:id="73" w:name="OLE_LINK86"/>
      <w:r>
        <w:rPr>
          <w:rFonts w:hint="eastAsia" w:ascii="宋体" w:hAnsi="宋体" w:cs="宋体"/>
          <w:szCs w:val="21"/>
        </w:rPr>
        <w:t xml:space="preserve">度</w:t>
      </w:r>
      <w:bookmarkStart w:id="74" w:name="OLE_LINK56"/>
      <w:r/>
      <w:bookmarkStart w:id="75" w:name="OLE_LINK57"/>
      <w:r>
        <w:rPr>
          <w:rFonts w:hint="eastAsia" w:ascii="宋体" w:hAnsi="宋体" w:cs="宋体"/>
          <w:szCs w:val="21"/>
        </w:rPr>
        <w:t xml:space="preserve">综合考核得分挂钩的经费核算方式如下</w:t>
      </w:r>
      <w:bookmarkEnd w:id="53"/>
      <w:r/>
      <w:bookmarkEnd w:id="54"/>
      <w:r/>
      <w:bookmarkEnd w:id="69"/>
      <w:r/>
      <w:bookmarkEnd w:id="70"/>
      <w:r>
        <w:rPr>
          <w:rFonts w:hint="eastAsia" w:ascii="宋体" w:hAnsi="宋体" w:cs="宋体"/>
          <w:szCs w:val="21"/>
        </w:rPr>
        <w:t xml:space="preserve">：</w:t>
      </w:r>
      <w:r/>
    </w:p>
    <w:p>
      <w:pPr>
        <w:ind w:firstLine="420"/>
        <w:spacing w:line="360" w:lineRule="auto"/>
      </w:pPr>
      <w:r/>
      <w:bookmarkStart w:id="76" w:name="OLE_LINK87"/>
      <w:r/>
      <w:bookmarkStart w:id="77" w:name="OLE_LINK88"/>
      <w:r/>
      <w:bookmarkStart w:id="78" w:name="OLE_LINK71"/>
      <w:r/>
      <w:bookmarkStart w:id="79" w:name="OLE_LINK70"/>
      <w:r/>
      <w:bookmarkStart w:id="80" w:name="OLE_LINK44"/>
      <w:r/>
      <w:bookmarkStart w:id="81" w:name="OLE_LINK58"/>
      <w:r/>
      <w:bookmarkStart w:id="82" w:name="OLE_LINK45"/>
      <w:r/>
      <w:bookmarkStart w:id="83" w:name="OLE_LINK40"/>
      <w:r/>
      <w:bookmarkStart w:id="84" w:name="OLE_LINK41"/>
      <w:r/>
      <w:bookmarkEnd w:id="47"/>
      <w:r/>
      <w:bookmarkEnd w:id="48"/>
      <w:r/>
      <w:bookmarkEnd w:id="49"/>
      <w:r/>
      <w:bookmarkEnd w:id="55"/>
      <w:r/>
      <w:bookmarkEnd w:id="56"/>
      <w:r/>
      <w:bookmarkEnd w:id="59"/>
      <w:r/>
      <w:bookmarkEnd w:id="60"/>
      <w:r/>
      <w:bookmarkEnd w:id="65"/>
      <w:r/>
      <w:bookmarkEnd w:id="66"/>
      <w:r>
        <w:rPr>
          <w:rFonts w:hint="eastAsia" w:ascii="宋体" w:hAnsi="宋体" w:cs="宋体"/>
          <w:szCs w:val="21"/>
        </w:rPr>
        <w:t xml:space="preserve">月度实际垃圾清运经费</w:t>
      </w:r>
      <w:bookmarkEnd w:id="76"/>
      <w:r/>
      <w:bookmarkEnd w:id="77"/>
      <w:r>
        <w:rPr>
          <w:rFonts w:hint="eastAsia" w:ascii="宋体" w:hAnsi="宋体" w:cs="宋体"/>
          <w:szCs w:val="21"/>
        </w:rPr>
        <w:t xml:space="preserve">=</w:t>
      </w:r>
      <w:bookmarkStart w:id="85" w:name="OLE_LINK65"/>
      <w:r/>
      <w:bookmarkStart w:id="86" w:name="OLE_LINK64"/>
      <w:r>
        <w:rPr>
          <w:rFonts w:hint="eastAsia" w:ascii="宋体" w:hAnsi="宋体" w:cs="宋体"/>
          <w:szCs w:val="21"/>
        </w:rPr>
        <w:t xml:space="preserve">月垃圾清运费用×80%</w:t>
      </w:r>
      <w:bookmarkEnd w:id="85"/>
      <w:r/>
      <w:bookmarkEnd w:id="86"/>
      <w:r>
        <w:rPr>
          <w:rFonts w:hint="eastAsia" w:ascii="宋体" w:hAnsi="宋体" w:cs="宋体"/>
          <w:szCs w:val="21"/>
        </w:rPr>
        <w:t xml:space="preserve">+</w:t>
      </w:r>
      <w:bookmarkStart w:id="87" w:name="OLE_LINK60"/>
      <w:r/>
      <w:bookmarkStart w:id="88" w:name="OLE_LINK59"/>
      <w:r/>
      <w:bookmarkStart w:id="89" w:name="OLE_LINK29"/>
      <w:r/>
      <w:bookmarkStart w:id="90" w:name="OLE_LINK30"/>
      <w:r/>
      <w:bookmarkEnd w:id="78"/>
      <w:r/>
      <w:bookmarkEnd w:id="79"/>
      <w:r>
        <w:rPr>
          <w:rFonts w:hint="eastAsia" w:ascii="宋体" w:hAnsi="宋体" w:cs="宋体"/>
          <w:szCs w:val="21"/>
        </w:rPr>
        <w:t xml:space="preserve">考核所得</w:t>
      </w:r>
      <w:bookmarkStart w:id="91" w:name="_Hlk193118626"/>
      <w:r/>
      <w:bookmarkEnd w:id="73"/>
      <w:r/>
      <w:bookmarkEnd w:id="87"/>
      <w:r/>
      <w:bookmarkEnd w:id="88"/>
      <w:r>
        <w:rPr>
          <w:rFonts w:hint="eastAsia" w:ascii="宋体" w:hAnsi="宋体" w:cs="宋体"/>
          <w:szCs w:val="21"/>
        </w:rPr>
        <w:t xml:space="preserve">（</w:t>
      </w:r>
      <w:bookmarkStart w:id="92" w:name="OLE_LINK63"/>
      <w:r/>
      <w:bookmarkStart w:id="93" w:name="OLE_LINK61"/>
      <w:r/>
      <w:bookmarkStart w:id="94" w:name="OLE_LINK62"/>
      <w:r/>
      <w:bookmarkStart w:id="95" w:name="OLE_LINK27"/>
      <w:r/>
      <w:bookmarkStart w:id="96" w:name="OLE_LINK28"/>
      <w:r/>
      <w:bookmarkStart w:id="97" w:name="OLE_LINK80"/>
      <w:r/>
      <w:bookmarkStart w:id="98" w:name="OLE_LINK79"/>
      <w:r>
        <w:rPr>
          <w:rFonts w:hint="eastAsia" w:ascii="宋体" w:hAnsi="宋体" w:cs="宋体"/>
          <w:szCs w:val="21"/>
        </w:rPr>
        <w:t xml:space="preserve">月垃</w:t>
      </w:r>
      <w:bookmarkStart w:id="99" w:name="OLE_LINK73"/>
      <w:r/>
      <w:bookmarkStart w:id="100" w:name="OLE_LINK72"/>
      <w:r>
        <w:rPr>
          <w:rFonts w:hint="eastAsia" w:ascii="宋体" w:hAnsi="宋体" w:cs="宋体"/>
          <w:szCs w:val="21"/>
        </w:rPr>
        <w:t xml:space="preserve">圾清运费</w:t>
      </w:r>
      <w:bookmarkEnd w:id="92"/>
      <w:r/>
      <w:bookmarkEnd w:id="93"/>
      <w:r/>
      <w:bookmarkEnd w:id="94"/>
      <w:r>
        <w:rPr>
          <w:rFonts w:hint="eastAsia" w:ascii="宋体" w:hAnsi="宋体" w:cs="宋体"/>
          <w:szCs w:val="21"/>
        </w:rPr>
        <w:t xml:space="preserve">用×20%×考核比例</w:t>
      </w:r>
      <w:bookmarkEnd w:id="95"/>
      <w:r/>
      <w:bookmarkEnd w:id="96"/>
      <w:r>
        <w:rPr>
          <w:rFonts w:hint="eastAsia" w:ascii="宋体" w:hAnsi="宋体" w:cs="宋体"/>
          <w:szCs w:val="21"/>
        </w:rPr>
        <w:t xml:space="preserve">）</w:t>
      </w:r>
      <w:bookmarkEnd w:id="89"/>
      <w:r/>
      <w:bookmarkEnd w:id="90"/>
      <w:r/>
      <w:bookmarkEnd w:id="91"/>
      <w:r/>
      <w:bookmarkEnd w:id="97"/>
      <w:r/>
      <w:bookmarkEnd w:id="98"/>
      <w:r/>
      <w:bookmarkEnd w:id="99"/>
      <w:r/>
      <w:bookmarkEnd w:id="100"/>
      <w:r/>
      <w:r/>
    </w:p>
    <w:tbl>
      <w:tblPr>
        <w:tblpPr w:horzAnchor="page" w:tblpX="1851" w:vertAnchor="text" w:tblpY="63" w:leftFromText="180" w:topFromText="0" w:rightFromText="180" w:bottomFromText="0"/>
        <w:tblW w:w="8535" w:type="dxa"/>
        <w:tblLayout w:type="fixed"/>
        <w:tblLook w:val="04A0" w:firstRow="1" w:lastRow="0" w:firstColumn="1" w:lastColumn="0" w:noHBand="0" w:noVBand="1"/>
      </w:tblPr>
      <w:tblGrid>
        <w:gridCol w:w="1219"/>
        <w:gridCol w:w="1220"/>
        <w:gridCol w:w="1220"/>
        <w:gridCol w:w="1220"/>
        <w:gridCol w:w="1220"/>
        <w:gridCol w:w="1218"/>
        <w:gridCol w:w="1218"/>
      </w:tblGrid>
      <w:tr>
        <w:trPr>
          <w:trHeight w:val="538"/>
        </w:trPr>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bookmarkStart w:id="101" w:name="OLE_LINK46"/>
            <w:r/>
            <w:bookmarkStart w:id="102" w:name="OLE_LINK47"/>
            <w:r/>
            <w:bookmarkEnd w:id="57"/>
            <w:r/>
            <w:bookmarkEnd w:id="58"/>
            <w:r/>
            <w:bookmarkEnd w:id="71"/>
            <w:r/>
            <w:bookmarkEnd w:id="72"/>
            <w:r/>
            <w:bookmarkEnd w:id="74"/>
            <w:r/>
            <w:bookmarkEnd w:id="75"/>
            <w:r/>
            <w:bookmarkEnd w:id="80"/>
            <w:r/>
            <w:bookmarkEnd w:id="81"/>
            <w:r/>
            <w:bookmarkEnd w:id="82"/>
            <w:r>
              <w:rPr>
                <w:rFonts w:hint="eastAsia" w:ascii="宋体" w:hAnsi="宋体"/>
                <w:bCs/>
                <w:sz w:val="18"/>
                <w:szCs w:val="18"/>
              </w:rPr>
              <w:t xml:space="preserve">考核分数</w:t>
            </w:r>
            <w:r/>
          </w:p>
        </w:tc>
        <w:tc>
          <w:tcPr>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60分及以下</w:t>
            </w:r>
            <w:r/>
          </w:p>
        </w:tc>
        <w:tc>
          <w:tcPr>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60-70分（包含70分）</w:t>
            </w:r>
            <w:r/>
          </w:p>
        </w:tc>
        <w:tc>
          <w:tcPr>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70-80分（包含80分）</w:t>
            </w:r>
            <w:r/>
          </w:p>
        </w:tc>
        <w:tc>
          <w:tcPr>
            <w:tcBorders>
              <w:top w:val="single" w:color="auto"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80-90分（包含90分）</w:t>
            </w:r>
            <w:r/>
          </w:p>
        </w:tc>
        <w:tc>
          <w:tcPr>
            <w:tcBorders>
              <w:top w:val="single" w:color="auto"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90-95分（包含95分）</w:t>
            </w:r>
            <w:r/>
          </w:p>
        </w:tc>
        <w:tc>
          <w:tcPr>
            <w:tcBorders>
              <w:top w:val="single" w:color="auto"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95以上</w:t>
            </w:r>
            <w:r/>
          </w:p>
        </w:tc>
      </w:tr>
      <w:tr>
        <w:trPr>
          <w:trHeight w:val="782"/>
        </w:trPr>
        <w:tc>
          <w:tcPr>
            <w:tcBorders>
              <w:top w:val="none" w:color="000000" w:sz="4" w:space="0"/>
              <w:left w:val="single" w:color="auto"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考核部分所得比例</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0%-20%</w:t>
            </w:r>
            <w:r>
              <w:rPr>
                <w:rFonts w:hint="eastAsia" w:ascii="宋体" w:hAnsi="宋体"/>
                <w:bCs/>
                <w:sz w:val="18"/>
                <w:szCs w:val="18"/>
              </w:rPr>
              <w:br/>
              <w:t xml:space="preserve">（每多得一分加2%）</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20%-50%</w:t>
            </w:r>
            <w:r>
              <w:rPr>
                <w:rFonts w:hint="eastAsia" w:ascii="宋体" w:hAnsi="宋体"/>
                <w:bCs/>
                <w:sz w:val="18"/>
                <w:szCs w:val="18"/>
              </w:rPr>
              <w:br/>
              <w:t xml:space="preserve">（每多得一分加3%）</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50%-80%</w:t>
            </w:r>
            <w:r>
              <w:rPr>
                <w:rFonts w:hint="eastAsia" w:ascii="宋体" w:hAnsi="宋体"/>
                <w:bCs/>
                <w:sz w:val="18"/>
                <w:szCs w:val="18"/>
              </w:rPr>
              <w:br/>
              <w:t xml:space="preserve">（每多得一分加3%）</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80%-99%</w:t>
            </w:r>
            <w:r>
              <w:rPr>
                <w:rFonts w:hint="eastAsia" w:ascii="宋体" w:hAnsi="宋体"/>
                <w:bCs/>
                <w:sz w:val="18"/>
                <w:szCs w:val="18"/>
              </w:rPr>
              <w:br/>
              <w:t xml:space="preserve">（每多得一分加4%）</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100%</w:t>
            </w:r>
            <w:r/>
          </w:p>
        </w:tc>
      </w:tr>
      <w:tr>
        <w:trPr>
          <w:trHeight w:val="1181"/>
        </w:trPr>
        <w:tc>
          <w:tcPr>
            <w:tcBorders>
              <w:top w:val="none" w:color="000000" w:sz="4" w:space="0"/>
              <w:left w:val="single" w:color="auto"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月度实际所得养护费</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月养护费*80%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月养护费*80%+月养护费*20%*（考核分-60）*2%</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月养护费*80%+月养护费*20%*（20%+（考核分-70）*3%）</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月养护费*80%+月养护费*20%*（50%+（考核分-80）*3%）</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月养护费*80%+月养护费*20%*（80%+（考核分-90）*4%）</w:t>
            </w:r>
            <w:r/>
          </w:p>
        </w:tc>
        <w:tc>
          <w:tcPr>
            <w:tcBorders>
              <w:top w:val="none" w:color="000000" w:sz="4" w:space="0"/>
              <w:left w:val="none" w:color="000000" w:sz="4" w:space="0"/>
              <w:bottom w:val="single" w:color="auto" w:sz="4" w:space="0"/>
              <w:right w:val="single" w:color="auto" w:sz="4" w:space="0"/>
            </w:tcBorders>
            <w:tcW w:w="1218" w:type="dxa"/>
            <w:vAlign w:val="center"/>
            <w:textDirection w:val="lrTb"/>
            <w:noWrap w:val="false"/>
          </w:tcPr>
          <w:p>
            <w:pPr>
              <w:spacing w:line="360" w:lineRule="auto"/>
              <w:rPr>
                <w:rFonts w:hint="eastAsia" w:ascii="宋体" w:hAnsi="宋体"/>
                <w:bCs/>
                <w:sz w:val="18"/>
                <w:szCs w:val="18"/>
              </w:rPr>
            </w:pPr>
            <w:r>
              <w:rPr>
                <w:rFonts w:hint="eastAsia" w:ascii="宋体" w:hAnsi="宋体"/>
                <w:bCs/>
                <w:sz w:val="18"/>
                <w:szCs w:val="18"/>
              </w:rPr>
              <w:t xml:space="preserve">月养护费*100%</w:t>
            </w:r>
            <w:r/>
          </w:p>
        </w:tc>
      </w:tr>
    </w:tbl>
    <w:p>
      <w:pPr>
        <w:ind w:firstLine="420"/>
        <w:jc w:val="left"/>
        <w:spacing w:line="360" w:lineRule="auto"/>
        <w:widowControl/>
        <w:rPr>
          <w:rFonts w:hint="eastAsia" w:ascii="宋体" w:hAnsi="宋体" w:cs="宋体"/>
          <w:szCs w:val="21"/>
        </w:rPr>
      </w:pPr>
      <w:r>
        <w:rPr>
          <w:rFonts w:hint="eastAsia" w:ascii="宋体" w:hAnsi="宋体" w:cs="宋体"/>
          <w:szCs w:val="21"/>
        </w:rPr>
      </w:r>
      <w:r/>
    </w:p>
    <w:p>
      <w:pPr>
        <w:ind w:firstLine="420"/>
        <w:jc w:val="left"/>
        <w:spacing w:line="360" w:lineRule="auto"/>
        <w:widowControl/>
        <w:rPr>
          <w:rFonts w:hint="eastAsia" w:cs="宋体" w:asciiTheme="minorEastAsia" w:hAnsiTheme="minorEastAsia" w:eastAsiaTheme="minorEastAsia"/>
          <w:bCs/>
          <w:szCs w:val="21"/>
        </w:rPr>
      </w:pPr>
      <w:r/>
      <w:bookmarkStart w:id="103" w:name="OLE_LINK82"/>
      <w:r/>
      <w:bookmarkStart w:id="104" w:name="OLE_LINK81"/>
      <w:r/>
      <w:bookmarkStart w:id="105" w:name="OLE_LINK49"/>
      <w:r/>
      <w:bookmarkStart w:id="106" w:name="OLE_LINK48"/>
      <w:r/>
      <w:bookmarkEnd w:id="83"/>
      <w:r/>
      <w:bookmarkEnd w:id="84"/>
      <w:r>
        <w:rPr>
          <w:rFonts w:hint="eastAsia" w:ascii="宋体" w:hAnsi="宋体" w:cs="宋体"/>
          <w:szCs w:val="21"/>
        </w:rPr>
        <w:t xml:space="preserve">乙</w:t>
      </w:r>
      <w:bookmarkStart w:id="107" w:name="OLE_LINK35"/>
      <w:r>
        <w:rPr>
          <w:rFonts w:hint="eastAsia" w:ascii="宋体" w:hAnsi="宋体" w:cs="宋体"/>
          <w:szCs w:val="21"/>
        </w:rPr>
        <w:t xml:space="preserve">方合同（或协议）期内累计2次考核得分低于65分的，甲方有权终止合同（或协议），并处以合同额20%的违约金，乙方须</w:t>
      </w:r>
      <w:bookmarkStart w:id="108" w:name="OLE_LINK33"/>
      <w:r/>
      <w:bookmarkStart w:id="109" w:name="OLE_LINK34"/>
      <w:r>
        <w:rPr>
          <w:rFonts w:hint="eastAsia" w:ascii="宋体" w:hAnsi="宋体" w:cs="宋体"/>
          <w:szCs w:val="21"/>
        </w:rPr>
        <w:t xml:space="preserve">无</w:t>
      </w:r>
      <w:bookmarkEnd w:id="108"/>
      <w:r/>
      <w:bookmarkEnd w:id="109"/>
      <w:r>
        <w:rPr>
          <w:rFonts w:hint="eastAsia" w:ascii="宋体" w:hAnsi="宋体" w:cs="宋体"/>
          <w:szCs w:val="21"/>
        </w:rPr>
        <w:t xml:space="preserve">条件按甲方要求办理移交、退场手续。</w:t>
      </w:r>
      <w:r>
        <w:rPr>
          <w:rFonts w:hint="eastAsia" w:cs="宋体" w:asciiTheme="minorEastAsia" w:hAnsiTheme="minorEastAsia" w:eastAsiaTheme="minorEastAsia"/>
          <w:bCs/>
          <w:szCs w:val="21"/>
        </w:rPr>
        <w:t xml:space="preserve">解除合同，由此产生的一切责任和损失全部由乙方</w:t>
      </w:r>
      <w:bookmarkEnd w:id="107"/>
      <w:r>
        <w:rPr>
          <w:rFonts w:hint="eastAsia" w:cs="宋体" w:asciiTheme="minorEastAsia" w:hAnsiTheme="minorEastAsia" w:eastAsiaTheme="minorEastAsia"/>
          <w:bCs/>
          <w:szCs w:val="21"/>
        </w:rPr>
        <w:t xml:space="preserve">承担。</w:t>
      </w:r>
      <w:bookmarkEnd w:id="103"/>
      <w:r/>
      <w:bookmarkEnd w:id="104"/>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注：如果乙方在合同约定完成期限内没有完成项目，每延误一天罚款合同金额的1%且甲方有权立即终止合同，由此产生的一切责任和损失全部由乙方承担。</w:t>
      </w:r>
      <w:r/>
    </w:p>
    <w:p>
      <w:pPr>
        <w:ind w:firstLine="420"/>
        <w:spacing w:line="360" w:lineRule="auto"/>
        <w:widowControl/>
        <w:rPr>
          <w:rFonts w:hint="eastAsia" w:cs="宋体" w:asciiTheme="minorEastAsia" w:hAnsiTheme="minorEastAsia" w:eastAsiaTheme="minorEastAsia"/>
          <w:bCs/>
          <w:szCs w:val="21"/>
        </w:rPr>
      </w:pPr>
      <w:r/>
      <w:bookmarkStart w:id="110" w:name="OLE_LINK83"/>
      <w:r>
        <w:rPr>
          <w:rFonts w:hint="eastAsia" w:cs="宋体" w:asciiTheme="minorEastAsia" w:hAnsiTheme="minorEastAsia" w:eastAsiaTheme="minorEastAsia"/>
          <w:bCs/>
          <w:szCs w:val="21"/>
        </w:rPr>
        <w:t xml:space="preserve">2、重量确认：乙方运输混合垃圾采取每车过磅,作为</w:t>
      </w:r>
      <w:r>
        <w:rPr>
          <w:rFonts w:hint="eastAsia" w:cs="宋体" w:asciiTheme="minorEastAsia" w:hAnsiTheme="minorEastAsia" w:eastAsiaTheme="minorEastAsia"/>
          <w:szCs w:val="21"/>
        </w:rPr>
        <w:t xml:space="preserve">结算重量</w:t>
      </w:r>
      <w:r>
        <w:rPr>
          <w:rFonts w:hint="eastAsia" w:cs="宋体" w:asciiTheme="minorEastAsia" w:hAnsiTheme="minorEastAsia" w:eastAsiaTheme="minorEastAsia"/>
          <w:bCs/>
          <w:szCs w:val="21"/>
        </w:rPr>
        <w:t xml:space="preserve">。（</w:t>
      </w:r>
      <w:bookmarkStart w:id="111" w:name="OLE_LINK91"/>
      <w:r/>
      <w:bookmarkStart w:id="112" w:name="OLE_LINK92"/>
      <w:r>
        <w:rPr>
          <w:rFonts w:hint="eastAsia" w:cs="宋体" w:asciiTheme="minorEastAsia" w:hAnsiTheme="minorEastAsia" w:eastAsiaTheme="minorEastAsia"/>
          <w:bCs/>
          <w:szCs w:val="21"/>
        </w:rPr>
        <w:t xml:space="preserve">须先空车过磅，再装车过磅</w:t>
      </w:r>
      <w:bookmarkEnd w:id="111"/>
      <w:r/>
      <w:bookmarkEnd w:id="112"/>
      <w:r>
        <w:rPr>
          <w:rFonts w:hint="eastAsia"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注：甲方凭乙方开</w:t>
      </w:r>
      <w:bookmarkEnd w:id="105"/>
      <w:r/>
      <w:bookmarkEnd w:id="106"/>
      <w:r>
        <w:rPr>
          <w:rFonts w:cs="宋体" w:asciiTheme="minorEastAsia" w:hAnsiTheme="minorEastAsia" w:eastAsiaTheme="minorEastAsia"/>
          <w:bCs/>
          <w:szCs w:val="21"/>
        </w:rPr>
        <w:t xml:space="preserve">具的正式发票和过磅核算单、结算清单等详细资料，经单位领导审批后申报支付。</w:t>
      </w:r>
      <w:bookmarkEnd w:id="110"/>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3、乙方要求付款时应提供以下资料：</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3.1合格的发票；</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3.2其他（若有）；</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4、支付方式：</w:t>
      </w:r>
      <w:r>
        <w:rPr>
          <w:rFonts w:hint="eastAsia" w:cs="宋体" w:asciiTheme="minorEastAsia" w:hAnsiTheme="minorEastAsia" w:eastAsiaTheme="minorEastAsia"/>
          <w:szCs w:val="21"/>
        </w:rPr>
        <w:t xml:space="preserve">数字人民币支付、银行转账、银行汇票或转账支票，具体支付方式甲方有权根据财务安排自主选择</w:t>
      </w:r>
      <w:r>
        <w:rPr>
          <w:rFonts w:hint="eastAsia" w:cs="宋体" w:asciiTheme="minorEastAsia" w:hAnsiTheme="minorEastAsia" w:eastAsiaTheme="minorEastAsia"/>
          <w:bCs/>
          <w:szCs w:val="21"/>
        </w:rPr>
        <w:t xml:space="preserve">。</w:t>
      </w:r>
      <w:r/>
    </w:p>
    <w:p>
      <w:pPr>
        <w:ind w:firstLine="420"/>
        <w:spacing w:line="360" w:lineRule="auto"/>
        <w:widowControl/>
      </w:pPr>
      <w:r>
        <w:rPr>
          <w:rFonts w:hint="eastAsia" w:cs="宋体" w:asciiTheme="minorEastAsia" w:hAnsiTheme="minorEastAsia" w:eastAsiaTheme="minorEastAsia"/>
          <w:bCs/>
          <w:szCs w:val="21"/>
        </w:rPr>
        <w:t xml:space="preserve">5、</w:t>
      </w:r>
      <w:r>
        <w:rPr>
          <w:rFonts w:cs="宋体" w:asciiTheme="minorEastAsia" w:hAnsiTheme="minorEastAsia" w:eastAsiaTheme="minorEastAsia"/>
          <w:bCs/>
          <w:szCs w:val="21"/>
        </w:rPr>
        <w:t xml:space="preserve">本项目暂定合同价10%为预付款，在签订合同时，采购方与成交单位协商确定是否支付预付款和预付款比例。如成交单位明确表示无需预付款或者主动要求降低预付款比例的，采购方可不适用前述规定。</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w:t>
      </w:r>
      <w:r>
        <w:rPr>
          <w:rFonts w:hint="eastAsia" w:cs="宋体" w:asciiTheme="minorEastAsia" w:hAnsiTheme="minorEastAsia" w:eastAsiaTheme="minorEastAsia"/>
          <w:bCs/>
          <w:szCs w:val="21"/>
        </w:rPr>
        <w:t xml:space="preserve">四</w:t>
      </w:r>
      <w:r>
        <w:rPr>
          <w:rFonts w:cs="宋体" w:asciiTheme="minorEastAsia" w:hAnsiTheme="minorEastAsia" w:eastAsiaTheme="minorEastAsia"/>
          <w:bCs/>
          <w:szCs w:val="21"/>
        </w:rPr>
        <w:t xml:space="preserve">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服务质量标准为：符合国家相关标准及甲方要求。</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第五条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验收方及验收标准</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1、验收方：甲方或监管机构（如有）。</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2、验收标准：按照采购文件要求至合格。</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第六条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双方权利和义务</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1、甲方的权利和义务</w:t>
      </w:r>
      <w:r/>
    </w:p>
    <w:p>
      <w:pPr>
        <w:ind w:firstLine="420"/>
        <w:spacing w:line="360" w:lineRule="auto"/>
        <w:widowControl/>
        <w:rPr>
          <w:rFonts w:hint="eastAsia" w:cs="宋体" w:asciiTheme="minorEastAsia" w:hAnsiTheme="minorEastAsia" w:eastAsiaTheme="minorEastAsia"/>
          <w:bCs/>
          <w:szCs w:val="21"/>
        </w:rPr>
      </w:pPr>
      <w:r/>
      <w:bookmarkStart w:id="113" w:name="OLE_LINK112"/>
      <w:r/>
      <w:bookmarkStart w:id="114" w:name="OLE_LINK113"/>
      <w:r/>
      <w:bookmarkStart w:id="115" w:name="OLE_LINK114"/>
      <w:r/>
      <w:bookmarkStart w:id="116" w:name="OLE_LINK118"/>
      <w:r>
        <w:rPr>
          <w:rFonts w:cs="宋体" w:asciiTheme="minorEastAsia" w:hAnsiTheme="minorEastAsia" w:eastAsiaTheme="minorEastAsia"/>
          <w:bCs/>
          <w:szCs w:val="21"/>
        </w:rPr>
        <w:t xml:space="preserve">（1）甲方需指定专人负责</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清运工作进行监管</w:t>
      </w:r>
      <w:r>
        <w:rPr>
          <w:rFonts w:cs="宋体" w:asciiTheme="minorEastAsia" w:hAnsiTheme="minorEastAsia" w:eastAsiaTheme="minorEastAsia"/>
          <w:bCs/>
          <w:szCs w:val="21"/>
        </w:rPr>
        <w:t xml:space="preserve">由双方在核对单上签字确认。</w:t>
      </w:r>
      <w:bookmarkEnd w:id="113"/>
      <w:r/>
      <w:bookmarkEnd w:id="114"/>
      <w:r/>
      <w:bookmarkEnd w:id="115"/>
      <w:r/>
      <w:bookmarkEnd w:id="116"/>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（2）甲方做</w:t>
      </w:r>
      <w:bookmarkStart w:id="117" w:name="OLE_LINK120"/>
      <w:r/>
      <w:bookmarkStart w:id="118" w:name="OLE_LINK119"/>
      <w:r>
        <w:rPr>
          <w:rFonts w:cs="宋体" w:asciiTheme="minorEastAsia" w:hAnsiTheme="minorEastAsia" w:eastAsiaTheme="minorEastAsia"/>
          <w:bCs/>
          <w:szCs w:val="21"/>
        </w:rPr>
        <w:t xml:space="preserve">好外运处理</w:t>
      </w:r>
      <w:bookmarkEnd w:id="117"/>
      <w:r/>
      <w:bookmarkEnd w:id="118"/>
      <w:r>
        <w:rPr>
          <w:rFonts w:cs="宋体" w:asciiTheme="minorEastAsia" w:hAnsiTheme="minorEastAsia" w:eastAsiaTheme="minorEastAsia"/>
          <w:bCs/>
          <w:szCs w:val="21"/>
        </w:rPr>
        <w:t xml:space="preserve">费用的结算，乙方将结算重量和金额与甲方确认无误后，开据发票，并提交过磅核算单、结算清单给甲方。</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（3）甲方有权对乙方运输过程进行监督和检查，对乙方运输处理出现异常情况的，甲方有权视情况轻重对乙方给予警告、罚款等处罚，必要时甲方可以终止合同。</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（4）因甲方上级部门要求或相关政策要求，需要终止合同时，甲方应提前一周通知到</w:t>
      </w:r>
      <w:r>
        <w:rPr>
          <w:rFonts w:hint="eastAsia" w:cs="宋体" w:asciiTheme="minorEastAsia" w:hAnsiTheme="minorEastAsia" w:eastAsiaTheme="minorEastAsia"/>
          <w:bCs/>
          <w:szCs w:val="21"/>
        </w:rPr>
        <w:t xml:space="preserve">乙方且</w:t>
      </w:r>
      <w:r>
        <w:rPr>
          <w:rFonts w:hint="eastAsia" w:cs="宋体" w:asciiTheme="minorEastAsia" w:hAnsiTheme="minorEastAsia" w:eastAsiaTheme="minorEastAsia"/>
          <w:bCs/>
          <w:szCs w:val="21"/>
        </w:rPr>
        <w:t xml:space="preserve">不予赔偿乙方任何损失。</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2、乙方的权利和义务</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（1）乙方合法的将混合垃圾外运至指定地点规范处置，期间做好全流程的台</w:t>
      </w:r>
      <w:r>
        <w:rPr>
          <w:rFonts w:hint="eastAsia" w:cs="宋体" w:asciiTheme="minorEastAsia" w:hAnsiTheme="minorEastAsia" w:eastAsiaTheme="minorEastAsia"/>
          <w:bCs/>
          <w:szCs w:val="21"/>
        </w:rPr>
        <w:t xml:space="preserve">账资料</w:t>
      </w:r>
      <w:r>
        <w:rPr>
          <w:rFonts w:hint="eastAsia" w:cs="宋体" w:asciiTheme="minorEastAsia" w:hAnsiTheme="minorEastAsia" w:eastAsiaTheme="minorEastAsia"/>
          <w:bCs/>
          <w:szCs w:val="21"/>
        </w:rPr>
        <w:t xml:space="preserve">记录（G</w:t>
      </w:r>
      <w:bookmarkStart w:id="119" w:name="OLE_LINK126"/>
      <w:r/>
      <w:bookmarkStart w:id="120" w:name="OLE_LINK125"/>
      <w:r>
        <w:rPr>
          <w:rFonts w:hint="eastAsia" w:cs="宋体" w:asciiTheme="minorEastAsia" w:hAnsiTheme="minorEastAsia" w:eastAsiaTheme="minorEastAsia"/>
          <w:bCs/>
          <w:szCs w:val="21"/>
        </w:rPr>
        <w:t xml:space="preserve">PS行车路线图、清运工作照片：包括清理前后、清运称重数</w:t>
      </w:r>
      <w:bookmarkStart w:id="121" w:name="OLE_LINK130"/>
      <w:r/>
      <w:bookmarkStart w:id="122" w:name="OLE_LINK131"/>
      <w:r>
        <w:rPr>
          <w:rFonts w:hint="eastAsia" w:cs="宋体" w:asciiTheme="minorEastAsia" w:hAnsiTheme="minorEastAsia" w:eastAsiaTheme="minorEastAsia"/>
          <w:bCs/>
          <w:szCs w:val="21"/>
        </w:rPr>
        <w:t xml:space="preserve">据</w:t>
      </w:r>
      <w:bookmarkStart w:id="123" w:name="OLE_LINK129"/>
      <w:r/>
      <w:bookmarkStart w:id="124" w:name="OLE_LINK128"/>
      <w:r/>
      <w:bookmarkStart w:id="125" w:name="OLE_LINK127"/>
      <w:r>
        <w:rPr>
          <w:rFonts w:hint="eastAsia" w:cs="宋体" w:asciiTheme="minorEastAsia" w:hAnsiTheme="minorEastAsia" w:eastAsiaTheme="minorEastAsia"/>
          <w:bCs/>
          <w:szCs w:val="21"/>
        </w:rPr>
        <w:t xml:space="preserve">、</w:t>
      </w:r>
      <w:bookmarkEnd w:id="123"/>
      <w:r/>
      <w:bookmarkEnd w:id="124"/>
      <w:r/>
      <w:bookmarkEnd w:id="125"/>
      <w:r>
        <w:rPr>
          <w:rFonts w:hint="eastAsia" w:cs="宋体" w:asciiTheme="minorEastAsia" w:hAnsiTheme="minorEastAsia" w:eastAsiaTheme="minorEastAsia"/>
          <w:bCs/>
          <w:szCs w:val="21"/>
        </w:rPr>
        <w:t xml:space="preserve">清运车辆行驶记录</w:t>
      </w:r>
      <w:bookmarkEnd w:id="121"/>
      <w:r/>
      <w:bookmarkEnd w:id="122"/>
      <w:r>
        <w:rPr>
          <w:rFonts w:hint="eastAsia" w:cs="宋体" w:asciiTheme="minorEastAsia" w:hAnsiTheme="minorEastAsia" w:eastAsiaTheme="minorEastAsia"/>
          <w:bCs/>
          <w:szCs w:val="21"/>
        </w:rPr>
        <w:t xml:space="preserve">等</w:t>
      </w:r>
      <w:bookmarkEnd w:id="119"/>
      <w:r/>
      <w:bookmarkEnd w:id="120"/>
      <w:r>
        <w:rPr>
          <w:rFonts w:hint="eastAsia" w:cs="宋体" w:asciiTheme="minorEastAsia" w:hAnsiTheme="minorEastAsia" w:eastAsiaTheme="minorEastAsia"/>
          <w:bCs/>
          <w:szCs w:val="21"/>
        </w:rPr>
        <w:t xml:space="preserve">）清运工作结束后，安排专人对接甲方提交</w:t>
      </w:r>
      <w:r>
        <w:rPr>
          <w:rFonts w:hint="eastAsia" w:cs="宋体" w:asciiTheme="minorEastAsia" w:hAnsiTheme="minorEastAsia" w:eastAsiaTheme="minorEastAsia"/>
          <w:bCs/>
          <w:szCs w:val="21"/>
        </w:rPr>
        <w:t xml:space="preserve">清运台</w:t>
      </w:r>
      <w:r>
        <w:rPr>
          <w:rFonts w:hint="eastAsia" w:cs="宋体" w:asciiTheme="minorEastAsia" w:hAnsiTheme="minorEastAsia" w:eastAsiaTheme="minorEastAsia"/>
          <w:bCs/>
          <w:szCs w:val="21"/>
        </w:rPr>
        <w:t xml:space="preserve">账资料。</w:t>
      </w:r>
      <w:bookmarkEnd w:id="101"/>
      <w:r/>
      <w:bookmarkEnd w:id="102"/>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（2）乙方使用车辆外运混合垃圾必须密闭装运，且沿途不得有垃圾洒落滴漏，杜绝二次污染。</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乙方应具备应付各类运输过程中突发情况的能力，确保混合垃圾能及时快捷的处理；乙方应建立各类应急预案，在发电厂出现处置能力下降时，不得影响甲方混合垃圾的外运处置。乙方采取各类应急预案所产生的费用，增加的费用由乙方承担。</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（4）遇省、市、区等举行大型活动或其他创建突击活动时，乙方必须服从甲方的统一调配，安全、优质地开展外运处置工作，并承担外运处置中的安全责任。</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（5）乙方应制定好此项混合垃圾外运的环保处置方案，并认真执行。</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（6）乙方应负责混合垃圾外运处置过程中的日常监管工作，确保垃圾不落地，落实具体措施，严防垃圾二次污染。</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第七条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违约责任</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w:t>
      </w:r>
      <w:r>
        <w:rPr>
          <w:rFonts w:cs="宋体" w:asciiTheme="minorEastAsia" w:hAnsiTheme="minorEastAsia" w:eastAsiaTheme="minorEastAsia"/>
          <w:bCs/>
          <w:szCs w:val="21"/>
        </w:rPr>
        <w:t xml:space="preserve">、乙方提供的服务不符合采购文件、报价文件或本合同规定的，甲方有权拒收，并且乙方须向甲方支付本合同总价</w:t>
      </w:r>
      <w:r>
        <w:rPr>
          <w:rFonts w:cs="宋体" w:asciiTheme="minorEastAsia" w:hAnsiTheme="minorEastAsia" w:eastAsiaTheme="minorEastAsia"/>
          <w:bCs/>
          <w:szCs w:val="21"/>
          <w:u w:val="single"/>
        </w:rPr>
        <w:t xml:space="preserve">5</w:t>
      </w:r>
      <w:r>
        <w:rPr>
          <w:rFonts w:cs="宋体" w:asciiTheme="minorEastAsia" w:hAnsiTheme="minorEastAsia" w:eastAsiaTheme="minorEastAsia"/>
          <w:bCs/>
          <w:szCs w:val="21"/>
        </w:rPr>
        <w:t xml:space="preserve">%的违约金。</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2、乙方未能按本合同规定的服务时间提供服务，从逾期之日起每日按本合同总价</w:t>
      </w:r>
      <w:r>
        <w:rPr>
          <w:rFonts w:cs="宋体" w:asciiTheme="minorEastAsia" w:hAnsiTheme="minorEastAsia" w:eastAsiaTheme="minorEastAsia"/>
          <w:bCs/>
          <w:szCs w:val="21"/>
          <w:u w:val="single"/>
        </w:rPr>
        <w:t xml:space="preserve">5</w:t>
      </w:r>
      <w:r>
        <w:rPr>
          <w:rFonts w:cs="宋体" w:asciiTheme="minorEastAsia" w:hAnsiTheme="minorEastAsia" w:eastAsiaTheme="minorEastAsia"/>
          <w:bCs/>
          <w:szCs w:val="21"/>
        </w:rPr>
        <w:t xml:space="preserve">%的数额向甲方支付违约金；逾期半个月以上的，甲方有权终止合同，由此造成的甲方经济损失由乙方承担。</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3、未经甲方同意乙方不得私自将该服务转包第三方完成。如私自转包，</w:t>
      </w:r>
      <w:r>
        <w:rPr>
          <w:rFonts w:cs="宋体" w:asciiTheme="minorEastAsia" w:hAnsiTheme="minorEastAsia" w:eastAsiaTheme="minorEastAsia"/>
          <w:bCs/>
          <w:szCs w:val="21"/>
        </w:rPr>
        <w:t xml:space="preserve">则处本合同</w:t>
      </w:r>
      <w:r>
        <w:rPr>
          <w:rFonts w:hint="eastAsia" w:cs="宋体" w:asciiTheme="minorEastAsia" w:hAnsiTheme="minorEastAsia" w:eastAsiaTheme="minorEastAsia"/>
          <w:bCs/>
          <w:szCs w:val="21"/>
        </w:rPr>
        <w:t xml:space="preserve">总价5%的违约金。</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4、甲方无正当理由拒绝接受服务，到期拒付服务款项的，甲方向乙方偿付本合同总价的5%的违约金。甲方逾期付款，则每日按逾期金额的5%向乙方偿付违约金。</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5、其它违约责任按《中华人民共和国民法典》处理。</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第八条 知识产权归属</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1、乙方提交的内容有：规划文本、相关图件、对应的电子版本。未经甲方许可，乙方不得将成果全部或部分泄漏或提供给第三方。</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2、乙方必须保证成果不涉及第三方的知识产权，且合同签订生效后，甲方能无偿享有合同成果的使用权。</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第九条 保密条款</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1、乙方对甲方提供的资料负有保密义务，未经甲方同意，不得向项目无关单位和个人提供有关资料。如发生以上情况，甲方有权索赔。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2、甲方有义务保护乙方的知识产权，未经乙方同意，甲方对乙方交付的成果文件、资料不得向第三方转让或用于本合同以外的项目。如发生以上情况，乙方有权索赔。 </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第十条 争议的解决</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本合同执行过程中发生的任何争议，如双方不能通过友好协商解决，由合同签订地法院处理。</w:t>
      </w:r>
      <w:r/>
    </w:p>
    <w:p>
      <w:pPr>
        <w:ind w:firstLine="420"/>
        <w:spacing w:line="360" w:lineRule="auto"/>
        <w:widowControl/>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第十一条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不可抗力</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第十二条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合同的终止</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1、合同期满，双方未续签的；</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2、乙方服务能力丧失，致使服务无法正常进行的；</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3、在履行合同过程中，发现乙方已不符合甲方或上级政府单位正式发文的承接主体应具备的条件，造成合同无法履行的。</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第十三条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税费</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此项目发生的与本合同执行有关的一切税费均由乙方负担。</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第十四条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其它</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1、本合同所有附件及政府采购文件均为合同的有效组成部分，与本合同具有同等法律效力。</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2、在执行本合同的过程中，所有经双方签署确认的文件（包括会议纪要、补充协议、往来信函）即成为本合同的有效组成部分。</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3、如一方地址、电话、传真号码有变更，应在变更当日内书面通知对方，否则，应承担相应责任。</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第十五条</w:t>
      </w:r>
      <w:r>
        <w:rPr>
          <w:rFonts w:hint="eastAsia" w:cs="宋体" w:asciiTheme="minorEastAsia" w:hAnsiTheme="minorEastAsia" w:eastAsiaTheme="minorEastAsia"/>
          <w:bCs/>
          <w:szCs w:val="21"/>
        </w:rPr>
        <w:t xml:space="preserve"> </w:t>
      </w:r>
      <w:r>
        <w:rPr>
          <w:rFonts w:cs="宋体" w:asciiTheme="minorEastAsia" w:hAnsiTheme="minorEastAsia" w:eastAsiaTheme="minorEastAsia"/>
          <w:bCs/>
          <w:szCs w:val="21"/>
        </w:rPr>
        <w:t xml:space="preserve">合同生效</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1、本合同订立时间：</w:t>
      </w:r>
      <w:r>
        <w:rPr>
          <w:rFonts w:hint="eastAsia" w:cs="宋体" w:asciiTheme="minorEastAsia" w:hAnsiTheme="minorEastAsia" w:eastAsiaTheme="minorEastAsia"/>
          <w:bCs/>
          <w:szCs w:val="21"/>
          <w:u w:val="single"/>
        </w:rPr>
        <w:t xml:space="preserve">       </w:t>
      </w:r>
      <w:r>
        <w:rPr>
          <w:rFonts w:cs="宋体" w:asciiTheme="minorEastAsia" w:hAnsiTheme="minorEastAsia" w:eastAsiaTheme="minorEastAsia"/>
          <w:bCs/>
          <w:szCs w:val="21"/>
        </w:rPr>
        <w:t xml:space="preserve">年</w:t>
      </w:r>
      <w:r>
        <w:rPr>
          <w:rFonts w:hint="eastAsia" w:cs="宋体" w:asciiTheme="minorEastAsia" w:hAnsiTheme="minorEastAsia" w:eastAsiaTheme="minorEastAsia"/>
          <w:bCs/>
          <w:szCs w:val="21"/>
          <w:u w:val="single"/>
        </w:rPr>
        <w:t xml:space="preserve">     </w:t>
      </w:r>
      <w:r>
        <w:rPr>
          <w:rFonts w:cs="宋体" w:asciiTheme="minorEastAsia" w:hAnsiTheme="minorEastAsia" w:eastAsiaTheme="minorEastAsia"/>
          <w:bCs/>
          <w:szCs w:val="21"/>
        </w:rPr>
        <w:t xml:space="preserve">月</w:t>
      </w:r>
      <w:r>
        <w:rPr>
          <w:rFonts w:hint="eastAsia" w:cs="宋体" w:asciiTheme="minorEastAsia" w:hAnsiTheme="minorEastAsia" w:eastAsiaTheme="minorEastAsia"/>
          <w:bCs/>
          <w:szCs w:val="21"/>
          <w:u w:val="single"/>
        </w:rPr>
        <w:t xml:space="preserve">     </w:t>
      </w:r>
      <w:r>
        <w:rPr>
          <w:rFonts w:cs="宋体" w:asciiTheme="minorEastAsia" w:hAnsiTheme="minorEastAsia" w:eastAsiaTheme="minorEastAsia"/>
          <w:bCs/>
          <w:szCs w:val="21"/>
        </w:rPr>
        <w:t xml:space="preserve">日</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2、本合同订立地点：</w:t>
      </w:r>
      <w:r>
        <w:rPr>
          <w:rFonts w:hint="eastAsia" w:cs="宋体" w:asciiTheme="minorEastAsia" w:hAnsiTheme="minorEastAsia" w:eastAsiaTheme="minorEastAsia"/>
          <w:bCs/>
          <w:szCs w:val="21"/>
          <w:u w:val="single"/>
        </w:rPr>
        <w:t xml:space="preserve">                       </w:t>
      </w:r>
      <w:r>
        <w:rPr>
          <w:rFonts w:cs="宋体" w:asciiTheme="minorEastAsia" w:hAnsiTheme="minorEastAsia" w:eastAsiaTheme="minorEastAsia"/>
          <w:bCs/>
          <w:szCs w:val="21"/>
        </w:rPr>
        <w:t xml:space="preserve">。</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3、本合同在甲乙双方法人代表或其授权代表签字盖章后生效。</w:t>
      </w:r>
      <w:r/>
    </w:p>
    <w:p>
      <w:pPr>
        <w:ind w:firstLine="420"/>
        <w:spacing w:line="360" w:lineRule="auto"/>
        <w:widowControl/>
        <w:rPr>
          <w:rFonts w:hint="eastAsia" w:cs="宋体" w:asciiTheme="minorEastAsia" w:hAnsiTheme="minorEastAsia" w:eastAsiaTheme="minorEastAsia"/>
          <w:bCs/>
          <w:szCs w:val="21"/>
        </w:rPr>
      </w:pPr>
      <w:r>
        <w:rPr>
          <w:rFonts w:cs="宋体" w:asciiTheme="minorEastAsia" w:hAnsiTheme="minorEastAsia" w:eastAsiaTheme="minorEastAsia"/>
          <w:bCs/>
          <w:szCs w:val="21"/>
        </w:rPr>
        <w:t xml:space="preserve">4、</w:t>
      </w:r>
      <w:r>
        <w:rPr>
          <w:rFonts w:hint="eastAsia" w:cs="宋体" w:asciiTheme="minorEastAsia" w:hAnsiTheme="minorEastAsia" w:eastAsiaTheme="minorEastAsia"/>
          <w:bCs/>
          <w:szCs w:val="21"/>
        </w:rPr>
        <w:t xml:space="preserve">合同份数：本合同一式陆份，甲乙双方各执二份，招标代理机构一份，政府采购管理部门一份。</w:t>
      </w:r>
      <w:r/>
    </w:p>
    <w:p>
      <w:pPr>
        <w:ind w:firstLine="420"/>
        <w:spacing w:line="360" w:lineRule="auto"/>
        <w:rPr>
          <w:rFonts w:hint="eastAsia" w:cs="宋体" w:asciiTheme="minorEastAsia" w:hAnsiTheme="minorEastAsia" w:eastAsiaTheme="minorEastAsia"/>
          <w:bCs/>
          <w:color w:val="000000"/>
          <w:szCs w:val="21"/>
        </w:rPr>
      </w:pPr>
      <w:r>
        <w:rPr>
          <w:rFonts w:hint="eastAsia" w:cs="宋体" w:asciiTheme="minorEastAsia" w:hAnsiTheme="minorEastAsia" w:eastAsiaTheme="minorEastAsia"/>
          <w:color w:val="000000"/>
          <w:szCs w:val="21"/>
        </w:rPr>
        <w:t xml:space="preserve">5、本合同未尽事宜应按《中华人民共和国民法典》、《中华人民共和国政府采购法》以及其同相关法律、法规之规定解释。</w:t>
      </w:r>
      <w:r/>
    </w:p>
    <w:p>
      <w:pPr>
        <w:pStyle w:val="738"/>
        <w:rPr>
          <w:rFonts w:hint="eastAsia" w:ascii="宋体" w:cs="宋体"/>
        </w:rPr>
      </w:pPr>
      <w:r>
        <w:rPr>
          <w:rFonts w:hint="eastAsia" w:ascii="宋体" w:cs="宋体"/>
        </w:rPr>
        <w:t xml:space="preserve">（以下无正文）</w:t>
      </w:r>
      <w:r/>
    </w:p>
    <w:p>
      <w:pPr>
        <w:ind w:firstLine="401"/>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乙方：       </w:t>
      </w:r>
      <w:r/>
    </w:p>
    <w:p>
      <w:pPr>
        <w:spacing w:line="360" w:lineRule="auto"/>
        <w:rPr>
          <w:rFonts w:hint="eastAsia" w:ascii="宋体" w:hAnsi="宋体" w:cs="宋体"/>
          <w:szCs w:val="21"/>
        </w:rPr>
      </w:pPr>
      <w:r>
        <w:rPr>
          <w:rFonts w:hint="eastAsia" w:ascii="宋体" w:hAnsi="宋体" w:cs="宋体"/>
          <w:szCs w:val="21"/>
        </w:rPr>
        <w:t xml:space="preserve">法定代表人（授权代表）：                 法定代表人（授权代表）：     </w:t>
      </w:r>
      <w:r/>
    </w:p>
    <w:p>
      <w:pPr>
        <w:spacing w:line="360" w:lineRule="auto"/>
        <w:rPr>
          <w:rFonts w:hint="eastAsia" w:ascii="宋体" w:hAnsi="宋体" w:cs="宋体"/>
          <w:szCs w:val="21"/>
        </w:rPr>
      </w:pPr>
      <w:r>
        <w:rPr>
          <w:rFonts w:hint="eastAsia" w:ascii="宋体" w:hAnsi="宋体" w:cs="宋体"/>
          <w:szCs w:val="21"/>
        </w:rPr>
        <w:t xml:space="preserve">签约日期：                               签约日期：                   </w:t>
      </w:r>
      <w:r>
        <w:rPr>
          <w:rFonts w:hint="eastAsia" w:ascii="宋体" w:hAnsi="宋体" w:cs="宋体"/>
          <w:szCs w:val="21"/>
        </w:rPr>
        <w:tab/>
      </w:r>
      <w:r>
        <w:rPr>
          <w:rFonts w:hint="eastAsia" w:ascii="宋体" w:hAnsi="宋体" w:cs="宋体"/>
          <w:szCs w:val="21"/>
        </w:rPr>
        <w:tab/>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r>
        <w:rPr>
          <w:rFonts w:hint="eastAsia"/>
        </w:rPr>
      </w:r>
      <w:r/>
      <w:r>
        <w:rPr>
          <w:rFonts w:hint="eastAsia"/>
        </w:rPr>
      </w:r>
    </w:p>
    <w:p>
      <w:r/>
      <w:r/>
    </w:p>
    <w:p>
      <w:r>
        <w:rPr>
          <w:rFonts w:hint="eastAsia" w:asciiTheme="minorEastAsia" w:hAnsiTheme="minorEastAsia" w:eastAsiaTheme="minorEastAsia"/>
          <w:szCs w:val="21"/>
        </w:rPr>
        <w:t xml:space="preserve">附件1：考核评分表</w:t>
      </w:r>
      <w:r>
        <w:rPr>
          <w:rFonts w:hint="eastAsia"/>
        </w:rPr>
        <w:t xml:space="preserve">（</w:t>
      </w:r>
      <w:r>
        <w:rPr>
          <w:rFonts w:hint="eastAsia"/>
        </w:rPr>
        <w:t xml:space="preserve">本考核</w:t>
      </w:r>
      <w:r>
        <w:rPr>
          <w:rFonts w:hint="eastAsia"/>
        </w:rPr>
        <w:t xml:space="preserve">细则根据实际履行情况调整）</w:t>
      </w:r>
      <w:r/>
    </w:p>
    <w:p>
      <w:pPr>
        <w:pStyle w:val="738"/>
        <w:rPr>
          <w:rFonts w:hint="eastAsia" w:asciiTheme="minorEastAsia" w:hAnsiTheme="minorEastAsia" w:eastAsiaTheme="minorEastAsia"/>
          <w:szCs w:val="21"/>
        </w:rPr>
      </w:pPr>
      <w:r>
        <w:rPr>
          <w:rFonts w:hint="eastAsia" w:asciiTheme="minorEastAsia" w:hAnsiTheme="minorEastAsia" w:eastAsiaTheme="minorEastAsia"/>
          <w:szCs w:val="21"/>
        </w:rPr>
        <w:t xml:space="preserve">考核日期：                  考核参加人员：             考核部门：</w:t>
      </w:r>
      <w:r/>
    </w:p>
    <w:tbl>
      <w:tblPr>
        <w:tblW w:w="8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1442"/>
        <w:gridCol w:w="4903"/>
        <w:gridCol w:w="719"/>
        <w:gridCol w:w="871"/>
      </w:tblGrid>
      <w:tr>
        <w:trPr>
          <w:jc w:val="center"/>
          <w:trHeight w:val="374"/>
        </w:trPr>
        <w:tc>
          <w:tcPr>
            <w:tcW w:w="825"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1442"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考核项目</w:t>
            </w:r>
            <w:r/>
          </w:p>
        </w:tc>
        <w:tc>
          <w:tcPr>
            <w:tcW w:w="4903"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考核内容</w:t>
            </w:r>
            <w:r/>
          </w:p>
        </w:tc>
        <w:tc>
          <w:tcPr>
            <w:tcW w:w="719"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扣分</w:t>
            </w:r>
            <w:r/>
          </w:p>
        </w:tc>
        <w:tc>
          <w:tcPr>
            <w:tcW w:w="871"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备注</w:t>
            </w:r>
            <w:r/>
          </w:p>
        </w:tc>
      </w:tr>
      <w:tr>
        <w:trPr>
          <w:jc w:val="center"/>
          <w:trHeight w:val="374"/>
        </w:trPr>
        <w:tc>
          <w:tcPr>
            <w:tcW w:w="825"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442"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清运和分拣场地管理（30分）</w:t>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1、作业人员不按规定着装和规范操作的，每人每次扣0.2分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2、垃圾处理不及时，每次扣0.5分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58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3、处理操作流程和管理制度缺失的，每处扣0.2分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437"/>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4、场地卫生脏乱差的，不及时消杀除臭的，检查发现每次扣0.5分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87"/>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5、车辆进场无专人指挥管理的，检查发现每次扣0.2分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10"/>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6、进场道路不整洁、不顺畅，检查发现每次扣0.2分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00"/>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7、场地安全防护设施配置不全，安全检查台帐不符合要求的，检查发现每次扣0.5分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9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8、垃圾分拣不细致的，有混放的，检查发现每次扣0.5分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40"/>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9、设备定期维护保养不到位，影响作业的，每次扣0.2分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543"/>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10、场地及周边环境脏乱差，出现投诉或信访等行为，每次扣0.5分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442"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垃圾车辆</w:t>
            </w:r>
            <w:r/>
          </w:p>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运输管理</w:t>
            </w:r>
            <w:r/>
          </w:p>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（30分）</w:t>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1、运输车辆配置不足，分拣好的垃圾没有及时处置的，发现一次扣0.5分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2、运输车辆证件不全或无效的，发现一次扣0.5分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3、不按规定的路线、时间运输的，每次扣1分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4、在运输过程中沿途丢弃、抛撒垃圾的，每次扣3分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5、随意倾倒、抛撒或者堆放垃圾的，每辆每次扣3分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6、未经核准擅自处置垃圾的或处置超出核准范围</w:t>
            </w:r>
            <w:r>
              <w:rPr>
                <w:rFonts w:hint="eastAsia" w:cs="宋体" w:asciiTheme="minorEastAsia" w:hAnsiTheme="minorEastAsia" w:eastAsiaTheme="minorEastAsia"/>
                <w:sz w:val="21"/>
                <w:szCs w:val="21"/>
              </w:rPr>
              <w:t xml:space="preserve">的垃圾的，每次扣3分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7、未能及时完成发包人布置的任务，发生一次扣1分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8、运输车辆未安装GPS或GPS不运行的，造成无法实时动态监督车辆运行状况的，发生一次每车扣2分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9、运输过程中发生抛锚、交通事故等突发问题，隐瞒不报或不及时上报发包方，且未及时处理解决的，发生一次扣1分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32"/>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10、未按规定进入指定的处置终端，未经发包人同意，擅自运送其它处置单位的，发生一次扣3分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20"/>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11、运送的垃圾不进入垃圾焚烧发电厂、建筑垃圾再生利用中心规范处置的，发生一次扣10分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801"/>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12、垃圾出场记录和过磅计量资料不按规定实行的，发生一次扣1分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584"/>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13、出场过磅单未经甲方核对签字的，发生一次扣0.5分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40"/>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14、计量资料提供虚假资料的，发生一次扣5分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442"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安全文明管理（20分）</w:t>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1、分拣场地现场未设置安全设施，发现一次扣1分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2、运输车辆</w:t>
            </w:r>
            <w:r>
              <w:rPr>
                <w:rFonts w:hint="eastAsia" w:cs="宋体" w:asciiTheme="minorEastAsia" w:hAnsiTheme="minorEastAsia" w:eastAsiaTheme="minorEastAsia"/>
                <w:sz w:val="21"/>
                <w:szCs w:val="21"/>
              </w:rPr>
              <w:t xml:space="preserve">不</w:t>
            </w:r>
            <w:r>
              <w:rPr>
                <w:rFonts w:hint="eastAsia" w:cs="宋体" w:asciiTheme="minorEastAsia" w:hAnsiTheme="minorEastAsia" w:eastAsiaTheme="minorEastAsia"/>
                <w:sz w:val="21"/>
                <w:szCs w:val="21"/>
              </w:rPr>
              <w:t xml:space="preserve">配置安全器材，发现一次扣0.5分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3、分拣场地现场布置不合理，材料、设备堆放不整齐，发现一次扣0.5分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4、运输车辆不做定期安全检查的，发现一次扣0.5分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350"/>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5、运输实施过程中出现安全事故，经交警部门鉴定为承包人责任的，由承包人自行承担责任，并扣2分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2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6、运输车辆车容车貌不整洁的，发现一次扣0.5分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45"/>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7、运输车辆在运输全过程中不密封遮盖的，每车每次扣1分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442"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业务管理</w:t>
            </w:r>
            <w:r/>
          </w:p>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1、清运和分拣人员配置明显不足的，每次扣0.5分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2、未按审核的运输方案中人员与车辆进行运输作业的，发现一次扣0.5分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3、台帐、内部考核制度、维修制度、应急预案、检查记录、外运记录、末端处置记录等的完善，资</w:t>
            </w:r>
            <w:r>
              <w:rPr>
                <w:rFonts w:hint="eastAsia" w:cs="宋体" w:asciiTheme="minorEastAsia" w:hAnsiTheme="minorEastAsia" w:eastAsiaTheme="minorEastAsia"/>
                <w:sz w:val="21"/>
                <w:szCs w:val="21"/>
              </w:rPr>
              <w:t xml:space="preserve">料不全一次扣0.5分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635"/>
        </w:trPr>
        <w:tc>
          <w:tcPr>
            <w:tcW w:w="825"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442" w:type="dxa"/>
            <w:vAlign w:val="center"/>
            <w:vMerge w:val="restart"/>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其它</w:t>
            </w:r>
            <w:r/>
          </w:p>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1、发生有责投诉或</w:t>
            </w:r>
            <w:r>
              <w:rPr>
                <w:rFonts w:hint="eastAsia" w:cs="宋体" w:asciiTheme="minorEastAsia" w:hAnsiTheme="minorEastAsia" w:eastAsiaTheme="minorEastAsia"/>
                <w:sz w:val="21"/>
                <w:szCs w:val="21"/>
              </w:rPr>
              <w:t xml:space="preserve">遭新闻</w:t>
            </w:r>
            <w:r>
              <w:rPr>
                <w:rFonts w:hint="eastAsia" w:cs="宋体" w:asciiTheme="minorEastAsia" w:hAnsiTheme="minorEastAsia" w:eastAsiaTheme="minorEastAsia"/>
                <w:sz w:val="21"/>
                <w:szCs w:val="21"/>
              </w:rPr>
              <w:t xml:space="preserve">媒体曝光，如12345等，或网上投诉属实，或城市管理部门、交通部门、环保部门检查发现属实的，发现一次扣1分；若因承包人未在规定时间内对投诉问题进行处理、或未书面回复说明情况，发生二次或多次投诉，每次扣3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2、对突击任务、应急处理事件中人员、车辆设备配备不足，造成垃圾不能及时外运的，发生一次扣5分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060"/>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3、承包人需积极响应发包人对人员及设备的统一调配，若不予服从，发生一次扣5分；对不按规定运送到约定的处置终端规范处理的，发包人有权取消该承包人的承包资格</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74"/>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4、在城管局、环保部门、交通部门检查通报中，因运输不及时或管理不善，造成负面影响的，经查属实，通报一次扣1分</w:t>
            </w:r>
            <w:r/>
          </w:p>
        </w:tc>
        <w:tc>
          <w:tcPr>
            <w:tcW w:w="719"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71"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707"/>
        </w:trPr>
        <w:tc>
          <w:tcPr>
            <w:tcW w:w="825" w:type="dxa"/>
            <w:vAlign w:val="center"/>
            <w:vMerge w:val="continue"/>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442" w:type="dxa"/>
            <w:vAlign w:val="center"/>
            <w:vMerge w:val="continue"/>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490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5、针对混合垃圾处置处理提出合理化建议并被采纳的，每条加2分</w:t>
            </w:r>
            <w:r/>
          </w:p>
        </w:tc>
        <w:tc>
          <w:tcPr>
            <w:tcW w:w="719"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871"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jc w:val="center"/>
          <w:trHeight w:val="707"/>
        </w:trPr>
        <w:tc>
          <w:tcPr>
            <w:tcW w:w="825"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1442"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总分100分</w:t>
            </w:r>
            <w:r/>
          </w:p>
        </w:tc>
        <w:tc>
          <w:tcPr>
            <w:gridSpan w:val="3"/>
            <w:tcW w:w="6493" w:type="dxa"/>
            <w:vAlign w:val="center"/>
            <w:textDirection w:val="lrTb"/>
            <w:noWrap w:val="false"/>
          </w:tcPr>
          <w:p>
            <w:pPr>
              <w:pStyle w:val="741"/>
              <w:ind w:firstLine="0"/>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jc w:val="center"/>
          <w:trHeight w:val="1267"/>
        </w:trPr>
        <w:tc>
          <w:tcPr>
            <w:tcW w:w="825"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1442" w:type="dxa"/>
            <w:vAlign w:val="center"/>
            <w:textDirection w:val="lrTb"/>
            <w:noWrap w:val="false"/>
          </w:tcPr>
          <w:p>
            <w:pPr>
              <w:pStyle w:val="741"/>
              <w:ind w:firstLine="0"/>
              <w:jc w:val="center"/>
              <w:spacing w:line="360" w:lineRule="exac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考核人签字</w:t>
            </w:r>
            <w:r/>
          </w:p>
        </w:tc>
        <w:tc>
          <w:tcPr>
            <w:gridSpan w:val="3"/>
            <w:tcW w:w="6493" w:type="dxa"/>
            <w:vAlign w:val="center"/>
            <w:textDirection w:val="lrTb"/>
            <w:noWrap w:val="false"/>
          </w:tcPr>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pStyle w:val="738"/>
        <w:rPr>
          <w:rFonts w:hint="eastAsia" w:asciiTheme="minorEastAsia" w:hAnsiTheme="minorEastAsia" w:eastAsiaTheme="minorEastAsia"/>
          <w:szCs w:val="21"/>
        </w:rPr>
      </w:pPr>
      <w:r>
        <w:rPr>
          <w:rFonts w:hint="eastAsia" w:asciiTheme="minorEastAsia" w:hAnsiTheme="minorEastAsia" w:eastAsiaTheme="minorEastAsia"/>
          <w:szCs w:val="21"/>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rPr>
          <w:lang w:val="zh-CN"/>
        </w:rPr>
      </w:pPr>
      <w:r>
        <w:rPr>
          <w:lang w:val="zh-CN"/>
        </w:rPr>
      </w:r>
      <w:r/>
    </w:p>
    <w:p>
      <w:pPr>
        <w:pStyle w:val="738"/>
        <w:rPr>
          <w:rFonts w:hint="eastAsia"/>
          <w:lang w:val="zh-CN"/>
        </w:rPr>
      </w:pPr>
      <w:r>
        <w:rPr>
          <w:rFonts w:hint="eastAsia"/>
          <w:lang w:val="zh-CN"/>
        </w:rPr>
      </w:r>
      <w:r/>
    </w:p>
    <w:p>
      <w:pPr>
        <w:pStyle w:val="738"/>
        <w:rPr>
          <w:rFonts w:hint="eastAsia"/>
          <w:lang w:val="zh-CN"/>
        </w:rPr>
      </w:pPr>
      <w:r>
        <w:rPr>
          <w:rFonts w:hint="eastAsia"/>
          <w:lang w:val="zh-CN"/>
        </w:rPr>
      </w:r>
      <w:r/>
    </w:p>
    <w:p>
      <w:pPr>
        <w:rPr>
          <w:lang w:val="zh-CN"/>
        </w:rPr>
      </w:pPr>
      <w:r>
        <w:rPr>
          <w:lang w:val="zh-CN"/>
        </w:rPr>
      </w:r>
      <w:r/>
    </w:p>
    <w:p>
      <w:pPr>
        <w:pStyle w:val="738"/>
        <w:numPr>
          <w:ilvl w:val="0"/>
          <w:numId w:val="0"/>
        </w:numPr>
        <w:ind w:left="360"/>
        <w:rPr>
          <w:rFonts w:hint="eastAsia"/>
          <w:lang w:val="zh-CN"/>
        </w:rPr>
      </w:pPr>
      <w:r>
        <w:rPr>
          <w:rFonts w:hint="eastAsia"/>
          <w:lang w:val="zh-CN"/>
        </w:rPr>
      </w:r>
      <w:r/>
    </w:p>
    <w:p>
      <w:pPr>
        <w:rPr>
          <w:lang w:val="zh-CN"/>
        </w:rPr>
      </w:pPr>
      <w:r>
        <w:rPr>
          <w:lang w:val="zh-CN"/>
        </w:rPr>
      </w:r>
      <w:r/>
    </w:p>
    <w:p>
      <w:pPr>
        <w:jc w:val="center"/>
        <w:spacing w:line="360" w:lineRule="auto"/>
      </w:pPr>
      <w:r>
        <w:rPr>
          <w:rFonts w:hint="eastAsia" w:ascii="Times New Roman" w:hAnsi="Times New Roman"/>
          <w:b/>
          <w:bCs/>
          <w:sz w:val="44"/>
          <w:szCs w:val="44"/>
        </w:rPr>
        <w:t xml:space="preserve">第五章</w:t>
      </w:r>
      <w:bookmarkEnd w:id="32"/>
      <w:r>
        <w:rPr>
          <w:rFonts w:hint="eastAsia" w:ascii="Times New Roman" w:hAnsi="Times New Roman"/>
          <w:b/>
          <w:bCs/>
          <w:sz w:val="44"/>
          <w:szCs w:val="44"/>
        </w:rPr>
        <w:t xml:space="preserve">附件格式</w:t>
      </w:r>
      <w:r/>
    </w:p>
    <w:p>
      <w:pPr>
        <w:pStyle w:val="726"/>
        <w:jc w:val="center"/>
        <w:spacing w:line="276" w:lineRule="auto"/>
        <w:rPr>
          <w:rFonts w:hint="eastAsia" w:asciiTheme="minorEastAsia" w:hAnsiTheme="minorEastAsia" w:eastAsiaTheme="minorEastAsia"/>
          <w:b w:val="0"/>
          <w:bCs w:val="0"/>
          <w:sz w:val="21"/>
          <w:szCs w:val="21"/>
        </w:rPr>
      </w:pPr>
      <w:r>
        <w:rPr>
          <w:rFonts w:hint="eastAsia" w:asciiTheme="minorEastAsia" w:hAnsiTheme="minorEastAsia" w:eastAsiaTheme="minorEastAsia"/>
          <w:sz w:val="21"/>
          <w:szCs w:val="21"/>
        </w:rPr>
        <w:t xml:space="preserve">（如与系统内格式不一致，以系统内格式为准）</w:t>
      </w:r>
      <w:r/>
    </w:p>
    <w:p>
      <w:pPr>
        <w:jc w:val="left"/>
        <w:spacing w:line="440" w:lineRule="exact"/>
        <w:rPr>
          <w:rFonts w:hint="eastAsia" w:ascii="宋体" w:hAnsi="宋体"/>
          <w:b/>
          <w:szCs w:val="21"/>
        </w:rPr>
      </w:pPr>
      <w:r>
        <w:rPr>
          <w:rFonts w:ascii="宋体" w:hAnsi="宋体"/>
          <w:b/>
          <w:szCs w:val="21"/>
        </w:rPr>
        <w:t xml:space="preserve">说明：</w:t>
      </w:r>
      <w:r/>
    </w:p>
    <w:p>
      <w:pPr>
        <w:pStyle w:val="931"/>
        <w:ind w:firstLine="420"/>
        <w:rPr>
          <w:rFonts w:hint="eastAsia"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rPr>
      </w:pPr>
      <w:r>
        <w:rPr>
          <w:rFonts w:hint="eastAsia" w:ascii="宋体" w:hAnsi="宋体"/>
          <w:szCs w:val="21"/>
        </w:rPr>
      </w:r>
      <w:r>
        <w:rPr>
          <w:rFonts w:hint="eastAsia" w:ascii="宋体" w:hAnsi="宋体"/>
          <w:szCs w:val="21"/>
        </w:rPr>
      </w:r>
    </w:p>
    <w:p>
      <w:pPr>
        <w:pStyle w:val="931"/>
        <w:ind w:firstLine="420"/>
        <w:rPr>
          <w:rFonts w:hint="eastAsia" w:ascii="宋体" w:hAnsi="宋体"/>
        </w:rPr>
      </w:pPr>
      <w:r>
        <w:rPr>
          <w:rFonts w:hint="eastAsia" w:ascii="宋体" w:hAnsi="宋体"/>
        </w:rPr>
      </w:r>
      <w:r>
        <w:rPr>
          <w:rFonts w:hint="eastAsia" w:ascii="宋体" w:hAnsi="宋体"/>
        </w:rPr>
      </w:r>
    </w:p>
    <w:p>
      <w:pPr>
        <w:pStyle w:val="931"/>
        <w:ind w:firstLine="420"/>
        <w:rPr>
          <w:rFonts w:hint="eastAsia" w:ascii="宋体" w:hAnsi="宋体"/>
        </w:rPr>
      </w:pPr>
      <w:r>
        <w:rPr>
          <w:rFonts w:hint="eastAsia" w:ascii="宋体" w:hAnsi="宋体"/>
        </w:rPr>
      </w:r>
      <w:r>
        <w:rPr>
          <w:rFonts w:hint="eastAsia" w:ascii="宋体" w:hAnsi="宋体"/>
        </w:rPr>
      </w:r>
    </w:p>
    <w:p>
      <w:pPr>
        <w:pStyle w:val="931"/>
        <w:ind w:firstLine="420"/>
        <w:rPr>
          <w:rFonts w:hint="eastAsia" w:ascii="宋体" w:hAnsi="宋体"/>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931"/>
        <w:ind w:firstLine="420"/>
        <w:rPr>
          <w:rFonts w:hint="eastAsia" w:ascii="宋体" w:hAnsi="宋体"/>
          <w:szCs w:val="21"/>
        </w:rPr>
      </w:pPr>
      <w:r>
        <w:rPr>
          <w:rFonts w:hint="eastAsia" w:ascii="宋体" w:hAnsi="宋体"/>
          <w:szCs w:val="21"/>
        </w:rPr>
      </w:r>
      <w:r/>
    </w:p>
    <w:p>
      <w:pPr>
        <w:pStyle w:val="726"/>
        <w:spacing w:before="0" w:after="0" w:line="360" w:lineRule="auto"/>
        <w:rPr>
          <w:rFonts w:hint="eastAsia" w:ascii="宋体" w:hAnsi="宋体"/>
          <w:sz w:val="21"/>
          <w:szCs w:val="21"/>
        </w:rPr>
      </w:pPr>
      <w:r/>
      <w:bookmarkStart w:id="126" w:name="_Toc17036"/>
      <w:r/>
      <w:bookmarkStart w:id="127" w:name="_Toc3821"/>
      <w:r>
        <w:rPr>
          <w:rFonts w:hint="eastAsia" w:ascii="宋体" w:hAnsi="宋体"/>
          <w:sz w:val="21"/>
          <w:szCs w:val="21"/>
        </w:rPr>
        <w:t xml:space="preserve">附件1</w:t>
      </w:r>
      <w:bookmarkEnd w:id="126"/>
      <w:r/>
      <w:bookmarkEnd w:id="127"/>
      <w:r>
        <w:rPr>
          <w:rFonts w:hint="eastAsia" w:ascii="宋体" w:hAnsi="宋体"/>
          <w:sz w:val="21"/>
          <w:szCs w:val="21"/>
        </w:rPr>
        <w:t xml:space="preserve">.磋商响应函</w:t>
      </w:r>
      <w:r/>
    </w:p>
    <w:p>
      <w:pPr>
        <w:ind w:firstLine="3795"/>
        <w:jc w:val="left"/>
        <w:spacing w:line="440" w:lineRule="exact"/>
        <w:rPr>
          <w:rFonts w:hint="eastAsia" w:ascii="宋体" w:hAnsi="宋体"/>
          <w:b/>
          <w:szCs w:val="21"/>
        </w:rPr>
      </w:pPr>
      <w:r>
        <w:rPr>
          <w:rFonts w:hint="eastAsia" w:ascii="宋体" w:hAnsi="宋体"/>
          <w:b/>
          <w:szCs w:val="21"/>
        </w:rPr>
        <w:t xml:space="preserve">磋商响应函</w:t>
      </w:r>
      <w:r/>
    </w:p>
    <w:p>
      <w:pPr>
        <w:ind w:firstLine="4638"/>
        <w:jc w:val="left"/>
        <w:spacing w:line="440" w:lineRule="exact"/>
        <w:rPr>
          <w:rFonts w:hint="eastAsia" w:ascii="宋体" w:hAnsi="宋体"/>
          <w:b/>
          <w:szCs w:val="21"/>
        </w:rPr>
      </w:pPr>
      <w:r>
        <w:rPr>
          <w:rFonts w:hint="eastAsia" w:ascii="宋体" w:hAnsi="宋体"/>
          <w:b/>
          <w:szCs w:val="21"/>
        </w:rPr>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苏州市保泽建设管理有限公司</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我们收到贵单位 </w:t>
      </w:r>
      <w:r>
        <w:rPr>
          <w:rFonts w:hint="eastAsia" w:ascii="宋体" w:hAnsi="宋体" w:cs="宋体"/>
          <w:szCs w:val="21"/>
          <w:u w:val="single"/>
          <w:lang w:val="zh-CN"/>
        </w:rPr>
        <w:t xml:space="preserve">           </w:t>
      </w:r>
      <w:r>
        <w:rPr>
          <w:rFonts w:hint="eastAsia" w:ascii="宋体" w:hAnsi="宋体" w:cs="宋体"/>
          <w:szCs w:val="21"/>
          <w:lang w:val="zh-CN"/>
        </w:rPr>
        <w:t xml:space="preserve">（采购编号）的 </w:t>
      </w:r>
      <w:r>
        <w:rPr>
          <w:rFonts w:hint="eastAsia" w:ascii="宋体" w:hAnsi="宋体" w:cs="宋体"/>
          <w:szCs w:val="21"/>
          <w:u w:val="single"/>
          <w:lang w:val="zh-CN"/>
        </w:rPr>
        <w:t xml:space="preserve">          </w:t>
      </w:r>
      <w:r>
        <w:rPr>
          <w:rFonts w:hint="eastAsia" w:ascii="宋体" w:hAnsi="宋体" w:cs="宋体"/>
          <w:szCs w:val="21"/>
          <w:lang w:val="zh-CN"/>
        </w:rPr>
        <w:t xml:space="preserve">（采购项目名称）</w:t>
      </w:r>
      <w:r>
        <w:rPr>
          <w:rFonts w:hint="eastAsia" w:ascii="宋体" w:hAnsi="宋体" w:cs="宋体"/>
          <w:szCs w:val="21"/>
          <w:u w:val="single"/>
          <w:lang w:val="zh-CN"/>
        </w:rPr>
        <w:t xml:space="preserve">        </w:t>
      </w:r>
      <w:r>
        <w:rPr>
          <w:rFonts w:hint="eastAsia" w:ascii="宋体" w:hAnsi="宋体" w:cs="宋体"/>
          <w:szCs w:val="21"/>
          <w:lang w:val="zh-CN"/>
        </w:rPr>
        <w:t xml:space="preserve">（标段号） 的采购文件，经仔细阅读和研究，我们决定参加磋商活动。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4、本磋商响应文件的有效期限为响应文件接收截止时间之日起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8、与本磋商相应文件有关的通讯地址：</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单   位：                                              联 系 人： </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地   址：                                              邮政编码： </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联系电话：                                             电子邮箱：</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磋商供应商：（单位公章） </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法定代表人或被授权人：（签字或盖章）</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日    期：     年     月    日</w:t>
      </w:r>
      <w:r/>
    </w:p>
    <w:p>
      <w:pPr>
        <w:pStyle w:val="726"/>
        <w:spacing w:before="0" w:after="0" w:line="360" w:lineRule="auto"/>
        <w:rPr>
          <w:rFonts w:hint="eastAsia" w:ascii="宋体" w:hAnsi="宋体"/>
          <w:sz w:val="21"/>
          <w:szCs w:val="21"/>
        </w:rPr>
      </w:pPr>
      <w:r>
        <w:rPr>
          <w:rFonts w:ascii="宋体" w:hAnsi="宋体"/>
          <w:b w:val="0"/>
          <w:sz w:val="21"/>
          <w:szCs w:val="21"/>
        </w:rPr>
        <w:br w:type="page" w:clear="all"/>
      </w:r>
      <w:r>
        <w:rPr>
          <w:rFonts w:ascii="宋体" w:hAnsi="宋体"/>
          <w:sz w:val="21"/>
          <w:szCs w:val="21"/>
        </w:rPr>
        <w:t xml:space="preserve">附件2</w:t>
      </w:r>
      <w:r>
        <w:rPr>
          <w:rFonts w:hint="eastAsia" w:ascii="宋体" w:hAnsi="宋体"/>
          <w:sz w:val="21"/>
          <w:szCs w:val="21"/>
        </w:rPr>
        <w:t xml:space="preserve">.磋商响应报价表</w:t>
      </w:r>
      <w:r/>
    </w:p>
    <w:p>
      <w:pPr>
        <w:rPr>
          <w:rFonts w:hint="eastAsia" w:ascii="宋体" w:hAnsi="宋体"/>
          <w:szCs w:val="21"/>
        </w:rPr>
      </w:pPr>
      <w:r>
        <w:rPr>
          <w:rFonts w:hint="eastAsia" w:ascii="宋体" w:hAnsi="宋体"/>
          <w:szCs w:val="21"/>
        </w:rPr>
      </w:r>
      <w:r/>
    </w:p>
    <w:p>
      <w:pPr>
        <w:jc w:val="center"/>
        <w:spacing w:line="360" w:lineRule="auto"/>
        <w:rPr>
          <w:rFonts w:hint="eastAsia" w:ascii="宋体" w:hAnsi="宋体"/>
          <w:b/>
          <w:sz w:val="32"/>
          <w:szCs w:val="32"/>
        </w:rPr>
      </w:pPr>
      <w:r>
        <w:rPr>
          <w:rFonts w:hint="eastAsia" w:ascii="宋体" w:hAnsi="宋体"/>
          <w:b/>
          <w:sz w:val="32"/>
          <w:szCs w:val="32"/>
        </w:rPr>
        <w:t xml:space="preserve">磋商响应报价表</w:t>
      </w:r>
      <w:r/>
    </w:p>
    <w:p>
      <w:pPr>
        <w:pStyle w:val="989"/>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项目名称：2026年相城经开区无主垃圾清运项目</w:t>
      </w:r>
      <w:r/>
    </w:p>
    <w:p>
      <w:pPr>
        <w:pStyle w:val="989"/>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hint="eastAsia" w:asciiTheme="minorEastAsia" w:hAnsiTheme="minorEastAsia" w:eastAsiaTheme="minorEastAsia"/>
          <w:sz w:val="21"/>
          <w:szCs w:val="21"/>
        </w:rPr>
        <w:t xml:space="preserve">JSZC-320507-BZJS-C2026-0001</w:t>
      </w:r>
      <w:r/>
    </w:p>
    <w:p>
      <w:pPr>
        <w:pStyle w:val="989"/>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价格单位：%</w:t>
      </w:r>
      <w:r/>
    </w:p>
    <w:tbl>
      <w:tblPr>
        <w:tblW w:w="0" w:type="auto"/>
        <w:tblInd w:w="108" w:type="dxa"/>
        <w:tblLayout w:type="fixed"/>
        <w:tblLook w:val="04A0" w:firstRow="1" w:lastRow="0" w:firstColumn="1" w:lastColumn="0" w:noHBand="0" w:noVBand="1"/>
      </w:tblPr>
      <w:tblGrid>
        <w:gridCol w:w="993"/>
        <w:gridCol w:w="1843"/>
        <w:gridCol w:w="2008"/>
        <w:gridCol w:w="3343"/>
      </w:tblGrid>
      <w:tr>
        <w:trPr>
          <w:trHeight w:val="539"/>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008" w:type="dxa"/>
            <w:textDirection w:val="lrTb"/>
            <w:noWrap w:val="false"/>
          </w:tcPr>
          <w:p>
            <w:pPr>
              <w:jc w:val="center"/>
              <w:spacing w:line="360" w:lineRule="auto"/>
              <w:rPr>
                <w:rFonts w:hint="eastAsia" w:ascii="宋体" w:hAnsi="宋体"/>
                <w:szCs w:val="21"/>
              </w:rPr>
            </w:pPr>
            <w:r>
              <w:rPr>
                <w:rFonts w:hint="eastAsia" w:ascii="宋体"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3343" w:type="dxa"/>
            <w:textDirection w:val="lrTb"/>
            <w:noWrap w:val="false"/>
          </w:tcPr>
          <w:p>
            <w:pPr>
              <w:jc w:val="center"/>
              <w:spacing w:line="360" w:lineRule="auto"/>
              <w:rPr>
                <w:rFonts w:hint="eastAsia" w:ascii="宋体" w:hAnsi="宋体"/>
                <w:szCs w:val="21"/>
              </w:rPr>
            </w:pPr>
            <w:r>
              <w:rPr>
                <w:rFonts w:hint="eastAsia" w:ascii="宋体" w:hAnsi="宋体" w:cs="Arial"/>
                <w:spacing w:val="20"/>
                <w:szCs w:val="21"/>
              </w:rPr>
              <w:t xml:space="preserve">磋商响应报价（</w:t>
            </w:r>
            <w:r>
              <w:rPr>
                <w:rFonts w:hint="eastAsia" w:ascii="宋体" w:hAnsi="宋体" w:cs="Arial"/>
                <w:spacing w:val="20"/>
                <w:szCs w:val="21"/>
              </w:rPr>
              <w:t xml:space="preserve">优惠率</w:t>
            </w:r>
            <w:r>
              <w:rPr>
                <w:rFonts w:hint="eastAsia" w:ascii="宋体" w:hAnsi="宋体" w:cs="Arial"/>
                <w:spacing w:val="20"/>
                <w:szCs w:val="21"/>
              </w:rPr>
              <w:t xml:space="preserve">）</w:t>
            </w:r>
            <w:r/>
          </w:p>
        </w:tc>
      </w:tr>
      <w:tr>
        <w:trPr>
          <w:trHeight w:val="1726"/>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008"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343" w:type="dxa"/>
            <w:vAlign w:val="center"/>
            <w:textDirection w:val="lrTb"/>
            <w:noWrap w:val="false"/>
          </w:tcPr>
          <w:p>
            <w:pPr>
              <w:pStyle w:val="738"/>
              <w:numPr>
                <w:ilvl w:val="0"/>
                <w:numId w:val="0"/>
              </w:numPr>
              <w:ind w:left="360" w:hanging="360"/>
              <w:rPr>
                <w:rFonts w:hint="eastAsia"/>
                <w:lang w:val="zh-CN"/>
              </w:rPr>
            </w:pPr>
            <w:r>
              <w:rPr>
                <w:rFonts w:hint="eastAsia"/>
                <w:lang w:val="zh-CN"/>
              </w:rPr>
              <w:t xml:space="preserve">      </w:t>
            </w:r>
            <w:r>
              <w:rPr>
                <w:rFonts w:hint="eastAsia"/>
                <w:u w:val="single"/>
                <w:lang w:val="zh-CN"/>
              </w:rPr>
              <w:t xml:space="preserve">        </w:t>
            </w:r>
            <w:r>
              <w:rPr>
                <w:rFonts w:hint="eastAsia"/>
                <w:lang w:val="zh-CN"/>
              </w:rPr>
              <w:t xml:space="preserve">%</w:t>
            </w:r>
            <w:r/>
          </w:p>
        </w:tc>
      </w:tr>
    </w:tbl>
    <w:p>
      <w:pPr>
        <w:jc w:val="left"/>
        <w:spacing w:line="440" w:lineRule="exact"/>
        <w:rPr>
          <w:rFonts w:hint="eastAsia" w:ascii="宋体" w:hAnsi="宋体" w:cs="宋体"/>
          <w:szCs w:val="21"/>
          <w:lang w:val="zh-CN"/>
        </w:rPr>
      </w:pPr>
      <w:r>
        <w:rPr>
          <w:rFonts w:hint="eastAsia" w:ascii="宋体" w:hAnsi="宋体" w:cs="宋体"/>
          <w:szCs w:val="21"/>
          <w:lang w:val="zh-CN"/>
        </w:rPr>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磋商供应商：（单位公章） </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法定代表人或被授权人：（签字或盖章）</w:t>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日    期：     年     月    日</w:t>
      </w:r>
      <w:r/>
    </w:p>
    <w:p>
      <w:pPr>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r>
      <w:r/>
    </w:p>
    <w:p>
      <w:pPr>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注：</w:t>
      </w:r>
      <w:r/>
    </w:p>
    <w:p>
      <w:pPr>
        <w:pStyle w:val="1016"/>
        <w:numPr>
          <w:ilvl w:val="0"/>
          <w:numId w:val="4"/>
        </w:numPr>
        <w:spacing w:line="360" w:lineRule="auto"/>
        <w:rPr>
          <w:rFonts w:hint="eastAsia" w:ascii="宋体" w:hAnsi="宋体" w:cs="宋体"/>
          <w:color w:val="000000"/>
          <w:szCs w:val="21"/>
          <w:lang w:val="zh-CN"/>
        </w:rPr>
        <w:outlineLvl w:val="0"/>
      </w:pPr>
      <w:r/>
      <w:bookmarkStart w:id="128" w:name="OLE_LINK12"/>
      <w:r>
        <w:rPr>
          <w:rFonts w:hint="eastAsia" w:ascii="宋体" w:cs="宋体"/>
          <w:color w:val="000000"/>
          <w:szCs w:val="21"/>
          <w:lang w:val="zh-CN"/>
        </w:rPr>
        <w:t xml:space="preserve">优惠率=下浮率</w:t>
      </w:r>
      <w:bookmarkEnd w:id="128"/>
      <w:r/>
      <w:r/>
    </w:p>
    <w:p>
      <w:pPr>
        <w:ind w:firstLine="420"/>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例如：</w:t>
      </w:r>
      <w:bookmarkStart w:id="129" w:name="OLE_LINK11"/>
      <w:r>
        <w:rPr>
          <w:rFonts w:hint="eastAsia" w:ascii="宋体" w:hAnsi="宋体" w:cs="宋体"/>
          <w:color w:val="000000"/>
          <w:szCs w:val="21"/>
          <w:lang w:val="zh-CN"/>
        </w:rPr>
        <w:t xml:space="preserve">优惠率</w:t>
      </w:r>
      <w:r>
        <w:rPr>
          <w:rFonts w:hint="eastAsia" w:ascii="宋体" w:hAnsi="宋体" w:cs="宋体"/>
          <w:color w:val="000000"/>
          <w:szCs w:val="21"/>
          <w:lang w:val="zh-CN"/>
        </w:rPr>
        <w:t xml:space="preserve">填报</w:t>
      </w:r>
      <w:r>
        <w:rPr>
          <w:rFonts w:hint="eastAsia" w:ascii="宋体" w:hAnsi="宋体" w:cs="宋体"/>
          <w:color w:val="000000"/>
          <w:szCs w:val="21"/>
          <w:lang w:val="zh-CN"/>
        </w:rPr>
        <w:t xml:space="preserve">20</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即</w:t>
      </w:r>
      <w:r>
        <w:rPr>
          <w:rFonts w:hint="eastAsia" w:ascii="宋体" w:hAnsi="宋体" w:cs="宋体"/>
          <w:color w:val="000000"/>
          <w:szCs w:val="21"/>
          <w:lang w:val="zh-CN"/>
        </w:rPr>
        <w:t xml:space="preserve">表示</w:t>
      </w:r>
      <w:r>
        <w:rPr>
          <w:rFonts w:hint="eastAsia" w:ascii="宋体" w:hAnsi="宋体" w:cs="宋体"/>
          <w:color w:val="000000"/>
          <w:szCs w:val="21"/>
          <w:lang w:val="zh-CN"/>
        </w:rPr>
        <w:t xml:space="preserve">最终</w:t>
      </w:r>
      <w:r>
        <w:rPr>
          <w:rFonts w:hint="eastAsia" w:ascii="宋体" w:hAnsi="宋体" w:cs="宋体"/>
          <w:color w:val="000000"/>
          <w:szCs w:val="21"/>
          <w:lang w:val="zh-CN"/>
        </w:rPr>
        <w:t xml:space="preserve">单价</w:t>
      </w:r>
      <w:r>
        <w:rPr>
          <w:rFonts w:hint="eastAsia" w:ascii="宋体" w:hAnsi="宋体" w:cs="宋体"/>
          <w:color w:val="000000"/>
          <w:szCs w:val="21"/>
          <w:lang w:val="zh-CN"/>
        </w:rPr>
        <w:t xml:space="preserve">按</w:t>
      </w:r>
      <w:r>
        <w:rPr>
          <w:rFonts w:hint="eastAsia" w:ascii="宋体" w:hAnsi="宋体" w:cs="宋体"/>
          <w:color w:val="000000"/>
          <w:szCs w:val="21"/>
          <w:lang w:val="zh-CN"/>
        </w:rPr>
        <w:t xml:space="preserve">单价</w:t>
      </w:r>
      <w:r>
        <w:rPr>
          <w:rFonts w:hint="eastAsia" w:ascii="宋体" w:hAnsi="宋体" w:cs="宋体"/>
          <w:color w:val="000000"/>
          <w:szCs w:val="21"/>
          <w:lang w:val="zh-CN"/>
        </w:rPr>
        <w:t xml:space="preserve">最高限价</w:t>
      </w:r>
      <w:r>
        <w:rPr>
          <w:rFonts w:hint="eastAsia" w:ascii="宋体" w:hAnsi="宋体" w:cs="宋体"/>
          <w:color w:val="000000"/>
          <w:szCs w:val="21"/>
          <w:lang w:val="zh-CN"/>
        </w:rPr>
        <w:t xml:space="preserve">*（1-优惠率）</w:t>
      </w:r>
      <w:r>
        <w:rPr>
          <w:rFonts w:hint="eastAsia" w:ascii="宋体" w:hAnsi="宋体" w:cs="宋体"/>
          <w:color w:val="000000"/>
          <w:szCs w:val="21"/>
          <w:lang w:val="zh-CN"/>
        </w:rPr>
        <w:t xml:space="preserve">；（即单价最高限价混合垃圾清运405元/吨、装修建筑垃圾清运280元/吨的基础上</w:t>
      </w:r>
      <w:r>
        <w:rPr>
          <w:rFonts w:hint="eastAsia" w:ascii="宋体" w:hAnsi="宋体" w:cs="宋体"/>
          <w:color w:val="000000"/>
          <w:szCs w:val="21"/>
          <w:lang w:val="zh-CN"/>
        </w:rPr>
        <w:t xml:space="preserve">*80%</w:t>
      </w:r>
      <w:r>
        <w:rPr>
          <w:rFonts w:hint="eastAsia" w:ascii="宋体" w:hAnsi="宋体" w:cs="宋体"/>
          <w:color w:val="000000"/>
          <w:szCs w:val="21"/>
          <w:lang w:val="zh-CN"/>
        </w:rPr>
        <w:t xml:space="preserve">；</w:t>
      </w:r>
      <w:bookmarkEnd w:id="129"/>
      <w:r/>
      <w:r/>
    </w:p>
    <w:p>
      <w:pPr>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 </w:t>
      </w:r>
      <w:r>
        <w:rPr>
          <w:rFonts w:ascii="宋体" w:hAnsi="宋体" w:cs="宋体"/>
          <w:color w:val="000000"/>
          <w:szCs w:val="21"/>
          <w:lang w:val="zh-CN"/>
        </w:rPr>
        <w:t xml:space="preserve">   2</w:t>
      </w:r>
      <w:r>
        <w:rPr>
          <w:rFonts w:hint="eastAsia" w:ascii="宋体" w:hAnsi="宋体" w:cs="宋体"/>
          <w:color w:val="000000"/>
          <w:szCs w:val="21"/>
          <w:lang w:val="zh-CN"/>
        </w:rPr>
        <w:t xml:space="preserve">、磋商响应报价表中系数应与政府采购交易系统中开标一览表的系数一致，如不一致以开标一览表的系数为准；</w:t>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pStyle w:val="738"/>
        <w:rPr>
          <w:rFonts w:hint="eastAsia"/>
        </w:rPr>
      </w:pPr>
      <w:r>
        <w:rPr>
          <w:rFonts w:hint="eastAsia"/>
        </w:rPr>
      </w:r>
      <w:r/>
    </w:p>
    <w:p>
      <w:r/>
      <w:r/>
    </w:p>
    <w:p>
      <w:pPr>
        <w:pStyle w:val="738"/>
        <w:rPr>
          <w:rFonts w:hint="eastAsia"/>
        </w:rPr>
      </w:pPr>
      <w:r>
        <w:rPr>
          <w:rFonts w:hint="eastAsia"/>
        </w:rPr>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ind w:firstLine="420"/>
        <w:jc w:val="left"/>
        <w:spacing w:line="440" w:lineRule="exact"/>
        <w:rPr>
          <w:rFonts w:hint="eastAsia" w:ascii="宋体" w:hAnsi="宋体" w:cs="宋体"/>
          <w:szCs w:val="21"/>
        </w:rPr>
      </w:pPr>
      <w:r>
        <w:rPr>
          <w:rFonts w:hint="eastAsia" w:ascii="宋体" w:hAnsi="宋体" w:cs="宋体"/>
          <w:szCs w:val="21"/>
        </w:rPr>
      </w:r>
      <w:r/>
    </w:p>
    <w:p>
      <w:pPr>
        <w:jc w:val="left"/>
        <w:spacing w:line="440" w:lineRule="exact"/>
        <w:rPr>
          <w:rFonts w:hint="eastAsia" w:ascii="宋体" w:hAnsi="宋体"/>
          <w:b/>
          <w:bCs/>
          <w:szCs w:val="21"/>
        </w:rPr>
      </w:pPr>
      <w:r>
        <w:rPr>
          <w:rFonts w:ascii="宋体" w:hAnsi="宋体"/>
          <w:b/>
          <w:bCs/>
          <w:szCs w:val="21"/>
        </w:rPr>
        <w:t xml:space="preserve">附件</w:t>
      </w:r>
      <w:r>
        <w:rPr>
          <w:rFonts w:hint="eastAsia" w:ascii="宋体" w:hAnsi="宋体"/>
          <w:b/>
          <w:bCs/>
          <w:szCs w:val="21"/>
        </w:rPr>
        <w:t xml:space="preserve">3.报价明细表</w:t>
      </w:r>
      <w:r/>
    </w:p>
    <w:p>
      <w:pPr>
        <w:pStyle w:val="738"/>
        <w:jc w:val="center"/>
        <w:rPr>
          <w:rFonts w:hint="eastAsia" w:ascii="宋体"/>
          <w:b/>
          <w:sz w:val="32"/>
          <w:szCs w:val="32"/>
        </w:rPr>
      </w:pPr>
      <w:r>
        <w:rPr>
          <w:rFonts w:hint="eastAsia" w:ascii="宋体"/>
          <w:b/>
          <w:sz w:val="32"/>
          <w:szCs w:val="32"/>
        </w:rPr>
        <w:t xml:space="preserve">报价明细表</w:t>
      </w:r>
      <w:r/>
    </w:p>
    <w:p>
      <w:pPr>
        <w:pStyle w:val="738"/>
        <w:numPr>
          <w:ilvl w:val="0"/>
          <w:numId w:val="0"/>
        </w:numPr>
        <w:rPr>
          <w:rFonts w:hint="eastAsia" w:cs="宋体" w:asciiTheme="minorEastAsia" w:hAnsiTheme="minorEastAsia" w:eastAsiaTheme="minorEastAsia"/>
        </w:rPr>
      </w:pPr>
      <w:r>
        <w:rPr>
          <w:rFonts w:hint="eastAsia" w:cs="宋体" w:asciiTheme="minorEastAsia" w:hAnsiTheme="minorEastAsia" w:eastAsiaTheme="minorEastAsia"/>
        </w:rPr>
        <w:t xml:space="preserve">项目名称：2026年相城经开区无主垃圾清运项目</w:t>
      </w:r>
      <w:r/>
    </w:p>
    <w:p>
      <w:pPr>
        <w:pStyle w:val="738"/>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采购编号：</w:t>
      </w:r>
      <w:r>
        <w:rPr>
          <w:rFonts w:hint="eastAsia" w:asciiTheme="minorEastAsia" w:hAnsiTheme="minorEastAsia" w:eastAsiaTheme="minorEastAsia"/>
        </w:rPr>
        <w:t xml:space="preserve">JSZC-320507-BZJS-C2026-0001</w:t>
      </w:r>
      <w:r>
        <w:rPr>
          <w:rFonts w:hint="eastAsia" w:asciiTheme="minorEastAsia" w:hAnsiTheme="minorEastAsia" w:eastAsiaTheme="minorEastAsia"/>
        </w:rPr>
        <w:t xml:space="preserve"> </w:t>
      </w:r>
      <w:r/>
    </w:p>
    <w:p>
      <w:pPr>
        <w:pStyle w:val="738"/>
        <w:numPr>
          <w:ilvl w:val="0"/>
          <w:numId w:val="0"/>
        </w:numPr>
        <w:rPr>
          <w:rFonts w:hint="eastAsia" w:asciiTheme="minorEastAsia" w:hAnsiTheme="minorEastAsia" w:eastAsiaTheme="minorEastAsia"/>
        </w:rPr>
      </w:pPr>
      <w:r>
        <w:rPr>
          <w:rFonts w:hint="eastAsia" w:asciiTheme="minorEastAsia" w:hAnsiTheme="minorEastAsia" w:eastAsiaTheme="minorEastAsia"/>
        </w:rPr>
        <w:t xml:space="preserve">单位：%</w:t>
      </w:r>
      <w:r/>
    </w:p>
    <w:tbl>
      <w:tblPr>
        <w:tblW w:w="836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4"/>
        <w:gridCol w:w="1884"/>
        <w:gridCol w:w="1757"/>
        <w:gridCol w:w="1796"/>
        <w:gridCol w:w="1736"/>
      </w:tblGrid>
      <w:tr>
        <w:trPr>
          <w:trHeight w:val="581"/>
        </w:trPr>
        <w:tc>
          <w:tcPr>
            <w:tcW w:w="1194"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序号</w:t>
            </w:r>
            <w:r/>
          </w:p>
        </w:tc>
        <w:tc>
          <w:tcPr>
            <w:tcW w:w="1884"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服务条目</w:t>
            </w:r>
            <w:r/>
          </w:p>
        </w:tc>
        <w:tc>
          <w:tcPr>
            <w:tcW w:w="17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单价最高限价（元）</w:t>
            </w:r>
            <w:r/>
          </w:p>
        </w:tc>
        <w:tc>
          <w:tcPr>
            <w:tcW w:w="179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优惠率（%）</w:t>
            </w:r>
            <w:r/>
          </w:p>
        </w:tc>
        <w:tc>
          <w:tcPr>
            <w:tcW w:w="173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备注</w:t>
            </w:r>
            <w:r/>
          </w:p>
        </w:tc>
      </w:tr>
      <w:tr>
        <w:trPr>
          <w:trHeight w:val="901"/>
        </w:trPr>
        <w:tc>
          <w:tcPr>
            <w:tcW w:w="1194"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W w:w="1884"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装修建筑垃圾清运</w:t>
            </w:r>
            <w:r/>
          </w:p>
        </w:tc>
        <w:tc>
          <w:tcPr>
            <w:tcW w:w="17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280元/吨</w:t>
            </w:r>
            <w:r/>
          </w:p>
        </w:tc>
        <w:tc>
          <w:tcPr>
            <w:tcW w:w="1796" w:type="dxa"/>
            <w:vMerge w:val="restart"/>
            <w:textDirection w:val="lrTb"/>
            <w:noWrap w:val="false"/>
          </w:tcPr>
          <w:p>
            <w:pPr>
              <w:jc w:val="center"/>
              <w:widowControl/>
              <w:rPr>
                <w:rFonts w:hint="eastAsia" w:ascii="宋体" w:hAnsi="宋体" w:cs="宋体"/>
                <w:sz w:val="22"/>
              </w:rPr>
            </w:pPr>
            <w:r>
              <w:rPr>
                <w:rFonts w:hint="eastAsia" w:ascii="宋体" w:hAnsi="宋体" w:cs="宋体"/>
                <w:sz w:val="22"/>
              </w:rPr>
            </w:r>
            <w:r/>
          </w:p>
        </w:tc>
        <w:tc>
          <w:tcPr>
            <w:tcW w:w="1736" w:type="dxa"/>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829"/>
        </w:trPr>
        <w:tc>
          <w:tcPr>
            <w:tcW w:w="1194"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W w:w="1884" w:type="dxa"/>
            <w:vAlign w:val="center"/>
            <w:textDirection w:val="lrTb"/>
            <w:noWrap w:val="false"/>
          </w:tcPr>
          <w:p>
            <w:pPr>
              <w:jc w:val="center"/>
              <w:widowControl/>
              <w:rPr>
                <w:rFonts w:hint="eastAsia" w:ascii="宋体" w:hAnsi="宋体" w:cs="宋体"/>
                <w:sz w:val="22"/>
              </w:rPr>
            </w:pPr>
            <w:r>
              <w:rPr>
                <w:rFonts w:hint="eastAsia" w:ascii="宋体" w:hAnsi="宋体" w:cs="宋体"/>
                <w:szCs w:val="21"/>
              </w:rPr>
              <w:t xml:space="preserve">混合垃圾清运</w:t>
            </w:r>
            <w:r/>
          </w:p>
        </w:tc>
        <w:tc>
          <w:tcPr>
            <w:tcW w:w="175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405元/吨</w:t>
            </w:r>
            <w:r/>
          </w:p>
        </w:tc>
        <w:tc>
          <w:tcPr>
            <w:tcW w:w="1796" w:type="dxa"/>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W w:w="1736" w:type="dxa"/>
            <w:textDirection w:val="lrTb"/>
            <w:noWrap w:val="false"/>
          </w:tcPr>
          <w:p>
            <w:pPr>
              <w:jc w:val="center"/>
              <w:widowControl/>
              <w:rPr>
                <w:rFonts w:hint="eastAsia" w:ascii="宋体" w:hAnsi="宋体" w:cs="宋体"/>
                <w:sz w:val="22"/>
              </w:rPr>
            </w:pPr>
            <w:r>
              <w:rPr>
                <w:rFonts w:hint="eastAsia" w:ascii="宋体" w:hAnsi="宋体" w:cs="宋体"/>
                <w:sz w:val="22"/>
              </w:rPr>
            </w:r>
            <w:r/>
          </w:p>
        </w:tc>
      </w:tr>
    </w:tbl>
    <w:p>
      <w:pPr>
        <w:pStyle w:val="738"/>
        <w:numPr>
          <w:ilvl w:val="0"/>
          <w:numId w:val="0"/>
        </w:numPr>
        <w:rPr>
          <w:rFonts w:hint="eastAsia" w:cs="宋体" w:asciiTheme="minorEastAsia" w:hAnsiTheme="minorEastAsia" w:eastAsiaTheme="minorEastAsia"/>
        </w:rPr>
      </w:pPr>
      <w:r>
        <w:rPr>
          <w:rFonts w:hint="eastAsia" w:cs="宋体" w:asciiTheme="minorEastAsia" w:hAnsiTheme="minorEastAsia" w:eastAsiaTheme="minorEastAsia"/>
        </w:rPr>
        <w:t xml:space="preserve">注：</w:t>
      </w:r>
      <w:r/>
    </w:p>
    <w:p>
      <w:pPr>
        <w:pStyle w:val="738"/>
        <w:numPr>
          <w:ilvl w:val="0"/>
          <w:numId w:val="0"/>
        </w:numPr>
        <w:ind w:firstLine="420"/>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ascii="宋体" w:cs="宋体"/>
          <w:color w:val="000000"/>
          <w:szCs w:val="21"/>
          <w:lang w:val="zh-CN"/>
        </w:rPr>
        <w:t xml:space="preserve">优惠率=下浮率</w:t>
      </w:r>
      <w:r>
        <w:rPr>
          <w:rFonts w:hint="eastAsia" w:cs="宋体" w:asciiTheme="minorEastAsia" w:hAnsiTheme="minorEastAsia" w:eastAsiaTheme="minorEastAsia"/>
        </w:rPr>
        <w:t xml:space="preserve">；</w:t>
      </w:r>
      <w:r/>
    </w:p>
    <w:p>
      <w:pPr>
        <w:pStyle w:val="738"/>
        <w:numPr>
          <w:ilvl w:val="0"/>
          <w:numId w:val="0"/>
        </w:numPr>
        <w:ind w:firstLine="420"/>
        <w:rPr>
          <w:rFonts w:hint="eastAsia" w:cs="宋体" w:asciiTheme="minorEastAsia" w:hAnsiTheme="minorEastAsia" w:eastAsiaTheme="minorEastAsia"/>
        </w:rPr>
      </w:pPr>
      <w:r>
        <w:rPr>
          <w:rFonts w:hint="eastAsia" w:cs="宋体" w:asciiTheme="minorEastAsia" w:hAnsiTheme="minorEastAsia" w:eastAsiaTheme="minorEastAsia"/>
        </w:rPr>
        <w:t xml:space="preserve">例如：</w:t>
      </w:r>
      <w:r>
        <w:rPr>
          <w:rFonts w:hint="eastAsia" w:ascii="宋体" w:cs="宋体"/>
          <w:color w:val="000000"/>
          <w:szCs w:val="21"/>
          <w:lang w:val="zh-CN"/>
        </w:rPr>
        <w:t xml:space="preserve">优惠率填报20％，即表示最终单价按单价最高限价*（1-优惠率）；（即单价最高限价混合垃圾清运405元/吨、装修建筑垃圾清运280元/吨的基础上*80%；</w:t>
      </w:r>
      <w:r>
        <w:rPr>
          <w:rFonts w:hint="eastAsia" w:cs="宋体" w:asciiTheme="minorEastAsia" w:hAnsiTheme="minorEastAsia" w:eastAsiaTheme="minorEastAsia"/>
        </w:rPr>
        <w:t xml:space="preserve">；</w:t>
      </w:r>
      <w:r/>
    </w:p>
    <w:p>
      <w:pPr>
        <w:pStyle w:val="738"/>
        <w:rPr>
          <w:rFonts w:hint="eastAsia"/>
        </w:rPr>
      </w:pPr>
      <w:r>
        <w:rPr>
          <w:rFonts w:hint="eastAsia"/>
        </w:rPr>
      </w:r>
      <w:r/>
    </w:p>
    <w:p>
      <w:pPr>
        <w:pStyle w:val="738"/>
        <w:rPr>
          <w:rFonts w:hint="eastAsia"/>
        </w:rPr>
      </w:pPr>
      <w:r>
        <w:rPr>
          <w:rFonts w:hint="eastAsia"/>
        </w:rPr>
        <w:t xml:space="preserve">供应商：（盖章）</w:t>
      </w:r>
      <w:r/>
    </w:p>
    <w:p>
      <w:pPr>
        <w:pStyle w:val="738"/>
        <w:rPr>
          <w:rFonts w:hint="eastAsia"/>
        </w:rPr>
      </w:pPr>
      <w:r>
        <w:rPr>
          <w:rFonts w:hint="eastAsia"/>
        </w:rPr>
        <w:t xml:space="preserve">法定代表人或代理人：（签字或盖章）</w:t>
      </w:r>
      <w:r/>
    </w:p>
    <w:p>
      <w:pPr>
        <w:pStyle w:val="738"/>
        <w:rPr>
          <w:rFonts w:hint="eastAsia"/>
        </w:rPr>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ind w:right="40"/>
        <w:jc w:val="center"/>
        <w:spacing w:line="360" w:lineRule="auto"/>
        <w:rPr>
          <w:rFonts w:ascii="宋体" w:cs="宋体"/>
          <w:sz w:val="22"/>
          <w:lang w:val="zh-CN"/>
        </w:rPr>
      </w:pPr>
      <w:r>
        <w:rPr>
          <w:rFonts w:ascii="宋体" w:cs="宋体"/>
          <w:sz w:val="22"/>
          <w:lang w:val="zh-CN"/>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jc w:val="cente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738"/>
        <w:numPr>
          <w:ilvl w:val="0"/>
          <w:numId w:val="0"/>
        </w:numPr>
        <w:ind w:left="359" w:hanging="359"/>
        <w:rPr>
          <w:rFonts w:hint="eastAsia" w:ascii="宋体"/>
          <w:b/>
          <w:szCs w:val="21"/>
        </w:rPr>
      </w:pPr>
      <w:r>
        <w:rPr>
          <w:rFonts w:cs="宋体" w:asciiTheme="minorEastAsia" w:hAnsiTheme="minorEastAsia" w:eastAsiaTheme="minorEastAsia"/>
        </w:rPr>
        <w:br w:type="page" w:clear="all"/>
      </w:r>
      <w:r>
        <w:rPr>
          <w:rFonts w:ascii="宋体"/>
          <w:b/>
          <w:szCs w:val="21"/>
        </w:rPr>
        <w:t xml:space="preserve">附件</w:t>
      </w:r>
      <w:r>
        <w:rPr>
          <w:rFonts w:hint="eastAsia" w:ascii="宋体"/>
          <w:b/>
          <w:szCs w:val="21"/>
        </w:rPr>
        <w:t xml:space="preserve">4.</w:t>
      </w:r>
      <w:r>
        <w:rPr>
          <w:rFonts w:ascii="宋体"/>
          <w:b/>
          <w:szCs w:val="21"/>
        </w:rPr>
        <w:t xml:space="preserve">法定代表人授权委托书</w:t>
      </w:r>
      <w:r/>
    </w:p>
    <w:p>
      <w:pPr>
        <w:rPr>
          <w:rFonts w:hint="eastAsia" w:ascii="宋体" w:hAnsi="宋体"/>
          <w:b/>
          <w:szCs w:val="21"/>
        </w:rPr>
      </w:pPr>
      <w:r>
        <w:rPr>
          <w:rFonts w:hint="eastAsia" w:ascii="宋体" w:hAnsi="宋体"/>
          <w:b/>
          <w:szCs w:val="21"/>
        </w:rPr>
      </w:r>
      <w:r/>
    </w:p>
    <w:p>
      <w:pPr>
        <w:ind w:firstLine="2570"/>
        <w:spacing w:before="100" w:beforeAutospacing="1" w:after="100" w:afterAutospacing="1" w:line="480" w:lineRule="auto"/>
        <w:rPr>
          <w:rFonts w:hint="eastAsia" w:ascii="宋体" w:hAnsi="宋体"/>
          <w:b/>
          <w:sz w:val="32"/>
          <w:szCs w:val="32"/>
        </w:rPr>
      </w:pPr>
      <w:r>
        <w:rPr>
          <w:rFonts w:ascii="宋体" w:hAnsi="宋体"/>
          <w:b/>
          <w:sz w:val="32"/>
          <w:szCs w:val="32"/>
        </w:rPr>
        <w:t xml:space="preserve">法定代表人授权委托书</w:t>
      </w:r>
      <w:r/>
    </w:p>
    <w:p>
      <w:pPr>
        <w:ind w:firstLine="420"/>
        <w:spacing w:line="360" w:lineRule="auto"/>
        <w:rPr>
          <w:rFonts w:hint="eastAsia" w:ascii="宋体" w:hAnsi="宋体"/>
          <w:szCs w:val="21"/>
        </w:rPr>
      </w:pPr>
      <w:r>
        <w:rPr>
          <w:rFonts w:ascii="宋体" w:hAnsi="宋体"/>
          <w:szCs w:val="21"/>
        </w:rPr>
        <w:t xml:space="preserve">本授权委托书声明：我</w:t>
      </w:r>
      <w:r>
        <w:rPr>
          <w:rFonts w:hint="eastAsia" w:ascii="宋体" w:hAnsi="宋体"/>
          <w:szCs w:val="21"/>
          <w:u w:val="single"/>
        </w:rPr>
        <w:t xml:space="preserve">    </w:t>
      </w:r>
      <w:r>
        <w:rPr>
          <w:rFonts w:ascii="宋体" w:hAnsi="宋体"/>
          <w:szCs w:val="21"/>
        </w:rPr>
        <w:t xml:space="preserve">（姓名）系</w:t>
      </w:r>
      <w:r>
        <w:rPr>
          <w:rFonts w:hint="eastAsia" w:ascii="宋体" w:hAnsi="宋体"/>
          <w:szCs w:val="21"/>
        </w:rPr>
        <w:t xml:space="preserve">  </w:t>
      </w:r>
      <w:r>
        <w:rPr>
          <w:rFonts w:hint="eastAsia" w:ascii="宋体" w:hAnsi="宋体"/>
          <w:szCs w:val="21"/>
          <w:u w:val="single"/>
        </w:rPr>
        <w:t xml:space="preserve">  （</w:t>
      </w:r>
      <w:r>
        <w:rPr>
          <w:rFonts w:ascii="宋体" w:hAnsi="宋体"/>
          <w:szCs w:val="21"/>
        </w:rPr>
        <w:t xml:space="preserve">供应商名称）的法定代表人，现授权委托（姓名）为我公司授权代表（即代理人），以本公司的名义参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苏州市保泽建设管理有限公司</w:t>
      </w:r>
      <w:r>
        <w:rPr>
          <w:rFonts w:ascii="宋体" w:hAnsi="宋体"/>
          <w:szCs w:val="21"/>
        </w:rPr>
        <w:t xml:space="preserve">组织实施的编号为</w:t>
      </w:r>
      <w:r>
        <w:rPr>
          <w:rFonts w:hint="eastAsia"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hint="eastAsia"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hint="eastAsia" w:ascii="宋体" w:hAnsi="宋体"/>
          <w:szCs w:val="21"/>
        </w:rPr>
      </w:pPr>
      <w:r>
        <w:rPr>
          <w:rFonts w:ascii="宋体" w:hAnsi="宋体"/>
          <w:szCs w:val="21"/>
        </w:rPr>
        <w:t xml:space="preserve">代理人无转委托权。特此委托。</w:t>
      </w:r>
      <w:r/>
    </w:p>
    <w:p>
      <w:pPr>
        <w:jc w:val="left"/>
        <w:spacing w:line="440" w:lineRule="exact"/>
        <w:rPr>
          <w:rFonts w:hint="eastAsia" w:ascii="宋体" w:hAnsi="宋体" w:cs="宋体"/>
          <w:szCs w:val="21"/>
          <w:lang w:val="zh-CN"/>
        </w:rPr>
      </w:pPr>
      <w:r>
        <w:rPr>
          <w:rFonts w:hint="eastAsia" w:ascii="宋体" w:hAnsi="宋体" w:cs="宋体"/>
          <w:szCs w:val="21"/>
          <w:lang w:val="zh-CN"/>
        </w:rPr>
      </w:r>
      <w:r/>
    </w:p>
    <w:p>
      <w:pPr>
        <w:spacing w:line="440" w:lineRule="exact"/>
        <w:rPr>
          <w:rFonts w:hint="eastAsia" w:ascii="宋体" w:hAnsi="宋体" w:cs="宋体"/>
          <w:szCs w:val="21"/>
          <w:lang w:val="zh-CN"/>
        </w:rPr>
      </w:pPr>
      <w:r>
        <w:rPr>
          <w:rFonts w:hint="eastAsia" w:ascii="宋体" w:hAnsi="宋体" w:cs="宋体"/>
          <w:szCs w:val="21"/>
          <w:lang w:val="zh-CN"/>
        </w:rPr>
        <w:t xml:space="preserve">磋商供应商：（单位公章） </w:t>
      </w:r>
      <w:r/>
    </w:p>
    <w:p>
      <w:pPr>
        <w:spacing w:line="440" w:lineRule="exact"/>
        <w:rPr>
          <w:rFonts w:hint="eastAsia" w:ascii="宋体" w:hAnsi="宋体" w:cs="宋体"/>
          <w:szCs w:val="21"/>
          <w:lang w:val="zh-CN"/>
        </w:rPr>
      </w:pPr>
      <w:r>
        <w:rPr>
          <w:rFonts w:hint="eastAsia" w:ascii="宋体" w:hAnsi="宋体" w:cs="宋体"/>
          <w:szCs w:val="21"/>
          <w:lang w:val="zh-CN"/>
        </w:rPr>
        <w:t xml:space="preserve">法定代表人：（签字或盖章）</w:t>
      </w:r>
      <w:r/>
    </w:p>
    <w:p>
      <w:pPr>
        <w:spacing w:line="440" w:lineRule="exact"/>
        <w:rPr>
          <w:rFonts w:hint="eastAsia" w:ascii="宋体" w:hAnsi="宋体" w:cs="宋体"/>
          <w:szCs w:val="21"/>
          <w:lang w:val="zh-CN"/>
        </w:rPr>
      </w:pPr>
      <w:r>
        <w:rPr>
          <w:rFonts w:hint="eastAsia" w:ascii="宋体" w:hAnsi="宋体" w:cs="宋体"/>
          <w:szCs w:val="21"/>
          <w:lang w:val="zh-CN"/>
        </w:rPr>
        <w:t xml:space="preserve">被授权人：（签字或盖章）</w:t>
      </w:r>
      <w:r/>
    </w:p>
    <w:p>
      <w:pPr>
        <w:spacing w:line="440" w:lineRule="exact"/>
        <w:rPr>
          <w:rFonts w:hint="eastAsia" w:ascii="宋体" w:hAnsi="宋体" w:cs="宋体"/>
          <w:szCs w:val="21"/>
          <w:lang w:val="zh-CN"/>
        </w:rPr>
      </w:pPr>
      <w:r>
        <w:rPr>
          <w:rFonts w:hint="eastAsia" w:ascii="宋体" w:hAnsi="宋体" w:cs="宋体"/>
          <w:szCs w:val="21"/>
          <w:lang w:val="zh-CN"/>
        </w:rPr>
        <w:t xml:space="preserve">日    期：     年     月    日</w:t>
      </w:r>
      <w:r/>
    </w:p>
    <w:p>
      <w:pPr>
        <w:spacing w:line="440" w:lineRule="exact"/>
        <w:rPr>
          <w:rFonts w:hint="eastAsia" w:ascii="宋体" w:hAnsi="宋体"/>
          <w:b/>
          <w:szCs w:val="21"/>
        </w:rPr>
      </w:pPr>
      <w:r>
        <w:rPr>
          <w:rFonts w:ascii="宋体" w:hAnsi="宋体" w:cs="宋体"/>
          <w:szCs w:val="21"/>
          <w:lang w:val="zh-CN"/>
        </w:rPr>
        <w:br w:type="page" w:clear="all"/>
      </w:r>
      <w:r>
        <w:rPr>
          <w:rFonts w:ascii="宋体" w:hAnsi="宋体"/>
          <w:b/>
          <w:szCs w:val="21"/>
        </w:rPr>
        <w:t xml:space="preserve">附件</w:t>
      </w:r>
      <w:r>
        <w:rPr>
          <w:rFonts w:hint="eastAsia" w:ascii="宋体" w:hAnsi="宋体"/>
          <w:b/>
          <w:szCs w:val="21"/>
        </w:rPr>
        <w:t xml:space="preserve">5.</w:t>
      </w:r>
      <w:r>
        <w:rPr>
          <w:rFonts w:ascii="宋体" w:hAnsi="宋体"/>
          <w:b/>
          <w:szCs w:val="21"/>
        </w:rPr>
        <w:t xml:space="preserve">关于资格文件的声明函</w:t>
      </w:r>
      <w:r/>
    </w:p>
    <w:p>
      <w:pPr>
        <w:ind w:firstLine="420"/>
        <w:jc w:val="center"/>
        <w:rPr>
          <w:rFonts w:hint="eastAsia" w:ascii="宋体" w:hAnsi="宋体"/>
          <w:b/>
          <w:szCs w:val="21"/>
        </w:rPr>
      </w:pPr>
      <w:r>
        <w:rPr>
          <w:rFonts w:hint="eastAsia" w:ascii="宋体" w:hAnsi="宋体"/>
          <w:b/>
          <w:szCs w:val="21"/>
        </w:rPr>
      </w:r>
      <w:r/>
    </w:p>
    <w:p>
      <w:pPr>
        <w:ind w:firstLine="420"/>
        <w:jc w:val="center"/>
        <w:rPr>
          <w:rFonts w:hint="eastAsia" w:ascii="宋体" w:hAnsi="宋体"/>
          <w:b/>
          <w:szCs w:val="21"/>
        </w:rPr>
      </w:pPr>
      <w:r>
        <w:rPr>
          <w:rFonts w:ascii="宋体" w:hAnsi="宋体"/>
          <w:b/>
          <w:szCs w:val="21"/>
        </w:rPr>
        <w:t xml:space="preserve">关于资格文件的声明函</w:t>
      </w:r>
      <w:r/>
    </w:p>
    <w:p>
      <w:pPr>
        <w:ind w:firstLine="420"/>
        <w:jc w:val="center"/>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u w:val="single"/>
        </w:rPr>
        <w:t xml:space="preserve">苏州市保泽建设管理有限公司</w:t>
      </w:r>
      <w:r>
        <w:rPr>
          <w:rFonts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hint="eastAsia"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磋商供应商：（单位公章） </w:t>
      </w:r>
      <w:r/>
    </w:p>
    <w:p>
      <w:pPr>
        <w:spacing w:line="360" w:lineRule="auto"/>
        <w:rPr>
          <w:rFonts w:hint="eastAsia" w:ascii="宋体" w:hAnsi="宋体"/>
          <w:szCs w:val="21"/>
        </w:rPr>
      </w:pPr>
      <w:r>
        <w:rPr>
          <w:rFonts w:hint="eastAsia" w:ascii="宋体" w:hAnsi="宋体"/>
          <w:szCs w:val="21"/>
        </w:rPr>
        <w:t xml:space="preserve">法定代表人或被授权人：（签字或盖章）</w:t>
      </w:r>
      <w:r/>
    </w:p>
    <w:p>
      <w:pPr>
        <w:spacing w:line="360" w:lineRule="auto"/>
        <w:rPr>
          <w:rFonts w:hint="eastAsia" w:ascii="宋体" w:hAnsi="宋体"/>
          <w:szCs w:val="21"/>
        </w:rPr>
      </w:pPr>
      <w:r>
        <w:rPr>
          <w:rFonts w:hint="eastAsia" w:ascii="宋体" w:hAnsi="宋体"/>
          <w:szCs w:val="21"/>
        </w:rPr>
        <w:t xml:space="preserve">日    期：     年     月    日</w:t>
      </w:r>
      <w:r/>
    </w:p>
    <w:p>
      <w:pPr>
        <w:rPr>
          <w:rFonts w:ascii="Times New Roman" w:hAnsi="Times New Roman"/>
          <w:b/>
        </w:rPr>
        <w:outlineLvl w:val="0"/>
      </w:pPr>
      <w:r>
        <w:rPr>
          <w:rFonts w:ascii="Times New Roman" w:hAnsi="Times New Roman"/>
          <w:b/>
        </w:rPr>
        <w:br w:type="page" w:clear="all"/>
      </w:r>
      <w:r>
        <w:rPr>
          <w:rFonts w:ascii="Times New Roman" w:hAnsi="Times New Roman"/>
          <w:b/>
        </w:rPr>
        <w:t xml:space="preserve">附件</w:t>
      </w:r>
      <w:r>
        <w:rPr>
          <w:rFonts w:hint="eastAsia" w:ascii="Times New Roman" w:hAnsi="Times New Roman"/>
          <w:b/>
        </w:rPr>
        <w:t xml:space="preserve">6.</w:t>
      </w:r>
      <w:r>
        <w:rPr>
          <w:rFonts w:hint="eastAsia" w:ascii="Times New Roman" w:hAnsi="Times New Roman"/>
          <w:b/>
        </w:rPr>
        <w:t xml:space="preserve">磋商响应单位</w:t>
      </w:r>
      <w:r>
        <w:rPr>
          <w:rFonts w:ascii="Times New Roman" w:hAnsi="Times New Roman"/>
          <w:b/>
        </w:rPr>
        <w:t xml:space="preserve">基本情况表</w:t>
      </w:r>
      <w:r/>
    </w:p>
    <w:p>
      <w:pPr>
        <w:pStyle w:val="738"/>
        <w:jc w:val="center"/>
        <w:rPr>
          <w:rFonts w:ascii="Times New Roman" w:hAnsi="Times New Roman"/>
          <w:b/>
        </w:rPr>
      </w:pPr>
      <w:r>
        <w:rPr>
          <w:rFonts w:hint="eastAsia" w:ascii="Times New Roman" w:hAnsi="Times New Roman"/>
          <w:b/>
        </w:rPr>
        <w:t xml:space="preserve">磋商响应单位</w:t>
      </w:r>
      <w:r>
        <w:rPr>
          <w:rFonts w:ascii="Times New Roman" w:hAnsi="Times New Roman"/>
          <w:b/>
        </w:rPr>
        <w:t xml:space="preserve">基本情况表</w:t>
      </w:r>
      <w:r/>
    </w:p>
    <w:p>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项目名称：2026年相城经开区无主垃圾清运项目</w:t>
      </w:r>
      <w:r/>
    </w:p>
    <w:p>
      <w:r>
        <w:rPr>
          <w:rFonts w:hint="eastAsia" w:asciiTheme="minorEastAsia" w:hAnsiTheme="minorEastAsia" w:eastAsiaTheme="minorEastAsia"/>
          <w:szCs w:val="21"/>
        </w:rPr>
        <w:t xml:space="preserve">采购编号：</w:t>
      </w:r>
      <w:r>
        <w:rPr>
          <w:rFonts w:hint="eastAsia" w:asciiTheme="minorEastAsia" w:hAnsiTheme="minorEastAsia" w:eastAsiaTheme="minorEastAsia"/>
          <w:szCs w:val="21"/>
        </w:rPr>
        <w:t xml:space="preserve">JSZC-320507-BZJS-C2026-0001</w:t>
      </w:r>
      <w:r/>
    </w:p>
    <w:tbl>
      <w:tblPr>
        <w:tblW w:w="8998" w:type="dxa"/>
        <w:jc w:val="center"/>
        <w:tblLayout w:type="fixed"/>
        <w:tblCellMar>
          <w:left w:w="0" w:type="dxa"/>
          <w:right w:w="0" w:type="dxa"/>
        </w:tblCellMar>
        <w:tblLook w:val="04A0" w:firstRow="1" w:lastRow="0" w:firstColumn="1" w:lastColumn="0" w:noHBand="0" w:noVBand="1"/>
      </w:tblPr>
      <w:tblGrid>
        <w:gridCol w:w="2531"/>
        <w:gridCol w:w="2249"/>
        <w:gridCol w:w="1406"/>
        <w:gridCol w:w="2812"/>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ascii="Times New Roman" w:hAnsi="Times New Roman"/>
              </w:rPr>
            </w:pPr>
            <w:r>
              <w:rPr>
                <w:rFonts w:hint="eastAsia" w:ascii="Times New Roman" w:hAnsi="Times New Roman"/>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49"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06"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11" w:type="dxa"/>
            <w:vAlign w:val="center"/>
            <w:textDirection w:val="lrTb"/>
            <w:noWrap w:val="false"/>
          </w:tcPr>
          <w:p>
            <w:pPr>
              <w:ind w:firstLine="420"/>
              <w:spacing w:line="360" w:lineRule="auto"/>
              <w:rPr>
                <w:rFonts w:ascii="Times New Roman" w:hAnsi="Times New Roman"/>
              </w:rPr>
            </w:pPr>
            <w:r>
              <w:rPr>
                <w:rFonts w:ascii="Times New Roman" w:hAnsi="Times New Roman"/>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center"/>
            <w:textDirection w:val="lrTb"/>
            <w:noWrap w:val="false"/>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467" w:type="dxa"/>
            <w:vAlign w:val="center"/>
            <w:textDirection w:val="lrTb"/>
            <w:noWrap w:val="false"/>
          </w:tcPr>
          <w:p>
            <w:pPr>
              <w:jc w:val="center"/>
              <w:spacing w:line="360" w:lineRule="auto"/>
              <w:rPr>
                <w:rFonts w:ascii="Times New Roman" w:hAnsi="Times New Roman"/>
              </w:rPr>
            </w:pPr>
            <w:r>
              <w:rPr>
                <w:rFonts w:ascii="Times New Roman" w:hAnsi="Times New Roman"/>
              </w:rPr>
            </w:r>
            <w:r/>
          </w:p>
        </w:tc>
      </w:tr>
    </w:tbl>
    <w:p>
      <w:pPr>
        <w:jc w:val="left"/>
        <w:spacing w:line="360" w:lineRule="auto"/>
        <w:rPr>
          <w:rFonts w:ascii="Times New Roman" w:hAnsi="Times New Roman"/>
        </w:rPr>
      </w:pPr>
      <w:r>
        <w:rPr>
          <w:rFonts w:hint="eastAsia" w:ascii="Times New Roman" w:hAnsi="Times New Roman"/>
        </w:rPr>
        <w:t xml:space="preserve">注：</w:t>
      </w:r>
      <w:r>
        <w:rPr>
          <w:rFonts w:ascii="Times New Roman" w:hAnsi="Times New Roman"/>
        </w:rPr>
        <w:t xml:space="preserve">若事项较多，供应商可根据实际情况另纸说明。</w:t>
      </w:r>
      <w:r/>
    </w:p>
    <w:p>
      <w:r/>
      <w:r/>
    </w:p>
    <w:p>
      <w:pPr>
        <w:jc w:val="left"/>
        <w:spacing w:line="360" w:lineRule="auto"/>
        <w:rPr>
          <w:rFonts w:hint="eastAsia" w:ascii="宋体" w:hAnsi="宋体" w:cs="宋体"/>
          <w:szCs w:val="21"/>
        </w:rPr>
      </w:pPr>
      <w:r/>
      <w:bookmarkStart w:id="130" w:name="_Toc7945"/>
      <w:r/>
      <w:bookmarkStart w:id="131" w:name="_Toc241"/>
      <w:r>
        <w:rPr>
          <w:rFonts w:hint="eastAsia" w:ascii="宋体" w:hAnsi="宋体" w:cs="宋体"/>
          <w:szCs w:val="21"/>
        </w:rPr>
        <w:t xml:space="preserve">供应商名称</w:t>
      </w:r>
      <w:r>
        <w:rPr>
          <w:rFonts w:ascii="宋体" w:hAnsi="宋体" w:cs="宋体"/>
          <w:szCs w:val="21"/>
        </w:rPr>
        <w:t xml:space="preserve">：（公章）</w:t>
      </w:r>
      <w:r>
        <w:rPr>
          <w:rFonts w:hint="eastAsia" w:ascii="宋体" w:hAnsi="宋体" w:cs="宋体"/>
          <w:szCs w:val="21"/>
        </w:rPr>
        <w:t xml:space="preserve"> </w:t>
      </w:r>
      <w:r/>
    </w:p>
    <w:p>
      <w:pPr>
        <w:jc w:val="left"/>
        <w:spacing w:line="360" w:lineRule="auto"/>
        <w:rPr>
          <w:rFonts w:hint="eastAsia" w:ascii="宋体" w:hAnsi="宋体" w:cs="宋体"/>
          <w:szCs w:val="21"/>
        </w:rPr>
      </w:pPr>
      <w:r>
        <w:rPr>
          <w:rFonts w:hint="eastAsia" w:ascii="宋体" w:hAnsi="宋体" w:cs="宋体"/>
          <w:szCs w:val="21"/>
        </w:rPr>
        <w:t xml:space="preserve">法定代表人或被授权人：（签字或盖章）</w:t>
      </w:r>
      <w:r/>
    </w:p>
    <w:p>
      <w:pPr>
        <w:jc w:val="left"/>
        <w:spacing w:line="360" w:lineRule="auto"/>
        <w:rPr>
          <w:rFonts w:hint="eastAsia" w:ascii="宋体" w:hAnsi="宋体" w:cs="宋体"/>
          <w:szCs w:val="21"/>
        </w:rPr>
      </w:pPr>
      <w:r>
        <w:rPr>
          <w:rFonts w:hint="eastAsia" w:ascii="宋体" w:hAnsi="宋体" w:cs="宋体"/>
          <w:szCs w:val="21"/>
        </w:rPr>
        <w:t xml:space="preserve">日    期：     年     月    日</w:t>
      </w:r>
      <w:bookmarkEnd w:id="130"/>
      <w:bookmarkEnd w:id="131"/>
      <w:r/>
    </w:p>
    <w:p>
      <w:r/>
      <w:r/>
    </w:p>
    <w:p>
      <w:pPr>
        <w:rPr>
          <w:rFonts w:hint="eastAsia" w:ascii="宋体" w:hAnsi="宋体"/>
          <w:b/>
          <w:szCs w:val="21"/>
        </w:rPr>
        <w:outlineLvl w:val="0"/>
      </w:pPr>
      <w:r>
        <w:rPr>
          <w:rFonts w:ascii="宋体" w:hAnsi="宋体"/>
          <w:b/>
          <w:szCs w:val="21"/>
        </w:rPr>
        <w:br w:type="page" w:clear="all"/>
      </w:r>
      <w:bookmarkStart w:id="132" w:name="_Toc21574"/>
      <w:r/>
      <w:bookmarkStart w:id="133" w:name="_Toc19621"/>
      <w:r>
        <w:rPr>
          <w:rFonts w:ascii="宋体" w:hAnsi="宋体"/>
          <w:b/>
          <w:szCs w:val="21"/>
        </w:rPr>
        <w:t xml:space="preserve">附件</w:t>
      </w:r>
      <w:r>
        <w:rPr>
          <w:rFonts w:hint="eastAsia" w:ascii="宋体" w:hAnsi="宋体"/>
          <w:b/>
          <w:szCs w:val="21"/>
        </w:rPr>
        <w:t xml:space="preserve">7.</w:t>
      </w:r>
      <w:r>
        <w:rPr>
          <w:rFonts w:ascii="Times New Roman" w:hAnsi="Times New Roman"/>
          <w:b/>
        </w:rPr>
        <w:t xml:space="preserve">中小企业</w:t>
      </w:r>
      <w:r>
        <w:rPr>
          <w:rFonts w:ascii="宋体" w:hAnsi="宋体"/>
          <w:b/>
          <w:szCs w:val="21"/>
        </w:rPr>
        <w:t xml:space="preserve">声明函</w:t>
      </w:r>
      <w:bookmarkEnd w:id="132"/>
      <w:r/>
      <w:bookmarkEnd w:id="133"/>
      <w:r/>
      <w:r/>
    </w:p>
    <w:p>
      <w:pPr>
        <w:jc w:val="left"/>
        <w:spacing w:line="480" w:lineRule="exact"/>
        <w:rPr>
          <w:rFonts w:hint="eastAsia" w:ascii="宋体" w:hAnsi="宋体"/>
          <w:b/>
          <w:szCs w:val="21"/>
        </w:rPr>
      </w:pPr>
      <w:r>
        <w:rPr>
          <w:rFonts w:hint="eastAsia" w:ascii="宋体" w:hAnsi="宋体"/>
          <w:b/>
          <w:szCs w:val="21"/>
        </w:rPr>
      </w:r>
      <w:r/>
    </w:p>
    <w:p>
      <w:pPr>
        <w:jc w:val="center"/>
        <w:spacing w:line="480" w:lineRule="exact"/>
        <w:rPr>
          <w:rFonts w:hint="eastAsia" w:ascii="宋体" w:hAnsi="宋体"/>
          <w:b/>
          <w:szCs w:val="21"/>
        </w:rPr>
      </w:pPr>
      <w:r>
        <w:rPr>
          <w:rFonts w:hint="eastAsia" w:ascii="宋体" w:hAnsi="宋体"/>
          <w:b/>
          <w:szCs w:val="21"/>
        </w:rPr>
        <w:t xml:space="preserve">中小企业声明函</w:t>
      </w:r>
      <w:r/>
    </w:p>
    <w:p>
      <w:pPr>
        <w:jc w:val="left"/>
        <w:spacing w:line="480" w:lineRule="exact"/>
        <w:rPr>
          <w:rFonts w:hint="eastAsia" w:ascii="宋体" w:hAnsi="宋体"/>
          <w:szCs w:val="21"/>
        </w:rPr>
      </w:pPr>
      <w:r>
        <w:rPr>
          <w:rFonts w:hint="eastAsia" w:ascii="宋体" w:hAnsi="宋体"/>
          <w:szCs w:val="21"/>
          <w:u w:val="single"/>
        </w:rPr>
        <w:t xml:space="preserve">苏州市保泽建设管理有限公司：</w:t>
      </w:r>
      <w:r/>
    </w:p>
    <w:p>
      <w:pPr>
        <w:ind w:firstLine="420"/>
        <w:jc w:val="left"/>
        <w:spacing w:line="480" w:lineRule="exact"/>
        <w:rPr>
          <w:rFonts w:hint="eastAsia"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 </w:t>
      </w:r>
      <w:r>
        <w:rPr>
          <w:rFonts w:hint="eastAsia" w:ascii="宋体" w:hAnsi="宋体"/>
          <w:szCs w:val="21"/>
          <w:u w:val="single"/>
        </w:rPr>
        <w:t xml:space="preserve">          （单位名称）</w:t>
      </w:r>
      <w:r>
        <w:rPr>
          <w:rFonts w:hint="eastAsia" w:ascii="宋体" w:hAnsi="宋体"/>
          <w:szCs w:val="21"/>
        </w:rPr>
        <w:t xml:space="preserve">的 </w:t>
      </w:r>
      <w:r>
        <w:rPr>
          <w:rFonts w:hint="eastAsia" w:ascii="宋体" w:hAnsi="宋体"/>
          <w:szCs w:val="21"/>
          <w:u w:val="single"/>
        </w:rPr>
        <w:t xml:space="preserve">      （项目名称）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jc w:val="left"/>
        <w:spacing w:line="48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2026年相城经开区无主垃圾清运项目 </w:t>
      </w:r>
      <w:r>
        <w:rPr>
          <w:rFonts w:hint="eastAsia" w:ascii="宋体" w:hAnsi="宋体"/>
          <w:szCs w:val="21"/>
        </w:rPr>
        <w:t xml:space="preserve">，属于</w:t>
      </w:r>
      <w:r>
        <w:rPr>
          <w:rFonts w:hint="eastAsia" w:ascii="宋体" w:hAnsi="宋体"/>
          <w:szCs w:val="21"/>
          <w:u w:val="single"/>
        </w:rPr>
        <w:t xml:space="preserve"> 其他未列明行业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84"/>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480" w:lineRule="exact"/>
        <w:rPr>
          <w:rFonts w:hint="eastAsia"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480" w:lineRule="exact"/>
        <w:rPr>
          <w:rFonts w:hint="eastAsia" w:ascii="宋体" w:hAnsi="宋体"/>
          <w:szCs w:val="21"/>
        </w:rPr>
      </w:pPr>
      <w:r>
        <w:rPr>
          <w:rFonts w:hint="eastAsia" w:ascii="宋体" w:hAnsi="宋体"/>
          <w:szCs w:val="21"/>
        </w:rPr>
        <w:t xml:space="preserve">……</w:t>
      </w:r>
      <w:r/>
    </w:p>
    <w:p>
      <w:pPr>
        <w:ind w:firstLine="420"/>
        <w:jc w:val="left"/>
        <w:spacing w:line="480" w:lineRule="exact"/>
        <w:rPr>
          <w:rFonts w:hint="eastAsia"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jc w:val="left"/>
        <w:spacing w:line="480" w:lineRule="exact"/>
        <w:rPr>
          <w:rFonts w:hint="eastAsia"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：（公章）</w:t>
      </w: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日    期：     年     月    日</w:t>
      </w:r>
      <w:r/>
    </w:p>
    <w:p>
      <w:pPr>
        <w:spacing w:line="360" w:lineRule="auto"/>
        <w:rPr>
          <w:rFonts w:hint="eastAsia" w:ascii="宋体" w:hAnsi="宋体" w:cs="宋体"/>
          <w:b/>
          <w:bCs/>
          <w:szCs w:val="21"/>
        </w:rPr>
      </w:pPr>
      <w:r>
        <w:rPr>
          <w:rFonts w:hint="eastAsia" w:ascii="宋体" w:hAnsi="宋体"/>
          <w:szCs w:val="21"/>
        </w:rPr>
        <w:br w:type="page" w:clear="all"/>
      </w:r>
      <w:r>
        <w:rPr>
          <w:rFonts w:hint="eastAsia" w:ascii="宋体" w:hAnsi="宋体" w:cs="宋体"/>
          <w:b/>
          <w:bCs/>
          <w:szCs w:val="21"/>
        </w:rPr>
        <w:t xml:space="preserve">附件8.</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hint="eastAsia" w:ascii="宋体" w:hAnsi="宋体"/>
          <w:b/>
          <w:szCs w:val="21"/>
        </w:rPr>
      </w:pPr>
      <w:r>
        <w:rPr>
          <w:rFonts w:hint="eastAsia" w:ascii="宋体" w:hAnsi="宋体"/>
          <w:b/>
          <w:szCs w:val="21"/>
        </w:rPr>
        <w:t xml:space="preserve">残疾人福利性单位声明函</w:t>
      </w:r>
      <w:r/>
    </w:p>
    <w:p>
      <w:pPr>
        <w:spacing w:line="360" w:lineRule="auto"/>
        <w:rPr>
          <w:rFonts w:hint="eastAsia" w:ascii="宋体" w:hAnsi="宋体"/>
          <w:szCs w:val="21"/>
          <w:lang w:val="zh-CN"/>
        </w:rPr>
      </w:pPr>
      <w:r/>
      <w:bookmarkStart w:id="134" w:name="_Toc15378"/>
      <w:r/>
      <w:bookmarkStart w:id="135" w:name="_Toc3869"/>
      <w:r/>
      <w:bookmarkStart w:id="136" w:name="_Toc32206"/>
      <w:r>
        <w:rPr>
          <w:rFonts w:hint="eastAsia" w:ascii="宋体" w:hAnsi="宋体"/>
          <w:szCs w:val="21"/>
          <w:u w:val="single"/>
          <w:lang w:val="zh-CN"/>
        </w:rPr>
        <w:t xml:space="preserve">苏州市保泽建设管理有限公司</w:t>
      </w:r>
      <w:r>
        <w:rPr>
          <w:rFonts w:hint="eastAsia" w:ascii="宋体" w:hAnsi="宋体"/>
          <w:szCs w:val="21"/>
          <w:lang w:val="zh-CN"/>
        </w:rPr>
        <w:t xml:space="preserve">：</w:t>
      </w:r>
      <w:bookmarkEnd w:id="134"/>
      <w:r/>
      <w:bookmarkEnd w:id="135"/>
      <w:r/>
      <w:bookmarkEnd w:id="136"/>
      <w:r/>
      <w:r/>
    </w:p>
    <w:p>
      <w:pPr>
        <w:ind w:firstLine="63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贵单位组织实施的编号为号的采购活动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pStyle w:val="1010"/>
        <w:spacing w:line="360" w:lineRule="auto"/>
        <w:rPr>
          <w:rFonts w:hAnsi="宋体"/>
          <w:sz w:val="21"/>
          <w:szCs w:val="21"/>
        </w:rPr>
      </w:pPr>
      <w:r>
        <w:rPr>
          <w:rFonts w:hAnsi="宋体"/>
          <w:sz w:val="21"/>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szCs w:val="21"/>
        </w:rPr>
      </w:pPr>
      <w:r>
        <w:rPr>
          <w:rFonts w:hint="eastAsia" w:ascii="宋体" w:hAnsi="宋体"/>
          <w:szCs w:val="21"/>
        </w:rPr>
        <w:t xml:space="preserve">供应商名称</w:t>
      </w:r>
      <w:r>
        <w:rPr>
          <w:rFonts w:ascii="宋体" w:hAnsi="宋体"/>
          <w:szCs w:val="21"/>
        </w:rPr>
        <w:t xml:space="preserve">：（公章）</w:t>
      </w: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法定代表人或被授权人：（签字或盖章）</w:t>
      </w:r>
      <w:r/>
    </w:p>
    <w:p>
      <w:pPr>
        <w:spacing w:line="360" w:lineRule="auto"/>
        <w:rPr>
          <w:rFonts w:hint="eastAsia" w:ascii="宋体" w:hAnsi="宋体"/>
          <w:szCs w:val="21"/>
        </w:rPr>
      </w:pPr>
      <w:r>
        <w:rPr>
          <w:rFonts w:hint="eastAsia" w:ascii="宋体" w:hAnsi="宋体"/>
          <w:szCs w:val="21"/>
        </w:rPr>
        <w:t xml:space="preserve">日    期：     年     月    日</w:t>
      </w:r>
      <w:r/>
    </w:p>
    <w:p>
      <w:pPr>
        <w:spacing w:line="360" w:lineRule="auto"/>
        <w:rPr>
          <w:rFonts w:hint="eastAsia" w:ascii="宋体" w:hAnsi="宋体"/>
          <w:szCs w:val="21"/>
        </w:rPr>
      </w:pPr>
      <w:r>
        <w:rPr>
          <w:rFonts w:ascii="宋体" w:hAnsi="宋体"/>
          <w:szCs w:val="21"/>
        </w:rPr>
        <w:br w:type="page" w:clear="all"/>
      </w:r>
      <w:r>
        <w:rPr>
          <w:rFonts w:ascii="Times New Roman" w:hAnsi="Times New Roman"/>
          <w:b/>
        </w:rPr>
        <w:t xml:space="preserve">附件</w:t>
      </w:r>
      <w:r>
        <w:rPr>
          <w:rFonts w:hint="eastAsia" w:ascii="Times New Roman" w:hAnsi="Times New Roman"/>
          <w:b/>
        </w:rPr>
        <w:t xml:space="preserve">9.</w:t>
      </w:r>
      <w:r>
        <w:rPr>
          <w:rFonts w:hint="eastAsia" w:ascii="Times New Roman" w:hAnsi="Times New Roman"/>
          <w:b/>
        </w:rPr>
        <w:t xml:space="preserve">偏离表（服务要求、商务条款）</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hint="eastAsia" w:ascii="Times New Roman" w:hAnsi="Times New Roman"/>
          <w:b/>
        </w:rPr>
        <w:t xml:space="preserve">服务要求</w:t>
      </w:r>
      <w:r>
        <w:rPr>
          <w:rFonts w:ascii="Times New Roman" w:hAnsi="Times New Roman"/>
          <w:b/>
        </w:rPr>
        <w:t xml:space="preserve">偏离表</w:t>
      </w:r>
      <w:r/>
    </w:p>
    <w:p>
      <w:pPr>
        <w:pStyle w:val="738"/>
        <w:rPr>
          <w:rFonts w:hint="eastAsia"/>
        </w:rPr>
      </w:pPr>
      <w:r>
        <w:rPr>
          <w:rFonts w:hint="eastAsia"/>
        </w:rPr>
      </w:r>
      <w:r/>
    </w:p>
    <w:p>
      <w:pPr>
        <w:pStyle w:val="776"/>
        <w:ind w:left="0" w:firstLine="0"/>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项目名称：2026年相城经开区无主垃圾清运项目</w:t>
      </w:r>
      <w:r/>
    </w:p>
    <w:p>
      <w:pPr>
        <w:pStyle w:val="776"/>
        <w:ind w:left="0" w:firstLine="0"/>
        <w:rPr>
          <w:rFonts w:hint="eastAsia" w:asciiTheme="minorEastAsia" w:hAnsiTheme="minorEastAsia" w:eastAsiaTheme="minorEastAsia"/>
        </w:rPr>
      </w:pPr>
      <w:r>
        <w:rPr>
          <w:rFonts w:hint="eastAsia" w:asciiTheme="minorEastAsia" w:hAnsiTheme="minorEastAsia" w:eastAsiaTheme="minorEastAsia"/>
          <w:szCs w:val="21"/>
        </w:rPr>
        <w:t xml:space="preserve">采购编号：</w:t>
      </w:r>
      <w:r>
        <w:rPr>
          <w:rFonts w:hint="eastAsia" w:asciiTheme="minorEastAsia" w:hAnsiTheme="minorEastAsia" w:eastAsiaTheme="minorEastAsia"/>
          <w:szCs w:val="21"/>
        </w:rPr>
        <w:t xml:space="preserve">JSZC-320507-BZJS-C2026-0001</w:t>
      </w:r>
      <w:r>
        <w:rPr>
          <w:rFonts w:hint="eastAsia" w:asciiTheme="minorEastAsia" w:hAnsiTheme="minorEastAsia" w:eastAsiaTheme="minorEastAsia"/>
          <w:szCs w:val="21"/>
        </w:rPr>
        <w:t xml:space="preserve">                 </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560"/>
        <w:gridCol w:w="1701"/>
        <w:gridCol w:w="1417"/>
        <w:gridCol w:w="1559"/>
        <w:gridCol w:w="1701"/>
      </w:tblGrid>
      <w:tr>
        <w:trPr>
          <w:trHeight w:val="760"/>
        </w:trPr>
        <w:tc>
          <w:tcPr>
            <w:tcW w:w="675" w:type="dxa"/>
            <w:vAlign w:val="center"/>
            <w:textDirection w:val="lrTb"/>
            <w:noWrap w:val="false"/>
          </w:tcPr>
          <w:p>
            <w:pPr>
              <w:rPr>
                <w:rFonts w:hint="eastAsia" w:ascii="宋体" w:hAnsi="宋体"/>
                <w:szCs w:val="21"/>
              </w:rPr>
            </w:pPr>
            <w:r>
              <w:rPr>
                <w:rFonts w:hint="eastAsia" w:ascii="宋体" w:hAnsi="宋体"/>
                <w:szCs w:val="21"/>
              </w:rPr>
              <w:t xml:space="preserve">序号</w:t>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采购要求</w:t>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t xml:space="preserve">偏离说明</w:t>
            </w:r>
            <w:r/>
          </w:p>
        </w:tc>
        <w:tc>
          <w:tcPr>
            <w:tcW w:w="1701" w:type="dxa"/>
            <w:textDirection w:val="lrTb"/>
            <w:noWrap w:val="false"/>
          </w:tcPr>
          <w:p>
            <w:pPr>
              <w:jc w:val="center"/>
              <w:spacing w:line="600" w:lineRule="auto"/>
              <w:rPr>
                <w:rFonts w:hint="eastAsia" w:ascii="宋体" w:hAnsi="宋体"/>
                <w:szCs w:val="21"/>
              </w:rPr>
            </w:pPr>
            <w:r>
              <w:rPr>
                <w:rFonts w:hint="eastAsia" w:ascii="宋体" w:hAnsi="宋体"/>
                <w:szCs w:val="21"/>
              </w:rPr>
              <w:t xml:space="preserve">证明材料</w:t>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ascii="Times New Roman" w:hAnsi="Times New Roman"/>
        </w:rPr>
      </w:pPr>
      <w:r>
        <w:rPr>
          <w:rFonts w:ascii="Times New Roman" w:hAnsi="Times New Roman"/>
        </w:rPr>
      </w:r>
      <w:r/>
    </w:p>
    <w:p>
      <w:pPr>
        <w:spacing w:line="360" w:lineRule="auto"/>
        <w:rPr>
          <w:rFonts w:hint="eastAsia" w:ascii="宋体" w:hAnsi="宋体"/>
          <w:szCs w:val="21"/>
        </w:rPr>
      </w:pPr>
      <w:r>
        <w:rPr>
          <w:rFonts w:hint="eastAsia" w:ascii="宋体" w:hAnsi="宋体"/>
          <w:szCs w:val="21"/>
        </w:rPr>
        <w:t xml:space="preserve">磋商供应商：（单位公章） </w:t>
      </w:r>
      <w:r/>
    </w:p>
    <w:p>
      <w:pPr>
        <w:spacing w:line="360" w:lineRule="auto"/>
        <w:rPr>
          <w:rFonts w:hint="eastAsia" w:ascii="宋体" w:hAnsi="宋体"/>
          <w:szCs w:val="21"/>
        </w:rPr>
      </w:pPr>
      <w:r>
        <w:rPr>
          <w:rFonts w:hint="eastAsia" w:ascii="宋体" w:hAnsi="宋体"/>
          <w:szCs w:val="21"/>
        </w:rPr>
        <w:t xml:space="preserve">法定代表人或被授权人：（签字或盖章）</w:t>
      </w:r>
      <w:r/>
    </w:p>
    <w:p>
      <w:pPr>
        <w:spacing w:line="360" w:lineRule="auto"/>
        <w:rPr>
          <w:rFonts w:hint="eastAsia" w:ascii="宋体" w:hAnsi="宋体"/>
          <w:szCs w:val="21"/>
        </w:rPr>
      </w:pPr>
      <w:r>
        <w:rPr>
          <w:rFonts w:hint="eastAsia" w:ascii="宋体" w:hAnsi="宋体"/>
          <w:szCs w:val="21"/>
        </w:rPr>
        <w:t xml:space="preserve">日    期：     年     月    日</w:t>
      </w:r>
      <w:r/>
    </w:p>
    <w:p>
      <w:pPr>
        <w:ind w:right="480"/>
        <w:jc w:val="right"/>
        <w:spacing w:line="400" w:lineRule="exact"/>
        <w:rPr>
          <w:rFonts w:ascii="宋体" w:cs="宋体"/>
          <w:sz w:val="22"/>
          <w:lang w:val="zh-CN"/>
        </w:rPr>
      </w:pPr>
      <w:r>
        <w:rPr>
          <w:rFonts w:ascii="宋体" w:cs="宋体"/>
          <w:sz w:val="22"/>
          <w:lang w:val="zh-CN"/>
        </w:rPr>
      </w:r>
      <w:r/>
    </w:p>
    <w:p>
      <w:pPr>
        <w:jc w:val="left"/>
        <w:spacing w:line="360" w:lineRule="auto"/>
        <w:rPr>
          <w:rFonts w:hint="eastAsia" w:ascii="宋体" w:hAnsi="宋体"/>
        </w:rPr>
      </w:pPr>
      <w:r>
        <w:rPr>
          <w:rFonts w:ascii="宋体" w:hAnsi="宋体"/>
        </w:rPr>
        <w:t xml:space="preserve">注：</w:t>
      </w:r>
      <w:r/>
    </w:p>
    <w:p>
      <w:pPr>
        <w:jc w:val="left"/>
        <w:spacing w:line="360" w:lineRule="auto"/>
        <w:rPr>
          <w:rFonts w:hint="eastAsia" w:ascii="宋体" w:hAnsi="宋体"/>
        </w:rPr>
      </w:pPr>
      <w:r>
        <w:rPr>
          <w:rFonts w:ascii="宋体" w:hAnsi="宋体"/>
        </w:rPr>
        <w:t xml:space="preserve">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p>
    <w:p>
      <w:pPr>
        <w:jc w:val="left"/>
        <w:spacing w:line="360" w:lineRule="auto"/>
        <w:rPr>
          <w:rFonts w:hint="eastAsia" w:ascii="宋体" w:hAnsi="宋体"/>
        </w:rPr>
      </w:pPr>
      <w:r>
        <w:rPr>
          <w:rFonts w:ascii="宋体" w:hAnsi="宋体"/>
        </w:rPr>
        <w:t xml:space="preserve">2.若事项较多，供应商可根据实际情况另纸说明。</w:t>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r/>
      <w:r/>
    </w:p>
    <w:p>
      <w:pPr>
        <w:pStyle w:val="738"/>
        <w:rPr>
          <w:rFonts w:hint="eastAsia"/>
        </w:rPr>
      </w:pPr>
      <w:r>
        <w:rPr>
          <w:rFonts w:hint="eastAsia"/>
        </w:rPr>
      </w:r>
      <w:r/>
    </w:p>
    <w:p>
      <w:pPr>
        <w:pStyle w:val="738"/>
        <w:jc w:val="center"/>
        <w:rPr>
          <w:rFonts w:hint="eastAsia"/>
          <w:b/>
        </w:rPr>
      </w:pPr>
      <w:r>
        <w:rPr>
          <w:rFonts w:hint="eastAsia"/>
          <w:b/>
        </w:rPr>
        <w:t xml:space="preserve">商务条款</w:t>
      </w:r>
      <w:r>
        <w:rPr>
          <w:b/>
        </w:rPr>
        <w:t xml:space="preserve">偏离表</w:t>
      </w:r>
      <w:r/>
    </w:p>
    <w:p>
      <w:r/>
      <w:r/>
    </w:p>
    <w:p>
      <w:pPr>
        <w:pStyle w:val="738"/>
        <w:numPr>
          <w:ilvl w:val="0"/>
          <w:numId w:val="0"/>
        </w:numPr>
        <w:rPr>
          <w:rFonts w:hint="eastAsia" w:ascii="宋体"/>
          <w:szCs w:val="21"/>
        </w:rPr>
      </w:pPr>
      <w:r>
        <w:rPr>
          <w:rFonts w:hint="eastAsia" w:ascii="宋体"/>
          <w:szCs w:val="21"/>
        </w:rPr>
        <w:t xml:space="preserve">项目名称：2026年相城经开区无主垃圾清运项目</w:t>
      </w:r>
      <w:r/>
    </w:p>
    <w:p>
      <w:pPr>
        <w:pStyle w:val="738"/>
        <w:numPr>
          <w:ilvl w:val="0"/>
          <w:numId w:val="0"/>
        </w:numPr>
        <w:rPr>
          <w:rFonts w:hint="eastAsia" w:ascii="宋体"/>
        </w:rPr>
      </w:pPr>
      <w:r>
        <w:rPr>
          <w:rFonts w:hint="eastAsia" w:ascii="宋体"/>
          <w:szCs w:val="21"/>
        </w:rPr>
        <w:t xml:space="preserve">采购编号：</w:t>
      </w:r>
      <w:r>
        <w:rPr>
          <w:rFonts w:hint="eastAsia" w:ascii="宋体"/>
          <w:szCs w:val="21"/>
        </w:rPr>
        <w:t xml:space="preserve">JSZC-320507-BZJS-C2026-0001</w:t>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560"/>
        <w:gridCol w:w="1701"/>
        <w:gridCol w:w="1417"/>
        <w:gridCol w:w="1559"/>
        <w:gridCol w:w="1701"/>
      </w:tblGrid>
      <w:tr>
        <w:trPr>
          <w:trHeight w:val="760"/>
        </w:trPr>
        <w:tc>
          <w:tcPr>
            <w:tcW w:w="675" w:type="dxa"/>
            <w:vAlign w:val="center"/>
            <w:textDirection w:val="lrTb"/>
            <w:noWrap w:val="false"/>
          </w:tcPr>
          <w:p>
            <w:pPr>
              <w:rPr>
                <w:rFonts w:hint="eastAsia" w:ascii="宋体" w:hAnsi="宋体"/>
                <w:szCs w:val="21"/>
              </w:rPr>
            </w:pPr>
            <w:r>
              <w:rPr>
                <w:rFonts w:hint="eastAsia" w:ascii="宋体" w:hAnsi="宋体"/>
                <w:szCs w:val="21"/>
              </w:rPr>
              <w:t xml:space="preserve">序号</w:t>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采购要求</w:t>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t xml:space="preserve">偏离说明</w:t>
            </w:r>
            <w:r/>
          </w:p>
        </w:tc>
        <w:tc>
          <w:tcPr>
            <w:tcW w:w="1701" w:type="dxa"/>
            <w:textDirection w:val="lrTb"/>
            <w:noWrap w:val="false"/>
          </w:tcPr>
          <w:p>
            <w:pPr>
              <w:jc w:val="center"/>
              <w:spacing w:line="600" w:lineRule="auto"/>
              <w:rPr>
                <w:rFonts w:hint="eastAsia" w:ascii="宋体" w:hAnsi="宋体"/>
                <w:szCs w:val="21"/>
              </w:rPr>
            </w:pPr>
            <w:r>
              <w:rPr>
                <w:rFonts w:hint="eastAsia" w:ascii="宋体" w:hAnsi="宋体"/>
                <w:szCs w:val="21"/>
              </w:rPr>
              <w:t xml:space="preserve">证明材料</w:t>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495"/>
        </w:trPr>
        <w:tc>
          <w:tcPr>
            <w:tcW w:w="675" w:type="dxa"/>
            <w:textDirection w:val="lrTb"/>
            <w:noWrap w:val="false"/>
          </w:tcPr>
          <w:p>
            <w:p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701" w:type="dxa"/>
            <w:textDirection w:val="lrTb"/>
            <w:noWrap w:val="false"/>
          </w:tcPr>
          <w:p>
            <w:pPr>
              <w:jc w:val="center"/>
              <w:rPr>
                <w:rFonts w:hint="eastAsia" w:ascii="宋体" w:hAnsi="宋体"/>
                <w:szCs w:val="21"/>
              </w:rPr>
            </w:pPr>
            <w:r>
              <w:rPr>
                <w:rFonts w:hint="eastAsia" w:ascii="宋体" w:hAnsi="宋体"/>
                <w:szCs w:val="21"/>
              </w:rPr>
            </w:r>
            <w:r/>
          </w:p>
        </w:tc>
      </w:tr>
    </w:tbl>
    <w:p>
      <w:pPr>
        <w:pStyle w:val="738"/>
        <w:rPr>
          <w:rFonts w:hint="eastAsia"/>
        </w:rPr>
      </w:pPr>
      <w:r>
        <w:rPr>
          <w:rFonts w:hint="eastAsia"/>
        </w:rPr>
      </w:r>
      <w:r/>
    </w:p>
    <w:p>
      <w:pPr>
        <w:pStyle w:val="738"/>
        <w:rPr>
          <w:rFonts w:hint="eastAsia"/>
        </w:rPr>
      </w:pPr>
      <w:r>
        <w:rPr>
          <w:rFonts w:hint="eastAsia"/>
        </w:rPr>
        <w:t xml:space="preserve">磋商供应商：（单位公章） </w:t>
      </w:r>
      <w:r/>
    </w:p>
    <w:p>
      <w:pPr>
        <w:pStyle w:val="738"/>
        <w:rPr>
          <w:rFonts w:hint="eastAsia"/>
        </w:rPr>
      </w:pPr>
      <w:r>
        <w:rPr>
          <w:rFonts w:hint="eastAsia"/>
        </w:rPr>
        <w:t xml:space="preserve">法定代表人或被授权人：（签字或盖章）</w:t>
      </w:r>
      <w:r/>
    </w:p>
    <w:p>
      <w:pPr>
        <w:pStyle w:val="738"/>
        <w:rPr>
          <w:rFonts w:hint="eastAsia"/>
        </w:rPr>
      </w:pPr>
      <w:r>
        <w:rPr>
          <w:rFonts w:hint="eastAsia"/>
        </w:rPr>
        <w:t xml:space="preserve">日期：年月日</w:t>
      </w:r>
      <w:r/>
    </w:p>
    <w:p>
      <w:pPr>
        <w:pStyle w:val="738"/>
        <w:rPr>
          <w:rFonts w:hint="eastAsia"/>
          <w:lang w:val="zh-CN"/>
        </w:rPr>
      </w:pPr>
      <w:r>
        <w:rPr>
          <w:rFonts w:hint="eastAsia"/>
          <w:lang w:val="zh-CN"/>
        </w:rPr>
      </w:r>
      <w:r/>
    </w:p>
    <w:p>
      <w:pPr>
        <w:pStyle w:val="738"/>
        <w:rPr>
          <w:rFonts w:hint="eastAsia" w:asciiTheme="minorEastAsia" w:hAnsiTheme="minorEastAsia" w:eastAsiaTheme="minorEastAsia"/>
        </w:rPr>
      </w:pPr>
      <w:r>
        <w:rPr>
          <w:rFonts w:asciiTheme="minorEastAsia" w:hAnsiTheme="minorEastAsia" w:eastAsiaTheme="minorEastAsia"/>
        </w:rPr>
        <w:t xml:space="preserve">注：</w:t>
      </w:r>
      <w:r/>
    </w:p>
    <w:p>
      <w:pPr>
        <w:pStyle w:val="738"/>
        <w:rPr>
          <w:rFonts w:hint="eastAsia" w:asciiTheme="minorEastAsia" w:hAnsiTheme="minorEastAsia" w:eastAsiaTheme="minorEastAsia"/>
        </w:rPr>
      </w:pPr>
      <w:r>
        <w:rPr>
          <w:rFonts w:asciiTheme="minorEastAsia" w:hAnsiTheme="minorEastAsia" w:eastAsiaTheme="minorEastAsia"/>
        </w:rPr>
        <w:t xml:space="preserve">1.供应商</w:t>
      </w:r>
      <w:r>
        <w:rPr>
          <w:rFonts w:hint="eastAsia" w:asciiTheme="minorEastAsia" w:hAnsiTheme="minorEastAsia" w:eastAsiaTheme="minorEastAsia"/>
        </w:rPr>
        <w:t xml:space="preserve">应在本表中对照磋商采购文件要求逐项对应列出响应内容，并在“偏离说明”项下填写以下内容：优于的，填写“正偏离”；符合的，填写“无偏离”；低于的，填写“负偏离”。</w:t>
      </w:r>
      <w:r/>
    </w:p>
    <w:p>
      <w:pPr>
        <w:pStyle w:val="738"/>
        <w:rPr>
          <w:rFonts w:hint="eastAsia" w:asciiTheme="minorEastAsia" w:hAnsiTheme="minorEastAsia" w:eastAsiaTheme="minorEastAsia"/>
        </w:rPr>
      </w:pPr>
      <w:r>
        <w:rPr>
          <w:rFonts w:asciiTheme="minorEastAsia" w:hAnsiTheme="minorEastAsia" w:eastAsiaTheme="minorEastAsia"/>
        </w:rPr>
        <w:t xml:space="preserve">2.若事项较多，供应商可根据实际情况另纸说明。</w:t>
      </w:r>
      <w:r/>
    </w:p>
    <w:p>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rPr>
          <w:rFonts w:ascii="Times New Roman" w:hAnsi="Times New Roman"/>
          <w:b/>
        </w:rPr>
        <w:outlineLvl w:val="0"/>
      </w:pPr>
      <w:r>
        <w:rPr>
          <w:rFonts w:ascii="宋体" w:hAnsi="宋体"/>
          <w:szCs w:val="21"/>
        </w:rPr>
        <w:br w:type="page" w:clear="all"/>
      </w:r>
      <w:r>
        <w:rPr>
          <w:rFonts w:ascii="Times New Roman" w:hAnsi="Times New Roman"/>
          <w:b/>
        </w:rPr>
        <w:t xml:space="preserve">附件</w:t>
      </w:r>
      <w:r>
        <w:rPr>
          <w:rFonts w:hint="eastAsia" w:ascii="Times New Roman" w:hAnsi="Times New Roman"/>
          <w:b/>
        </w:rPr>
        <w:t xml:space="preserve">10.</w:t>
      </w:r>
      <w:r>
        <w:rPr>
          <w:rFonts w:hint="eastAsia" w:ascii="Times New Roman" w:hAnsi="Times New Roman"/>
          <w:b/>
        </w:rPr>
        <w:t xml:space="preserve">拟投入项目人员汇总表</w:t>
      </w:r>
      <w:r/>
    </w:p>
    <w:p>
      <w:pPr>
        <w:jc w:val="center"/>
        <w:rPr>
          <w:rFonts w:hint="eastAsia" w:ascii="宋体" w:hAnsi="宋体"/>
          <w:b/>
          <w:bCs/>
          <w:szCs w:val="21"/>
        </w:rPr>
      </w:pPr>
      <w:r>
        <w:rPr>
          <w:rFonts w:hint="eastAsia" w:ascii="宋体" w:hAnsi="宋体"/>
          <w:b/>
          <w:bCs/>
          <w:szCs w:val="21"/>
        </w:rPr>
      </w:r>
      <w:r/>
    </w:p>
    <w:p>
      <w:pPr>
        <w:jc w:val="center"/>
        <w:rPr>
          <w:rFonts w:hint="eastAsia" w:ascii="宋体" w:hAnsi="宋体"/>
          <w:b/>
          <w:bCs/>
          <w:szCs w:val="21"/>
        </w:rPr>
      </w:pPr>
      <w:r>
        <w:rPr>
          <w:rFonts w:hint="eastAsia" w:ascii="宋体" w:hAnsi="宋体"/>
          <w:b/>
          <w:bCs/>
          <w:szCs w:val="21"/>
        </w:rPr>
        <w:t xml:space="preserve">拟投入项目人员汇总表</w:t>
      </w:r>
      <w:r/>
    </w:p>
    <w:p>
      <w:pPr>
        <w:pStyle w:val="776"/>
        <w:ind w:left="0" w:firstLine="0"/>
      </w:pPr>
      <w:r/>
      <w:r/>
    </w:p>
    <w:p>
      <w:pPr>
        <w:pStyle w:val="776"/>
        <w:ind w:left="0" w:firstLine="0"/>
      </w:pPr>
      <w:r>
        <w:rPr>
          <w:rFonts w:hint="eastAsia"/>
        </w:rPr>
        <w:t xml:space="preserve">项目名称：</w:t>
      </w:r>
      <w:r>
        <w:rPr>
          <w:rFonts w:hint="eastAsia"/>
        </w:rPr>
        <w:t xml:space="preserve">2026</w:t>
      </w:r>
      <w:r>
        <w:rPr>
          <w:rFonts w:hint="eastAsia"/>
        </w:rPr>
        <w:t xml:space="preserve">年相城经开区无主垃圾清运项目</w:t>
      </w:r>
      <w:r/>
    </w:p>
    <w:p>
      <w:pPr>
        <w:pStyle w:val="776"/>
        <w:ind w:left="0" w:firstLine="0"/>
      </w:pPr>
      <w:r>
        <w:rPr>
          <w:rFonts w:hint="eastAsia"/>
        </w:rPr>
        <w:t xml:space="preserve">采购编号：</w:t>
      </w:r>
      <w:r>
        <w:rPr>
          <w:rFonts w:hint="eastAsia" w:asciiTheme="minorEastAsia" w:hAnsiTheme="minorEastAsia" w:eastAsiaTheme="minorEastAsia"/>
        </w:rPr>
        <w:t xml:space="preserve">JSZC-320507-BZJS-C2026-0001</w:t>
      </w:r>
      <w:r/>
    </w:p>
    <w:tbl>
      <w:tblPr>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tblGrid>
      <w:tr>
        <w:trPr>
          <w:jc w:val="center"/>
          <w:trHeight w:val="760"/>
        </w:trPr>
        <w:tc>
          <w:tcPr>
            <w:tcW w:w="72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职称</w:t>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208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W w:w="2080"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W w:w="1559"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W w:w="1134"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W w:w="1134"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w:t>
            </w:r>
            <w:r/>
          </w:p>
        </w:tc>
        <w:tc>
          <w:tcPr>
            <w:tcW w:w="127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Times New Roman"/>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请将相关证明材料复印件加盖公章后附在本表后面上。</w:t>
      </w:r>
      <w:r/>
    </w:p>
    <w:p>
      <w:pPr>
        <w:pStyle w:val="738"/>
        <w:rPr>
          <w:rFonts w:hint="eastAsia"/>
        </w:rPr>
      </w:pPr>
      <w:r>
        <w:rPr>
          <w:rFonts w:hint="eastAsia"/>
        </w:rPr>
      </w:r>
      <w:r/>
    </w:p>
    <w:p>
      <w:pPr>
        <w:jc w:val="left"/>
        <w:spacing w:line="360" w:lineRule="auto"/>
        <w:rPr>
          <w:rFonts w:hint="eastAsia" w:ascii="Times New Roman" w:hAnsi="宋体"/>
          <w:sz w:val="24"/>
          <w:szCs w:val="24"/>
        </w:rPr>
      </w:pPr>
      <w:r>
        <w:rPr>
          <w:rFonts w:hint="eastAsia" w:ascii="宋体" w:hAnsi="宋体"/>
        </w:rPr>
        <w:t xml:space="preserve">磋商供应商：（单位公章） </w:t>
      </w:r>
      <w:r/>
    </w:p>
    <w:p>
      <w:pPr>
        <w:jc w:val="left"/>
        <w:spacing w:line="360" w:lineRule="auto"/>
        <w:rPr>
          <w:rFonts w:hint="eastAsia" w:ascii="宋体" w:hAnsi="宋体"/>
        </w:rPr>
      </w:pPr>
      <w:r>
        <w:rPr>
          <w:rFonts w:hint="eastAsia" w:ascii="宋体" w:hAnsi="宋体"/>
        </w:rPr>
        <w:t xml:space="preserve">法定代表人或被授权人：（签字或盖章）</w:t>
      </w:r>
      <w:r/>
    </w:p>
    <w:p>
      <w:pPr>
        <w:jc w:val="left"/>
        <w:spacing w:line="360" w:lineRule="auto"/>
        <w:rPr>
          <w:rFonts w:hint="eastAsia" w:ascii="宋体" w:hAnsi="宋体"/>
        </w:rPr>
      </w:pPr>
      <w:r>
        <w:rPr>
          <w:rFonts w:hint="eastAsia" w:ascii="宋体" w:hAnsi="宋体"/>
        </w:rPr>
        <w:t xml:space="preserve">日    期：     年     月    日</w:t>
      </w:r>
      <w:r/>
    </w:p>
    <w:p>
      <w:pPr>
        <w:rPr>
          <w:rFonts w:hint="eastAsia" w:ascii="宋体" w:hAnsi="宋体"/>
          <w:b/>
          <w:szCs w:val="21"/>
        </w:rPr>
        <w:outlineLvl w:val="0"/>
      </w:pPr>
      <w:r>
        <w:rPr>
          <w:rFonts w:hAnsi="宋体"/>
          <w:szCs w:val="21"/>
        </w:rPr>
        <w:br w:type="page" w:clear="all"/>
      </w:r>
      <w:r>
        <w:rPr>
          <w:rFonts w:ascii="宋体" w:hAnsi="宋体"/>
          <w:b/>
          <w:szCs w:val="21"/>
        </w:rPr>
        <w:t xml:space="preserve">附件</w:t>
      </w:r>
      <w:r>
        <w:rPr>
          <w:rFonts w:hint="eastAsia" w:ascii="宋体" w:hAnsi="宋体"/>
          <w:b/>
          <w:szCs w:val="21"/>
        </w:rPr>
        <w:t xml:space="preserve">11.</w:t>
      </w:r>
      <w:r>
        <w:rPr>
          <w:rFonts w:hint="eastAsia" w:ascii="宋体" w:hAnsi="宋体" w:cs="宋体"/>
          <w:b/>
          <w:szCs w:val="21"/>
        </w:rPr>
        <w:t xml:space="preserve">类似</w:t>
      </w:r>
      <w:r>
        <w:rPr>
          <w:rFonts w:hint="eastAsia" w:ascii="宋体" w:hAnsi="宋体"/>
          <w:b/>
          <w:szCs w:val="21"/>
        </w:rPr>
        <w:t xml:space="preserve">业绩一览表</w:t>
      </w:r>
      <w:r/>
    </w:p>
    <w:p>
      <w:pPr>
        <w:rPr>
          <w:rFonts w:hint="eastAsia" w:ascii="宋体" w:hAnsi="宋体"/>
          <w:b/>
          <w:bCs/>
          <w:szCs w:val="21"/>
        </w:rPr>
      </w:pPr>
      <w:r>
        <w:rPr>
          <w:rFonts w:hint="eastAsia" w:ascii="宋体" w:hAnsi="宋体"/>
          <w:b/>
          <w:bCs/>
          <w:szCs w:val="21"/>
        </w:rPr>
      </w:r>
      <w:r/>
    </w:p>
    <w:p>
      <w:pPr>
        <w:jc w:val="center"/>
        <w:rPr>
          <w:rFonts w:hint="eastAsia" w:ascii="宋体" w:hAnsi="宋体"/>
          <w:b/>
          <w:bCs/>
          <w:szCs w:val="21"/>
        </w:rPr>
      </w:pPr>
      <w:r>
        <w:rPr>
          <w:rFonts w:hint="eastAsia" w:ascii="宋体" w:hAnsi="宋体" w:cs="宋体"/>
          <w:b/>
          <w:szCs w:val="21"/>
        </w:rPr>
        <w:t xml:space="preserve">类似</w:t>
      </w:r>
      <w:r>
        <w:rPr>
          <w:rFonts w:ascii="宋体" w:hAnsi="宋体"/>
          <w:b/>
          <w:bCs/>
          <w:szCs w:val="21"/>
        </w:rPr>
        <w:t xml:space="preserve">业绩一览表</w:t>
      </w:r>
      <w:r/>
    </w:p>
    <w:p>
      <w:pPr>
        <w:jc w:val="center"/>
        <w:rPr>
          <w:rFonts w:hint="eastAsia" w:ascii="宋体" w:hAnsi="宋体"/>
          <w:b/>
          <w:bCs/>
          <w:szCs w:val="21"/>
        </w:rPr>
      </w:pPr>
      <w:r>
        <w:rPr>
          <w:rFonts w:hint="eastAsia" w:ascii="宋体" w:hAnsi="宋体"/>
          <w:b/>
          <w:bCs/>
          <w:szCs w:val="21"/>
        </w:rPr>
      </w:r>
      <w:r/>
    </w:p>
    <w:p>
      <w:pPr>
        <w:pStyle w:val="738"/>
        <w:rPr>
          <w:rFonts w:hint="eastAsia"/>
        </w:rPr>
      </w:pPr>
      <w:r>
        <w:rPr>
          <w:rFonts w:hint="eastAsia" w:cs="宋体" w:asciiTheme="minorEastAsia" w:hAnsiTheme="minorEastAsia" w:eastAsiaTheme="minorEastAsia"/>
          <w:szCs w:val="21"/>
        </w:rPr>
        <w:t xml:space="preserve">项目名称：2026年相城经开区无主垃圾清运项目</w:t>
      </w:r>
      <w:r/>
    </w:p>
    <w:p>
      <w:pPr>
        <w:pStyle w:val="738"/>
        <w:rPr>
          <w:rFonts w:hint="eastAsia"/>
        </w:rPr>
      </w:pPr>
      <w:r>
        <w:rPr>
          <w:rFonts w:hint="eastAsia" w:asciiTheme="minorEastAsia" w:hAnsiTheme="minorEastAsia" w:eastAsiaTheme="minorEastAsia"/>
          <w:szCs w:val="21"/>
        </w:rPr>
        <w:t xml:space="preserve">采购编号：</w:t>
      </w:r>
      <w:r>
        <w:rPr>
          <w:rFonts w:hint="eastAsia" w:asciiTheme="minorEastAsia" w:hAnsiTheme="minorEastAsia" w:eastAsiaTheme="minorEastAsia"/>
          <w:szCs w:val="21"/>
        </w:rPr>
        <w:t xml:space="preserve">JSZC-320507-BZJS-C2026-0001</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2239"/>
      </w:tblGrid>
      <w:tr>
        <w:trPr>
          <w:cantSplit/>
          <w:jc w:val="center"/>
          <w:trHeight w:val="740"/>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W w:w="2239"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23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t xml:space="preserve">注：</w:t>
      </w:r>
      <w:r/>
    </w:p>
    <w:p>
      <w:pPr>
        <w:ind w:firstLine="42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hint="eastAsia" w:ascii="宋体" w:hAnsi="宋体" w:cs="宋体"/>
          <w:szCs w:val="21"/>
        </w:rPr>
      </w:pPr>
      <w:r>
        <w:rPr>
          <w:rFonts w:ascii="宋体" w:hAnsi="宋体"/>
          <w:szCs w:val="21"/>
        </w:rPr>
        <w:t xml:space="preserve">2.</w:t>
      </w:r>
      <w:r>
        <w:rPr>
          <w:rFonts w:hint="eastAsia" w:ascii="宋体" w:hAnsi="宋体" w:cs="宋体"/>
          <w:szCs w:val="21"/>
        </w:rPr>
        <w:t xml:space="preserve">供应商提供</w:t>
      </w:r>
      <w:r>
        <w:rPr>
          <w:rFonts w:ascii="宋体" w:hAnsi="宋体" w:cs="宋体"/>
          <w:szCs w:val="21"/>
        </w:rPr>
        <w:t xml:space="preserve">20</w:t>
      </w:r>
      <w:r>
        <w:rPr>
          <w:rFonts w:hint="eastAsia" w:ascii="宋体" w:hAnsi="宋体" w:cs="宋体"/>
          <w:szCs w:val="21"/>
        </w:rPr>
        <w:t xml:space="preserve">22年1月</w:t>
      </w:r>
      <w:r>
        <w:rPr>
          <w:rFonts w:hint="eastAsia" w:asciiTheme="minorEastAsia" w:hAnsiTheme="minorEastAsia" w:eastAsiaTheme="minorEastAsia"/>
          <w:szCs w:val="21"/>
        </w:rPr>
        <w:t xml:space="preserve">（以合同签订日期为准）</w:t>
      </w:r>
      <w:r>
        <w:rPr>
          <w:rFonts w:hint="eastAsia" w:ascii="宋体" w:hAnsi="宋体" w:cs="宋体"/>
          <w:szCs w:val="21"/>
        </w:rPr>
        <w:t xml:space="preserve">以来承担的类似项目业绩，响应文件中须提供合同扫描件。</w:t>
      </w:r>
      <w:r/>
    </w:p>
    <w:p>
      <w:pPr>
        <w:ind w:firstLine="420"/>
        <w:jc w:val="left"/>
        <w:spacing w:line="360" w:lineRule="auto"/>
        <w:rPr>
          <w:rFonts w:hint="eastAsia" w:ascii="宋体" w:hAnsi="宋体"/>
          <w:szCs w:val="21"/>
        </w:rPr>
      </w:pPr>
      <w:r>
        <w:rPr>
          <w:rFonts w:hint="eastAsia" w:ascii="宋体" w:hAnsi="宋体"/>
          <w:szCs w:val="21"/>
        </w:rPr>
        <w:t xml:space="preserve">3.请将其他相关证明材料复印件加盖公章后附在本表后面。（如：合同扫描件等）</w:t>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rPr>
          <w:rFonts w:hint="eastAsia" w:ascii="宋体" w:hAnsi="宋体" w:cs="宋体"/>
          <w:szCs w:val="21"/>
        </w:rPr>
      </w:pPr>
      <w:r>
        <w:rPr>
          <w:rFonts w:hint="eastAsia" w:ascii="宋体" w:hAnsi="宋体" w:cs="宋体"/>
          <w:szCs w:val="21"/>
        </w:rPr>
        <w:t xml:space="preserve">磋商供应商：（单位公章） </w:t>
      </w:r>
      <w:r/>
    </w:p>
    <w:p>
      <w:pPr>
        <w:jc w:val="left"/>
        <w:spacing w:line="360" w:lineRule="auto"/>
        <w:rPr>
          <w:rFonts w:hint="eastAsia" w:ascii="宋体" w:hAnsi="宋体" w:cs="宋体"/>
          <w:szCs w:val="21"/>
        </w:rPr>
      </w:pPr>
      <w:r>
        <w:rPr>
          <w:rFonts w:hint="eastAsia" w:ascii="宋体" w:hAnsi="宋体" w:cs="宋体"/>
          <w:szCs w:val="21"/>
        </w:rPr>
        <w:t xml:space="preserve">法定代表人或被授权人：（签字或盖章）</w:t>
      </w:r>
      <w:r/>
    </w:p>
    <w:p>
      <w:pPr>
        <w:jc w:val="left"/>
        <w:spacing w:line="360" w:lineRule="auto"/>
        <w:rPr>
          <w:rFonts w:hint="eastAsia" w:ascii="宋体" w:hAnsi="宋体" w:cs="宋体"/>
          <w:szCs w:val="21"/>
        </w:rPr>
      </w:pPr>
      <w:r>
        <w:rPr>
          <w:rFonts w:hint="eastAsia" w:ascii="宋体" w:hAnsi="宋体" w:cs="宋体"/>
          <w:szCs w:val="21"/>
        </w:rPr>
        <w:t xml:space="preserve">日    期：     年     月    日</w:t>
      </w:r>
      <w:r/>
    </w:p>
    <w:p>
      <w:pPr>
        <w:jc w:val="right"/>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r>
      <w:r/>
    </w:p>
    <w:p>
      <w:pPr>
        <w:ind w:firstLine="420"/>
        <w:jc w:val="left"/>
        <w:spacing w:line="360" w:lineRule="auto"/>
        <w:rPr>
          <w:rFonts w:hint="eastAsia" w:ascii="宋体" w:hAnsi="宋体" w:cs="宋体"/>
          <w:szCs w:val="21"/>
        </w:rPr>
      </w:pPr>
      <w:r>
        <w:rPr>
          <w:rFonts w:hint="eastAsia" w:ascii="宋体" w:hAnsi="宋体" w:cs="宋体"/>
          <w:szCs w:val="21"/>
        </w:rPr>
      </w:r>
      <w:r/>
    </w:p>
    <w:p>
      <w:pPr>
        <w:pStyle w:val="750"/>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750"/>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750"/>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750"/>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750"/>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750"/>
        <w:spacing w:line="400" w:lineRule="exact"/>
        <w:rPr>
          <w:rFonts w:hint="eastAsia" w:asciiTheme="minorEastAsia" w:hAnsiTheme="minorEastAsia" w:eastAsiaTheme="minorEastAsia"/>
          <w:b/>
          <w:bCs/>
          <w:szCs w:val="21"/>
        </w:rPr>
      </w:pPr>
      <w:r>
        <w:rPr>
          <w:rFonts w:hint="eastAsia" w:asciiTheme="minorEastAsia" w:hAnsiTheme="minorEastAsia" w:eastAsiaTheme="minorEastAsia"/>
          <w:b/>
          <w:sz w:val="21"/>
          <w:szCs w:val="21"/>
        </w:rPr>
        <w:br w:type="page" w:clear="all"/>
      </w:r>
      <w:r>
        <w:rPr>
          <w:rFonts w:hint="eastAsia" w:hAnsi="宋体" w:eastAsia="宋体"/>
          <w:b/>
          <w:sz w:val="21"/>
          <w:szCs w:val="21"/>
        </w:rPr>
        <w:t xml:space="preserve">附件12：响应保证承诺书</w:t>
      </w:r>
      <w:r/>
    </w:p>
    <w:p>
      <w:pPr>
        <w:pStyle w:val="989"/>
        <w:ind w:firstLine="422"/>
        <w:jc w:val="center"/>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r>
      <w:r/>
    </w:p>
    <w:p>
      <w:pPr>
        <w:pStyle w:val="989"/>
        <w:ind w:firstLine="422"/>
        <w:jc w:val="center"/>
        <w:spacing w:line="360" w:lineRule="auto"/>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响应保证承诺书</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致：苏州市保泽建设管理有限公司         </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我</w:t>
      </w:r>
      <w:r>
        <w:rPr>
          <w:rFonts w:hint="eastAsia" w:asciiTheme="minorEastAsia" w:hAnsiTheme="minorEastAsia" w:eastAsiaTheme="minorEastAsia"/>
          <w:sz w:val="21"/>
          <w:szCs w:val="21"/>
          <w:u w:val="single"/>
        </w:rPr>
        <w:t xml:space="preserve">（单位/本人，以下统称我单位）</w:t>
      </w:r>
      <w:r>
        <w:rPr>
          <w:rFonts w:hint="eastAsia" w:asciiTheme="minorEastAsia" w:hAnsiTheme="minorEastAsia" w:eastAsiaTheme="minorEastAsia"/>
          <w:sz w:val="21"/>
          <w:szCs w:val="21"/>
        </w:rPr>
        <w:t xml:space="preserve">自愿参加</w:t>
      </w:r>
      <w:r>
        <w:rPr>
          <w:rFonts w:hint="eastAsia" w:asciiTheme="minorEastAsia" w:hAnsiTheme="minorEastAsia" w:eastAsiaTheme="minorEastAsia"/>
          <w:sz w:val="21"/>
          <w:szCs w:val="21"/>
          <w:u w:val="single"/>
        </w:rPr>
        <w:t xml:space="preserve"> （项目名称和采购编号及标段号）</w:t>
      </w:r>
      <w:r>
        <w:rPr>
          <w:rFonts w:hint="eastAsia" w:asciiTheme="minorEastAsia" w:hAnsiTheme="minorEastAsia" w:eastAsiaTheme="minorEastAsia"/>
          <w:sz w:val="21"/>
          <w:szCs w:val="21"/>
        </w:rPr>
        <w:t xml:space="preserve">的响应,并做出如下承诺：</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1.自响应截止时间至本项目发布成交公告为止，撤销响应；</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2.成交后不依法与采购人签订合同；</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3.成交后不按本采购文件规定向采购人提交履约保证金；</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4.成交后不按本采购文件规定向贵方缴纳采购代理费。</w:t>
      </w:r>
      <w:r/>
    </w:p>
    <w:p>
      <w:pPr>
        <w:pStyle w:val="98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二、我单位知晓上述行为的法律后果，承认</w:t>
      </w:r>
      <w:r>
        <w:rPr>
          <w:rFonts w:hint="eastAsia" w:asciiTheme="minorEastAsia" w:hAnsiTheme="minorEastAsia" w:eastAsiaTheme="minorEastAsia"/>
          <w:sz w:val="21"/>
          <w:szCs w:val="21"/>
        </w:rPr>
        <w:t xml:space="preserve">本承诺</w:t>
      </w:r>
      <w:r>
        <w:rPr>
          <w:rFonts w:hint="eastAsia" w:asciiTheme="minorEastAsia" w:hAnsiTheme="minorEastAsia" w:eastAsiaTheme="minorEastAsia"/>
          <w:sz w:val="21"/>
          <w:szCs w:val="21"/>
        </w:rPr>
        <w:t xml:space="preserve">书作为贵方（或采购人）要求我单位履行违约赔偿义务的依据作用。</w:t>
      </w:r>
      <w:r/>
    </w:p>
    <w:p>
      <w:pPr>
        <w:pStyle w:val="989"/>
        <w:ind w:firstLine="420"/>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989"/>
        <w:ind w:firstLine="420"/>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磋商供应商：（单位公章）</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法定代表人或代理人：（签字或签章）</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pStyle w:val="1005"/>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989"/>
        <w:spacing w:line="400" w:lineRule="exact"/>
        <w:rPr>
          <w:rFonts w:hint="eastAsia" w:asciiTheme="minorEastAsia" w:hAnsiTheme="minorEastAsia" w:eastAsiaTheme="minorEastAsia"/>
          <w:b/>
          <w:bCs/>
          <w:sz w:val="21"/>
          <w:szCs w:val="21"/>
        </w:rPr>
      </w:pPr>
      <w:r>
        <w:rPr>
          <w:rFonts w:hint="eastAsia" w:asciiTheme="minorEastAsia" w:hAnsiTheme="minorEastAsia" w:eastAsiaTheme="minorEastAsia"/>
          <w:b/>
          <w:sz w:val="21"/>
          <w:szCs w:val="21"/>
        </w:rPr>
        <w:br w:type="page" w:clear="all"/>
      </w:r>
      <w:r/>
    </w:p>
    <w:p>
      <w:pPr>
        <w:spacing w:line="400" w:lineRule="exact"/>
        <w:rPr>
          <w:rFonts w:hint="eastAsia" w:asciiTheme="minorEastAsia" w:hAnsiTheme="minorEastAsia" w:eastAsiaTheme="minorEastAsia"/>
          <w:b/>
          <w:bCs/>
          <w:szCs w:val="21"/>
        </w:rPr>
      </w:pPr>
      <w:r>
        <w:rPr>
          <w:rFonts w:hint="eastAsia" w:asciiTheme="minorEastAsia" w:hAnsiTheme="minorEastAsia" w:eastAsiaTheme="minorEastAsia"/>
          <w:b/>
          <w:szCs w:val="21"/>
        </w:rPr>
        <w:t xml:space="preserve">格式13：安全责任承诺书</w:t>
      </w:r>
      <w:r/>
    </w:p>
    <w:p>
      <w:pPr>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r>
      <w:r/>
    </w:p>
    <w:p>
      <w:pPr>
        <w:pStyle w:val="989"/>
        <w:ind w:firstLine="422"/>
        <w:jc w:val="center"/>
        <w:spacing w:line="360" w:lineRule="auto"/>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安全责任承诺书</w:t>
      </w:r>
      <w:r/>
    </w:p>
    <w:p>
      <w:pPr>
        <w:pStyle w:val="750"/>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如我方为成交单位，我方将认真履行本次采购的所有承诺，我方愿意负责承担</w:t>
      </w:r>
      <w:r>
        <w:rPr>
          <w:rFonts w:hint="eastAsia" w:asciiTheme="minorEastAsia" w:hAnsiTheme="minorEastAsia" w:eastAsiaTheme="minorEastAsia"/>
          <w:sz w:val="21"/>
          <w:szCs w:val="21"/>
          <w:u w:val="single"/>
        </w:rPr>
        <w:t xml:space="preserve">2026年相城经开区无主垃圾清运项目</w:t>
      </w:r>
      <w:r>
        <w:rPr>
          <w:rFonts w:hint="eastAsia" w:asciiTheme="minorEastAsia" w:hAnsiTheme="minorEastAsia" w:eastAsiaTheme="minorEastAsia"/>
          <w:sz w:val="21"/>
          <w:szCs w:val="21"/>
        </w:rPr>
        <w:t xml:space="preserve">服务过程中全部服务人员的人身安全及车辆设施设备安全的全部责任，在合同履行过程中发生的一切安全问题，由我方全权负责。</w:t>
      </w:r>
      <w:r/>
    </w:p>
    <w:p>
      <w:pPr>
        <w:pStyle w:val="750"/>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ind w:firstLine="502"/>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磋商供应商：（单位公章）</w:t>
      </w:r>
      <w:r/>
    </w:p>
    <w:p>
      <w:pPr>
        <w:ind w:firstLine="502"/>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法定代表人或代理人：（签字或签章）</w:t>
      </w:r>
      <w:r/>
    </w:p>
    <w:p>
      <w:pPr>
        <w:ind w:firstLine="502"/>
        <w:spacing w:line="360" w:lineRule="auto"/>
        <w:rPr>
          <w:rFonts w:hint="eastAsia" w:asciiTheme="minorEastAsia" w:hAnsiTheme="minorEastAsia" w:eastAsiaTheme="minorEastAsia"/>
          <w:highlight w:val="none"/>
        </w:rPr>
      </w:pPr>
      <w:r>
        <w:rPr>
          <w:rFonts w:hint="eastAsia" w:asciiTheme="minorEastAsia" w:hAnsiTheme="minorEastAsia" w:eastAsiaTheme="minorEastAsia"/>
          <w:szCs w:val="21"/>
        </w:rPr>
        <w:t xml:space="preserve">日期：   年   月   日</w:t>
      </w: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rPr>
      </w:r>
      <w:r>
        <w:rPr>
          <w:rFonts w:hint="eastAsia" w:asciiTheme="minorEastAsia" w:hAnsiTheme="minorEastAsia" w:eastAsiaTheme="minorEastAsia"/>
        </w:rPr>
      </w:r>
    </w:p>
    <w:p>
      <w:pPr>
        <w:ind w:firstLine="502"/>
        <w:spacing w:line="360" w:lineRule="auto"/>
        <w:rPr>
          <w:rFonts w:hint="eastAsia" w:asciiTheme="minorEastAsia" w:hAnsiTheme="minorEastAsia" w:eastAsiaTheme="minorEastAsia"/>
        </w:rPr>
      </w:pPr>
      <w:r>
        <w:rPr>
          <w:rFonts w:hint="eastAsia" w:asciiTheme="minorEastAsia" w:hAnsiTheme="minorEastAsia" w:eastAsiaTheme="minorEastAsia"/>
          <w:szCs w:val="21"/>
          <w:highlight w:val="none"/>
        </w:rPr>
      </w:r>
      <w:r>
        <w:rPr>
          <w:rFonts w:hint="eastAsia" w:asciiTheme="minorEastAsia" w:hAnsiTheme="minorEastAsia" w:eastAsiaTheme="minorEastAsia"/>
          <w:szCs w:val="21"/>
          <w:highlight w:val="none"/>
        </w:rPr>
      </w:r>
    </w:p>
    <w:p>
      <w:pPr>
        <w:rPr>
          <w:rFonts w:hint="eastAsia" w:ascii="宋体" w:hAnsi="宋体"/>
        </w:rPr>
      </w:pPr>
      <w:r>
        <w:rPr>
          <w:rFonts w:hint="eastAsia" w:ascii="宋体" w:hAnsi="宋体"/>
        </w:rPr>
      </w:r>
      <w:r/>
    </w:p>
    <w:p>
      <w:pPr>
        <w:pStyle w:val="738"/>
        <w:rPr>
          <w:rFonts w:hint="eastAsia"/>
        </w:rPr>
      </w:pPr>
      <w:r>
        <w:rPr>
          <w:rFonts w:hint="eastAsia"/>
        </w:rPr>
      </w:r>
      <w:r/>
    </w:p>
    <w:p>
      <w:r/>
      <w:r/>
    </w:p>
    <w:p>
      <w:r/>
      <w:r/>
    </w:p>
    <w:p>
      <w:r/>
      <w:r/>
    </w:p>
    <w:p>
      <w:r/>
      <w:r/>
    </w:p>
    <w:p>
      <w:r/>
      <w:r/>
    </w:p>
    <w:p>
      <w:r/>
      <w:r/>
    </w:p>
    <w:p>
      <w:pPr>
        <w:pStyle w:val="738"/>
        <w:rPr>
          <w:rFonts w:hint="eastAsia"/>
        </w:rPr>
      </w:pPr>
      <w:r>
        <w:rPr>
          <w:rFonts w:hint="eastAsia"/>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供应商与其他单位存在控股、管理关系的单位名称</w:t>
            </w:r>
            <w:r>
              <w:rPr>
                <w:sz w:val="21"/>
                <w:szCs w:val="2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控股、管理关系情况说明</w:t>
            </w:r>
            <w:r>
              <w:rPr>
                <w:sz w:val="21"/>
                <w:szCs w:val="21"/>
              </w:rP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szCs w:val="21"/>
              </w:rPr>
              <w:t xml:space="preserve"> </w:t>
            </w:r>
            <w:r>
              <w:rPr>
                <w:sz w:val="21"/>
                <w:szCs w:val="21"/>
              </w:rP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numPr>
          <w:ilvl w:val="0"/>
          <w:numId w:val="6"/>
        </w:numPr>
        <w:spacing w:before="240" w:after="24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磋商供应商：（单位公章）</w:t>
      </w:r>
      <w:r>
        <w:rPr>
          <w:sz w:val="21"/>
          <w:szCs w:val="21"/>
        </w:rPr>
      </w:r>
    </w:p>
    <w:p>
      <w:pPr>
        <w:numPr>
          <w:ilvl w:val="0"/>
          <w:numId w:val="6"/>
        </w:numPr>
        <w:spacing w:before="240" w:after="24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法定代表人或代理人：（签字或签章）</w:t>
      </w:r>
      <w:r>
        <w:rPr>
          <w:sz w:val="21"/>
          <w:szCs w:val="21"/>
        </w:rPr>
      </w:r>
    </w:p>
    <w:p>
      <w:pPr>
        <w:numPr>
          <w:ilvl w:val="0"/>
          <w:numId w:val="6"/>
        </w:numPr>
        <w:spacing w:before="240" w:after="24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日期：</w:t>
      </w:r>
      <w:r>
        <w:rPr>
          <w:rFonts w:ascii="Microsoft YaHei" w:hAnsi="Microsoft YaHei" w:eastAsia="Microsoft YaHei" w:cs="Microsoft YaHei"/>
          <w:color w:val="000000"/>
          <w:sz w:val="21"/>
          <w:szCs w:val="21"/>
        </w:rPr>
        <w:t xml:space="preserve">   </w:t>
      </w:r>
      <w:r>
        <w:rPr>
          <w:rFonts w:ascii="SimSun" w:hAnsi="SimSun" w:eastAsia="SimSun" w:cs="SimSun"/>
          <w:color w:val="000000"/>
          <w:sz w:val="21"/>
          <w:szCs w:val="21"/>
        </w:rPr>
        <w:t xml:space="preserve">年</w:t>
      </w:r>
      <w:r>
        <w:rPr>
          <w:rFonts w:ascii="Microsoft YaHei" w:hAnsi="Microsoft YaHei" w:eastAsia="Microsoft YaHei" w:cs="Microsoft YaHei"/>
          <w:color w:val="000000"/>
          <w:sz w:val="21"/>
          <w:szCs w:val="21"/>
        </w:rPr>
        <w:t xml:space="preserve">   </w:t>
      </w:r>
      <w:r>
        <w:rPr>
          <w:rFonts w:ascii="SimSun" w:hAnsi="SimSun" w:eastAsia="SimSun" w:cs="SimSun"/>
          <w:color w:val="000000"/>
          <w:sz w:val="21"/>
          <w:szCs w:val="21"/>
        </w:rPr>
        <w:t xml:space="preserve">月</w:t>
      </w:r>
      <w:r>
        <w:rPr>
          <w:rFonts w:ascii="Microsoft YaHei" w:hAnsi="Microsoft YaHei" w:eastAsia="Microsoft YaHei" w:cs="Microsoft YaHei"/>
          <w:color w:val="000000"/>
          <w:sz w:val="21"/>
          <w:szCs w:val="21"/>
        </w:rPr>
        <w:t xml:space="preserve">   </w:t>
      </w:r>
      <w:r>
        <w:rPr>
          <w:rFonts w:ascii="SimSun" w:hAnsi="SimSun" w:eastAsia="SimSun" w:cs="SimSun"/>
          <w:color w:val="000000"/>
          <w:sz w:val="21"/>
          <w:szCs w:val="21"/>
        </w:rPr>
        <w:t xml:space="preserve">日</w:t>
      </w:r>
      <w:r>
        <w:rPr>
          <w:sz w:val="21"/>
          <w:szCs w:val="21"/>
        </w:rP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32"/>
        <w:ind w:firstLine="0"/>
        <w:jc w:val="right"/>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highlight w:val="none"/>
        </w:rPr>
      </w:r>
      <w:r>
        <w:rPr>
          <w:rFonts w:hint="eastAsia" w:asciiTheme="minorEastAsia" w:hAnsiTheme="minorEastAsia" w:eastAsiaTheme="minorEastAsia"/>
          <w:b/>
          <w:bCs/>
          <w:sz w:val="24"/>
          <w:szCs w:val="24"/>
          <w:highlight w:val="none"/>
        </w:rPr>
      </w:r>
    </w:p>
    <w:p>
      <w:pPr>
        <w:pStyle w:val="932"/>
        <w:ind w:firstLine="0"/>
        <w:jc w:val="right"/>
        <w:rPr>
          <w:rFonts w:hint="eastAsia"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rPr>
      </w:r>
      <w:r/>
    </w:p>
    <w:sectPr>
      <w:footerReference w:type="default" r:id="rId11"/>
      <w:footnotePr/>
      <w:endnotePr/>
      <w:type w:val="nextPage"/>
      <w:pgSz w:w="11906" w:h="16838" w:orient="portrait"/>
      <w:pgMar w:top="1247" w:right="1418" w:bottom="1021" w:left="1701" w:header="624" w:footer="510"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Verdana">
    <w:panose1 w:val="020B0604030504040204"/>
  </w:font>
  <w:font w:name="仿宋_GB2312">
    <w:panose1 w:val="02010609060101010101"/>
  </w:font>
  <w:font w:name="黑体">
    <w:panose1 w:val="02010609060101010101"/>
  </w:font>
  <w:font w:name="SimSun">
    <w:panose1 w:val="02010600030101010101"/>
  </w:font>
  <w:font w:name="宋体">
    <w:panose1 w:val="02010600030101010101"/>
  </w:font>
  <w:font w:name="Microsoft YaHei">
    <w:panose1 w:val="020B0503020204020204"/>
  </w:font>
  <w:font w:name="Times New Roman">
    <w:panose1 w:val="02020603050405020304"/>
  </w:font>
  <w:font w:name="Calibri">
    <w:panose1 w:val="020F0502020204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rFonts w:hint="eastAsia"/>
      </w:rPr>
      <w:t xml:space="preserve">苏州市保泽建设项目管理有限公司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743585" cy="147955"/>
              <wp:effectExtent l="0" t="0" r="12065"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743585" cy="147955"/>
                      </a:xfrm>
                      <a:prstGeom prst="rect">
                        <a:avLst/>
                      </a:prstGeom>
                      <a:noFill/>
                      <a:ln w="6350">
                        <a:noFill/>
                      </a:ln>
                      <a:effectLst/>
                    </wps:spPr>
                    <wps:txbx>
                      <w:txbxContent>
                        <w:p>
                          <w:pPr>
                            <w:pStyle w:val="756"/>
                          </w:pPr>
                          <w:r>
                            <w:rPr>
                              <w:rFonts w:hint="eastAsia"/>
                            </w:rPr>
                            <w:t xml:space="preserve">第</w:t>
                          </w:r>
                          <w:r>
                            <w:fldChar w:fldCharType="begin"/>
                          </w:r>
                          <w:r>
                            <w:instrText xml:space="preserve"> PAGE  \* MERGEFORMAT </w:instrText>
                          </w:r>
                          <w:r>
                            <w:fldChar w:fldCharType="separate"/>
                          </w:r>
                          <w:r>
                            <w:t xml:space="preserve">32</w:t>
                          </w:r>
                          <w:r>
                            <w:fldChar w:fldCharType="end"/>
                          </w:r>
                          <w:r>
                            <w:rPr>
                              <w:rFonts w:hint="eastAsia"/>
                            </w:rPr>
                            <w:t xml:space="preserve">页共</w:t>
                          </w:r>
                          <w:fldSimple w:instr="NUMPAGES \* MERGEFORMAT">
                            <w:r>
                              <w:t xml:space="preserve">46</w:t>
                            </w:r>
                          </w:fldSimple>
                          <w:r/>
                          <w:r>
                            <w:rPr>
                              <w:rFonts w:hint="eastAsia"/>
                            </w:rP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58.5pt;height:11.6pt;mso-wrap-distance-left:9.0pt;mso-wrap-distance-top:0.0pt;mso-wrap-distance-right:9.0pt;mso-wrap-distance-bottom:0.0pt;v-text-anchor:top;visibility:visible;" filled="f" stroked="f" strokeweight="0.50pt">
              <v:textbox inset="0,0,0,0">
                <w:txbxContent>
                  <w:p>
                    <w:pPr>
                      <w:pStyle w:val="756"/>
                    </w:pPr>
                    <w:r>
                      <w:rPr>
                        <w:rFonts w:hint="eastAsia"/>
                      </w:rPr>
                      <w:t xml:space="preserve">第</w:t>
                    </w:r>
                    <w:r>
                      <w:fldChar w:fldCharType="begin"/>
                    </w:r>
                    <w:r>
                      <w:instrText xml:space="preserve"> PAGE  \* MERGEFORMAT </w:instrText>
                    </w:r>
                    <w:r>
                      <w:fldChar w:fldCharType="separate"/>
                    </w:r>
                    <w:r>
                      <w:t xml:space="preserve">32</w:t>
                    </w:r>
                    <w:r>
                      <w:fldChar w:fldCharType="end"/>
                    </w:r>
                    <w:r>
                      <w:rPr>
                        <w:rFonts w:hint="eastAsia"/>
                      </w:rPr>
                      <w:t xml:space="preserve">页共</w:t>
                    </w:r>
                    <w:fldSimple w:instr="NUMPAGES \* MERGEFORMAT">
                      <w:r>
                        <w:t xml:space="preserve">46</w:t>
                      </w:r>
                    </w:fldSimple>
                    <w:r/>
                    <w:r>
                      <w:rPr>
                        <w:rFonts w:hint="eastAsia"/>
                      </w:rPr>
                      <w:t xml:space="preserve">页</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4"/>
        <w:ind w:firstLine="560"/>
      </w:pPr>
      <w:r>
        <w:rPr>
          <w:rStyle w:val="784"/>
        </w:rPr>
        <w:footnoteRef/>
      </w:r>
      <w:r>
        <w:rPr>
          <w:rFonts w:hint="eastAsia"/>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rPr>
        <w:b/>
      </w:rPr>
    </w:pPr>
    <w:r>
      <w:rPr>
        <w:rFonts w:hint="eastAsia" w:cs="宋体" w:asciiTheme="minorEastAsia" w:hAnsiTheme="minorEastAsia" w:eastAsiaTheme="minorEastAsia"/>
      </w:rPr>
      <w:t xml:space="preserve">2026年相城经开区无主垃圾清运项目</w:t>
    </w:r>
    <w:r>
      <w:rPr>
        <w:rFonts w:cs="宋体" w:asciiTheme="minorEastAsia" w:hAnsiTheme="minorEastAsia" w:eastAsiaTheme="minorEastAsia"/>
      </w:rPr>
      <w:t xml:space="preserve">JSZC-320507-BZJS-C2026-0001</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3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2"/>
      <w:numFmt w:val="decimal"/>
      <w:pStyle w:val="1025"/>
      <w:isLgl w:val="false"/>
      <w:suff w:val="tab"/>
      <w:lvlText w:val=""/>
      <w:lvlJc w:val="left"/>
      <w:pPr>
        <w:ind w:left="360" w:hanging="360"/>
        <w:tabs>
          <w:tab w:val="left" w:pos="360" w:leader="none"/>
        </w:tabs>
      </w:pPr>
      <w:rPr>
        <w:rFonts w:hint="default" w:cs="Times New Roman"/>
      </w:rPr>
    </w:lvl>
    <w:lvl w:ilvl="1">
      <w:start w:val="1"/>
      <w:numFmt w:val="decimal"/>
      <w:isLgl w:val="false"/>
      <w:suff w:val="tab"/>
      <w:lvlText w:val="%1.%2"/>
      <w:lvlJc w:val="left"/>
      <w:pPr>
        <w:ind w:left="1012" w:hanging="750"/>
        <w:tabs>
          <w:tab w:val="left" w:pos="1012" w:leader="none"/>
        </w:tabs>
      </w:pPr>
      <w:rPr>
        <w:rFonts w:hint="default" w:cs="Times New Roman"/>
      </w:rPr>
    </w:lvl>
    <w:lvl w:ilvl="2">
      <w:start w:val="1"/>
      <w:numFmt w:val="decimal"/>
      <w:isLgl w:val="false"/>
      <w:suff w:val="tab"/>
      <w:lvlText w:val="%1.%2.%3"/>
      <w:lvlJc w:val="left"/>
      <w:pPr>
        <w:ind w:left="1274" w:hanging="750"/>
        <w:tabs>
          <w:tab w:val="left" w:pos="1274" w:leader="none"/>
        </w:tabs>
      </w:pPr>
      <w:rPr>
        <w:rFonts w:hint="default" w:cs="Times New Roman"/>
      </w:rPr>
    </w:lvl>
    <w:lvl w:ilvl="3">
      <w:start w:val="1"/>
      <w:numFmt w:val="decimal"/>
      <w:isLgl w:val="false"/>
      <w:suff w:val="tab"/>
      <w:lvlText w:val="%1.%2.%3.%4"/>
      <w:lvlJc w:val="left"/>
      <w:pPr>
        <w:ind w:left="1536" w:hanging="750"/>
        <w:tabs>
          <w:tab w:val="left" w:pos="1536" w:leader="none"/>
        </w:tabs>
      </w:pPr>
      <w:rPr>
        <w:rFonts w:hint="default" w:cs="Times New Roman"/>
      </w:rPr>
    </w:lvl>
    <w:lvl w:ilvl="4">
      <w:start w:val="1"/>
      <w:numFmt w:val="decimal"/>
      <w:isLgl w:val="false"/>
      <w:suff w:val="tab"/>
      <w:lvlText w:val="%1.%2.%3.%4.%5"/>
      <w:lvlJc w:val="left"/>
      <w:pPr>
        <w:ind w:left="1798" w:hanging="750"/>
        <w:tabs>
          <w:tab w:val="left" w:pos="1798" w:leader="none"/>
        </w:tabs>
      </w:pPr>
      <w:rPr>
        <w:rFonts w:hint="default" w:cs="Times New Roman"/>
      </w:rPr>
    </w:lvl>
    <w:lvl w:ilvl="5">
      <w:start w:val="1"/>
      <w:numFmt w:val="decimal"/>
      <w:isLgl w:val="false"/>
      <w:suff w:val="tab"/>
      <w:lvlText w:val="%1.%2.%3.%4.%5.%6"/>
      <w:lvlJc w:val="left"/>
      <w:pPr>
        <w:ind w:left="2060" w:hanging="750"/>
        <w:tabs>
          <w:tab w:val="left" w:pos="2060" w:leader="none"/>
        </w:tabs>
      </w:pPr>
      <w:rPr>
        <w:rFonts w:hint="default" w:cs="Times New Roman"/>
      </w:rPr>
    </w:lvl>
    <w:lvl w:ilvl="6">
      <w:start w:val="1"/>
      <w:numFmt w:val="decimal"/>
      <w:isLgl w:val="false"/>
      <w:suff w:val="tab"/>
      <w:lvlText w:val="%1.%2.%3.%4.%5.%6.%7"/>
      <w:lvlJc w:val="left"/>
      <w:pPr>
        <w:ind w:left="2322" w:hanging="750"/>
        <w:tabs>
          <w:tab w:val="left" w:pos="2322" w:leader="none"/>
        </w:tabs>
      </w:pPr>
      <w:rPr>
        <w:rFonts w:hint="default" w:cs="Times New Roman"/>
      </w:rPr>
    </w:lvl>
    <w:lvl w:ilvl="7">
      <w:start w:val="1"/>
      <w:numFmt w:val="decimal"/>
      <w:isLgl w:val="false"/>
      <w:suff w:val="tab"/>
      <w:lvlText w:val="%1.%2.%3.%4.%5.%6.%7.%8"/>
      <w:lvlJc w:val="left"/>
      <w:pPr>
        <w:ind w:left="2584" w:hanging="750"/>
        <w:tabs>
          <w:tab w:val="left" w:pos="2584" w:leader="none"/>
        </w:tabs>
      </w:pPr>
      <w:rPr>
        <w:rFonts w:hint="default" w:cs="Times New Roman"/>
      </w:rPr>
    </w:lvl>
    <w:lvl w:ilvl="8">
      <w:start w:val="1"/>
      <w:numFmt w:val="decimal"/>
      <w:isLgl w:val="false"/>
      <w:suff w:val="tab"/>
      <w:lvlText w:val="%1.%2.%3.%4.%5.%6.%7.%8.%9"/>
      <w:lvlJc w:val="left"/>
      <w:pPr>
        <w:ind w:left="2846" w:hanging="750"/>
        <w:tabs>
          <w:tab w:val="left" w:pos="2846" w:leader="none"/>
        </w:tabs>
      </w:pPr>
      <w:rPr>
        <w:rFonts w:hint="default" w:cs="Times New Roman"/>
      </w:rPr>
    </w:lvl>
  </w:abstractNum>
  <w:abstractNum w:abstractNumId="3">
    <w:multiLevelType w:val="hybridMultilevel"/>
    <w:lvl w:ilvl="0">
      <w:start w:val="12"/>
      <w:numFmt w:val="decimal"/>
      <w:pStyle w:val="73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1"/>
      <w:numFmt w:val="decimal"/>
      <w:isLgl w:val="false"/>
      <w:suff w:val="tab"/>
      <w:lvlText w:val="%1、"/>
      <w:lvlJc w:val="left"/>
      <w:pPr>
        <w:ind w:left="744" w:hanging="324"/>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2"/>
      <w:numFmt w:val="decimal"/>
      <w:isLgl w:val="false"/>
      <w:suff w:val="tab"/>
      <w:lvlText w:val=""/>
      <w:lvlJc w:val="left"/>
      <w:pPr>
        <w:ind w:left="360" w:hanging="360"/>
      </w:pPr>
      <w:rPr>
        <w:sz w:val="21"/>
      </w:rPr>
    </w:lvl>
    <w:lvl w:ilvl="1">
      <w:start w:val="1"/>
      <w:numFmt w:val="decimal"/>
      <w:isLgl w:val="false"/>
      <w:suff w:val="tab"/>
      <w:lvlText w:val="%1.%2"/>
      <w:lvlJc w:val="left"/>
      <w:pPr>
        <w:ind w:left="1012" w:hanging="750"/>
      </w:pPr>
    </w:lvl>
    <w:lvl w:ilvl="2">
      <w:start w:val="1"/>
      <w:numFmt w:val="decimal"/>
      <w:isLgl w:val="false"/>
      <w:suff w:val="tab"/>
      <w:lvlText w:val="%1.%2.%3"/>
      <w:lvlJc w:val="left"/>
      <w:pPr>
        <w:ind w:left="1274" w:hanging="750"/>
      </w:pPr>
    </w:lvl>
    <w:lvl w:ilvl="3">
      <w:start w:val="1"/>
      <w:numFmt w:val="decimal"/>
      <w:isLgl w:val="false"/>
      <w:suff w:val="tab"/>
      <w:lvlText w:val="%1.%2.%3.%4"/>
      <w:lvlJc w:val="left"/>
      <w:pPr>
        <w:ind w:left="1536" w:hanging="750"/>
      </w:pPr>
    </w:lvl>
    <w:lvl w:ilvl="4">
      <w:start w:val="1"/>
      <w:numFmt w:val="decimal"/>
      <w:isLgl w:val="false"/>
      <w:suff w:val="tab"/>
      <w:lvlText w:val="%1.%2.%3.%4.%5"/>
      <w:lvlJc w:val="left"/>
      <w:pPr>
        <w:ind w:left="1798" w:hanging="750"/>
      </w:pPr>
    </w:lvl>
    <w:lvl w:ilvl="5">
      <w:start w:val="1"/>
      <w:numFmt w:val="decimal"/>
      <w:isLgl w:val="false"/>
      <w:suff w:val="tab"/>
      <w:lvlText w:val="%1.%2.%3.%4.%5.%6"/>
      <w:lvlJc w:val="left"/>
      <w:pPr>
        <w:ind w:left="2060" w:hanging="750"/>
      </w:pPr>
    </w:lvl>
    <w:lvl w:ilvl="6">
      <w:start w:val="1"/>
      <w:numFmt w:val="decimal"/>
      <w:isLgl w:val="false"/>
      <w:suff w:val="tab"/>
      <w:lvlText w:val="%1.%2.%3.%4.%5.%6.%7"/>
      <w:lvlJc w:val="left"/>
      <w:pPr>
        <w:ind w:left="2322" w:hanging="750"/>
      </w:pPr>
    </w:lvl>
    <w:lvl w:ilvl="7">
      <w:start w:val="1"/>
      <w:numFmt w:val="decimal"/>
      <w:isLgl w:val="false"/>
      <w:suff w:val="tab"/>
      <w:lvlText w:val="%1.%2.%3.%4.%5.%6.%7.%8"/>
      <w:lvlJc w:val="left"/>
      <w:pPr>
        <w:ind w:left="2584" w:hanging="750"/>
      </w:pPr>
    </w:lvl>
    <w:lvl w:ilvl="8">
      <w:start w:val="1"/>
      <w:numFmt w:val="decimal"/>
      <w:isLgl w:val="false"/>
      <w:suff w:val="tab"/>
      <w:lvlText w:val="%1.%2.%3.%4.%5.%6.%7.%8.%9"/>
      <w:lvlJc w:val="left"/>
      <w:pPr>
        <w:ind w:left="2846" w:hanging="75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character" w:styleId="34">
    <w:name w:val="Title Char"/>
    <w:basedOn w:val="735"/>
    <w:link w:val="773"/>
    <w:uiPriority w:val="10"/>
    <w:rPr>
      <w:sz w:val="48"/>
      <w:szCs w:val="48"/>
    </w:rPr>
  </w:style>
  <w:style w:type="character" w:styleId="36">
    <w:name w:val="Subtitle Char"/>
    <w:basedOn w:val="735"/>
    <w:link w:val="763"/>
    <w:uiPriority w:val="11"/>
    <w:rPr>
      <w:sz w:val="24"/>
      <w:szCs w:val="24"/>
    </w:rPr>
  </w:style>
  <w:style w:type="character" w:styleId="38">
    <w:name w:val="Quote Char"/>
    <w:link w:val="797"/>
    <w:uiPriority w:val="29"/>
    <w:rPr>
      <w:i/>
    </w:rPr>
  </w:style>
  <w:style w:type="character" w:styleId="40">
    <w:name w:val="Intense Quote Char"/>
    <w:link w:val="799"/>
    <w:uiPriority w:val="30"/>
    <w:rPr>
      <w:i/>
    </w:rPr>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54"/>
    <w:uiPriority w:val="99"/>
    <w:rPr>
      <w:sz w:val="20"/>
    </w:rPr>
  </w:style>
  <w:style w:type="paragraph" w:styleId="189">
    <w:name w:val="TOC Heading"/>
    <w:uiPriority w:val="39"/>
    <w:unhideWhenUsed/>
  </w:style>
  <w:style w:type="paragraph" w:styleId="725" w:default="1">
    <w:name w:val="Normal"/>
    <w:next w:val="738"/>
    <w:qFormat/>
    <w:pPr>
      <w:jc w:val="both"/>
      <w:widowControl w:val="off"/>
    </w:pPr>
    <w:rPr>
      <w:rFonts w:ascii="Calibri" w:hAnsi="Calibri" w:eastAsia="宋体" w:cs="Times New Roman"/>
      <w:sz w:val="21"/>
      <w:szCs w:val="22"/>
    </w:rPr>
  </w:style>
  <w:style w:type="paragraph" w:styleId="726">
    <w:name w:val="Heading 1"/>
    <w:basedOn w:val="725"/>
    <w:next w:val="725"/>
    <w:link w:val="933"/>
    <w:uiPriority w:val="99"/>
    <w:qFormat/>
    <w:pPr>
      <w:keepLines/>
      <w:keepNext/>
      <w:spacing w:before="340" w:after="330" w:line="576" w:lineRule="auto"/>
      <w:outlineLvl w:val="0"/>
    </w:pPr>
    <w:rPr>
      <w:rFonts w:ascii="Times New Roman" w:hAnsi="Times New Roman"/>
      <w:b/>
      <w:bCs/>
      <w:sz w:val="44"/>
      <w:szCs w:val="44"/>
    </w:rPr>
  </w:style>
  <w:style w:type="paragraph" w:styleId="727">
    <w:name w:val="Heading 2"/>
    <w:basedOn w:val="739"/>
    <w:next w:val="725"/>
    <w:link w:val="934"/>
    <w:uiPriority w:val="99"/>
    <w:qFormat/>
    <w:pPr>
      <w:outlineLvl w:val="1"/>
    </w:pPr>
  </w:style>
  <w:style w:type="paragraph" w:styleId="728">
    <w:name w:val="Heading 3"/>
    <w:basedOn w:val="725"/>
    <w:next w:val="725"/>
    <w:link w:val="935"/>
    <w:uiPriority w:val="99"/>
    <w:qFormat/>
    <w:pPr>
      <w:keepLines/>
      <w:keepNext/>
      <w:spacing w:before="260" w:after="260" w:line="415" w:lineRule="auto"/>
      <w:outlineLvl w:val="2"/>
    </w:pPr>
    <w:rPr>
      <w:rFonts w:ascii="Times New Roman" w:hAnsi="Times New Roman"/>
      <w:b/>
      <w:bCs/>
      <w:sz w:val="32"/>
      <w:szCs w:val="32"/>
      <w:lang w:val="zh-CN"/>
    </w:rPr>
  </w:style>
  <w:style w:type="paragraph" w:styleId="729">
    <w:name w:val="Heading 4"/>
    <w:basedOn w:val="725"/>
    <w:next w:val="725"/>
    <w:link w:val="936"/>
    <w:uiPriority w:val="99"/>
    <w:qFormat/>
    <w:pPr>
      <w:keepLines/>
      <w:keepNext/>
      <w:spacing w:before="280" w:after="290" w:line="376" w:lineRule="auto"/>
      <w:outlineLvl w:val="3"/>
    </w:pPr>
    <w:rPr>
      <w:rFonts w:ascii="Arial" w:hAnsi="Arial" w:eastAsia="黑体"/>
      <w:b/>
      <w:bCs/>
      <w:sz w:val="28"/>
      <w:szCs w:val="28"/>
    </w:rPr>
  </w:style>
  <w:style w:type="paragraph" w:styleId="730">
    <w:name w:val="Heading 5"/>
    <w:basedOn w:val="725"/>
    <w:next w:val="725"/>
    <w:link w:val="789"/>
    <w:qFormat/>
    <w:pPr>
      <w:spacing w:before="240" w:after="60"/>
      <w:outlineLvl w:val="4"/>
    </w:pPr>
    <w:rPr>
      <w:b/>
      <w:bCs/>
      <w:i/>
      <w:iCs/>
      <w:sz w:val="26"/>
      <w:szCs w:val="26"/>
    </w:rPr>
  </w:style>
  <w:style w:type="paragraph" w:styleId="731">
    <w:name w:val="Heading 6"/>
    <w:basedOn w:val="725"/>
    <w:next w:val="725"/>
    <w:link w:val="790"/>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91"/>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92"/>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93"/>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customStyle="1">
    <w:name w:val="正文1"/>
    <w:basedOn w:val="725"/>
    <w:next w:val="725"/>
    <w:qFormat/>
    <w:pPr>
      <w:numPr>
        <w:numId w:val="1"/>
      </w:numPr>
      <w:spacing w:line="500" w:lineRule="exact"/>
    </w:pPr>
    <w:rPr>
      <w:rFonts w:ascii="黑体" w:hAnsi="宋体"/>
      <w:szCs w:val="24"/>
    </w:rPr>
  </w:style>
  <w:style w:type="paragraph" w:styleId="739" w:customStyle="1">
    <w:name w:val="样式1"/>
    <w:basedOn w:val="725"/>
    <w:link w:val="1007"/>
    <w:uiPriority w:val="99"/>
    <w:qFormat/>
    <w:pPr>
      <w:jc w:val="center"/>
    </w:pPr>
    <w:rPr>
      <w:rFonts w:ascii="宋体" w:hAnsi="宋体"/>
      <w:b/>
      <w:color w:val="000000"/>
      <w:sz w:val="32"/>
      <w:szCs w:val="24"/>
    </w:rPr>
  </w:style>
  <w:style w:type="paragraph" w:styleId="740">
    <w:name w:val="toc 7"/>
    <w:basedOn w:val="725"/>
    <w:next w:val="725"/>
    <w:uiPriority w:val="39"/>
    <w:unhideWhenUsed/>
    <w:qFormat/>
    <w:pPr>
      <w:ind w:left="1701"/>
      <w:spacing w:after="57"/>
    </w:pPr>
  </w:style>
  <w:style w:type="paragraph" w:styleId="741">
    <w:name w:val="Normal Indent"/>
    <w:basedOn w:val="725"/>
    <w:link w:val="954"/>
    <w:qFormat/>
    <w:pPr>
      <w:ind w:firstLine="420"/>
      <w:jc w:val="left"/>
    </w:pPr>
    <w:rPr>
      <w:rFonts w:ascii="Times New Roman" w:hAnsi="Times New Roman" w:eastAsia="楷体_GB2312"/>
      <w:sz w:val="24"/>
      <w:szCs w:val="20"/>
    </w:rPr>
  </w:style>
  <w:style w:type="paragraph" w:styleId="742">
    <w:name w:val="Caption"/>
    <w:basedOn w:val="725"/>
    <w:next w:val="725"/>
    <w:unhideWhenUsed/>
    <w:qFormat/>
    <w:rPr>
      <w:rFonts w:ascii="Cambria" w:hAnsi="Cambria" w:eastAsia="黑体"/>
      <w:sz w:val="20"/>
      <w:szCs w:val="20"/>
    </w:rPr>
  </w:style>
  <w:style w:type="paragraph" w:styleId="743">
    <w:name w:val="Document Map"/>
    <w:basedOn w:val="725"/>
    <w:link w:val="939"/>
    <w:uiPriority w:val="99"/>
    <w:qFormat/>
    <w:pPr>
      <w:shd w:val="clear" w:color="auto" w:fill="000080"/>
    </w:pPr>
    <w:rPr>
      <w:rFonts w:ascii="Times New Roman" w:hAnsi="Times New Roman"/>
      <w:sz w:val="20"/>
      <w:szCs w:val="24"/>
    </w:rPr>
  </w:style>
  <w:style w:type="paragraph" w:styleId="744">
    <w:name w:val="annotation text"/>
    <w:basedOn w:val="725"/>
    <w:link w:val="937"/>
    <w:qFormat/>
    <w:pPr>
      <w:jc w:val="left"/>
    </w:pPr>
  </w:style>
  <w:style w:type="paragraph" w:styleId="745">
    <w:name w:val="Body Text"/>
    <w:basedOn w:val="725"/>
    <w:link w:val="940"/>
    <w:uiPriority w:val="99"/>
    <w:qFormat/>
    <w:pPr>
      <w:tabs>
        <w:tab w:val="left" w:pos="5250" w:leader="none"/>
      </w:tabs>
    </w:pPr>
    <w:rPr>
      <w:rFonts w:ascii="Times New Roman" w:hAnsi="Times New Roman"/>
      <w:sz w:val="28"/>
      <w:szCs w:val="24"/>
    </w:rPr>
  </w:style>
  <w:style w:type="paragraph" w:styleId="746">
    <w:name w:val="Body Text Indent"/>
    <w:basedOn w:val="725"/>
    <w:link w:val="941"/>
    <w:uiPriority w:val="99"/>
    <w:qFormat/>
    <w:pPr>
      <w:ind w:firstLine="560"/>
      <w:jc w:val="left"/>
      <w:spacing w:line="300" w:lineRule="auto"/>
    </w:pPr>
    <w:rPr>
      <w:rFonts w:ascii="Times New Roman" w:hAnsi="Times New Roman"/>
      <w:sz w:val="28"/>
      <w:szCs w:val="24"/>
    </w:rPr>
  </w:style>
  <w:style w:type="paragraph" w:styleId="747">
    <w:name w:val="Block Text"/>
    <w:basedOn w:val="725"/>
    <w:qFormat/>
    <w:pPr>
      <w:ind w:left="630" w:right="-609" w:firstLine="420"/>
      <w:spacing w:line="360" w:lineRule="auto"/>
    </w:pPr>
    <w:rPr>
      <w:rFonts w:ascii="仿宋_GB2312" w:hAnsi="Times New Roman" w:eastAsia="仿宋_GB2312"/>
      <w:szCs w:val="20"/>
    </w:rPr>
  </w:style>
  <w:style w:type="paragraph" w:styleId="748">
    <w:name w:val="toc 5"/>
    <w:basedOn w:val="725"/>
    <w:next w:val="725"/>
    <w:uiPriority w:val="39"/>
    <w:unhideWhenUsed/>
    <w:qFormat/>
    <w:pPr>
      <w:ind w:left="1134"/>
      <w:spacing w:after="57"/>
    </w:pPr>
  </w:style>
  <w:style w:type="paragraph" w:styleId="749">
    <w:name w:val="toc 3"/>
    <w:basedOn w:val="725"/>
    <w:next w:val="725"/>
    <w:uiPriority w:val="99"/>
    <w:qFormat/>
    <w:pPr>
      <w:ind w:left="840"/>
    </w:pPr>
    <w:rPr>
      <w:rFonts w:ascii="Times New Roman" w:hAnsi="Times New Roman"/>
      <w:szCs w:val="20"/>
    </w:rPr>
  </w:style>
  <w:style w:type="paragraph" w:styleId="750">
    <w:name w:val="Plain Text"/>
    <w:basedOn w:val="725"/>
    <w:link w:val="942"/>
    <w:uiPriority w:val="99"/>
    <w:qFormat/>
    <w:rPr>
      <w:rFonts w:ascii="宋体" w:hAnsi="Courier New" w:eastAsia="楷体_GB2312"/>
      <w:sz w:val="28"/>
      <w:szCs w:val="20"/>
    </w:rPr>
  </w:style>
  <w:style w:type="paragraph" w:styleId="751">
    <w:name w:val="toc 8"/>
    <w:basedOn w:val="725"/>
    <w:next w:val="725"/>
    <w:uiPriority w:val="39"/>
    <w:unhideWhenUsed/>
    <w:qFormat/>
    <w:pPr>
      <w:ind w:left="1984"/>
      <w:spacing w:after="57"/>
    </w:pPr>
  </w:style>
  <w:style w:type="paragraph" w:styleId="752">
    <w:name w:val="Date"/>
    <w:basedOn w:val="725"/>
    <w:next w:val="725"/>
    <w:link w:val="943"/>
    <w:qFormat/>
  </w:style>
  <w:style w:type="paragraph" w:styleId="753">
    <w:name w:val="Body Text Indent 2"/>
    <w:basedOn w:val="725"/>
    <w:link w:val="944"/>
    <w:uiPriority w:val="99"/>
    <w:qFormat/>
    <w:pPr>
      <w:ind w:left="840"/>
      <w:spacing w:line="360" w:lineRule="auto"/>
      <w:tabs>
        <w:tab w:val="left" w:pos="630" w:leader="none"/>
      </w:tabs>
    </w:pPr>
    <w:rPr>
      <w:rFonts w:ascii="宋体" w:hAnsi="宋体"/>
      <w:sz w:val="20"/>
      <w:szCs w:val="24"/>
    </w:rPr>
  </w:style>
  <w:style w:type="paragraph" w:styleId="754">
    <w:name w:val="endnote text"/>
    <w:basedOn w:val="725"/>
    <w:link w:val="929"/>
    <w:uiPriority w:val="99"/>
    <w:semiHidden/>
    <w:unhideWhenUsed/>
    <w:qFormat/>
    <w:rPr>
      <w:sz w:val="20"/>
    </w:rPr>
  </w:style>
  <w:style w:type="paragraph" w:styleId="755">
    <w:name w:val="Balloon Text"/>
    <w:basedOn w:val="725"/>
    <w:link w:val="945"/>
    <w:uiPriority w:val="99"/>
    <w:qFormat/>
    <w:rPr>
      <w:rFonts w:ascii="Times New Roman" w:hAnsi="Times New Roman"/>
      <w:sz w:val="18"/>
      <w:szCs w:val="18"/>
    </w:rPr>
  </w:style>
  <w:style w:type="paragraph" w:styleId="756">
    <w:name w:val="Footer"/>
    <w:basedOn w:val="725"/>
    <w:link w:val="946"/>
    <w:qFormat/>
    <w:pPr>
      <w:jc w:val="left"/>
      <w:tabs>
        <w:tab w:val="center" w:pos="4153" w:leader="none"/>
        <w:tab w:val="right" w:pos="8306" w:leader="none"/>
      </w:tabs>
    </w:pPr>
    <w:rPr>
      <w:rFonts w:ascii="Times New Roman" w:hAnsi="Times New Roman"/>
      <w:sz w:val="18"/>
      <w:szCs w:val="18"/>
    </w:rPr>
  </w:style>
  <w:style w:type="paragraph" w:styleId="757">
    <w:name w:val="envelope return"/>
    <w:basedOn w:val="725"/>
    <w:qFormat/>
    <w:rPr>
      <w:rFonts w:ascii="Arial" w:hAnsi="Arial"/>
      <w:szCs w:val="24"/>
    </w:rPr>
  </w:style>
  <w:style w:type="paragraph" w:styleId="758">
    <w:name w:val="Header"/>
    <w:basedOn w:val="725"/>
    <w:link w:val="947"/>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59">
    <w:name w:val="toc 1"/>
    <w:basedOn w:val="725"/>
    <w:next w:val="725"/>
    <w:uiPriority w:val="99"/>
    <w:qFormat/>
    <w:pPr>
      <w:jc w:val="left"/>
    </w:pPr>
    <w:rPr>
      <w:rFonts w:ascii="Times New Roman" w:hAnsi="Times New Roman" w:eastAsia="楷体_GB2312"/>
      <w:sz w:val="24"/>
      <w:szCs w:val="20"/>
    </w:rPr>
  </w:style>
  <w:style w:type="paragraph" w:styleId="760">
    <w:name w:val="toc 4"/>
    <w:basedOn w:val="725"/>
    <w:next w:val="725"/>
    <w:uiPriority w:val="39"/>
    <w:unhideWhenUsed/>
    <w:qFormat/>
    <w:pPr>
      <w:ind w:left="850"/>
      <w:spacing w:after="57"/>
    </w:pPr>
  </w:style>
  <w:style w:type="paragraph" w:styleId="761">
    <w:name w:val="index heading"/>
    <w:basedOn w:val="725"/>
    <w:next w:val="762"/>
    <w:uiPriority w:val="99"/>
    <w:semiHidden/>
    <w:qFormat/>
    <w:rPr>
      <w:rFonts w:ascii="Times New Roman" w:hAnsi="Times New Roman" w:eastAsia="楷体_GB2312"/>
      <w:sz w:val="26"/>
      <w:szCs w:val="20"/>
    </w:rPr>
  </w:style>
  <w:style w:type="paragraph" w:styleId="762">
    <w:name w:val="index 1"/>
    <w:basedOn w:val="725"/>
    <w:next w:val="725"/>
    <w:uiPriority w:val="99"/>
    <w:semiHidden/>
    <w:qFormat/>
    <w:rPr>
      <w:rFonts w:ascii="Times New Roman" w:hAnsi="Times New Roman"/>
      <w:szCs w:val="24"/>
    </w:rPr>
  </w:style>
  <w:style w:type="paragraph" w:styleId="763">
    <w:name w:val="Subtitle"/>
    <w:basedOn w:val="725"/>
    <w:next w:val="725"/>
    <w:link w:val="796"/>
    <w:uiPriority w:val="11"/>
    <w:qFormat/>
    <w:pPr>
      <w:spacing w:before="200" w:after="200"/>
    </w:pPr>
    <w:rPr>
      <w:sz w:val="24"/>
      <w:szCs w:val="24"/>
    </w:rPr>
  </w:style>
  <w:style w:type="paragraph" w:styleId="764">
    <w:name w:val="footnote text"/>
    <w:basedOn w:val="726"/>
    <w:next w:val="747"/>
    <w:link w:val="1027"/>
    <w:qFormat/>
    <w:pPr>
      <w:ind w:firstLine="3584"/>
      <w:jc w:val="left"/>
      <w:keepLines w:val="0"/>
      <w:keepNext w:val="0"/>
      <w:spacing w:before="0" w:after="0" w:line="360" w:lineRule="auto"/>
      <w:widowControl/>
    </w:pPr>
    <w:rPr>
      <w:rFonts w:ascii="Calibri" w:hAnsi="Calibri"/>
      <w:b w:val="0"/>
      <w:bCs w:val="0"/>
      <w:sz w:val="20"/>
      <w:szCs w:val="20"/>
    </w:rPr>
  </w:style>
  <w:style w:type="paragraph" w:styleId="765">
    <w:name w:val="toc 6"/>
    <w:basedOn w:val="725"/>
    <w:next w:val="725"/>
    <w:uiPriority w:val="39"/>
    <w:unhideWhenUsed/>
    <w:qFormat/>
    <w:pPr>
      <w:ind w:left="1417"/>
      <w:spacing w:after="57"/>
    </w:pPr>
  </w:style>
  <w:style w:type="paragraph" w:styleId="766">
    <w:name w:val="Body Text Indent 3"/>
    <w:basedOn w:val="725"/>
    <w:link w:val="948"/>
    <w:uiPriority w:val="99"/>
    <w:qFormat/>
    <w:pPr>
      <w:ind w:firstLine="480"/>
      <w:spacing w:line="360" w:lineRule="auto"/>
      <w:widowControl/>
    </w:pPr>
    <w:rPr>
      <w:rFonts w:ascii="Times New Roman" w:hAnsi="Times New Roman"/>
      <w:sz w:val="24"/>
      <w:szCs w:val="24"/>
    </w:rPr>
  </w:style>
  <w:style w:type="paragraph" w:styleId="767">
    <w:name w:val="index 9"/>
    <w:basedOn w:val="725"/>
    <w:next w:val="725"/>
    <w:uiPriority w:val="99"/>
    <w:qFormat/>
    <w:pPr>
      <w:ind w:left="3360"/>
    </w:pPr>
    <w:rPr>
      <w:rFonts w:ascii="Times New Roman" w:hAnsi="Times New Roman" w:eastAsia="楷体_GB2312"/>
      <w:sz w:val="26"/>
      <w:szCs w:val="20"/>
    </w:rPr>
  </w:style>
  <w:style w:type="paragraph" w:styleId="768">
    <w:name w:val="table of figures"/>
    <w:basedOn w:val="725"/>
    <w:next w:val="725"/>
    <w:uiPriority w:val="99"/>
    <w:unhideWhenUsed/>
    <w:qFormat/>
  </w:style>
  <w:style w:type="paragraph" w:styleId="769">
    <w:name w:val="toc 2"/>
    <w:basedOn w:val="725"/>
    <w:next w:val="725"/>
    <w:uiPriority w:val="99"/>
    <w:qFormat/>
    <w:pPr>
      <w:ind w:left="420"/>
      <w:spacing w:line="400" w:lineRule="exact"/>
      <w:tabs>
        <w:tab w:val="right" w:pos="9628" w:leader="dot"/>
      </w:tabs>
    </w:pPr>
    <w:rPr>
      <w:rFonts w:ascii="Times New Roman" w:hAnsi="Times New Roman"/>
      <w:b/>
      <w:sz w:val="24"/>
      <w:szCs w:val="20"/>
    </w:rPr>
  </w:style>
  <w:style w:type="paragraph" w:styleId="770">
    <w:name w:val="toc 9"/>
    <w:basedOn w:val="725"/>
    <w:next w:val="725"/>
    <w:uiPriority w:val="39"/>
    <w:unhideWhenUsed/>
    <w:qFormat/>
    <w:pPr>
      <w:ind w:left="2268"/>
      <w:spacing w:after="57"/>
    </w:pPr>
  </w:style>
  <w:style w:type="paragraph" w:styleId="771">
    <w:name w:val="HTML Preformatted"/>
    <w:basedOn w:val="725"/>
    <w:link w:val="9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72">
    <w:name w:val="Normal (Web)"/>
    <w:basedOn w:val="725"/>
    <w:qFormat/>
    <w:pPr>
      <w:jc w:val="left"/>
      <w:spacing w:before="100" w:beforeAutospacing="1" w:after="100" w:afterAutospacing="1"/>
      <w:widowControl/>
    </w:pPr>
    <w:rPr>
      <w:rFonts w:ascii="Arial Unicode MS" w:hAnsi="Arial Unicode MS"/>
      <w:sz w:val="24"/>
      <w:szCs w:val="24"/>
    </w:rPr>
  </w:style>
  <w:style w:type="paragraph" w:styleId="773">
    <w:name w:val="Title"/>
    <w:basedOn w:val="725"/>
    <w:next w:val="725"/>
    <w:link w:val="795"/>
    <w:uiPriority w:val="10"/>
    <w:qFormat/>
    <w:pPr>
      <w:contextualSpacing/>
      <w:spacing w:before="300" w:after="200"/>
    </w:pPr>
    <w:rPr>
      <w:sz w:val="48"/>
      <w:szCs w:val="48"/>
    </w:rPr>
  </w:style>
  <w:style w:type="paragraph" w:styleId="774">
    <w:name w:val="annotation subject"/>
    <w:basedOn w:val="744"/>
    <w:next w:val="744"/>
    <w:link w:val="938"/>
    <w:uiPriority w:val="99"/>
    <w:qFormat/>
    <w:rPr>
      <w:rFonts w:ascii="Times New Roman" w:hAnsi="Times New Roman"/>
      <w:b/>
      <w:bCs/>
      <w:sz w:val="20"/>
      <w:szCs w:val="24"/>
    </w:rPr>
  </w:style>
  <w:style w:type="paragraph" w:styleId="775">
    <w:name w:val="Body Text First Indent"/>
    <w:basedOn w:val="745"/>
    <w:link w:val="1028"/>
    <w:uiPriority w:val="99"/>
    <w:unhideWhenUsed/>
    <w:qFormat/>
    <w:pPr>
      <w:ind w:firstLine="420"/>
      <w:spacing w:after="120"/>
      <w:tabs>
        <w:tab w:val="clear" w:pos="5250" w:leader="none"/>
      </w:tabs>
    </w:pPr>
    <w:rPr>
      <w:rFonts w:ascii="Calibri" w:hAnsi="Calibri"/>
      <w:sz w:val="21"/>
      <w:szCs w:val="22"/>
    </w:rPr>
  </w:style>
  <w:style w:type="paragraph" w:styleId="776">
    <w:name w:val="Body Text First Indent 2"/>
    <w:basedOn w:val="746"/>
    <w:link w:val="1021"/>
    <w:uiPriority w:val="99"/>
    <w:semiHidden/>
    <w:unhideWhenUsed/>
    <w:qFormat/>
    <w:pPr>
      <w:ind w:left="420" w:firstLine="420"/>
      <w:jc w:val="both"/>
      <w:spacing w:after="120" w:line="240" w:lineRule="auto"/>
    </w:pPr>
    <w:rPr>
      <w:rFonts w:ascii="Calibri" w:hAnsi="Calibri"/>
      <w:sz w:val="21"/>
      <w:szCs w:val="22"/>
    </w:rPr>
  </w:style>
  <w:style w:type="table" w:styleId="777">
    <w:name w:val="Table Grid"/>
    <w:basedOn w:val="73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qFormat/>
    <w:rPr>
      <w:rFonts w:cs="Times New Roman"/>
      <w:b/>
    </w:rPr>
  </w:style>
  <w:style w:type="character" w:styleId="779">
    <w:name w:val="endnote reference"/>
    <w:basedOn w:val="735"/>
    <w:uiPriority w:val="99"/>
    <w:semiHidden/>
    <w:unhideWhenUsed/>
    <w:qFormat/>
    <w:rPr>
      <w:vertAlign w:val="superscript"/>
    </w:rPr>
  </w:style>
  <w:style w:type="character" w:styleId="780">
    <w:name w:val="page number"/>
    <w:uiPriority w:val="99"/>
    <w:qFormat/>
    <w:rPr>
      <w:rFonts w:cs="Times New Roman"/>
    </w:rPr>
  </w:style>
  <w:style w:type="character" w:styleId="781">
    <w:name w:val="FollowedHyperlink"/>
    <w:uiPriority w:val="99"/>
    <w:qFormat/>
    <w:rPr>
      <w:rFonts w:cs="Times New Roman"/>
      <w:color w:val="800080"/>
      <w:u w:val="single"/>
    </w:rPr>
  </w:style>
  <w:style w:type="character" w:styleId="782">
    <w:name w:val="Hyperlink"/>
    <w:uiPriority w:val="99"/>
    <w:qFormat/>
    <w:rPr>
      <w:rFonts w:cs="Times New Roman"/>
      <w:color w:val="0000ff"/>
      <w:u w:val="single"/>
    </w:rPr>
  </w:style>
  <w:style w:type="character" w:styleId="783">
    <w:name w:val="annotation reference"/>
    <w:uiPriority w:val="99"/>
    <w:qFormat/>
    <w:rPr>
      <w:rFonts w:cs="Times New Roman"/>
      <w:sz w:val="21"/>
    </w:rPr>
  </w:style>
  <w:style w:type="character" w:styleId="784">
    <w:name w:val="footnote reference"/>
    <w:basedOn w:val="735"/>
    <w:qFormat/>
    <w:rPr>
      <w:rFonts w:cs="Times New Roman"/>
      <w:vertAlign w:val="superscript"/>
    </w:rPr>
  </w:style>
  <w:style w:type="character" w:styleId="785" w:customStyle="1">
    <w:name w:val="Heading 1 Char"/>
    <w:basedOn w:val="735"/>
    <w:uiPriority w:val="9"/>
    <w:qFormat/>
    <w:rPr>
      <w:rFonts w:ascii="Arial" w:hAnsi="Arial" w:eastAsia="Arial" w:cs="Arial"/>
      <w:sz w:val="40"/>
      <w:szCs w:val="40"/>
    </w:rPr>
  </w:style>
  <w:style w:type="character" w:styleId="786" w:customStyle="1">
    <w:name w:val="Heading 2 Char"/>
    <w:basedOn w:val="735"/>
    <w:uiPriority w:val="9"/>
    <w:qFormat/>
    <w:rPr>
      <w:rFonts w:ascii="Arial" w:hAnsi="Arial" w:eastAsia="Arial" w:cs="Arial"/>
      <w:sz w:val="34"/>
    </w:rPr>
  </w:style>
  <w:style w:type="character" w:styleId="787" w:customStyle="1">
    <w:name w:val="Heading 3 Char"/>
    <w:basedOn w:val="735"/>
    <w:uiPriority w:val="9"/>
    <w:qFormat/>
    <w:rPr>
      <w:rFonts w:ascii="Arial" w:hAnsi="Arial" w:eastAsia="Arial" w:cs="Arial"/>
      <w:sz w:val="30"/>
      <w:szCs w:val="30"/>
    </w:rPr>
  </w:style>
  <w:style w:type="character" w:styleId="788" w:customStyle="1">
    <w:name w:val="Heading 4 Char"/>
    <w:basedOn w:val="735"/>
    <w:uiPriority w:val="9"/>
    <w:qFormat/>
    <w:rPr>
      <w:rFonts w:ascii="Arial" w:hAnsi="Arial" w:eastAsia="Arial" w:cs="Arial"/>
      <w:b/>
      <w:bCs/>
      <w:sz w:val="26"/>
      <w:szCs w:val="26"/>
    </w:rPr>
  </w:style>
  <w:style w:type="character" w:styleId="789" w:customStyle="1">
    <w:name w:val="标题 5 字符"/>
    <w:basedOn w:val="735"/>
    <w:link w:val="730"/>
    <w:uiPriority w:val="9"/>
    <w:qFormat/>
    <w:rPr>
      <w:rFonts w:ascii="Arial" w:hAnsi="Arial" w:eastAsia="Arial" w:cs="Arial"/>
      <w:b/>
      <w:bCs/>
      <w:sz w:val="24"/>
      <w:szCs w:val="24"/>
    </w:rPr>
  </w:style>
  <w:style w:type="character" w:styleId="790" w:customStyle="1">
    <w:name w:val="标题 6 字符"/>
    <w:basedOn w:val="735"/>
    <w:link w:val="731"/>
    <w:uiPriority w:val="9"/>
    <w:qFormat/>
    <w:rPr>
      <w:rFonts w:ascii="Arial" w:hAnsi="Arial" w:eastAsia="Arial" w:cs="Arial"/>
      <w:b/>
      <w:bCs/>
      <w:sz w:val="22"/>
      <w:szCs w:val="22"/>
    </w:rPr>
  </w:style>
  <w:style w:type="character" w:styleId="791" w:customStyle="1">
    <w:name w:val="标题 7 字符"/>
    <w:basedOn w:val="735"/>
    <w:link w:val="732"/>
    <w:uiPriority w:val="9"/>
    <w:qFormat/>
    <w:rPr>
      <w:rFonts w:ascii="Arial" w:hAnsi="Arial" w:eastAsia="Arial" w:cs="Arial"/>
      <w:b/>
      <w:bCs/>
      <w:i/>
      <w:iCs/>
      <w:sz w:val="22"/>
      <w:szCs w:val="22"/>
    </w:rPr>
  </w:style>
  <w:style w:type="character" w:styleId="792" w:customStyle="1">
    <w:name w:val="标题 8 字符"/>
    <w:basedOn w:val="735"/>
    <w:link w:val="733"/>
    <w:uiPriority w:val="9"/>
    <w:qFormat/>
    <w:rPr>
      <w:rFonts w:ascii="Arial" w:hAnsi="Arial" w:eastAsia="Arial" w:cs="Arial"/>
      <w:i/>
      <w:iCs/>
      <w:sz w:val="22"/>
      <w:szCs w:val="22"/>
    </w:rPr>
  </w:style>
  <w:style w:type="character" w:styleId="793" w:customStyle="1">
    <w:name w:val="标题 9 字符"/>
    <w:basedOn w:val="735"/>
    <w:link w:val="734"/>
    <w:uiPriority w:val="9"/>
    <w:qFormat/>
    <w:rPr>
      <w:rFonts w:ascii="Arial" w:hAnsi="Arial" w:eastAsia="Arial" w:cs="Arial"/>
      <w:i/>
      <w:iCs/>
      <w:sz w:val="21"/>
      <w:szCs w:val="21"/>
    </w:rPr>
  </w:style>
  <w:style w:type="paragraph" w:styleId="794">
    <w:name w:val="No Spacing"/>
    <w:uiPriority w:val="1"/>
    <w:qFormat/>
  </w:style>
  <w:style w:type="character" w:styleId="795" w:customStyle="1">
    <w:name w:val="标题 字符"/>
    <w:basedOn w:val="735"/>
    <w:link w:val="773"/>
    <w:uiPriority w:val="10"/>
    <w:qFormat/>
    <w:rPr>
      <w:sz w:val="48"/>
      <w:szCs w:val="48"/>
    </w:rPr>
  </w:style>
  <w:style w:type="character" w:styleId="796" w:customStyle="1">
    <w:name w:val="副标题 字符"/>
    <w:basedOn w:val="735"/>
    <w:link w:val="763"/>
    <w:uiPriority w:val="11"/>
    <w:qFormat/>
    <w:rPr>
      <w:sz w:val="24"/>
      <w:szCs w:val="24"/>
    </w:rPr>
  </w:style>
  <w:style w:type="paragraph" w:styleId="797">
    <w:name w:val="Quote"/>
    <w:basedOn w:val="725"/>
    <w:next w:val="725"/>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25"/>
    <w:next w:val="725"/>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Footer Char"/>
    <w:basedOn w:val="735"/>
    <w:uiPriority w:val="99"/>
    <w:qFormat/>
  </w:style>
  <w:style w:type="character" w:styleId="802" w:customStyle="1">
    <w:name w:val="Caption Char"/>
    <w:uiPriority w:val="99"/>
    <w:qFormat/>
  </w:style>
  <w:style w:type="table" w:styleId="803" w:customStyle="1">
    <w:name w:val="Table Grid Light"/>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4" w:customStyle="1">
    <w:name w:val="无格式表格 11"/>
    <w:basedOn w:val="73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basedOn w:val="73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basedOn w:val="73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36"/>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36"/>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basedOn w:val="73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36"/>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36"/>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36"/>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3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2" w:customStyle="1">
    <w:name w:val="Grid Table 4 - Accent 2"/>
    <w:basedOn w:val="736"/>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3" w:customStyle="1">
    <w:name w:val="Grid Table 4 - Accent 3"/>
    <w:basedOn w:val="7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4" w:customStyle="1">
    <w:name w:val="Grid Table 4 - Accent 4"/>
    <w:basedOn w:val="7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basedOn w:val="7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basedOn w:val="7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basedOn w:val="73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6" w:customStyle="1">
    <w:name w:val="Grid Table 6 Colorful - Accent 2"/>
    <w:basedOn w:val="7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7" w:customStyle="1">
    <w:name w:val="Grid Table 6 Colorful - Accent 3"/>
    <w:basedOn w:val="736"/>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8"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9"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1" w:customStyle="1">
    <w:name w:val="网格表 7 彩色1"/>
    <w:basedOn w:val="73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36"/>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36"/>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basedOn w:val="73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36"/>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36"/>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36"/>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basedOn w:val="73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List Table 2 - Accent 1"/>
    <w:basedOn w:val="7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basedOn w:val="736"/>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8" w:customStyle="1">
    <w:name w:val="List Table 2 - Accent 3"/>
    <w:basedOn w:val="736"/>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basedOn w:val="736"/>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basedOn w:val="736"/>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basedOn w:val="73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basedOn w:val="73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36"/>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basedOn w:val="736"/>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36"/>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36"/>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basedOn w:val="736"/>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basedOn w:val="736"/>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basedOn w:val="7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basedOn w:val="7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basedOn w:val="73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List Table 5 Dark - Accent 1"/>
    <w:basedOn w:val="736"/>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8" w:customStyle="1">
    <w:name w:val="List Table 5 Dark - Accent 2"/>
    <w:basedOn w:val="736"/>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9" w:customStyle="1">
    <w:name w:val="List Table 5 Dark - Accent 3"/>
    <w:basedOn w:val="736"/>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0" w:customStyle="1">
    <w:name w:val="List Table 5 Dark - Accent 4"/>
    <w:basedOn w:val="7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1" w:customStyle="1">
    <w:name w:val="List Table 5 Dark - Accent 5"/>
    <w:basedOn w:val="7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2" w:customStyle="1">
    <w:name w:val="List Table 5 Dark - Accent 6"/>
    <w:basedOn w:val="7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3" w:customStyle="1">
    <w:name w:val="清单表 6 彩色1"/>
    <w:basedOn w:val="73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4" w:customStyle="1">
    <w:name w:val="List Table 6 Colorful - Accent 1"/>
    <w:basedOn w:val="736"/>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5" w:customStyle="1">
    <w:name w:val="List Table 6 Colorful - Accent 2"/>
    <w:basedOn w:val="736"/>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6" w:customStyle="1">
    <w:name w:val="List Table 6 Colorful - Accent 3"/>
    <w:basedOn w:val="736"/>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7" w:customStyle="1">
    <w:name w:val="List Table 6 Colorful - Accent 4"/>
    <w:basedOn w:val="7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8" w:customStyle="1">
    <w:name w:val="List Table 6 Colorful - Accent 5"/>
    <w:basedOn w:val="7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9" w:customStyle="1">
    <w:name w:val="List Table 6 Colorful - Accent 6"/>
    <w:basedOn w:val="736"/>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0" w:customStyle="1">
    <w:name w:val="清单表 7 彩色1"/>
    <w:basedOn w:val="73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36"/>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36"/>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36"/>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36"/>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36"/>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36"/>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3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Lined - Accent 3"/>
    <w:basedOn w:val="73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basedOn w:val="73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5" w:customStyle="1">
    <w:name w:val="Bordered &amp; Lined - Accent 1"/>
    <w:basedOn w:val="736"/>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6" w:customStyle="1">
    <w:name w:val="Bordered &amp; Lined - Accent 2"/>
    <w:basedOn w:val="736"/>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7" w:customStyle="1">
    <w:name w:val="Bordered &amp; Lined - Accent 3"/>
    <w:basedOn w:val="736"/>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8" w:customStyle="1">
    <w:name w:val="Bordered &amp; Lined - Accent 4"/>
    <w:basedOn w:val="7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basedOn w:val="736"/>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basedOn w:val="7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basedOn w:val="73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2" w:customStyle="1">
    <w:name w:val="Bordered - Accent 1"/>
    <w:basedOn w:val="736"/>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basedOn w:val="736"/>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4" w:customStyle="1">
    <w:name w:val="Bordered - Accent 3"/>
    <w:basedOn w:val="736"/>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5" w:customStyle="1">
    <w:name w:val="Bordered - Accent 4"/>
    <w:basedOn w:val="736"/>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basedOn w:val="736"/>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Footnote Text Char"/>
    <w:uiPriority w:val="99"/>
    <w:qFormat/>
    <w:rPr>
      <w:sz w:val="18"/>
    </w:rPr>
  </w:style>
  <w:style w:type="character" w:styleId="929" w:customStyle="1">
    <w:name w:val="尾注文本 字符"/>
    <w:link w:val="754"/>
    <w:uiPriority w:val="99"/>
    <w:qFormat/>
    <w:rPr>
      <w:sz w:val="20"/>
    </w:rPr>
  </w:style>
  <w:style w:type="paragraph" w:styleId="930" w:customStyle="1">
    <w:name w:val="TOC 标题1"/>
    <w:uiPriority w:val="39"/>
    <w:unhideWhenUsed/>
    <w:qFormat/>
  </w:style>
  <w:style w:type="paragraph" w:styleId="931" w:customStyle="1">
    <w:name w:val="首行缩进"/>
    <w:basedOn w:val="725"/>
    <w:qFormat/>
    <w:pPr>
      <w:ind w:firstLine="480"/>
    </w:pPr>
    <w:rPr>
      <w:szCs w:val="20"/>
      <w:lang w:val="zh-CN"/>
    </w:rPr>
  </w:style>
  <w:style w:type="paragraph" w:styleId="932" w:customStyle="1">
    <w:name w:val="段"/>
    <w:next w:val="725"/>
    <w:qFormat/>
    <w:pPr>
      <w:ind w:firstLine="200"/>
      <w:jc w:val="both"/>
    </w:pPr>
    <w:rPr>
      <w:rFonts w:ascii="宋体" w:hAnsi="Times New Roman" w:eastAsia="宋体" w:cs="Times New Roman"/>
      <w:sz w:val="21"/>
    </w:rPr>
  </w:style>
  <w:style w:type="character" w:styleId="933" w:customStyle="1">
    <w:name w:val="标题 1 字符1"/>
    <w:link w:val="726"/>
    <w:qFormat/>
    <w:rPr>
      <w:rFonts w:ascii="Times New Roman" w:hAnsi="Times New Roman" w:eastAsia="宋体" w:cs="Times New Roman"/>
      <w:b/>
      <w:bCs/>
      <w:sz w:val="44"/>
      <w:szCs w:val="44"/>
    </w:rPr>
  </w:style>
  <w:style w:type="character" w:styleId="934" w:customStyle="1">
    <w:name w:val="标题 2 字符"/>
    <w:link w:val="727"/>
    <w:uiPriority w:val="99"/>
    <w:qFormat/>
    <w:rPr>
      <w:rFonts w:ascii="宋体" w:hAnsi="宋体" w:eastAsia="宋体" w:cs="Times New Roman"/>
      <w:b/>
      <w:color w:val="000000"/>
      <w:sz w:val="24"/>
      <w:szCs w:val="24"/>
    </w:rPr>
  </w:style>
  <w:style w:type="character" w:styleId="935" w:customStyle="1">
    <w:name w:val="标题 3 字符"/>
    <w:link w:val="728"/>
    <w:uiPriority w:val="99"/>
    <w:qFormat/>
    <w:rPr>
      <w:rFonts w:ascii="Times New Roman" w:hAnsi="Times New Roman" w:eastAsia="宋体" w:cs="Times New Roman"/>
      <w:b/>
      <w:bCs/>
      <w:sz w:val="32"/>
      <w:szCs w:val="32"/>
      <w:lang w:val="zh-CN" w:eastAsia="zh-CN"/>
    </w:rPr>
  </w:style>
  <w:style w:type="character" w:styleId="936" w:customStyle="1">
    <w:name w:val="标题 4 字符"/>
    <w:link w:val="729"/>
    <w:uiPriority w:val="99"/>
    <w:qFormat/>
    <w:rPr>
      <w:rFonts w:ascii="Arial" w:hAnsi="Arial" w:eastAsia="黑体" w:cs="Times New Roman"/>
      <w:b/>
      <w:bCs/>
      <w:sz w:val="28"/>
      <w:szCs w:val="28"/>
    </w:rPr>
  </w:style>
  <w:style w:type="character" w:styleId="937" w:customStyle="1">
    <w:name w:val="批注文字 字符"/>
    <w:link w:val="744"/>
    <w:uiPriority w:val="99"/>
    <w:semiHidden/>
    <w:qFormat/>
    <w:rPr>
      <w:rFonts w:cs="Times New Roman"/>
    </w:rPr>
  </w:style>
  <w:style w:type="character" w:styleId="938" w:customStyle="1">
    <w:name w:val="批注主题 字符"/>
    <w:link w:val="774"/>
    <w:uiPriority w:val="99"/>
    <w:qFormat/>
    <w:rPr>
      <w:rFonts w:cs="Times New Roman"/>
      <w:b/>
      <w:sz w:val="24"/>
    </w:rPr>
  </w:style>
  <w:style w:type="character" w:styleId="939" w:customStyle="1">
    <w:name w:val="文档结构图 字符"/>
    <w:link w:val="743"/>
    <w:uiPriority w:val="99"/>
    <w:qFormat/>
    <w:rPr>
      <w:sz w:val="24"/>
      <w:shd w:val="clear" w:color="auto" w:fill="000080"/>
    </w:rPr>
  </w:style>
  <w:style w:type="character" w:styleId="940" w:customStyle="1">
    <w:name w:val="正文文本 字符"/>
    <w:link w:val="745"/>
    <w:qFormat/>
    <w:rPr>
      <w:rFonts w:ascii="Times New Roman" w:hAnsi="Times New Roman" w:eastAsia="宋体" w:cs="Times New Roman"/>
      <w:sz w:val="24"/>
      <w:szCs w:val="24"/>
    </w:rPr>
  </w:style>
  <w:style w:type="character" w:styleId="941" w:customStyle="1">
    <w:name w:val="正文文本缩进 字符"/>
    <w:link w:val="746"/>
    <w:qFormat/>
    <w:rPr>
      <w:sz w:val="24"/>
    </w:rPr>
  </w:style>
  <w:style w:type="character" w:styleId="942" w:customStyle="1">
    <w:name w:val="纯文本 字符"/>
    <w:link w:val="750"/>
    <w:uiPriority w:val="99"/>
    <w:qFormat/>
    <w:rPr>
      <w:rFonts w:ascii="宋体" w:hAnsi="Courier New" w:eastAsia="楷体_GB2312"/>
      <w:sz w:val="28"/>
    </w:rPr>
  </w:style>
  <w:style w:type="character" w:styleId="943" w:customStyle="1">
    <w:name w:val="日期 字符"/>
    <w:basedOn w:val="735"/>
    <w:link w:val="752"/>
    <w:uiPriority w:val="99"/>
    <w:qFormat/>
  </w:style>
  <w:style w:type="character" w:styleId="944" w:customStyle="1">
    <w:name w:val="正文文本缩进 2 字符"/>
    <w:link w:val="753"/>
    <w:uiPriority w:val="99"/>
    <w:qFormat/>
    <w:rPr>
      <w:rFonts w:ascii="宋体" w:hAnsi="宋体" w:eastAsia="宋体"/>
      <w:sz w:val="24"/>
    </w:rPr>
  </w:style>
  <w:style w:type="character" w:styleId="945" w:customStyle="1">
    <w:name w:val="批注框文本 字符"/>
    <w:link w:val="755"/>
    <w:uiPriority w:val="99"/>
    <w:qFormat/>
    <w:rPr>
      <w:sz w:val="18"/>
    </w:rPr>
  </w:style>
  <w:style w:type="character" w:styleId="946" w:customStyle="1">
    <w:name w:val="页脚 字符"/>
    <w:link w:val="756"/>
    <w:qFormat/>
    <w:rPr>
      <w:sz w:val="18"/>
    </w:rPr>
  </w:style>
  <w:style w:type="character" w:styleId="947" w:customStyle="1">
    <w:name w:val="页眉 字符"/>
    <w:link w:val="758"/>
    <w:uiPriority w:val="99"/>
    <w:qFormat/>
    <w:rPr>
      <w:sz w:val="18"/>
    </w:rPr>
  </w:style>
  <w:style w:type="character" w:styleId="948" w:customStyle="1">
    <w:name w:val="正文文本缩进 3 字符"/>
    <w:link w:val="766"/>
    <w:uiPriority w:val="99"/>
    <w:qFormat/>
    <w:rPr>
      <w:sz w:val="24"/>
    </w:rPr>
  </w:style>
  <w:style w:type="character" w:styleId="949" w:customStyle="1">
    <w:name w:val="HTML 预设格式 字符"/>
    <w:link w:val="771"/>
    <w:uiPriority w:val="99"/>
    <w:qFormat/>
    <w:rPr>
      <w:rFonts w:ascii="宋体" w:eastAsia="宋体"/>
      <w:sz w:val="24"/>
    </w:rPr>
  </w:style>
  <w:style w:type="paragraph" w:styleId="950" w:customStyle="1">
    <w:name w:val="_Style 13"/>
    <w:uiPriority w:val="99"/>
    <w:qFormat/>
    <w:pPr>
      <w:jc w:val="both"/>
      <w:widowControl w:val="off"/>
    </w:pPr>
    <w:rPr>
      <w:rFonts w:ascii="Calibri" w:hAnsi="Calibri" w:eastAsia="宋体" w:cs="Times New Roman"/>
      <w:sz w:val="21"/>
      <w:szCs w:val="22"/>
    </w:rPr>
  </w:style>
  <w:style w:type="character" w:styleId="951" w:customStyle="1">
    <w:name w:val="列出段落 Char"/>
    <w:link w:val="952"/>
    <w:uiPriority w:val="99"/>
    <w:qFormat/>
    <w:rPr>
      <w:rFonts w:ascii="Calibri" w:hAnsi="Calibri" w:eastAsia="宋体"/>
      <w:sz w:val="22"/>
    </w:rPr>
  </w:style>
  <w:style w:type="paragraph" w:styleId="952" w:customStyle="1">
    <w:name w:val="列出段落1"/>
    <w:basedOn w:val="725"/>
    <w:link w:val="951"/>
    <w:uiPriority w:val="99"/>
    <w:qFormat/>
    <w:pPr>
      <w:ind w:firstLine="200"/>
      <w:spacing w:line="360" w:lineRule="auto"/>
    </w:pPr>
    <w:rPr>
      <w:sz w:val="22"/>
      <w:szCs w:val="20"/>
    </w:rPr>
  </w:style>
  <w:style w:type="character" w:styleId="953" w:customStyle="1">
    <w:name w:val="表正文 Char"/>
    <w:uiPriority w:val="99"/>
    <w:qFormat/>
    <w:rPr>
      <w:rFonts w:eastAsia="楷体_GB2312"/>
      <w:sz w:val="24"/>
      <w:lang w:val="en-US" w:eastAsia="zh-CN"/>
    </w:rPr>
  </w:style>
  <w:style w:type="character" w:styleId="954" w:customStyle="1">
    <w:name w:val="正文缩进 字符"/>
    <w:link w:val="741"/>
    <w:qFormat/>
    <w:rPr>
      <w:rFonts w:eastAsia="楷体_GB2312"/>
      <w:sz w:val="24"/>
    </w:rPr>
  </w:style>
  <w:style w:type="character" w:styleId="955" w:customStyle="1">
    <w:name w:val="a-size-large1"/>
    <w:uiPriority w:val="99"/>
    <w:qFormat/>
    <w:rPr>
      <w:rFonts w:ascii="Arial" w:hAnsi="Arial"/>
    </w:rPr>
  </w:style>
  <w:style w:type="character" w:styleId="956" w:customStyle="1">
    <w:name w:val="正文缩进 Char1"/>
    <w:uiPriority w:val="99"/>
    <w:qFormat/>
    <w:rPr>
      <w:rFonts w:eastAsia="楷体_GB2312"/>
      <w:sz w:val="24"/>
    </w:rPr>
  </w:style>
  <w:style w:type="character" w:styleId="957" w:customStyle="1">
    <w:name w:val="批注文字 Char"/>
    <w:qFormat/>
    <w:rPr>
      <w:sz w:val="24"/>
    </w:rPr>
  </w:style>
  <w:style w:type="character" w:styleId="958" w:customStyle="1">
    <w:name w:val="Char Char13"/>
    <w:uiPriority w:val="99"/>
    <w:qFormat/>
    <w:rPr>
      <w:rFonts w:ascii="Times New Roman" w:hAnsi="Times New Roman" w:eastAsia="楷体_GB2312"/>
      <w:sz w:val="20"/>
    </w:rPr>
  </w:style>
  <w:style w:type="character" w:styleId="959" w:customStyle="1">
    <w:name w:val="HTML 预设格式 Char1"/>
    <w:uiPriority w:val="99"/>
    <w:qFormat/>
    <w:rPr>
      <w:rFonts w:ascii="Courier New" w:hAnsi="Courier New"/>
    </w:rPr>
  </w:style>
  <w:style w:type="character" w:styleId="960" w:customStyle="1">
    <w:name w:val="para1"/>
    <w:uiPriority w:val="99"/>
    <w:qFormat/>
    <w:rPr>
      <w:rFonts w:ascii="Arial" w:hAnsi="Arial"/>
      <w:sz w:val="18"/>
    </w:rPr>
  </w:style>
  <w:style w:type="character" w:styleId="961" w:customStyle="1">
    <w:name w:val="1.1.1 四号 Char Char"/>
    <w:link w:val="962"/>
    <w:uiPriority w:val="99"/>
    <w:qFormat/>
    <w:rPr>
      <w:b/>
      <w:sz w:val="28"/>
    </w:rPr>
  </w:style>
  <w:style w:type="paragraph" w:styleId="962" w:customStyle="1">
    <w:name w:val="1.1.1 四号"/>
    <w:basedOn w:val="725"/>
    <w:link w:val="961"/>
    <w:uiPriority w:val="99"/>
    <w:qFormat/>
    <w:pPr>
      <w:jc w:val="left"/>
      <w:keepLines/>
      <w:keepNext/>
      <w:spacing w:line="240" w:lineRule="atLeast"/>
      <w:outlineLvl w:val="1"/>
    </w:pPr>
    <w:rPr>
      <w:rFonts w:ascii="Times New Roman" w:hAnsi="Times New Roman"/>
      <w:b/>
      <w:sz w:val="28"/>
      <w:szCs w:val="28"/>
    </w:rPr>
  </w:style>
  <w:style w:type="character" w:styleId="963" w:customStyle="1">
    <w:name w:val="title_emph1"/>
    <w:uiPriority w:val="99"/>
    <w:qFormat/>
    <w:rPr>
      <w:rFonts w:ascii="Arial" w:hAnsi="Arial"/>
      <w:b/>
      <w:sz w:val="20"/>
    </w:rPr>
  </w:style>
  <w:style w:type="character" w:styleId="964" w:customStyle="1">
    <w:name w:val="批注主题 Char1"/>
    <w:uiPriority w:val="99"/>
    <w:semiHidden/>
    <w:qFormat/>
    <w:rPr>
      <w:rFonts w:cs="Times New Roman"/>
      <w:b/>
      <w:bCs/>
    </w:rPr>
  </w:style>
  <w:style w:type="paragraph" w:styleId="965" w:customStyle="1">
    <w:name w:val="Char Char1 Char Char Char Char Char Char Char"/>
    <w:basedOn w:val="725"/>
    <w:uiPriority w:val="99"/>
    <w:qFormat/>
    <w:rPr>
      <w:rFonts w:ascii="Times New Roman" w:hAnsi="Times New Roman" w:eastAsia="楷体_GB2312"/>
      <w:sz w:val="26"/>
      <w:szCs w:val="20"/>
    </w:rPr>
  </w:style>
  <w:style w:type="paragraph" w:styleId="966" w:customStyle="1">
    <w:name w:val="表格1"/>
    <w:basedOn w:val="725"/>
    <w:next w:val="725"/>
    <w:uiPriority w:val="99"/>
    <w:qFormat/>
    <w:pPr>
      <w:jc w:val="center"/>
      <w:spacing w:line="288" w:lineRule="auto"/>
    </w:pPr>
    <w:rPr>
      <w:rFonts w:ascii="宋体" w:hAnsi="Times New Roman"/>
      <w:sz w:val="18"/>
      <w:szCs w:val="20"/>
    </w:rPr>
  </w:style>
  <w:style w:type="paragraph" w:styleId="967" w:customStyle="1">
    <w:name w:val="Char1"/>
    <w:basedOn w:val="725"/>
    <w:uiPriority w:val="99"/>
    <w:qFormat/>
    <w:pPr>
      <w:ind w:left="960" w:hanging="420"/>
      <w:tabs>
        <w:tab w:val="left" w:pos="960" w:leader="none"/>
      </w:tabs>
    </w:pPr>
    <w:rPr>
      <w:rFonts w:ascii="Times New Roman" w:hAnsi="Times New Roman"/>
      <w:sz w:val="24"/>
      <w:szCs w:val="24"/>
    </w:rPr>
  </w:style>
  <w:style w:type="paragraph" w:styleId="968" w:customStyle="1">
    <w:name w:val="Char"/>
    <w:basedOn w:val="725"/>
    <w:uiPriority w:val="99"/>
    <w:qFormat/>
    <w:rPr>
      <w:rFonts w:ascii="Tahoma" w:hAnsi="Tahoma"/>
      <w:sz w:val="24"/>
      <w:szCs w:val="20"/>
    </w:rPr>
  </w:style>
  <w:style w:type="character" w:styleId="969" w:customStyle="1">
    <w:name w:val="正文文本缩进 3 Char1"/>
    <w:uiPriority w:val="99"/>
    <w:semiHidden/>
    <w:qFormat/>
    <w:rPr>
      <w:rFonts w:cs="Times New Roman"/>
      <w:sz w:val="16"/>
      <w:szCs w:val="16"/>
    </w:rPr>
  </w:style>
  <w:style w:type="paragraph" w:styleId="970" w:customStyle="1">
    <w:name w:val="Char Char Char"/>
    <w:basedOn w:val="725"/>
    <w:uiPriority w:val="99"/>
    <w:qFormat/>
    <w:rPr>
      <w:rFonts w:ascii="Tahoma" w:hAnsi="Tahoma"/>
      <w:sz w:val="24"/>
      <w:szCs w:val="20"/>
    </w:rPr>
  </w:style>
  <w:style w:type="character" w:styleId="971" w:customStyle="1">
    <w:name w:val="批注框文本 Char1"/>
    <w:uiPriority w:val="99"/>
    <w:semiHidden/>
    <w:qFormat/>
    <w:rPr>
      <w:rFonts w:cs="Times New Roman"/>
      <w:sz w:val="18"/>
      <w:szCs w:val="18"/>
    </w:rPr>
  </w:style>
  <w:style w:type="paragraph" w:styleId="972" w:customStyle="1">
    <w:name w:val="规范正文"/>
    <w:basedOn w:val="725"/>
    <w:uiPriority w:val="99"/>
    <w:qFormat/>
    <w:pPr>
      <w:ind w:left="480"/>
      <w:spacing w:line="360" w:lineRule="auto"/>
    </w:pPr>
    <w:rPr>
      <w:rFonts w:ascii="Times New Roman" w:hAnsi="Times New Roman"/>
      <w:sz w:val="24"/>
      <w:szCs w:val="20"/>
    </w:rPr>
  </w:style>
  <w:style w:type="character" w:styleId="973" w:customStyle="1">
    <w:name w:val="文档结构图 Char1"/>
    <w:uiPriority w:val="99"/>
    <w:semiHidden/>
    <w:qFormat/>
    <w:rPr>
      <w:rFonts w:ascii="宋体" w:eastAsia="宋体" w:cs="Times New Roman"/>
      <w:sz w:val="18"/>
      <w:szCs w:val="18"/>
    </w:rPr>
  </w:style>
  <w:style w:type="character" w:styleId="974" w:customStyle="1">
    <w:name w:val="页眉 Char1"/>
    <w:uiPriority w:val="99"/>
    <w:semiHidden/>
    <w:qFormat/>
    <w:rPr>
      <w:rFonts w:cs="Times New Roman"/>
      <w:sz w:val="18"/>
      <w:szCs w:val="18"/>
    </w:rPr>
  </w:style>
  <w:style w:type="character" w:styleId="975" w:customStyle="1">
    <w:name w:val="日期 Char1"/>
    <w:uiPriority w:val="99"/>
    <w:semiHidden/>
    <w:qFormat/>
    <w:rPr>
      <w:rFonts w:cs="Times New Roman"/>
    </w:rPr>
  </w:style>
  <w:style w:type="paragraph" w:styleId="976" w:customStyle="1">
    <w:name w:val="Char Char1"/>
    <w:basedOn w:val="725"/>
    <w:uiPriority w:val="99"/>
    <w:qFormat/>
    <w:pPr>
      <w:jc w:val="left"/>
      <w:spacing w:after="160" w:line="240" w:lineRule="exact"/>
      <w:widowControl/>
    </w:pPr>
    <w:rPr>
      <w:rFonts w:ascii="Verdana" w:hAnsi="Verdana"/>
      <w:sz w:val="20"/>
      <w:szCs w:val="20"/>
      <w:lang w:eastAsia="en-US"/>
    </w:rPr>
  </w:style>
  <w:style w:type="paragraph" w:styleId="977" w:customStyle="1">
    <w:name w:val="Char2"/>
    <w:basedOn w:val="725"/>
    <w:uiPriority w:val="99"/>
    <w:qFormat/>
    <w:pPr>
      <w:ind w:left="960" w:hanging="420"/>
      <w:tabs>
        <w:tab w:val="left" w:pos="420" w:leader="none"/>
        <w:tab w:val="left" w:pos="960" w:leader="none"/>
      </w:tabs>
    </w:pPr>
    <w:rPr>
      <w:rFonts w:ascii="Times New Roman" w:hAnsi="Times New Roman"/>
      <w:sz w:val="24"/>
      <w:szCs w:val="24"/>
    </w:rPr>
  </w:style>
  <w:style w:type="paragraph" w:styleId="978" w:customStyle="1">
    <w:name w:val="Char Char Char Char"/>
    <w:basedOn w:val="725"/>
    <w:uiPriority w:val="99"/>
    <w:qFormat/>
    <w:pPr>
      <w:spacing w:line="360" w:lineRule="atLeast"/>
    </w:pPr>
    <w:rPr>
      <w:rFonts w:ascii="Times New Roman" w:hAnsi="Times New Roman"/>
      <w:szCs w:val="20"/>
    </w:rPr>
  </w:style>
  <w:style w:type="character" w:styleId="979" w:customStyle="1">
    <w:name w:val="纯文本 Char1"/>
    <w:uiPriority w:val="99"/>
    <w:semiHidden/>
    <w:qFormat/>
    <w:rPr>
      <w:rFonts w:ascii="宋体" w:hAnsi="Courier New" w:eastAsia="宋体" w:cs="Courier New"/>
      <w:sz w:val="21"/>
      <w:szCs w:val="21"/>
    </w:rPr>
  </w:style>
  <w:style w:type="character" w:styleId="980" w:customStyle="1">
    <w:name w:val="HTML 预设格式 Char2"/>
    <w:uiPriority w:val="99"/>
    <w:semiHidden/>
    <w:qFormat/>
    <w:rPr>
      <w:rFonts w:ascii="Courier New" w:hAnsi="Courier New" w:cs="Courier New"/>
      <w:sz w:val="20"/>
      <w:szCs w:val="20"/>
    </w:rPr>
  </w:style>
  <w:style w:type="paragraph" w:styleId="981" w:customStyle="1">
    <w:name w:val="表格正文"/>
    <w:basedOn w:val="725"/>
    <w:uiPriority w:val="99"/>
    <w:qFormat/>
    <w:pPr>
      <w:jc w:val="left"/>
    </w:pPr>
    <w:rPr>
      <w:rFonts w:ascii="宋体" w:hAnsi="宋体" w:cs="宋体"/>
      <w:color w:val="000000"/>
      <w:sz w:val="22"/>
      <w:szCs w:val="20"/>
    </w:rPr>
  </w:style>
  <w:style w:type="paragraph" w:styleId="982" w:customStyle="1">
    <w:name w:val="列出段落2"/>
    <w:basedOn w:val="725"/>
    <w:uiPriority w:val="99"/>
    <w:qFormat/>
    <w:pPr>
      <w:ind w:firstLine="420"/>
    </w:pPr>
    <w:rPr>
      <w:szCs w:val="20"/>
    </w:rPr>
  </w:style>
  <w:style w:type="paragraph" w:styleId="983" w:customStyle="1">
    <w:name w:val="列出段落21"/>
    <w:basedOn w:val="725"/>
    <w:uiPriority w:val="99"/>
    <w:qFormat/>
    <w:pPr>
      <w:ind w:firstLine="420"/>
    </w:pPr>
    <w:rPr>
      <w:szCs w:val="20"/>
    </w:rPr>
  </w:style>
  <w:style w:type="paragraph" w:styleId="984" w:customStyle="1">
    <w:name w:val="+正文"/>
    <w:basedOn w:val="725"/>
    <w:uiPriority w:val="99"/>
    <w:qFormat/>
    <w:pPr>
      <w:ind w:firstLine="200"/>
      <w:spacing w:line="360" w:lineRule="auto"/>
    </w:pPr>
    <w:rPr>
      <w:rFonts w:ascii="Times New Roman" w:hAnsi="Times New Roman"/>
      <w:szCs w:val="20"/>
    </w:rPr>
  </w:style>
  <w:style w:type="paragraph" w:styleId="985" w:customStyle="1">
    <w:name w:val="p17"/>
    <w:basedOn w:val="725"/>
    <w:uiPriority w:val="99"/>
    <w:qFormat/>
    <w:pPr>
      <w:jc w:val="left"/>
      <w:spacing w:before="100" w:beforeAutospacing="1" w:after="100" w:afterAutospacing="1"/>
      <w:widowControl/>
    </w:pPr>
    <w:rPr>
      <w:rFonts w:ascii="宋体" w:hAnsi="宋体" w:cs="宋体"/>
      <w:sz w:val="24"/>
      <w:szCs w:val="24"/>
    </w:rPr>
  </w:style>
  <w:style w:type="paragraph" w:styleId="986" w:customStyle="1">
    <w:name w:val="表格正文 居中"/>
    <w:basedOn w:val="725"/>
    <w:uiPriority w:val="99"/>
    <w:qFormat/>
    <w:pPr>
      <w:jc w:val="center"/>
    </w:pPr>
    <w:rPr>
      <w:rFonts w:ascii="宋体" w:hAnsi="宋体" w:cs="宋体"/>
      <w:szCs w:val="20"/>
    </w:rPr>
  </w:style>
  <w:style w:type="paragraph" w:styleId="987" w:customStyle="1">
    <w:name w:val="表格标题"/>
    <w:basedOn w:val="725"/>
    <w:uiPriority w:val="99"/>
    <w:qFormat/>
    <w:pPr>
      <w:jc w:val="center"/>
    </w:pPr>
    <w:rPr>
      <w:rFonts w:ascii="宋体" w:hAnsi="宋体" w:cs="宋体"/>
      <w:b/>
      <w:bCs/>
      <w:szCs w:val="20"/>
    </w:rPr>
  </w:style>
  <w:style w:type="paragraph" w:styleId="988" w:customStyle="1">
    <w:name w:val="Default"/>
    <w:qFormat/>
    <w:pPr>
      <w:widowControl w:val="off"/>
    </w:pPr>
    <w:rPr>
      <w:rFonts w:ascii="宋体" w:hAnsi="Times New Roman" w:eastAsia="宋体" w:cs="宋体"/>
      <w:color w:val="000000"/>
      <w:sz w:val="24"/>
      <w:szCs w:val="24"/>
    </w:rPr>
  </w:style>
  <w:style w:type="paragraph" w:styleId="989" w:customStyle="1">
    <w:name w:val="Plain Text1"/>
    <w:basedOn w:val="725"/>
    <w:qFormat/>
    <w:rPr>
      <w:rFonts w:ascii="宋体" w:hAnsi="Courier New" w:eastAsia="楷体_GB2312"/>
      <w:sz w:val="28"/>
      <w:szCs w:val="20"/>
    </w:rPr>
  </w:style>
  <w:style w:type="paragraph" w:styleId="990" w:customStyle="1">
    <w:name w:val="p0"/>
    <w:basedOn w:val="725"/>
    <w:qFormat/>
    <w:pPr>
      <w:widowControl/>
    </w:pPr>
    <w:rPr>
      <w:rFonts w:ascii="Times New Roman" w:hAnsi="Times New Roman"/>
      <w:sz w:val="26"/>
      <w:szCs w:val="26"/>
    </w:rPr>
  </w:style>
  <w:style w:type="paragraph" w:styleId="991" w:customStyle="1">
    <w:name w:val="列表内容"/>
    <w:basedOn w:val="725"/>
    <w:next w:val="725"/>
    <w:uiPriority w:val="99"/>
    <w:qFormat/>
    <w:pPr>
      <w:ind w:left="840" w:hanging="420"/>
      <w:jc w:val="left"/>
      <w:widowControl/>
      <w:tabs>
        <w:tab w:val="left" w:pos="840" w:leader="none"/>
      </w:tabs>
    </w:pPr>
    <w:rPr>
      <w:rFonts w:ascii="Times New Roman" w:hAnsi="Times New Roman"/>
      <w:sz w:val="18"/>
      <w:szCs w:val="24"/>
    </w:rPr>
  </w:style>
  <w:style w:type="paragraph" w:styleId="992" w:customStyle="1">
    <w:name w:val="纯文本2"/>
    <w:basedOn w:val="725"/>
    <w:uiPriority w:val="99"/>
    <w:qFormat/>
    <w:rPr>
      <w:rFonts w:ascii="宋体" w:hAnsi="Courier New" w:eastAsia="楷体_GB2312"/>
      <w:sz w:val="28"/>
      <w:szCs w:val="20"/>
    </w:rPr>
  </w:style>
  <w:style w:type="paragraph" w:styleId="993" w:customStyle="1">
    <w:name w:val="Char Char4 Char Char"/>
    <w:basedOn w:val="725"/>
    <w:uiPriority w:val="99"/>
    <w:qFormat/>
    <w:rPr>
      <w:rFonts w:ascii="Tahoma" w:hAnsi="Tahoma"/>
      <w:sz w:val="24"/>
      <w:szCs w:val="20"/>
    </w:rPr>
  </w:style>
  <w:style w:type="paragraph" w:styleId="994" w:customStyle="1">
    <w:name w:val="默认段落字体 Para Char Char Char Char Char Char Char"/>
    <w:basedOn w:val="725"/>
    <w:uiPriority w:val="99"/>
    <w:qFormat/>
    <w:pPr>
      <w:spacing w:line="360" w:lineRule="auto"/>
    </w:pPr>
    <w:rPr>
      <w:rFonts w:ascii="Tahoma" w:hAnsi="Tahoma"/>
      <w:sz w:val="24"/>
      <w:szCs w:val="20"/>
    </w:rPr>
  </w:style>
  <w:style w:type="paragraph" w:styleId="995" w:customStyle="1">
    <w:name w:val="Char Char Char Char Char Char Char Char"/>
    <w:basedOn w:val="725"/>
    <w:uiPriority w:val="99"/>
    <w:qFormat/>
    <w:rPr>
      <w:rFonts w:ascii="Times New Roman" w:hAnsi="Times New Roman"/>
      <w:szCs w:val="24"/>
    </w:rPr>
  </w:style>
  <w:style w:type="paragraph" w:styleId="996" w:customStyle="1">
    <w:name w:val="Char Char4 Char"/>
    <w:basedOn w:val="725"/>
    <w:uiPriority w:val="99"/>
    <w:qFormat/>
    <w:rPr>
      <w:rFonts w:ascii="Tahoma" w:hAnsi="Tahoma"/>
      <w:sz w:val="24"/>
      <w:szCs w:val="20"/>
    </w:rPr>
  </w:style>
  <w:style w:type="paragraph" w:styleId="997" w:customStyle="1">
    <w:name w:val="Char Char Char Char Char Char Char Char Char1 Char"/>
    <w:basedOn w:val="743"/>
    <w:uiPriority w:val="99"/>
    <w:qFormat/>
    <w:pPr>
      <w:spacing w:line="360" w:lineRule="auto"/>
    </w:pPr>
  </w:style>
  <w:style w:type="character" w:styleId="998" w:customStyle="1">
    <w:name w:val="正文文本缩进 2 Char1"/>
    <w:uiPriority w:val="99"/>
    <w:semiHidden/>
    <w:qFormat/>
    <w:rPr>
      <w:rFonts w:cs="Times New Roman"/>
    </w:rPr>
  </w:style>
  <w:style w:type="paragraph" w:styleId="999" w:customStyle="1">
    <w:name w:val="_Style 18"/>
    <w:basedOn w:val="725"/>
    <w:uiPriority w:val="99"/>
    <w:qFormat/>
    <w:rPr>
      <w:rFonts w:ascii="Tahoma" w:hAnsi="Tahoma"/>
      <w:sz w:val="24"/>
      <w:szCs w:val="20"/>
    </w:rPr>
  </w:style>
  <w:style w:type="paragraph" w:styleId="1000" w:customStyle="1">
    <w:name w:val="Char Char2 Char Char"/>
    <w:basedOn w:val="725"/>
    <w:uiPriority w:val="99"/>
    <w:qFormat/>
    <w:rPr>
      <w:rFonts w:ascii="Tahoma" w:hAnsi="Tahoma"/>
      <w:sz w:val="24"/>
      <w:szCs w:val="20"/>
    </w:rPr>
  </w:style>
  <w:style w:type="character" w:styleId="1001" w:customStyle="1">
    <w:name w:val="页脚 Char1"/>
    <w:uiPriority w:val="99"/>
    <w:semiHidden/>
    <w:qFormat/>
    <w:rPr>
      <w:rFonts w:cs="Times New Roman"/>
      <w:sz w:val="18"/>
      <w:szCs w:val="18"/>
    </w:rPr>
  </w:style>
  <w:style w:type="paragraph" w:styleId="1002" w:customStyle="1">
    <w:name w:val="List Paragraph1"/>
    <w:basedOn w:val="725"/>
    <w:uiPriority w:val="99"/>
    <w:qFormat/>
    <w:pPr>
      <w:ind w:firstLine="420"/>
    </w:pPr>
  </w:style>
  <w:style w:type="character" w:styleId="1003" w:customStyle="1">
    <w:name w:val="正文文本缩进 Char1"/>
    <w:uiPriority w:val="99"/>
    <w:semiHidden/>
    <w:qFormat/>
    <w:rPr>
      <w:rFonts w:cs="Times New Roman"/>
    </w:rPr>
  </w:style>
  <w:style w:type="paragraph" w:styleId="1004" w:customStyle="1">
    <w:name w:val="QB正文"/>
    <w:basedOn w:val="725"/>
    <w:uiPriority w:val="99"/>
    <w:qFormat/>
    <w:pPr>
      <w:ind w:firstLine="200"/>
      <w:widowControl/>
    </w:pPr>
    <w:rPr>
      <w:rFonts w:ascii="宋体" w:hAnsi="宋体"/>
      <w:szCs w:val="20"/>
    </w:rPr>
  </w:style>
  <w:style w:type="paragraph" w:styleId="1005" w:customStyle="1">
    <w:name w:val="纯文本1"/>
    <w:basedOn w:val="725"/>
    <w:link w:val="1022"/>
    <w:qFormat/>
    <w:rPr>
      <w:rFonts w:ascii="宋体" w:hAnsi="Courier New" w:eastAsia="楷体_GB2312"/>
      <w:sz w:val="28"/>
      <w:szCs w:val="20"/>
    </w:rPr>
  </w:style>
  <w:style w:type="paragraph" w:styleId="1006" w:customStyle="1">
    <w:name w:val="Char4"/>
    <w:basedOn w:val="725"/>
    <w:uiPriority w:val="99"/>
    <w:qFormat/>
    <w:pPr>
      <w:ind w:left="840" w:hanging="420"/>
      <w:tabs>
        <w:tab w:val="left" w:pos="840" w:leader="none"/>
      </w:tabs>
    </w:pPr>
    <w:rPr>
      <w:rFonts w:ascii="Times New Roman" w:hAnsi="Times New Roman"/>
      <w:szCs w:val="24"/>
    </w:rPr>
  </w:style>
  <w:style w:type="character" w:styleId="1007" w:customStyle="1">
    <w:name w:val="样式1 Char"/>
    <w:link w:val="739"/>
    <w:uiPriority w:val="99"/>
    <w:qFormat/>
    <w:rPr>
      <w:rFonts w:ascii="宋体" w:hAnsi="宋体" w:eastAsia="宋体" w:cs="Times New Roman"/>
      <w:b/>
      <w:color w:val="000000"/>
      <w:sz w:val="24"/>
      <w:szCs w:val="24"/>
    </w:rPr>
  </w:style>
  <w:style w:type="paragraph" w:styleId="1008" w:customStyle="1">
    <w:name w:val="TOC 标题1"/>
    <w:basedOn w:val="726"/>
    <w:next w:val="725"/>
    <w:uiPriority w:val="99"/>
    <w:qFormat/>
    <w:pPr>
      <w:jc w:val="left"/>
      <w:spacing w:before="480" w:after="0" w:line="276" w:lineRule="auto"/>
      <w:widowControl/>
      <w:outlineLvl w:val="9"/>
    </w:pPr>
    <w:rPr>
      <w:rFonts w:ascii="Cambria" w:hAnsi="Cambria"/>
      <w:color w:val="365f91"/>
      <w:sz w:val="28"/>
      <w:szCs w:val="28"/>
    </w:rPr>
  </w:style>
  <w:style w:type="character" w:styleId="1009" w:customStyle="1">
    <w:name w:val="apple-converted-space"/>
    <w:qFormat/>
  </w:style>
  <w:style w:type="paragraph" w:styleId="1010" w:customStyle="1">
    <w:name w:val="纯文本3"/>
    <w:basedOn w:val="725"/>
    <w:qFormat/>
    <w:rPr>
      <w:rFonts w:ascii="宋体" w:hAnsi="Courier New" w:eastAsia="楷体_GB2312"/>
      <w:sz w:val="28"/>
      <w:szCs w:val="20"/>
    </w:rPr>
  </w:style>
  <w:style w:type="paragraph" w:styleId="1011" w:customStyle="1">
    <w:name w:val="纯文本111"/>
    <w:basedOn w:val="725"/>
    <w:qFormat/>
    <w:rPr>
      <w:rFonts w:ascii="宋体" w:hAnsi="Courier New"/>
    </w:rPr>
  </w:style>
  <w:style w:type="paragraph" w:styleId="1012" w:customStyle="1">
    <w:name w:val="06正文"/>
    <w:basedOn w:val="725"/>
    <w:uiPriority w:val="99"/>
    <w:qFormat/>
    <w:pPr>
      <w:ind w:firstLine="420"/>
      <w:spacing w:line="360" w:lineRule="auto"/>
      <w:widowControl/>
    </w:pPr>
    <w:rPr>
      <w:rFonts w:ascii="宋体" w:hAnsi="宋体"/>
    </w:rPr>
  </w:style>
  <w:style w:type="paragraph" w:styleId="1013" w:customStyle="1">
    <w:name w:val="纯文本4"/>
    <w:basedOn w:val="725"/>
    <w:qFormat/>
    <w:rPr>
      <w:rFonts w:hint="eastAsia" w:ascii="宋体" w:hAnsi="Courier New" w:eastAsia="楷体_GB2312"/>
      <w:sz w:val="28"/>
      <w:szCs w:val="20"/>
    </w:rPr>
  </w:style>
  <w:style w:type="character" w:styleId="1014" w:customStyle="1">
    <w:name w:val="NormalCharacter"/>
    <w:semiHidden/>
    <w:qFormat/>
  </w:style>
  <w:style w:type="table" w:styleId="1015" w:customStyle="1">
    <w:name w:val="网格型2"/>
    <w:basedOn w:val="736"/>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6">
    <w:name w:val="List Paragraph"/>
    <w:basedOn w:val="725"/>
    <w:uiPriority w:val="34"/>
    <w:unhideWhenUsed/>
    <w:qFormat/>
    <w:pPr>
      <w:ind w:firstLine="420"/>
    </w:pPr>
  </w:style>
  <w:style w:type="paragraph" w:styleId="1017" w:customStyle="1">
    <w:name w:val="无编号条款"/>
    <w:basedOn w:val="725"/>
    <w:qFormat/>
    <w:pPr>
      <w:ind w:firstLine="200"/>
      <w:spacing w:line="400" w:lineRule="exact"/>
    </w:pPr>
    <w:rPr>
      <w:rFonts w:ascii="宋体" w:hAnsi="宋体"/>
      <w:szCs w:val="24"/>
    </w:rPr>
  </w:style>
  <w:style w:type="paragraph" w:styleId="1018" w:customStyle="1">
    <w:name w:val="Plain Text2"/>
    <w:qFormat/>
    <w:rPr>
      <w:rFonts w:ascii="宋体" w:hAnsi="Courier New" w:eastAsia="楷体_GB2312" w:cs="Times New Roman"/>
      <w:sz w:val="26"/>
    </w:rPr>
  </w:style>
  <w:style w:type="paragraph" w:styleId="1019" w:customStyle="1">
    <w:name w:val="纯文本5"/>
    <w:basedOn w:val="725"/>
    <w:qFormat/>
    <w:rPr>
      <w:rFonts w:hint="eastAsia" w:ascii="宋体" w:hAnsi="Courier New" w:eastAsia="楷体_GB2312"/>
      <w:sz w:val="28"/>
      <w:szCs w:val="20"/>
    </w:rPr>
  </w:style>
  <w:style w:type="character" w:styleId="1020" w:customStyle="1">
    <w:name w:val="Header Char"/>
    <w:qFormat/>
    <w:rPr>
      <w:rFonts w:eastAsia="宋体"/>
      <w:sz w:val="18"/>
      <w:lang w:val="en-US" w:eastAsia="zh-CN"/>
    </w:rPr>
  </w:style>
  <w:style w:type="character" w:styleId="1021" w:customStyle="1">
    <w:name w:val="正文文本首行缩进 2 字符"/>
    <w:basedOn w:val="941"/>
    <w:link w:val="776"/>
    <w:uiPriority w:val="99"/>
    <w:semiHidden/>
    <w:qFormat/>
    <w:rPr>
      <w:rFonts w:ascii="Calibri" w:hAnsi="Calibri" w:eastAsia="宋体" w:cs="Times New Roman"/>
      <w:sz w:val="21"/>
      <w:szCs w:val="22"/>
    </w:rPr>
  </w:style>
  <w:style w:type="character" w:styleId="1022" w:customStyle="1">
    <w:name w:val="Plain Text Char Char"/>
    <w:link w:val="1005"/>
    <w:qFormat/>
    <w:rPr>
      <w:rFonts w:ascii="宋体" w:hAnsi="Courier New" w:eastAsia="楷体_GB2312" w:cs="Times New Roman"/>
      <w:sz w:val="28"/>
    </w:rPr>
  </w:style>
  <w:style w:type="character" w:styleId="1023" w:customStyle="1">
    <w:name w:val="font61"/>
    <w:qFormat/>
    <w:rPr>
      <w:rFonts w:hint="eastAsia" w:ascii="宋体" w:hAnsi="宋体" w:eastAsia="宋体" w:cs="宋体"/>
      <w:color w:val="000000"/>
      <w:sz w:val="21"/>
      <w:szCs w:val="21"/>
      <w:u w:val="none"/>
    </w:rPr>
  </w:style>
  <w:style w:type="paragraph" w:styleId="1024" w:customStyle="1">
    <w:name w:val="Andy_正文"/>
    <w:basedOn w:val="725"/>
    <w:qFormat/>
    <w:pPr>
      <w:ind w:firstLine="480"/>
      <w:spacing w:line="360" w:lineRule="auto"/>
    </w:pPr>
    <w:rPr>
      <w:rFonts w:eastAsia="楷体_GB2312"/>
      <w:sz w:val="24"/>
      <w:szCs w:val="20"/>
    </w:rPr>
  </w:style>
  <w:style w:type="paragraph" w:styleId="1025" w:customStyle="1">
    <w:name w:val="Char Char Char1"/>
    <w:basedOn w:val="725"/>
    <w:qFormat/>
    <w:pPr>
      <w:numPr>
        <w:numId w:val="2"/>
      </w:numPr>
    </w:pPr>
    <w:rPr>
      <w:rFonts w:ascii="Times New Roman" w:hAnsi="Times New Roman"/>
      <w:sz w:val="24"/>
      <w:szCs w:val="24"/>
    </w:rPr>
  </w:style>
  <w:style w:type="character" w:styleId="1026" w:customStyle="1">
    <w:name w:val="标题 1 字符"/>
    <w:uiPriority w:val="9"/>
    <w:qFormat/>
    <w:rPr>
      <w:b/>
      <w:bCs/>
      <w:sz w:val="44"/>
      <w:szCs w:val="44"/>
    </w:rPr>
  </w:style>
  <w:style w:type="character" w:styleId="1027" w:customStyle="1">
    <w:name w:val="脚注文本 字符"/>
    <w:basedOn w:val="735"/>
    <w:link w:val="764"/>
    <w:qFormat/>
    <w:rPr>
      <w:rFonts w:ascii="Calibri" w:hAnsi="Calibri" w:eastAsia="宋体" w:cs="Times New Roman"/>
    </w:rPr>
  </w:style>
  <w:style w:type="character" w:styleId="1028" w:customStyle="1">
    <w:name w:val="正文文本首行缩进 字符"/>
    <w:basedOn w:val="940"/>
    <w:link w:val="775"/>
    <w:uiPriority w:val="99"/>
    <w:qFormat/>
    <w:rPr>
      <w:rFonts w:ascii="Calibri" w:hAnsi="Calibri" w:eastAsia="宋体" w:cs="Times New Roman"/>
      <w:sz w:val="21"/>
      <w:szCs w:val="22"/>
    </w:rPr>
  </w:style>
  <w:style w:type="character" w:styleId="1029" w:customStyle="1">
    <w:name w:val="NormalCharacter1"/>
    <w:qFormat/>
  </w:style>
  <w:style w:type="character" w:styleId="1030" w:customStyle="1">
    <w:name w:val="未处理的提及1"/>
    <w:basedOn w:val="735"/>
    <w:uiPriority w:val="99"/>
    <w:semiHidden/>
    <w:unhideWhenUsed/>
    <w:qFormat/>
    <w:rPr>
      <w:color w:val="605e5c"/>
      <w:shd w:val="clear" w:color="auto" w:fill="e1dfdd"/>
    </w:rPr>
  </w:style>
  <w:style w:type="paragraph" w:styleId="1031">
    <w:name w:val="List Bullet"/>
    <w:basedOn w:val="726"/>
    <w:next w:val="725"/>
    <w:uiPriority w:val="99"/>
    <w:semiHidden/>
    <w:unhideWhenUsed/>
    <w:qFormat/>
    <w:pPr>
      <w:numPr>
        <w:numId w:val="5"/>
      </w:numPr>
      <w:ind w:left="0" w:firstLine="0"/>
      <w:spacing w:line="578" w:lineRule="auto"/>
      <w:tabs>
        <w:tab w:val="clear" w:pos="360" w:leader="none"/>
      </w:tabs>
    </w:pPr>
    <w:rPr>
      <w:rFonts w:eastAsia="楷体_GB2312"/>
      <w:bCs w:val="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nc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179E430-A62E-4EE2-A0A3-5BFA770E2AD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charly</dc:creator>
  <cp:lastModifiedBy>徐霄晨</cp:lastModifiedBy>
  <cp:revision>43</cp:revision>
  <dcterms:created xsi:type="dcterms:W3CDTF">2025-03-17T08:15:00Z</dcterms:created>
  <dcterms:modified xsi:type="dcterms:W3CDTF">2026-06-16T06:31:13Z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1D3127AF44434C3C9CBAE22674E05CC1_13</vt:lpwstr>
  </property>
  <property fmtid="{D5CDD505-2E9C-101B-9397-08002B2CF9AE}" pid="4" name="KSOTemplateDocerSaveRecord">
    <vt:lpwstr>eyJoZGlkIjoiMzc2MTA5ODI3Y2QzN2Y1MjFjNjAyMDFkNjdjZTEwMDciLCJ1c2VySWQiOiIyODI0MTExNzAifQ==</vt:lpwstr>
  </property>
</Properties>
</file>