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s="宋体"/>
          <w:color w:val="auto"/>
          <w:sz w:val="36"/>
          <w:highlight w:val="none"/>
        </w:rPr>
      </w:pPr>
      <w:r>
        <w:rPr>
          <w:rFonts w:ascii="宋体" w:hAnsi="宋体" w:cs="宋体"/>
          <w:color w:val="auto"/>
          <w:sz w:val="36"/>
          <w:highlight w:val="none"/>
        </w:rPr>
      </w:r>
      <w:r/>
    </w:p>
    <w:p>
      <w:pPr>
        <w:jc w:val="right"/>
        <w:spacing w:line="360" w:lineRule="auto"/>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JSZC-321000-SWGC-G2026-0055号</w:t>
      </w:r>
      <w:r/>
    </w:p>
    <w:p>
      <w:pPr>
        <w:spacing w:line="360" w:lineRule="auto"/>
        <w:rPr>
          <w:rFonts w:ascii="宋体" w:hAnsi="宋体" w:cs="宋体"/>
          <w:b/>
          <w:bCs/>
          <w:color w:val="auto"/>
          <w:sz w:val="36"/>
          <w:highlight w:val="none"/>
        </w:rPr>
      </w:pPr>
      <w:r>
        <w:rPr>
          <w:rFonts w:ascii="宋体" w:hAnsi="宋体" w:cs="宋体"/>
          <w:b/>
          <w:bCs/>
          <w:color w:val="auto"/>
          <w:sz w:val="36"/>
          <w:highlight w:val="none"/>
        </w:rPr>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扬州市无线电管理监测站卫星干扰逼近查找专用监测设施建设项目公开招标文件</w:t>
      </w:r>
      <w:r/>
    </w:p>
    <w:p>
      <w:pPr>
        <w:jc w:val="both"/>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3"/>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3" o:title=""/>
              </v:shape>
            </w:pict>
          </mc:Fallback>
        </mc:AlternateConten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b/>
          <w:bCs/>
          <w:color w:val="auto"/>
          <w:sz w:val="36"/>
          <w:highlight w:val="none"/>
        </w:rPr>
      </w:pPr>
      <w:r>
        <w:rPr>
          <w:rFonts w:ascii="宋体" w:hAnsi="宋体" w:cs="宋体"/>
          <w:b/>
          <w:bCs/>
          <w:color w:val="auto"/>
          <w:sz w:val="36"/>
          <w:highlight w:val="none"/>
        </w:rPr>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2026年</w:t>
      </w:r>
      <w:r>
        <w:rPr>
          <w:rFonts w:hint="eastAsia" w:ascii="宋体" w:hAnsi="宋体" w:cs="宋体"/>
          <w:b/>
          <w:bCs/>
          <w:color w:val="auto"/>
          <w:sz w:val="36"/>
          <w:highlight w:val="none"/>
          <w:lang w:val="en-US" w:eastAsia="zh-CN"/>
        </w:rPr>
        <w:t xml:space="preserve">5</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8</w:t>
      </w:r>
      <w:r>
        <w:rPr>
          <w:rFonts w:hint="eastAsia" w:ascii="宋体" w:hAnsi="宋体" w:cs="宋体"/>
          <w:b/>
          <w:bCs/>
          <w:color w:val="auto"/>
          <w:sz w:val="36"/>
          <w:highlight w:val="none"/>
        </w:rPr>
        <w:t xml:space="preserve">日</w:t>
      </w:r>
      <w:r/>
    </w:p>
    <w:p>
      <w:pPr>
        <w:jc w:val="center"/>
        <w:spacing w:line="360" w:lineRule="auto"/>
        <w:rPr>
          <w:rFonts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auto"/>
          <w:sz w:val="32"/>
          <w:highlight w:val="none"/>
        </w:rPr>
      </w:r>
      <w:r/>
    </w:p>
    <w:p>
      <w:pPr>
        <w:pStyle w:val="955"/>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目 录</w:t>
      </w:r>
      <w:r/>
    </w:p>
    <w:p>
      <w:pPr>
        <w:pStyle w:val="733"/>
        <w:spacing w:line="360" w:lineRule="auto"/>
        <w:tabs>
          <w:tab w:val="right" w:pos="8306" w:leader="dot"/>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采购公告</w:t>
      </w:r>
      <w:r>
        <w:rPr>
          <w:color w:val="auto"/>
          <w:highlight w:val="none"/>
        </w:rPr>
        <w:tab/>
      </w:r>
      <w:r>
        <w:rPr>
          <w:color w:val="auto"/>
          <w:highlight w:val="none"/>
        </w:rPr>
        <w:fldChar w:fldCharType="begin"/>
      </w:r>
      <w:r>
        <w:rPr>
          <w:color w:val="auto"/>
          <w:highlight w:val="none"/>
        </w:rPr>
        <w:instrText xml:space="preserve"> PAGEREF _Toc3619 \h </w:instrText>
      </w:r>
      <w:r>
        <w:rPr>
          <w:color w:val="auto"/>
          <w:highlight w:val="none"/>
        </w:rPr>
        <w:fldChar w:fldCharType="separate"/>
      </w:r>
      <w:r>
        <w:rPr>
          <w:color w:val="auto"/>
          <w:highlight w:val="none"/>
        </w:rPr>
        <w:t xml:space="preserve">3</w:t>
      </w:r>
      <w:r>
        <w:rPr>
          <w:color w:val="auto"/>
          <w:highlight w:val="none"/>
        </w:rPr>
        <w:fldChar w:fldCharType="end"/>
      </w:r>
      <w:r/>
    </w:p>
    <w:p>
      <w:pPr>
        <w:pStyle w:val="733"/>
        <w:spacing w:line="360" w:lineRule="auto"/>
        <w:tabs>
          <w:tab w:val="right" w:pos="8306" w:leader="dot"/>
        </w:tabs>
        <w:rPr>
          <w:color w:val="auto"/>
          <w:highlight w:val="none"/>
        </w:rPr>
      </w:pPr>
      <w:r>
        <w:rPr>
          <w:rFonts w:hint="eastAsia"/>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_Toc13371 \h </w:instrText>
      </w:r>
      <w:r>
        <w:rPr>
          <w:color w:val="auto"/>
          <w:highlight w:val="none"/>
        </w:rPr>
        <w:fldChar w:fldCharType="separate"/>
      </w:r>
      <w:r>
        <w:rPr>
          <w:color w:val="auto"/>
          <w:highlight w:val="none"/>
        </w:rPr>
        <w:t xml:space="preserve">7</w:t>
      </w:r>
      <w:r>
        <w:rPr>
          <w:color w:val="auto"/>
          <w:highlight w:val="none"/>
        </w:rPr>
        <w:fldChar w:fldCharType="end"/>
      </w:r>
      <w:r/>
    </w:p>
    <w:p>
      <w:pPr>
        <w:pStyle w:val="733"/>
        <w:spacing w:line="360" w:lineRule="auto"/>
        <w:tabs>
          <w:tab w:val="right" w:pos="8306" w:leader="dot"/>
        </w:tabs>
        <w:rPr>
          <w:color w:val="auto"/>
          <w:highlight w:val="none"/>
        </w:rPr>
      </w:pPr>
      <w:r>
        <w:rPr>
          <w:rFonts w:hint="eastAsia"/>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_Toc23141 \h </w:instrText>
      </w:r>
      <w:r>
        <w:rPr>
          <w:color w:val="auto"/>
          <w:highlight w:val="none"/>
        </w:rPr>
        <w:fldChar w:fldCharType="separate"/>
      </w:r>
      <w:r>
        <w:rPr>
          <w:color w:val="auto"/>
          <w:highlight w:val="none"/>
        </w:rPr>
        <w:t xml:space="preserve">18</w:t>
      </w:r>
      <w:r>
        <w:rPr>
          <w:color w:val="auto"/>
          <w:highlight w:val="none"/>
        </w:rPr>
        <w:fldChar w:fldCharType="end"/>
      </w:r>
      <w:r/>
    </w:p>
    <w:p>
      <w:pPr>
        <w:pStyle w:val="733"/>
        <w:spacing w:line="360" w:lineRule="auto"/>
        <w:tabs>
          <w:tab w:val="right" w:pos="8306" w:leader="dot"/>
        </w:tabs>
        <w:rPr>
          <w:color w:val="auto"/>
          <w:highlight w:val="none"/>
        </w:rPr>
      </w:pPr>
      <w:r>
        <w:rPr>
          <w:rFonts w:hint="eastAsia"/>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_Toc15957 \h </w:instrText>
      </w:r>
      <w:r>
        <w:rPr>
          <w:color w:val="auto"/>
          <w:highlight w:val="none"/>
        </w:rPr>
        <w:fldChar w:fldCharType="separate"/>
      </w:r>
      <w:r>
        <w:rPr>
          <w:color w:val="auto"/>
          <w:highlight w:val="none"/>
        </w:rPr>
        <w:t xml:space="preserve">22</w:t>
      </w:r>
      <w:r>
        <w:rPr>
          <w:color w:val="auto"/>
          <w:highlight w:val="none"/>
        </w:rPr>
        <w:fldChar w:fldCharType="end"/>
      </w:r>
      <w:r/>
    </w:p>
    <w:p>
      <w:pPr>
        <w:pStyle w:val="733"/>
        <w:spacing w:line="360" w:lineRule="auto"/>
        <w:tabs>
          <w:tab w:val="right" w:pos="8306" w:leader="dot"/>
        </w:tabs>
        <w:rPr>
          <w:color w:val="auto"/>
          <w:highlight w:val="none"/>
        </w:rPr>
      </w:pPr>
      <w:r>
        <w:rPr>
          <w:rFonts w:hint="eastAsia"/>
          <w:color w:val="auto"/>
          <w:highlight w:val="none"/>
        </w:rPr>
        <w:t xml:space="preserve">第五章 评标方法及评标标准</w:t>
      </w:r>
      <w:r>
        <w:rPr>
          <w:color w:val="auto"/>
          <w:highlight w:val="none"/>
        </w:rPr>
        <w:tab/>
      </w:r>
      <w:r>
        <w:rPr>
          <w:color w:val="auto"/>
          <w:highlight w:val="none"/>
        </w:rPr>
        <w:fldChar w:fldCharType="begin"/>
      </w:r>
      <w:r>
        <w:rPr>
          <w:color w:val="auto"/>
          <w:highlight w:val="none"/>
        </w:rPr>
        <w:instrText xml:space="preserve"> PAGEREF _Toc10862 \h </w:instrText>
      </w:r>
      <w:r>
        <w:rPr>
          <w:color w:val="auto"/>
          <w:highlight w:val="none"/>
        </w:rPr>
        <w:fldChar w:fldCharType="separate"/>
      </w:r>
      <w:r>
        <w:rPr>
          <w:color w:val="auto"/>
          <w:highlight w:val="none"/>
        </w:rPr>
        <w:t xml:space="preserve">30</w:t>
      </w:r>
      <w:r>
        <w:rPr>
          <w:color w:val="auto"/>
          <w:highlight w:val="none"/>
        </w:rPr>
        <w:fldChar w:fldCharType="end"/>
      </w:r>
      <w:r/>
    </w:p>
    <w:p>
      <w:pPr>
        <w:pStyle w:val="733"/>
        <w:spacing w:line="360" w:lineRule="auto"/>
        <w:tabs>
          <w:tab w:val="right" w:pos="8306" w:leader="dot"/>
        </w:tabs>
        <w:rPr>
          <w:color w:val="auto"/>
          <w:highlight w:val="none"/>
        </w:rPr>
      </w:pPr>
      <w:r>
        <w:rPr>
          <w:rFonts w:hint="eastAsia"/>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_Toc3287 \h </w:instrText>
      </w:r>
      <w:r>
        <w:rPr>
          <w:color w:val="auto"/>
          <w:highlight w:val="none"/>
        </w:rPr>
        <w:fldChar w:fldCharType="separate"/>
      </w:r>
      <w:r>
        <w:rPr>
          <w:color w:val="auto"/>
          <w:highlight w:val="none"/>
        </w:rPr>
        <w:t xml:space="preserve">35</w:t>
      </w:r>
      <w:r>
        <w:rPr>
          <w:color w:val="auto"/>
          <w:highlight w:val="none"/>
        </w:rPr>
        <w:fldChar w:fldCharType="end"/>
      </w:r>
      <w:r/>
    </w:p>
    <w:p>
      <w:pPr>
        <w:spacing w:line="360" w:lineRule="auto"/>
        <w:rPr>
          <w:rFonts w:ascii="宋体" w:hAnsi="宋体" w:cs="宋体"/>
          <w:color w:val="auto"/>
          <w:szCs w:val="21"/>
          <w:highlight w:val="none"/>
        </w:rPr>
      </w:pPr>
      <w:r>
        <w:rPr>
          <w:rFonts w:hint="eastAsia" w:ascii="宋体" w:hAnsi="宋体" w:cs="宋体"/>
          <w:color w:val="auto"/>
          <w:szCs w:val="21"/>
          <w:highlight w:val="none"/>
        </w:rPr>
        <w:fldChar w:fldCharType="end"/>
      </w:r>
      <w:r/>
    </w:p>
    <w:p>
      <w:pPr>
        <w:spacing w:line="360" w:lineRule="auto"/>
        <w:rPr>
          <w:rFonts w:ascii="宋体" w:hAnsi="宋体" w:cs="宋体"/>
          <w:color w:val="auto"/>
          <w:highlight w:val="none"/>
        </w:rPr>
      </w:pPr>
      <w:r>
        <w:rPr>
          <w:rFonts w:hint="eastAsia" w:ascii="宋体" w:hAnsi="宋体" w:cs="宋体"/>
          <w:color w:val="auto"/>
          <w:sz w:val="28"/>
          <w:highlight w:val="none"/>
        </w:rPr>
        <w:br w:type="page" w:clear="all"/>
      </w:r>
      <w:r/>
    </w:p>
    <w:p>
      <w:pPr>
        <w:pStyle w:val="705"/>
        <w:rPr>
          <w:color w:val="auto"/>
          <w:highlight w:val="none"/>
        </w:rPr>
      </w:pPr>
      <w:r/>
      <w:bookmarkStart w:id="0" w:name="_Toc3619"/>
      <w:r/>
      <w:bookmarkStart w:id="1" w:name="_Toc62"/>
      <w:r/>
      <w:bookmarkStart w:id="2" w:name="_Toc55204177"/>
      <w:r>
        <w:rPr>
          <w:rFonts w:hint="eastAsia"/>
          <w:color w:val="auto"/>
          <w:highlight w:val="none"/>
        </w:rPr>
        <w:t xml:space="preserve">第一章 </w:t>
      </w:r>
      <w:bookmarkEnd w:id="0"/>
      <w:r/>
      <w:bookmarkEnd w:id="1"/>
      <w:r/>
      <w:bookmarkStart w:id="3" w:name="_Toc27417"/>
      <w:r/>
      <w:bookmarkStart w:id="4" w:name="_Toc28446"/>
      <w:r>
        <w:rPr>
          <w:rFonts w:hint="eastAsia"/>
          <w:color w:val="auto"/>
          <w:highlight w:val="none"/>
        </w:rPr>
        <w:t xml:space="preserve">采购公告</w:t>
      </w:r>
      <w:bookmarkEnd w:id="2"/>
      <w:r/>
      <w:bookmarkEnd w:id="3"/>
      <w:r/>
      <w:bookmarkEnd w:id="4"/>
      <w:r/>
      <w:r/>
    </w:p>
    <w:p>
      <w:pPr>
        <w:ind w:firstLine="420"/>
        <w:jc w:val="left"/>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受扬州市无线电管理监测站的委托，江苏苏维工程管理有限公司就扬州市无线电管理监测站卫星干扰逼近查找专用监测设施建设项目（</w:t>
      </w:r>
      <w:r>
        <w:rPr>
          <w:rFonts w:hint="eastAsia" w:ascii="宋体" w:hAnsi="宋体" w:cs="宋体"/>
          <w:color w:val="auto"/>
          <w:szCs w:val="21"/>
          <w:highlight w:val="none"/>
          <w:lang w:eastAsia="zh-CN"/>
        </w:rPr>
        <w:t xml:space="preserve">JSZC-321000-SWGC-G2026-0055号</w:t>
      </w:r>
      <w:r>
        <w:rPr>
          <w:rFonts w:hint="eastAsia" w:ascii="宋体" w:hAnsi="宋体" w:cs="宋体"/>
          <w:color w:val="auto"/>
          <w:szCs w:val="21"/>
          <w:highlight w:val="none"/>
        </w:rPr>
        <w:t xml:space="preserve">）</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rPr>
        <w:t xml:space="preserve">扬州市无线电管理监测站卫星干扰逼近查找专用监测设施建设项目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“扬州市政府采购网”“江苏省政府采购网”和“中国政府采购网”自行免费下载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rPr>
        <w:t xml:space="preserve">2026年5月29日下午3:00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ind w:firstLine="422"/>
        <w:spacing w:line="360" w:lineRule="auto"/>
        <w:tabs>
          <w:tab w:val="left" w:pos="266" w:leader="none"/>
        </w:tabs>
        <w:rPr>
          <w:rFonts w:ascii="宋体" w:hAnsi="宋体" w:cs="宋体"/>
          <w:b/>
          <w:bCs/>
          <w:color w:val="auto"/>
          <w:highlight w:val="none"/>
        </w:rPr>
      </w:pPr>
      <w:r/>
      <w:bookmarkStart w:id="5" w:name="_Toc28359079"/>
      <w:r/>
      <w:bookmarkStart w:id="6" w:name="_Toc35393621"/>
      <w:r/>
      <w:bookmarkStart w:id="7" w:name="_Toc35393790"/>
      <w:r/>
      <w:bookmarkStart w:id="8" w:name="_Toc38985263"/>
      <w:r/>
      <w:bookmarkStart w:id="9" w:name="_Toc28359002"/>
      <w:r/>
      <w:bookmarkStart w:id="10" w:name="_Hlk24379207"/>
      <w:r>
        <w:rPr>
          <w:rFonts w:hint="eastAsia" w:ascii="宋体" w:hAnsi="宋体" w:cs="宋体"/>
          <w:b/>
          <w:bCs/>
          <w:color w:val="auto"/>
          <w:highlight w:val="none"/>
        </w:rPr>
        <w:t xml:space="preserve">一、项目基本情况</w:t>
      </w:r>
      <w:bookmarkEnd w:id="5"/>
      <w:r/>
      <w:bookmarkEnd w:id="6"/>
      <w:r/>
      <w:bookmarkEnd w:id="7"/>
      <w:r/>
      <w:bookmarkEnd w:id="8"/>
      <w:r/>
      <w:bookmarkEnd w:id="9"/>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1.项目编号：</w:t>
      </w:r>
      <w:r>
        <w:rPr>
          <w:rFonts w:hint="eastAsia" w:ascii="宋体" w:hAnsi="宋体" w:cs="宋体"/>
          <w:color w:val="auto"/>
          <w:szCs w:val="21"/>
          <w:highlight w:val="none"/>
          <w:lang w:eastAsia="zh-CN"/>
        </w:rPr>
        <w:t xml:space="preserve">JSZC-321000-SWGC-G2026-0055号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bookmarkEnd w:id="10"/>
      <w:r>
        <w:rPr>
          <w:rFonts w:hint="eastAsia" w:ascii="宋体" w:hAnsi="宋体" w:cs="宋体"/>
          <w:color w:val="auto"/>
          <w:highlight w:val="none"/>
        </w:rPr>
        <w:t xml:space="preserve">扬州市无线电管理监测站卫星干扰逼近查找专用监测设施建设项目</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3.预算金额：100</w:t>
      </w:r>
      <w:r>
        <w:rPr>
          <w:rFonts w:ascii="宋体" w:hAnsi="宋体"/>
          <w:color w:val="auto"/>
          <w:szCs w:val="21"/>
          <w:highlight w:val="none"/>
        </w:rPr>
        <w:t xml:space="preserve">万</w:t>
      </w:r>
      <w:r>
        <w:rPr>
          <w:rFonts w:hint="eastAsia" w:ascii="宋体" w:hAnsi="宋体" w:cs="宋体"/>
          <w:color w:val="auto"/>
          <w:highlight w:val="none"/>
        </w:rPr>
        <w:t xml:space="preserve">元</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4.最高限价：100万元，报价超过最高</w:t>
      </w:r>
      <w:r>
        <w:rPr>
          <w:rFonts w:hint="eastAsia" w:ascii="Times New Roman" w:hAnsi="Times New Roman" w:cs="宋体"/>
          <w:color w:val="auto"/>
          <w:highlight w:val="none"/>
        </w:rPr>
        <w:t xml:space="preserve">限价的为无效投标文件。</w:t>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5.采购需求：见招标文件第四章。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6.合同履行期限：见招标文件第四章。 </w:t>
      </w:r>
      <w:r/>
    </w:p>
    <w:p>
      <w:pPr>
        <w:ind w:firstLine="420"/>
        <w:spacing w:line="360" w:lineRule="auto"/>
        <w:rPr>
          <w:rFonts w:ascii="宋体" w:hAnsi="宋体" w:cs="宋体"/>
          <w:color w:val="auto"/>
          <w:highlight w:val="none"/>
        </w:rPr>
      </w:pPr>
      <w:r>
        <w:rPr>
          <w:rFonts w:hint="eastAsia" w:ascii="Times New Roman" w:hAnsi="Times New Roman" w:cs="宋体"/>
          <w:color w:val="auto"/>
          <w:highlight w:val="none"/>
        </w:rPr>
        <w:t xml:space="preserve">7.本项目</w:t>
      </w:r>
      <w:r>
        <w:rPr>
          <w:rFonts w:hint="eastAsia" w:ascii="Times New Roman" w:hAnsi="Times New Roman" w:cs="宋体"/>
          <w:i/>
          <w:iCs/>
          <w:color w:val="auto"/>
          <w:highlight w:val="none"/>
          <w:u w:val="single"/>
        </w:rPr>
        <w:t xml:space="preserve">不接受</w:t>
      </w:r>
      <w:r>
        <w:rPr>
          <w:rFonts w:hint="eastAsia" w:ascii="Times New Roman" w:hAnsi="Times New Roman" w:cs="宋体"/>
          <w:color w:val="auto"/>
          <w:highlight w:val="none"/>
        </w:rPr>
        <w:t xml:space="preserve">进口产品投标。</w:t>
      </w:r>
      <w:r/>
    </w:p>
    <w:p>
      <w:pPr>
        <w:ind w:firstLine="422"/>
        <w:spacing w:line="360" w:lineRule="auto"/>
        <w:tabs>
          <w:tab w:val="left" w:pos="266" w:leader="none"/>
        </w:tabs>
        <w:rPr>
          <w:rFonts w:ascii="宋体" w:hAnsi="宋体" w:cs="宋体"/>
          <w:b/>
          <w:bCs/>
          <w:color w:val="auto"/>
          <w:highlight w:val="none"/>
        </w:rPr>
      </w:pPr>
      <w:r/>
      <w:bookmarkStart w:id="11" w:name="_Toc28359080"/>
      <w:r/>
      <w:bookmarkStart w:id="12" w:name="_Toc38985264"/>
      <w:r/>
      <w:bookmarkStart w:id="13" w:name="_Toc35393791"/>
      <w:r/>
      <w:bookmarkStart w:id="14" w:name="_Toc28359003"/>
      <w:r/>
      <w:bookmarkStart w:id="15" w:name="_Toc35393622"/>
      <w:r>
        <w:rPr>
          <w:rFonts w:hint="eastAsia" w:ascii="宋体" w:hAnsi="宋体" w:cs="宋体"/>
          <w:b/>
          <w:bCs/>
          <w:color w:val="auto"/>
          <w:highlight w:val="none"/>
        </w:rPr>
        <w:t xml:space="preserve">二、申请人的资格要求：</w:t>
      </w:r>
      <w:bookmarkEnd w:id="11"/>
      <w:r/>
      <w:bookmarkEnd w:id="12"/>
      <w:r/>
      <w:bookmarkEnd w:id="13"/>
      <w:r/>
      <w:bookmarkEnd w:id="14"/>
      <w:r/>
      <w:bookmarkEnd w:id="1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（一）通用资格要求</w:t>
      </w:r>
      <w:r/>
    </w:p>
    <w:p>
      <w:pPr>
        <w:ind w:firstLine="420"/>
        <w:spacing w:line="360" w:lineRule="auto"/>
        <w:rPr>
          <w:rFonts w:ascii="宋体" w:hAnsi="宋体" w:cs="宋体"/>
          <w:color w:val="auto"/>
          <w:szCs w:val="21"/>
          <w:highlight w:val="none"/>
        </w:rPr>
      </w:pPr>
      <w:r/>
      <w:bookmarkStart w:id="16" w:name="_Toc28359004"/>
      <w:r/>
      <w:bookmarkStart w:id="17" w:name="_Toc28359081"/>
      <w:r/>
      <w:bookmarkStart w:id="18" w:name="_Toc35393792"/>
      <w:r/>
      <w:bookmarkStart w:id="19" w:name="_Toc38985265"/>
      <w:r/>
      <w:bookmarkStart w:id="20" w:name="_Toc35393623"/>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2024年度或2025年度的财务报告情况</w:t>
      </w:r>
      <w:r>
        <w:rPr>
          <w:rFonts w:hint="eastAsia" w:ascii="宋体" w:hAnsi="宋体" w:cs="宋体"/>
          <w:b/>
          <w:bCs/>
          <w:i/>
          <w:iCs/>
          <w:color w:val="auto"/>
          <w:szCs w:val="21"/>
          <w:highlight w:val="none"/>
          <w:u w:val="single"/>
        </w:rPr>
        <w:t xml:space="preserve">（成立不满一年无需提供）</w:t>
      </w:r>
      <w:r/>
    </w:p>
    <w:p>
      <w:pPr>
        <w:ind w:firstLine="420"/>
        <w:spacing w:line="360" w:lineRule="auto"/>
        <w:rPr>
          <w:rFonts w:ascii="宋体" w:hAnsi="宋体" w:cs="宋体"/>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b/>
          <w:bCs/>
          <w:i/>
          <w:iCs/>
          <w:color w:val="auto"/>
          <w:szCs w:val="21"/>
          <w:highlight w:val="none"/>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供应商信用承诺书；</w:t>
      </w:r>
      <w:r/>
    </w:p>
    <w:p>
      <w:pPr>
        <w:ind w:firstLine="420"/>
        <w:spacing w:line="360" w:lineRule="auto"/>
        <w:rPr>
          <w:color w:val="auto"/>
          <w:highlight w:val="non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Cs w:val="21"/>
          <w:highlight w:val="none"/>
          <w:u w:val="single"/>
        </w:rPr>
        <w:t xml:space="preserve">（投标文件中无需提供证明材料）</w:t>
      </w:r>
      <w:r/>
    </w:p>
    <w:p>
      <w:pPr>
        <w:pStyle w:val="720"/>
        <w:ind w:firstLine="420"/>
        <w:rPr>
          <w:color w:val="auto"/>
          <w:highlight w:val="none"/>
        </w:rPr>
      </w:pPr>
      <w:r>
        <w:rPr>
          <w:rFonts w:hint="eastAsia" w:ascii="宋体" w:hAnsi="宋体" w:cs="宋体"/>
          <w:i/>
          <w:iCs/>
          <w:color w:val="auto"/>
          <w:szCs w:val="21"/>
          <w:highlight w:val="none"/>
          <w:u w:val="single"/>
        </w:rPr>
        <w:t xml:space="preserve">1.8法律、行政法规规定的其他条件；（投标文件中无需提供证明材料）</w:t>
      </w:r>
      <w:r/>
    </w:p>
    <w:p>
      <w:pPr>
        <w:ind w:firstLine="420"/>
        <w:spacing w:line="360" w:lineRule="auto"/>
        <w:rPr>
          <w:color w:val="auto"/>
          <w:highlight w:val="none"/>
        </w:rPr>
      </w:pPr>
      <w:r>
        <w:rPr>
          <w:color w:val="auto"/>
          <w:highlight w:val="none"/>
        </w:rPr>
      </w:r>
      <w:r/>
    </w:p>
    <w:p>
      <w:pPr>
        <w:ind w:firstLine="420"/>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iCs/>
          <w:color w:val="auto"/>
          <w:szCs w:val="21"/>
          <w:highlight w:val="none"/>
        </w:rPr>
        <w:t xml:space="preserve">无</w:t>
      </w:r>
      <w:r/>
    </w:p>
    <w:p>
      <w:pPr>
        <w:ind w:firstLine="420"/>
        <w:spacing w:line="360" w:lineRule="auto"/>
        <w:rPr>
          <w:rFonts w:ascii="宋体" w:hAnsi="宋体"/>
          <w:color w:val="auto"/>
          <w:szCs w:val="21"/>
          <w:highlight w:val="none"/>
        </w:rPr>
      </w:pPr>
      <w:r>
        <w:rPr>
          <w:rFonts w:hint="eastAsia" w:ascii="宋体" w:hAnsi="宋体" w:cs="宋体"/>
          <w:color w:val="auto"/>
          <w:highlight w:val="none"/>
        </w:rPr>
        <w:t xml:space="preserve">3.</w:t>
      </w:r>
      <w:r>
        <w:rPr>
          <w:rFonts w:hint="eastAsia" w:ascii="Times New Roman" w:hAnsi="Times New Roman" w:cs="宋体"/>
          <w:color w:val="auto"/>
          <w:szCs w:val="21"/>
          <w:highlight w:val="none"/>
        </w:rPr>
        <w:t xml:space="preserve">联合体投标。</w:t>
      </w:r>
      <w:r/>
    </w:p>
    <w:tbl>
      <w:tblPr>
        <w:tblStyle w:val="715"/>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采购</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包号</w:t>
            </w:r>
            <w:r/>
          </w:p>
        </w:tc>
        <w:tc>
          <w:tcPr>
            <w:tcW w:w="2968" w:type="dxa"/>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是否接受联合体</w:t>
            </w:r>
            <w:r>
              <w:rPr>
                <w:rFonts w:ascii="宋体" w:hAnsi="宋体"/>
                <w:color w:val="auto"/>
                <w:szCs w:val="21"/>
                <w:highlight w:val="none"/>
              </w:rPr>
              <w:t xml:space="preserve">投标</w:t>
            </w:r>
            <w:r/>
          </w:p>
          <w:p>
            <w:pPr>
              <w:jc w:val="center"/>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是/否</w:t>
            </w:r>
            <w:r>
              <w:rPr>
                <w:rFonts w:ascii="宋体" w:hAnsi="宋体"/>
                <w:color w:val="auto"/>
                <w:szCs w:val="21"/>
                <w:highlight w:val="none"/>
              </w:rPr>
              <w:t xml:space="preserve">）</w:t>
            </w:r>
            <w:r/>
          </w:p>
        </w:tc>
        <w:tc>
          <w:tcPr>
            <w:tcW w:w="2967" w:type="dxa"/>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该采购包中</w:t>
            </w:r>
            <w:r>
              <w:rPr>
                <w:rFonts w:ascii="宋体" w:hAnsi="宋体"/>
                <w:color w:val="auto"/>
                <w:szCs w:val="21"/>
                <w:highlight w:val="none"/>
              </w:rPr>
              <w:t xml:space="preserve">联合体成员数量</w:t>
            </w:r>
            <w:r>
              <w:rPr>
                <w:rFonts w:hint="eastAsia" w:ascii="宋体" w:hAnsi="宋体"/>
                <w:color w:val="auto"/>
                <w:szCs w:val="21"/>
                <w:highlight w:val="none"/>
              </w:rPr>
              <w:t xml:space="preserve">上限</w:t>
            </w:r>
            <w:r/>
          </w:p>
        </w:tc>
      </w:tr>
      <w:tr>
        <w:trPr/>
        <w:tc>
          <w:tcPr>
            <w:tcW w:w="1148" w:type="dxa"/>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2968" w:type="dxa"/>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否</w:t>
            </w:r>
            <w:r/>
          </w:p>
        </w:tc>
        <w:tc>
          <w:tcPr>
            <w:tcW w:w="2967" w:type="dxa"/>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w:t>
            </w:r>
            <w:r/>
          </w:p>
        </w:tc>
      </w:tr>
    </w:tbl>
    <w:p>
      <w:pPr>
        <w:ind w:firstLine="420"/>
        <w:spacing w:line="360" w:lineRule="auto"/>
        <w:rPr>
          <w:rFonts w:ascii="宋体" w:hAnsi="宋体" w:cs="宋体"/>
          <w:i/>
          <w:color w:val="auto"/>
          <w:szCs w:val="21"/>
          <w:highlight w:val="none"/>
          <w:u w:val="single"/>
        </w:rPr>
      </w:pPr>
      <w:r>
        <w:rPr>
          <w:rFonts w:ascii="宋体" w:hAnsi="宋体" w:cs="宋体"/>
          <w:i/>
          <w:color w:val="auto"/>
          <w:szCs w:val="21"/>
          <w:highlight w:val="none"/>
          <w:u w:val="singl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（二）本项目的特定资格要求</w:t>
      </w:r>
      <w:r/>
    </w:p>
    <w:tbl>
      <w:tblPr>
        <w:tblStyle w:val="715"/>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包号</w:t>
            </w:r>
            <w:r/>
          </w:p>
        </w:tc>
        <w:tc>
          <w:tcPr>
            <w:tcW w:w="5921"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特定资格要求</w:t>
            </w:r>
            <w:r/>
          </w:p>
        </w:tc>
      </w:tr>
      <w:tr>
        <w:trPr/>
        <w:tc>
          <w:tcPr>
            <w:tcW w:w="1148"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5921"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无</w:t>
            </w:r>
            <w:r/>
          </w:p>
        </w:tc>
      </w:tr>
    </w:tbl>
    <w:p>
      <w:pPr>
        <w:ind w:firstLine="420"/>
        <w:spacing w:line="360" w:lineRule="auto"/>
        <w:rPr>
          <w:color w:val="auto"/>
          <w:highlight w:val="none"/>
        </w:rPr>
      </w:pP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（三）其它资格条件：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i/>
          <w:iCs/>
          <w:color w:val="auto"/>
          <w:szCs w:val="21"/>
          <w:highlight w:val="none"/>
          <w:u w:val="single"/>
        </w:rPr>
      </w:pPr>
      <w:r>
        <w:rPr>
          <w:rFonts w:hint="eastAsia" w:ascii="宋体" w:hAnsi="宋体" w:cs="宋体"/>
          <w:color w:val="auto"/>
          <w:szCs w:val="21"/>
          <w:highlight w:val="none"/>
        </w:rPr>
        <w:t xml:space="preserve">（2）凡为采购项目提供整体设计、规范编制或者项目管理、监理、检测等服务的供应商，不得再参加本项目的采购活动；</w:t>
      </w:r>
      <w:r/>
    </w:p>
    <w:p>
      <w:pPr>
        <w:ind w:firstLine="63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6"/>
      <w:r/>
      <w:bookmarkEnd w:id="17"/>
      <w:r/>
      <w:bookmarkEnd w:id="18"/>
      <w:r/>
      <w:bookmarkEnd w:id="19"/>
      <w:r/>
      <w:bookmarkEnd w:id="20"/>
      <w:r/>
      <w:r/>
    </w:p>
    <w:p>
      <w:pPr>
        <w:ind w:firstLine="420"/>
        <w:spacing w:line="360" w:lineRule="auto"/>
        <w:rPr>
          <w:rFonts w:ascii="宋体" w:hAnsi="宋体" w:cs="宋体"/>
          <w:color w:val="auto"/>
          <w:highlight w:val="none"/>
        </w:rPr>
      </w:pPr>
      <w:r/>
      <w:bookmarkStart w:id="21" w:name="_Toc28359082"/>
      <w:r/>
      <w:bookmarkStart w:id="22" w:name="_Toc28359005"/>
      <w:r/>
      <w:bookmarkStart w:id="23" w:name="_Toc38985266"/>
      <w:r/>
      <w:bookmarkStart w:id="24" w:name="_Toc35393624"/>
      <w:r/>
      <w:bookmarkStart w:id="25" w:name="_Toc35393793"/>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2.获取方式：本项目采用网上注册登记方式。</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3.潜在供应商访问政府采购管理交易系统（苏采云）的网络地址和方法：</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pStyle w:val="741"/>
        <w:ind w:firstLine="600"/>
        <w:jc w:val="both"/>
        <w:spacing w:beforeAutospacing="0" w:afterAutospacing="0" w:line="360" w:lineRule="auto"/>
        <w:rPr>
          <w:color w:val="auto"/>
          <w:highlight w:val="none"/>
        </w:rPr>
      </w:pPr>
      <w:r>
        <w:rPr>
          <w:rFonts w:hint="eastAsia" w:ascii="宋体" w:hAnsi="宋体" w:cs="宋体"/>
          <w:b/>
          <w:bCs/>
          <w:color w:val="auto"/>
          <w:sz w:val="21"/>
          <w:szCs w:val="21"/>
          <w:highlight w:val="none"/>
          <w:shd w:val="clear" w:color="auto" w:fill="ffffff"/>
        </w:rPr>
        <w:t xml:space="preserve">http://zfcg.yangzhou.gov.cn/xzzx/art/2023/art_4d7de1f7865f4a2894fc22bc452f94d8.html.</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21"/>
      <w:r/>
      <w:bookmarkEnd w:id="22"/>
      <w:r>
        <w:rPr>
          <w:rFonts w:hint="eastAsia" w:ascii="宋体" w:hAnsi="宋体" w:cs="宋体"/>
          <w:b/>
          <w:bCs/>
          <w:color w:val="auto"/>
          <w:highlight w:val="none"/>
        </w:rPr>
        <w:t xml:space="preserve">截止时间、开标时间和地点</w:t>
      </w:r>
      <w:bookmarkEnd w:id="23"/>
      <w:r/>
      <w:bookmarkEnd w:id="24"/>
      <w:r/>
      <w:bookmarkEnd w:id="25"/>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rPr>
        <w:t xml:space="preserve">2026年5月29日下午3:00</w:t>
      </w:r>
      <w:r>
        <w:rPr>
          <w:rFonts w:hint="eastAsia" w:ascii="宋体" w:hAnsi="宋体" w:cs="宋体"/>
          <w:bCs/>
          <w:color w:val="auto"/>
          <w:highlight w:val="none"/>
          <w:u w:val="single"/>
        </w:rPr>
        <w:t xml:space="preserve"> </w:t>
      </w:r>
      <w:r>
        <w:rPr>
          <w:rFonts w:hint="eastAsia" w:ascii="宋体" w:hAnsi="宋体" w:cs="宋体"/>
          <w:color w:val="auto"/>
          <w:highlight w:val="none"/>
        </w:rPr>
        <w:t xml:space="preserve">（北京时间）</w:t>
      </w:r>
      <w:r/>
    </w:p>
    <w:p>
      <w:pPr>
        <w:ind w:firstLine="420"/>
        <w:spacing w:line="360" w:lineRule="auto"/>
        <w:rPr>
          <w:rFonts w:ascii="宋体" w:hAnsi="宋体" w:cs="宋体"/>
          <w:b/>
          <w:color w:val="auto"/>
          <w:szCs w:val="21"/>
          <w:highlight w:val="none"/>
        </w:rPr>
      </w:pPr>
      <w:r>
        <w:rPr>
          <w:rFonts w:hint="eastAsia" w:ascii="宋体" w:hAnsi="宋体" w:cs="宋体"/>
          <w:color w:val="auto"/>
          <w:highlight w:val="none"/>
        </w:rPr>
        <w:t xml:space="preserve">2.开标地点：</w:t>
      </w:r>
      <w:r>
        <w:rPr>
          <w:rFonts w:hint="eastAsia" w:ascii="宋体" w:hAnsi="宋体" w:cs="宋体"/>
          <w:color w:val="auto"/>
          <w:szCs w:val="21"/>
          <w:highlight w:val="none"/>
        </w:rPr>
        <w:t xml:space="preserve">“苏采云”系统（网址：http://jszfcg.jsczt.cn/）</w:t>
      </w:r>
      <w:r/>
    </w:p>
    <w:p>
      <w:pPr>
        <w:ind w:firstLine="422"/>
        <w:spacing w:line="360" w:lineRule="auto"/>
        <w:tabs>
          <w:tab w:val="left" w:pos="266" w:leader="none"/>
        </w:tabs>
        <w:rPr>
          <w:rFonts w:ascii="宋体" w:hAnsi="宋体" w:cs="宋体"/>
          <w:b/>
          <w:bCs/>
          <w:color w:val="auto"/>
          <w:highlight w:val="none"/>
        </w:rPr>
      </w:pPr>
      <w:r/>
      <w:bookmarkStart w:id="26" w:name="_Toc35393794"/>
      <w:r/>
      <w:bookmarkStart w:id="27" w:name="_Toc28359084"/>
      <w:r/>
      <w:bookmarkStart w:id="28" w:name="_Toc35393625"/>
      <w:r/>
      <w:bookmarkStart w:id="29" w:name="_Toc38985267"/>
      <w:r/>
      <w:bookmarkStart w:id="30" w:name="_Toc28359007"/>
      <w:r>
        <w:rPr>
          <w:rFonts w:hint="eastAsia" w:ascii="宋体" w:hAnsi="宋体" w:cs="宋体"/>
          <w:b/>
          <w:bCs/>
          <w:color w:val="auto"/>
          <w:highlight w:val="none"/>
        </w:rPr>
        <w:t xml:space="preserve">五、公告期限</w:t>
      </w:r>
      <w:bookmarkEnd w:id="26"/>
      <w:r/>
      <w:bookmarkEnd w:id="27"/>
      <w:r/>
      <w:bookmarkEnd w:id="28"/>
      <w:r/>
      <w:bookmarkEnd w:id="29"/>
      <w:r/>
      <w:bookmarkEnd w:id="30"/>
      <w:r/>
      <w:r/>
    </w:p>
    <w:p>
      <w:pPr>
        <w:ind w:firstLine="420"/>
        <w:spacing w:line="360" w:lineRule="auto"/>
        <w:rPr>
          <w:rFonts w:ascii="宋体" w:hAnsi="宋体" w:cs="宋体"/>
          <w:color w:val="auto"/>
          <w:highlight w:val="none"/>
        </w:rPr>
      </w:pPr>
      <w:r/>
      <w:bookmarkStart w:id="31" w:name="_Toc38985268"/>
      <w:r/>
      <w:bookmarkStart w:id="32" w:name="_Toc35393626"/>
      <w:r/>
      <w:bookmarkStart w:id="33" w:name="_Toc35393795"/>
      <w:r>
        <w:rPr>
          <w:rFonts w:hint="eastAsia" w:ascii="宋体" w:hAnsi="宋体" w:cs="宋体"/>
          <w:color w:val="auto"/>
          <w:highlight w:val="none"/>
        </w:rPr>
        <w:t xml:space="preserve">招标公告及招标文件公告期限为自本公告发布之日起5个工作日。</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31"/>
      <w:r/>
      <w:bookmarkEnd w:id="32"/>
      <w:r/>
      <w:bookmarkEnd w:id="33"/>
      <w:r/>
      <w:r/>
    </w:p>
    <w:p>
      <w:pPr>
        <w:ind w:firstLine="422"/>
        <w:spacing w:line="360" w:lineRule="auto"/>
        <w:rPr>
          <w:rFonts w:ascii="宋体" w:hAnsi="宋体" w:cs="宋体"/>
          <w:b/>
          <w:bCs/>
          <w:color w:val="auto"/>
          <w:highlight w:val="none"/>
        </w:rPr>
      </w:pPr>
      <w:r/>
      <w:bookmarkStart w:id="34" w:name="_Toc35393627"/>
      <w:r/>
      <w:bookmarkStart w:id="35" w:name="_Toc28359008"/>
      <w:r/>
      <w:bookmarkStart w:id="36" w:name="_Toc35393796"/>
      <w:r/>
      <w:bookmarkStart w:id="37" w:name="_Toc28359085"/>
      <w:r/>
      <w:bookmarkStart w:id="38" w:name="_Toc38985269"/>
      <w:r>
        <w:rPr>
          <w:rFonts w:hint="eastAsia" w:ascii="宋体" w:hAnsi="宋体" w:cs="宋体"/>
          <w:b/>
          <w:bCs/>
          <w:color w:val="auto"/>
          <w:highlight w:val="none"/>
        </w:rPr>
        <w:t xml:space="preserve">1.根据省财政厅《关于更换全省政府采购交易系统CA数字证书和电子</w:t>
      </w:r>
      <w:r>
        <w:rPr>
          <w:rFonts w:hint="eastAsia" w:ascii="宋体" w:hAnsi="宋体" w:cs="宋体"/>
          <w:b/>
          <w:bCs/>
          <w:color w:val="auto"/>
          <w:highlight w:val="none"/>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22"/>
        <w:spacing w:line="360" w:lineRule="auto"/>
        <w:rPr>
          <w:rFonts w:ascii="宋体" w:hAnsi="宋体" w:cs="宋体"/>
          <w:b/>
          <w:bCs/>
          <w:color w:val="auto"/>
          <w:szCs w:val="21"/>
          <w:highlight w:val="none"/>
        </w:rPr>
      </w:pPr>
      <w:r>
        <w:rPr>
          <w:rFonts w:hint="eastAsia" w:ascii="宋体" w:hAnsi="宋体" w:cs="宋体"/>
          <w:b/>
          <w:bCs/>
          <w:color w:val="auto"/>
          <w:highlight w:val="none"/>
        </w:rPr>
        <w:t xml:space="preserve">领取CA和办理电子签章（请至扬州市文昌东路9号广陵新城市民中心1号楼5楼办理，具体联系方式：18952716110）。</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 </w:t>
      </w:r>
      <w:r>
        <w:rPr>
          <w:rFonts w:hint="eastAsia" w:ascii="宋体" w:hAnsi="宋体" w:cs="宋体"/>
          <w:color w:val="auto"/>
          <w:highlight w:val="none"/>
        </w:rPr>
        <w:t xml:space="preserve">投标保证金。</w:t>
      </w:r>
      <w:r/>
    </w:p>
    <w:p>
      <w:pPr>
        <w:ind w:firstLine="420"/>
        <w:spacing w:line="360" w:lineRule="auto"/>
        <w:rPr>
          <w:rFonts w:ascii="宋体" w:hAnsi="宋体" w:cs="宋体"/>
          <w:bCs/>
          <w:color w:val="auto"/>
          <w:highlight w:val="none"/>
        </w:rPr>
      </w:pPr>
      <w:r>
        <w:rPr>
          <w:rFonts w:hint="eastAsia" w:ascii="宋体" w:hAnsi="宋体" w:cs="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rPr>
        <w:t xml:space="preserve">“扬州市政府采购网”“江苏省政府采购网”和“中国政府采购网”</w:t>
      </w:r>
      <w:r>
        <w:rPr>
          <w:rFonts w:hint="eastAsia" w:ascii="宋体" w:hAnsi="宋体" w:cs="宋体"/>
          <w:bCs/>
          <w:color w:val="auto"/>
          <w:highlight w:val="none"/>
        </w:rPr>
        <w:t xml:space="preserve">发布的信息。</w:t>
      </w:r>
      <w:r/>
    </w:p>
    <w:p>
      <w:pPr>
        <w:ind w:firstLine="422"/>
        <w:spacing w:line="360" w:lineRule="auto"/>
        <w:tabs>
          <w:tab w:val="left" w:pos="266" w:leader="none"/>
        </w:tabs>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8.本项目严格执行政府采购关于支持节能产品</w:t>
      </w:r>
      <w:r>
        <w:rPr>
          <w:rFonts w:hint="eastAsia" w:ascii="宋体" w:hAnsi="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9.供应商对于所投产品的包装应按照“财办库〔2020〕123号《关于印发《商品包装政府采购需求标准（试行）》《快递包装政府采购需求标准（试行）》的通知》”执行。</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10.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4"/>
      <w:r/>
      <w:bookmarkEnd w:id="35"/>
      <w:r/>
      <w:bookmarkEnd w:id="36"/>
      <w:r/>
      <w:bookmarkEnd w:id="37"/>
      <w:r/>
      <w:bookmarkEnd w:id="38"/>
      <w:r/>
      <w:r/>
    </w:p>
    <w:p>
      <w:pPr>
        <w:ind w:firstLine="420"/>
        <w:jc w:val="left"/>
        <w:spacing w:line="360" w:lineRule="auto"/>
        <w:widowControl/>
        <w:rPr>
          <w:rFonts w:ascii="宋体" w:hAnsi="宋体" w:cs="宋体"/>
          <w:color w:val="auto"/>
          <w:szCs w:val="21"/>
          <w:highlight w:val="none"/>
        </w:rPr>
      </w:pPr>
      <w:r/>
      <w:bookmarkStart w:id="39" w:name="_Toc28359010"/>
      <w:r/>
      <w:bookmarkStart w:id="40" w:name="_Toc28359087"/>
      <w:r>
        <w:rPr>
          <w:rFonts w:hint="eastAsia" w:ascii="宋体" w:hAnsi="宋体" w:cs="宋体"/>
          <w:color w:val="auto"/>
          <w:highlight w:val="none"/>
        </w:rPr>
        <w:t xml:space="preserve">1.采购人信息</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s="宋体"/>
          <w:color w:val="auto"/>
          <w:szCs w:val="21"/>
          <w:highlight w:val="none"/>
        </w:rPr>
        <w:t xml:space="preserve">扬州市无线电管理监测站</w:t>
      </w:r>
      <w:r/>
    </w:p>
    <w:p>
      <w:pPr>
        <w:ind w:firstLine="420"/>
        <w:jc w:val="left"/>
        <w:spacing w:line="360" w:lineRule="auto"/>
        <w:rPr>
          <w:rFonts w:ascii="宋体" w:hAnsi="宋体" w:cs="宋体"/>
          <w:color w:val="auto"/>
          <w:highlight w:val="none"/>
        </w:rPr>
      </w:pPr>
      <w:r/>
      <w:bookmarkStart w:id="41" w:name="_Toc28359086"/>
      <w:r/>
      <w:bookmarkStart w:id="42" w:name="_Toc28359009"/>
      <w:r>
        <w:rPr>
          <w:rFonts w:hint="eastAsia" w:ascii="宋体" w:hAnsi="宋体" w:cs="宋体"/>
          <w:color w:val="auto"/>
          <w:highlight w:val="none"/>
        </w:rPr>
        <w:t xml:space="preserve">地 址：</w:t>
      </w:r>
      <w:r>
        <w:rPr>
          <w:rFonts w:hint="eastAsia" w:ascii="Times New Roman" w:hAnsi="Times New Roman"/>
          <w:color w:val="auto"/>
          <w:szCs w:val="21"/>
          <w:highlight w:val="none"/>
        </w:rPr>
        <w:t xml:space="preserve">扬州市</w:t>
      </w:r>
      <w:r>
        <w:rPr>
          <w:rFonts w:hint="eastAsia" w:ascii="Times New Roman" w:hAnsi="Times New Roman"/>
          <w:color w:val="auto"/>
          <w:szCs w:val="21"/>
          <w:highlight w:val="none"/>
          <w:lang w:val="en-US" w:eastAsia="zh-CN"/>
        </w:rPr>
        <w:t xml:space="preserve">广陵区</w:t>
      </w:r>
      <w:r>
        <w:rPr>
          <w:rFonts w:hint="eastAsia" w:ascii="Times New Roman" w:hAnsi="Times New Roman"/>
          <w:color w:val="auto"/>
          <w:szCs w:val="21"/>
          <w:highlight w:val="none"/>
        </w:rPr>
        <w:t xml:space="preserve">淮海路51号</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联系人：周峥</w:t>
      </w:r>
      <w:r/>
    </w:p>
    <w:p>
      <w:pPr>
        <w:ind w:firstLine="420"/>
        <w:jc w:val="left"/>
        <w:spacing w:line="360" w:lineRule="auto"/>
        <w:rPr>
          <w:rFonts w:ascii="宋体" w:hAnsi="宋体" w:cs="宋体"/>
          <w:color w:val="auto"/>
          <w:szCs w:val="21"/>
          <w:highlight w:val="none"/>
        </w:rPr>
      </w:pPr>
      <w:r>
        <w:rPr>
          <w:rFonts w:hint="eastAsia" w:ascii="宋体" w:hAnsi="宋体" w:cs="宋体"/>
          <w:color w:val="auto"/>
          <w:highlight w:val="none"/>
        </w:rPr>
        <w:t xml:space="preserve">联系方式：0514-87939302 </w:t>
      </w:r>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2.采购代理机构信息</w:t>
      </w:r>
      <w:bookmarkEnd w:id="41"/>
      <w:r/>
      <w:bookmarkEnd w:id="42"/>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扬州市邗江区翠岗路48号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cs="宋体"/>
          <w:color w:val="auto"/>
          <w:highlight w:val="none"/>
          <w:lang w:val="en-US" w:eastAsia="zh-CN"/>
        </w:rPr>
        <w:t xml:space="preserve">阮玉婷、</w:t>
      </w:r>
      <w:bookmarkStart w:id="109" w:name="_GoBack"/>
      <w:r/>
      <w:bookmarkEnd w:id="109"/>
      <w:r>
        <w:rPr>
          <w:rFonts w:hint="eastAsia" w:ascii="宋体" w:hAnsi="宋体" w:cs="宋体"/>
          <w:color w:val="auto"/>
          <w:szCs w:val="21"/>
          <w:highlight w:val="none"/>
        </w:rPr>
        <w:t xml:space="preserve">金雨薇</w:t>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联系方式：</w:t>
      </w:r>
      <w:bookmarkEnd w:id="39"/>
      <w:r/>
      <w:bookmarkEnd w:id="40"/>
      <w:r>
        <w:rPr>
          <w:rFonts w:hint="eastAsia" w:ascii="宋体" w:hAnsi="宋体" w:cs="宋体"/>
          <w:color w:val="auto"/>
          <w:szCs w:val="21"/>
          <w:highlight w:val="none"/>
        </w:rPr>
        <w:t xml:space="preserve">0514-82129596</w:t>
      </w:r>
      <w:r/>
    </w:p>
    <w:p>
      <w:pPr>
        <w:spacing w:line="360" w:lineRule="auto"/>
        <w:rPr>
          <w:color w:val="auto"/>
          <w:highlight w:val="none"/>
        </w:rPr>
      </w:pPr>
      <w:r/>
      <w:bookmarkStart w:id="43" w:name="_Toc55204178"/>
      <w:r/>
      <w:bookmarkStart w:id="44" w:name="_Toc13371"/>
      <w:r>
        <w:rPr>
          <w:rFonts w:hint="eastAsia"/>
          <w:color w:val="auto"/>
          <w:highlight w:val="none"/>
        </w:rPr>
        <w:br w:type="page" w:clear="all"/>
      </w:r>
      <w:r/>
    </w:p>
    <w:p>
      <w:pPr>
        <w:pStyle w:val="705"/>
        <w:rPr>
          <w:color w:val="auto"/>
          <w:highlight w:val="none"/>
        </w:rPr>
      </w:pPr>
      <w:r>
        <w:rPr>
          <w:rFonts w:hint="eastAsia"/>
          <w:color w:val="auto"/>
          <w:highlight w:val="none"/>
        </w:rPr>
        <w:t xml:space="preserve">第二章 投标人须知</w:t>
      </w:r>
      <w:bookmarkEnd w:id="43"/>
      <w:r/>
      <w:bookmarkEnd w:id="44"/>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1.采购人式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 本次招标采取公开采购人式，本招标文件仅适用于</w:t>
      </w:r>
      <w:r>
        <w:rPr>
          <w:rFonts w:hint="eastAsia" w:ascii="宋体" w:hAnsi="宋体" w:cs="宋体"/>
          <w:bCs/>
          <w:color w:val="auto"/>
          <w:szCs w:val="21"/>
          <w:highlight w:val="none"/>
          <w:lang w:eastAsia="zh-CN"/>
        </w:rPr>
        <w:t xml:space="preserve">JSZC-321000-SWGC-G2026-0055号</w:t>
      </w:r>
      <w:r>
        <w:rPr>
          <w:rFonts w:hint="eastAsia" w:ascii="宋体" w:hAnsi="宋体" w:cs="宋体"/>
          <w:bCs/>
          <w:color w:val="auto"/>
          <w:szCs w:val="21"/>
          <w:highlight w:val="none"/>
        </w:rPr>
        <w:t xml:space="preserve">项目。</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0"/>
        <w:spacing w:line="360" w:lineRule="auto"/>
        <w:rPr>
          <w:rFonts w:ascii="宋体" w:hAnsi="宋体" w:cs="宋体"/>
          <w:bCs/>
          <w:color w:val="auto"/>
          <w:szCs w:val="21"/>
          <w:highlight w:val="none"/>
        </w:rPr>
      </w:pPr>
      <w:r>
        <w:rPr>
          <w:rFonts w:hint="eastAsia" w:ascii="Times New Roman" w:hAnsi="Times New Roman"/>
          <w:bCs/>
          <w:color w:val="auto"/>
          <w:szCs w:val="21"/>
          <w:highlight w:val="none"/>
        </w:rPr>
        <w:t xml:space="preserve">3.2在本项目政府采购活动过程中，如果所执行的标准有更新的，按照最新标准执行。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4.2本项目专家评审费和代理服务费由采购人支付。</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6.1 招标文件由以下部分组成：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招标文件如果要求供应商提交备选投标人案的，供应商可以提交备选方案；否则，备选方案将被拒绝。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8.3招标文件的修改将在“扬州市政府采购网”、“江苏省政府采购网”和“中国政府采购网”公布，补充文件将作为招标文件的组成部分，并对投标人具有约束力。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（8）其他 （投标人认为有必要提供的声明和文件，如有自拟并自行添加）</w:t>
      </w:r>
      <w:r/>
    </w:p>
    <w:p>
      <w:pPr>
        <w:ind w:firstLine="420"/>
        <w:spacing w:line="360" w:lineRule="auto"/>
        <w:rPr>
          <w:color w:val="auto"/>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0"/>
        <w:spacing w:line="360" w:lineRule="auto"/>
        <w:rPr>
          <w:color w:val="auto"/>
          <w:highlight w:val="none"/>
        </w:rPr>
      </w:pPr>
      <w:r>
        <w:rPr>
          <w:rFonts w:hint="eastAsia" w:ascii="宋体" w:hAnsi="宋体" w:cs="宋体"/>
          <w:bCs/>
          <w:color w:val="auto"/>
          <w:szCs w:val="21"/>
          <w:highlight w:val="none"/>
        </w:rPr>
        <w:t xml:space="preserve">10.3如标书制作工具中格式和内容与“扬州市政府采购网”“江苏政府采购网”“中国政府采购网”发布的招标文件不一致，请以“扬州市政府采购网”“江苏政府采购网”“中国政府采购网”发布的招标文件为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12.投标配置与分项报价表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12.3有关费用处理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12.4其它费用处理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12.5投标货币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12.6 投标配置与分项报价表上的价格应按下列方式分开填写：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2.项目单价按投标配置及分项报价表中要求填报。</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13.4 详细阐述所投货物的主要组成部分、功能设计、实现思路及关键技术；</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13.5 投标人认为需要的其他技术文件或说明。</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cs="宋体"/>
          <w:b/>
          <w:color w:val="auto"/>
          <w:szCs w:val="21"/>
          <w:highlight w:val="none"/>
        </w:rPr>
      </w:pPr>
      <w:r/>
      <w:bookmarkStart w:id="45" w:name="_Toc20823297"/>
      <w:r/>
      <w:bookmarkStart w:id="46" w:name="_Toc462564084"/>
      <w:r/>
      <w:bookmarkStart w:id="47" w:name="_Toc16938541"/>
      <w:r/>
      <w:bookmarkStart w:id="48" w:name="_Toc513029225"/>
      <w:r>
        <w:rPr>
          <w:rFonts w:hint="eastAsia" w:ascii="宋体" w:hAnsi="宋体" w:cs="宋体"/>
          <w:b/>
          <w:color w:val="auto"/>
          <w:szCs w:val="21"/>
          <w:highlight w:val="none"/>
        </w:rPr>
        <w:t xml:space="preserve">17.投标文件</w:t>
      </w:r>
      <w:bookmarkEnd w:id="45"/>
      <w:r/>
      <w:bookmarkEnd w:id="46"/>
      <w:r/>
      <w:bookmarkEnd w:id="47"/>
      <w:r/>
      <w:bookmarkEnd w:id="48"/>
      <w:r>
        <w:rPr>
          <w:rFonts w:hint="eastAsia" w:ascii="宋体" w:hAnsi="宋体" w:cs="宋体"/>
          <w:b/>
          <w:color w:val="auto"/>
          <w:szCs w:val="21"/>
          <w:highlight w:val="none"/>
        </w:rPr>
        <w:t xml:space="preserve">的递交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9" w:name="_Toc16938542"/>
      <w:r/>
      <w:bookmarkStart w:id="50" w:name="_Toc20823298"/>
      <w:r/>
      <w:bookmarkStart w:id="51" w:name="_Toc513029226"/>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17.2政府采购管理交易系统（苏采云）相关要求是本招标文件的组成部分。</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17.3投标人应对 CA 证书妥善保管，如被他人盗用投标，因此带来的结果均由投标人自行承担。</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17.4投标人应当对招标文件提出的要求和条件作出实质性响应，并在电子投标系统逐条应答。</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ascii="宋体" w:hAnsi="宋体" w:cs="宋体"/>
          <w:bCs/>
          <w:color w:val="auto"/>
          <w:highlight w:val="none"/>
        </w:rPr>
      </w:pPr>
      <w:r>
        <w:rPr>
          <w:rFonts w:hint="eastAsia" w:ascii="宋体" w:hAnsi="宋体" w:cs="宋体"/>
          <w:b/>
          <w:color w:val="auto"/>
          <w:szCs w:val="21"/>
          <w:highlight w:val="none"/>
        </w:rPr>
        <w:t xml:space="preserve">17.7各投标人应在规定时间内凭CA证书进行网上解密。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49"/>
      <w:r/>
      <w:bookmarkEnd w:id="50"/>
      <w:r/>
      <w:bookmarkEnd w:id="51"/>
      <w:r/>
      <w:r/>
    </w:p>
    <w:p>
      <w:pPr>
        <w:ind w:firstLine="420"/>
        <w:spacing w:line="360" w:lineRule="auto"/>
        <w:rPr>
          <w:rFonts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投标人应充分考虑网络环境、网络带宽等风险因素，如因投标人自身原因造成的电子投标文件上传不成功由投标人自行承担全部责任。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cs="宋体"/>
          <w:b/>
          <w:color w:val="auto"/>
          <w:szCs w:val="21"/>
          <w:highlight w:val="none"/>
        </w:rPr>
      </w:pPr>
      <w:r/>
      <w:bookmarkStart w:id="52" w:name="_Toc513029227"/>
      <w:r/>
      <w:bookmarkStart w:id="53" w:name="_Toc20823299"/>
      <w:r/>
      <w:bookmarkStart w:id="54" w:name="_Toc16938543"/>
      <w:r>
        <w:rPr>
          <w:rFonts w:hint="eastAsia" w:ascii="宋体" w:hAnsi="宋体" w:cs="宋体"/>
          <w:b/>
          <w:color w:val="auto"/>
          <w:szCs w:val="21"/>
          <w:highlight w:val="none"/>
        </w:rPr>
        <w:t xml:space="preserve">19.投标文件</w:t>
      </w:r>
      <w:bookmarkEnd w:id="52"/>
      <w:r/>
      <w:bookmarkEnd w:id="53"/>
      <w:r/>
      <w:bookmarkEnd w:id="54"/>
      <w:r>
        <w:rPr>
          <w:rFonts w:hint="eastAsia" w:ascii="宋体" w:hAnsi="宋体" w:cs="宋体"/>
          <w:b/>
          <w:color w:val="auto"/>
          <w:szCs w:val="21"/>
          <w:highlight w:val="none"/>
        </w:rPr>
        <w:t xml:space="preserve">的拒收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360" w:lineRule="auto"/>
        <w:rPr>
          <w:rFonts w:ascii="宋体" w:hAnsi="宋体" w:cs="宋体"/>
          <w:b/>
          <w:color w:val="auto"/>
          <w:szCs w:val="21"/>
          <w:highlight w:val="none"/>
        </w:rPr>
      </w:pPr>
      <w:r/>
      <w:bookmarkStart w:id="55" w:name="_Toc16938544"/>
      <w:r/>
      <w:bookmarkStart w:id="56" w:name="_Toc20823300"/>
      <w:r/>
      <w:bookmarkStart w:id="57" w:name="_Toc513029228"/>
      <w:r>
        <w:rPr>
          <w:rFonts w:hint="eastAsia" w:ascii="宋体" w:hAnsi="宋体" w:cs="宋体"/>
          <w:b/>
          <w:color w:val="auto"/>
          <w:szCs w:val="21"/>
          <w:highlight w:val="none"/>
        </w:rPr>
        <w:t xml:space="preserve">20.投标文件的撤回和修改</w:t>
      </w:r>
      <w:bookmarkEnd w:id="55"/>
      <w:r/>
      <w:bookmarkEnd w:id="56"/>
      <w:r/>
      <w:bookmarkEnd w:id="57"/>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21.3投标人在开标过程中涉及的投标文件解密、开标结果确认等工作，应按照《操作手册》规定执行。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24.1评标期间，评委会对投标文件中含义不明确、同类问题表述不一致或者有明显文字和计算错误的内容，有权要求投标人作出必要的澄清、说明或者补正。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评委会并非对每个投标人都做澄清要求。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24.3 接到评委会澄清要求的投标人如未按规定作出澄清，其风险由投标人自行承担。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对投标人具有约束力。如果投标人不接受修正后的价格，则其投标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25.8 投标人在开、评标全过程中应保持通信畅通，并安排专人与代理机构及评委会联系。</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25.9 异常低价投标审查</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25.9.1评标过程中出现下列情形之一的，评标委员会应当启动异常低价投标审查程序:</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1.投标(响应)报价低于全部通过符合性审查供应商投标(响应)报价平均值50%的，即投标(响应)报价〈全部通过符合性审查供应商投标(响应)报价平均值X50%；</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2.投标(响应)报价低于通过符合性审查的次低报价供应商投标(响应)报价50%的，即投标(响应)报价〈通过符合性审查的次低报价供应商投标(响应)报价X50%；</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3.投标(响应)报价低于采购项目最高限价45%的，即投标(响应)报价&lt;采购项目最高限价X45%；</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4.评审委员会基于专业判断，认为供应商报价过低，有可能影响产品质量或者不能诚信履约的其他情形。</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25.9.2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2"/>
        <w:spacing w:line="360" w:lineRule="auto"/>
        <w:rPr>
          <w:rFonts w:ascii="宋体" w:hAnsi="宋体" w:cs="宋体"/>
          <w:b/>
          <w:bCs/>
          <w:color w:val="auto"/>
          <w:szCs w:val="21"/>
          <w:highlight w:val="none"/>
        </w:rPr>
      </w:pPr>
      <w:r>
        <w:rPr>
          <w:rFonts w:hint="eastAsia" w:ascii="宋体" w:hAnsi="宋体"/>
          <w:b/>
          <w:bCs/>
          <w:color w:val="auto"/>
          <w:szCs w:val="21"/>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26.1.4投标人不具备招标文件中规定的资格要求的。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26.1.10 评标委员会按照本招标文件规定对投标人进行异常低价投标审查后，认为投标人不能证明其报价合理性的。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26.1.13 投标人所投标产品不符合招标文件中所列国家强制性标准的。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26.1.14其他法律法规及本招标文件规定的无效投标的情形。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27.1评委会根据本招标文件规定的评标方法与评标标准向采购人推荐出中标候选人。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27.3代理机构将在“扬州市政府采购网”、“江苏省政府采购网”和“中国政府采购网”发布中标公告，公告期限为1个工作日。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28.5 采购人及代理机构只接收以纸质原件形式送达的质疑,同时需与采购代理机构经办人确认是否收到《质疑函》，如供应商未按上述要求去做，将自行承担所产生的风险。</w:t>
      </w:r>
      <w:r>
        <w:rPr>
          <w:rFonts w:hint="eastAsia" w:ascii="Times New Roman" w:hAnsi="Times New Roman"/>
          <w:bCs/>
          <w:color w:val="auto"/>
          <w:szCs w:val="21"/>
          <w:highlight w:val="none"/>
        </w:rPr>
        <w:t xml:space="preserve">（代理机构及采购人不接受无快递运单号的快递。）</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采购人质疑接收人及联系方式见招标文件第一章。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w:t>
      </w:r>
      <w:r/>
    </w:p>
    <w:p>
      <w:pPr>
        <w:ind w:firstLine="420"/>
        <w:spacing w:line="360" w:lineRule="auto"/>
        <w:rPr>
          <w:rFonts w:ascii="Times New Roman" w:hAnsi="Times New Roman"/>
          <w:bCs/>
          <w:color w:val="auto"/>
          <w:szCs w:val="21"/>
          <w:highlight w:val="none"/>
        </w:rPr>
      </w:pPr>
      <w:r>
        <w:rPr>
          <w:rFonts w:hint="eastAsia" w:ascii="宋体" w:hAnsi="宋体" w:cs="宋体"/>
          <w:bCs/>
          <w:color w:val="auto"/>
          <w:szCs w:val="21"/>
          <w:highlight w:val="none"/>
        </w:rPr>
        <w:t xml:space="preserve">29.2</w:t>
      </w:r>
      <w:r>
        <w:rPr>
          <w:rFonts w:hint="eastAsia" w:ascii="Times New Roman" w:hAnsi="Times New Roman"/>
          <w:bCs/>
          <w:color w:val="auto"/>
          <w:szCs w:val="21"/>
          <w:highlight w:val="none"/>
        </w:rPr>
        <w:t xml:space="preserve">中标人可在“政府采购管理交易系统（苏采云）”中标通知书下载模块中自行下载中标通知书。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31、货物（包含与货物相关的服务）的追加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32、政府采购履约资金扶持政策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中标供应商可凭政府采购合同办理融资贷款，详情请见江苏政府采购网“政采贷”专栏。</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33、其他</w:t>
      </w:r>
      <w:r/>
    </w:p>
    <w:p>
      <w:pPr>
        <w:ind w:firstLine="420"/>
        <w:spacing w:line="360" w:lineRule="auto"/>
        <w:rPr>
          <w:rFonts w:ascii="宋体" w:hAnsi="宋体" w:cs="宋体"/>
          <w:bCs/>
          <w:color w:val="auto"/>
          <w:szCs w:val="21"/>
          <w:highlight w:val="none"/>
        </w:rPr>
      </w:pPr>
      <w:r>
        <w:rPr>
          <w:rFonts w:hint="eastAsia" w:ascii="宋体" w:hAnsi="宋体" w:cs="宋体"/>
          <w:color w:val="auto"/>
          <w:highlight w:val="none"/>
        </w:rPr>
        <w:t xml:space="preserve">34.1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05"/>
        <w:rPr>
          <w:color w:val="auto"/>
          <w:highlight w:val="none"/>
        </w:rPr>
      </w:pPr>
      <w:r/>
      <w:bookmarkStart w:id="58" w:name="_Toc55204179"/>
      <w:r/>
      <w:bookmarkStart w:id="59" w:name="_Toc23141"/>
      <w:r/>
      <w:bookmarkStart w:id="60" w:name="_Hlk69392822"/>
      <w:r>
        <w:rPr>
          <w:rFonts w:hint="eastAsia"/>
          <w:color w:val="auto"/>
          <w:highlight w:val="none"/>
        </w:rPr>
        <w:t xml:space="preserve">第三章 合同条款及格式</w:t>
      </w:r>
      <w:bookmarkEnd w:id="58"/>
      <w:r/>
      <w:bookmarkEnd w:id="59"/>
      <w:r/>
      <w:r/>
    </w:p>
    <w:p>
      <w:pPr>
        <w:pStyle w:val="951"/>
        <w:ind w:firstLine="420"/>
        <w:spacing w:line="360" w:lineRule="auto"/>
        <w:rPr>
          <w:rFonts w:hAnsi="宋体" w:cs="宋体"/>
          <w:color w:val="auto"/>
          <w:sz w:val="21"/>
          <w:highlight w:val="none"/>
        </w:rPr>
      </w:pPr>
      <w:r>
        <w:rPr>
          <w:rFonts w:hint="eastAsia" w:hAnsi="宋体" w:cs="宋体"/>
          <w:color w:val="auto"/>
          <w:sz w:val="21"/>
          <w:highlight w:val="none"/>
        </w:rPr>
        <w:t xml:space="preserve">以下为中标后签订本项目合同的通用条款，中标人不得提出实质性的修改，关于专用条款将由采购人与中标人结合本项目具体情况协商后签订。</w:t>
      </w:r>
      <w:r/>
    </w:p>
    <w:p>
      <w:pPr>
        <w:pStyle w:val="951"/>
        <w:ind w:firstLine="422"/>
        <w:jc w:val="center"/>
        <w:spacing w:line="360" w:lineRule="auto"/>
        <w:rPr>
          <w:rFonts w:hAnsi="宋体" w:cs="宋体"/>
          <w:b/>
          <w:bCs/>
          <w:color w:val="auto"/>
          <w:sz w:val="21"/>
          <w:highlight w:val="none"/>
        </w:rPr>
      </w:pPr>
      <w:r>
        <w:rPr>
          <w:rFonts w:hAnsi="宋体" w:cs="宋体"/>
          <w:b/>
          <w:bCs/>
          <w:color w:val="auto"/>
          <w:sz w:val="21"/>
          <w:highlight w:val="none"/>
        </w:rPr>
      </w:r>
      <w:r/>
    </w:p>
    <w:p>
      <w:pPr>
        <w:pStyle w:val="951"/>
        <w:ind w:firstLine="422"/>
        <w:jc w:val="center"/>
        <w:spacing w:line="360" w:lineRule="auto"/>
        <w:rPr>
          <w:rFonts w:hAnsi="宋体" w:cs="宋体"/>
          <w:b/>
          <w:bCs/>
          <w:color w:val="auto"/>
          <w:sz w:val="21"/>
          <w:highlight w:val="none"/>
        </w:rPr>
      </w:pPr>
      <w:r>
        <w:rPr>
          <w:rFonts w:hint="eastAsia" w:hAnsi="宋体" w:cs="宋体"/>
          <w:b/>
          <w:bCs/>
          <w:color w:val="auto"/>
          <w:sz w:val="21"/>
          <w:highlight w:val="none"/>
        </w:rPr>
        <w:t xml:space="preserve">扬州市政府采购合同（货物）（合同编号）</w:t>
      </w:r>
      <w:r/>
    </w:p>
    <w:p>
      <w:pPr>
        <w:pStyle w:val="951"/>
        <w:ind w:firstLine="420"/>
        <w:spacing w:line="360" w:lineRule="auto"/>
        <w:rPr>
          <w:rFonts w:hAnsi="宋体" w:cs="宋体"/>
          <w:color w:val="auto"/>
          <w:sz w:val="21"/>
          <w:highlight w:val="none"/>
        </w:rPr>
      </w:pPr>
      <w:r>
        <w:rPr>
          <w:rFonts w:hint="eastAsia" w:hAnsi="宋体" w:cs="宋体"/>
          <w:color w:val="auto"/>
          <w:sz w:val="21"/>
          <w:highlight w:val="none"/>
        </w:rPr>
        <w:t xml:space="preserve">项目名称：扬州市无线电管理监测站卫星干扰逼近查找专用监测设施建设项目</w:t>
      </w:r>
      <w:r/>
    </w:p>
    <w:p>
      <w:pPr>
        <w:pStyle w:val="951"/>
        <w:ind w:firstLine="420"/>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项目编号：</w:t>
      </w:r>
      <w:r>
        <w:rPr>
          <w:rFonts w:hint="eastAsia" w:hAnsi="宋体" w:cs="宋体"/>
          <w:color w:val="auto"/>
          <w:sz w:val="21"/>
          <w:highlight w:val="none"/>
          <w:lang w:eastAsia="zh-CN"/>
        </w:rPr>
        <w:t xml:space="preserve">JSZC-321000-SWGC-G2026-0055号</w:t>
      </w:r>
      <w:r/>
    </w:p>
    <w:p>
      <w:pPr>
        <w:pStyle w:val="951"/>
        <w:ind w:firstLine="420"/>
        <w:spacing w:line="360" w:lineRule="auto"/>
        <w:rPr>
          <w:rFonts w:hAnsi="宋体" w:cs="宋体"/>
          <w:color w:val="auto"/>
          <w:sz w:val="21"/>
          <w:highlight w:val="none"/>
        </w:rPr>
      </w:pPr>
      <w:r>
        <w:rPr>
          <w:rFonts w:hint="eastAsia" w:hAnsi="宋体" w:cs="宋体"/>
          <w:color w:val="auto"/>
          <w:sz w:val="21"/>
          <w:highlight w:val="none"/>
        </w:rPr>
        <w:t xml:space="preserve">甲方：（买方）扬州市无线电管理监测站</w:t>
      </w:r>
      <w:r/>
    </w:p>
    <w:p>
      <w:pPr>
        <w:pStyle w:val="951"/>
        <w:ind w:firstLine="420"/>
        <w:spacing w:line="360" w:lineRule="auto"/>
        <w:rPr>
          <w:rFonts w:hAnsi="宋体" w:cs="宋体"/>
          <w:color w:val="auto"/>
          <w:sz w:val="21"/>
          <w:highlight w:val="none"/>
        </w:rPr>
      </w:pPr>
      <w:r>
        <w:rPr>
          <w:rFonts w:hint="eastAsia" w:hAnsi="宋体" w:cs="宋体"/>
          <w:color w:val="auto"/>
          <w:sz w:val="21"/>
          <w:highlight w:val="none"/>
        </w:rPr>
        <w:t xml:space="preserve">乙方：（卖方）_________</w:t>
      </w:r>
      <w:r/>
    </w:p>
    <w:tbl>
      <w:tblPr>
        <w:tblStyle w:val="715"/>
        <w:tblpPr w:horzAnchor="page" w:tblpX="1840" w:vertAnchor="text" w:tblpY="464"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0"/>
        <w:gridCol w:w="542"/>
      </w:tblGrid>
      <w:tr>
        <w:trPr>
          <w:trHeight w:val="737"/>
        </w:trPr>
        <w:tc>
          <w:tcPr>
            <w:tcBorders>
              <w:top w:val="none" w:color="000000" w:sz="4" w:space="0"/>
              <w:left w:val="none" w:color="000000" w:sz="4" w:space="0"/>
              <w:bottom w:val="none" w:color="000000" w:sz="4" w:space="0"/>
              <w:right w:val="none" w:color="000000" w:sz="4" w:space="0"/>
            </w:tcBorders>
            <w:tcW w:w="4681" w:type="pct"/>
            <w:vAlign w:val="bottom"/>
            <w:textDirection w:val="lrTb"/>
            <w:noWrap w:val="false"/>
          </w:tcPr>
          <w:p>
            <w:pPr>
              <w:pStyle w:val="726"/>
              <w:ind w:firstLine="420"/>
              <w:spacing w:line="360" w:lineRule="auto"/>
              <w:rPr>
                <w:rFonts w:hAnsi="宋体" w:cs="宋体"/>
                <w:color w:val="auto"/>
                <w:sz w:val="21"/>
                <w:highlight w:val="none"/>
              </w:rPr>
            </w:pPr>
            <w:r>
              <w:rPr>
                <w:rFonts w:hint="eastAsia" w:hAnsi="宋体" w:cs="宋体"/>
                <w:color w:val="auto"/>
                <w:sz w:val="21"/>
                <w:highlight w:val="none"/>
              </w:rPr>
              <w:t xml:space="preserve">根据《中华人民共和国民法典》等法律法规的规定，甲乙双方按照江苏苏维工程管理有限公司关于本项目</w:t>
            </w:r>
            <w:r>
              <w:rPr>
                <w:rFonts w:hint="eastAsia" w:hAnsi="宋体" w:cs="宋体"/>
                <w:color w:val="auto"/>
                <w:sz w:val="21"/>
                <w:highlight w:val="none"/>
                <w:u w:val="single"/>
              </w:rPr>
              <w:t xml:space="preserve">                        </w:t>
            </w:r>
            <w:r>
              <w:rPr>
                <w:rFonts w:hint="eastAsia" w:hAnsi="宋体" w:cs="宋体"/>
                <w:color w:val="auto"/>
                <w:sz w:val="21"/>
                <w:highlight w:val="none"/>
              </w:rPr>
              <w:t xml:space="preserve">采购结果签订本合同。</w:t>
            </w:r>
            <w:bookmarkEnd w:id="60"/>
            <w:r/>
            <w:r/>
          </w:p>
          <w:p>
            <w:pPr>
              <w:pStyle w:val="726"/>
              <w:ind w:firstLine="420"/>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一、货物及伴随服务</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1.1 货物及服务名称：</w:t>
            </w:r>
            <w:r/>
          </w:p>
          <w:p>
            <w:pPr>
              <w:pStyle w:val="726"/>
              <w:ind w:firstLine="420"/>
              <w:spacing w:line="360" w:lineRule="auto"/>
              <w:rPr>
                <w:rFonts w:ascii="Times New Roman" w:hAnsi="Times New Roman"/>
                <w:color w:val="auto"/>
                <w:sz w:val="21"/>
                <w:highlight w:val="none"/>
              </w:rPr>
            </w:pPr>
            <w:r>
              <w:rPr>
                <w:rFonts w:ascii="Times New Roman" w:hAnsi="Times New Roman"/>
                <w:color w:val="auto"/>
                <w:sz w:val="21"/>
                <w:highlight w:val="none"/>
              </w:rPr>
              <w:t xml:space="preserve">1.2 型号规格：</w:t>
            </w:r>
            <w:r/>
          </w:p>
          <w:p>
            <w:pPr>
              <w:pStyle w:val="726"/>
              <w:ind w:firstLine="420"/>
              <w:spacing w:line="360" w:lineRule="auto"/>
              <w:rPr>
                <w:rFonts w:ascii="Times New Roman" w:hAnsi="Times New Roman"/>
                <w:color w:val="auto"/>
                <w:sz w:val="21"/>
                <w:highlight w:val="none"/>
              </w:rPr>
            </w:pPr>
            <w:r>
              <w:rPr>
                <w:rFonts w:ascii="Times New Roman" w:hAnsi="Times New Roman"/>
                <w:color w:val="auto"/>
                <w:sz w:val="21"/>
                <w:highlight w:val="none"/>
              </w:rPr>
              <w:t xml:space="preserve">1.3 数量</w:t>
            </w:r>
            <w:r>
              <w:rPr>
                <w:rFonts w:hint="eastAsia" w:ascii="Times New Roman" w:hAnsi="Times New Roman"/>
                <w:color w:val="auto"/>
                <w:sz w:val="21"/>
                <w:highlight w:val="none"/>
              </w:rPr>
              <w:t xml:space="preserve">（</w:t>
            </w:r>
            <w:r>
              <w:rPr>
                <w:rFonts w:ascii="Times New Roman" w:hAnsi="Times New Roman"/>
                <w:color w:val="auto"/>
                <w:sz w:val="21"/>
                <w:highlight w:val="none"/>
              </w:rPr>
              <w:t xml:space="preserve">单位）</w:t>
            </w:r>
            <w:r/>
          </w:p>
          <w:p>
            <w:pPr>
              <w:pStyle w:val="726"/>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二、合同金额</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2.1 本合同金额为（大写）：_____________圆（_______________元）人民币。</w:t>
            </w:r>
            <w:r/>
          </w:p>
          <w:p>
            <w:pPr>
              <w:pStyle w:val="726"/>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三、技术资料</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3.1乙方应按招标文件规定的时间向甲方提供使用货物及服务的有关技术资料。</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6"/>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四、知识产权</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26"/>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五、产权担保</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5.1 乙方保证所交付的货物及服务的所有权完全属于乙方且无任何抵押、查封等产权瑕疵。</w:t>
            </w:r>
            <w:r/>
          </w:p>
          <w:p>
            <w:pPr>
              <w:pStyle w:val="726"/>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六、履约保证金</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6.1 乙方交纳人民币</w:t>
            </w:r>
            <w:r>
              <w:rPr>
                <w:rFonts w:hint="eastAsia" w:ascii="Times New Roman" w:hAnsi="Times New Roman"/>
                <w:color w:val="auto"/>
                <w:sz w:val="21"/>
                <w:highlight w:val="none"/>
                <w:u w:val="single"/>
              </w:rPr>
              <w:t xml:space="preserve"> 零  </w:t>
            </w:r>
            <w:r>
              <w:rPr>
                <w:rFonts w:hint="eastAsia" w:ascii="Times New Roman" w:hAnsi="Times New Roman"/>
                <w:color w:val="auto"/>
                <w:sz w:val="21"/>
                <w:highlight w:val="none"/>
              </w:rPr>
              <w:t xml:space="preserve">元作为本合同的履约保证金。（不得超过合同金额的10%）</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6.2合同履行结束后，甲方应及时退还交纳的履约保证金。</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6.2.1履约保证金退还方式：无</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6.2.2履约保证金退还时间：无</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6.2.3履约保证金退还条件：无</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6.2.4履约保证金不予退还的情形：无</w:t>
            </w:r>
            <w:r/>
          </w:p>
          <w:p>
            <w:pPr>
              <w:pStyle w:val="726"/>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七、转包或分包</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7.1本合同范围的货物及服务，应由乙方直接供应，不得转让他人供应；</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7.2 除非得到甲方的书面同意，乙方不得部分分包给他人供应。</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7.3如有转让和未经甲方同意的分包行为，甲方有权给予终止合同。</w:t>
            </w:r>
            <w:r/>
          </w:p>
          <w:p>
            <w:pPr>
              <w:pStyle w:val="726"/>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八、质保期</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8.1 质保期</w:t>
            </w:r>
            <w:r>
              <w:rPr>
                <w:rFonts w:hint="eastAsia" w:ascii="Times New Roman" w:hAnsi="Times New Roman"/>
                <w:color w:val="auto"/>
                <w:sz w:val="21"/>
                <w:highlight w:val="none"/>
                <w:u w:val="single"/>
              </w:rPr>
              <w:t xml:space="preserve">      </w:t>
            </w:r>
            <w:r>
              <w:rPr>
                <w:rFonts w:hint="eastAsia" w:ascii="Times New Roman" w:hAnsi="Times New Roman"/>
                <w:color w:val="auto"/>
                <w:sz w:val="21"/>
                <w:highlight w:val="none"/>
              </w:rPr>
              <w:t xml:space="preserve">年。（自交货验收合格之日起计）</w:t>
            </w:r>
            <w:r/>
          </w:p>
          <w:p>
            <w:pPr>
              <w:pStyle w:val="726"/>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九、交付期、交付方式及交付地点</w:t>
            </w:r>
            <w:r/>
          </w:p>
          <w:p>
            <w:pPr>
              <w:pStyle w:val="726"/>
              <w:ind w:firstLine="420"/>
              <w:spacing w:line="360" w:lineRule="auto"/>
              <w:rPr>
                <w:rFonts w:ascii="Times New Roman" w:hAnsi="Times New Roman"/>
                <w:color w:val="auto"/>
                <w:sz w:val="21"/>
                <w:highlight w:val="none"/>
                <w:u w:val="single"/>
              </w:rPr>
            </w:pPr>
            <w:r>
              <w:rPr>
                <w:rFonts w:hint="eastAsia" w:ascii="Times New Roman" w:hAnsi="Times New Roman"/>
                <w:color w:val="auto"/>
                <w:sz w:val="21"/>
                <w:highlight w:val="none"/>
              </w:rPr>
              <w:t xml:space="preserve">9.1 交付期：</w:t>
            </w:r>
            <w:r>
              <w:rPr>
                <w:rFonts w:hint="eastAsia"/>
                <w:color w:val="auto"/>
                <w:highlight w:val="none"/>
              </w:rPr>
              <w:t xml:space="preserve">合同签订后120天内（除不可抗力、非乙方原因）完成供货、运输、安装、调试等直至交付甲方使用的所有内容，试运行期1个月。</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9.2 交付方式：甲方指定方式</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9.3 交付地点：甲方指定地点</w:t>
            </w:r>
            <w:r/>
          </w:p>
          <w:p>
            <w:pPr>
              <w:pStyle w:val="726"/>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十、货款支付</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10.1 本合同项下所有款项均以人民币支付。 </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10.2 本合同项下的采购资金由甲方支付，付款前乙方向甲方开具发票。</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10.3 甲方付款方式：</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合同签订后，乙方向甲方开具发票，甲方自收到发票之日起10个工作日内支付合同总价60%的预付款；货到安装并调试完成并终验合格后，乙方向甲方开具发票，甲方自收到发票之日起10个工作日内支付合同总价的40%。</w:t>
            </w:r>
            <w:r/>
          </w:p>
          <w:p>
            <w:pPr>
              <w:pStyle w:val="726"/>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十一、税费</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11.1本合同执行中相关的一切税费均由乙方负担。</w:t>
            </w:r>
            <w:r/>
          </w:p>
          <w:p>
            <w:pPr>
              <w:pStyle w:val="726"/>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十二、质量保证及售后服务</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12.1 乙方应按招标文件规定的货物及服务性能、技术要求、质量标准向甲方提供。</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⑴更换：由乙方承担所发生的全部费用。</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⑵贬值处理：由甲乙双方合议定价。</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⑶退还处理：乙方应退还甲方支付的合同款，同时应承担该货物及服务的直接费用（运输、保险、检验、款项利息及银行手续费等）。</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12.3 如在使用过程中发生质量问题，乙方在接到甲方通知后在  小时内到达甲方现场。</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12.4 在质保期内，乙方应对货物及服务出现的质量及安全问题负责处理解决并承担一切费用。</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12.5上述的货物及服务免费保修期为   年，因人为因素出现的故障不在免费保修范围内。超过保修期的机器设备，乙方提供最优惠价格维修。</w:t>
            </w:r>
            <w:r/>
          </w:p>
          <w:p>
            <w:pPr>
              <w:pStyle w:val="726"/>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十三、调试和验收</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13.1 甲方对乙方提交的货物及服务依据招标文件上的技术规格要求和国家有关质量标准进行现场初步验收。乙方完成交付后，甲方需在五个工作日内组织开展初步验收工作。初步验收不合格的，甲方有权不予签收。</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13.4 对技术复杂的货物及服务，甲方可请国家认可的专业检测机构参与初步验收及竣工验收，并由其出具质量检测报告。</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13.5 验收时乙方必须在现场，验收完毕后作出验收结果报告；验收费用由乙方承担。</w:t>
            </w:r>
            <w:r/>
          </w:p>
          <w:p>
            <w:pPr>
              <w:pStyle w:val="726"/>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十四、货物及服务包装、发运及运输</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14.1 乙方应在货物及服务发运前对其进行满足运输距离、防潮、防震、防锈和防破损装卸等要求包装，以保证货物及服务安全运达甲方指定地点。</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14.2 使用说明书、质量检验证明书、随配附件和工具以及清单一并交付甲方。</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14.3 乙方在货物及服务发运手续办理完毕后24小时内或交付到甲方48小时前通知甲方，以准备接受交付。</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14.4 货物在交付甲方前发生的风险均由乙方负责。</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14.5 货物及服务在规定的交付期限内由乙方送达甲方指定的地点视为交付，乙方同时需通知甲方货物及服务已送达。</w:t>
            </w:r>
            <w:r/>
          </w:p>
          <w:p>
            <w:pPr>
              <w:pStyle w:val="726"/>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十五、违约责任</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15.1 甲方无正当理由拒收货物及服务的，甲方向乙方偿付拒收款项总值的百分之五违约金。</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15.2 甲方无故逾期验收和办理款项支付手续的,甲方应按逾期付款总额每日万分之五向乙方支付违约金。</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26"/>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十六、不可抗力事件处理</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16.1 在合同有效期内，任何一方因不可抗力事件导致不能履行合同，则合同履行期可延长，其延长期与不可抗力影响期相同。</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16.2 不可抗力事件发生后，应立即通知对方，并寄送有关权威机构出具的证明。</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16.3 不可抗力事件延续120天以上，双方应通过友好协商，确定是否继续履行合同。</w:t>
            </w:r>
            <w:r/>
          </w:p>
          <w:p>
            <w:pPr>
              <w:pStyle w:val="726"/>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十七、诉讼</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ascii="Times New Roman" w:hAnsi="Times New Roman"/>
                <w:color w:val="auto"/>
                <w:szCs w:val="21"/>
                <w:highlight w:val="none"/>
              </w:rPr>
            </w:pPr>
            <w:r>
              <w:rPr>
                <w:rFonts w:hint="eastAsia" w:ascii="Times New Roman" w:hAnsi="Times New Roman"/>
                <w:b/>
                <w:bCs/>
                <w:color w:val="auto"/>
                <w:szCs w:val="21"/>
                <w:highlight w:val="none"/>
              </w:rPr>
              <w:t xml:space="preserve">十八、</w:t>
            </w:r>
            <w:r>
              <w:rPr>
                <w:rFonts w:hint="eastAsia" w:ascii="Times New Roman" w:hAnsi="Times New Roman" w:cs="宋体"/>
                <w:bCs/>
                <w:color w:val="auto"/>
                <w:highlight w:val="none"/>
              </w:rPr>
              <w:t xml:space="preserve">为落实好政府采购履约资金扶持政策，乙方可凭政府采购合同办理融资贷款，详见江苏政府采购网“政采贷”专栏</w:t>
            </w:r>
            <w:r>
              <w:rPr>
                <w:rFonts w:hint="eastAsia" w:ascii="Times New Roman" w:hAnsi="Times New Roman"/>
                <w:color w:val="auto"/>
                <w:szCs w:val="21"/>
                <w:highlight w:val="none"/>
              </w:rPr>
              <w:t xml:space="preserve">。</w:t>
            </w:r>
            <w:r/>
          </w:p>
          <w:p>
            <w:pPr>
              <w:pStyle w:val="726"/>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十九、合同生效及其它</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19.1 合同经双方法定代表人签章并加盖单位公章后生效。</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19.2本合同未尽事宜，遵照</w:t>
            </w:r>
            <w:r>
              <w:rPr>
                <w:rFonts w:hint="eastAsia" w:ascii="Times New Roman" w:hAnsi="Times New Roman" w:cs="宋体"/>
                <w:color w:val="auto"/>
                <w:sz w:val="21"/>
                <w:highlight w:val="none"/>
              </w:rPr>
              <w:t xml:space="preserve">《中华人民共和国民法典》、《中华人民共和国政府采购法》</w:t>
            </w:r>
            <w:r>
              <w:rPr>
                <w:rFonts w:hint="eastAsia" w:ascii="Times New Roman" w:hAnsi="Times New Roman"/>
                <w:color w:val="auto"/>
                <w:sz w:val="21"/>
                <w:highlight w:val="none"/>
              </w:rPr>
              <w:t xml:space="preserve">有关条文执行。</w:t>
            </w:r>
            <w:r/>
          </w:p>
          <w:p>
            <w:pPr>
              <w:pStyle w:val="951"/>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19.3 本合同正本一式肆份，具有同等法律效力，甲方、乙方各执贰份。</w:t>
            </w:r>
            <w:r/>
          </w:p>
          <w:p>
            <w:pPr>
              <w:pStyle w:val="726"/>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 </w:t>
            </w:r>
            <w:r/>
          </w:p>
          <w:tbl>
            <w:tblPr>
              <w:tblStyle w:val="715"/>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26"/>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甲方： 扬州市无线电管理监测站</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6"/>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26"/>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6"/>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26"/>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6"/>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26"/>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6"/>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26"/>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6"/>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日期：      年    月    日</w:t>
                  </w:r>
                  <w:r/>
                </w:p>
              </w:tc>
            </w:tr>
          </w:tbl>
          <w:p>
            <w:pPr>
              <w:jc w:val="left"/>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tc>
        <w:tc>
          <w:tcPr>
            <w:tcBorders>
              <w:top w:val="none" w:color="000000" w:sz="4" w:space="0"/>
              <w:left w:val="none" w:color="000000" w:sz="4" w:space="0"/>
              <w:bottom w:val="none" w:color="000000" w:sz="4" w:space="0"/>
              <w:right w:val="none" w:color="000000" w:sz="4" w:space="0"/>
            </w:tcBorders>
            <w:tcW w:w="318" w:type="pct"/>
            <w:vAlign w:val="bottom"/>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highlight w:val="none"/>
        </w:rPr>
      </w:pPr>
      <w:r>
        <w:rPr>
          <w:rFonts w:hint="eastAsia" w:ascii="宋体" w:hAnsi="宋体" w:cs="宋体"/>
          <w:color w:val="auto"/>
          <w:highlight w:val="none"/>
        </w:rPr>
        <w:br w:type="page" w:clear="all"/>
      </w:r>
      <w:r/>
    </w:p>
    <w:p>
      <w:pPr>
        <w:spacing w:line="360" w:lineRule="auto"/>
        <w:rPr>
          <w:rFonts w:ascii="宋体" w:hAnsi="宋体" w:cs="宋体"/>
          <w:color w:val="auto"/>
          <w:highlight w:val="none"/>
        </w:rPr>
      </w:pPr>
      <w:r>
        <w:rPr>
          <w:rFonts w:ascii="宋体" w:hAnsi="宋体" w:cs="宋体"/>
          <w:color w:val="auto"/>
          <w:highlight w:val="none"/>
        </w:rPr>
      </w:r>
      <w:r/>
    </w:p>
    <w:p>
      <w:pPr>
        <w:pStyle w:val="705"/>
        <w:numPr>
          <w:ilvl w:val="0"/>
          <w:numId w:val="2"/>
        </w:numPr>
        <w:rPr>
          <w:color w:val="auto"/>
          <w:highlight w:val="none"/>
        </w:rPr>
      </w:pPr>
      <w:r/>
      <w:bookmarkStart w:id="61" w:name="_Toc15957"/>
      <w:r>
        <w:rPr>
          <w:rFonts w:hint="eastAsia"/>
          <w:color w:val="auto"/>
          <w:highlight w:val="none"/>
        </w:rPr>
        <w:t xml:space="preserve">项目需求</w:t>
      </w:r>
      <w:bookmarkEnd w:id="61"/>
      <w:r/>
      <w:r/>
    </w:p>
    <w:p>
      <w:pPr>
        <w:ind w:firstLine="422"/>
        <w:spacing w:line="360" w:lineRule="auto"/>
        <w:rPr>
          <w:rFonts w:ascii="宋体" w:hAnsi="宋体" w:cs="宋体"/>
          <w:b/>
          <w:bCs/>
          <w:color w:val="auto"/>
          <w:highlight w:val="none"/>
        </w:rPr>
      </w:pPr>
      <w:r/>
      <w:bookmarkStart w:id="62" w:name="_Toc319408306"/>
      <w:r>
        <w:rPr>
          <w:rFonts w:hint="eastAsia" w:ascii="宋体" w:hAnsi="宋体" w:cs="宋体"/>
          <w:b/>
          <w:bCs/>
          <w:color w:val="auto"/>
          <w:highlight w:val="none"/>
        </w:rPr>
        <w:t xml:space="preserve">注：本章内容中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contextualSpacing/>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ind w:firstLine="422"/>
        <w:spacing w:line="360" w:lineRule="auto"/>
        <w:rPr>
          <w:rFonts w:ascii="宋体" w:hAnsi="宋体"/>
          <w:b/>
          <w:bCs/>
          <w:color w:val="auto"/>
          <w:szCs w:val="21"/>
          <w:highlight w:val="none"/>
        </w:rPr>
      </w:pPr>
      <w:r>
        <w:rPr>
          <w:rFonts w:ascii="宋体" w:hAnsi="宋体"/>
          <w:b/>
          <w:bCs/>
          <w:color w:val="auto"/>
          <w:szCs w:val="21"/>
          <w:highlight w:val="none"/>
        </w:rPr>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项目属性:货物类项目</w:t>
      </w:r>
      <w:r/>
    </w:p>
    <w:p>
      <w:pPr>
        <w:pStyle w:val="722"/>
        <w:ind w:left="0" w:firstLine="422"/>
        <w:spacing w:after="0"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核心产品：</w:t>
      </w:r>
      <w:r/>
    </w:p>
    <w:tbl>
      <w:tblPr>
        <w:tblStyle w:val="715"/>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6586"/>
      </w:tblGrid>
      <w:tr>
        <w:trPr/>
        <w:tc>
          <w:tcPr>
            <w:tcW w:w="123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包号</w:t>
            </w:r>
            <w:r/>
          </w:p>
        </w:tc>
        <w:tc>
          <w:tcPr>
            <w:tcW w:w="658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核心产品</w:t>
            </w:r>
            <w:r/>
          </w:p>
        </w:tc>
      </w:tr>
      <w:tr>
        <w:trPr>
          <w:trHeight w:val="553"/>
        </w:trPr>
        <w:tc>
          <w:tcPr>
            <w:tcW w:w="123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586" w:type="dxa"/>
            <w:vAlign w:val="center"/>
            <w:textDirection w:val="lrTb"/>
            <w:noWrap w:val="false"/>
          </w:tcPr>
          <w:p>
            <w:pPr>
              <w:jc w:val="center"/>
              <w:spacing w:line="360" w:lineRule="auto"/>
              <w:rPr>
                <w:rFonts w:ascii="宋体" w:hAnsi="宋体" w:cs="宋体"/>
                <w:color w:val="auto"/>
                <w:szCs w:val="21"/>
                <w:highlight w:val="none"/>
              </w:rPr>
            </w:pPr>
            <w:r>
              <w:rPr>
                <w:color w:val="auto"/>
                <w:szCs w:val="24"/>
                <w:highlight w:val="none"/>
              </w:rPr>
              <w:t xml:space="preserve">便携式监测接收机</w:t>
            </w:r>
            <w:r/>
          </w:p>
        </w:tc>
      </w:tr>
    </w:tbl>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进口产品投标：</w:t>
      </w:r>
      <w:r/>
    </w:p>
    <w:tbl>
      <w:tblPr>
        <w:tblStyle w:val="715"/>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6574"/>
      </w:tblGrid>
      <w:tr>
        <w:trPr/>
        <w:tc>
          <w:tcPr>
            <w:tcW w:w="12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包号</w:t>
            </w:r>
            <w:r/>
          </w:p>
        </w:tc>
        <w:tc>
          <w:tcPr>
            <w:tcW w:w="657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是否接受进口产品投标</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（是/否）</w:t>
            </w:r>
            <w:r/>
          </w:p>
        </w:tc>
      </w:tr>
      <w:tr>
        <w:trPr>
          <w:trHeight w:val="610"/>
        </w:trPr>
        <w:tc>
          <w:tcPr>
            <w:tcW w:w="12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57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否</w:t>
            </w:r>
            <w:r/>
          </w:p>
        </w:tc>
      </w:tr>
    </w:tbl>
    <w:p>
      <w:pPr>
        <w:ind w:firstLine="422"/>
        <w:spacing w:line="360" w:lineRule="auto"/>
        <w:rPr>
          <w:rFonts w:ascii="宋体" w:hAnsi="宋体"/>
          <w:b/>
          <w:bCs/>
          <w:color w:val="auto"/>
          <w:szCs w:val="21"/>
          <w:highlight w:val="none"/>
        </w:rPr>
      </w:pPr>
      <w:r>
        <w:rPr>
          <w:rFonts w:ascii="宋体" w:hAnsi="宋体"/>
          <w:b/>
          <w:bCs/>
          <w:color w:val="auto"/>
          <w:szCs w:val="21"/>
          <w:highlight w:val="none"/>
        </w:rPr>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一、政府采购中实施本国产品标准及相关政策</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1.本项目对采购本国产品给予政策支持，具体内容见招标文件“第五章 评标方法与评标标准”。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rFonts w:ascii="宋体" w:hAnsi="宋体"/>
          <w:color w:val="auto"/>
          <w:sz w:val="24"/>
          <w:szCs w:val="24"/>
          <w:highlight w:val="none"/>
        </w:rPr>
      </w:pPr>
      <w:r>
        <w:rPr>
          <w:rFonts w:hint="eastAsia" w:ascii="宋体" w:hAnsi="宋体" w:cs="宋体"/>
          <w:b/>
          <w:bCs/>
          <w:color w:val="auto"/>
          <w:szCs w:val="21"/>
          <w:highlight w:val="none"/>
        </w:rPr>
        <w:t xml:space="preserve">二、</w:t>
      </w:r>
      <w:r>
        <w:rPr>
          <w:rFonts w:hint="eastAsia" w:ascii="宋体" w:hAnsi="宋体" w:cs="宋体"/>
          <w:b/>
          <w:bCs/>
          <w:color w:val="auto"/>
          <w:highlight w:val="none"/>
        </w:rPr>
        <w:t xml:space="preserve">项目概况</w:t>
      </w:r>
      <w:r>
        <w:rPr>
          <w:rFonts w:hint="eastAsia" w:ascii="宋体" w:hAnsi="宋体"/>
          <w:color w:val="auto"/>
          <w:sz w:val="24"/>
          <w:szCs w:val="24"/>
          <w:highlight w:val="none"/>
        </w:rPr>
        <w:t xml:space="preserve"> </w:t>
      </w:r>
      <w:bookmarkEnd w:id="62"/>
      <w:r/>
      <w:r/>
    </w:p>
    <w:p>
      <w:pPr>
        <w:pStyle w:val="74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扬州市无线电管理监测站拟购置一套9kHz-33GHz频率范围的卫星干扰逼近查找设备，可配合国家短波监测网和国家卫星干扰定位系统，实现对卫星干扰在L-K波段无缝隙覆盖并准确查找。</w:t>
      </w:r>
      <w:r/>
    </w:p>
    <w:p>
      <w:pPr>
        <w:pStyle w:val="744"/>
        <w:spacing w:line="360" w:lineRule="auto"/>
        <w:rPr>
          <w:b/>
          <w:bCs/>
          <w:color w:val="auto"/>
          <w:sz w:val="21"/>
          <w:szCs w:val="21"/>
          <w:highlight w:val="none"/>
        </w:rPr>
      </w:pPr>
      <w:r>
        <w:rPr>
          <w:rFonts w:hint="eastAsia" w:ascii="宋体" w:hAnsi="宋体"/>
          <w:b/>
          <w:color w:val="auto"/>
          <w:sz w:val="21"/>
          <w:szCs w:val="21"/>
          <w:highlight w:val="none"/>
        </w:rPr>
        <w:t xml:space="preserve">三、采购清单</w:t>
      </w:r>
      <w:r/>
    </w:p>
    <w:tbl>
      <w:tblPr>
        <w:tblStyle w:val="715"/>
        <w:tblW w:w="7060" w:type="dxa"/>
        <w:jc w:val="center"/>
        <w:tblLayout w:type="fixed"/>
        <w:tblCellMar>
          <w:left w:w="108" w:type="dxa"/>
          <w:top w:w="0" w:type="dxa"/>
          <w:right w:w="108" w:type="dxa"/>
          <w:bottom w:w="0" w:type="dxa"/>
        </w:tblCellMar>
        <w:tblLook w:val="04A0" w:firstRow="1" w:lastRow="0" w:firstColumn="1" w:lastColumn="0" w:noHBand="0" w:noVBand="1"/>
      </w:tblPr>
      <w:tblGrid>
        <w:gridCol w:w="823"/>
        <w:gridCol w:w="2126"/>
        <w:gridCol w:w="1984"/>
        <w:gridCol w:w="965"/>
        <w:gridCol w:w="1162"/>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数量</w:t>
            </w:r>
            <w:r/>
          </w:p>
        </w:tc>
      </w:tr>
      <w:tr>
        <w:trPr>
          <w:jc w:val="center"/>
          <w:trHeight w:val="838"/>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spacing w:line="360" w:lineRule="auto"/>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firstLine="210"/>
              <w:jc w:val="center"/>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便携式监测</w:t>
            </w:r>
            <w:r>
              <w:rPr>
                <w:rFonts w:hint="eastAsia" w:asciiTheme="minorEastAsia" w:hAnsiTheme="minorEastAsia" w:eastAsiaTheme="minorEastAsia"/>
                <w:color w:val="auto"/>
                <w:szCs w:val="21"/>
                <w:highlight w:val="none"/>
              </w:rPr>
              <w:t xml:space="preserve">接收机</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cs="仿宋"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频率范围：9kHz-8G</w:t>
            </w:r>
            <w:r>
              <w:rPr>
                <w:rFonts w:asciiTheme="minorEastAsia" w:hAnsiTheme="minorEastAsia" w:eastAsiaTheme="minorEastAsia"/>
                <w:color w:val="auto"/>
                <w:szCs w:val="21"/>
                <w:highlight w:val="none"/>
              </w:rPr>
              <w:t xml:space="preserve">Hz</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jc w:val="center"/>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r>
      <w:tr>
        <w:trPr>
          <w:jc w:val="center"/>
          <w:trHeight w:val="992"/>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spacing w:line="360" w:lineRule="auto"/>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firstLine="210"/>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手持式定向天线</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频率范围：9KHz-</w:t>
            </w:r>
            <w:r>
              <w:rPr>
                <w:rFonts w:cs="仿宋" w:asciiTheme="minorEastAsia" w:hAnsiTheme="minorEastAsia" w:eastAsiaTheme="minorEastAsia"/>
                <w:color w:val="auto"/>
                <w:szCs w:val="21"/>
                <w:highlight w:val="none"/>
              </w:rPr>
              <w:t xml:space="preserve">8G</w:t>
            </w:r>
            <w:r>
              <w:rPr>
                <w:rFonts w:hint="eastAsia" w:cs="仿宋" w:asciiTheme="minorEastAsia" w:hAnsiTheme="minorEastAsia" w:eastAsiaTheme="minorEastAsia"/>
                <w:color w:val="auto"/>
                <w:szCs w:val="21"/>
                <w:highlight w:val="none"/>
              </w:rPr>
              <w:t xml:space="preserve">Hz</w:t>
            </w:r>
            <w:r>
              <w:rPr>
                <w:rFonts w:cs="仿宋" w:asciiTheme="minorEastAsia" w:hAnsiTheme="minorEastAsia" w:eastAsiaTheme="minorEastAsia"/>
                <w:color w:val="auto"/>
                <w:szCs w:val="21"/>
                <w:highlight w:val="none"/>
              </w:rPr>
              <w:t xml:space="preserve">(</w:t>
            </w:r>
            <w:r>
              <w:rPr>
                <w:rFonts w:hint="eastAsia" w:cs="仿宋" w:asciiTheme="minorEastAsia" w:hAnsiTheme="minorEastAsia" w:eastAsiaTheme="minorEastAsia"/>
                <w:color w:val="auto"/>
                <w:szCs w:val="21"/>
                <w:highlight w:val="none"/>
              </w:rPr>
              <w:t xml:space="preserve">分段</w:t>
            </w:r>
            <w:r>
              <w:rPr>
                <w:rFonts w:cs="仿宋" w:asciiTheme="minorEastAsia" w:hAnsiTheme="minorEastAsia" w:eastAsiaTheme="minorEastAsia"/>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jc w:val="center"/>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r>
      <w:tr>
        <w:trPr>
          <w:jc w:val="center"/>
          <w:trHeight w:val="1121"/>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spacing w:line="360" w:lineRule="auto"/>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360" w:lineRule="auto"/>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20GHz频率拓展</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带下变频的定向天线：5GHz-20GHz</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jc w:val="center"/>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r>
      <w:tr>
        <w:trPr>
          <w:jc w:val="center"/>
          <w:trHeight w:val="967"/>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spacing w:line="360" w:lineRule="auto"/>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360" w:lineRule="auto"/>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33GHz频率拓展</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带下变频的定向天线：18GHz-33GHz</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jc w:val="center"/>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r>
      <w:tr>
        <w:trPr>
          <w:jc w:val="center"/>
          <w:trHeight w:val="967"/>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firstLine="210"/>
              <w:jc w:val="center"/>
              <w:spacing w:line="360" w:lineRule="auto"/>
              <w:rPr>
                <w:rFonts w:ascii="方正仿宋_GBK" w:hAnsi="方正仿宋_GBK" w:eastAsia="方正仿宋_GBK" w:cs="方正仿宋_GBK"/>
                <w:b/>
                <w:bCs/>
                <w:color w:val="auto"/>
                <w:sz w:val="24"/>
                <w:szCs w:val="24"/>
                <w:highlight w:val="none"/>
              </w:rPr>
            </w:pPr>
            <w:r>
              <w:rPr>
                <w:rFonts w:cs="仿宋"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firstLine="210"/>
              <w:jc w:val="center"/>
              <w:spacing w:line="440" w:lineRule="exact"/>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配套软件</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210"/>
              <w:spacing w:line="440" w:lineRule="exact"/>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包含全景扫描、场强测量、荧光谱显示、时域测量、地图等功能，</w:t>
            </w:r>
            <w:r>
              <w:rPr>
                <w:rFonts w:cs="仿宋" w:asciiTheme="minorEastAsia" w:hAnsiTheme="minorEastAsia" w:eastAsiaTheme="minorEastAsia"/>
                <w:color w:val="auto"/>
                <w:szCs w:val="21"/>
                <w:highlight w:val="none"/>
              </w:rPr>
              <w:t xml:space="preserve">提供永久正版授权，质保期内免费版本升级</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ind w:firstLine="210"/>
              <w:jc w:val="center"/>
              <w:spacing w:line="440" w:lineRule="exact"/>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r>
    </w:tbl>
    <w:p>
      <w:pPr>
        <w:spacing w:line="360" w:lineRule="auto"/>
        <w:rPr>
          <w:color w:val="auto"/>
          <w:highlight w:val="none"/>
        </w:rPr>
      </w:pPr>
      <w:r>
        <w:rPr>
          <w:color w:val="auto"/>
          <w:highlight w:val="none"/>
        </w:rPr>
      </w:r>
      <w:r/>
    </w:p>
    <w:p>
      <w:pPr>
        <w:pStyle w:val="744"/>
        <w:rPr>
          <w:rFonts w:ascii="仿宋" w:hAnsi="仿宋" w:eastAsia="仿宋" w:cs="仿宋"/>
          <w:b/>
          <w:color w:val="auto"/>
          <w:sz w:val="21"/>
          <w:szCs w:val="21"/>
          <w:highlight w:val="none"/>
        </w:rPr>
      </w:pPr>
      <w:r>
        <w:rPr>
          <w:rFonts w:hint="eastAsia"/>
          <w:b/>
          <w:bCs/>
          <w:color w:val="auto"/>
          <w:sz w:val="21"/>
          <w:szCs w:val="21"/>
          <w:highlight w:val="none"/>
        </w:rPr>
        <w:t xml:space="preserve">四、系统总体要求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监测设备的频率范围覆盖9kHz到33GHz，中频实时带宽</w:t>
      </w:r>
      <w:r>
        <w:rPr>
          <w:rFonts w:hint="eastAsia"/>
          <w:color w:val="auto"/>
          <w:highlight w:val="none"/>
        </w:rPr>
        <w:t xml:space="preserve">≥</w:t>
      </w:r>
      <w:r>
        <w:rPr>
          <w:rFonts w:hint="eastAsia" w:ascii="宋体" w:hAnsi="宋体" w:cs="宋体"/>
          <w:color w:val="auto"/>
          <w:szCs w:val="21"/>
          <w:highlight w:val="none"/>
        </w:rPr>
        <w:t xml:space="preserve">40MHz，能够实时地显示中频频谱并同时对信号进行测量，提供电平值、频谱和瀑布图等多种测量结果和信息。具有全景扫描功能，能够进行高速扫描，在极短的时间内对频段范围内的信号状况进行快速浏览和查看。</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具备多种解调模式，解调带宽</w:t>
      </w:r>
      <w:r>
        <w:rPr>
          <w:rFonts w:hint="eastAsia"/>
          <w:color w:val="auto"/>
          <w:highlight w:val="none"/>
        </w:rPr>
        <w:t xml:space="preserve">≥</w:t>
      </w:r>
      <w:r>
        <w:rPr>
          <w:rFonts w:hint="eastAsia" w:ascii="宋体" w:hAnsi="宋体" w:cs="宋体"/>
          <w:color w:val="auto"/>
          <w:szCs w:val="21"/>
          <w:highlight w:val="none"/>
        </w:rPr>
        <w:t xml:space="preserve">40MHz，可对语音信号进行解调和监听。具备频率扫描、存储扫描、全景扫描等多种扫描模式，可用于各种无线电监测任务。另外，通过配合手持式方向性天线可对信号的来波方向进行判断，并可通过单音、最大保持等辅助功能,最终对信号源进行跟踪定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可在设备面板的屏幕上直接显示彩色荧光谱，通过不同的颜色对同频分布的不同信号的时间发射规律进行区分显示，方便技术人员对同频信号进行分析和判断。</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可对信号进行频域和时域分析，同时给出频谱图和时域波形图,技术人员可结合两种结果全面地对脉冲信号或者 TDMA信号进行深入技术分析。</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设备能够通过LAN接口在 Windows 笔记本电脑或平板电脑上进行独立远程控制以及在线分析。</w:t>
      </w:r>
      <w:r/>
    </w:p>
    <w:p>
      <w:pPr>
        <w:pStyle w:val="744"/>
        <w:spacing w:line="360" w:lineRule="auto"/>
        <w:rPr>
          <w:b/>
          <w:bCs/>
          <w:color w:val="auto"/>
          <w:sz w:val="21"/>
          <w:szCs w:val="21"/>
          <w:highlight w:val="none"/>
        </w:rPr>
      </w:pPr>
      <w:r>
        <w:rPr>
          <w:rFonts w:hint="eastAsia"/>
          <w:b/>
          <w:bCs/>
          <w:color w:val="auto"/>
          <w:sz w:val="21"/>
          <w:szCs w:val="21"/>
          <w:highlight w:val="none"/>
        </w:rPr>
        <w:t xml:space="preserve">五、系统功能要求</w:t>
      </w:r>
      <w:r/>
    </w:p>
    <w:p>
      <w:pPr>
        <w:ind w:firstLine="48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（一）接收机功能要求</w:t>
      </w:r>
      <w:r/>
    </w:p>
    <w:p>
      <w:pPr>
        <w:ind w:firstLine="422"/>
        <w:spacing w:line="360" w:lineRule="auto"/>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1</w:t>
      </w:r>
      <w:r>
        <w:rPr>
          <w:rFonts w:asciiTheme="minorEastAsia" w:hAnsiTheme="minorEastAsia" w:eastAsiaTheme="minorEastAsia"/>
          <w:b/>
          <w:bCs/>
          <w:color w:val="auto"/>
          <w:szCs w:val="21"/>
          <w:highlight w:val="none"/>
          <w:lang w:val="zh-CN"/>
        </w:rPr>
        <w:t xml:space="preserve">.</w:t>
      </w:r>
      <w:r>
        <w:rPr>
          <w:rFonts w:hint="eastAsia"/>
          <w:color w:val="auto"/>
          <w:szCs w:val="21"/>
          <w:highlight w:val="none"/>
        </w:rPr>
        <w:t xml:space="preserve"> ▲</w:t>
      </w:r>
      <w:r>
        <w:rPr>
          <w:rFonts w:hint="eastAsia" w:asciiTheme="minorEastAsia" w:hAnsiTheme="minorEastAsia" w:eastAsiaTheme="minorEastAsia"/>
          <w:b/>
          <w:bCs/>
          <w:color w:val="auto"/>
          <w:szCs w:val="21"/>
          <w:highlight w:val="none"/>
          <w:lang w:val="zh-CN"/>
        </w:rPr>
        <w:t xml:space="preserve">全景扫描</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具备全景扫描功能，支持对宽频段或全频段进行快速的数字化宽带扫描。</w:t>
      </w:r>
      <w:r/>
    </w:p>
    <w:p>
      <w:pPr>
        <w:ind w:firstLine="422"/>
        <w:spacing w:line="360" w:lineRule="auto"/>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2</w:t>
      </w:r>
      <w:r>
        <w:rPr>
          <w:rFonts w:asciiTheme="minorEastAsia" w:hAnsiTheme="minorEastAsia" w:eastAsiaTheme="minorEastAsia"/>
          <w:b/>
          <w:bCs/>
          <w:color w:val="auto"/>
          <w:szCs w:val="21"/>
          <w:highlight w:val="none"/>
          <w:lang w:val="zh-CN"/>
        </w:rPr>
        <w:t xml:space="preserve">.</w:t>
      </w:r>
      <w:r>
        <w:rPr>
          <w:rFonts w:hint="eastAsia"/>
          <w:color w:val="auto"/>
          <w:szCs w:val="21"/>
          <w:highlight w:val="none"/>
        </w:rPr>
        <w:t xml:space="preserve"> ▲</w:t>
      </w:r>
      <w:r>
        <w:rPr>
          <w:rFonts w:hint="eastAsia" w:asciiTheme="minorEastAsia" w:hAnsiTheme="minorEastAsia" w:eastAsiaTheme="minorEastAsia"/>
          <w:b/>
          <w:bCs/>
          <w:color w:val="auto"/>
          <w:szCs w:val="21"/>
          <w:highlight w:val="none"/>
          <w:lang w:val="zh-CN"/>
        </w:rPr>
        <w:t xml:space="preserve">彩色荧光谱显示</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支持彩色荧光谱显示，区别重叠信号和脉冲信号。彩色荧光谱显示方法能够区分开用常规方法 （例如，频谱，最大保持，瀑布图） 不能区分的重叠信号和脉冲信号。以红色显示的信号比以绿色或蓝色显示的信号更为频繁出现。出现频繁程度的门限可由用户预先定义并在该接收机上显示为100%。例如提取叠加在有用脉冲信号（GSM、DECT）上的干扰脉冲信号。</w:t>
      </w:r>
      <w:r/>
    </w:p>
    <w:p>
      <w:pPr>
        <w:ind w:firstLine="422"/>
        <w:spacing w:line="360" w:lineRule="auto"/>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3</w:t>
      </w:r>
      <w:r>
        <w:rPr>
          <w:rFonts w:asciiTheme="minorEastAsia" w:hAnsiTheme="minorEastAsia" w:eastAsiaTheme="minorEastAsia"/>
          <w:b/>
          <w:bCs/>
          <w:color w:val="auto"/>
          <w:szCs w:val="21"/>
          <w:highlight w:val="none"/>
          <w:lang w:val="zh-CN"/>
        </w:rPr>
        <w:t xml:space="preserve">.</w:t>
      </w:r>
      <w:r>
        <w:rPr>
          <w:rFonts w:hint="eastAsia" w:asciiTheme="minorEastAsia" w:hAnsiTheme="minorEastAsia" w:eastAsiaTheme="minorEastAsia"/>
          <w:b/>
          <w:bCs/>
          <w:color w:val="auto"/>
          <w:szCs w:val="21"/>
          <w:highlight w:val="none"/>
          <w:lang w:val="zh-CN"/>
        </w:rPr>
        <w:t xml:space="preserve">场强测量</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根据连接天线的特定天线系数，支持测量电场强度。场强直接支持 dBμV/m 为单位显示，</w:t>
      </w:r>
      <w:r>
        <w:rPr>
          <w:rFonts w:hint="eastAsia" w:ascii="宋体" w:hAnsi="宋体" w:cs="宋体"/>
          <w:color w:val="auto"/>
          <w:szCs w:val="21"/>
          <w:highlight w:val="none"/>
          <w:lang w:val="zh-CN"/>
        </w:rPr>
        <w:t xml:space="preserve">在徒步或车载使用时，能够进行场强地域分布测量。</w:t>
      </w:r>
      <w:r/>
    </w:p>
    <w:p>
      <w:pPr>
        <w:ind w:firstLine="422"/>
        <w:spacing w:line="360" w:lineRule="auto"/>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4</w:t>
      </w:r>
      <w:r>
        <w:rPr>
          <w:rFonts w:asciiTheme="minorEastAsia" w:hAnsiTheme="minorEastAsia" w:eastAsiaTheme="minorEastAsia"/>
          <w:b/>
          <w:bCs/>
          <w:color w:val="auto"/>
          <w:szCs w:val="21"/>
          <w:highlight w:val="none"/>
          <w:lang w:val="zh-CN"/>
        </w:rPr>
        <w:t xml:space="preserve">.</w:t>
      </w:r>
      <w:r>
        <w:rPr>
          <w:rFonts w:hint="eastAsia"/>
          <w:color w:val="auto"/>
          <w:szCs w:val="21"/>
          <w:highlight w:val="none"/>
        </w:rPr>
        <w:t xml:space="preserve"> ▲</w:t>
      </w:r>
      <w:r>
        <w:rPr>
          <w:rFonts w:hint="eastAsia" w:asciiTheme="minorEastAsia" w:hAnsiTheme="minorEastAsia" w:eastAsiaTheme="minorEastAsia"/>
          <w:b/>
          <w:bCs/>
          <w:color w:val="auto"/>
          <w:szCs w:val="21"/>
          <w:highlight w:val="none"/>
          <w:lang w:val="zh-CN"/>
        </w:rPr>
        <w:t xml:space="preserve">时域测量</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具备时域测量功能，支持设定信号频点，显示信号时频特性。提供时间门限触发测量功能，可选择性的查看某一特定时隙中频谱的显示，体现发射特性，用于LTE/5G NR等TDD通信网络的干扰排查；</w:t>
      </w:r>
      <w:r/>
    </w:p>
    <w:p>
      <w:pPr>
        <w:ind w:firstLine="422"/>
        <w:spacing w:line="360" w:lineRule="auto"/>
        <w:rPr>
          <w:rFonts w:asciiTheme="minorEastAsia" w:hAnsiTheme="minorEastAsia" w:eastAsiaTheme="minorEastAsia"/>
          <w:b/>
          <w:bCs/>
          <w:color w:val="auto"/>
          <w:szCs w:val="21"/>
          <w:highlight w:val="none"/>
          <w:lang w:val="zh-CN"/>
        </w:rPr>
      </w:pPr>
      <w:r>
        <w:rPr>
          <w:rFonts w:asciiTheme="minorEastAsia" w:hAnsiTheme="minorEastAsia" w:eastAsiaTheme="minorEastAsia"/>
          <w:b/>
          <w:bCs/>
          <w:color w:val="auto"/>
          <w:szCs w:val="21"/>
          <w:highlight w:val="none"/>
          <w:lang w:val="zh-CN"/>
        </w:rPr>
        <w:t xml:space="preserve">5.</w:t>
      </w:r>
      <w:r>
        <w:rPr>
          <w:rFonts w:hint="eastAsia"/>
          <w:color w:val="auto"/>
          <w:szCs w:val="21"/>
          <w:highlight w:val="none"/>
        </w:rPr>
        <w:t xml:space="preserve"> ▲</w:t>
      </w:r>
      <w:r>
        <w:rPr>
          <w:rFonts w:hint="eastAsia" w:asciiTheme="minorEastAsia" w:hAnsiTheme="minorEastAsia" w:eastAsiaTheme="minorEastAsia"/>
          <w:b/>
          <w:bCs/>
          <w:color w:val="auto"/>
          <w:szCs w:val="21"/>
          <w:highlight w:val="none"/>
          <w:lang w:val="zh-CN"/>
        </w:rPr>
        <w:t xml:space="preserve">I/Q数据记录和回放</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支持对中频数据进行连续IQ存储，支持事后对录制信号进行频域和时域的重现，以及IQ数据导出。</w:t>
      </w:r>
      <w:r/>
    </w:p>
    <w:p>
      <w:pPr>
        <w:ind w:firstLine="422"/>
        <w:spacing w:line="360" w:lineRule="auto"/>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6</w:t>
      </w:r>
      <w:r>
        <w:rPr>
          <w:rFonts w:asciiTheme="minorEastAsia" w:hAnsiTheme="minorEastAsia" w:eastAsiaTheme="minorEastAsia"/>
          <w:b/>
          <w:bCs/>
          <w:color w:val="auto"/>
          <w:szCs w:val="21"/>
          <w:highlight w:val="none"/>
          <w:lang w:val="zh-CN"/>
        </w:rPr>
        <w:t xml:space="preserve">.</w:t>
      </w:r>
      <w:r>
        <w:rPr>
          <w:rFonts w:hint="eastAsia" w:asciiTheme="minorEastAsia" w:hAnsiTheme="minorEastAsia" w:eastAsiaTheme="minorEastAsia"/>
          <w:b/>
          <w:bCs/>
          <w:color w:val="auto"/>
          <w:szCs w:val="21"/>
          <w:highlight w:val="none"/>
          <w:lang w:val="zh-CN"/>
        </w:rPr>
        <w:t xml:space="preserve">远程控制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支持远程控制，可通过 LAN 接口，利用控制软件操作便携式接收机，设定监测参数，进行IQ数据录制等。</w:t>
      </w:r>
      <w:r/>
    </w:p>
    <w:p>
      <w:pPr>
        <w:ind w:firstLine="422"/>
        <w:spacing w:line="360" w:lineRule="auto"/>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7</w:t>
      </w:r>
      <w:r>
        <w:rPr>
          <w:rFonts w:asciiTheme="minorEastAsia" w:hAnsiTheme="minorEastAsia" w:eastAsiaTheme="minorEastAsia"/>
          <w:b/>
          <w:bCs/>
          <w:color w:val="auto"/>
          <w:szCs w:val="21"/>
          <w:highlight w:val="none"/>
          <w:lang w:val="zh-CN"/>
        </w:rPr>
        <w:t xml:space="preserve">.</w:t>
      </w:r>
      <w:r>
        <w:rPr>
          <w:rFonts w:hint="eastAsia" w:asciiTheme="minorEastAsia" w:hAnsiTheme="minorEastAsia" w:eastAsiaTheme="minorEastAsia"/>
          <w:b/>
          <w:bCs/>
          <w:color w:val="auto"/>
          <w:szCs w:val="21"/>
          <w:highlight w:val="none"/>
          <w:lang w:val="zh-CN"/>
        </w:rPr>
        <w:t xml:space="preserve">交叉定位功能 </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支持基于无线电信号强度的360°测向功能，多个点的测向结果可以实现交叉定位，并在地图上显示定位结果。</w:t>
      </w:r>
      <w:r/>
    </w:p>
    <w:p>
      <w:pPr>
        <w:ind w:firstLine="422"/>
        <w:spacing w:line="360" w:lineRule="auto"/>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8</w:t>
      </w:r>
      <w:r>
        <w:rPr>
          <w:rFonts w:asciiTheme="minorEastAsia" w:hAnsiTheme="minorEastAsia" w:eastAsiaTheme="minorEastAsia"/>
          <w:b/>
          <w:bCs/>
          <w:color w:val="auto"/>
          <w:szCs w:val="21"/>
          <w:highlight w:val="none"/>
          <w:lang w:val="zh-CN"/>
        </w:rPr>
        <w:t xml:space="preserve">.</w:t>
      </w:r>
      <w:r>
        <w:rPr>
          <w:rFonts w:hint="eastAsia" w:asciiTheme="minorEastAsia" w:hAnsiTheme="minorEastAsia" w:eastAsiaTheme="minorEastAsia"/>
          <w:b/>
          <w:bCs/>
          <w:color w:val="auto"/>
          <w:szCs w:val="21"/>
          <w:highlight w:val="none"/>
          <w:lang w:val="zh-CN"/>
        </w:rPr>
        <w:t xml:space="preserve">场强定位功能</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场强定位功能支持通过无线电信号的强度变化判断信号方向，并能够通过提示音，逐渐靠近并确认干扰信号源。</w:t>
      </w:r>
      <w:r/>
    </w:p>
    <w:p>
      <w:pPr>
        <w:ind w:firstLine="422"/>
        <w:spacing w:line="360" w:lineRule="auto"/>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9</w:t>
      </w:r>
      <w:r>
        <w:rPr>
          <w:rFonts w:asciiTheme="minorEastAsia" w:hAnsiTheme="minorEastAsia" w:eastAsiaTheme="minorEastAsia"/>
          <w:b/>
          <w:bCs/>
          <w:color w:val="auto"/>
          <w:szCs w:val="21"/>
          <w:highlight w:val="none"/>
          <w:lang w:val="zh-CN"/>
        </w:rPr>
        <w:t xml:space="preserve">.</w:t>
      </w:r>
      <w:r>
        <w:rPr>
          <w:rFonts w:hint="eastAsia"/>
          <w:color w:val="auto"/>
          <w:szCs w:val="21"/>
          <w:highlight w:val="none"/>
        </w:rPr>
        <w:t xml:space="preserve"> ▲</w:t>
      </w:r>
      <w:r>
        <w:rPr>
          <w:rFonts w:hint="eastAsia" w:asciiTheme="minorEastAsia" w:hAnsiTheme="minorEastAsia" w:eastAsiaTheme="minorEastAsia"/>
          <w:b/>
          <w:bCs/>
          <w:color w:val="auto"/>
          <w:szCs w:val="21"/>
          <w:highlight w:val="none"/>
          <w:lang w:val="zh-CN"/>
        </w:rPr>
        <w:t xml:space="preserve">显示功能</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频谱、彩色荧光谱和瀑布图显示；在解调带宽内，可以自动将峰值点搬移到中心频点，即接收机频点；自动增益控制；峰值搜索，可在屏幕显示的频段范围内，左右选择峰值点，方便查找信号，支持最大保持峰值搜索和实时频谱峰值搜索；标记（MARKER），支持垂直标记、水平标记；多轨迹显示；支持常规、平均、最大保持、最小保持显示频谱信息。</w:t>
      </w:r>
      <w:r/>
    </w:p>
    <w:p>
      <w:pPr>
        <w:ind w:firstLine="422"/>
        <w:spacing w:line="360" w:lineRule="auto"/>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1</w:t>
      </w:r>
      <w:r>
        <w:rPr>
          <w:rFonts w:asciiTheme="minorEastAsia" w:hAnsiTheme="minorEastAsia" w:eastAsiaTheme="minorEastAsia"/>
          <w:b/>
          <w:bCs/>
          <w:color w:val="auto"/>
          <w:szCs w:val="21"/>
          <w:highlight w:val="none"/>
          <w:lang w:val="zh-CN"/>
        </w:rPr>
        <w:t xml:space="preserve">0.</w:t>
      </w:r>
      <w:r>
        <w:rPr>
          <w:rFonts w:hint="eastAsia" w:asciiTheme="minorEastAsia" w:hAnsiTheme="minorEastAsia" w:eastAsiaTheme="minorEastAsia"/>
          <w:b/>
          <w:bCs/>
          <w:color w:val="auto"/>
          <w:szCs w:val="21"/>
          <w:highlight w:val="none"/>
          <w:lang w:val="zh-CN"/>
        </w:rPr>
        <w:t xml:space="preserve">操纵要求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接收机本体必须具备实体按键，用于监测相关参数的键入。避免使用触摸屏幕进行操作及显示，以防止在雨、雪等极端环境下输入混乱，或因为水滴等导致的触摸屏幕的误触发使监测结果异常。</w:t>
      </w:r>
      <w:r/>
    </w:p>
    <w:p>
      <w:pPr>
        <w:ind w:firstLine="422"/>
        <w:spacing w:line="360" w:lineRule="auto"/>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11.接口要求</w:t>
      </w:r>
      <w:r/>
    </w:p>
    <w:p>
      <w:pPr>
        <w:ind w:left="568"/>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具备GNSS天线接口。</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Theme="minorEastAsia" w:hAnsiTheme="minorEastAsia" w:eastAsiaTheme="minorEastAsia"/>
          <w:b/>
          <w:bCs/>
          <w:color w:val="auto"/>
          <w:szCs w:val="21"/>
          <w:highlight w:val="none"/>
          <w:lang w:val="zh-CN"/>
        </w:rPr>
        <w:t xml:space="preserve">   12.配置文件要求</w:t>
      </w:r>
      <w:r/>
    </w:p>
    <w:p>
      <w:pPr>
        <w:spacing w:line="360" w:lineRule="auto"/>
        <w:rPr>
          <w:rFonts w:ascii="仿宋" w:hAnsi="仿宋" w:eastAsia="仿宋"/>
          <w:color w:val="auto"/>
          <w:highlight w:val="none"/>
          <w:lang w:val="zh-CN"/>
        </w:rPr>
      </w:pPr>
      <w:r>
        <w:rPr>
          <w:rFonts w:hint="eastAsia" w:ascii="仿宋" w:hAnsi="仿宋" w:eastAsia="仿宋"/>
          <w:color w:val="auto"/>
          <w:highlight w:val="none"/>
          <w:lang w:val="zh-CN"/>
        </w:rPr>
        <w:t xml:space="preserve"> </w:t>
      </w:r>
      <w:r>
        <w:rPr>
          <w:rFonts w:ascii="仿宋" w:hAnsi="仿宋" w:eastAsia="仿宋"/>
          <w:color w:val="auto"/>
          <w:highlight w:val="none"/>
          <w:lang w:val="zh-CN"/>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具备出厂校准文档。</w:t>
      </w:r>
      <w:r/>
    </w:p>
    <w:p>
      <w:pPr>
        <w:ind w:firstLine="211"/>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（二）系统软件功能要求</w:t>
      </w:r>
      <w:r/>
    </w:p>
    <w:p>
      <w:pPr>
        <w:ind w:firstLine="422"/>
        <w:spacing w:line="360" w:lineRule="auto"/>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1</w:t>
      </w:r>
      <w:r>
        <w:rPr>
          <w:rFonts w:asciiTheme="minorEastAsia" w:hAnsiTheme="minorEastAsia" w:eastAsiaTheme="minorEastAsia"/>
          <w:b/>
          <w:bCs/>
          <w:color w:val="auto"/>
          <w:szCs w:val="21"/>
          <w:highlight w:val="none"/>
          <w:lang w:val="zh-CN"/>
        </w:rPr>
        <w:t xml:space="preserve">.</w:t>
      </w:r>
      <w:r>
        <w:rPr>
          <w:rFonts w:hint="eastAsia"/>
          <w:color w:val="auto"/>
          <w:szCs w:val="21"/>
          <w:highlight w:val="none"/>
        </w:rPr>
        <w:t xml:space="preserve"> ▲</w:t>
      </w:r>
      <w:r>
        <w:rPr>
          <w:rFonts w:hint="eastAsia" w:asciiTheme="minorEastAsia" w:hAnsiTheme="minorEastAsia" w:eastAsiaTheme="minorEastAsia"/>
          <w:b/>
          <w:bCs/>
          <w:color w:val="auto"/>
          <w:szCs w:val="21"/>
          <w:highlight w:val="none"/>
          <w:lang w:val="zh-CN"/>
        </w:rPr>
        <w:t xml:space="preserve">单频点测量</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可以实现对单个频点的频率、电平、</w:t>
      </w:r>
      <w:r>
        <w:rPr>
          <w:rFonts w:hint="eastAsia" w:asciiTheme="minorEastAsia" w:hAnsiTheme="minorEastAsia" w:eastAsiaTheme="minorEastAsia"/>
          <w:color w:val="auto"/>
          <w:szCs w:val="21"/>
          <w:highlight w:val="none"/>
        </w:rPr>
        <w:t xml:space="preserve">场强测量</w:t>
      </w:r>
      <w:r>
        <w:rPr>
          <w:rFonts w:hint="eastAsia" w:asciiTheme="minorEastAsia" w:hAnsiTheme="minorEastAsia" w:eastAsiaTheme="minorEastAsia"/>
          <w:color w:val="auto"/>
          <w:szCs w:val="21"/>
          <w:highlight w:val="none"/>
          <w:lang w:val="zh-CN"/>
        </w:rPr>
        <w:t xml:space="preserve">和监听功能，监测数据可以保存回放。</w:t>
      </w:r>
      <w:r/>
    </w:p>
    <w:p>
      <w:pPr>
        <w:ind w:firstLine="422"/>
        <w:spacing w:line="360" w:lineRule="auto"/>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2</w:t>
      </w:r>
      <w:r>
        <w:rPr>
          <w:rFonts w:asciiTheme="minorEastAsia" w:hAnsiTheme="minorEastAsia" w:eastAsiaTheme="minorEastAsia"/>
          <w:b/>
          <w:bCs/>
          <w:color w:val="auto"/>
          <w:szCs w:val="21"/>
          <w:highlight w:val="none"/>
          <w:lang w:val="zh-CN"/>
        </w:rPr>
        <w:t xml:space="preserve">.</w:t>
      </w:r>
      <w:r>
        <w:rPr>
          <w:rFonts w:hint="eastAsia"/>
          <w:color w:val="auto"/>
          <w:szCs w:val="21"/>
          <w:highlight w:val="none"/>
        </w:rPr>
        <w:t xml:space="preserve"> ▲</w:t>
      </w:r>
      <w:r>
        <w:rPr>
          <w:rFonts w:hint="eastAsia" w:asciiTheme="minorEastAsia" w:hAnsiTheme="minorEastAsia" w:eastAsiaTheme="minorEastAsia"/>
          <w:b/>
          <w:bCs/>
          <w:color w:val="auto"/>
          <w:szCs w:val="21"/>
          <w:highlight w:val="none"/>
          <w:lang w:val="zh-CN"/>
        </w:rPr>
        <w:t xml:space="preserve">中频分析</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能够测量某个频率，显示其频谱图，主流调制信号能够解调并录音，计算分析占用带宽等相关频谱特征。可手动设置Mark点和手动测量带宽。</w:t>
      </w:r>
      <w:r/>
    </w:p>
    <w:p>
      <w:pPr>
        <w:ind w:firstLine="422"/>
        <w:spacing w:line="360" w:lineRule="auto"/>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3</w:t>
      </w:r>
      <w:r>
        <w:rPr>
          <w:rFonts w:asciiTheme="minorEastAsia" w:hAnsiTheme="minorEastAsia" w:eastAsiaTheme="minorEastAsia"/>
          <w:b/>
          <w:bCs/>
          <w:color w:val="auto"/>
          <w:szCs w:val="21"/>
          <w:highlight w:val="none"/>
          <w:lang w:val="zh-CN"/>
        </w:rPr>
        <w:t xml:space="preserve">.</w:t>
      </w:r>
      <w:r>
        <w:rPr>
          <w:rFonts w:hint="eastAsia"/>
          <w:color w:val="auto"/>
          <w:szCs w:val="21"/>
          <w:highlight w:val="none"/>
        </w:rPr>
        <w:t xml:space="preserve"> ▲</w:t>
      </w:r>
      <w:r>
        <w:rPr>
          <w:rFonts w:hint="eastAsia" w:asciiTheme="minorEastAsia" w:hAnsiTheme="minorEastAsia" w:eastAsiaTheme="minorEastAsia"/>
          <w:b/>
          <w:bCs/>
          <w:color w:val="auto"/>
          <w:szCs w:val="21"/>
          <w:highlight w:val="none"/>
          <w:lang w:val="zh-CN"/>
        </w:rPr>
        <w:t xml:space="preserve">频段扫描</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提供数字频段扫描功能，能够测量一段或多段连续的间隔一致的频率，可查看各频率信号的强弱。</w:t>
      </w:r>
      <w:r/>
    </w:p>
    <w:p>
      <w:pPr>
        <w:ind w:firstLine="422"/>
        <w:spacing w:line="360" w:lineRule="auto"/>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4</w:t>
      </w:r>
      <w:r>
        <w:rPr>
          <w:rFonts w:asciiTheme="minorEastAsia" w:hAnsiTheme="minorEastAsia" w:eastAsiaTheme="minorEastAsia"/>
          <w:b/>
          <w:bCs/>
          <w:color w:val="auto"/>
          <w:szCs w:val="21"/>
          <w:highlight w:val="none"/>
          <w:lang w:val="zh-CN"/>
        </w:rPr>
        <w:t xml:space="preserve">.</w:t>
      </w:r>
      <w:r>
        <w:rPr>
          <w:rFonts w:hint="eastAsia"/>
          <w:color w:val="auto"/>
          <w:szCs w:val="21"/>
          <w:highlight w:val="none"/>
        </w:rPr>
        <w:t xml:space="preserve"> ▲</w:t>
      </w:r>
      <w:r>
        <w:rPr>
          <w:rFonts w:hint="eastAsia" w:asciiTheme="minorEastAsia" w:hAnsiTheme="minorEastAsia" w:eastAsiaTheme="minorEastAsia"/>
          <w:b/>
          <w:bCs/>
          <w:color w:val="auto"/>
          <w:szCs w:val="21"/>
          <w:highlight w:val="none"/>
          <w:lang w:val="zh-CN"/>
        </w:rPr>
        <w:t xml:space="preserve">离散扫描</w:t>
      </w:r>
      <w:r/>
    </w:p>
    <w:p>
      <w:pPr>
        <w:ind w:firstLine="420"/>
        <w:spacing w:line="360" w:lineRule="auto"/>
        <w:rPr>
          <w:color w:val="auto"/>
          <w:highlight w:val="none"/>
        </w:rPr>
      </w:pPr>
      <w:r>
        <w:rPr>
          <w:rFonts w:hint="eastAsia" w:asciiTheme="minorEastAsia" w:hAnsiTheme="minorEastAsia" w:eastAsiaTheme="minorEastAsia"/>
          <w:color w:val="auto"/>
          <w:szCs w:val="21"/>
          <w:highlight w:val="none"/>
          <w:lang w:val="zh-CN"/>
        </w:rPr>
        <w:t xml:space="preserve">提供离散扫描功能，能逐次测量非连续频点的电平。</w:t>
      </w:r>
      <w:r/>
    </w:p>
    <w:p>
      <w:pPr>
        <w:pStyle w:val="744"/>
        <w:spacing w:line="360" w:lineRule="auto"/>
        <w:rPr>
          <w:b/>
          <w:bCs/>
          <w:color w:val="auto"/>
          <w:sz w:val="21"/>
          <w:szCs w:val="21"/>
          <w:highlight w:val="none"/>
        </w:rPr>
      </w:pPr>
      <w:r>
        <w:rPr>
          <w:rFonts w:hint="eastAsia"/>
          <w:b/>
          <w:bCs/>
          <w:color w:val="auto"/>
          <w:sz w:val="21"/>
          <w:szCs w:val="21"/>
          <w:highlight w:val="none"/>
        </w:rPr>
        <w:t xml:space="preserve">六、系统性能要求</w:t>
      </w:r>
      <w:r/>
    </w:p>
    <w:p>
      <w:pPr>
        <w:ind w:firstLine="422"/>
        <w:spacing w:line="360" w:lineRule="auto"/>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w:t>
      </w:r>
      <w:r>
        <w:rPr>
          <w:rFonts w:hint="eastAsia" w:asciiTheme="minorEastAsia" w:hAnsiTheme="minorEastAsia" w:eastAsiaTheme="minorEastAsia"/>
          <w:b/>
          <w:bCs/>
          <w:color w:val="auto"/>
          <w:szCs w:val="21"/>
          <w:highlight w:val="none"/>
        </w:rPr>
        <w:t xml:space="preserve">一</w:t>
      </w:r>
      <w:r>
        <w:rPr>
          <w:rFonts w:hint="eastAsia" w:asciiTheme="minorEastAsia" w:hAnsiTheme="minorEastAsia" w:eastAsiaTheme="minorEastAsia"/>
          <w:b/>
          <w:bCs/>
          <w:color w:val="auto"/>
          <w:szCs w:val="21"/>
          <w:highlight w:val="none"/>
          <w:lang w:val="zh-CN"/>
        </w:rPr>
        <w:t xml:space="preserve">）便携式接收机</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便携式接收机主要技术指标要求如下：</w:t>
      </w:r>
      <w:r/>
    </w:p>
    <w:p>
      <w:pPr>
        <w:ind w:firstLine="420"/>
        <w:spacing w:line="360" w:lineRule="auto"/>
        <w:rPr>
          <w:rFonts w:asciiTheme="minorEastAsia" w:hAnsiTheme="minorEastAsia" w:eastAsiaTheme="minorEastAsia"/>
          <w:color w:val="auto"/>
          <w:szCs w:val="21"/>
          <w:highlight w:val="none"/>
          <w:lang w:val="zh-CN"/>
        </w:rPr>
      </w:pPr>
      <w:r>
        <w:rPr>
          <w:rFonts w:hint="eastAsia"/>
          <w:color w:val="auto"/>
          <w:szCs w:val="21"/>
          <w:highlight w:val="none"/>
        </w:rPr>
        <w:t xml:space="preserve">1.▲</w:t>
      </w:r>
      <w:r>
        <w:rPr>
          <w:rFonts w:hint="eastAsia" w:asciiTheme="minorEastAsia" w:hAnsiTheme="minorEastAsia" w:eastAsiaTheme="minorEastAsia"/>
          <w:color w:val="auto"/>
          <w:szCs w:val="21"/>
          <w:highlight w:val="none"/>
          <w:lang w:val="zh-CN"/>
        </w:rPr>
        <w:t xml:space="preserve">频率范围：9kHz～8GHz，通过扩频可扩展到33GHz；</w:t>
      </w:r>
      <w:r/>
    </w:p>
    <w:p>
      <w:pPr>
        <w:ind w:firstLine="420"/>
        <w:spacing w:line="360" w:lineRule="auto"/>
        <w:rPr>
          <w:rFonts w:asciiTheme="minorEastAsia" w:hAnsiTheme="minorEastAsia" w:eastAsiaTheme="minorEastAsia"/>
          <w:strike/>
          <w:color w:val="auto"/>
          <w:szCs w:val="21"/>
          <w:highlight w:val="none"/>
          <w:lang w:val="zh-CN"/>
        </w:rPr>
      </w:pPr>
      <w:r>
        <w:rPr>
          <w:rFonts w:hint="eastAsia" w:cs="PingFang SC"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lang w:val="zh-CN"/>
        </w:rPr>
        <w:t xml:space="preserve">实时中频带宽：≥40MHz；</w:t>
      </w:r>
      <w:r/>
    </w:p>
    <w:p>
      <w:pPr>
        <w:ind w:firstLine="420"/>
        <w:spacing w:line="360" w:lineRule="auto"/>
        <w:rPr>
          <w:rFonts w:asciiTheme="minorEastAsia" w:hAnsiTheme="minorEastAsia" w:eastAsiaTheme="minorEastAsia"/>
          <w:color w:val="auto"/>
          <w:szCs w:val="21"/>
          <w:highlight w:val="none"/>
          <w:lang w:val="zh-CN"/>
        </w:rPr>
      </w:pPr>
      <w:r>
        <w:rPr>
          <w:rFonts w:hint="eastAsia" w:cs="PingFang SC"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lang w:val="zh-CN"/>
        </w:rPr>
        <w:t xml:space="preserve">监测灵敏度：≤-110dBm （FFM 模式）</w:t>
      </w:r>
      <w:r/>
    </w:p>
    <w:p>
      <w:pPr>
        <w:ind w:firstLine="189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≤-110dBm （PSCAN 模式）；</w:t>
      </w:r>
      <w:r/>
    </w:p>
    <w:p>
      <w:pPr>
        <w:ind w:firstLine="420"/>
        <w:spacing w:line="360" w:lineRule="auto"/>
        <w:rPr>
          <w:rFonts w:asciiTheme="minorEastAsia" w:hAnsiTheme="minorEastAsia" w:eastAsiaTheme="minorEastAsia"/>
          <w:color w:val="auto"/>
          <w:szCs w:val="21"/>
          <w:highlight w:val="none"/>
          <w:lang w:val="zh-CN"/>
        </w:rPr>
      </w:pPr>
      <w:r>
        <w:rPr>
          <w:rFonts w:hint="eastAsia"/>
          <w:color w:val="auto"/>
          <w:szCs w:val="21"/>
          <w:highlight w:val="none"/>
        </w:rPr>
        <w:t xml:space="preserve">4.▲</w:t>
      </w:r>
      <w:r>
        <w:rPr>
          <w:rFonts w:hint="eastAsia" w:asciiTheme="minorEastAsia" w:hAnsiTheme="minorEastAsia" w:eastAsiaTheme="minorEastAsia"/>
          <w:color w:val="auto"/>
          <w:szCs w:val="21"/>
          <w:highlight w:val="none"/>
          <w:lang w:val="zh-CN"/>
        </w:rPr>
        <w:t xml:space="preserve">解调灵敏度：≤-110dBm （调频 20dB SINAD）</w:t>
      </w:r>
      <w:r/>
    </w:p>
    <w:p>
      <w:pPr>
        <w:ind w:firstLine="189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≤-115dBm （调幅 12dB SINAD）</w:t>
      </w:r>
      <w:r>
        <w:rPr>
          <w:rFonts w:hint="eastAsia" w:asciiTheme="minorEastAsia" w:hAnsiTheme="minorEastAsia" w:eastAsiaTheme="minorEastAsia"/>
          <w:bCs/>
          <w:color w:val="auto"/>
          <w:szCs w:val="21"/>
          <w:highlight w:val="none"/>
        </w:rPr>
        <w:t xml:space="preserve">（1MHz～8GHz）；</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5.</w:t>
      </w:r>
      <w:r>
        <w:rPr>
          <w:rFonts w:hint="eastAsia" w:asciiTheme="minorEastAsia" w:hAnsiTheme="minorEastAsia" w:eastAsiaTheme="minorEastAsia"/>
          <w:color w:val="auto"/>
          <w:szCs w:val="21"/>
          <w:highlight w:val="none"/>
          <w:lang w:val="zh-CN"/>
        </w:rPr>
        <w:t xml:space="preserve">内置衰减器：0-40dB，可按 1dB 步进调整，具备自动衰减功能；</w:t>
      </w:r>
      <w:r/>
    </w:p>
    <w:p>
      <w:pPr>
        <w:ind w:firstLine="420"/>
        <w:spacing w:line="360" w:lineRule="auto"/>
        <w:rPr>
          <w:rFonts w:asciiTheme="minorEastAsia" w:hAnsiTheme="minorEastAsia" w:eastAsiaTheme="minorEastAsia"/>
          <w:color w:val="auto"/>
          <w:szCs w:val="21"/>
          <w:highlight w:val="none"/>
          <w:lang w:val="zh-CN"/>
        </w:rPr>
      </w:pPr>
      <w:r>
        <w:rPr>
          <w:rFonts w:hint="eastAsia"/>
          <w:color w:val="auto"/>
          <w:szCs w:val="21"/>
          <w:highlight w:val="none"/>
        </w:rPr>
        <w:t xml:space="preserve">6.▲</w:t>
      </w:r>
      <w:r>
        <w:rPr>
          <w:rFonts w:hint="eastAsia" w:asciiTheme="minorEastAsia" w:hAnsiTheme="minorEastAsia" w:eastAsiaTheme="minorEastAsia"/>
          <w:color w:val="auto"/>
          <w:szCs w:val="21"/>
          <w:highlight w:val="none"/>
          <w:lang w:val="zh-CN"/>
        </w:rPr>
        <w:t xml:space="preserve">同频信号分析：具备彩色荧光谱技术，可区分同频分布的多个信号</w:t>
      </w:r>
      <w:r/>
    </w:p>
    <w:p>
      <w:pPr>
        <w:ind w:firstLine="1995"/>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（分析带宽： ≥40MHz）；</w:t>
      </w:r>
      <w:r/>
    </w:p>
    <w:p>
      <w:pPr>
        <w:ind w:firstLine="420"/>
        <w:spacing w:line="360" w:lineRule="auto"/>
        <w:rPr>
          <w:rFonts w:asciiTheme="minorEastAsia" w:hAnsiTheme="minorEastAsia" w:eastAsiaTheme="minorEastAsia"/>
          <w:color w:val="auto"/>
          <w:szCs w:val="21"/>
          <w:highlight w:val="none"/>
          <w:lang w:val="zh-CN"/>
        </w:rPr>
      </w:pPr>
      <w:r>
        <w:rPr>
          <w:rFonts w:hint="eastAsia"/>
          <w:color w:val="auto"/>
          <w:szCs w:val="21"/>
          <w:highlight w:val="none"/>
        </w:rPr>
        <w:t xml:space="preserve">7.▲</w:t>
      </w:r>
      <w:r>
        <w:rPr>
          <w:rFonts w:hint="eastAsia" w:asciiTheme="minorEastAsia" w:hAnsiTheme="minorEastAsia" w:eastAsiaTheme="minorEastAsia"/>
          <w:color w:val="auto"/>
          <w:szCs w:val="21"/>
          <w:highlight w:val="none"/>
          <w:lang w:val="zh-CN"/>
        </w:rPr>
        <w:t xml:space="preserve">测向扩展：支持设备内软件升级成测向机，支持相关干涉测向体制；</w:t>
      </w:r>
      <w:r/>
    </w:p>
    <w:p>
      <w:pPr>
        <w:ind w:firstLine="420"/>
        <w:spacing w:line="360" w:lineRule="auto"/>
        <w:rPr>
          <w:rFonts w:asciiTheme="minorEastAsia" w:hAnsiTheme="minorEastAsia" w:eastAsiaTheme="minorEastAsia"/>
          <w:color w:val="auto"/>
          <w:szCs w:val="21"/>
          <w:highlight w:val="none"/>
          <w:lang w:val="zh-CN"/>
        </w:rPr>
      </w:pPr>
      <w:r>
        <w:rPr>
          <w:rFonts w:hint="eastAsia" w:cs="PingFang SC" w:asciiTheme="minorEastAsia" w:hAnsiTheme="minorEastAsia" w:eastAsiaTheme="minorEastAsia"/>
          <w:color w:val="auto"/>
          <w:szCs w:val="21"/>
          <w:highlight w:val="none"/>
        </w:rPr>
        <w:t xml:space="preserve">8.★</w:t>
      </w:r>
      <w:r>
        <w:rPr>
          <w:rFonts w:hint="eastAsia" w:asciiTheme="minorEastAsia" w:hAnsiTheme="minorEastAsia" w:eastAsiaTheme="minorEastAsia"/>
          <w:color w:val="auto"/>
          <w:szCs w:val="21"/>
          <w:highlight w:val="none"/>
          <w:lang w:val="zh-CN"/>
        </w:rPr>
        <w:t xml:space="preserve">扫描速度：≥</w:t>
      </w:r>
      <w:r>
        <w:rPr>
          <w:rFonts w:hint="eastAsia" w:asciiTheme="minorEastAsia" w:hAnsiTheme="minorEastAsia" w:eastAsiaTheme="minorEastAsia"/>
          <w:color w:val="auto"/>
          <w:szCs w:val="21"/>
          <w:highlight w:val="none"/>
        </w:rPr>
        <w:t xml:space="preserve">5</w:t>
      </w:r>
      <w:r>
        <w:rPr>
          <w:rFonts w:hint="eastAsia" w:asciiTheme="minorEastAsia" w:hAnsiTheme="minorEastAsia" w:eastAsiaTheme="minorEastAsia"/>
          <w:color w:val="auto"/>
          <w:szCs w:val="21"/>
          <w:highlight w:val="none"/>
          <w:lang w:val="zh-CN"/>
        </w:rPr>
        <w:t xml:space="preserve">0GHz/s （</w:t>
      </w:r>
      <w:r>
        <w:rPr>
          <w:rFonts w:hint="eastAsia" w:asciiTheme="minorEastAsia" w:hAnsiTheme="minorEastAsia" w:eastAsiaTheme="minorEastAsia"/>
          <w:color w:val="auto"/>
          <w:szCs w:val="21"/>
          <w:highlight w:val="none"/>
        </w:rPr>
        <w:t xml:space="preserve">25</w:t>
      </w:r>
      <w:r>
        <w:rPr>
          <w:rFonts w:hint="eastAsia" w:asciiTheme="minorEastAsia" w:hAnsiTheme="minorEastAsia" w:eastAsiaTheme="minorEastAsia"/>
          <w:color w:val="auto"/>
          <w:szCs w:val="21"/>
          <w:highlight w:val="none"/>
          <w:lang w:val="zh-CN"/>
        </w:rPr>
        <w:t xml:space="preserve"> kHz 分辨率）；</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9.</w:t>
      </w:r>
      <w:r>
        <w:rPr>
          <w:rFonts w:hint="eastAsia" w:asciiTheme="minorEastAsia" w:hAnsiTheme="minorEastAsia" w:eastAsiaTheme="minorEastAsia"/>
          <w:color w:val="auto"/>
          <w:szCs w:val="21"/>
          <w:highlight w:val="none"/>
          <w:lang w:val="zh-CN"/>
        </w:rPr>
        <w:t xml:space="preserve">二阶截断点：≥40dBm（20MHz-6GHz）（低失真模式）；</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10.</w:t>
      </w:r>
      <w:r>
        <w:rPr>
          <w:rFonts w:hint="eastAsia" w:asciiTheme="minorEastAsia" w:hAnsiTheme="minorEastAsia" w:eastAsiaTheme="minorEastAsia"/>
          <w:color w:val="auto"/>
          <w:szCs w:val="21"/>
          <w:highlight w:val="none"/>
          <w:lang w:val="zh-CN"/>
        </w:rPr>
        <w:t xml:space="preserve">三阶截断点：≥10dBm（20MHz-6GHz）（低失真模式）；</w:t>
      </w:r>
      <w:r/>
    </w:p>
    <w:p>
      <w:pPr>
        <w:ind w:firstLine="420"/>
        <w:spacing w:line="360" w:lineRule="auto"/>
        <w:rPr>
          <w:rFonts w:asciiTheme="minorEastAsia" w:hAnsiTheme="minorEastAsia" w:eastAsiaTheme="minorEastAsia"/>
          <w:color w:val="auto"/>
          <w:szCs w:val="21"/>
          <w:highlight w:val="none"/>
          <w:lang w:val="de-DE"/>
        </w:rPr>
      </w:pPr>
      <w:r>
        <w:rPr>
          <w:rFonts w:hint="eastAsia" w:asciiTheme="minorEastAsia" w:hAnsiTheme="minorEastAsia" w:eastAsiaTheme="minorEastAsia"/>
          <w:color w:val="auto"/>
          <w:szCs w:val="21"/>
          <w:highlight w:val="none"/>
        </w:rPr>
        <w:t xml:space="preserve">11.</w:t>
      </w:r>
      <w:r>
        <w:rPr>
          <w:rFonts w:hint="eastAsia" w:asciiTheme="minorEastAsia" w:hAnsiTheme="minorEastAsia" w:eastAsiaTheme="minorEastAsia"/>
          <w:color w:val="auto"/>
          <w:szCs w:val="21"/>
          <w:highlight w:val="none"/>
          <w:lang w:val="zh-CN"/>
        </w:rPr>
        <w:t xml:space="preserve">相位噪声</w:t>
      </w:r>
      <w:r>
        <w:rPr>
          <w:rFonts w:hint="eastAsia" w:asciiTheme="minorEastAsia" w:hAnsiTheme="minorEastAsia" w:eastAsiaTheme="minorEastAsia"/>
          <w:color w:val="auto"/>
          <w:szCs w:val="21"/>
          <w:highlight w:val="none"/>
          <w:lang w:val="de-DE"/>
        </w:rPr>
        <w:t xml:space="preserve">：≤-85dBc/Hz@10kHz，35MHz - 8GHz；</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12.</w:t>
      </w:r>
      <w:r>
        <w:rPr>
          <w:rFonts w:hint="eastAsia" w:asciiTheme="minorEastAsia" w:hAnsiTheme="minorEastAsia" w:eastAsiaTheme="minorEastAsia"/>
          <w:color w:val="auto"/>
          <w:szCs w:val="21"/>
          <w:highlight w:val="none"/>
          <w:lang w:val="zh-CN"/>
        </w:rPr>
        <w:t xml:space="preserve">中频抑制：≥75dBm，35MHz - 8GHz；</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13.</w:t>
      </w:r>
      <w:r>
        <w:rPr>
          <w:rFonts w:hint="eastAsia" w:asciiTheme="minorEastAsia" w:hAnsiTheme="minorEastAsia" w:eastAsiaTheme="minorEastAsia"/>
          <w:color w:val="auto"/>
          <w:szCs w:val="21"/>
          <w:highlight w:val="none"/>
          <w:lang w:val="zh-CN"/>
        </w:rPr>
        <w:t xml:space="preserve">镜像抑制：≥75dBm，35MHz - 8GHz；</w:t>
      </w:r>
      <w:r/>
    </w:p>
    <w:p>
      <w:pPr>
        <w:ind w:firstLine="420"/>
        <w:spacing w:line="360" w:lineRule="auto"/>
        <w:rPr>
          <w:rFonts w:asciiTheme="minorEastAsia" w:hAnsiTheme="minorEastAsia" w:eastAsiaTheme="minorEastAsia"/>
          <w:color w:val="auto"/>
          <w:szCs w:val="21"/>
          <w:highlight w:val="none"/>
          <w:lang w:val="zh-CN"/>
        </w:rPr>
      </w:pPr>
      <w:r/>
      <w:bookmarkStart w:id="63" w:name="_Hlk187139860"/>
      <w:r>
        <w:rPr>
          <w:rFonts w:hint="eastAsia" w:asciiTheme="minorEastAsia" w:hAnsiTheme="minorEastAsia" w:eastAsiaTheme="minorEastAsia"/>
          <w:color w:val="auto"/>
          <w:szCs w:val="21"/>
          <w:highlight w:val="none"/>
        </w:rPr>
        <w:t xml:space="preserve">14.</w:t>
      </w:r>
      <w:r>
        <w:rPr>
          <w:rFonts w:hint="eastAsia" w:asciiTheme="minorEastAsia" w:hAnsiTheme="minorEastAsia" w:eastAsiaTheme="minorEastAsia"/>
          <w:color w:val="auto"/>
          <w:szCs w:val="21"/>
          <w:highlight w:val="none"/>
          <w:lang w:val="zh-CN"/>
        </w:rPr>
        <w:t xml:space="preserve">最小可检测脉冲持续时间，100%POI：≤2μs</w:t>
      </w:r>
      <w:bookmarkEnd w:id="63"/>
      <w:r>
        <w:rPr>
          <w:rFonts w:hint="eastAsia" w:asciiTheme="minorEastAsia" w:hAnsiTheme="minorEastAsia" w:eastAsiaTheme="minorEastAsia"/>
          <w:color w:val="auto"/>
          <w:szCs w:val="21"/>
          <w:highlight w:val="none"/>
          <w:lang w:val="zh-CN"/>
        </w:rPr>
        <w:t xml:space="preserve">；</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15.</w:t>
      </w:r>
      <w:r>
        <w:rPr>
          <w:rFonts w:hint="eastAsia" w:asciiTheme="minorEastAsia" w:hAnsiTheme="minorEastAsia" w:eastAsiaTheme="minorEastAsia"/>
          <w:color w:val="auto"/>
          <w:szCs w:val="21"/>
          <w:highlight w:val="none"/>
          <w:lang w:val="zh-CN"/>
        </w:rPr>
        <w:t xml:space="preserve">解调方式：支持AM、FM、PULSE、USB、LSB、ISB、CW、I/Q；</w:t>
      </w:r>
      <w:r/>
    </w:p>
    <w:p>
      <w:pPr>
        <w:ind w:firstLine="420"/>
        <w:spacing w:line="360" w:lineRule="auto"/>
        <w:rPr>
          <w:rFonts w:asciiTheme="minorEastAsia" w:hAnsiTheme="minorEastAsia" w:eastAsiaTheme="minorEastAsia"/>
          <w:color w:val="auto"/>
          <w:szCs w:val="21"/>
          <w:highlight w:val="none"/>
          <w:lang w:val="zh-CN"/>
        </w:rPr>
      </w:pPr>
      <w:r>
        <w:rPr>
          <w:rFonts w:hint="eastAsia"/>
          <w:color w:val="auto"/>
          <w:szCs w:val="21"/>
          <w:highlight w:val="none"/>
        </w:rPr>
        <w:t xml:space="preserve">16.▲</w:t>
      </w:r>
      <w:r>
        <w:rPr>
          <w:rFonts w:hint="eastAsia" w:asciiTheme="minorEastAsia" w:hAnsiTheme="minorEastAsia" w:eastAsiaTheme="minorEastAsia"/>
          <w:color w:val="auto"/>
          <w:szCs w:val="21"/>
          <w:highlight w:val="none"/>
          <w:lang w:val="zh-CN"/>
        </w:rPr>
        <w:t xml:space="preserve">单电池供电工作时长：≥3.5小时；</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17.重量（包含电池）：≤4.0kg；</w:t>
      </w:r>
      <w:r/>
    </w:p>
    <w:p>
      <w:pPr>
        <w:ind w:firstLine="42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18.配套仪表包、备用电池和座充。</w:t>
      </w:r>
      <w:r/>
    </w:p>
    <w:p>
      <w:pPr>
        <w:ind w:firstLine="422"/>
        <w:spacing w:line="360" w:lineRule="auto"/>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w:t>
      </w:r>
      <w:r>
        <w:rPr>
          <w:rFonts w:hint="eastAsia" w:asciiTheme="minorEastAsia" w:hAnsiTheme="minorEastAsia" w:eastAsiaTheme="minorEastAsia"/>
          <w:b/>
          <w:bCs/>
          <w:color w:val="auto"/>
          <w:szCs w:val="21"/>
          <w:highlight w:val="none"/>
        </w:rPr>
        <w:t xml:space="preserve">二</w:t>
      </w:r>
      <w:r>
        <w:rPr>
          <w:rFonts w:hint="eastAsia" w:asciiTheme="minorEastAsia" w:hAnsiTheme="minorEastAsia" w:eastAsiaTheme="minorEastAsia"/>
          <w:b/>
          <w:bCs/>
          <w:color w:val="auto"/>
          <w:szCs w:val="21"/>
          <w:highlight w:val="none"/>
          <w:lang w:val="zh-CN"/>
        </w:rPr>
        <w:t xml:space="preserve">）手持式定向天线</w:t>
      </w:r>
      <w:r/>
    </w:p>
    <w:p>
      <w:pPr>
        <w:ind w:firstLine="632"/>
        <w:spacing w:line="360" w:lineRule="auto"/>
        <w:rPr>
          <w:rFonts w:asciiTheme="minorEastAsia" w:hAnsiTheme="minorEastAsia" w:eastAsiaTheme="minorEastAsia"/>
          <w:b/>
          <w:color w:val="auto"/>
          <w:szCs w:val="21"/>
          <w:highlight w:val="none"/>
          <w:lang w:val="zh-CN"/>
        </w:rPr>
      </w:pPr>
      <w:r>
        <w:rPr>
          <w:rFonts w:hint="eastAsia" w:asciiTheme="minorEastAsia" w:hAnsiTheme="minorEastAsia" w:eastAsiaTheme="minorEastAsia"/>
          <w:b/>
          <w:color w:val="auto"/>
          <w:szCs w:val="21"/>
          <w:highlight w:val="none"/>
        </w:rPr>
        <w:t xml:space="preserve">1.</w:t>
      </w:r>
      <w:r>
        <w:rPr>
          <w:rFonts w:hint="eastAsia" w:asciiTheme="minorEastAsia" w:hAnsiTheme="minorEastAsia" w:eastAsiaTheme="minorEastAsia"/>
          <w:b/>
          <w:color w:val="auto"/>
          <w:szCs w:val="21"/>
          <w:highlight w:val="none"/>
          <w:lang w:val="zh-CN"/>
        </w:rPr>
        <w:t xml:space="preserve">9kHz-8GHz 频段手持式定向天线</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每套系统包括天线手柄、专门为接收机定制化的线缆组，以及天线模块用于覆盖9kHz到8GHz，同时包含集成的低噪声放大器（LNA），触发和切换按钮，以及电子罗盘和GNSS接收机等配件。</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频率范围：9kHz-8GHz，分段实现（自动识别天线模块）；</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短波天线模块频率范围：9kHz-30MHz；</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超宽带天线模块频率范围：30MHz-6GHz；</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对数周期天线模块频率范围：450MHz - 8GHz；</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极化方式：垂直/水平极化（自动识别）；</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输入阻抗：50Ω；</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可切换有源无源模式；</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VSWR：&lt; 3.5；</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含GNSS 和电子罗盘模块；</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配套便携式手提箱，用于天线安放及携带。</w:t>
      </w:r>
      <w:r/>
    </w:p>
    <w:p>
      <w:pPr>
        <w:ind w:firstLine="422"/>
        <w:spacing w:line="360" w:lineRule="auto"/>
        <w:rPr>
          <w:rFonts w:asciiTheme="minorEastAsia" w:hAnsiTheme="minorEastAsia" w:eastAsiaTheme="minorEastAsia"/>
          <w:b/>
          <w:color w:val="auto"/>
          <w:szCs w:val="21"/>
          <w:highlight w:val="none"/>
          <w:lang w:val="zh-CN"/>
        </w:rPr>
      </w:pPr>
      <w:r>
        <w:rPr>
          <w:rFonts w:hint="eastAsia" w:asciiTheme="minorEastAsia" w:hAnsiTheme="minorEastAsia" w:eastAsiaTheme="minorEastAsia"/>
          <w:b/>
          <w:color w:val="auto"/>
          <w:szCs w:val="21"/>
          <w:highlight w:val="none"/>
        </w:rPr>
        <w:t xml:space="preserve">2.</w:t>
      </w:r>
      <w:r>
        <w:rPr>
          <w:rFonts w:hint="eastAsia" w:asciiTheme="minorEastAsia" w:hAnsiTheme="minorEastAsia" w:eastAsiaTheme="minorEastAsia"/>
          <w:b/>
          <w:color w:val="auto"/>
          <w:szCs w:val="21"/>
          <w:highlight w:val="none"/>
          <w:lang w:val="zh-CN"/>
        </w:rPr>
        <w:t xml:space="preserve">33GHz 频段拓展</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包括天线手柄、配套电缆组，以及覆盖8GHz到33GHz的天线模块，实现最高33GHz频段的监测和测向。</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频率拓展一：</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数字下变频天线手柄支持频率范围：8GHz-20GHz；</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频率拓展二：</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数字下变频天线手柄支持频率范围：18GHz-33GHz；</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极化方式：线极化；</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射频输出：snapN型连接器；</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VSWR：&lt;3；</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天线内置GPS和电子罗盘模块；</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输入阻抗：50Ω；</w:t>
      </w:r>
      <w:r/>
    </w:p>
    <w:p>
      <w:pPr>
        <w:ind w:firstLine="42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电子罗盘精度：典型值1.5°RMS。</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七、商务要求</w:t>
      </w:r>
      <w:r/>
    </w:p>
    <w:p>
      <w:pPr>
        <w:pStyle w:val="707"/>
        <w:numPr>
          <w:ilvl w:val="2"/>
          <w:numId w:val="0"/>
        </w:numPr>
        <w:ind w:firstLine="420"/>
        <w:keepLines w:val="0"/>
        <w:keepNext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（一）交付使用时间</w:t>
      </w:r>
      <w:r/>
    </w:p>
    <w:p>
      <w:pPr>
        <w:pStyle w:val="707"/>
        <w:numPr>
          <w:ilvl w:val="2"/>
          <w:numId w:val="0"/>
        </w:numPr>
        <w:ind w:firstLine="420"/>
        <w:keepLines w:val="0"/>
        <w:keepNext w:val="0"/>
        <w:spacing w:before="0" w:after="0" w:line="360" w:lineRule="auto"/>
        <w:rPr>
          <w:rFonts w:cs="宋体" w:asciiTheme="minorEastAsia" w:hAnsiTheme="minorEastAsia" w:eastAsiaTheme="minorEastAsia"/>
          <w:color w:val="auto"/>
          <w:sz w:val="21"/>
          <w:szCs w:val="21"/>
          <w:highlight w:val="none"/>
          <w:u w:val="single"/>
        </w:rPr>
      </w:pPr>
      <w:r>
        <w:rPr>
          <w:rFonts w:hint="eastAsia" w:cs="宋体" w:asciiTheme="minorEastAsia" w:hAnsiTheme="minorEastAsia" w:eastAsiaTheme="minorEastAsia"/>
          <w:iCs/>
          <w:color w:val="auto"/>
          <w:sz w:val="21"/>
          <w:szCs w:val="21"/>
          <w:highlight w:val="none"/>
          <w:u w:val="single"/>
        </w:rPr>
        <w:t xml:space="preserve">合同签订后120天内（除不可抗力、非投标人原因）完成供货、运输、安装、调试等直至交付采购人使用的所有内容，试运行期1个月，如运行不满足采购人要求的则在3个日历天内调试完毕，直至采购人满意为止。</w:t>
      </w:r>
      <w:r>
        <w:rPr>
          <w:rFonts w:hint="eastAsia" w:cs="宋体" w:asciiTheme="minorEastAsia" w:hAnsiTheme="minorEastAsia" w:eastAsiaTheme="minorEastAsia"/>
          <w:b/>
          <w:bCs/>
          <w:iCs/>
          <w:color w:val="auto"/>
          <w:sz w:val="21"/>
          <w:szCs w:val="21"/>
          <w:highlight w:val="none"/>
          <w:u w:val="single"/>
        </w:rPr>
        <w:t xml:space="preserve">（提供承诺函，格式自拟，原件系统上传）</w:t>
      </w:r>
      <w:r/>
    </w:p>
    <w:p>
      <w:pPr>
        <w:pStyle w:val="707"/>
        <w:numPr>
          <w:ilvl w:val="0"/>
          <w:numId w:val="3"/>
        </w:numPr>
        <w:ind w:firstLine="420"/>
        <w:keepLines w:val="0"/>
        <w:keepNext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验收要求</w:t>
      </w:r>
      <w:r/>
    </w:p>
    <w:p>
      <w:pPr>
        <w:pStyle w:val="707"/>
        <w:numPr>
          <w:ilvl w:val="2"/>
          <w:numId w:val="0"/>
        </w:numPr>
        <w:ind w:firstLine="420"/>
        <w:keepLines w:val="0"/>
        <w:keepNext w:val="0"/>
        <w:spacing w:before="0" w:after="0"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本项目依据招投标文件、合同文件等进行验收。验收环节包括合同验收、初步验收和竣工验收。</w:t>
      </w:r>
      <w:r/>
    </w:p>
    <w:p>
      <w:pPr>
        <w:pStyle w:val="707"/>
        <w:numPr>
          <w:ilvl w:val="2"/>
          <w:numId w:val="0"/>
        </w:numPr>
        <w:ind w:firstLine="420"/>
        <w:keepLines w:val="0"/>
        <w:keepNext w:val="0"/>
        <w:spacing w:before="0" w:after="0"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1.合同验收</w:t>
      </w:r>
      <w:r/>
    </w:p>
    <w:p>
      <w:pPr>
        <w:pStyle w:val="707"/>
        <w:numPr>
          <w:ilvl w:val="2"/>
          <w:numId w:val="0"/>
        </w:numPr>
        <w:ind w:firstLine="420"/>
        <w:keepLines w:val="0"/>
        <w:keepNext w:val="0"/>
        <w:spacing w:before="0" w:after="0"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出厂核验：</w:t>
      </w:r>
      <w:r>
        <w:rPr>
          <w:rFonts w:hint="eastAsia" w:cs="仿宋" w:asciiTheme="minorEastAsia" w:hAnsiTheme="minorEastAsia" w:eastAsiaTheme="minorEastAsia"/>
          <w:i/>
          <w:iCs/>
          <w:color w:val="auto"/>
          <w:sz w:val="21"/>
          <w:szCs w:val="21"/>
          <w:highlight w:val="none"/>
          <w:u w:val="single"/>
        </w:rPr>
        <w:t xml:space="preserve">项目具备验收条件且便携式接收机取得符合《无线电监测设施测试验证工作规定（试行）》（工信部无〔2017〕283号）要求的第三方测试验证报告(要求第三方检测机构</w:t>
      </w:r>
      <w:r>
        <w:rPr>
          <w:rFonts w:hint="eastAsia" w:cs="仿宋" w:asciiTheme="minorEastAsia" w:hAnsiTheme="minorEastAsia" w:eastAsiaTheme="minorEastAsia"/>
          <w:i/>
          <w:iCs/>
          <w:color w:val="auto"/>
          <w:sz w:val="21"/>
          <w:szCs w:val="21"/>
          <w:highlight w:val="none"/>
          <w:u w:val="single"/>
        </w:rPr>
        <w:t xml:space="preserve">具有CNAS和CMA资质</w:t>
      </w:r>
      <w:r>
        <w:rPr>
          <w:rFonts w:hint="eastAsia" w:cs="仿宋" w:asciiTheme="minorEastAsia" w:hAnsiTheme="minorEastAsia" w:eastAsiaTheme="minorEastAsia"/>
          <w:i/>
          <w:iCs/>
          <w:color w:val="auto"/>
          <w:sz w:val="21"/>
          <w:szCs w:val="21"/>
          <w:highlight w:val="none"/>
          <w:u w:val="single"/>
        </w:rPr>
        <w:t xml:space="preserve">，测试项目至少包括监测灵敏度、解调灵敏度、电平测量误差、频率准确度、二阶截断点、三阶截断点、中频干扰抑制比、镜频干扰抑制比、接收机杂散发射、扫描速度等指标，费用由中标人承担）后，中标人提交出厂核验申请</w:t>
      </w:r>
      <w:r>
        <w:rPr>
          <w:rFonts w:hint="eastAsia" w:cs="仿宋" w:asciiTheme="minorEastAsia" w:hAnsiTheme="minorEastAsia" w:eastAsiaTheme="minorEastAsia"/>
          <w:b/>
          <w:bCs/>
          <w:i/>
          <w:iCs/>
          <w:color w:val="auto"/>
          <w:sz w:val="21"/>
          <w:szCs w:val="21"/>
          <w:highlight w:val="none"/>
          <w:u w:val="single"/>
        </w:rPr>
        <w:t xml:space="preserve">（提供承诺函并加盖投标人公章，原件扫描件上传）</w:t>
      </w:r>
      <w:r>
        <w:rPr>
          <w:rFonts w:hint="eastAsia" w:cs="仿宋" w:asciiTheme="minorEastAsia" w:hAnsiTheme="minorEastAsia" w:eastAsiaTheme="minorEastAsia"/>
          <w:color w:val="auto"/>
          <w:sz w:val="21"/>
          <w:szCs w:val="21"/>
          <w:highlight w:val="none"/>
        </w:rPr>
        <w:t xml:space="preserve">。采购人成立核验小组，核验小组初步审查验收文档后进行出厂核验，核验内容包括：按照招投标文件和合同约定内容，对全部设备的品牌、型号、规格、数量、外观完好性进行逐项检查确认；对系统各项功能进行逐项检查确认；结合三方检测报告、产品手册、技术说明书等对系统各项性能指标进行逐项检查确认；如实记录验收情况，给出验收结论，并形成验收报告； 核验过程商定的相关事宜形成备忘录作为初步验收或竣工验收依据的组成部分。</w:t>
      </w:r>
      <w:r/>
    </w:p>
    <w:p>
      <w:pPr>
        <w:pStyle w:val="707"/>
        <w:numPr>
          <w:ilvl w:val="2"/>
          <w:numId w:val="0"/>
        </w:numPr>
        <w:ind w:firstLine="420"/>
        <w:keepLines w:val="0"/>
        <w:keepNext w:val="0"/>
        <w:spacing w:before="0" w:after="0"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到货交付：产品出厂核验合格后，由中标人负责运抵产品到采购人要求的地点进行到货交付。内容包括：中标人提供设备清单，与采购人共同对全部设备品牌、型号、规格、数量等进行确认交接；对用户手册、产品合格证等相关技术资料进行交接。</w:t>
      </w:r>
      <w:r/>
    </w:p>
    <w:p>
      <w:pPr>
        <w:pStyle w:val="707"/>
        <w:numPr>
          <w:ilvl w:val="2"/>
          <w:numId w:val="0"/>
        </w:numPr>
        <w:ind w:firstLine="420"/>
        <w:keepLines w:val="0"/>
        <w:keepNext w:val="0"/>
        <w:spacing w:before="0" w:after="0"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2.初步验收</w:t>
      </w:r>
      <w:r/>
    </w:p>
    <w:p>
      <w:pPr>
        <w:pStyle w:val="707"/>
        <w:numPr>
          <w:ilvl w:val="2"/>
          <w:numId w:val="0"/>
        </w:numPr>
        <w:ind w:firstLine="420"/>
        <w:keepLines w:val="0"/>
        <w:keepNext w:val="0"/>
        <w:spacing w:before="0" w:after="0"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完成到货交付、培训、项目总结报告编制、相关文档资料收集、整理和编目后，达到初步验收标准后，中标人提请初步验收。采购人组织验收组进行初步验收，初步验收合格后项目进入试运行，试运行期1个月以上。</w:t>
      </w:r>
      <w:r/>
    </w:p>
    <w:p>
      <w:pPr>
        <w:pStyle w:val="707"/>
        <w:numPr>
          <w:ilvl w:val="2"/>
          <w:numId w:val="0"/>
        </w:numPr>
        <w:ind w:firstLine="420"/>
        <w:keepLines w:val="0"/>
        <w:keepNext w:val="0"/>
        <w:spacing w:before="0" w:after="0"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3.竣工验收</w:t>
      </w:r>
      <w:r/>
    </w:p>
    <w:p>
      <w:pPr>
        <w:pStyle w:val="707"/>
        <w:numPr>
          <w:ilvl w:val="2"/>
          <w:numId w:val="0"/>
        </w:numPr>
        <w:ind w:firstLine="420"/>
        <w:keepLines w:val="0"/>
        <w:keepNext w:val="0"/>
        <w:spacing w:before="0" w:after="0"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 xml:space="preserve">试运行期设备运行正常稳定，中标人提出竣工验收申请，采购人组织竣工验收。</w:t>
      </w:r>
      <w:r/>
    </w:p>
    <w:p>
      <w:pPr>
        <w:pStyle w:val="707"/>
        <w:numPr>
          <w:ilvl w:val="2"/>
          <w:numId w:val="0"/>
        </w:numPr>
        <w:ind w:firstLine="420"/>
        <w:keepLines w:val="0"/>
        <w:keepNext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（三）售后服务</w:t>
      </w:r>
      <w:r/>
    </w:p>
    <w:p>
      <w:pPr>
        <w:pStyle w:val="707"/>
        <w:numPr>
          <w:ilvl w:val="2"/>
          <w:numId w:val="0"/>
        </w:numPr>
        <w:ind w:firstLine="420"/>
        <w:keepLines w:val="0"/>
        <w:keepNext w:val="0"/>
        <w:spacing w:before="0" w:after="0" w:line="360" w:lineRule="auto"/>
        <w:rPr>
          <w:rFonts w:cs="仿宋" w:asciiTheme="minorEastAsia" w:hAnsiTheme="minorEastAsia" w:eastAsiaTheme="minorEastAsia"/>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w:t>
      </w:r>
      <w:r>
        <w:rPr>
          <w:rFonts w:hint="eastAsia" w:cs="仿宋" w:asciiTheme="minorEastAsia" w:hAnsiTheme="minorEastAsia" w:eastAsiaTheme="minorEastAsia"/>
          <w:i/>
          <w:iCs/>
          <w:color w:val="auto"/>
          <w:sz w:val="21"/>
          <w:szCs w:val="21"/>
          <w:highlight w:val="none"/>
          <w:u w:val="single"/>
        </w:rPr>
        <w:t xml:space="preserve">投标人应提供完善的技术支持和售后服务。所有仪器及附件从竣工验收之日起均享有3年免费保修，投标人需在投标文件中列出保修期内的维修、维护内容和范围；所有设备保修服务方式均为中标人上门保修，即由中标人派员到用户设备使用现场维修，对于保修期外的产品，招标人支付维修所发生的材料/工时费用。对发现的软件故障或存在的缺陷中标人应及时修正,中标人应及时对购买后的软件进行正常升级。</w:t>
      </w:r>
      <w:r/>
    </w:p>
    <w:p>
      <w:pPr>
        <w:pStyle w:val="707"/>
        <w:numPr>
          <w:ilvl w:val="2"/>
          <w:numId w:val="0"/>
        </w:numPr>
        <w:ind w:firstLine="420"/>
        <w:keepLines w:val="0"/>
        <w:keepNext w:val="0"/>
        <w:spacing w:before="0" w:after="0" w:line="360" w:lineRule="auto"/>
        <w:rPr>
          <w:rFonts w:cs="仿宋" w:asciiTheme="minorEastAsia" w:hAnsiTheme="minorEastAsia" w:eastAsiaTheme="minorEastAsia"/>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w:t>
      </w:r>
      <w:r>
        <w:rPr>
          <w:rFonts w:hint="eastAsia" w:cs="仿宋" w:asciiTheme="minorEastAsia" w:hAnsiTheme="minorEastAsia" w:eastAsiaTheme="minorEastAsia"/>
          <w:i/>
          <w:iCs/>
          <w:color w:val="auto"/>
          <w:sz w:val="21"/>
          <w:szCs w:val="21"/>
          <w:highlight w:val="none"/>
          <w:u w:val="single"/>
        </w:rPr>
        <w:t xml:space="preserve">系统故障报修的响应时间：电话响应在08：00至18：00期间，投标人须在1小时内进行响应，其余时间投标人响应时间为4小时内；到场响应时间要求为48小时内。</w:t>
      </w:r>
      <w:r/>
    </w:p>
    <w:p>
      <w:pPr>
        <w:pStyle w:val="707"/>
        <w:numPr>
          <w:ilvl w:val="2"/>
          <w:numId w:val="0"/>
        </w:numPr>
        <w:ind w:firstLine="420"/>
        <w:keepLines w:val="0"/>
        <w:keepNext w:val="0"/>
        <w:spacing w:before="0" w:after="0" w:line="360" w:lineRule="auto"/>
        <w:rPr>
          <w:rFonts w:cs="仿宋" w:asciiTheme="minorEastAsia" w:hAnsiTheme="minorEastAsia" w:eastAsiaTheme="minorEastAsia"/>
          <w:bCs/>
          <w:i/>
          <w:iCs/>
          <w:color w:val="auto"/>
          <w:sz w:val="21"/>
          <w:szCs w:val="21"/>
          <w:highlight w:val="none"/>
          <w:u w:val="single"/>
        </w:rPr>
      </w:pPr>
      <w:r>
        <w:rPr>
          <w:rFonts w:hint="eastAsia" w:ascii="宋体" w:hAnsi="宋体" w:cs="宋体"/>
          <w:i/>
          <w:iCs/>
          <w:color w:val="auto"/>
          <w:sz w:val="21"/>
          <w:szCs w:val="21"/>
          <w:highlight w:val="none"/>
          <w:u w:val="single"/>
        </w:rPr>
        <w:t xml:space="preserve">3</w:t>
      </w:r>
      <w:r>
        <w:rPr>
          <w:rFonts w:hint="eastAsia" w:ascii="宋体" w:hAnsi="宋体" w:eastAsia="宋体" w:cs="宋体"/>
          <w:i/>
          <w:iCs/>
          <w:color w:val="auto"/>
          <w:sz w:val="21"/>
          <w:szCs w:val="21"/>
          <w:highlight w:val="none"/>
          <w:u w:val="single"/>
        </w:rPr>
        <w:t xml:space="preserve">.如果系统故障在检修48小时后仍旧无法排除，中标人应在</w:t>
      </w:r>
      <w:r>
        <w:rPr>
          <w:rFonts w:ascii="宋体" w:hAnsi="宋体" w:eastAsia="宋体" w:cs="宋体"/>
          <w:i/>
          <w:iCs/>
          <w:color w:val="auto"/>
          <w:sz w:val="21"/>
          <w:szCs w:val="21"/>
          <w:highlight w:val="none"/>
          <w:u w:val="single"/>
        </w:rPr>
        <w:t xml:space="preserve">24</w:t>
      </w:r>
      <w:r>
        <w:rPr>
          <w:rFonts w:hint="eastAsia" w:ascii="宋体" w:hAnsi="宋体" w:eastAsia="宋体" w:cs="宋体"/>
          <w:i/>
          <w:iCs/>
          <w:color w:val="auto"/>
          <w:sz w:val="21"/>
          <w:szCs w:val="21"/>
          <w:highlight w:val="none"/>
          <w:u w:val="single"/>
        </w:rPr>
        <w:t xml:space="preserve">小时内提供不低于</w:t>
      </w:r>
      <w:r>
        <w:rPr>
          <w:rFonts w:hint="eastAsia" w:cs="仿宋" w:asciiTheme="minorEastAsia" w:hAnsiTheme="minorEastAsia" w:eastAsiaTheme="minorEastAsia"/>
          <w:bCs/>
          <w:i/>
          <w:iCs/>
          <w:color w:val="auto"/>
          <w:sz w:val="21"/>
          <w:szCs w:val="21"/>
          <w:highlight w:val="none"/>
          <w:u w:val="single"/>
        </w:rPr>
        <w:t xml:space="preserve">故障设备规格型号、性能的备用设备供采购人使用，直至故障设备修复。</w:t>
      </w:r>
      <w:r/>
    </w:p>
    <w:p>
      <w:pPr>
        <w:pStyle w:val="707"/>
        <w:numPr>
          <w:ilvl w:val="2"/>
          <w:numId w:val="0"/>
        </w:numPr>
        <w:ind w:firstLine="422"/>
        <w:keepLines w:val="0"/>
        <w:keepNext w:val="0"/>
        <w:spacing w:before="0" w:after="0" w:line="360" w:lineRule="auto"/>
        <w:rPr>
          <w:rFonts w:cs="仿宋" w:asciiTheme="minorEastAsia" w:hAnsiTheme="minorEastAsia" w:eastAsiaTheme="minorEastAsia"/>
          <w:b/>
          <w:i/>
          <w:iCs/>
          <w:color w:val="auto"/>
          <w:sz w:val="21"/>
          <w:szCs w:val="21"/>
          <w:highlight w:val="none"/>
          <w:u w:val="single"/>
        </w:rPr>
      </w:pPr>
      <w:r>
        <w:rPr>
          <w:rFonts w:hint="eastAsia" w:cs="仿宋" w:asciiTheme="minorEastAsia" w:hAnsiTheme="minorEastAsia" w:eastAsiaTheme="minorEastAsia"/>
          <w:b/>
          <w:i/>
          <w:iCs/>
          <w:color w:val="auto"/>
          <w:sz w:val="21"/>
          <w:szCs w:val="21"/>
          <w:highlight w:val="none"/>
          <w:u w:val="single"/>
        </w:rPr>
        <w:t xml:space="preserve">投标人针对</w:t>
      </w:r>
      <w:r>
        <w:rPr>
          <w:rFonts w:hint="eastAsia" w:ascii="宋体" w:hAnsi="宋体" w:eastAsia="宋体" w:cs="宋体"/>
          <w:b/>
          <w:i/>
          <w:iCs/>
          <w:color w:val="auto"/>
          <w:sz w:val="21"/>
          <w:szCs w:val="21"/>
          <w:highlight w:val="none"/>
          <w:u w:val="single"/>
        </w:rPr>
        <w:t xml:space="preserve">以上三点</w:t>
      </w:r>
      <w:r>
        <w:rPr>
          <w:rFonts w:hint="eastAsia" w:cs="仿宋" w:asciiTheme="minorEastAsia" w:hAnsiTheme="minorEastAsia" w:eastAsiaTheme="minorEastAsia"/>
          <w:b/>
          <w:i/>
          <w:iCs/>
          <w:color w:val="auto"/>
          <w:sz w:val="21"/>
          <w:szCs w:val="21"/>
          <w:highlight w:val="none"/>
          <w:u w:val="single"/>
        </w:rPr>
        <w:t xml:space="preserve">（包含但不限于）提供承诺书原件并加盖投标人公章，承诺书格式自拟。</w:t>
      </w:r>
      <w:r/>
    </w:p>
    <w:p>
      <w:pPr>
        <w:pStyle w:val="707"/>
        <w:numPr>
          <w:ilvl w:val="2"/>
          <w:numId w:val="0"/>
        </w:numPr>
        <w:ind w:firstLine="420"/>
        <w:keepLines w:val="0"/>
        <w:keepNext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（四）培训要求</w:t>
      </w:r>
      <w:r/>
    </w:p>
    <w:p>
      <w:pPr>
        <w:ind w:right="57" w:firstLine="420"/>
        <w:spacing w:line="360" w:lineRule="auto"/>
        <w:rPr>
          <w:rFonts w:cs="仿宋" w:asciiTheme="minorEastAsia" w:hAnsiTheme="minorEastAsia" w:eastAsiaTheme="minorEastAsia"/>
          <w:bCs/>
          <w:color w:val="auto"/>
          <w:szCs w:val="21"/>
          <w:highlight w:val="none"/>
        </w:rPr>
      </w:pPr>
      <w:r>
        <w:rPr>
          <w:rFonts w:hint="eastAsia" w:ascii="宋体" w:hAnsi="宋体" w:cs="宋体"/>
          <w:color w:val="auto"/>
          <w:szCs w:val="21"/>
          <w:highlight w:val="none"/>
        </w:rPr>
        <w:t xml:space="preserve">1.</w:t>
      </w:r>
      <w:r>
        <w:rPr>
          <w:rFonts w:hint="eastAsia" w:cs="仿宋" w:asciiTheme="minorEastAsia" w:hAnsiTheme="minorEastAsia" w:eastAsiaTheme="minorEastAsia"/>
          <w:bCs/>
          <w:color w:val="auto"/>
          <w:szCs w:val="21"/>
          <w:highlight w:val="none"/>
        </w:rPr>
        <w:t xml:space="preserve">投标人必须根据招标文件中采购的设备及采用的相关技术，在招标文件中提出全面的培训计划和课程内容安排，培训应包括接收机工作原理、操作方法、 维护方法、设备常见故障现象及诊断等。中标后15日内提交培训计划及课程表，经采购人确认后实施。</w:t>
      </w:r>
      <w:r/>
    </w:p>
    <w:p>
      <w:pPr>
        <w:ind w:right="57" w:firstLine="472"/>
        <w:spacing w:line="360" w:lineRule="auto"/>
        <w:rPr>
          <w:rFonts w:cs="仿宋" w:asciiTheme="minorEastAsia" w:hAnsiTheme="minorEastAsia" w:eastAsiaTheme="minorEastAsia"/>
          <w:bCs/>
          <w:color w:val="auto"/>
          <w:szCs w:val="21"/>
          <w:highlight w:val="none"/>
        </w:rPr>
      </w:pPr>
      <w:r>
        <w:rPr>
          <w:rFonts w:hint="eastAsia" w:ascii="宋体" w:hAnsi="宋体" w:cs="宋体"/>
          <w:color w:val="auto"/>
          <w:szCs w:val="21"/>
          <w:highlight w:val="none"/>
        </w:rPr>
        <w:t xml:space="preserve">2.</w:t>
      </w:r>
      <w:r>
        <w:rPr>
          <w:rFonts w:hint="eastAsia" w:cs="仿宋" w:asciiTheme="minorEastAsia" w:hAnsiTheme="minorEastAsia" w:eastAsiaTheme="minorEastAsia"/>
          <w:bCs/>
          <w:color w:val="auto"/>
          <w:szCs w:val="21"/>
          <w:highlight w:val="none"/>
        </w:rPr>
        <w:t xml:space="preserve">中标人必须提供高水平的培训。派出的培训教员应具备相关设备专业技术能力，具备同类设备培训、技术支持经验。</w:t>
      </w:r>
      <w:r/>
    </w:p>
    <w:p>
      <w:pPr>
        <w:ind w:right="57" w:firstLine="472"/>
        <w:spacing w:line="360" w:lineRule="auto"/>
        <w:rPr>
          <w:rFonts w:cs="仿宋" w:asciiTheme="minorEastAsia" w:hAnsiTheme="minorEastAsia" w:eastAsiaTheme="minorEastAsia"/>
          <w:bCs/>
          <w:color w:val="auto"/>
          <w:szCs w:val="21"/>
          <w:highlight w:val="none"/>
        </w:rPr>
      </w:pPr>
      <w:r>
        <w:rPr>
          <w:rFonts w:hint="eastAsia" w:ascii="宋体" w:hAnsi="宋体" w:cs="宋体"/>
          <w:color w:val="auto"/>
          <w:szCs w:val="21"/>
          <w:highlight w:val="none"/>
        </w:rPr>
        <w:t xml:space="preserve">3.</w:t>
      </w:r>
      <w:r>
        <w:rPr>
          <w:rFonts w:hint="eastAsia" w:cs="仿宋" w:asciiTheme="minorEastAsia" w:hAnsiTheme="minorEastAsia" w:eastAsiaTheme="minorEastAsia"/>
          <w:bCs/>
          <w:color w:val="auto"/>
          <w:szCs w:val="21"/>
          <w:highlight w:val="none"/>
        </w:rPr>
        <w:t xml:space="preserve">中标人提供免费培训，培训时必须为所有被培训人员提供培训用文字资料和讲义等相关用品，所有的资料必须是中文书写。</w:t>
      </w:r>
      <w:r/>
    </w:p>
    <w:p>
      <w:pPr>
        <w:ind w:firstLine="420"/>
        <w:spacing w:line="360" w:lineRule="auto"/>
        <w:widowControl/>
        <w:rPr>
          <w:rFonts w:cs="仿宋" w:asciiTheme="minorEastAsia" w:hAnsiTheme="minorEastAsia" w:eastAsiaTheme="minorEastAsia"/>
          <w:color w:val="auto"/>
          <w:szCs w:val="21"/>
          <w:highlight w:val="none"/>
        </w:rPr>
      </w:pPr>
      <w:r>
        <w:rPr>
          <w:rFonts w:hint="eastAsia" w:ascii="宋体" w:hAnsi="宋体" w:cs="宋体"/>
          <w:color w:val="auto"/>
          <w:szCs w:val="21"/>
          <w:highlight w:val="none"/>
        </w:rPr>
        <w:t xml:space="preserve">4.</w:t>
      </w:r>
      <w:r>
        <w:rPr>
          <w:rFonts w:hint="eastAsia" w:cs="仿宋" w:asciiTheme="minorEastAsia" w:hAnsiTheme="minorEastAsia" w:eastAsiaTheme="minorEastAsia"/>
          <w:color w:val="auto"/>
          <w:szCs w:val="21"/>
          <w:highlight w:val="none"/>
        </w:rPr>
        <w:t xml:space="preserve">培训地点、人数、天数由采购人列出具体计划并安排实施。中标人自行负责其派出培训教员所有费用（含交通费用、食宿费用等）。</w:t>
      </w:r>
      <w:r/>
    </w:p>
    <w:p>
      <w:pPr>
        <w:pStyle w:val="707"/>
        <w:numPr>
          <w:ilvl w:val="2"/>
          <w:numId w:val="0"/>
        </w:numPr>
        <w:ind w:firstLine="420"/>
        <w:keepLines w:val="0"/>
        <w:keepNext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（五）其他要求 </w:t>
      </w:r>
      <w:r/>
    </w:p>
    <w:p>
      <w:pPr>
        <w:pStyle w:val="707"/>
        <w:numPr>
          <w:ilvl w:val="2"/>
          <w:numId w:val="0"/>
        </w:numPr>
        <w:ind w:firstLine="420"/>
        <w:keepLines w:val="0"/>
        <w:keepNext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为交钥匙工程，项目包含货物制作（采购）、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pStyle w:val="707"/>
        <w:numPr>
          <w:ilvl w:val="2"/>
          <w:numId w:val="0"/>
        </w:numPr>
        <w:ind w:firstLine="420"/>
        <w:keepLines w:val="0"/>
        <w:keepNext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2、投标人应在投标文件中明确售后服务能力（包括交货期、保修期时限、售后服务、维护响应时间等）。</w:t>
      </w:r>
      <w:r/>
    </w:p>
    <w:p>
      <w:pPr>
        <w:pStyle w:val="707"/>
        <w:numPr>
          <w:ilvl w:val="2"/>
          <w:numId w:val="0"/>
        </w:numPr>
        <w:ind w:firstLine="420"/>
        <w:keepLines w:val="0"/>
        <w:keepNext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货为制造商原装出厂的、全新的、包装完好的产品，各项技术指标完全符合国家有关质量检测、环保标准及产品出厂标准，采购人将委托质检机构进行环保、质量检测，验收达不到规范要求、招标文件要求和投标响应文件承诺的，必须更换设备承担检测费用，并按国家有关规定进行处罚，直至赔偿采购人的一切损失。如发现使用假冒伪劣产品、三无产品，一经查实，立即终止合同，所有款项一律不付、不退，并将来货封存，交由质量监督部门处理，并按其处罚意见，处以罚款。</w:t>
      </w:r>
      <w:r/>
    </w:p>
    <w:p>
      <w:pPr>
        <w:pStyle w:val="707"/>
        <w:numPr>
          <w:ilvl w:val="2"/>
          <w:numId w:val="0"/>
        </w:numPr>
        <w:ind w:firstLine="420"/>
        <w:keepLines w:val="0"/>
        <w:keepNext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4、在货物运输、安装过程中如出现任何安全事故，责任由中标人承担。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5、信用承诺：投标人承诺按照招标文件要求提供的服务承诺及实施方案等是真实的，若技术指标、产品资料、服务承诺等与投标文件说明不符，采购人可以立即取消中标人的中标资格或解除合同。</w:t>
      </w:r>
      <w:r/>
    </w:p>
    <w:p>
      <w:pPr>
        <w:ind w:firstLine="422"/>
        <w:spacing w:line="360" w:lineRule="auto"/>
        <w:rPr>
          <w:rFonts w:ascii="宋体" w:hAnsi="宋体" w:cs="宋体"/>
          <w:b/>
          <w:color w:val="auto"/>
          <w:szCs w:val="21"/>
          <w:highlight w:val="none"/>
        </w:rPr>
      </w:pPr>
      <w:r/>
      <w:bookmarkStart w:id="64" w:name="_Toc55204181"/>
      <w:r>
        <w:rPr>
          <w:rFonts w:hint="eastAsia" w:ascii="宋体" w:hAnsi="宋体" w:cs="宋体"/>
          <w:b/>
          <w:color w:val="auto"/>
          <w:szCs w:val="21"/>
          <w:highlight w:val="none"/>
        </w:rPr>
        <w:t xml:space="preserve">七、节能产品要求</w:t>
      </w:r>
      <w:r/>
    </w:p>
    <w:p>
      <w:pPr>
        <w:ind w:firstLine="420"/>
        <w:jc w:val="left"/>
        <w:spacing w:line="360" w:lineRule="auto"/>
        <w:rPr>
          <w:rFonts w:ascii="宋体" w:hAnsi="宋体" w:cs="宋体"/>
          <w:color w:val="auto"/>
          <w:szCs w:val="21"/>
          <w:highlight w:val="none"/>
        </w:rPr>
      </w:pPr>
      <w:r>
        <w:rPr>
          <w:rFonts w:hint="eastAsia" w:ascii="宋体" w:hAnsi="宋体" w:cs="宋体"/>
          <w:iCs/>
          <w:color w:val="auto"/>
          <w:szCs w:val="21"/>
          <w:highlight w:val="none"/>
        </w:rPr>
        <w:t xml:space="preserve">本次拟采购的产品如属于《节能产品政府采购品目清单》中强制采购范围内的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cs="宋体"/>
          <w:i/>
          <w:iCs/>
          <w:color w:val="auto"/>
          <w:szCs w:val="21"/>
          <w:highlight w:val="none"/>
          <w:u w:val="single"/>
        </w:rPr>
        <w:t xml:space="preserve">并在投标文件内提供由国家确定的认证机构出具的、处于有效期之内的节能产品认证证书（原件，扫描上传，否则视为无效投标。（本项目涉及强制采购范围内产品有：</w:t>
      </w:r>
      <w:r>
        <w:rPr>
          <w:rFonts w:hint="eastAsia"/>
          <w:b/>
          <w:bCs/>
          <w:i/>
          <w:iCs/>
          <w:color w:val="auto"/>
          <w:szCs w:val="21"/>
          <w:highlight w:val="none"/>
          <w:u w:val="single"/>
        </w:rPr>
        <w:t xml:space="preserve">无</w:t>
      </w:r>
      <w:r>
        <w:rPr>
          <w:rFonts w:hint="eastAsia" w:ascii="宋体" w:hAnsi="宋体" w:cs="宋体"/>
          <w:i/>
          <w:iCs/>
          <w:color w:val="auto"/>
          <w:szCs w:val="21"/>
          <w:highlight w:val="none"/>
          <w:u w:val="single"/>
        </w:rPr>
        <w:t xml:space="preserve">）</w:t>
      </w:r>
      <w:r/>
    </w:p>
    <w:p>
      <w:pPr>
        <w:pStyle w:val="939"/>
        <w:jc w:val="center"/>
        <w:spacing w:line="360" w:lineRule="auto"/>
        <w:rPr>
          <w:rFonts w:ascii="宋体" w:hAnsi="宋体" w:cs="宋体"/>
          <w:color w:val="auto"/>
          <w:sz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1701" w:equalWidth="1"/>
          <w:docGrid w:linePitch="360"/>
        </w:sectPr>
      </w:pPr>
      <w:r>
        <w:rPr>
          <w:rFonts w:ascii="宋体" w:hAnsi="宋体" w:cs="宋体"/>
          <w:color w:val="auto"/>
          <w:sz w:val="36"/>
          <w:highlight w:val="none"/>
        </w:rPr>
      </w:r>
      <w:r/>
    </w:p>
    <w:p>
      <w:pPr>
        <w:pStyle w:val="705"/>
        <w:rPr>
          <w:color w:val="auto"/>
          <w:highlight w:val="none"/>
        </w:rPr>
      </w:pPr>
      <w:r/>
      <w:bookmarkStart w:id="65" w:name="_Toc10862"/>
      <w:r>
        <w:rPr>
          <w:rFonts w:hint="eastAsia"/>
          <w:color w:val="auto"/>
          <w:highlight w:val="none"/>
        </w:rPr>
        <w:t xml:space="preserve">第五章 评标方法及评标标准</w:t>
      </w:r>
      <w:bookmarkEnd w:id="64"/>
      <w:r/>
      <w:bookmarkEnd w:id="65"/>
      <w:r/>
      <w:r/>
    </w:p>
    <w:p>
      <w:pPr>
        <w:pStyle w:val="981"/>
        <w:ind w:firstLine="42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981"/>
        <w:ind w:firstLine="420"/>
        <w:spacing w:before="0" w:after="0"/>
        <w:rPr>
          <w:rFonts w:ascii="宋体" w:hAnsi="宋体" w:cs="宋体"/>
          <w:color w:val="auto"/>
          <w:sz w:val="21"/>
          <w:szCs w:val="21"/>
          <w:highlight w:val="none"/>
        </w:rPr>
      </w:pPr>
      <w:r/>
      <w:bookmarkStart w:id="66" w:name="_Toc449017024"/>
      <w:r/>
      <w:bookmarkStart w:id="67" w:name="_Toc449016388"/>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66"/>
      <w:r/>
      <w:bookmarkEnd w:id="67"/>
      <w:r/>
      <w:r/>
    </w:p>
    <w:p>
      <w:pPr>
        <w:ind w:firstLine="420"/>
        <w:spacing w:line="360" w:lineRule="auto"/>
        <w:rPr>
          <w:rFonts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8、采购本国产品的支持政策</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8.3 供应商需按照招标文件的要求提供《关于符合本国产品标准的声明函》（以下简称《声明函》），如不提供将不享受本国产品价格评审优惠。</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三、评标标准</w:t>
      </w:r>
      <w:r/>
    </w:p>
    <w:tbl>
      <w:tblPr>
        <w:tblStyle w:val="715"/>
        <w:tblW w:w="8619"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6"/>
        <w:gridCol w:w="6804"/>
        <w:gridCol w:w="709"/>
      </w:tblGrid>
      <w:tr>
        <w:trPr>
          <w:trHeight w:val="375"/>
        </w:trPr>
        <w:tc>
          <w:tcPr>
            <w:gridSpan w:val="3"/>
            <w:tcBorders>
              <w:top w:val="single" w:color="auto" w:sz="4" w:space="0"/>
              <w:left w:val="single" w:color="auto" w:sz="4" w:space="0"/>
              <w:right w:val="single" w:color="auto" w:sz="4" w:space="0"/>
            </w:tcBorders>
            <w:tcW w:w="8619" w:type="dxa"/>
            <w:vAlign w:val="center"/>
            <w:textDirection w:val="lrTb"/>
            <w:noWrap w:val="false"/>
          </w:tcPr>
          <w:p>
            <w:pPr>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一、技术指标（50）</w:t>
            </w:r>
            <w:r/>
          </w:p>
        </w:tc>
      </w:tr>
      <w:tr>
        <w:trPr>
          <w:trHeight w:val="423"/>
        </w:trPr>
        <w:tc>
          <w:tcPr>
            <w:tcBorders>
              <w:top w:val="single" w:color="auto" w:sz="4" w:space="0"/>
              <w:left w:val="single" w:color="auto" w:sz="4" w:space="0"/>
              <w:right w:val="single" w:color="auto" w:sz="4" w:space="0"/>
            </w:tcBorders>
            <w:tcW w:w="1106"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评分内容</w:t>
            </w:r>
            <w:r/>
          </w:p>
        </w:tc>
        <w:tc>
          <w:tcPr>
            <w:tcBorders>
              <w:top w:val="single" w:color="auto" w:sz="4" w:space="0"/>
              <w:left w:val="single" w:color="auto" w:sz="4" w:space="0"/>
              <w:right w:val="single" w:color="auto" w:sz="4" w:space="0"/>
            </w:tcBorders>
            <w:tcW w:w="6804"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满分</w:t>
            </w:r>
            <w:r/>
          </w:p>
        </w:tc>
      </w:tr>
      <w:tr>
        <w:trPr>
          <w:trHeight w:val="1069"/>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color w:val="auto"/>
                <w:szCs w:val="21"/>
                <w:highlight w:val="none"/>
              </w:rPr>
              <w:t xml:space="preserve">技术指标响应情况</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pStyle w:val="726"/>
              <w:spacing w:line="360" w:lineRule="auto"/>
              <w:rPr>
                <w:rFonts w:asciiTheme="minorEastAsia" w:hAnsiTheme="minorEastAsia" w:eastAsiaTheme="minorEastAsia"/>
                <w:color w:val="auto"/>
                <w:sz w:val="21"/>
                <w:highlight w:val="none"/>
              </w:rPr>
            </w:pPr>
            <w:r>
              <w:rPr>
                <w:rFonts w:hint="eastAsia" w:asciiTheme="minorEastAsia" w:hAnsiTheme="minorEastAsia" w:eastAsiaTheme="minorEastAsia"/>
                <w:color w:val="auto"/>
                <w:sz w:val="21"/>
                <w:highlight w:val="none"/>
              </w:rPr>
              <w:t xml:space="preserve">根据投标人所投产品对招标文件中系统功能要求、系统性能要求的逐条响应程度，进行评审：全部满足或优于招标文件</w:t>
            </w:r>
            <w:r>
              <w:rPr>
                <w:rFonts w:hint="eastAsia" w:asciiTheme="minorEastAsia" w:hAnsiTheme="minorEastAsia" w:eastAsiaTheme="minorEastAsia"/>
                <w:color w:val="auto"/>
                <w:sz w:val="21"/>
                <w:highlight w:val="none"/>
              </w:rPr>
              <w:t xml:space="preserve">【系统功能要求】和【系统性能要求】，</w:t>
            </w:r>
            <w:r>
              <w:rPr>
                <w:rFonts w:hint="eastAsia" w:asciiTheme="minorEastAsia" w:hAnsiTheme="minorEastAsia" w:eastAsiaTheme="minorEastAsia"/>
                <w:color w:val="auto"/>
                <w:sz w:val="21"/>
                <w:highlight w:val="none"/>
              </w:rPr>
              <w:t xml:space="preserve">得47分，不满足的按如下标准扣分，扣完为止；</w:t>
            </w:r>
            <w:r/>
          </w:p>
          <w:p>
            <w:pPr>
              <w:pStyle w:val="726"/>
              <w:spacing w:line="360" w:lineRule="auto"/>
              <w:rPr>
                <w:rFonts w:asciiTheme="minorEastAsia" w:hAnsiTheme="minorEastAsia" w:eastAsiaTheme="minorEastAsia"/>
                <w:color w:val="auto"/>
                <w:sz w:val="21"/>
                <w:highlight w:val="none"/>
              </w:rPr>
            </w:pPr>
            <w:r>
              <w:rPr>
                <w:rFonts w:hint="eastAsia" w:asciiTheme="minorEastAsia" w:hAnsiTheme="minorEastAsia" w:eastAsiaTheme="minorEastAsia"/>
                <w:color w:val="auto"/>
                <w:sz w:val="21"/>
                <w:highlight w:val="none"/>
              </w:rPr>
              <w:t xml:space="preserve">“</w:t>
            </w:r>
            <w:r>
              <w:rPr>
                <w:rFonts w:hint="eastAsia" w:cs="PingFang SC" w:asciiTheme="minorEastAsia" w:hAnsiTheme="minorEastAsia" w:eastAsiaTheme="minorEastAsia"/>
                <w:color w:val="auto"/>
                <w:sz w:val="21"/>
                <w:highlight w:val="none"/>
              </w:rPr>
              <w:t xml:space="preserve">★</w:t>
            </w:r>
            <w:r>
              <w:rPr>
                <w:rFonts w:hint="eastAsia" w:asciiTheme="minorEastAsia" w:hAnsiTheme="minorEastAsia" w:eastAsiaTheme="minorEastAsia"/>
                <w:color w:val="auto"/>
                <w:sz w:val="21"/>
                <w:highlight w:val="none"/>
              </w:rPr>
              <w:t xml:space="preserve">”号标记的为关键参数，</w:t>
            </w:r>
            <w:r>
              <w:rPr>
                <w:rFonts w:hint="eastAsia" w:asciiTheme="minorEastAsia" w:hAnsiTheme="minorEastAsia" w:eastAsiaTheme="minorEastAsia"/>
                <w:b/>
                <w:bCs/>
                <w:color w:val="auto"/>
                <w:sz w:val="21"/>
                <w:highlight w:val="none"/>
              </w:rPr>
              <w:t xml:space="preserve">提供有资质的第三方测试机构出具的有效的检测报告</w:t>
            </w:r>
            <w:r>
              <w:rPr>
                <w:rFonts w:hint="eastAsia" w:asciiTheme="minorEastAsia" w:hAnsiTheme="minorEastAsia" w:eastAsiaTheme="minorEastAsia"/>
                <w:color w:val="auto"/>
                <w:sz w:val="21"/>
                <w:highlight w:val="none"/>
              </w:rPr>
              <w:t xml:space="preserve">，作为佐证材料，不提供的不得分，每有一项负偏离或不满足的扣7分；“▲”号标记的为重要参数，每有一项负偏离或不满足的扣5分，扣完为止；其他未标记符号的为一般性参数，每有一项负偏离或不满足的扣3分。扣完为止。</w:t>
            </w:r>
            <w:r/>
          </w:p>
          <w:p>
            <w:pPr>
              <w:spacing w:line="360" w:lineRule="auto"/>
              <w:rPr>
                <w:rFonts w:ascii="Times New Roman" w:hAnsi="Times New Roman" w:cs="宋体"/>
                <w:i/>
                <w:color w:val="auto"/>
                <w:szCs w:val="21"/>
                <w:highlight w:val="none"/>
              </w:rPr>
            </w:pPr>
            <w:r>
              <w:rPr>
                <w:rFonts w:hint="eastAsia" w:ascii="Times New Roman" w:hAnsi="Times New Roman"/>
                <w:b/>
                <w:bCs/>
                <w:color w:val="auto"/>
                <w:szCs w:val="21"/>
                <w:highlight w:val="none"/>
              </w:rPr>
              <w:t xml:space="preserve">说明：</w:t>
            </w:r>
            <w:r>
              <w:rPr>
                <w:rFonts w:hint="eastAsia" w:asciiTheme="minorEastAsia" w:hAnsiTheme="minorEastAsia" w:eastAsiaTheme="minorEastAsia"/>
                <w:color w:val="auto"/>
                <w:highlight w:val="none"/>
              </w:rPr>
              <w:t xml:space="preserve">“</w:t>
            </w:r>
            <w:r>
              <w:rPr>
                <w:rFonts w:hint="eastAsia" w:cs="PingFang SC"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rPr>
              <w:t xml:space="preserve">”</w:t>
            </w:r>
            <w:r>
              <w:rPr>
                <w:rFonts w:hint="eastAsia" w:ascii="Times New Roman" w:hAnsi="Times New Roman" w:cs="宋体"/>
                <w:color w:val="auto"/>
                <w:szCs w:val="21"/>
                <w:highlight w:val="none"/>
              </w:rPr>
              <w:t xml:space="preserve">号项指标为关键技术要求，须提供证明材料,</w:t>
            </w:r>
            <w:r>
              <w:rPr>
                <w:rFonts w:hint="eastAsia" w:ascii="Times New Roman" w:hAnsi="Times New Roman"/>
                <w:b/>
                <w:bCs/>
                <w:color w:val="auto"/>
                <w:szCs w:val="21"/>
                <w:highlight w:val="none"/>
              </w:rPr>
              <w:t xml:space="preserve">未按要求提供证明材料视为负偏离，其他以投标人提供的《技术参数响应及偏离表》的响应偏离情况为准。</w:t>
            </w:r>
            <w:r>
              <w:rPr>
                <w:rFonts w:hint="eastAsia" w:ascii="Times New Roman" w:hAnsi="Times New Roman" w:cs="宋体"/>
                <w:b/>
                <w:bCs/>
                <w:color w:val="auto"/>
                <w:szCs w:val="21"/>
                <w:highlight w:val="none"/>
              </w:rPr>
              <w:t xml:space="preserve">若发现有提供虚假的证明材料或虚假应答技术参数响应及偏离表的，视为无效投标，上报采购监管部门并追究相关责任。</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lang w:val="en-US" w:eastAsia="zh-CN"/>
              </w:rPr>
              <w:t xml:space="preserve">47</w:t>
            </w:r>
            <w:r>
              <w:rPr>
                <w:rFonts w:hint="eastAsia" w:ascii="Times New Roman" w:hAnsi="Times New Roman" w:cs="宋体"/>
                <w:color w:val="auto"/>
                <w:szCs w:val="21"/>
                <w:highlight w:val="none"/>
              </w:rPr>
              <w:t xml:space="preserve">分</w:t>
            </w:r>
            <w:r/>
          </w:p>
        </w:tc>
      </w:tr>
      <w:tr>
        <w:trPr>
          <w:trHeight w:val="1859"/>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pStyle w:val="72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投标人2023年1月1日至今提供类似业绩，每有1项得1分，满分3分。</w:t>
            </w:r>
            <w:r/>
          </w:p>
          <w:p>
            <w:pPr>
              <w:pStyle w:val="720"/>
              <w:spacing w:line="360" w:lineRule="auto"/>
              <w:rPr>
                <w:rFonts w:asciiTheme="minorEastAsia" w:hAnsiTheme="minorEastAsia" w:eastAsiaTheme="minorEastAsia"/>
                <w:b/>
                <w:bCs/>
                <w:color w:val="auto"/>
                <w:highlight w:val="none"/>
              </w:rPr>
            </w:pPr>
            <w:r>
              <w:rPr>
                <w:rFonts w:hint="eastAsia" w:asciiTheme="minorEastAsia" w:hAnsiTheme="minorEastAsia" w:eastAsiaTheme="minorEastAsia"/>
                <w:b/>
                <w:bCs/>
                <w:color w:val="auto"/>
                <w:szCs w:val="21"/>
                <w:highlight w:val="none"/>
              </w:rPr>
              <w:t xml:space="preserve">【以合同签订时间为准，同一项目不同合同期限不累计得分，提供业绩合同及中标通知书，依法可以不进行招标的项目，可以提供业主单位或招标代理机构出具的有关中标文件代替中标通知书，原件扫描上传】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3分</w:t>
            </w:r>
            <w:r/>
          </w:p>
        </w:tc>
      </w:tr>
      <w:tr>
        <w:trPr>
          <w:trHeight w:val="443"/>
        </w:trPr>
        <w:tc>
          <w:tcPr>
            <w:gridSpan w:val="3"/>
            <w:tcBorders>
              <w:top w:val="single" w:color="auto" w:sz="4" w:space="0"/>
              <w:left w:val="single" w:color="auto" w:sz="4" w:space="0"/>
              <w:bottom w:val="single" w:color="auto" w:sz="4" w:space="0"/>
              <w:right w:val="single" w:color="auto" w:sz="4" w:space="0"/>
            </w:tcBorders>
            <w:tcW w:w="8619" w:type="dxa"/>
            <w:vAlign w:val="center"/>
            <w:textDirection w:val="lrTb"/>
            <w:noWrap w:val="false"/>
          </w:tcPr>
          <w:p>
            <w:pPr>
              <w:spacing w:line="360" w:lineRule="auto"/>
              <w:rPr>
                <w:rFonts w:ascii="Times New Roman" w:hAnsi="Times New Roman" w:cs="宋体"/>
                <w:b/>
                <w:color w:val="auto"/>
                <w:szCs w:val="21"/>
                <w:highlight w:val="none"/>
              </w:rPr>
            </w:pPr>
            <w:r>
              <w:rPr>
                <w:rFonts w:hint="eastAsia" w:ascii="Times New Roman" w:hAnsi="Times New Roman" w:cs="宋体"/>
                <w:b/>
                <w:bCs/>
                <w:color w:val="auto"/>
                <w:szCs w:val="21"/>
                <w:highlight w:val="none"/>
              </w:rPr>
              <w:t xml:space="preserve">二、商务条款（20分）</w:t>
            </w:r>
            <w:r/>
          </w:p>
        </w:tc>
      </w:tr>
      <w:tr>
        <w:trPr>
          <w:trHeight w:val="204"/>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评分内容</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满分</w:t>
            </w:r>
            <w:r/>
          </w:p>
        </w:tc>
      </w:tr>
      <w:tr>
        <w:trPr>
          <w:trHeight w:val="696"/>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实施方案</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26"/>
              <w:ind w:firstLine="422"/>
              <w:spacing w:line="360" w:lineRule="auto"/>
              <w:rPr>
                <w:rFonts w:asciiTheme="minorEastAsia" w:hAnsiTheme="minorEastAsia" w:eastAsiaTheme="minorEastAsia"/>
                <w:b/>
                <w:bCs/>
                <w:color w:val="auto"/>
                <w:sz w:val="21"/>
                <w:highlight w:val="none"/>
              </w:rPr>
            </w:pPr>
            <w:r>
              <w:rPr>
                <w:rFonts w:hint="eastAsia" w:asciiTheme="minorEastAsia" w:hAnsiTheme="minorEastAsia" w:eastAsiaTheme="minorEastAsia"/>
                <w:b/>
                <w:bCs/>
                <w:color w:val="auto"/>
                <w:sz w:val="21"/>
                <w:highlight w:val="none"/>
              </w:rPr>
              <w:t xml:space="preserve">根据投标人针对本项目提供的实施方案应包括不限于：整体系统实施方案、组织计划、项目实施人员情况、验收方案等进行评分：</w:t>
            </w:r>
            <w:r/>
          </w:p>
          <w:p>
            <w:pPr>
              <w:pStyle w:val="726"/>
              <w:ind w:firstLine="420"/>
              <w:spacing w:line="360" w:lineRule="auto"/>
              <w:rPr>
                <w:rFonts w:asciiTheme="minorEastAsia" w:hAnsiTheme="minorEastAsia" w:eastAsiaTheme="minorEastAsia"/>
                <w:color w:val="auto"/>
                <w:sz w:val="21"/>
                <w:highlight w:val="none"/>
              </w:rPr>
            </w:pPr>
            <w:r>
              <w:rPr>
                <w:rFonts w:hint="eastAsia" w:asciiTheme="minorEastAsia" w:hAnsiTheme="minorEastAsia" w:eastAsiaTheme="minorEastAsia"/>
                <w:color w:val="auto"/>
                <w:sz w:val="21"/>
                <w:highlight w:val="none"/>
              </w:rPr>
              <w:t xml:space="preserve">方案内容符合规范，内容涵盖全面，充分体现项目整体系统实施计划流程，组织计划配置合理，实施人员、验收方案可操作性及针对性优于项目需求的得7分；</w:t>
            </w:r>
            <w:r/>
          </w:p>
          <w:p>
            <w:pPr>
              <w:pStyle w:val="726"/>
              <w:ind w:firstLine="420"/>
              <w:spacing w:line="360" w:lineRule="auto"/>
              <w:rPr>
                <w:rFonts w:asciiTheme="minorEastAsia" w:hAnsiTheme="minorEastAsia" w:eastAsiaTheme="minorEastAsia"/>
                <w:color w:val="auto"/>
                <w:sz w:val="21"/>
                <w:highlight w:val="none"/>
              </w:rPr>
            </w:pPr>
            <w:r>
              <w:rPr>
                <w:rFonts w:hint="eastAsia" w:asciiTheme="minorEastAsia" w:hAnsiTheme="minorEastAsia" w:eastAsiaTheme="minorEastAsia"/>
                <w:color w:val="auto"/>
                <w:sz w:val="21"/>
                <w:highlight w:val="none"/>
              </w:rPr>
              <w:t xml:space="preserve">方案内容较为规范，内容涵盖上述要求，较好体现项目安装实施计划流程，组织计划配置相对合理，实施人员、验收方案可操作性及针对性较强，满足采购需求的得5分；</w:t>
            </w:r>
            <w:r/>
          </w:p>
          <w:p>
            <w:pPr>
              <w:pStyle w:val="726"/>
              <w:ind w:firstLine="420"/>
              <w:spacing w:line="360" w:lineRule="auto"/>
              <w:rPr>
                <w:rFonts w:asciiTheme="minorEastAsia" w:hAnsiTheme="minorEastAsia" w:eastAsiaTheme="minorEastAsia"/>
                <w:color w:val="auto"/>
                <w:sz w:val="21"/>
                <w:highlight w:val="none"/>
              </w:rPr>
            </w:pPr>
            <w:r>
              <w:rPr>
                <w:rFonts w:hint="eastAsia" w:asciiTheme="minorEastAsia" w:hAnsiTheme="minorEastAsia" w:eastAsiaTheme="minorEastAsia"/>
                <w:color w:val="auto"/>
                <w:sz w:val="21"/>
                <w:highlight w:val="none"/>
              </w:rPr>
              <w:t xml:space="preserve">方案内容基本符合规范，内容涵盖基本全面，基本体现了安装实施计划流程，组织计划配置相对合理，实施人员、验收方案可操作性及针对性较差，基本满足采购需求的得3分；</w:t>
            </w:r>
            <w:r/>
          </w:p>
          <w:p>
            <w:pPr>
              <w:pStyle w:val="726"/>
              <w:ind w:firstLine="420"/>
              <w:spacing w:line="360" w:lineRule="auto"/>
              <w:rPr>
                <w:rFonts w:ascii="Times New Roman" w:hAnsi="Times New Roman" w:cs="宋体"/>
                <w:color w:val="auto"/>
                <w:sz w:val="21"/>
                <w:highlight w:val="none"/>
              </w:rPr>
            </w:pPr>
            <w:r>
              <w:rPr>
                <w:rFonts w:hint="eastAsia" w:asciiTheme="minorEastAsia" w:hAnsiTheme="minorEastAsia" w:eastAsiaTheme="minorEastAsia"/>
                <w:color w:val="auto"/>
                <w:sz w:val="21"/>
                <w:highlight w:val="none"/>
              </w:rPr>
              <w:t xml:space="preserve">方案不满足采购基本需要或未提供方案的不得分。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7分</w:t>
            </w:r>
            <w:r/>
          </w:p>
        </w:tc>
      </w:tr>
      <w:tr>
        <w:trPr>
          <w:trHeight w:val="696"/>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售后方案</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26"/>
              <w:ind w:firstLine="420"/>
              <w:spacing w:line="360" w:lineRule="auto"/>
              <w:rPr>
                <w:rFonts w:ascii="Times New Roman" w:hAnsi="Times New Roman"/>
                <w:color w:val="auto"/>
                <w:sz w:val="21"/>
                <w:szCs w:val="22"/>
                <w:highlight w:val="none"/>
              </w:rPr>
            </w:pPr>
            <w:r>
              <w:rPr>
                <w:rFonts w:hint="eastAsia" w:ascii="Times New Roman" w:hAnsi="Times New Roman"/>
                <w:color w:val="auto"/>
                <w:sz w:val="21"/>
                <w:szCs w:val="22"/>
                <w:highlight w:val="none"/>
              </w:rPr>
              <w:t xml:space="preserve">根据投标人针对本项目提供的售后服务方案的详细程度、合理可行性等进行评审：</w:t>
            </w:r>
            <w:r/>
          </w:p>
          <w:p>
            <w:pPr>
              <w:spacing w:line="360" w:lineRule="auto"/>
              <w:rPr>
                <w:rFonts w:ascii="Times New Roman" w:hAnsi="Times New Roman"/>
                <w:color w:val="auto"/>
                <w:highlight w:val="none"/>
              </w:rPr>
            </w:pPr>
            <w:r>
              <w:rPr>
                <w:rFonts w:hint="eastAsia" w:ascii="Times New Roman" w:hAnsi="Times New Roman"/>
                <w:color w:val="auto"/>
                <w:highlight w:val="none"/>
              </w:rPr>
              <w:t xml:space="preserve">售后方案详细、全面，可操作性强，完全满足要求的得6分；</w:t>
            </w:r>
            <w:r/>
          </w:p>
          <w:p>
            <w:pPr>
              <w:spacing w:line="360" w:lineRule="auto"/>
              <w:rPr>
                <w:rFonts w:ascii="Times New Roman" w:hAnsi="Times New Roman"/>
                <w:color w:val="auto"/>
                <w:highlight w:val="none"/>
              </w:rPr>
            </w:pPr>
            <w:r>
              <w:rPr>
                <w:rFonts w:hint="eastAsia" w:ascii="Times New Roman" w:hAnsi="Times New Roman"/>
                <w:color w:val="auto"/>
                <w:highlight w:val="none"/>
              </w:rPr>
              <w:t xml:space="preserve">方案详细程度及全面性、可操作性基本满足要求的得4分；</w:t>
            </w:r>
            <w:r/>
          </w:p>
          <w:p>
            <w:pPr>
              <w:spacing w:line="360" w:lineRule="auto"/>
              <w:rPr>
                <w:rFonts w:ascii="Times New Roman" w:hAnsi="Times New Roman"/>
                <w:color w:val="auto"/>
                <w:highlight w:val="none"/>
              </w:rPr>
            </w:pPr>
            <w:r>
              <w:rPr>
                <w:rFonts w:hint="eastAsia" w:ascii="Times New Roman" w:hAnsi="Times New Roman"/>
                <w:color w:val="auto"/>
                <w:highlight w:val="none"/>
              </w:rPr>
              <w:t xml:space="preserve">方案详细程度及可操作性，内容完整性略有欠缺但不影响项目实施的，得2分；</w:t>
            </w:r>
            <w:r/>
          </w:p>
          <w:p>
            <w:pPr>
              <w:spacing w:line="360" w:lineRule="auto"/>
              <w:rPr>
                <w:rFonts w:ascii="Times New Roman" w:hAnsi="Times New Roman"/>
                <w:color w:val="auto"/>
                <w:highlight w:val="none"/>
              </w:rPr>
            </w:pPr>
            <w:r>
              <w:rPr>
                <w:rFonts w:hint="eastAsia" w:ascii="Times New Roman" w:hAnsi="Times New Roman"/>
                <w:color w:val="auto"/>
                <w:highlight w:val="none"/>
              </w:rPr>
              <w:t xml:space="preserve">方案全面性、可操作性及内容完整性有瑕疵的，得1分；</w:t>
            </w:r>
            <w:r/>
          </w:p>
          <w:p>
            <w:pPr>
              <w:pStyle w:val="726"/>
              <w:spacing w:line="360" w:lineRule="auto"/>
              <w:rPr>
                <w:rFonts w:ascii="Times New Roman" w:hAnsi="Times New Roman"/>
                <w:color w:val="auto"/>
                <w:sz w:val="21"/>
                <w:szCs w:val="22"/>
                <w:highlight w:val="none"/>
              </w:rPr>
            </w:pPr>
            <w:r>
              <w:rPr>
                <w:rFonts w:hint="eastAsia" w:ascii="Times New Roman" w:hAnsi="Times New Roman"/>
                <w:color w:val="auto"/>
                <w:sz w:val="21"/>
                <w:szCs w:val="22"/>
                <w:highlight w:val="none"/>
              </w:rPr>
              <w:t xml:space="preserve">不提供不得分。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6分</w:t>
            </w:r>
            <w:r/>
          </w:p>
        </w:tc>
      </w:tr>
      <w:tr>
        <w:trPr>
          <w:trHeight w:val="204"/>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培训服务</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26"/>
              <w:spacing w:line="360" w:lineRule="auto"/>
              <w:rPr>
                <w:rFonts w:asciiTheme="minorEastAsia" w:hAnsiTheme="minorEastAsia" w:eastAsiaTheme="minorEastAsia"/>
                <w:color w:val="auto"/>
                <w:sz w:val="21"/>
                <w:highlight w:val="none"/>
              </w:rPr>
            </w:pPr>
            <w:r>
              <w:rPr>
                <w:rFonts w:hint="eastAsia" w:asciiTheme="minorEastAsia" w:hAnsiTheme="minorEastAsia" w:eastAsiaTheme="minorEastAsia"/>
                <w:b/>
                <w:bCs/>
                <w:color w:val="auto"/>
                <w:sz w:val="21"/>
                <w:highlight w:val="none"/>
              </w:rPr>
              <w:t xml:space="preserve">根据投标人针对本项目提供的培训服务应包括不限于：</w:t>
            </w:r>
            <w:r>
              <w:rPr>
                <w:rFonts w:hint="eastAsia" w:asciiTheme="minorEastAsia" w:hAnsiTheme="minorEastAsia" w:eastAsiaTheme="minorEastAsia"/>
                <w:color w:val="auto"/>
                <w:sz w:val="21"/>
                <w:highlight w:val="none"/>
              </w:rPr>
              <w:t xml:space="preserve">培训方案详细、培训内容全面、培训方式合理高效，培训资料全面、培训教员从业经历长、专业对口、同类项目研发或系统集成经验和授课经验丰富，针对以上内容提供的培训方案：</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宋体"/>
                <w:color w:val="auto"/>
                <w:szCs w:val="21"/>
                <w:highlight w:val="none"/>
                <w:lang w:val="zh-CN"/>
              </w:rPr>
            </w:pPr>
            <w:r>
              <w:rPr>
                <w:rFonts w:hint="eastAsia" w:ascii="Times New Roman" w:hAnsi="Times New Roman" w:cs="宋体"/>
                <w:color w:val="auto"/>
                <w:szCs w:val="21"/>
                <w:highlight w:val="none"/>
              </w:rPr>
              <w:t xml:space="preserve">方案内容全面具体，科学合理，可行性、可操作性强，措施完善的，得4</w:t>
            </w:r>
            <w:r>
              <w:rPr>
                <w:rFonts w:hint="eastAsia" w:ascii="Times New Roman" w:hAnsi="Times New Roman" w:cs="宋体"/>
                <w:color w:val="auto"/>
                <w:szCs w:val="21"/>
                <w:highlight w:val="none"/>
                <w:lang w:val="zh-CN"/>
              </w:rPr>
              <w:t xml:space="preserve">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方案内容具体，较科学合理，可行性、可操作性较强，措施较完善的，得3分；</w:t>
            </w:r>
            <w:r/>
          </w:p>
          <w:p>
            <w:pPr>
              <w:spacing w:line="360" w:lineRule="auto"/>
              <w:rPr>
                <w:rFonts w:ascii="Times New Roman" w:hAnsi="Times New Roman" w:cs="宋体"/>
                <w:color w:val="auto"/>
                <w:szCs w:val="21"/>
                <w:highlight w:val="none"/>
              </w:rPr>
            </w:pPr>
            <w:r>
              <w:rPr>
                <w:rFonts w:hint="eastAsia" w:ascii="Times New Roman" w:hAnsi="Times New Roman"/>
                <w:color w:val="auto"/>
                <w:highlight w:val="none"/>
              </w:rPr>
              <w:t xml:space="preserve">方案</w:t>
            </w:r>
            <w:r>
              <w:rPr>
                <w:rFonts w:hint="eastAsia" w:ascii="Times New Roman" w:hAnsi="Times New Roman" w:cs="宋体"/>
                <w:color w:val="auto"/>
                <w:szCs w:val="21"/>
                <w:highlight w:val="none"/>
              </w:rPr>
              <w:t xml:space="preserve">内容具体</w:t>
            </w:r>
            <w:r>
              <w:rPr>
                <w:rFonts w:hint="eastAsia" w:ascii="Times New Roman" w:hAnsi="Times New Roman"/>
                <w:color w:val="auto"/>
                <w:highlight w:val="none"/>
              </w:rPr>
              <w:t xml:space="preserve">程度及可操作性，内容完整性略有欠缺但不影响项目实施的，得2分；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宋体"/>
                <w:color w:val="auto"/>
                <w:szCs w:val="21"/>
                <w:highlight w:val="none"/>
                <w:lang w:val="zh-CN"/>
              </w:rPr>
            </w:pPr>
            <w:r>
              <w:rPr>
                <w:rFonts w:hint="eastAsia" w:ascii="Times New Roman" w:hAnsi="Times New Roman" w:cs="宋体"/>
                <w:color w:val="auto"/>
                <w:szCs w:val="21"/>
                <w:highlight w:val="none"/>
              </w:rPr>
              <w:t xml:space="preserve">方案内容有缺</w:t>
            </w:r>
            <w:r>
              <w:rPr>
                <w:rFonts w:hint="eastAsia" w:ascii="Times New Roman" w:hAnsi="Times New Roman" w:cs="宋体"/>
                <w:color w:val="auto"/>
                <w:szCs w:val="21"/>
                <w:highlight w:val="none"/>
                <w:lang w:val="zh-CN"/>
              </w:rPr>
              <w:t xml:space="preserve">失、可行性、可操作性较差</w:t>
            </w:r>
            <w:r>
              <w:rPr>
                <w:rFonts w:hint="eastAsia" w:ascii="Times New Roman" w:hAnsi="Times New Roman" w:cs="宋体"/>
                <w:color w:val="auto"/>
                <w:szCs w:val="21"/>
                <w:highlight w:val="none"/>
              </w:rPr>
              <w:t xml:space="preserve">的，得1</w:t>
            </w:r>
            <w:r>
              <w:rPr>
                <w:rFonts w:hint="eastAsia" w:ascii="Times New Roman" w:hAnsi="Times New Roman" w:cs="宋体"/>
                <w:color w:val="auto"/>
                <w:szCs w:val="21"/>
                <w:highlight w:val="none"/>
                <w:lang w:val="zh-CN"/>
              </w:rPr>
              <w:t xml:space="preserve">分；</w:t>
            </w:r>
            <w:r/>
          </w:p>
          <w:p>
            <w:pPr>
              <w:pStyle w:val="726"/>
              <w:spacing w:line="360" w:lineRule="auto"/>
              <w:rPr>
                <w:rFonts w:asciiTheme="minorEastAsia" w:hAnsiTheme="minorEastAsia" w:eastAsiaTheme="minorEastAsia"/>
                <w:b/>
                <w:bCs/>
                <w:color w:val="auto"/>
                <w:sz w:val="21"/>
                <w:highlight w:val="none"/>
              </w:rPr>
            </w:pPr>
            <w:r>
              <w:rPr>
                <w:rFonts w:hint="eastAsia" w:ascii="Times New Roman" w:hAnsi="Times New Roman" w:cs="宋体"/>
                <w:color w:val="auto"/>
                <w:sz w:val="21"/>
                <w:highlight w:val="none"/>
              </w:rPr>
              <w:t xml:space="preserve">内容与本项目基本无关联性或不提供的不得分。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4分</w:t>
            </w:r>
            <w:r/>
          </w:p>
        </w:tc>
      </w:tr>
      <w:tr>
        <w:trPr>
          <w:trHeight w:val="696"/>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spacing w:line="360" w:lineRule="auto"/>
              <w:rPr>
                <w:rFonts w:cs="宋体"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企业实力</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20"/>
              <w:spacing w:line="360" w:lineRule="auto"/>
              <w:rPr>
                <w:rFonts w:cs="宋体" w:asciiTheme="minorEastAsia" w:hAnsiTheme="minorEastAsia" w:eastAsiaTheme="minorEastAsia"/>
                <w:b/>
                <w:bCs/>
                <w:color w:val="auto"/>
                <w:highlight w:val="none"/>
              </w:rPr>
            </w:pPr>
            <w:r>
              <w:rPr>
                <w:rFonts w:hint="eastAsia" w:asciiTheme="minorEastAsia" w:hAnsiTheme="minorEastAsia" w:eastAsiaTheme="minorEastAsia"/>
                <w:color w:val="auto"/>
                <w:highlight w:val="none"/>
              </w:rPr>
              <w:t xml:space="preserve">投标人</w:t>
            </w:r>
            <w:r>
              <w:rPr>
                <w:rFonts w:hint="eastAsia"/>
                <w:color w:val="auto"/>
                <w:highlight w:val="none"/>
              </w:rPr>
              <w:t xml:space="preserve">或核心产品制造商</w:t>
            </w:r>
            <w:r>
              <w:rPr>
                <w:rFonts w:hint="eastAsia" w:asciiTheme="minorEastAsia" w:hAnsiTheme="minorEastAsia" w:eastAsiaTheme="minorEastAsia"/>
                <w:color w:val="auto"/>
                <w:highlight w:val="none"/>
              </w:rPr>
              <w:t xml:space="preserve">具备有效的质量体系证书、环境体系证书、职业健康体系证书，每提供一个得1分，满分3分。</w:t>
            </w:r>
            <w:r>
              <w:rPr>
                <w:rFonts w:hint="eastAsia" w:asciiTheme="minorEastAsia" w:hAnsiTheme="minorEastAsia" w:eastAsiaTheme="minorEastAsia"/>
                <w:b/>
                <w:bCs/>
                <w:color w:val="auto"/>
                <w:highlight w:val="none"/>
              </w:rPr>
              <w:t xml:space="preserve">（提供证书及国家认监委网站查询截图，原件扫描上传）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3分</w:t>
            </w:r>
            <w:r/>
          </w:p>
        </w:tc>
      </w:tr>
      <w:tr>
        <w:trPr>
          <w:trHeight w:val="70"/>
        </w:trPr>
        <w:tc>
          <w:tcPr>
            <w:gridSpan w:val="3"/>
            <w:tcBorders>
              <w:top w:val="single" w:color="auto" w:sz="4" w:space="0"/>
              <w:left w:val="single" w:color="auto" w:sz="4" w:space="0"/>
              <w:bottom w:val="single" w:color="auto" w:sz="4" w:space="0"/>
              <w:right w:val="single" w:color="auto" w:sz="4" w:space="0"/>
            </w:tcBorders>
            <w:tcW w:w="8619" w:type="dxa"/>
            <w:vAlign w:val="center"/>
            <w:textDirection w:val="lrTb"/>
            <w:noWrap w:val="false"/>
          </w:tcPr>
          <w:p>
            <w:pPr>
              <w:spacing w:line="360" w:lineRule="auto"/>
              <w:rPr>
                <w:rFonts w:ascii="Times New Roman" w:hAnsi="Times New Roman" w:cs="宋体"/>
                <w:b/>
                <w:color w:val="auto"/>
                <w:szCs w:val="21"/>
                <w:highlight w:val="none"/>
              </w:rPr>
            </w:pPr>
            <w:r>
              <w:rPr>
                <w:rFonts w:hint="eastAsia" w:ascii="Times New Roman" w:hAnsi="Times New Roman" w:cs="宋体"/>
                <w:b/>
                <w:bCs/>
                <w:color w:val="auto"/>
                <w:szCs w:val="21"/>
                <w:highlight w:val="none"/>
              </w:rPr>
              <w:t xml:space="preserve">三、价格（30分）</w:t>
            </w:r>
            <w:r/>
          </w:p>
        </w:tc>
      </w:tr>
      <w:tr>
        <w:trPr>
          <w:trHeight w:val="263"/>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评分内容</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满分</w:t>
            </w:r>
            <w:r/>
          </w:p>
        </w:tc>
      </w:tr>
      <w:tr>
        <w:trPr>
          <w:trHeight w:val="786"/>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pStyle w:val="720"/>
              <w:spacing w:line="360" w:lineRule="auto"/>
              <w:rPr>
                <w:rFonts w:ascii="Times New Roman" w:hAnsi="Times New Roman"/>
                <w:color w:val="auto"/>
                <w:highlight w:val="none"/>
              </w:rPr>
            </w:pPr>
            <w:r>
              <w:rPr>
                <w:rFonts w:hint="eastAsia" w:ascii="Times New Roman" w:hAnsi="Times New Roman" w:cs="宋体"/>
                <w:color w:val="auto"/>
                <w:szCs w:val="21"/>
                <w:highlight w:val="none"/>
              </w:rPr>
              <w:t xml:space="preserve">以满足招标文件要求的最低报价为基准价，得30分，其他报价=（基准价/报价）×30×100%，结果保留两位有效小数。</w:t>
            </w:r>
            <w:r/>
          </w:p>
          <w:p>
            <w:pPr>
              <w:pStyle w:val="720"/>
              <w:spacing w:line="360" w:lineRule="auto"/>
              <w:rPr>
                <w:rFonts w:ascii="Times New Roman" w:hAnsi="Times New Roman" w:cs="宋体"/>
                <w:b/>
                <w:bCs/>
                <w:color w:val="auto"/>
                <w:sz w:val="18"/>
                <w:szCs w:val="21"/>
                <w:highlight w:val="none"/>
              </w:rPr>
            </w:pPr>
            <w:r>
              <w:rPr>
                <w:rFonts w:hint="eastAsia" w:ascii="Times New Roman" w:hAnsi="Times New Roman" w:cs="宋体"/>
                <w:b/>
                <w:bCs/>
                <w:color w:val="auto"/>
                <w:szCs w:val="21"/>
                <w:highlight w:val="none"/>
              </w:rPr>
              <w:t xml:space="preserve">注：评标委员会认为投标人的报价明显低于其他通过符合性审查投标人的报价，有可能影响货物质量或者不能诚信履约的，且投标人不能在评标现场合理的时间内证明其报价合理性的，评标委员会有权将其作为无效投标处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30分</w:t>
            </w:r>
            <w:r/>
          </w:p>
        </w:tc>
      </w:tr>
      <w:tr>
        <w:trPr>
          <w:trHeight w:val="350"/>
        </w:trPr>
        <w:tc>
          <w:tcPr>
            <w:gridSpan w:val="3"/>
            <w:tcBorders>
              <w:top w:val="single" w:color="auto" w:sz="4" w:space="0"/>
              <w:left w:val="single" w:color="auto" w:sz="4" w:space="0"/>
              <w:bottom w:val="single" w:color="auto" w:sz="4" w:space="0"/>
              <w:right w:val="single" w:color="auto" w:sz="4" w:space="0"/>
            </w:tcBorders>
            <w:tcW w:w="8619"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满分100分</w:t>
            </w:r>
            <w:r/>
          </w:p>
        </w:tc>
      </w:tr>
    </w:tbl>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注：1、投标人以上所提供的资料必须真实有效，检测报告或认证证书须国家认监委或权威部门网站可查询，提供虚假资料等谋取中标违法行为，上报监督机构并追究其法律责任。</w:t>
      </w:r>
      <w:r/>
    </w:p>
    <w:p>
      <w:pPr>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highlight w:val="none"/>
        </w:rPr>
        <w:t xml:space="preserve">本次采购执行财政部发布《关于推动解决政府采购异常低价问题的通知》财库〔2026〕2号）的文件要求。</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（一）政府采购评审中出现下列情形之一的，评审委员会应当启动异常低价投标（响应）审查程序：</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1.投标(响应)报价低于全部通过符合性审查供应商投标(响应)报价平均值50%的，即投标(响应)报价〈全部通过符合性审查供应商投标(响应)报价平均值X50%；</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2.投标(响应)报价低于通过符合性审查的次低报价供应商投标(响应)报价50%的，即投标(响应)报价〈通过符合性审查的次低报价供应商投标(响应)报价X50%；</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3.投标(响应)报价低于采购项目最高限价45%的，即投标(响应)报价&lt;采购项目最高限价X45%；</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4.评审委员会基于专业判断，认为供应商报价过低，有可能影响产品质量或者不能诚信履约的其他情形。</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05"/>
        <w:rPr>
          <w:color w:val="auto"/>
          <w:highlight w:val="none"/>
        </w:rPr>
      </w:pPr>
      <w:r/>
      <w:bookmarkStart w:id="68" w:name="_Toc3287"/>
      <w:r>
        <w:rPr>
          <w:rFonts w:hint="eastAsia"/>
          <w:color w:val="auto"/>
          <w:highlight w:val="none"/>
        </w:rPr>
        <w:t xml:space="preserve">第六章 投标文件格式</w:t>
      </w:r>
      <w:bookmarkEnd w:id="68"/>
      <w:r>
        <w:rPr>
          <w:rFonts w:hint="eastAsia"/>
          <w:color w:val="auto"/>
          <w:highlight w:val="none"/>
        </w:rPr>
        <w:t xml:space="preserve"> </w:t>
      </w:r>
      <w:r/>
    </w:p>
    <w:p>
      <w:pPr>
        <w:spacing w:line="360" w:lineRule="auto"/>
        <w:rPr>
          <w:rFonts w:ascii="宋体" w:hAnsi="宋体" w:cs="宋体"/>
          <w:bCs/>
          <w:color w:val="auto"/>
          <w:sz w:val="44"/>
          <w:highlight w:val="none"/>
        </w:rPr>
      </w:pPr>
      <w:r>
        <w:rPr>
          <w:rFonts w:ascii="宋体" w:hAnsi="宋体" w:cs="宋体"/>
          <w:bCs/>
          <w:color w:val="auto"/>
          <w:sz w:val="44"/>
          <w:highlight w:val="none"/>
        </w:rPr>
      </w:r>
      <w:r/>
    </w:p>
    <w:p>
      <w:pPr>
        <w:pStyle w:val="722"/>
        <w:spacing w:line="360" w:lineRule="auto"/>
        <w:rPr>
          <w:rFonts w:ascii="宋体" w:hAnsi="宋体" w:eastAsia="宋体" w:cs="宋体"/>
          <w:bCs/>
          <w:color w:val="auto"/>
          <w:sz w:val="44"/>
          <w:highlight w:val="none"/>
        </w:rPr>
      </w:pPr>
      <w:r>
        <w:rPr>
          <w:rFonts w:ascii="宋体" w:hAnsi="宋体" w:eastAsia="宋体" w:cs="宋体"/>
          <w:bCs/>
          <w:color w:val="auto"/>
          <w:sz w:val="44"/>
          <w:highlight w:val="none"/>
        </w:rPr>
      </w:r>
      <w:r/>
    </w:p>
    <w:p>
      <w:pPr>
        <w:spacing w:line="360" w:lineRule="auto"/>
        <w:rPr>
          <w:color w:val="auto"/>
          <w:highlight w:val="none"/>
        </w:rPr>
      </w:pPr>
      <w:r>
        <w:rPr>
          <w:color w:val="auto"/>
          <w:highlight w:val="none"/>
        </w:rPr>
      </w:r>
      <w:r/>
    </w:p>
    <w:p>
      <w:pPr>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招 标 编 号：</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投标人名称 ：</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投  标  人：（电子签章）</w:t>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360" w:lineRule="auto"/>
        <w:rPr>
          <w:rFonts w:ascii="宋体" w:hAnsi="宋体" w:cs="宋体"/>
          <w:b/>
          <w:bCs/>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投标主要文件目录</w:t>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开标一览表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五、投标配置与分项报价表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七、商务条款响应及偏离表</w:t>
      </w:r>
      <w:r/>
    </w:p>
    <w:p>
      <w:pPr>
        <w:ind w:firstLine="480"/>
        <w:spacing w:line="360" w:lineRule="auto"/>
        <w:rPr>
          <w:rFonts w:ascii="宋体" w:hAnsi="宋体" w:cs="宋体"/>
          <w:color w:val="auto"/>
          <w:sz w:val="36"/>
          <w:szCs w:val="36"/>
          <w:highlight w:val="none"/>
        </w:rPr>
      </w:pPr>
      <w:r>
        <w:rPr>
          <w:rFonts w:hint="eastAsia" w:ascii="宋体" w:hAnsi="宋体" w:cs="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contextualSpacing/>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contextualSpacing/>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pStyle w:val="706"/>
        <w:spacing w:before="0" w:after="0" w:line="360" w:lineRule="auto"/>
        <w:rPr>
          <w:rFonts w:ascii="Times New Roman" w:hAnsi="Times New Roman" w:eastAsia="宋体"/>
          <w:color w:val="auto"/>
          <w:sz w:val="32"/>
          <w:szCs w:val="32"/>
          <w:highlight w:val="none"/>
        </w:rPr>
      </w:pPr>
      <w:r>
        <w:rPr>
          <w:rFonts w:hint="eastAsia" w:ascii="宋体" w:hAnsi="宋体" w:eastAsia="宋体" w:cs="宋体"/>
          <w:color w:val="auto"/>
          <w:sz w:val="32"/>
          <w:szCs w:val="32"/>
          <w:highlight w:val="none"/>
        </w:rPr>
        <w:br w:type="page" w:clear="all"/>
      </w:r>
      <w:bookmarkStart w:id="69" w:name="_Toc20369"/>
      <w:r/>
      <w:bookmarkStart w:id="70" w:name="_Toc7268"/>
      <w:r/>
      <w:bookmarkStart w:id="71" w:name="_Toc5792"/>
      <w:r/>
      <w:bookmarkStart w:id="72" w:name="_Toc26156"/>
      <w:r/>
      <w:bookmarkStart w:id="73" w:name="_Toc1107"/>
      <w:r>
        <w:rPr>
          <w:rFonts w:hint="eastAsia" w:ascii="宋体" w:hAnsi="宋体" w:eastAsia="宋体" w:cs="宋体"/>
          <w:b/>
          <w:bCs/>
          <w:color w:val="auto"/>
          <w:sz w:val="32"/>
          <w:highlight w:val="none"/>
        </w:rPr>
        <w:t xml:space="preserve">一、</w:t>
      </w:r>
      <w:bookmarkEnd w:id="69"/>
      <w:r/>
      <w:bookmarkEnd w:id="70"/>
      <w:r/>
      <w:bookmarkEnd w:id="71"/>
      <w:r/>
      <w:bookmarkEnd w:id="72"/>
      <w:r/>
      <w:bookmarkEnd w:id="73"/>
      <w:r>
        <w:rPr>
          <w:rFonts w:hint="eastAsia" w:ascii="Times New Roman" w:hAnsi="Times New Roman" w:eastAsia="宋体"/>
          <w:b/>
          <w:bCs/>
          <w:color w:val="auto"/>
          <w:sz w:val="32"/>
          <w:highlight w:val="none"/>
        </w:rPr>
        <w:t xml:space="preserve">资格审查响应对照表</w:t>
      </w:r>
      <w:r/>
    </w:p>
    <w:tbl>
      <w:tblPr>
        <w:tblStyle w:val="715"/>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54"/>
        <w:gridCol w:w="1751"/>
      </w:tblGrid>
      <w:tr>
        <w:trPr>
          <w:trHeight w:val="647"/>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序号</w:t>
            </w:r>
            <w:r/>
          </w:p>
        </w:tc>
        <w:tc>
          <w:tcPr>
            <w:tcW w:w="5854"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资格审查响应内容</w:t>
            </w:r>
            <w:r/>
          </w:p>
        </w:tc>
        <w:tc>
          <w:tcPr>
            <w:tcW w:w="1751"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是否响应</w:t>
            </w:r>
            <w:r/>
          </w:p>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olor w:val="auto"/>
                <w:szCs w:val="21"/>
                <w:highlight w:val="none"/>
              </w:rPr>
              <w:t xml:space="preserve">1</w:t>
            </w:r>
            <w:r/>
          </w:p>
        </w:tc>
        <w:tc>
          <w:tcPr>
            <w:shd w:val="clear" w:color="auto" w:fill="auto"/>
            <w:tcW w:w="5854" w:type="dxa"/>
            <w:vAlign w:val="center"/>
            <w:textDirection w:val="lrTb"/>
            <w:noWrap w:val="false"/>
          </w:tcPr>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法人或者其他组织的营业执照等证明文件，自然人的身份证明（身份证为正、反面）</w:t>
            </w:r>
            <w:r/>
          </w:p>
        </w:tc>
        <w:tc>
          <w:tcPr>
            <w:tcW w:w="1751" w:type="dxa"/>
            <w:vAlign w:val="center"/>
            <w:textDirection w:val="lrTb"/>
            <w:noWrap w:val="false"/>
          </w:tcPr>
          <w:p>
            <w:pPr>
              <w:spacing w:line="360" w:lineRule="auto"/>
              <w:rPr>
                <w:rFonts w:ascii="Times New Roman" w:hAnsi="Times New Roman"/>
                <w:b/>
                <w:color w:val="auto"/>
                <w:szCs w:val="21"/>
                <w:highlight w:val="none"/>
              </w:rPr>
            </w:pPr>
            <w:r>
              <w:rPr>
                <w:rFonts w:ascii="Times New Roman" w:hAnsi="Times New Roman"/>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shd w:val="clear" w:color="auto" w:fill="auto"/>
            <w:tcW w:w="5854" w:type="dxa"/>
            <w:vAlign w:val="center"/>
            <w:textDirection w:val="lrTb"/>
            <w:noWrap w:val="false"/>
          </w:tcPr>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2024年度或2025年度的财务报告情况（成立不满一年无需提供）</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shd w:val="clear" w:color="auto" w:fill="auto"/>
            <w:tcW w:w="5854" w:type="dxa"/>
            <w:vAlign w:val="center"/>
            <w:textDirection w:val="lrTb"/>
            <w:noWrap w:val="false"/>
          </w:tcPr>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17"/>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shd w:val="clear" w:color="auto" w:fill="auto"/>
            <w:tcW w:w="5854" w:type="dxa"/>
            <w:vAlign w:val="center"/>
            <w:textDirection w:val="lrTb"/>
            <w:noWrap w:val="false"/>
          </w:tcPr>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具备履行合同所必需的设备和专业技术能力的证明材料</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5</w:t>
            </w:r>
            <w:r/>
          </w:p>
        </w:tc>
        <w:tc>
          <w:tcPr>
            <w:shd w:val="clear" w:color="auto" w:fill="auto"/>
            <w:tcW w:w="5854" w:type="dxa"/>
            <w:vAlign w:val="center"/>
            <w:textDirection w:val="lrTb"/>
            <w:noWrap w:val="false"/>
          </w:tcPr>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参加本次政府采购活动前3年内在经营活动中没有重大违法记录的书面声明</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6</w:t>
            </w:r>
            <w:r/>
          </w:p>
        </w:tc>
        <w:tc>
          <w:tcPr>
            <w:shd w:val="clear" w:color="auto" w:fill="auto"/>
            <w:tcW w:w="5854" w:type="dxa"/>
            <w:vAlign w:val="center"/>
            <w:textDirection w:val="lrTb"/>
            <w:noWrap w:val="false"/>
          </w:tcPr>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供应商信用承诺函</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w:t>
            </w:r>
            <w:r/>
          </w:p>
        </w:tc>
        <w:tc>
          <w:tcPr>
            <w:shd w:val="clear" w:color="auto" w:fill="auto"/>
            <w:tcW w:w="5854" w:type="dxa"/>
            <w:vAlign w:val="center"/>
            <w:textDirection w:val="lrTb"/>
            <w:noWrap w:val="false"/>
          </w:tcPr>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w:t>
            </w:r>
            <w:r/>
          </w:p>
        </w:tc>
        <w:tc>
          <w:tcPr>
            <w:shd w:val="clear" w:color="auto" w:fill="auto"/>
            <w:tcW w:w="5854" w:type="dxa"/>
            <w:vAlign w:val="center"/>
            <w:textDirection w:val="lrTb"/>
            <w:noWrap w:val="false"/>
          </w:tcPr>
          <w:p>
            <w:pPr>
              <w:spacing w:line="360" w:lineRule="auto"/>
              <w:rPr>
                <w:rFonts w:ascii="Times New Roman" w:hAnsi="Times New Roman" w:cs="宋体"/>
                <w:color w:val="auto"/>
                <w:szCs w:val="21"/>
                <w:highlight w:val="none"/>
              </w:rPr>
            </w:pPr>
            <w:r>
              <w:rPr>
                <w:rFonts w:hint="eastAsia" w:ascii="Times New Roman" w:hAnsi="Times New Roman" w:cs="宋体"/>
                <w:i w:val="0"/>
                <w:iCs w:val="0"/>
                <w:color w:val="auto"/>
                <w:szCs w:val="21"/>
                <w:highlight w:val="none"/>
                <w:u w:val="none"/>
              </w:rPr>
              <w:t xml:space="preserve">法律、行政法规规定的其他条件；（投标文件中无需提供证明材料）</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90"/>
        </w:trPr>
        <w:tc>
          <w:tcPr>
            <w:gridSpan w:val="3"/>
            <w:tcW w:w="8251" w:type="dxa"/>
            <w:vAlign w:val="center"/>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854" w:type="dxa"/>
            <w:vAlign w:val="center"/>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无</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00"/>
        </w:trPr>
        <w:tc>
          <w:tcPr>
            <w:gridSpan w:val="3"/>
            <w:tcW w:w="8251" w:type="dxa"/>
            <w:vAlign w:val="center"/>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b/>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854" w:type="dxa"/>
            <w:vAlign w:val="center"/>
            <w:textDirection w:val="lrTb"/>
            <w:noWrap w:val="false"/>
          </w:tcPr>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无</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00"/>
        </w:trPr>
        <w:tc>
          <w:tcPr>
            <w:gridSpan w:val="3"/>
            <w:tcW w:w="8251" w:type="dxa"/>
            <w:vAlign w:val="center"/>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Times New Roman" w:hAnsi="Times New Roman" w:eastAsia="宋体"/>
                <w:color w:val="auto"/>
                <w:szCs w:val="21"/>
                <w:highlight w:val="none"/>
                <w:lang w:eastAsia="zh-CN"/>
              </w:rPr>
            </w:pPr>
            <w:r>
              <w:rPr>
                <w:rFonts w:hint="eastAsia" w:ascii="Times New Roman" w:hAnsi="Times New Roman"/>
                <w:color w:val="auto"/>
                <w:szCs w:val="21"/>
                <w:highlight w:val="none"/>
                <w:lang w:val="en-US" w:eastAsia="zh-CN"/>
              </w:rPr>
              <w:t xml:space="preserve">9</w:t>
            </w:r>
            <w:r/>
          </w:p>
        </w:tc>
        <w:tc>
          <w:tcPr>
            <w:tcW w:w="5854" w:type="dxa"/>
            <w:vAlign w:val="center"/>
            <w:textDirection w:val="lrTb"/>
            <w:noWrap w:val="false"/>
          </w:tcPr>
          <w:p>
            <w:pPr>
              <w:jc w:val="left"/>
              <w:spacing w:line="360" w:lineRule="auto"/>
              <w:rPr>
                <w:rFonts w:ascii="Times New Roman" w:hAnsi="Times New Roman"/>
                <w:iCs/>
                <w:color w:val="auto"/>
                <w:szCs w:val="21"/>
                <w:highlight w:val="none"/>
              </w:rPr>
            </w:pPr>
            <w:r>
              <w:rPr>
                <w:rFonts w:hint="eastAsia" w:ascii="Times New Roman" w:hAnsi="Times New Roman"/>
                <w:iCs/>
                <w:color w:val="auto"/>
                <w:szCs w:val="21"/>
                <w:highlight w:val="none"/>
              </w:rPr>
              <w:t xml:space="preserve">投标函</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00"/>
        </w:trPr>
        <w:tc>
          <w:tcPr>
            <w:tcW w:w="646" w:type="dxa"/>
            <w:vAlign w:val="center"/>
            <w:textDirection w:val="lrTb"/>
            <w:noWrap w:val="false"/>
          </w:tcPr>
          <w:p>
            <w:pPr>
              <w:jc w:val="center"/>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10</w:t>
            </w:r>
            <w:r/>
          </w:p>
        </w:tc>
        <w:tc>
          <w:tcPr>
            <w:tcW w:w="5854" w:type="dxa"/>
            <w:vAlign w:val="center"/>
            <w:textDirection w:val="lrTb"/>
            <w:noWrap w:val="false"/>
          </w:tcPr>
          <w:p>
            <w:pPr>
              <w:jc w:val="left"/>
              <w:spacing w:line="360" w:lineRule="auto"/>
              <w:rPr>
                <w:rFonts w:ascii="Times New Roman" w:hAnsi="Times New Roman"/>
                <w:iCs/>
                <w:color w:val="auto"/>
                <w:szCs w:val="21"/>
                <w:highlight w:val="none"/>
              </w:rPr>
            </w:pPr>
            <w:r>
              <w:rPr>
                <w:rFonts w:hint="eastAsia" w:ascii="Times New Roman" w:hAnsi="Times New Roman"/>
                <w:iCs/>
                <w:color w:val="auto"/>
                <w:szCs w:val="21"/>
                <w:highlight w:val="none"/>
              </w:rPr>
              <w:t xml:space="preserve">法人授权书</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bl>
    <w:p>
      <w:pPr>
        <w:ind w:firstLine="420"/>
        <w:spacing w:line="360" w:lineRule="auto"/>
        <w:rPr>
          <w:rFonts w:ascii="宋体" w:hAnsi="宋体"/>
          <w:color w:val="auto"/>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Cs w:val="21"/>
          <w:highlight w:val="none"/>
        </w:rPr>
      </w:r>
      <w:r/>
    </w:p>
    <w:p>
      <w:pPr>
        <w:ind w:firstLine="1476"/>
        <w:spacing w:before="156" w:after="156" w:line="360" w:lineRule="auto"/>
        <w:rPr>
          <w:rFonts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ind w:firstLine="3360"/>
        <w:spacing w:line="360" w:lineRule="auto"/>
        <w:rPr>
          <w:color w:val="auto"/>
          <w:highlight w:val="none"/>
        </w:rPr>
      </w:pPr>
      <w:r>
        <w:rPr>
          <w:color w:val="auto"/>
          <w:highlight w:val="none"/>
        </w:rPr>
      </w:r>
      <w:r/>
    </w:p>
    <w:p>
      <w:pPr>
        <w:ind w:firstLine="3360"/>
        <w:spacing w:line="360" w:lineRule="auto"/>
        <w:rPr>
          <w:rFonts w:ascii="宋体" w:hAnsi="宋体" w:cs="宋体"/>
          <w:bCs/>
          <w:color w:val="auto"/>
          <w:highlight w:val="none"/>
        </w:rPr>
      </w:pPr>
      <w:r>
        <w:rPr>
          <w:rFonts w:hint="eastAsia" w:ascii="宋体" w:hAnsi="宋体" w:cs="宋体"/>
          <w:bCs/>
          <w:color w:val="auto"/>
          <w:highlight w:val="none"/>
        </w:rPr>
        <w:t xml:space="preserve">供应商名称（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日期：  年  月  日</w:t>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after="312" w:line="360" w:lineRule="auto"/>
        <w:rPr>
          <w:rFonts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供应商名称（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日期：  年  月  日</w:t>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color w:val="auto"/>
          <w:szCs w:val="21"/>
          <w:highlight w:val="none"/>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（注：法定代表人或负责人、主体名称发生变更的应当重新作出承诺。）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承诺单位（</w:t>
      </w:r>
      <w:r>
        <w:rPr>
          <w:rFonts w:hint="eastAsia" w:ascii="宋体" w:hAnsi="宋体" w:cs="宋体"/>
          <w:color w:val="auto"/>
          <w:szCs w:val="21"/>
          <w:highlight w:val="none"/>
        </w:rPr>
        <w:t xml:space="preserve">加盖CA电子公章</w:t>
      </w:r>
      <w:r>
        <w:rPr>
          <w:rFonts w:hint="eastAsia" w:ascii="宋体" w:hAnsi="宋体" w:cs="宋体"/>
          <w:color w:val="auto"/>
          <w:szCs w:val="21"/>
          <w:highlight w:val="none"/>
        </w:rPr>
        <w:t xml:space="preserve">）：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投标函格式</w:t>
      </w:r>
      <w:r/>
    </w:p>
    <w:p>
      <w:pPr>
        <w:pStyle w:val="981"/>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rPr>
        <w:t xml:space="preserve">江苏苏维工程管理有限公司</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1.按照招标文件规定的各项要求，向买方提供所需货物与服务。</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98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98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98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8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6.一旦我方中标，我方将根据招标文件的规定，严格履行合同的责任和义务，并保证在招标文件规定的时间内完成项目，交付买方验收、使用。</w:t>
      </w:r>
      <w:r/>
    </w:p>
    <w:p>
      <w:pPr>
        <w:pStyle w:val="981"/>
        <w:ind w:left="425" w:firstLine="105"/>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981"/>
        <w:ind w:firstLine="47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981"/>
        <w:ind w:firstLine="47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981"/>
        <w:ind w:firstLine="47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981"/>
        <w:ind w:firstLine="47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981"/>
        <w:ind w:firstLine="47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981"/>
        <w:ind w:firstLine="47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981"/>
        <w:ind w:firstLine="47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981"/>
        <w:ind w:firstLine="47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法人授权书</w:t>
      </w:r>
      <w:r/>
    </w:p>
    <w:p>
      <w:pPr>
        <w:pStyle w:val="982"/>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82"/>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82"/>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82"/>
        <w:ind w:firstLine="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82"/>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982"/>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982"/>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982"/>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982"/>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60" w:lineRule="auto"/>
        <w:rPr>
          <w:rFonts w:ascii="宋体" w:hAnsi="宋体" w:cs="宋体"/>
          <w:bCs/>
          <w:color w:val="auto"/>
          <w:highlight w:val="none"/>
        </w:rPr>
      </w:pPr>
      <w:r>
        <w:rPr>
          <w:rFonts w:ascii="宋体" w:hAnsi="宋体" w:cs="宋体"/>
          <w:bCs/>
          <w:color w:val="auto"/>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20"/>
        <w:spacing w:line="360" w:lineRule="auto"/>
        <w:rPr>
          <w:rFonts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法定代表人身份证复印件、被授权人身份证复印件</w:t>
      </w:r>
      <w:r/>
    </w:p>
    <w:p>
      <w:pPr>
        <w:pStyle w:val="940"/>
        <w:spacing w:line="360" w:lineRule="auto"/>
        <w:rPr>
          <w:rFonts w:ascii="宋体" w:hAnsi="宋体" w:eastAsia="宋体" w:cs="宋体"/>
          <w:color w:val="auto"/>
          <w:sz w:val="32"/>
          <w:highlight w:val="none"/>
        </w:rPr>
      </w:pPr>
      <w:r/>
      <w:bookmarkStart w:id="74" w:name="_Toc20616"/>
      <w:r/>
      <w:bookmarkStart w:id="75" w:name="_Toc9345"/>
      <w:r/>
      <w:bookmarkStart w:id="76" w:name="_Toc3074"/>
      <w:r/>
      <w:bookmarkStart w:id="77" w:name="_Toc16911"/>
      <w:r/>
      <w:bookmarkStart w:id="78" w:name="_Toc14959"/>
      <w:r>
        <w:rPr>
          <w:rFonts w:hint="eastAsia" w:ascii="宋体" w:hAnsi="宋体" w:eastAsia="宋体" w:cs="宋体"/>
          <w:color w:val="auto"/>
          <w:sz w:val="32"/>
          <w:highlight w:val="none"/>
        </w:rPr>
        <w:t xml:space="preserve">二、符合性审查响应对照表</w:t>
      </w:r>
      <w:bookmarkEnd w:id="74"/>
      <w:r/>
      <w:bookmarkEnd w:id="75"/>
      <w:r/>
      <w:bookmarkEnd w:id="76"/>
      <w:r/>
      <w:bookmarkEnd w:id="77"/>
      <w:r/>
      <w:bookmarkEnd w:id="78"/>
      <w:r/>
      <w:r/>
    </w:p>
    <w:tbl>
      <w:tblPr>
        <w:tblStyle w:val="71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999" w:type="pct"/>
            <w:vAlign w:val="center"/>
            <w:textDirection w:val="lrTb"/>
            <w:noWrap w:val="false"/>
          </w:tcPr>
          <w:p>
            <w:pPr>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采购需求中必须满足的实质性要求（即加斜体下划线内容，每条详细列出）</w:t>
            </w:r>
            <w:r/>
          </w:p>
        </w:tc>
        <w:tc>
          <w:tcPr>
            <w:tcW w:w="924" w:type="pct"/>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720" w:type="pct"/>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355"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924"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355"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924"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355"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2999" w:type="pct"/>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924"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355"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2999" w:type="pct"/>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940"/>
        <w:spacing w:line="360" w:lineRule="auto"/>
        <w:rPr>
          <w:rFonts w:ascii="宋体" w:hAnsi="宋体" w:eastAsia="宋体" w:cs="宋体"/>
          <w:color w:val="auto"/>
          <w:sz w:val="32"/>
          <w:highlight w:val="none"/>
        </w:rPr>
      </w:pPr>
      <w:r/>
      <w:bookmarkStart w:id="79" w:name="_Toc29406"/>
      <w:r/>
      <w:bookmarkStart w:id="80" w:name="_Toc14100"/>
      <w:r/>
      <w:bookmarkStart w:id="81" w:name="_Toc23068"/>
      <w:r/>
      <w:bookmarkStart w:id="82" w:name="_Toc6752"/>
      <w:r/>
      <w:bookmarkStart w:id="83" w:name="_Toc23420"/>
      <w:r>
        <w:rPr>
          <w:rFonts w:hint="eastAsia" w:ascii="宋体" w:hAnsi="宋体" w:eastAsia="宋体" w:cs="宋体"/>
          <w:color w:val="auto"/>
          <w:sz w:val="32"/>
          <w:highlight w:val="none"/>
        </w:rPr>
        <w:t xml:space="preserve">三、非实质性响应对照表</w:t>
      </w:r>
      <w:bookmarkEnd w:id="79"/>
      <w:r/>
      <w:bookmarkEnd w:id="80"/>
      <w:r/>
      <w:bookmarkEnd w:id="81"/>
      <w:r/>
      <w:bookmarkEnd w:id="82"/>
      <w:r/>
      <w:bookmarkEnd w:id="83"/>
      <w:r/>
      <w:r/>
    </w:p>
    <w:tbl>
      <w:tblPr>
        <w:tblStyle w:val="71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924" w:type="pct"/>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2999" w:type="pct"/>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《中小企业声明函》</w:t>
            </w:r>
            <w:r/>
          </w:p>
        </w:tc>
        <w:tc>
          <w:tcPr>
            <w:tcW w:w="924" w:type="pct"/>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720" w:type="pct"/>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355"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924"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355"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《关于符合本国产品标准的声明函》</w:t>
            </w:r>
            <w:r/>
          </w:p>
        </w:tc>
        <w:tc>
          <w:tcPr>
            <w:tcW w:w="924"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355"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2999" w:type="pct"/>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center"/>
        <w:spacing w:before="312" w:after="312"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b/>
          <w:bCs/>
          <w:color w:val="auto"/>
          <w:szCs w:val="21"/>
          <w:highlight w:val="none"/>
          <w:u w:val="single"/>
        </w:rPr>
        <w:t xml:space="preserve">（工业）</w:t>
      </w:r>
      <w:r>
        <w:rPr>
          <w:rFonts w:hint="eastAsia" w:ascii="宋体" w:hAnsi="宋体" w:cs="宋体"/>
          <w:color w:val="auto"/>
          <w:szCs w:val="21"/>
          <w:highlight w:val="none"/>
          <w:u w:val="single"/>
        </w:rPr>
        <w:t xml:space="preserve">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szCs w:val="21"/>
          <w:highlight w:val="none"/>
          <w:vertAlign w:val="superscript"/>
        </w:rPr>
        <w:t xml:space="preserve">1</w:t>
      </w:r>
      <w:r>
        <w:rPr>
          <w:rFonts w:hint="eastAsia" w:ascii="宋体" w:hAnsi="宋体" w:cs="宋体"/>
          <w:color w:val="auto"/>
          <w:spacing w:val="-1"/>
          <w:szCs w:val="21"/>
          <w:highlight w:val="none"/>
          <w:vertAlign w:val="superscript"/>
        </w:rPr>
        <w:fldChar w:fldCharType="end"/>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 □微型企业）；</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b/>
          <w:bCs/>
          <w:color w:val="auto"/>
          <w:szCs w:val="21"/>
          <w:highlight w:val="none"/>
          <w:u w:val="single"/>
        </w:rPr>
        <w:t xml:space="preserve">（工业）</w:t>
      </w:r>
      <w:r>
        <w:rPr>
          <w:rFonts w:hint="eastAsia" w:ascii="宋体" w:hAnsi="宋体" w:cs="宋体"/>
          <w:color w:val="auto"/>
          <w:szCs w:val="21"/>
          <w:highlight w:val="none"/>
          <w:u w:val="single"/>
        </w:rPr>
        <w:t xml:space="preserve">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 □小型企业 □微型企业）；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 1、从业人员（不仅指在职职工）、营业收入、资产总额填报上一年度数据，无上一年度数据的新成立企业可不填报。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Times New Roman" w:hAnsi="Times New Roman" w:cs="宋体"/>
          <w:color w:val="auto"/>
          <w:highlight w:val="none"/>
        </w:rPr>
        <w:t xml:space="preserve">《中小企业声明函》不符合要求或未提供的，作如下处理：①如本项目专门面向中小企业采购，则投标（响应）文件无效；②如本项目不专门面向中小企业采购，则价格将不做相应扣除。</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    3、企业声明函请完整填写，中标后将公示。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5、声明函应涵盖本项目(分包)所有货物。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 期：</w:t>
      </w:r>
      <w:r/>
    </w:p>
    <w:p>
      <w:pPr>
        <w:pStyle w:val="965"/>
        <w:ind w:firstLine="420"/>
        <w:spacing w:before="300" w:after="452"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970"/>
          <w:rFonts w:hint="eastAsia" w:ascii="宋体" w:hAnsi="宋体" w:cs="宋体"/>
          <w:color w:val="auto"/>
          <w:sz w:val="21"/>
          <w:szCs w:val="21"/>
          <w:highlight w:val="none"/>
        </w:rPr>
        <w:t xml:space="preserve">中小微企业划型标准如下：</w:t>
      </w:r>
      <w:r/>
    </w:p>
    <w:tbl>
      <w:tblPr>
        <w:tblStyle w:val="715"/>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65"/>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50≤Y&lt;500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2000≤Y&lt;40000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300≤Y&lt;2000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6000≤Y&lt;80000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300≤Y&lt;6000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Y&lt;300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5000≤Z&lt;80000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300≤Z&lt;5000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20≤X&lt;200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5≤X&lt;20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X&lt;5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5000≤Y&lt;40000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1000≤Y&lt;5000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50≤X&lt;300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10≤X&lt;50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100≤Y&lt;500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3000≤Y&lt;30000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200≤Y&lt;3000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100≤X&lt;200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20≤X&lt;100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1000≤Y&lt;30000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2000≤Y&lt;30000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65"/>
              <w:ind w:firstLine="420"/>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100≤X&lt;2000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1000≤Y&lt;100000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1000≤Y&lt;10000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50≤Y&lt;1000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1000≤Y&lt;200000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100≤X&lt;1000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5000≤Z&lt;10000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2000≤Y&lt;5000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1000≤Y&lt;5000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500≤Y&lt;1000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8000≤Z&lt;120000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100≤Z&lt;8000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65"/>
              <w:jc w:val="center"/>
              <w:spacing w:after="150" w:line="360" w:lineRule="auto"/>
              <w:widowControl/>
              <w:rPr>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X&lt;10</w:t>
            </w:r>
            <w:r/>
          </w:p>
        </w:tc>
      </w:tr>
    </w:tbl>
    <w:p>
      <w:pPr>
        <w:pStyle w:val="965"/>
        <w:ind w:firstLine="810"/>
        <w:spacing w:before="300" w:after="452" w:line="360" w:lineRule="auto"/>
        <w:widowControl/>
        <w:rPr>
          <w:rStyle w:val="970"/>
          <w:rFonts w:ascii="宋体" w:hAnsi="宋体" w:cs="宋体"/>
          <w:color w:val="auto"/>
          <w:sz w:val="21"/>
          <w:szCs w:val="21"/>
          <w:highlight w:val="none"/>
        </w:rPr>
      </w:pPr>
      <w:r>
        <w:rPr>
          <w:rStyle w:val="970"/>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pStyle w:val="941"/>
        <w:spacing w:line="360" w:lineRule="auto"/>
        <w:rPr>
          <w:rFonts w:ascii="宋体" w:hAnsi="宋体" w:cs="宋体"/>
          <w:color w:val="auto"/>
          <w:highlight w:val="none"/>
        </w:rPr>
      </w:pPr>
      <w:r>
        <w:rPr>
          <w:rStyle w:val="970"/>
          <w:rFonts w:hint="eastAsia" w:ascii="宋体" w:hAnsi="宋体" w:cs="宋体"/>
          <w:b w:val="0"/>
          <w:color w:val="auto"/>
          <w:sz w:val="21"/>
          <w:szCs w:val="21"/>
          <w:highlight w:val="none"/>
        </w:rPr>
        <w:br w:type="page" w:clear="all"/>
      </w:r>
      <w:r/>
    </w:p>
    <w:p>
      <w:pPr>
        <w:ind w:firstLine="2726"/>
        <w:spacing w:line="360" w:lineRule="auto"/>
        <w:rPr>
          <w:rFonts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360" w:lineRule="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产品或服务（不包括使用非残疾人福利性单位注册商标的产品或服务）。</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本单位在本次政府采购活动中提供的残疾人福利单位产品报价合计为人民币（大写）圆整（￥：）。</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专门面向中小微型企业采购的</w:t>
      </w:r>
      <w:r>
        <w:rPr>
          <w:rFonts w:ascii="宋体" w:hAnsi="宋体"/>
          <w:color w:val="auto"/>
          <w:szCs w:val="21"/>
          <w:highlight w:val="none"/>
        </w:rPr>
        <w:t xml:space="preserve">项目</w:t>
      </w:r>
      <w:r>
        <w:rPr>
          <w:rFonts w:hint="eastAsia" w:ascii="宋体" w:hAnsi="宋体"/>
          <w:color w:val="auto"/>
          <w:szCs w:val="21"/>
          <w:highlight w:val="none"/>
        </w:rPr>
        <w:t xml:space="preserve">，供应商为残疾人福利性单位并提供本单位制造的货物，或者提供其他残疾人福利性单位制造的货物，必须提供此</w:t>
      </w:r>
      <w:r>
        <w:rPr>
          <w:rFonts w:ascii="宋体" w:hAnsi="宋体"/>
          <w:color w:val="auto"/>
          <w:szCs w:val="21"/>
          <w:highlight w:val="none"/>
        </w:rPr>
        <w:t xml:space="preserve">声明函</w:t>
      </w:r>
      <w:r>
        <w:rPr>
          <w:rFonts w:hint="eastAsia" w:ascii="宋体" w:hAnsi="宋体"/>
          <w:color w:val="auto"/>
          <w:szCs w:val="21"/>
          <w:highlight w:val="none"/>
        </w:rPr>
        <w:t xml:space="preserve">，</w:t>
      </w:r>
      <w:r>
        <w:rPr>
          <w:rFonts w:ascii="宋体" w:hAnsi="宋体"/>
          <w:color w:val="auto"/>
          <w:szCs w:val="21"/>
          <w:highlight w:val="none"/>
        </w:rPr>
        <w:t xml:space="preserve">否则将</w:t>
      </w:r>
      <w:r>
        <w:rPr>
          <w:rFonts w:hint="eastAsia" w:ascii="宋体" w:hAnsi="宋体"/>
          <w:color w:val="auto"/>
          <w:szCs w:val="21"/>
          <w:highlight w:val="none"/>
        </w:rPr>
        <w:t xml:space="preserve">不能</w:t>
      </w:r>
      <w:r>
        <w:rPr>
          <w:rFonts w:ascii="宋体" w:hAnsi="宋体"/>
          <w:color w:val="auto"/>
          <w:szCs w:val="21"/>
          <w:highlight w:val="none"/>
        </w:rPr>
        <w:t xml:space="preserve">通过资格审查</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 非专门面向中小微型企业采购的</w:t>
      </w:r>
      <w:r>
        <w:rPr>
          <w:rFonts w:ascii="宋体" w:hAnsi="宋体"/>
          <w:color w:val="auto"/>
          <w:szCs w:val="21"/>
          <w:highlight w:val="none"/>
        </w:rPr>
        <w:t xml:space="preserve">项目</w:t>
      </w:r>
      <w:r>
        <w:rPr>
          <w:rFonts w:hint="eastAsia" w:ascii="宋体" w:hAnsi="宋体"/>
          <w:color w:val="auto"/>
          <w:szCs w:val="21"/>
          <w:highlight w:val="none"/>
        </w:rPr>
        <w:t xml:space="preserve">，供应商如不提供此声明函，价格将不做相应扣除。</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.中标/成交供应商为残疾人福利性单位的，此声明函将随中标/成交结果同时公告，接受社会监督。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59"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供应商全称（加盖CA电子公章）：</w:t>
      </w:r>
      <w:r/>
    </w:p>
    <w:p>
      <w:pPr>
        <w:ind w:right="1559"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关于符合本国产品标准的声明函（采购包号：</w:t>
      </w:r>
      <w:r>
        <w:rPr>
          <w:rFonts w:hint="eastAsia" w:asciiTheme="minorEastAsia" w:hAnsiTheme="minorEastAsia" w:eastAsiaTheme="minorEastAsia" w:cstheme="minorEastAsia"/>
          <w:b/>
          <w:color w:val="auto"/>
          <w:szCs w:val="21"/>
          <w:highlight w:val="none"/>
          <w:lang w:val="en-US" w:eastAsia="zh-CN"/>
        </w:rPr>
        <w:t xml:space="preserve">**</w:t>
      </w:r>
      <w:r>
        <w:rPr>
          <w:rFonts w:hint="eastAsia" w:asciiTheme="minorEastAsia" w:hAnsiTheme="minorEastAsia" w:eastAsiaTheme="minorEastAsia" w:cstheme="minorEastAsia"/>
          <w:b/>
          <w:color w:val="auto"/>
          <w:szCs w:val="21"/>
          <w:highlight w:val="none"/>
        </w:rPr>
        <w:t xml:space="preserve">）</w:t>
      </w:r>
      <w:r/>
    </w:p>
    <w:p>
      <w:pPr>
        <w:pStyle w:val="741"/>
        <w:ind w:firstLine="420"/>
        <w:spacing w:beforeAutospacing="0" w:afterAutospacing="0" w:line="360" w:lineRule="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pStyle w:val="741"/>
        <w:ind w:firstLine="420"/>
        <w:spacing w:beforeAutospacing="0" w:afterAutospacing="0"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1"/>
        <w:ind w:firstLine="420"/>
        <w:spacing w:before="30" w:beforeAutospacing="0" w:after="30" w:afterAutospacing="0" w:line="480" w:lineRule="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noFill/>
                        </a:ln>
                      </wps:spPr>
                      <wps:txbx>
                        <w:txbxContent>
                          <w:p>
                            <w:r/>
                            <w:r/>
                          </w:p>
                        </w:txbxContent>
                      </wps:txbx>
                      <wps:bodyPr wrap="square" upright="1"/>
                    </wps:wsp>
                  </a:graphicData>
                </a:graphic>
              </wp:anchor>
            </w:drawing>
          </mc:Choice>
          <mc:Fallback>
            <w:pict>
              <v:shape id="shape 2" o:spid="_x0000_s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d="f">
                <v:path textboxrect="0,0,100000,100000"/>
                <v:textbox inset="0,0,0,0">
                  <w:txbxContent>
                    <w:p>
                      <w:r/>
                      <w:r/>
                    </w:p>
                  </w:txbxContent>
                </v:textbox>
              </v:shape>
            </w:pict>
          </mc:Fallback>
        </mc:AlternateContent>
      </w:r>
      <w:r>
        <w:rPr>
          <w:rFonts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noFill/>
                        </a:ln>
                      </wps:spPr>
                      <wps:txbx>
                        <w:txbxContent>
                          <w:p>
                            <w:r/>
                            <w:r/>
                          </w:p>
                        </w:txbxContent>
                      </wps:txbx>
                      <wps:bodyPr wrap="square" upright="1"/>
                    </wps:wsp>
                  </a:graphicData>
                </a:graphic>
              </wp:anchor>
            </w:drawing>
          </mc:Choice>
          <mc:Fallback>
            <w:pict>
              <v:shape id="shape 3" o:spid="_x0000_s3"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d="f">
                <v:path textboxrect="0,0,100000,100000"/>
                <v:textbox inset="0,0,0,0">
                  <w:txbxContent>
                    <w:p>
                      <w:r/>
                      <w:r/>
                    </w:p>
                  </w:txbxContent>
                </v:textbox>
              </v:shape>
            </w:pict>
          </mc:Fallback>
        </mc:AlternateContent>
      </w:r>
      <w:r>
        <w:rPr>
          <w:rFonts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noFill/>
                        </a:ln>
                      </wps:spPr>
                      <wps:txbx>
                        <w:txbxContent>
                          <w:p>
                            <w:r/>
                            <w:r/>
                          </w:p>
                        </w:txbxContent>
                      </wps:txbx>
                      <wps:bodyPr wrap="square" upright="1"/>
                    </wps:wsp>
                  </a:graphicData>
                </a:graphic>
              </wp:anchor>
            </w:drawing>
          </mc:Choice>
          <mc:Fallback>
            <w:pict>
              <v:shape id="shape 4" o:spid="_x0000_s4"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d="f">
                <v:path textboxrect="0,0,100000,100000"/>
                <v:textbox inset="0,0,0,0">
                  <w:txbxContent>
                    <w:p>
                      <w:r/>
                      <w:r/>
                    </w:p>
                  </w:txbxContent>
                </v:textbox>
              </v:shape>
            </w:pict>
          </mc:Fallback>
        </mc:AlternateContent>
      </w:r>
      <w:r>
        <w:rPr>
          <w:rFonts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noFill/>
                        </a:ln>
                      </wps:spPr>
                      <wps:txbx>
                        <w:txbxContent>
                          <w:p>
                            <w:r/>
                            <w:r/>
                          </w:p>
                        </w:txbxContent>
                      </wps:txbx>
                      <wps:bodyPr wrap="square" upright="1"/>
                    </wps:wsp>
                  </a:graphicData>
                </a:graphic>
              </wp:anchor>
            </w:drawing>
          </mc:Choice>
          <mc:Fallback>
            <w:pict>
              <v:shape id="shape 5" o:spid="_x0000_s5"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d="f">
                <v:path textboxrect="0,0,100000,100000"/>
                <v:textbox inset="0,0,0,0">
                  <w:txbxContent>
                    <w:p>
                      <w:r/>
                      <w:r/>
                    </w:p>
                  </w:txbxContent>
                </v:textbox>
              </v:shape>
            </w:pict>
          </mc:Fallback>
        </mc:AlternateContent>
      </w:r>
      <w:r>
        <w:rPr>
          <w:rFonts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noFill/>
                        </a:ln>
                      </wps:spPr>
                      <wps:txbx>
                        <w:txbxContent>
                          <w:p>
                            <w:r/>
                            <w:r/>
                          </w:p>
                        </w:txbxContent>
                      </wps:txbx>
                      <wps:bodyPr wrap="square" upright="1"/>
                    </wps:wsp>
                  </a:graphicData>
                </a:graphic>
              </wp:anchor>
            </w:drawing>
          </mc:Choice>
          <mc:Fallback>
            <w:pict>
              <v:shape id="shape 6" o:spid="_x0000_s6"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d="f">
                <v:path textboxrect="0,0,100000,100000"/>
                <v:textbox inset="0,0,0,0">
                  <w:txbxContent>
                    <w:p>
                      <w:r/>
                      <w:r/>
                    </w:p>
                  </w:txbxContent>
                </v:textbox>
              </v:shape>
            </w:pict>
          </mc:Fallback>
        </mc:AlternateContent>
      </w:r>
      <w:r>
        <w:rPr>
          <w:rFonts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noFill/>
                        </a:ln>
                      </wps:spPr>
                      <wps:txbx>
                        <w:txbxContent>
                          <w:p>
                            <w:r/>
                            <w:r/>
                          </w:p>
                        </w:txbxContent>
                      </wps:txbx>
                      <wps:bodyPr wrap="square" upright="1"/>
                    </wps:wsp>
                  </a:graphicData>
                </a:graphic>
              </wp:anchor>
            </w:drawing>
          </mc:Choice>
          <mc:Fallback>
            <w:pict>
              <v:shape id="shape 7" o:spid="_x0000_s7"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d="f">
                <v:path textboxrect="0,0,100000,100000"/>
                <v:textbox inset="0,0,0,0">
                  <w:txbxContent>
                    <w:p>
                      <w:r/>
                      <w:r/>
                    </w:p>
                  </w:txbxContent>
                </v:textbox>
              </v:shape>
            </w:pict>
          </mc:Fallback>
        </mc:AlternateContent>
      </w:r>
      <w:r>
        <w:rPr>
          <w:rFonts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noFill/>
                        </a:ln>
                      </wps:spPr>
                      <wps:txbx>
                        <w:txbxContent>
                          <w:p>
                            <w:r/>
                            <w:r/>
                          </w:p>
                        </w:txbxContent>
                      </wps:txbx>
                      <wps:bodyPr wrap="square" upright="1"/>
                    </wps:wsp>
                  </a:graphicData>
                </a:graphic>
              </wp:anchor>
            </w:drawing>
          </mc:Choice>
          <mc:Fallback>
            <w:pict>
              <v:shape id="shape 8" o:spid="_x0000_s8"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d="f">
                <v:path textboxrect="0,0,100000,100000"/>
                <v:textbox inset="0,0,0,0">
                  <w:txbxContent>
                    <w:p>
                      <w:r/>
                      <w:r/>
                    </w:p>
                  </w:txbxContent>
                </v:textbox>
              </v:shape>
            </w:pict>
          </mc:Fallback>
        </mc:AlternateContent>
      </w:r>
      <w:r>
        <w:rPr>
          <w:rFonts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noFill/>
                          <a:round/>
                        </a:ln>
                      </wps:spPr>
                      <wps:txbx>
                        <w:txbxContent>
                          <w:p>
                            <w:r/>
                            <w:r/>
                          </w:p>
                        </w:txbxContent>
                      </wps:txbx>
                      <wps:bodyPr wrap="square" upright="1"/>
                    </wps:wsp>
                  </a:graphicData>
                </a:graphic>
              </wp:anchor>
            </w:drawing>
          </mc:Choice>
          <mc:Fallback>
            <w:pict>
              <v:shape id="shape 9" o:spid="_x0000_s9"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d="f">
                <v:path textboxrect="0,0,100000,100000"/>
                <v:textbox inset="0,0,0,0">
                  <w:txbxContent>
                    <w:p>
                      <w:r/>
                      <w:r/>
                    </w:p>
                  </w:txbxContent>
                </v:textbox>
              </v:shape>
            </w:pict>
          </mc:Fallback>
        </mc:AlternateContent>
      </w:r>
      <w:r>
        <w:rPr>
          <w:rFonts w:hint="eastAsia" w:asciiTheme="minorEastAsia" w:hAnsiTheme="minorEastAsia" w:eastAsiaTheme="minorEastAsia" w:cstheme="minorEastAsia"/>
          <w:color w:val="auto"/>
          <w:sz w:val="21"/>
          <w:szCs w:val="21"/>
          <w:highlight w:val="none"/>
          <w:shd w:val="clear" w:color="auto" w:fill="ffffff"/>
        </w:rPr>
        <w:t xml:space="preserve">1.</w:t>
      </w:r>
      <w:r>
        <w:rPr>
          <w:rStyle w:val="748"/>
          <w:rFonts w:hint="eastAsia" w:asciiTheme="minorEastAsia" w:hAnsiTheme="minorEastAsia" w:eastAsiaTheme="minorEastAsia" w:cstheme="minorEastAsia"/>
          <w:i w:val="0"/>
          <w:color w:val="auto"/>
          <w:sz w:val="21"/>
          <w:szCs w:val="21"/>
          <w:highlight w:val="none"/>
          <w:u w:val="single"/>
          <w:shd w:val="clear" w:color="auto" w:fill="ffffff"/>
        </w:rPr>
        <w:t xml:space="preserve">（产品名称1）</w:t>
      </w:r>
      <w:r>
        <w:rPr>
          <w:rStyle w:val="748"/>
          <w:rFonts w:hint="eastAsia" w:asciiTheme="minorEastAsia" w:hAnsiTheme="minorEastAsia" w:eastAsiaTheme="minorEastAsia" w:cstheme="minorEastAsia"/>
          <w:i w:val="0"/>
          <w:color w:val="auto"/>
          <w:sz w:val="21"/>
          <w:szCs w:val="21"/>
          <w:highlight w:val="none"/>
          <w:shd w:val="clear" w:color="auto" w:fill="ffffff"/>
          <w:vertAlign w:val="superscript"/>
        </w:rPr>
        <w:t xml:space="preserve">1</w:t>
      </w:r>
      <w:r>
        <w:rPr>
          <w:rFonts w:hint="eastAsia" w:asciiTheme="minorEastAsia" w:hAnsiTheme="minorEastAsia" w:eastAsiaTheme="minorEastAsia" w:cstheme="minorEastAsia"/>
          <w:color w:val="auto"/>
          <w:sz w:val="21"/>
          <w:szCs w:val="21"/>
          <w:highlight w:val="none"/>
          <w:shd w:val="clear" w:color="auto" w:fill="ffffff"/>
        </w:rPr>
        <w:t xml:space="preserve">，生产厂为</w:t>
      </w:r>
      <w:r>
        <w:rPr>
          <w:rStyle w:val="748"/>
          <w:rFonts w:hint="eastAsia" w:asciiTheme="minorEastAsia" w:hAnsiTheme="minorEastAsia" w:eastAsiaTheme="minorEastAsia" w:cstheme="minorEastAsia"/>
          <w:i w:val="0"/>
          <w:color w:val="auto"/>
          <w:sz w:val="21"/>
          <w:szCs w:val="21"/>
          <w:highlight w:val="none"/>
          <w:u w:val="single"/>
          <w:shd w:val="clear" w:color="auto" w:fill="ffffff"/>
        </w:rPr>
        <w:t xml:space="preserve">（厂名）</w:t>
      </w:r>
      <w:r>
        <w:rPr>
          <w:rStyle w:val="748"/>
          <w:rFonts w:hint="eastAsia" w:asciiTheme="minorEastAsia" w:hAnsiTheme="minorEastAsia" w:eastAsiaTheme="minorEastAsia" w:cstheme="minorEastAsia"/>
          <w:i w:val="0"/>
          <w:color w:val="auto"/>
          <w:sz w:val="21"/>
          <w:szCs w:val="21"/>
          <w:highlight w:val="none"/>
          <w:shd w:val="clear" w:color="auto" w:fill="ffffff"/>
          <w:vertAlign w:val="superscript"/>
        </w:rPr>
        <w:t xml:space="preserve">2</w:t>
      </w:r>
      <w:r>
        <w:rPr>
          <w:rFonts w:hint="eastAsia" w:asciiTheme="minorEastAsia" w:hAnsiTheme="minorEastAsia" w:eastAsiaTheme="minorEastAsia" w:cstheme="minorEastAsia"/>
          <w:color w:val="auto"/>
          <w:sz w:val="21"/>
          <w:szCs w:val="21"/>
          <w:highlight w:val="none"/>
          <w:shd w:val="clear" w:color="auto" w:fill="ffffff"/>
        </w:rPr>
        <w:t xml:space="preserve">，厂址为</w:t>
      </w:r>
      <w:r>
        <w:rPr>
          <w:rStyle w:val="748"/>
          <w:rFonts w:hint="eastAsia" w:asciiTheme="minorEastAsia" w:hAnsiTheme="minorEastAsia" w:eastAsiaTheme="minorEastAsia" w:cstheme="minorEastAsia"/>
          <w:i w:val="0"/>
          <w:color w:val="auto"/>
          <w:sz w:val="21"/>
          <w:szCs w:val="21"/>
          <w:highlight w:val="none"/>
          <w:u w:val="single"/>
          <w:shd w:val="clear" w:color="auto" w:fill="ffffff"/>
        </w:rPr>
        <w:t xml:space="preserve">（生产厂址）</w:t>
      </w:r>
      <w:r>
        <w:rPr>
          <w:rFonts w:hint="eastAsia" w:asciiTheme="minorEastAsia" w:hAnsiTheme="minorEastAsia" w:eastAsiaTheme="minorEastAsia" w:cstheme="minorEastAsia"/>
          <w:color w:val="auto"/>
          <w:sz w:val="21"/>
          <w:szCs w:val="21"/>
          <w:highlight w:val="none"/>
          <w:shd w:val="clear" w:color="auto" w:fill="ffffff"/>
        </w:rPr>
        <w:t xml:space="preserve">。</w:t>
      </w:r>
      <w:r>
        <w:rPr>
          <w:rFonts w:hint="eastAsia" w:asciiTheme="minorEastAsia" w:hAnsiTheme="minorEastAsia" w:eastAsiaTheme="minorEastAsia" w:cstheme="minorEastAsia"/>
          <w:color w:val="auto"/>
          <w:sz w:val="21"/>
          <w:szCs w:val="21"/>
          <w:highlight w:val="none"/>
          <w:u w:val="single"/>
          <w:shd w:val="clear" w:color="auto" w:fill="ffffff"/>
        </w:rPr>
        <w:t xml:space="preserve"> </w:t>
      </w:r>
      <w:r>
        <w:rPr>
          <w:rStyle w:val="748"/>
          <w:rFonts w:hint="eastAsia" w:asciiTheme="minorEastAsia" w:hAnsiTheme="minorEastAsia" w:eastAsiaTheme="minorEastAsia" w:cstheme="minorEastAsia"/>
          <w:i w:val="0"/>
          <w:color w:val="auto"/>
          <w:sz w:val="21"/>
          <w:szCs w:val="21"/>
          <w:highlight w:val="none"/>
          <w:u w:val="single"/>
          <w:shd w:val="clear" w:color="auto" w:fill="ffffff"/>
        </w:rPr>
        <w:t xml:space="preserve">（产品名称1） </w:t>
      </w:r>
      <w:r>
        <w:rPr>
          <w:rFonts w:hint="eastAsia" w:asciiTheme="minorEastAsia" w:hAnsiTheme="minorEastAsia" w:eastAsiaTheme="minorEastAsia" w:cstheme="minorEastAsia"/>
          <w:color w:val="auto"/>
          <w:sz w:val="21"/>
          <w:szCs w:val="21"/>
          <w:highlight w:val="none"/>
          <w:shd w:val="clear" w:color="auto" w:fill="ffffff"/>
        </w:rPr>
        <w:t xml:space="preserve">的中国境内生产的组件成本占比≥</w:t>
      </w:r>
      <w:r>
        <w:rPr>
          <w:rStyle w:val="748"/>
          <w:rFonts w:hint="eastAsia" w:asciiTheme="minorEastAsia" w:hAnsiTheme="minorEastAsia" w:eastAsiaTheme="minorEastAsia" w:cstheme="minorEastAsia"/>
          <w:i w:val="0"/>
          <w:color w:val="auto"/>
          <w:sz w:val="21"/>
          <w:szCs w:val="21"/>
          <w:highlight w:val="none"/>
          <w:u w:val="single"/>
          <w:shd w:val="clear" w:color="auto" w:fill="ffffff"/>
        </w:rPr>
        <w:t xml:space="preserve">（规定比例）</w:t>
      </w:r>
      <w:r>
        <w:rPr>
          <w:rStyle w:val="748"/>
          <w:rFonts w:hint="eastAsia" w:asciiTheme="minorEastAsia" w:hAnsiTheme="minorEastAsia" w:eastAsiaTheme="minorEastAsia" w:cstheme="minorEastAsia"/>
          <w:i w:val="0"/>
          <w:color w:val="auto"/>
          <w:sz w:val="21"/>
          <w:szCs w:val="21"/>
          <w:highlight w:val="none"/>
          <w:shd w:val="clear" w:color="auto" w:fill="ffffff"/>
          <w:vertAlign w:val="superscript"/>
        </w:rPr>
        <w:t xml:space="preserve">3</w:t>
      </w:r>
      <w:r>
        <w:rPr>
          <w:rFonts w:hint="eastAsia" w:asciiTheme="minorEastAsia" w:hAnsiTheme="minorEastAsia" w:eastAsiaTheme="minorEastAsia" w:cstheme="minorEastAsia"/>
          <w:color w:val="auto"/>
          <w:sz w:val="21"/>
          <w:szCs w:val="21"/>
          <w:highlight w:val="none"/>
          <w:shd w:val="clear" w:color="auto" w:fill="ffffff"/>
        </w:rPr>
        <w:t xml:space="preserve">。</w:t>
      </w:r>
      <w:r>
        <w:rPr>
          <w:rStyle w:val="748"/>
          <w:rFonts w:hint="eastAsia" w:asciiTheme="minorEastAsia" w:hAnsiTheme="minorEastAsia" w:eastAsiaTheme="minorEastAsia" w:cstheme="minorEastAsia"/>
          <w:i w:val="0"/>
          <w:color w:val="auto"/>
          <w:sz w:val="21"/>
          <w:szCs w:val="21"/>
          <w:highlight w:val="none"/>
          <w:u w:val="single"/>
          <w:shd w:val="clear" w:color="auto" w:fill="ffffff"/>
        </w:rPr>
        <w:t xml:space="preserve">（产品名称1）</w:t>
      </w:r>
      <w:r>
        <w:rPr>
          <w:rFonts w:hint="eastAsia" w:asciiTheme="minorEastAsia" w:hAnsiTheme="minorEastAsia" w:eastAsiaTheme="minorEastAsia" w:cstheme="minorEastAsia"/>
          <w:color w:val="auto"/>
          <w:sz w:val="21"/>
          <w:szCs w:val="21"/>
          <w:highlight w:val="none"/>
          <w:shd w:val="clear" w:color="auto" w:fill="ffffff"/>
        </w:rPr>
        <w:t xml:space="preserve">的</w:t>
      </w:r>
      <w:r>
        <w:rPr>
          <w:rStyle w:val="748"/>
          <w:rFonts w:hint="eastAsia" w:asciiTheme="minorEastAsia" w:hAnsiTheme="minorEastAsia" w:eastAsiaTheme="minorEastAsia" w:cstheme="minorEastAsia"/>
          <w:i w:val="0"/>
          <w:color w:val="auto"/>
          <w:sz w:val="21"/>
          <w:szCs w:val="21"/>
          <w:highlight w:val="none"/>
          <w:u w:val="single"/>
          <w:shd w:val="clear" w:color="auto" w:fill="ffffff"/>
        </w:rPr>
        <w:t xml:space="preserve">（关键组件）</w:t>
      </w:r>
      <w:r>
        <w:rPr>
          <w:rStyle w:val="748"/>
          <w:rFonts w:hint="eastAsia" w:asciiTheme="minorEastAsia" w:hAnsiTheme="minorEastAsia" w:eastAsiaTheme="minorEastAsia" w:cstheme="minorEastAsia"/>
          <w:i w:val="0"/>
          <w:color w:val="auto"/>
          <w:sz w:val="21"/>
          <w:szCs w:val="21"/>
          <w:highlight w:val="none"/>
          <w:shd w:val="clear" w:color="auto" w:fill="ffffff"/>
          <w:vertAlign w:val="superscript"/>
        </w:rPr>
        <w:t xml:space="preserve">4</w:t>
      </w:r>
      <w:r>
        <w:rPr>
          <w:rFonts w:hint="eastAsia" w:asciiTheme="minorEastAsia" w:hAnsiTheme="minorEastAsia" w:eastAsiaTheme="minorEastAsia" w:cstheme="minorEastAsia"/>
          <w:color w:val="auto"/>
          <w:sz w:val="21"/>
          <w:szCs w:val="21"/>
          <w:highlight w:val="none"/>
          <w:shd w:val="clear" w:color="auto" w:fill="ffffff"/>
        </w:rPr>
        <w:t xml:space="preserve">在中国境内生产。</w:t>
      </w:r>
      <w:r>
        <w:rPr>
          <w:rStyle w:val="748"/>
          <w:rFonts w:hint="eastAsia" w:asciiTheme="minorEastAsia" w:hAnsiTheme="minorEastAsia" w:eastAsiaTheme="minorEastAsia" w:cstheme="minorEastAsia"/>
          <w:i w:val="0"/>
          <w:color w:val="auto"/>
          <w:sz w:val="21"/>
          <w:szCs w:val="21"/>
          <w:highlight w:val="none"/>
          <w:u w:val="single"/>
          <w:shd w:val="clear" w:color="auto" w:fill="ffffff"/>
        </w:rPr>
        <w:t xml:space="preserve">（产品名称1）</w:t>
      </w:r>
      <w:r>
        <w:rPr>
          <w:rFonts w:hint="eastAsia" w:asciiTheme="minorEastAsia" w:hAnsiTheme="minorEastAsia" w:eastAsiaTheme="minorEastAsia" w:cstheme="minorEastAsia"/>
          <w:color w:val="auto"/>
          <w:sz w:val="21"/>
          <w:szCs w:val="21"/>
          <w:highlight w:val="none"/>
          <w:shd w:val="clear" w:color="auto" w:fill="ffffff"/>
        </w:rPr>
        <w:t xml:space="preserve">的</w:t>
      </w:r>
      <w:r>
        <w:rPr>
          <w:rStyle w:val="748"/>
          <w:rFonts w:hint="eastAsia" w:asciiTheme="minorEastAsia" w:hAnsiTheme="minorEastAsia" w:eastAsiaTheme="minorEastAsia" w:cstheme="minorEastAsia"/>
          <w:i w:val="0"/>
          <w:color w:val="auto"/>
          <w:sz w:val="21"/>
          <w:szCs w:val="21"/>
          <w:highlight w:val="none"/>
          <w:u w:val="single"/>
          <w:shd w:val="clear" w:color="auto" w:fill="ffffff"/>
        </w:rPr>
        <w:t xml:space="preserve">（关键工序）</w:t>
      </w:r>
      <w:r>
        <w:rPr>
          <w:rStyle w:val="748"/>
          <w:rFonts w:hint="eastAsia" w:asciiTheme="minorEastAsia" w:hAnsiTheme="minorEastAsia" w:eastAsiaTheme="minorEastAsia" w:cstheme="minorEastAsia"/>
          <w:i w:val="0"/>
          <w:color w:val="auto"/>
          <w:sz w:val="21"/>
          <w:szCs w:val="21"/>
          <w:highlight w:val="none"/>
          <w:shd w:val="clear" w:color="auto" w:fill="ffffff"/>
          <w:vertAlign w:val="superscript"/>
        </w:rPr>
        <w:t xml:space="preserve">5</w:t>
      </w:r>
      <w:r>
        <w:rPr>
          <w:rFonts w:hint="eastAsia" w:asciiTheme="minorEastAsia" w:hAnsiTheme="minorEastAsia" w:eastAsiaTheme="minorEastAsia" w:cstheme="minorEastAsia"/>
          <w:color w:val="auto"/>
          <w:sz w:val="21"/>
          <w:szCs w:val="21"/>
          <w:highlight w:val="none"/>
          <w:shd w:val="clear" w:color="auto" w:fill="ffffff"/>
        </w:rPr>
        <w:t xml:space="preserve">在中国境内完成。</w:t>
      </w:r>
      <w:r/>
    </w:p>
    <w:p>
      <w:pPr>
        <w:pStyle w:val="741"/>
        <w:ind w:firstLine="420"/>
        <w:spacing w:before="30" w:beforeAutospacing="0" w:after="30" w:afterAutospacing="0" w:line="480" w:lineRule="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noFill/>
                        </a:ln>
                      </wps:spPr>
                      <wps:txbx>
                        <w:txbxContent>
                          <w:p>
                            <w:r/>
                            <w:r/>
                          </w:p>
                        </w:txbxContent>
                      </wps:txbx>
                      <wps:bodyPr wrap="square" upright="1"/>
                    </wps:wsp>
                  </a:graphicData>
                </a:graphic>
              </wp:anchor>
            </w:drawing>
          </mc:Choice>
          <mc:Fallback>
            <w:pict>
              <v:shape id="shape 10" o:spid="_x0000_s10"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d="f">
                <v:path textboxrect="0,0,100000,100000"/>
                <v:textbox inset="0,0,0,0">
                  <w:txbxContent>
                    <w:p>
                      <w:r/>
                      <w:r/>
                    </w:p>
                  </w:txbxContent>
                </v:textbox>
              </v:shape>
            </w:pict>
          </mc:Fallback>
        </mc:AlternateContent>
      </w:r>
      <w:r>
        <w:rPr>
          <w:rFonts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noFill/>
                        </a:ln>
                      </wps:spPr>
                      <wps:txbx>
                        <w:txbxContent>
                          <w:p>
                            <w:r/>
                            <w:r/>
                          </w:p>
                        </w:txbxContent>
                      </wps:txbx>
                      <wps:bodyPr wrap="square" upright="1"/>
                    </wps:wsp>
                  </a:graphicData>
                </a:graphic>
              </wp:anchor>
            </w:drawing>
          </mc:Choice>
          <mc:Fallback>
            <w:pict>
              <v:shape id="shape 11" o:spid="_x0000_s11"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d="f">
                <v:path textboxrect="0,0,100000,100000"/>
                <v:textbox inset="0,0,0,0">
                  <w:txbxContent>
                    <w:p>
                      <w:r/>
                      <w:r/>
                    </w:p>
                  </w:txbxContent>
                </v:textbox>
              </v:shape>
            </w:pict>
          </mc:Fallback>
        </mc:AlternateContent>
      </w:r>
      <w:r>
        <w:rPr>
          <w:rFonts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noFill/>
                        </a:ln>
                      </wps:spPr>
                      <wps:txbx>
                        <w:txbxContent>
                          <w:p>
                            <w:r/>
                            <w:r/>
                          </w:p>
                        </w:txbxContent>
                      </wps:txbx>
                      <wps:bodyPr wrap="square" upright="1"/>
                    </wps:wsp>
                  </a:graphicData>
                </a:graphic>
              </wp:anchor>
            </w:drawing>
          </mc:Choice>
          <mc:Fallback>
            <w:pict>
              <v:shape id="shape 12" o:spid="_x0000_s1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d="f">
                <v:path textboxrect="0,0,100000,100000"/>
                <v:textbox inset="0,0,0,0">
                  <w:txbxContent>
                    <w:p>
                      <w:r/>
                      <w:r/>
                    </w:p>
                  </w:txbxContent>
                </v:textbox>
              </v:shape>
            </w:pict>
          </mc:Fallback>
        </mc:AlternateContent>
      </w:r>
      <w:r>
        <w:rPr>
          <w:rFonts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noFill/>
                        </a:ln>
                      </wps:spPr>
                      <wps:txbx>
                        <w:txbxContent>
                          <w:p>
                            <w:r/>
                            <w:r/>
                          </w:p>
                        </w:txbxContent>
                      </wps:txbx>
                      <wps:bodyPr wrap="square" upright="1"/>
                    </wps:wsp>
                  </a:graphicData>
                </a:graphic>
              </wp:anchor>
            </w:drawing>
          </mc:Choice>
          <mc:Fallback>
            <w:pict>
              <v:shape id="shape 13" o:spid="_x0000_s13"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d="f">
                <v:path textboxrect="0,0,100000,100000"/>
                <v:textbox inset="0,0,0,0">
                  <w:txbxContent>
                    <w:p>
                      <w:r/>
                      <w:r/>
                    </w:p>
                  </w:txbxContent>
                </v:textbox>
              </v:shape>
            </w:pict>
          </mc:Fallback>
        </mc:AlternateContent>
      </w:r>
      <w:r>
        <w:rPr>
          <w:rFonts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noFill/>
                        </a:ln>
                      </wps:spPr>
                      <wps:txbx>
                        <w:txbxContent>
                          <w:p>
                            <w:r/>
                            <w:r/>
                          </w:p>
                        </w:txbxContent>
                      </wps:txbx>
                      <wps:bodyPr wrap="square" upright="1"/>
                    </wps:wsp>
                  </a:graphicData>
                </a:graphic>
              </wp:anchor>
            </w:drawing>
          </mc:Choice>
          <mc:Fallback>
            <w:pict>
              <v:shape id="shape 14" o:spid="_x0000_s14"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d="f">
                <v:path textboxrect="0,0,100000,100000"/>
                <v:textbox inset="0,0,0,0">
                  <w:txbxContent>
                    <w:p>
                      <w:r/>
                      <w:r/>
                    </w:p>
                  </w:txbxContent>
                </v:textbox>
              </v:shape>
            </w:pict>
          </mc:Fallback>
        </mc:AlternateContent>
      </w:r>
      <w:r>
        <w:rPr>
          <w:rFonts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noFill/>
                          <a:round/>
                        </a:ln>
                      </wps:spPr>
                      <wps:txbx>
                        <w:txbxContent>
                          <w:p>
                            <w:r/>
                            <w:r/>
                          </w:p>
                        </w:txbxContent>
                      </wps:txbx>
                      <wps:bodyPr wrap="square" upright="1"/>
                    </wps:wsp>
                  </a:graphicData>
                </a:graphic>
              </wp:anchor>
            </w:drawing>
          </mc:Choice>
          <mc:Fallback>
            <w:pict>
              <v:shape id="shape 15" o:spid="_x0000_s15"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d="f">
                <v:path textboxrect="0,0,100000,100000"/>
                <v:textbox inset="0,0,0,0">
                  <w:txbxContent>
                    <w:p>
                      <w:r/>
                      <w:r/>
                    </w:p>
                  </w:txbxContent>
                </v:textbox>
              </v:shape>
            </w:pict>
          </mc:Fallback>
        </mc:AlternateContent>
      </w:r>
      <w:r>
        <w:rPr>
          <w:rFonts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noFill/>
                        </a:ln>
                      </wps:spPr>
                      <wps:txbx>
                        <w:txbxContent>
                          <w:p>
                            <w:r/>
                            <w:r/>
                          </w:p>
                        </w:txbxContent>
                      </wps:txbx>
                      <wps:bodyPr wrap="square" upright="1"/>
                    </wps:wsp>
                  </a:graphicData>
                </a:graphic>
              </wp:anchor>
            </w:drawing>
          </mc:Choice>
          <mc:Fallback>
            <w:pict>
              <v:shape id="shape 16" o:spid="_x0000_s16"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d="f">
                <v:path textboxrect="0,0,100000,100000"/>
                <v:textbox inset="0,0,0,0">
                  <w:txbxContent>
                    <w:p>
                      <w:r/>
                      <w:r/>
                    </w:p>
                  </w:txbxContent>
                </v:textbox>
              </v:shape>
            </w:pict>
          </mc:Fallback>
        </mc:AlternateContent>
      </w:r>
      <w:r>
        <w:rPr>
          <w:rFonts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noFill/>
                        </a:ln>
                      </wps:spPr>
                      <wps:txbx>
                        <w:txbxContent>
                          <w:p>
                            <w:r/>
                            <w:r/>
                          </w:p>
                        </w:txbxContent>
                      </wps:txbx>
                      <wps:bodyPr wrap="square" upright="1"/>
                    </wps:wsp>
                  </a:graphicData>
                </a:graphic>
              </wp:anchor>
            </w:drawing>
          </mc:Choice>
          <mc:Fallback>
            <w:pict>
              <v:shape id="shape 17" o:spid="_x0000_s17"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d="f">
                <v:path textboxrect="0,0,100000,100000"/>
                <v:textbox inset="0,0,0,0">
                  <w:txbxContent>
                    <w:p>
                      <w:r/>
                      <w:r/>
                    </w:p>
                  </w:txbxContent>
                </v:textbox>
              </v:shape>
            </w:pict>
          </mc:Fallback>
        </mc:AlternateContent>
      </w:r>
      <w:r>
        <w:rPr>
          <w:rFonts w:hint="eastAsia" w:asciiTheme="minorEastAsia" w:hAnsiTheme="minorEastAsia" w:eastAsiaTheme="minorEastAsia" w:cstheme="minorEastAsia"/>
          <w:color w:val="auto"/>
          <w:sz w:val="21"/>
          <w:szCs w:val="21"/>
          <w:highlight w:val="none"/>
          <w:shd w:val="clear" w:color="auto" w:fill="ffffff"/>
        </w:rPr>
        <w:t xml:space="preserve">2.</w:t>
      </w:r>
      <w:r>
        <w:rPr>
          <w:rStyle w:val="748"/>
          <w:rFonts w:hint="eastAsia" w:asciiTheme="minorEastAsia" w:hAnsiTheme="minorEastAsia" w:eastAsiaTheme="minorEastAsia" w:cstheme="minorEastAsia"/>
          <w:i w:val="0"/>
          <w:color w:val="auto"/>
          <w:sz w:val="21"/>
          <w:szCs w:val="21"/>
          <w:highlight w:val="none"/>
          <w:u w:val="single"/>
          <w:shd w:val="clear" w:color="auto" w:fill="ffffff"/>
        </w:rPr>
        <w:t xml:space="preserve">（产品名称2）</w:t>
      </w:r>
      <w:r>
        <w:rPr>
          <w:rFonts w:hint="eastAsia" w:asciiTheme="minorEastAsia" w:hAnsiTheme="minorEastAsia" w:eastAsiaTheme="minorEastAsia" w:cstheme="minorEastAsia"/>
          <w:color w:val="auto"/>
          <w:sz w:val="21"/>
          <w:szCs w:val="21"/>
          <w:highlight w:val="none"/>
          <w:shd w:val="clear" w:color="auto" w:fill="ffffff"/>
        </w:rPr>
        <w:t xml:space="preserve">，生产厂为</w:t>
      </w:r>
      <w:r>
        <w:rPr>
          <w:rStyle w:val="748"/>
          <w:rFonts w:hint="eastAsia" w:asciiTheme="minorEastAsia" w:hAnsiTheme="minorEastAsia" w:eastAsiaTheme="minorEastAsia" w:cstheme="minorEastAsia"/>
          <w:i w:val="0"/>
          <w:color w:val="auto"/>
          <w:sz w:val="21"/>
          <w:szCs w:val="21"/>
          <w:highlight w:val="none"/>
          <w:u w:val="single"/>
          <w:shd w:val="clear" w:color="auto" w:fill="ffffff"/>
        </w:rPr>
        <w:t xml:space="preserve">（厂名）</w:t>
      </w:r>
      <w:r>
        <w:rPr>
          <w:rFonts w:hint="eastAsia" w:asciiTheme="minorEastAsia" w:hAnsiTheme="minorEastAsia" w:eastAsiaTheme="minorEastAsia" w:cstheme="minorEastAsia"/>
          <w:color w:val="auto"/>
          <w:sz w:val="21"/>
          <w:szCs w:val="21"/>
          <w:highlight w:val="none"/>
          <w:shd w:val="clear" w:color="auto" w:fill="ffffff"/>
        </w:rPr>
        <w:t xml:space="preserve">，厂址为</w:t>
      </w:r>
      <w:r>
        <w:rPr>
          <w:rStyle w:val="748"/>
          <w:rFonts w:hint="eastAsia" w:asciiTheme="minorEastAsia" w:hAnsiTheme="minorEastAsia" w:eastAsiaTheme="minorEastAsia" w:cstheme="minorEastAsia"/>
          <w:i w:val="0"/>
          <w:color w:val="auto"/>
          <w:sz w:val="21"/>
          <w:szCs w:val="21"/>
          <w:highlight w:val="none"/>
          <w:u w:val="single"/>
          <w:shd w:val="clear" w:color="auto" w:fill="ffffff"/>
        </w:rPr>
        <w:t xml:space="preserve">（生产厂址）</w:t>
      </w:r>
      <w:r>
        <w:rPr>
          <w:rFonts w:hint="eastAsia" w:asciiTheme="minorEastAsia" w:hAnsiTheme="minorEastAsia" w:eastAsiaTheme="minorEastAsia" w:cstheme="minorEastAsia"/>
          <w:color w:val="auto"/>
          <w:sz w:val="21"/>
          <w:szCs w:val="21"/>
          <w:highlight w:val="none"/>
          <w:shd w:val="clear" w:color="auto" w:fill="ffffff"/>
        </w:rPr>
        <w:t xml:space="preserve">。</w:t>
      </w:r>
      <w:r>
        <w:rPr>
          <w:rStyle w:val="748"/>
          <w:rFonts w:hint="eastAsia" w:asciiTheme="minorEastAsia" w:hAnsiTheme="minorEastAsia" w:eastAsiaTheme="minorEastAsia" w:cstheme="minorEastAsia"/>
          <w:i w:val="0"/>
          <w:color w:val="auto"/>
          <w:sz w:val="21"/>
          <w:szCs w:val="21"/>
          <w:highlight w:val="none"/>
          <w:u w:val="single"/>
          <w:shd w:val="clear" w:color="auto" w:fill="ffffff"/>
        </w:rPr>
        <w:t xml:space="preserve">（产品名称2）</w:t>
      </w:r>
      <w:r>
        <w:rPr>
          <w:rFonts w:hint="eastAsia" w:asciiTheme="minorEastAsia" w:hAnsiTheme="minorEastAsia" w:eastAsiaTheme="minorEastAsia" w:cstheme="minorEastAsia"/>
          <w:color w:val="auto"/>
          <w:sz w:val="21"/>
          <w:szCs w:val="21"/>
          <w:highlight w:val="none"/>
          <w:shd w:val="clear" w:color="auto" w:fill="ffffff"/>
        </w:rPr>
        <w:t xml:space="preserve">的中国境内生产的组件成本占比≥</w:t>
      </w:r>
      <w:r>
        <w:rPr>
          <w:rStyle w:val="748"/>
          <w:rFonts w:hint="eastAsia" w:asciiTheme="minorEastAsia" w:hAnsiTheme="minorEastAsia" w:eastAsiaTheme="minorEastAsia" w:cstheme="minorEastAsia"/>
          <w:i w:val="0"/>
          <w:color w:val="auto"/>
          <w:sz w:val="21"/>
          <w:szCs w:val="21"/>
          <w:highlight w:val="none"/>
          <w:u w:val="single"/>
          <w:shd w:val="clear" w:color="auto" w:fill="ffffff"/>
        </w:rPr>
        <w:t xml:space="preserve">（规定比例）</w:t>
      </w:r>
      <w:r>
        <w:rPr>
          <w:rFonts w:hint="eastAsia" w:asciiTheme="minorEastAsia" w:hAnsiTheme="minorEastAsia" w:eastAsiaTheme="minorEastAsia" w:cstheme="minorEastAsia"/>
          <w:color w:val="auto"/>
          <w:sz w:val="21"/>
          <w:szCs w:val="21"/>
          <w:highlight w:val="none"/>
          <w:shd w:val="clear" w:color="auto" w:fill="ffffff"/>
        </w:rPr>
        <w:t xml:space="preserve">。</w:t>
      </w:r>
      <w:r>
        <w:rPr>
          <w:rStyle w:val="748"/>
          <w:rFonts w:hint="eastAsia" w:asciiTheme="minorEastAsia" w:hAnsiTheme="minorEastAsia" w:eastAsiaTheme="minorEastAsia" w:cstheme="minorEastAsia"/>
          <w:i w:val="0"/>
          <w:color w:val="auto"/>
          <w:sz w:val="21"/>
          <w:szCs w:val="21"/>
          <w:highlight w:val="none"/>
          <w:u w:val="single"/>
          <w:shd w:val="clear" w:color="auto" w:fill="ffffff"/>
        </w:rPr>
        <w:t xml:space="preserve">（产品名称2）</w:t>
      </w:r>
      <w:r>
        <w:rPr>
          <w:rFonts w:hint="eastAsia" w:asciiTheme="minorEastAsia" w:hAnsiTheme="minorEastAsia" w:eastAsiaTheme="minorEastAsia" w:cstheme="minorEastAsia"/>
          <w:color w:val="auto"/>
          <w:sz w:val="21"/>
          <w:szCs w:val="21"/>
          <w:highlight w:val="none"/>
          <w:shd w:val="clear" w:color="auto" w:fill="ffffff"/>
        </w:rPr>
        <w:t xml:space="preserve">的</w:t>
      </w:r>
      <w:r>
        <w:rPr>
          <w:rStyle w:val="748"/>
          <w:rFonts w:hint="eastAsia" w:asciiTheme="minorEastAsia" w:hAnsiTheme="minorEastAsia" w:eastAsiaTheme="minorEastAsia" w:cstheme="minorEastAsia"/>
          <w:i w:val="0"/>
          <w:color w:val="auto"/>
          <w:sz w:val="21"/>
          <w:szCs w:val="21"/>
          <w:highlight w:val="none"/>
          <w:u w:val="single"/>
          <w:shd w:val="clear" w:color="auto" w:fill="ffffff"/>
        </w:rPr>
        <w:t xml:space="preserve">（关键组件）</w:t>
      </w:r>
      <w:r>
        <w:rPr>
          <w:rFonts w:hint="eastAsia" w:asciiTheme="minorEastAsia" w:hAnsiTheme="minorEastAsia" w:eastAsiaTheme="minorEastAsia" w:cstheme="minorEastAsia"/>
          <w:color w:val="auto"/>
          <w:sz w:val="21"/>
          <w:szCs w:val="21"/>
          <w:highlight w:val="none"/>
          <w:shd w:val="clear" w:color="auto" w:fill="ffffff"/>
        </w:rPr>
        <w:t xml:space="preserve">在中国境内生产。</w:t>
      </w:r>
      <w:r>
        <w:rPr>
          <w:rStyle w:val="748"/>
          <w:rFonts w:hint="eastAsia" w:asciiTheme="minorEastAsia" w:hAnsiTheme="minorEastAsia" w:eastAsiaTheme="minorEastAsia" w:cstheme="minorEastAsia"/>
          <w:i w:val="0"/>
          <w:color w:val="auto"/>
          <w:sz w:val="21"/>
          <w:szCs w:val="21"/>
          <w:highlight w:val="none"/>
          <w:u w:val="single"/>
          <w:shd w:val="clear" w:color="auto" w:fill="ffffff"/>
        </w:rPr>
        <w:t xml:space="preserve">（产品名称1）</w:t>
      </w:r>
      <w:r>
        <w:rPr>
          <w:rFonts w:hint="eastAsia" w:asciiTheme="minorEastAsia" w:hAnsiTheme="minorEastAsia" w:eastAsiaTheme="minorEastAsia" w:cstheme="minorEastAsia"/>
          <w:color w:val="auto"/>
          <w:sz w:val="21"/>
          <w:szCs w:val="21"/>
          <w:highlight w:val="none"/>
          <w:shd w:val="clear" w:color="auto" w:fill="ffffff"/>
        </w:rPr>
        <w:t xml:space="preserve">的</w:t>
      </w:r>
      <w:r>
        <w:rPr>
          <w:rStyle w:val="748"/>
          <w:rFonts w:hint="eastAsia" w:asciiTheme="minorEastAsia" w:hAnsiTheme="minorEastAsia" w:eastAsiaTheme="minorEastAsia" w:cstheme="minorEastAsia"/>
          <w:i w:val="0"/>
          <w:color w:val="auto"/>
          <w:sz w:val="21"/>
          <w:szCs w:val="21"/>
          <w:highlight w:val="none"/>
          <w:u w:val="single"/>
          <w:shd w:val="clear" w:color="auto" w:fill="ffffff"/>
        </w:rPr>
        <w:t xml:space="preserve">（关键工序）</w:t>
      </w:r>
      <w:r>
        <w:rPr>
          <w:rFonts w:hint="eastAsia" w:asciiTheme="minorEastAsia" w:hAnsiTheme="minorEastAsia" w:eastAsiaTheme="minorEastAsia" w:cstheme="minorEastAsia"/>
          <w:color w:val="auto"/>
          <w:sz w:val="21"/>
          <w:szCs w:val="21"/>
          <w:highlight w:val="none"/>
          <w:shd w:val="clear" w:color="auto" w:fill="ffffff"/>
        </w:rPr>
        <w:t xml:space="preserve">在中国境内完成。</w:t>
      </w:r>
      <w:r/>
    </w:p>
    <w:p>
      <w:pPr>
        <w:pStyle w:val="741"/>
        <w:ind w:firstLine="420"/>
        <w:spacing w:before="30" w:beforeAutospacing="0" w:after="30" w:afterAutospacing="0"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w:t>
      </w:r>
      <w:r/>
    </w:p>
    <w:p>
      <w:pPr>
        <w:pStyle w:val="741"/>
        <w:ind w:firstLine="420"/>
        <w:spacing w:before="30" w:beforeAutospacing="0" w:after="30" w:afterAutospacing="0"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本公司（单位）对上述声明内容的真实性负责。如有虚假，愿承担相应法律责任。</w:t>
      </w:r>
      <w:r/>
    </w:p>
    <w:p>
      <w:pPr>
        <w:pStyle w:val="741"/>
        <w:spacing w:before="30" w:beforeAutospacing="0" w:after="30" w:afterAutospacing="0" w:line="360" w:lineRule="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pStyle w:val="741"/>
        <w:ind w:right="480" w:firstLine="3720"/>
        <w:spacing w:before="30" w:beforeAutospacing="0" w:after="30" w:afterAutospacing="0"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公司（单位）名称（盖章）：　        </w:t>
      </w:r>
      <w:r/>
    </w:p>
    <w:p>
      <w:pPr>
        <w:pStyle w:val="741"/>
        <w:jc w:val="center"/>
        <w:spacing w:before="30" w:beforeAutospacing="0" w:after="30" w:afterAutospacing="0"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                                日期：　   年　  月　  日         </w:t>
      </w:r>
      <w:r/>
    </w:p>
    <w:p>
      <w:pPr>
        <w:pStyle w:val="741"/>
        <w:spacing w:before="30" w:beforeAutospacing="0" w:after="30" w:afterAutospacing="0"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__________________</w:t>
      </w:r>
      <w:r/>
    </w:p>
    <w:p>
      <w:pPr>
        <w:pStyle w:val="741"/>
        <w:spacing w:before="30" w:beforeAutospacing="0" w:after="30" w:afterAutospacing="0"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1.产品如有型号，请在“产品名称”栏一并填写。</w:t>
      </w:r>
      <w:r/>
    </w:p>
    <w:p>
      <w:pPr>
        <w:pStyle w:val="741"/>
        <w:spacing w:before="30" w:beforeAutospacing="0" w:after="30" w:afterAutospacing="0"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2.生产厂名与厂址应与生产厂营业执照载明的相关信息保持一致。</w:t>
      </w:r>
      <w:r/>
    </w:p>
    <w:p>
      <w:pPr>
        <w:pStyle w:val="741"/>
        <w:spacing w:before="30" w:beforeAutospacing="0" w:after="30" w:afterAutospacing="0"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3.该产品的中国境内生产的组件成本占比相关要求实施前，“规定比例”栏可不填，下同。</w:t>
      </w:r>
      <w:r/>
    </w:p>
    <w:p>
      <w:pPr>
        <w:pStyle w:val="741"/>
        <w:spacing w:before="30" w:beforeAutospacing="0" w:after="30" w:afterAutospacing="0"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4.该产品的关键组件要求实施前，“关键组件”栏可不填，下同。</w:t>
      </w:r>
      <w:r/>
    </w:p>
    <w:p>
      <w:pPr>
        <w:pStyle w:val="741"/>
        <w:spacing w:before="30" w:beforeAutospacing="0" w:after="30" w:afterAutospacing="0" w:line="360" w:lineRule="auto"/>
        <w:rPr>
          <w:rFonts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5.该产品的关键工序要求实施前，“关键工序”栏可不填，下同。</w:t>
      </w:r>
      <w:r/>
    </w:p>
    <w:p>
      <w:pPr>
        <w:pStyle w:val="741"/>
        <w:spacing w:before="30" w:beforeAutospacing="0" w:after="30" w:afterAutospacing="0" w:line="360" w:lineRule="auto"/>
        <w:rPr>
          <w:rFonts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6.用斜线划除的地方无需填写。</w:t>
      </w:r>
      <w:r/>
    </w:p>
    <w:p>
      <w:pPr>
        <w:pStyle w:val="741"/>
        <w:spacing w:beforeAutospacing="0" w:afterAutospacing="0" w:line="360" w:lineRule="auto"/>
        <w:rPr>
          <w:rFonts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7.如word斜线错位，请以下方图片所示为准。</w:t>
      </w:r>
      <w:r/>
    </w:p>
    <w:p>
      <w:pPr>
        <w:jc w:val="left"/>
        <w:spacing w:line="360" w:lineRule="auto"/>
        <w:widowControl/>
        <w:rPr>
          <w:rFonts w:ascii="宋体" w:hAnsi="宋体" w:cs="宋体"/>
          <w:b/>
          <w:bCs/>
          <w:color w:val="auto"/>
          <w:szCs w:val="21"/>
          <w:highlight w:val="none"/>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14604" b="6350"/>
                <wp:docPr id="19"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E:\xwechat_files\luoboxiaowuzei_e771\temp\RWTemp\2026-03\c9f511a4c1d072259a887ee18cc5d0ba\322a02389c0a3bd68b9fafd7fe73f7eb.png"/>
                        <pic:cNvPicPr>
                          <a:picLocks noChangeAspect="1"/>
                        </pic:cNvPicPr>
                        <pic:nvPr/>
                      </pic:nvPicPr>
                      <pic:blipFill>
                        <a:blip r:embed="rId14"/>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3pt;height:451.0pt;mso-wrap-distance-left:0.0pt;mso-wrap-distance-top:0.0pt;mso-wrap-distance-right:0.0pt;mso-wrap-distance-bottom:0.0pt;" stroked="f">
                <v:path textboxrect="0,0,0,0"/>
                <v:imagedata r:id="rId14" o:title=""/>
              </v:shape>
            </w:pict>
          </mc:Fallback>
        </mc:AlternateContent>
      </w:r>
      <w:r/>
    </w:p>
    <w:p>
      <w:pPr>
        <w:jc w:val="left"/>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color w:val="auto"/>
          <w:sz w:val="32"/>
          <w:highlight w:val="none"/>
        </w:rPr>
      </w:pPr>
      <w:r>
        <w:rPr>
          <w:rFonts w:hint="eastAsia" w:ascii="宋体" w:hAnsi="宋体" w:cs="宋体"/>
          <w:b/>
          <w:color w:val="auto"/>
          <w:sz w:val="32"/>
          <w:szCs w:val="32"/>
          <w:highlight w:val="none"/>
        </w:rPr>
        <w:br w:type="page" w:clear="all"/>
      </w:r>
      <w:bookmarkStart w:id="84" w:name="_Toc25382"/>
      <w:r/>
      <w:bookmarkStart w:id="85" w:name="_Toc19910"/>
      <w:r>
        <w:rPr>
          <w:rFonts w:hint="eastAsia" w:ascii="宋体" w:hAnsi="宋体" w:cs="宋体"/>
          <w:b/>
          <w:bCs/>
          <w:color w:val="auto"/>
          <w:sz w:val="32"/>
          <w:szCs w:val="44"/>
          <w:highlight w:val="none"/>
        </w:rPr>
        <w:t xml:space="preserve">四、开标一览表</w:t>
      </w:r>
      <w:bookmarkEnd w:id="84"/>
      <w:r/>
      <w:bookmarkEnd w:id="85"/>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分包号（如有）： </w:t>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tbl>
      <w:tblPr>
        <w:tblStyle w:val="71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94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3604"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投标总报价</w:t>
            </w:r>
            <w:r/>
          </w:p>
        </w:tc>
      </w:tr>
      <w:tr>
        <w:trPr>
          <w:cantSplit/>
          <w:trHeight w:val="1697"/>
        </w:trPr>
        <w:tc>
          <w:tcPr>
            <w:tcW w:w="1395" w:type="pct"/>
            <w:vAlign w:val="center"/>
            <w:textDirection w:val="lrTb"/>
            <w:noWrap w:val="false"/>
          </w:tcPr>
          <w:p>
            <w:pPr>
              <w:pStyle w:val="949"/>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604" w:type="pct"/>
            <w:vAlign w:val="center"/>
            <w:textDirection w:val="lrTb"/>
            <w:noWrap w:val="false"/>
          </w:tcPr>
          <w:p>
            <w:pPr>
              <w:pStyle w:val="981"/>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81"/>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981"/>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r>
        <w:trPr>
          <w:cantSplit/>
          <w:trHeight w:val="1697"/>
        </w:trPr>
        <w:tc>
          <w:tcPr>
            <w:tcW w:w="1395" w:type="pct"/>
            <w:vAlign w:val="center"/>
            <w:textDirection w:val="lrTb"/>
            <w:noWrap w:val="false"/>
          </w:tcPr>
          <w:p>
            <w:pPr>
              <w:pStyle w:val="949"/>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核心产品品牌</w:t>
            </w:r>
            <w:r/>
          </w:p>
        </w:tc>
        <w:tc>
          <w:tcPr>
            <w:tcW w:w="3604" w:type="pct"/>
            <w:vAlign w:val="center"/>
            <w:textDirection w:val="lrTb"/>
            <w:noWrap w:val="false"/>
          </w:tcPr>
          <w:p>
            <w:pPr>
              <w:pStyle w:val="981"/>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ascii="宋体" w:hAnsi="宋体" w:cs="宋体"/>
          <w:color w:val="auto"/>
          <w:sz w:val="32"/>
          <w:szCs w:val="32"/>
          <w:highlight w:val="none"/>
        </w:rPr>
      </w:pPr>
      <w:r>
        <w:rPr>
          <w:rFonts w:hint="eastAsia" w:ascii="宋体" w:hAnsi="宋体" w:cs="宋体"/>
          <w:color w:val="auto"/>
          <w:szCs w:val="21"/>
          <w:highlight w:val="none"/>
        </w:rPr>
        <w:t xml:space="preserve">                                          </w:t>
      </w:r>
      <w:r/>
    </w:p>
    <w:p>
      <w:pPr>
        <w:pStyle w:val="946"/>
        <w:ind w:firstLine="64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pStyle w:val="946"/>
        <w:ind w:firstLine="64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szCs w:val="32"/>
          <w:highlight w:val="none"/>
        </w:rPr>
        <w:br w:type="page" w:clear="all"/>
      </w:r>
      <w:bookmarkStart w:id="86" w:name="_Toc20323"/>
      <w:r/>
      <w:bookmarkStart w:id="87" w:name="_Toc17891"/>
      <w:r>
        <w:rPr>
          <w:rFonts w:hint="eastAsia" w:ascii="宋体" w:hAnsi="宋体" w:cs="宋体"/>
          <w:b/>
          <w:bCs/>
          <w:color w:val="auto"/>
          <w:sz w:val="32"/>
          <w:szCs w:val="44"/>
          <w:highlight w:val="none"/>
        </w:rPr>
        <w:t xml:space="preserve">五、</w:t>
      </w:r>
      <w:bookmarkEnd w:id="86"/>
      <w:r/>
      <w:bookmarkEnd w:id="87"/>
      <w:r>
        <w:rPr>
          <w:rFonts w:hint="eastAsia" w:ascii="宋体" w:hAnsi="宋体" w:cs="宋体"/>
          <w:b/>
          <w:bCs/>
          <w:color w:val="auto"/>
          <w:sz w:val="32"/>
          <w:szCs w:val="44"/>
          <w:highlight w:val="none"/>
        </w:rPr>
        <w:t xml:space="preserve">投标产品配置及分项报价表</w:t>
      </w:r>
      <w:r/>
    </w:p>
    <w:tbl>
      <w:tblPr>
        <w:tblStyle w:val="715"/>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72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72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93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98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1106"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5</w:t>
            </w:r>
            <w:r/>
          </w:p>
        </w:tc>
        <w:tc>
          <w:tcPr>
            <w:tcW w:w="138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c>
          <w:tcPr>
            <w:tcW w:w="92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7</w:t>
            </w:r>
            <w:r/>
          </w:p>
        </w:tc>
        <w:tc>
          <w:tcPr>
            <w:tcW w:w="100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8</w:t>
            </w:r>
            <w:r/>
          </w:p>
        </w:tc>
        <w:tc>
          <w:tcPr>
            <w:tcW w:w="96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9</w:t>
            </w:r>
            <w:r/>
          </w:p>
        </w:tc>
      </w:tr>
      <w:tr>
        <w:trPr>
          <w:cantSplit/>
          <w:trHeight w:val="294"/>
        </w:trPr>
        <w:tc>
          <w:tcPr>
            <w:tcW w:w="50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72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产品</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名称</w:t>
            </w:r>
            <w:r/>
          </w:p>
        </w:tc>
        <w:tc>
          <w:tcPr>
            <w:tcW w:w="72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品牌</w:t>
            </w:r>
            <w:r/>
          </w:p>
        </w:tc>
        <w:tc>
          <w:tcPr>
            <w:tcW w:w="93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规格</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型号</w:t>
            </w:r>
            <w:r/>
          </w:p>
        </w:tc>
        <w:tc>
          <w:tcPr>
            <w:tcW w:w="98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制造商名称</w:t>
            </w:r>
            <w:r/>
          </w:p>
        </w:tc>
        <w:tc>
          <w:tcPr>
            <w:tcW w:w="110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产地</w:t>
            </w:r>
            <w:r/>
          </w:p>
        </w:tc>
        <w:tc>
          <w:tcPr>
            <w:tcW w:w="138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交付期</w:t>
            </w:r>
            <w:r/>
          </w:p>
        </w:tc>
        <w:tc>
          <w:tcPr>
            <w:tcW w:w="92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数量</w:t>
            </w:r>
            <w:r/>
          </w:p>
        </w:tc>
        <w:tc>
          <w:tcPr>
            <w:tcW w:w="100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分项</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单价</w:t>
            </w:r>
            <w:r/>
          </w:p>
        </w:tc>
        <w:tc>
          <w:tcPr>
            <w:tcW w:w="96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分项</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总价</w:t>
            </w:r>
            <w:r/>
          </w:p>
        </w:tc>
      </w:tr>
      <w:tr>
        <w:trPr>
          <w:cantSplit/>
          <w:trHeight w:val="696"/>
        </w:trPr>
        <w:tc>
          <w:tcPr>
            <w:tcW w:w="50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72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72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8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0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85" w:type="dxa"/>
            <w:vAlign w:val="center"/>
            <w:textDirection w:val="lrTb"/>
            <w:noWrap w:val="false"/>
          </w:tcPr>
          <w:p>
            <w:pPr>
              <w:jc w:val="center"/>
              <w:spacing w:line="360" w:lineRule="auto"/>
              <w:rPr>
                <w:rFonts w:ascii="宋体" w:hAnsi="宋体"/>
                <w:color w:val="auto"/>
                <w:szCs w:val="21"/>
                <w:highlight w:val="none"/>
                <w:u w:val="single"/>
              </w:rPr>
            </w:pPr>
            <w:r>
              <w:rPr>
                <w:rFonts w:hint="eastAsia" w:ascii="宋体" w:hAnsi="宋体"/>
                <w:color w:val="auto"/>
                <w:szCs w:val="21"/>
                <w:highlight w:val="none"/>
              </w:rPr>
              <w:t xml:space="preserve">合同签订后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tc>
        <w:tc>
          <w:tcPr>
            <w:tcW w:w="92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00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66"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24"/>
        </w:trPr>
        <w:tc>
          <w:tcPr>
            <w:tcW w:w="50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72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72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8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0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8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2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00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66"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50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72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72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8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0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8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2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00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66"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80"/>
        </w:trPr>
        <w:tc>
          <w:tcPr>
            <w:tcW w:w="5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w:t>
            </w:r>
            <w:r/>
          </w:p>
        </w:tc>
        <w:tc>
          <w:tcPr>
            <w:tcW w:w="72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w:t>
            </w:r>
            <w:r/>
          </w:p>
        </w:tc>
        <w:tc>
          <w:tcPr>
            <w:tcW w:w="72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8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0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8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2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00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66"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434"/>
        </w:trPr>
        <w:tc>
          <w:tcPr>
            <w:gridSpan w:val="10"/>
            <w:tcW w:w="9263" w:type="dxa"/>
            <w:textDirection w:val="lrTb"/>
            <w:noWrap w:val="false"/>
          </w:tcPr>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投标总报价（人民币：元）</w:t>
            </w:r>
            <w:r>
              <w:rPr>
                <w:rFonts w:hint="eastAsia" w:ascii="宋体" w:hAnsi="宋体"/>
                <w:color w:val="auto"/>
                <w:szCs w:val="21"/>
                <w:highlight w:val="none"/>
                <w:u w:val="single"/>
              </w:rPr>
              <w:t xml:space="preserve">                             </w:t>
            </w:r>
            <w:r/>
          </w:p>
        </w:tc>
      </w:tr>
      <w:tr>
        <w:trPr>
          <w:cantSplit/>
          <w:trHeight w:val="434"/>
        </w:trPr>
        <w:tc>
          <w:tcPr>
            <w:gridSpan w:val="10"/>
            <w:tcW w:w="9263" w:type="dxa"/>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本采购包中提供的符合本国产品标准的产品成本之和占该采购包提供的全部产品成本之和的比例为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供应商名称（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日期：  年  月  日</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p>
      <w:pPr>
        <w:numPr>
          <w:ilvl w:val="0"/>
          <w:numId w:val="4"/>
        </w:numPr>
        <w:spacing w:line="360" w:lineRule="auto"/>
        <w:rPr>
          <w:rFonts w:ascii="宋体" w:hAnsi="宋体"/>
          <w:color w:val="auto"/>
          <w:szCs w:val="21"/>
          <w:highlight w:val="none"/>
        </w:rPr>
      </w:pPr>
      <w:r>
        <w:rPr>
          <w:rFonts w:hint="eastAsia" w:ascii="宋体" w:hAnsi="宋体"/>
          <w:color w:val="auto"/>
          <w:szCs w:val="21"/>
          <w:highlight w:val="none"/>
        </w:rPr>
        <w:t xml:space="preserve">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pPr>
        <w:spacing w:line="360" w:lineRule="auto"/>
        <w:rPr>
          <w:rFonts w:ascii="宋体" w:hAnsi="宋体"/>
          <w:color w:val="auto"/>
          <w:szCs w:val="21"/>
          <w:highlight w:val="none"/>
        </w:rPr>
      </w:pPr>
      <w:r>
        <w:rPr>
          <w:rFonts w:hint="eastAsia" w:ascii="宋体" w:hAnsi="宋体"/>
          <w:color w:val="auto"/>
          <w:szCs w:val="21"/>
          <w:highlight w:val="none"/>
        </w:rPr>
        <w:t xml:space="preserve">2.“投标分项报价表”中“投标总报价”数额应当与“开标一览表”中“投标总报价”数额一致。</w:t>
      </w:r>
      <w:r/>
    </w:p>
    <w:p>
      <w:pPr>
        <w:spacing w:line="360" w:lineRule="auto"/>
        <w:rPr>
          <w:rFonts w:ascii="宋体" w:hAnsi="宋体"/>
          <w:color w:val="auto"/>
          <w:szCs w:val="21"/>
          <w:highlight w:val="none"/>
        </w:rPr>
      </w:pPr>
      <w:r>
        <w:rPr>
          <w:rFonts w:hint="eastAsia" w:ascii="宋体" w:hAnsi="宋体"/>
          <w:color w:val="auto"/>
          <w:szCs w:val="21"/>
          <w:highlight w:val="none"/>
        </w:rPr>
        <w:t xml:space="preserve">3.投标人需认真填写本报价表，尤其注意规格型号的准确填写。</w:t>
      </w:r>
      <w:r/>
    </w:p>
    <w:p>
      <w:pPr>
        <w:spacing w:line="360" w:lineRule="auto"/>
        <w:rPr>
          <w:rFonts w:ascii="方正魏碑_GBK" w:hAnsi="方正魏碑_GBK" w:eastAsia="方正魏碑_GBK" w:cs="方正魏碑_GBK"/>
          <w:color w:val="auto"/>
          <w:szCs w:val="21"/>
          <w:highlight w:val="none"/>
        </w:rPr>
      </w:pPr>
      <w:r>
        <w:rPr>
          <w:rFonts w:hint="eastAsia" w:ascii="宋体" w:hAnsi="宋体"/>
          <w:color w:val="auto"/>
          <w:szCs w:val="21"/>
          <w:highlight w:val="none"/>
        </w:rPr>
        <w:t xml:space="preserve">4.项目经办人可以根据项目实际需要对表格结构进行调整</w:t>
      </w:r>
      <w:r>
        <w:rPr>
          <w:rFonts w:hint="eastAsia" w:ascii="方正魏碑_GBK" w:hAnsi="方正魏碑_GBK" w:eastAsia="方正魏碑_GBK" w:cs="方正魏碑_GBK"/>
          <w:color w:val="auto"/>
          <w:szCs w:val="21"/>
          <w:highlight w:val="none"/>
        </w:rPr>
        <w:t xml:space="preserve">。</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br w:type="page" w:clear="all"/>
      </w:r>
      <w:r/>
    </w:p>
    <w:p>
      <w:pPr>
        <w:pStyle w:val="940"/>
        <w:spacing w:line="360" w:lineRule="auto"/>
        <w:rPr>
          <w:rFonts w:ascii="宋体" w:hAnsi="宋体" w:eastAsia="宋体" w:cs="宋体"/>
          <w:color w:val="auto"/>
          <w:sz w:val="32"/>
          <w:highlight w:val="none"/>
        </w:rPr>
      </w:pPr>
      <w:r/>
      <w:bookmarkStart w:id="88" w:name="_Toc32755"/>
      <w:r/>
      <w:bookmarkStart w:id="89" w:name="_Toc16517"/>
      <w:r/>
      <w:bookmarkStart w:id="90" w:name="_Toc5967"/>
      <w:r/>
      <w:bookmarkStart w:id="91" w:name="_Toc9678"/>
      <w:r/>
      <w:bookmarkStart w:id="92" w:name="_Toc17996"/>
      <w:r>
        <w:rPr>
          <w:rFonts w:hint="eastAsia" w:ascii="宋体" w:hAnsi="宋体" w:eastAsia="宋体" w:cs="宋体"/>
          <w:color w:val="auto"/>
          <w:sz w:val="32"/>
          <w:highlight w:val="none"/>
        </w:rPr>
        <w:t xml:space="preserve">六、技术参数响应及偏离表</w:t>
      </w:r>
      <w:bookmarkEnd w:id="88"/>
      <w:r/>
      <w:bookmarkEnd w:id="89"/>
      <w:r/>
      <w:bookmarkEnd w:id="90"/>
      <w:r/>
      <w:bookmarkEnd w:id="91"/>
      <w:r/>
      <w:bookmarkEnd w:id="92"/>
      <w:r/>
      <w:r/>
    </w:p>
    <w:tbl>
      <w:tblPr>
        <w:tblStyle w:val="715"/>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70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10"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70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10"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70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10"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70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10"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70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10"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270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10"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1.投标人需对技术要求（以及未加斜体下划线的非实质性要求）逐条做出明确响应。</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2.如果招标文件要求提供证明材料，投标人需将证明材料列于该表之下。</w:t>
      </w:r>
      <w:r/>
    </w:p>
    <w:p>
      <w:pPr>
        <w:pStyle w:val="789"/>
        <w:spacing w:line="360" w:lineRule="auto"/>
        <w:rPr>
          <w:rFonts w:eastAsia="宋体"/>
          <w:color w:val="auto"/>
          <w:sz w:val="21"/>
          <w:szCs w:val="21"/>
          <w:highlight w:val="none"/>
        </w:rPr>
      </w:pPr>
      <w:r>
        <w:rPr>
          <w:rFonts w:hint="eastAsia" w:ascii="宋体" w:hAnsi="宋体" w:eastAsia="宋体" w:cs="宋体"/>
          <w:color w:val="auto"/>
          <w:sz w:val="21"/>
          <w:szCs w:val="21"/>
          <w:highlight w:val="none"/>
        </w:rPr>
        <w:t xml:space="preserve">3.行数不够，可自行添加。</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color w:val="auto"/>
          <w:sz w:val="32"/>
          <w:highlight w:val="none"/>
        </w:rPr>
      </w:pPr>
      <w:r>
        <w:rPr>
          <w:rFonts w:ascii="宋体" w:hAnsi="宋体" w:cs="宋体"/>
          <w:color w:val="auto"/>
          <w:sz w:val="32"/>
          <w:highlight w:val="none"/>
        </w:rPr>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br w:type="page" w:clear="all"/>
      </w:r>
      <w:bookmarkStart w:id="93" w:name="_Hlt26955054"/>
      <w:r/>
      <w:bookmarkEnd w:id="93"/>
      <w:r/>
      <w:bookmarkStart w:id="94" w:name="_Toc16820"/>
      <w:r/>
      <w:bookmarkStart w:id="95" w:name="_Toc32154"/>
      <w:r>
        <w:rPr>
          <w:rFonts w:hint="eastAsia" w:ascii="宋体" w:hAnsi="宋体" w:cs="宋体"/>
          <w:b/>
          <w:bCs/>
          <w:color w:val="auto"/>
          <w:sz w:val="32"/>
          <w:szCs w:val="44"/>
          <w:highlight w:val="none"/>
        </w:rPr>
        <w:t xml:space="preserve">七、商务条款响应及偏离表</w:t>
      </w:r>
      <w:bookmarkEnd w:id="94"/>
      <w:r/>
      <w:bookmarkEnd w:id="95"/>
      <w:r/>
      <w:r/>
    </w:p>
    <w:tbl>
      <w:tblPr>
        <w:tblStyle w:val="715"/>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jc w:val="center"/>
              <w:spacing w:before="156" w:line="360" w:lineRule="auto"/>
              <w:rPr>
                <w:rFonts w:ascii="宋体" w:hAnsi="宋体" w:cs="宋体"/>
                <w:color w:val="auto"/>
                <w:szCs w:val="21"/>
                <w:highlight w:val="none"/>
              </w:rPr>
            </w:pPr>
            <w:r/>
            <w:bookmarkStart w:id="96" w:name="_Hlt26671372"/>
            <w:r/>
            <w:bookmarkEnd w:id="96"/>
            <w:r/>
            <w:bookmarkStart w:id="97" w:name="_Hlt26955064"/>
            <w:r/>
            <w:bookmarkEnd w:id="97"/>
            <w:r/>
            <w:bookmarkStart w:id="98" w:name="_Hlt26671343"/>
            <w:r/>
            <w:bookmarkEnd w:id="98"/>
            <w:r/>
            <w:bookmarkStart w:id="99" w:name="_Hlt26955056"/>
            <w:r/>
            <w:bookmarkEnd w:id="99"/>
            <w:r/>
            <w:bookmarkStart w:id="100" w:name="_Hlt26609391"/>
            <w:r/>
            <w:bookmarkEnd w:id="100"/>
            <w:r/>
            <w:bookmarkStart w:id="101" w:name="_Hlt26580838"/>
            <w:r/>
            <w:bookmarkEnd w:id="101"/>
            <w:r/>
            <w:bookmarkStart w:id="102" w:name="_Hlt26782999"/>
            <w:r/>
            <w:bookmarkEnd w:id="102"/>
            <w:r/>
            <w:bookmarkStart w:id="103" w:name="_Hlt24879081"/>
            <w:r/>
            <w:bookmarkEnd w:id="103"/>
            <w:r>
              <w:rPr>
                <w:rFonts w:hint="eastAsia" w:ascii="宋体" w:hAnsi="宋体" w:cs="宋体"/>
                <w:color w:val="auto"/>
                <w:szCs w:val="21"/>
                <w:highlight w:val="none"/>
              </w:rPr>
              <w:t xml:space="preserve">项目</w:t>
            </w:r>
            <w:r/>
          </w:p>
        </w:tc>
        <w:tc>
          <w:tcPr>
            <w:tcW w:w="2122"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1800"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61"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投标人的承诺或说明</w:t>
            </w:r>
            <w:r/>
          </w:p>
        </w:tc>
      </w:tr>
      <w:tr>
        <w:trPr>
          <w:trHeight w:val="624"/>
        </w:trPr>
        <w:tc>
          <w:tcPr>
            <w:tcW w:w="1935"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质保期</w:t>
            </w:r>
            <w:r/>
          </w:p>
        </w:tc>
        <w:tc>
          <w:tcPr>
            <w:tcW w:w="2122"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W w:w="1800"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W w:w="2561"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r>
        <w:trPr>
          <w:trHeight w:val="950"/>
        </w:trPr>
        <w:tc>
          <w:tcPr>
            <w:tcW w:w="1935"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售后技术服务要求</w:t>
            </w:r>
            <w:r/>
          </w:p>
        </w:tc>
        <w:tc>
          <w:tcPr>
            <w:tcW w:w="2122"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W w:w="1800"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W w:w="2561"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17"/>
        </w:trPr>
        <w:tc>
          <w:tcPr>
            <w:tcW w:w="1935"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交付时间</w:t>
            </w:r>
            <w:r/>
          </w:p>
        </w:tc>
        <w:tc>
          <w:tcPr>
            <w:tcW w:w="2122"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W w:w="1800"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W w:w="2561"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86"/>
        </w:trPr>
        <w:tc>
          <w:tcPr>
            <w:tcW w:w="1935"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交货方式</w:t>
            </w:r>
            <w:r/>
          </w:p>
        </w:tc>
        <w:tc>
          <w:tcPr>
            <w:tcW w:w="2122" w:type="dxa"/>
            <w:textDirection w:val="lrTb"/>
            <w:noWrap w:val="false"/>
          </w:tcPr>
          <w:p>
            <w:pP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W w:w="1800"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W w:w="2561"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r>
        <w:trPr>
          <w:trHeight w:val="613"/>
        </w:trPr>
        <w:tc>
          <w:tcPr>
            <w:tcW w:w="1935"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交货地点</w:t>
            </w:r>
            <w:r/>
          </w:p>
        </w:tc>
        <w:tc>
          <w:tcPr>
            <w:tcW w:w="2122" w:type="dxa"/>
            <w:textDirection w:val="lrTb"/>
            <w:noWrap w:val="false"/>
          </w:tcPr>
          <w:p>
            <w:pP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W w:w="1800"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W w:w="2561"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84"/>
        </w:trPr>
        <w:tc>
          <w:tcPr>
            <w:tcW w:w="1935"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122" w:type="dxa"/>
            <w:textDirection w:val="lrTb"/>
            <w:noWrap w:val="false"/>
          </w:tcPr>
          <w:p>
            <w:pP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W w:w="1800"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W w:w="2561"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84"/>
        </w:trPr>
        <w:tc>
          <w:tcPr>
            <w:tcW w:w="1935"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W w:w="2122" w:type="dxa"/>
            <w:textDirection w:val="lrTb"/>
            <w:noWrap w:val="false"/>
          </w:tcPr>
          <w:p>
            <w:pP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800"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W w:w="2561"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olor w:val="auto"/>
          <w:szCs w:val="21"/>
          <w:highlight w:val="none"/>
        </w:rPr>
        <w:t xml:space="preserve">备注</w:t>
      </w:r>
      <w:r>
        <w:rPr>
          <w:rFonts w:ascii="宋体" w:hAnsi="宋体"/>
          <w:color w:val="auto"/>
          <w:szCs w:val="21"/>
          <w:highlight w:val="none"/>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1.投标人需对商务要求（未加斜体下划线的非实质性要求）逐条做出明确响应。</w:t>
      </w:r>
      <w:r/>
    </w:p>
    <w:p>
      <w:pPr>
        <w:spacing w:line="360" w:lineRule="auto"/>
        <w:rPr>
          <w:rFonts w:ascii="宋体" w:hAnsi="宋体"/>
          <w:color w:val="auto"/>
          <w:szCs w:val="21"/>
          <w:highlight w:val="none"/>
        </w:rPr>
      </w:pPr>
      <w:r>
        <w:rPr>
          <w:rFonts w:hint="eastAsia" w:ascii="宋体" w:hAnsi="宋体"/>
          <w:color w:val="auto"/>
          <w:szCs w:val="21"/>
          <w:highlight w:val="none"/>
        </w:rPr>
        <w:t xml:space="preserve">2.如果招标文件要求提供证明材料，投标人需将证明材料列于该表之下。</w:t>
      </w:r>
      <w:r/>
    </w:p>
    <w:p>
      <w:pPr>
        <w:spacing w:line="360" w:lineRule="auto"/>
        <w:rPr>
          <w:rFonts w:ascii="宋体" w:hAnsi="宋体"/>
          <w:color w:val="auto"/>
          <w:szCs w:val="21"/>
          <w:highlight w:val="none"/>
        </w:rPr>
      </w:pPr>
      <w:r>
        <w:rPr>
          <w:rFonts w:hint="eastAsia" w:ascii="宋体" w:hAnsi="宋体"/>
          <w:color w:val="auto"/>
          <w:szCs w:val="21"/>
          <w:highlight w:val="none"/>
        </w:rPr>
        <w:t xml:space="preserve">3.行数不够，可自行添加。</w:t>
      </w:r>
      <w:r/>
    </w:p>
    <w:p>
      <w:pPr>
        <w:pStyle w:val="946"/>
        <w:ind w:firstLine="480"/>
        <w:spacing w:line="360" w:lineRule="auto"/>
        <w:rPr>
          <w:rFonts w:ascii="宋体" w:hAnsi="宋体" w:cs="宋体"/>
          <w:color w:val="auto"/>
          <w:sz w:val="24"/>
          <w:highlight w:val="none"/>
        </w:rPr>
      </w:pPr>
      <w:r/>
      <w:bookmarkStart w:id="104" w:name="_Hlt26955066"/>
      <w:r/>
      <w:bookmarkEnd w:id="104"/>
      <w:r/>
      <w:bookmarkStart w:id="105" w:name="_Hlt26609389"/>
      <w:r/>
      <w:bookmarkEnd w:id="105"/>
      <w:r/>
      <w:bookmarkStart w:id="106" w:name="_Hlt26671374"/>
      <w:r/>
      <w:bookmarkEnd w:id="106"/>
      <w:r/>
      <w:bookmarkStart w:id="107" w:name="_Toc462564146"/>
      <w:r/>
      <w:r/>
    </w:p>
    <w:p>
      <w:pPr>
        <w:pStyle w:val="946"/>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946"/>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946"/>
        <w:ind w:firstLine="480"/>
        <w:jc w:val="center"/>
        <w:spacing w:line="360" w:lineRule="auto"/>
        <w:rPr>
          <w:rFonts w:ascii="宋体" w:hAnsi="宋体" w:cs="宋体"/>
          <w:b/>
          <w:color w:val="auto"/>
          <w:highlight w:val="none"/>
        </w:rPr>
      </w:pPr>
      <w:r>
        <w:rPr>
          <w:rFonts w:hint="eastAsia" w:ascii="宋体" w:hAnsi="宋体" w:cs="宋体"/>
          <w:color w:val="auto"/>
          <w:sz w:val="24"/>
          <w:highlight w:val="none"/>
        </w:rPr>
        <w:br w:type="page" w:clear="all"/>
      </w:r>
      <w:bookmarkEnd w:id="107"/>
      <w:r/>
      <w:bookmarkStart w:id="108" w:name="_格式2__法定代表人授权书"/>
      <w:r/>
      <w:bookmarkEnd w:id="108"/>
      <w:r>
        <w:rPr>
          <w:rFonts w:hint="eastAsia" w:ascii="宋体" w:hAnsi="宋体" w:cs="宋体"/>
          <w:b/>
          <w:bCs/>
          <w:color w:val="auto"/>
          <w:sz w:val="32"/>
          <w:szCs w:val="44"/>
          <w:highlight w:val="none"/>
        </w:rPr>
        <w:t xml:space="preserve">主要标的信息（中标后将公示）</w:t>
      </w:r>
      <w:r/>
    </w:p>
    <w:p>
      <w:pPr>
        <w:spacing w:after="312" w:line="360" w:lineRule="auto"/>
        <w:rPr>
          <w:rFonts w:ascii="宋体" w:hAnsi="宋体" w:cs="宋体"/>
          <w:b/>
          <w:color w:val="auto"/>
          <w:highlight w:val="none"/>
        </w:rPr>
      </w:pPr>
      <w:r>
        <w:rPr>
          <w:rFonts w:hint="eastAsia" w:ascii="宋体" w:hAnsi="宋体" w:cs="宋体"/>
          <w:color w:val="auto"/>
          <w:highlight w:val="none"/>
        </w:rPr>
        <w:t xml:space="preserve">投标人全称：</w:t>
      </w:r>
      <w:r/>
    </w:p>
    <w:tbl>
      <w:tblPr>
        <w:tblStyle w:val="715"/>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hint="eastAsia" w:ascii="宋体" w:hAnsi="宋体" w:cs="宋体"/>
          <w:b/>
          <w:color w:val="auto"/>
          <w:highlight w:val="none"/>
        </w:rPr>
        <w:t xml:space="preserve">联合体协议（如有）</w:t>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（联合体中各供应商全称）在此达成以下协议：</w:t>
      </w:r>
      <w:r/>
    </w:p>
    <w:p>
      <w:pPr>
        <w:ind w:firstLine="645"/>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、我们</w:t>
      </w:r>
      <w:r>
        <w:rPr>
          <w:rFonts w:hint="eastAsia" w:ascii="宋体" w:hAnsi="宋体"/>
          <w:color w:val="auto"/>
          <w:szCs w:val="21"/>
          <w:highlight w:val="none"/>
          <w:u w:val="single"/>
        </w:rPr>
        <w:t xml:space="preserve"> （供应商1），（供应商2） ，</w:t>
      </w:r>
      <w:r>
        <w:rPr>
          <w:rFonts w:ascii="宋体" w:hAnsi="宋体"/>
          <w:color w:val="auto"/>
          <w:szCs w:val="21"/>
          <w:highlight w:val="none"/>
          <w:u w:val="single"/>
        </w:rPr>
        <w:t xml:space="preserve">……</w:t>
      </w:r>
      <w:r>
        <w:rPr>
          <w:rFonts w:hint="eastAsia" w:ascii="宋体" w:hAnsi="宋体"/>
          <w:color w:val="auto"/>
          <w:szCs w:val="21"/>
          <w:highlight w:val="none"/>
        </w:rPr>
        <w:t xml:space="preserve">自愿组成联合体，参加江苏苏维工程管理有限公司组织的采购编号为</w:t>
      </w:r>
      <w:r>
        <w:rPr>
          <w:rFonts w:hint="eastAsia" w:ascii="宋体" w:hAnsi="宋体"/>
          <w:color w:val="auto"/>
          <w:szCs w:val="21"/>
          <w:highlight w:val="none"/>
          <w:u w:val="single"/>
        </w:rPr>
        <w:t xml:space="preserve">（编号全称），（项目全称）</w:t>
      </w:r>
      <w:r>
        <w:rPr>
          <w:rFonts w:hint="eastAsia" w:ascii="宋体" w:hAnsi="宋体"/>
          <w:color w:val="auto"/>
          <w:szCs w:val="21"/>
          <w:highlight w:val="none"/>
        </w:rPr>
        <w:t xml:space="preserve">项目（采购包号：**）的政府采购活动，我联合体指定</w:t>
      </w:r>
      <w:r>
        <w:rPr>
          <w:rFonts w:hint="eastAsia" w:ascii="宋体" w:hAnsi="宋体"/>
          <w:color w:val="auto"/>
          <w:szCs w:val="21"/>
          <w:highlight w:val="none"/>
          <w:u w:val="single"/>
        </w:rPr>
        <w:t xml:space="preserve">（供应商*）</w:t>
      </w:r>
      <w:r>
        <w:rPr>
          <w:rFonts w:hint="eastAsia" w:ascii="宋体" w:hAnsi="宋体"/>
          <w:color w:val="auto"/>
          <w:szCs w:val="21"/>
          <w:highlight w:val="none"/>
        </w:rPr>
        <w:t xml:space="preserve">为牵头单位（牵头单位必须为联合体成员）。</w:t>
      </w:r>
      <w:r/>
    </w:p>
    <w:p>
      <w:pPr>
        <w:ind w:firstLine="645"/>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、若我们联合中标、成交，（供应商单位</w:t>
      </w:r>
      <w:r>
        <w:rPr>
          <w:rFonts w:ascii="宋体" w:hAnsi="宋体"/>
          <w:color w:val="auto"/>
          <w:szCs w:val="21"/>
          <w:highlight w:val="none"/>
        </w:rPr>
        <w:t xml:space="preserve">1</w:t>
      </w:r>
      <w:r>
        <w:rPr>
          <w:rFonts w:hint="eastAsia" w:ascii="宋体" w:hAnsi="宋体"/>
          <w:color w:val="auto"/>
          <w:szCs w:val="21"/>
          <w:highlight w:val="none"/>
        </w:rPr>
        <w:t xml:space="preserve">全称）实施项目中（工作内容）部分工作，并承担相应的责任。（供应商单位</w:t>
      </w:r>
      <w:r>
        <w:rPr>
          <w:rFonts w:ascii="宋体" w:hAnsi="宋体"/>
          <w:color w:val="auto"/>
          <w:szCs w:val="21"/>
          <w:highlight w:val="none"/>
        </w:rPr>
        <w:t xml:space="preserve">2</w:t>
      </w:r>
      <w:r>
        <w:rPr>
          <w:rFonts w:hint="eastAsia" w:ascii="宋体" w:hAnsi="宋体"/>
          <w:color w:val="auto"/>
          <w:szCs w:val="21"/>
          <w:highlight w:val="none"/>
        </w:rPr>
        <w:t xml:space="preserve">全称）实施项目中（工作内容）部分工作，并承担相应的责任……。（注：联合体中各供应商都应明示所承担的工作和相应的责任）。</w:t>
      </w:r>
      <w:r/>
    </w:p>
    <w:p>
      <w:pPr>
        <w:ind w:firstLine="645"/>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、其中</w:t>
      </w:r>
      <w:r>
        <w:rPr>
          <w:rFonts w:ascii="宋体" w:hAnsi="宋体"/>
          <w:color w:val="auto"/>
          <w:szCs w:val="21"/>
          <w:highlight w:val="none"/>
          <w:u w:val="single"/>
        </w:rPr>
        <w:t xml:space="preserve">      </w:t>
      </w:r>
      <w:r>
        <w:rPr>
          <w:rFonts w:hint="eastAsia" w:ascii="宋体" w:hAnsi="宋体"/>
          <w:color w:val="auto"/>
          <w:szCs w:val="21"/>
          <w:highlight w:val="none"/>
        </w:rPr>
        <w:t xml:space="preserve">（小型、微型企业/残疾人福利性单位/监狱企业全称）为</w:t>
      </w:r>
      <w:r>
        <w:rPr>
          <w:rFonts w:ascii="宋体" w:hAnsi="宋体"/>
          <w:color w:val="auto"/>
          <w:szCs w:val="21"/>
          <w:highlight w:val="none"/>
          <w:u w:val="single"/>
        </w:rPr>
        <w:t xml:space="preserve">    </w:t>
      </w:r>
      <w:r>
        <w:rPr>
          <w:rFonts w:hint="eastAsia" w:ascii="宋体" w:hAnsi="宋体"/>
          <w:color w:val="auto"/>
          <w:szCs w:val="21"/>
          <w:highlight w:val="none"/>
        </w:rPr>
        <w:t xml:space="preserve">（小型、微型企业/残疾人福利性单位/监狱企业）企业，且我们约定该公司/单位所承担的合同金额将占本项目合同总金额的</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w:t>
      </w:r>
      <w:r/>
    </w:p>
    <w:p>
      <w:pPr>
        <w:ind w:firstLine="645"/>
        <w:spacing w:line="360" w:lineRule="auto"/>
        <w:rPr>
          <w:rFonts w:ascii="宋体" w:hAnsi="宋体"/>
          <w:color w:val="auto"/>
          <w:szCs w:val="21"/>
          <w:highlight w:val="none"/>
        </w:rPr>
      </w:pPr>
      <w:r>
        <w:rPr>
          <w:rFonts w:ascii="宋体" w:hAnsi="宋体"/>
          <w:color w:val="auto"/>
          <w:szCs w:val="21"/>
          <w:highlight w:val="none"/>
        </w:rPr>
      </w:r>
      <w:r/>
    </w:p>
    <w:p>
      <w:pPr>
        <w:ind w:firstLine="645"/>
        <w:spacing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                       </w:t>
      </w:r>
      <w:r/>
    </w:p>
    <w:p>
      <w:pPr>
        <w:ind w:firstLine="646"/>
        <w:jc w:val="center"/>
        <w:spacing w:line="360" w:lineRule="auto"/>
        <w:rPr>
          <w:rFonts w:ascii="宋体" w:hAnsi="宋体"/>
          <w:color w:val="auto"/>
          <w:szCs w:val="21"/>
          <w:highlight w:val="none"/>
        </w:rPr>
      </w:pPr>
      <w:r>
        <w:rPr>
          <w:rFonts w:hint="eastAsia" w:ascii="宋体" w:hAnsi="宋体"/>
          <w:color w:val="auto"/>
          <w:szCs w:val="21"/>
          <w:highlight w:val="none"/>
        </w:rPr>
        <w:t xml:space="preserve">                         联合体中各供应商全称（公章）：</w:t>
      </w:r>
      <w:r>
        <w:rPr>
          <w:rFonts w:ascii="宋体" w:hAnsi="宋体"/>
          <w:color w:val="auto"/>
          <w:szCs w:val="21"/>
          <w:highlight w:val="none"/>
        </w:rPr>
        <w:t xml:space="preserve">     </w:t>
      </w:r>
      <w:r/>
    </w:p>
    <w:p>
      <w:pPr>
        <w:ind w:firstLine="646"/>
        <w:spacing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               日期：</w:t>
      </w:r>
      <w:r/>
    </w:p>
    <w:p>
      <w:pPr>
        <w:ind w:firstLine="645"/>
        <w:spacing w:line="360" w:lineRule="auto"/>
        <w:rPr>
          <w:rFonts w:ascii="宋体" w:hAnsi="宋体"/>
          <w:color w:val="auto"/>
          <w:szCs w:val="21"/>
          <w:highlight w:val="none"/>
        </w:rPr>
      </w:pPr>
      <w:r>
        <w:rPr>
          <w:rFonts w:ascii="宋体" w:hAnsi="宋体"/>
          <w:color w:val="auto"/>
          <w:szCs w:val="21"/>
          <w:highlight w:val="none"/>
        </w:rPr>
      </w:r>
      <w:r/>
    </w:p>
    <w:p>
      <w:pPr>
        <w:ind w:firstLine="645"/>
        <w:spacing w:line="360" w:lineRule="auto"/>
        <w:rPr>
          <w:rFonts w:ascii="宋体" w:hAnsi="宋体"/>
          <w:color w:val="auto"/>
          <w:szCs w:val="21"/>
          <w:highlight w:val="none"/>
        </w:rPr>
      </w:pPr>
      <w:r>
        <w:rPr>
          <w:rFonts w:ascii="宋体" w:hAnsi="宋体"/>
          <w:color w:val="auto"/>
          <w:szCs w:val="21"/>
          <w:highlight w:val="none"/>
        </w:rPr>
      </w:r>
      <w:r/>
    </w:p>
    <w:p>
      <w:pPr>
        <w:ind w:firstLine="645"/>
        <w:spacing w:line="360" w:lineRule="auto"/>
        <w:rPr>
          <w:rFonts w:ascii="宋体" w:hAnsi="宋体"/>
          <w:color w:val="auto"/>
          <w:szCs w:val="21"/>
          <w:highlight w:val="none"/>
        </w:rPr>
      </w:pPr>
      <w:r>
        <w:rPr>
          <w:rFonts w:hint="eastAsia" w:ascii="宋体" w:hAnsi="宋体"/>
          <w:color w:val="auto"/>
          <w:szCs w:val="21"/>
          <w:highlight w:val="none"/>
        </w:rPr>
        <w:t xml:space="preserve">备注：本招标文件中要求加盖CA电子签章的地方，仅需加盖牵头单位的CA电子签章。</w:t>
      </w:r>
      <w:r/>
    </w:p>
    <w:p>
      <w:pPr>
        <w:ind w:firstLine="4620"/>
        <w:spacing w:line="360" w:lineRule="auto"/>
        <w:rPr>
          <w:rFonts w:ascii="宋体" w:hAnsi="宋体" w:cs="宋体"/>
          <w:color w:val="auto"/>
          <w:highlight w:val="none"/>
        </w:rPr>
      </w:pPr>
      <w:r>
        <w:rPr>
          <w:rFonts w:ascii="宋体" w:hAnsi="宋体" w:cs="宋体"/>
          <w:color w:val="auto"/>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PingFang SC">
    <w:panose1 w:val="020B0503020202020204"/>
  </w:font>
  <w:font w:name="Courier New">
    <w:panose1 w:val="02070309020205020404"/>
  </w:font>
  <w:font w:name="仿宋">
    <w:panose1 w:val="02010609060101010101"/>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31"/>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1"/>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p>
    <w:pPr>
      <w:pStyle w:val="9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pPr>
    <w:r>
      <w:rPr>
        <w:rFonts w:hint="eastAsia"/>
        <w:lang w:eastAsia="zh-CN"/>
      </w:rPr>
      <w:t xml:space="preserve">JSZC-321000-SWGC-G2026-0055号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pPr>
    <w:r>
      <w:rPr>
        <w:rFonts w:hint="eastAsia"/>
        <w:lang w:eastAsia="zh-CN"/>
      </w:rPr>
      <w:t xml:space="preserve">JSZC-321000-SWGC-G2026-0055号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4"/>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TOC Heading"/>
    <w:uiPriority w:val="39"/>
    <w:unhideWhenUsed/>
  </w:style>
  <w:style w:type="paragraph" w:styleId="70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05">
    <w:name w:val="Heading 1"/>
    <w:basedOn w:val="704"/>
    <w:next w:val="704"/>
    <w:link w:val="791"/>
    <w:uiPriority w:val="9"/>
    <w:qFormat/>
    <w:pPr>
      <w:jc w:val="center"/>
      <w:keepLines/>
      <w:keepNext/>
      <w:spacing w:line="360" w:lineRule="auto"/>
      <w:outlineLvl w:val="0"/>
    </w:pPr>
    <w:rPr>
      <w:rFonts w:ascii="Arial" w:hAnsi="Arial" w:cs="Arial"/>
      <w:b/>
      <w:sz w:val="30"/>
      <w:szCs w:val="40"/>
    </w:rPr>
  </w:style>
  <w:style w:type="paragraph" w:styleId="706">
    <w:name w:val="Heading 2"/>
    <w:basedOn w:val="704"/>
    <w:next w:val="704"/>
    <w:link w:val="792"/>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93"/>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94"/>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95"/>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96"/>
    <w:uiPriority w:val="9"/>
    <w:unhideWhenUsed/>
    <w:qFormat/>
    <w:pPr>
      <w:keepLines/>
      <w:keepNext/>
      <w:spacing w:before="320" w:after="200"/>
      <w:outlineLvl w:val="5"/>
    </w:pPr>
    <w:rPr>
      <w:rFonts w:ascii="Arial" w:hAnsi="Arial" w:eastAsia="Arial" w:cs="Arial"/>
      <w:b/>
      <w:bCs/>
      <w:sz w:val="22"/>
    </w:rPr>
  </w:style>
  <w:style w:type="paragraph" w:styleId="711">
    <w:name w:val="Heading 7"/>
    <w:basedOn w:val="704"/>
    <w:next w:val="704"/>
    <w:link w:val="797"/>
    <w:uiPriority w:val="9"/>
    <w:unhideWhenUsed/>
    <w:qFormat/>
    <w:pPr>
      <w:keepLines/>
      <w:keepNext/>
      <w:spacing w:before="320" w:after="200"/>
      <w:outlineLvl w:val="6"/>
    </w:pPr>
    <w:rPr>
      <w:rFonts w:ascii="Arial" w:hAnsi="Arial" w:eastAsia="Arial" w:cs="Arial"/>
      <w:b/>
      <w:bCs/>
      <w:i/>
      <w:iCs/>
      <w:sz w:val="22"/>
    </w:rPr>
  </w:style>
  <w:style w:type="paragraph" w:styleId="712">
    <w:name w:val="Heading 8"/>
    <w:basedOn w:val="704"/>
    <w:next w:val="704"/>
    <w:link w:val="798"/>
    <w:uiPriority w:val="9"/>
    <w:unhideWhenUsed/>
    <w:qFormat/>
    <w:pPr>
      <w:keepLines/>
      <w:keepNext/>
      <w:spacing w:before="320" w:after="200"/>
      <w:outlineLvl w:val="7"/>
    </w:pPr>
    <w:rPr>
      <w:rFonts w:ascii="Arial" w:hAnsi="Arial" w:eastAsia="Arial" w:cs="Arial"/>
      <w:i/>
      <w:iCs/>
      <w:sz w:val="22"/>
    </w:rPr>
  </w:style>
  <w:style w:type="paragraph" w:styleId="713">
    <w:name w:val="Heading 9"/>
    <w:basedOn w:val="704"/>
    <w:next w:val="704"/>
    <w:link w:val="799"/>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spacing w:after="57"/>
    </w:pPr>
  </w:style>
  <w:style w:type="paragraph" w:styleId="717">
    <w:name w:val="table of authorities"/>
    <w:basedOn w:val="704"/>
    <w:next w:val="704"/>
    <w:uiPriority w:val="0"/>
    <w:qFormat/>
    <w:pPr>
      <w:ind w:left="420"/>
    </w:pPr>
    <w:rPr>
      <w:rFonts w:ascii="Times New Roman" w:hAnsi="Times New Roman"/>
    </w:rPr>
  </w:style>
  <w:style w:type="paragraph" w:styleId="718">
    <w:name w:val="Normal Indent"/>
    <w:basedOn w:val="704"/>
    <w:uiPriority w:val="0"/>
    <w:qFormat/>
    <w:pPr>
      <w:ind w:firstLine="420"/>
    </w:pPr>
  </w:style>
  <w:style w:type="paragraph" w:styleId="719">
    <w:name w:val="Caption"/>
    <w:basedOn w:val="704"/>
    <w:next w:val="704"/>
    <w:uiPriority w:val="35"/>
    <w:semiHidden/>
    <w:unhideWhenUsed/>
    <w:qFormat/>
    <w:pPr>
      <w:spacing w:line="276" w:lineRule="auto"/>
    </w:pPr>
    <w:rPr>
      <w:b/>
      <w:bCs/>
      <w:color w:val="4f81bd" w:themeColor="accent1"/>
      <w:sz w:val="18"/>
      <w:szCs w:val="18"/>
    </w:rPr>
  </w:style>
  <w:style w:type="paragraph" w:styleId="720">
    <w:name w:val="annotation text"/>
    <w:basedOn w:val="704"/>
    <w:uiPriority w:val="99"/>
    <w:unhideWhenUsed/>
    <w:qFormat/>
    <w:pPr>
      <w:jc w:val="left"/>
    </w:pPr>
  </w:style>
  <w:style w:type="paragraph" w:styleId="721">
    <w:name w:val="Body Text"/>
    <w:basedOn w:val="704"/>
    <w:uiPriority w:val="0"/>
    <w:qFormat/>
    <w:pPr>
      <w:spacing w:after="120"/>
    </w:pPr>
    <w:rPr>
      <w:szCs w:val="24"/>
    </w:rPr>
  </w:style>
  <w:style w:type="paragraph" w:styleId="722">
    <w:name w:val="Body Text Indent"/>
    <w:basedOn w:val="704"/>
    <w:next w:val="723"/>
    <w:uiPriority w:val="0"/>
    <w:qFormat/>
    <w:pPr>
      <w:ind w:left="420"/>
      <w:spacing w:after="120"/>
    </w:pPr>
    <w:rPr>
      <w:rFonts w:ascii="等线" w:hAnsi="等线" w:eastAsia="等线"/>
    </w:rPr>
  </w:style>
  <w:style w:type="paragraph" w:styleId="723">
    <w:name w:val="envelope return"/>
    <w:basedOn w:val="704"/>
    <w:uiPriority w:val="0"/>
    <w:qFormat/>
    <w:rPr>
      <w:rFonts w:ascii="Arial" w:hAnsi="Arial"/>
    </w:rPr>
  </w:style>
  <w:style w:type="paragraph" w:styleId="724">
    <w:name w:val="toc 5"/>
    <w:basedOn w:val="704"/>
    <w:next w:val="704"/>
    <w:uiPriority w:val="39"/>
    <w:unhideWhenUsed/>
    <w:qFormat/>
    <w:pPr>
      <w:ind w:left="1134"/>
      <w:spacing w:after="57"/>
    </w:pPr>
  </w:style>
  <w:style w:type="paragraph" w:styleId="725">
    <w:name w:val="toc 3"/>
    <w:basedOn w:val="704"/>
    <w:next w:val="704"/>
    <w:uiPriority w:val="39"/>
    <w:unhideWhenUsed/>
    <w:qFormat/>
    <w:pPr>
      <w:ind w:left="567"/>
      <w:spacing w:after="57"/>
    </w:pPr>
  </w:style>
  <w:style w:type="paragraph" w:styleId="726">
    <w:name w:val="Plain Text"/>
    <w:basedOn w:val="704"/>
    <w:link w:val="1013"/>
    <w:uiPriority w:val="99"/>
    <w:qFormat/>
    <w:rPr>
      <w:rFonts w:ascii="宋体" w:hAnsi="Courier New"/>
      <w:sz w:val="20"/>
      <w:szCs w:val="21"/>
    </w:rPr>
  </w:style>
  <w:style w:type="paragraph" w:styleId="727">
    <w:name w:val="toc 8"/>
    <w:basedOn w:val="704"/>
    <w:next w:val="704"/>
    <w:uiPriority w:val="39"/>
    <w:unhideWhenUsed/>
    <w:qFormat/>
    <w:pPr>
      <w:ind w:left="1984"/>
      <w:spacing w:after="57"/>
    </w:pPr>
  </w:style>
  <w:style w:type="paragraph" w:styleId="728">
    <w:name w:val="Body Text Indent 2"/>
    <w:basedOn w:val="704"/>
    <w:uiPriority w:val="0"/>
    <w:qFormat/>
    <w:pPr>
      <w:ind w:left="640"/>
      <w:spacing w:after="120" w:line="480" w:lineRule="auto"/>
    </w:pPr>
    <w:rPr>
      <w:rFonts w:eastAsia="仿宋_GB2312"/>
      <w:sz w:val="32"/>
      <w:szCs w:val="28"/>
    </w:rPr>
  </w:style>
  <w:style w:type="paragraph" w:styleId="729">
    <w:name w:val="endnote text"/>
    <w:basedOn w:val="704"/>
    <w:link w:val="937"/>
    <w:uiPriority w:val="99"/>
    <w:semiHidden/>
    <w:unhideWhenUsed/>
    <w:qFormat/>
    <w:rPr>
      <w:sz w:val="20"/>
    </w:rPr>
  </w:style>
  <w:style w:type="paragraph" w:styleId="730">
    <w:name w:val="Balloon Text"/>
    <w:basedOn w:val="704"/>
    <w:link w:val="1012"/>
    <w:uiPriority w:val="0"/>
    <w:unhideWhenUsed/>
    <w:qFormat/>
    <w:rPr>
      <w:sz w:val="18"/>
      <w:szCs w:val="18"/>
    </w:rPr>
  </w:style>
  <w:style w:type="paragraph" w:styleId="731">
    <w:name w:val="Footer"/>
    <w:basedOn w:val="704"/>
    <w:link w:val="810"/>
    <w:uiPriority w:val="99"/>
    <w:unhideWhenUsed/>
    <w:qFormat/>
    <w:pPr>
      <w:tabs>
        <w:tab w:val="center" w:pos="7143" w:leader="none"/>
        <w:tab w:val="right" w:pos="14287" w:leader="none"/>
      </w:tabs>
    </w:pPr>
  </w:style>
  <w:style w:type="paragraph" w:styleId="732">
    <w:name w:val="Header"/>
    <w:basedOn w:val="704"/>
    <w:link w:val="808"/>
    <w:uiPriority w:val="99"/>
    <w:unhideWhenUsed/>
    <w:qFormat/>
    <w:pPr>
      <w:tabs>
        <w:tab w:val="center" w:pos="7143" w:leader="none"/>
        <w:tab w:val="right" w:pos="14287" w:leader="none"/>
      </w:tabs>
    </w:pPr>
  </w:style>
  <w:style w:type="paragraph" w:styleId="733">
    <w:name w:val="toc 1"/>
    <w:basedOn w:val="704"/>
    <w:next w:val="704"/>
    <w:uiPriority w:val="39"/>
    <w:unhideWhenUsed/>
    <w:qFormat/>
    <w:pPr>
      <w:spacing w:after="57"/>
    </w:pPr>
  </w:style>
  <w:style w:type="paragraph" w:styleId="734">
    <w:name w:val="toc 4"/>
    <w:basedOn w:val="704"/>
    <w:next w:val="704"/>
    <w:uiPriority w:val="39"/>
    <w:unhideWhenUsed/>
    <w:qFormat/>
    <w:pPr>
      <w:ind w:left="850"/>
      <w:spacing w:after="57"/>
    </w:pPr>
  </w:style>
  <w:style w:type="paragraph" w:styleId="735">
    <w:name w:val="Subtitle"/>
    <w:basedOn w:val="704"/>
    <w:next w:val="704"/>
    <w:link w:val="803"/>
    <w:uiPriority w:val="11"/>
    <w:qFormat/>
    <w:pPr>
      <w:spacing w:before="200" w:after="200"/>
    </w:pPr>
    <w:rPr>
      <w:sz w:val="24"/>
      <w:szCs w:val="24"/>
    </w:rPr>
  </w:style>
  <w:style w:type="paragraph" w:styleId="736">
    <w:name w:val="footnote text"/>
    <w:basedOn w:val="704"/>
    <w:link w:val="936"/>
    <w:uiPriority w:val="99"/>
    <w:semiHidden/>
    <w:unhideWhenUsed/>
    <w:qFormat/>
    <w:pPr>
      <w:spacing w:after="40"/>
    </w:pPr>
    <w:rPr>
      <w:sz w:val="18"/>
    </w:rPr>
  </w:style>
  <w:style w:type="paragraph" w:styleId="737">
    <w:name w:val="toc 6"/>
    <w:basedOn w:val="704"/>
    <w:next w:val="704"/>
    <w:uiPriority w:val="39"/>
    <w:unhideWhenUsed/>
    <w:qFormat/>
    <w:pPr>
      <w:ind w:left="1417"/>
      <w:spacing w:after="57"/>
    </w:pPr>
  </w:style>
  <w:style w:type="paragraph" w:styleId="738">
    <w:name w:val="table of figures"/>
    <w:basedOn w:val="704"/>
    <w:next w:val="704"/>
    <w:uiPriority w:val="99"/>
    <w:unhideWhenUsed/>
    <w:qFormat/>
  </w:style>
  <w:style w:type="paragraph" w:styleId="739">
    <w:name w:val="toc 2"/>
    <w:basedOn w:val="704"/>
    <w:next w:val="704"/>
    <w:uiPriority w:val="39"/>
    <w:unhideWhenUsed/>
    <w:qFormat/>
    <w:pPr>
      <w:ind w:left="283"/>
      <w:spacing w:after="57"/>
    </w:pPr>
  </w:style>
  <w:style w:type="paragraph" w:styleId="740">
    <w:name w:val="toc 9"/>
    <w:basedOn w:val="704"/>
    <w:next w:val="704"/>
    <w:uiPriority w:val="39"/>
    <w:unhideWhenUsed/>
    <w:qFormat/>
    <w:pPr>
      <w:ind w:left="2268"/>
      <w:spacing w:after="57"/>
    </w:pPr>
  </w:style>
  <w:style w:type="paragraph" w:styleId="741">
    <w:name w:val="Normal (Web)"/>
    <w:basedOn w:val="704"/>
    <w:uiPriority w:val="99"/>
    <w:semiHidden/>
    <w:unhideWhenUsed/>
    <w:qFormat/>
    <w:pPr>
      <w:jc w:val="left"/>
      <w:spacing w:beforeAutospacing="1" w:afterAutospacing="1"/>
    </w:pPr>
    <w:rPr>
      <w:sz w:val="24"/>
    </w:rPr>
  </w:style>
  <w:style w:type="paragraph" w:styleId="742">
    <w:name w:val="index 1"/>
    <w:basedOn w:val="704"/>
    <w:next w:val="704"/>
    <w:uiPriority w:val="0"/>
    <w:qFormat/>
    <w:rPr>
      <w:rFonts w:ascii="仿宋_GB2312" w:hAnsi="宋体" w:eastAsia="仿宋_GB2312" w:cs="宋体"/>
      <w:sz w:val="30"/>
      <w:szCs w:val="24"/>
      <w:lang w:val="zh-CN"/>
    </w:rPr>
  </w:style>
  <w:style w:type="paragraph" w:styleId="743">
    <w:name w:val="Title"/>
    <w:basedOn w:val="704"/>
    <w:next w:val="704"/>
    <w:link w:val="802"/>
    <w:uiPriority w:val="10"/>
    <w:qFormat/>
    <w:pPr>
      <w:contextualSpacing/>
      <w:spacing w:before="300" w:after="200"/>
    </w:pPr>
    <w:rPr>
      <w:sz w:val="48"/>
      <w:szCs w:val="48"/>
    </w:rPr>
  </w:style>
  <w:style w:type="paragraph" w:styleId="744">
    <w:name w:val="Body Text First Indent"/>
    <w:basedOn w:val="721"/>
    <w:uiPriority w:val="99"/>
    <w:unhideWhenUsed/>
    <w:qFormat/>
    <w:pPr>
      <w:ind w:firstLine="426"/>
      <w:spacing w:line="400" w:lineRule="atLeast"/>
    </w:pPr>
    <w:rPr>
      <w:sz w:val="24"/>
      <w:szCs w:val="20"/>
    </w:rPr>
  </w:style>
  <w:style w:type="table" w:styleId="7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14"/>
    <w:uiPriority w:val="0"/>
    <w:qFormat/>
    <w:rPr>
      <w:b/>
    </w:rPr>
  </w:style>
  <w:style w:type="character" w:styleId="747">
    <w:name w:val="endnote reference"/>
    <w:uiPriority w:val="99"/>
    <w:semiHidden/>
    <w:unhideWhenUsed/>
    <w:qFormat/>
    <w:rPr>
      <w:vertAlign w:val="superscript"/>
    </w:rPr>
  </w:style>
  <w:style w:type="character" w:styleId="748">
    <w:name w:val="Emphasis"/>
    <w:basedOn w:val="714"/>
    <w:uiPriority w:val="20"/>
    <w:qFormat/>
    <w:rPr>
      <w:i/>
    </w:rPr>
  </w:style>
  <w:style w:type="character" w:styleId="749">
    <w:name w:val="Hyperlink"/>
    <w:uiPriority w:val="99"/>
    <w:unhideWhenUsed/>
    <w:qFormat/>
    <w:rPr>
      <w:color w:val="0000ff" w:themeColor="hyperlink"/>
      <w:u w:val="single"/>
    </w:rPr>
  </w:style>
  <w:style w:type="character" w:styleId="750">
    <w:name w:val="annotation reference"/>
    <w:basedOn w:val="714"/>
    <w:uiPriority w:val="99"/>
    <w:semiHidden/>
    <w:unhideWhenUsed/>
    <w:qFormat/>
    <w:rPr>
      <w:sz w:val="21"/>
      <w:szCs w:val="21"/>
    </w:rPr>
  </w:style>
  <w:style w:type="character" w:styleId="751">
    <w:name w:val="footnote reference"/>
    <w:uiPriority w:val="99"/>
    <w:unhideWhenUsed/>
    <w:qFormat/>
    <w:rPr>
      <w:vertAlign w:val="superscript"/>
    </w:rPr>
  </w:style>
  <w:style w:type="character" w:styleId="752" w:customStyle="1">
    <w:name w:val="Heading 1 Char"/>
    <w:basedOn w:val="714"/>
    <w:uiPriority w:val="9"/>
    <w:qFormat/>
    <w:rPr>
      <w:rFonts w:ascii="Arial" w:hAnsi="Arial" w:eastAsia="Arial" w:cs="Arial"/>
      <w:sz w:val="40"/>
      <w:szCs w:val="40"/>
    </w:rPr>
  </w:style>
  <w:style w:type="character" w:styleId="753" w:customStyle="1">
    <w:name w:val="Heading 2 Char"/>
    <w:basedOn w:val="714"/>
    <w:uiPriority w:val="9"/>
    <w:qFormat/>
    <w:rPr>
      <w:rFonts w:ascii="Arial" w:hAnsi="Arial" w:eastAsia="Arial" w:cs="Arial"/>
      <w:sz w:val="34"/>
    </w:rPr>
  </w:style>
  <w:style w:type="character" w:styleId="754" w:customStyle="1">
    <w:name w:val="Heading 3 Char"/>
    <w:basedOn w:val="714"/>
    <w:uiPriority w:val="9"/>
    <w:qFormat/>
    <w:rPr>
      <w:rFonts w:ascii="Arial" w:hAnsi="Arial" w:eastAsia="Arial" w:cs="Arial"/>
      <w:sz w:val="30"/>
      <w:szCs w:val="30"/>
    </w:rPr>
  </w:style>
  <w:style w:type="character" w:styleId="755" w:customStyle="1">
    <w:name w:val="Heading 4 Char"/>
    <w:basedOn w:val="714"/>
    <w:uiPriority w:val="9"/>
    <w:qFormat/>
    <w:rPr>
      <w:rFonts w:ascii="Arial" w:hAnsi="Arial" w:eastAsia="Arial" w:cs="Arial"/>
      <w:b/>
      <w:bCs/>
      <w:sz w:val="26"/>
      <w:szCs w:val="26"/>
    </w:rPr>
  </w:style>
  <w:style w:type="character" w:styleId="756" w:customStyle="1">
    <w:name w:val="Heading 5 Char"/>
    <w:basedOn w:val="714"/>
    <w:uiPriority w:val="9"/>
    <w:qFormat/>
    <w:rPr>
      <w:rFonts w:ascii="Arial" w:hAnsi="Arial" w:eastAsia="Arial" w:cs="Arial"/>
      <w:b/>
      <w:bCs/>
      <w:sz w:val="24"/>
      <w:szCs w:val="24"/>
    </w:rPr>
  </w:style>
  <w:style w:type="character" w:styleId="757" w:customStyle="1">
    <w:name w:val="Heading 6 Char"/>
    <w:basedOn w:val="714"/>
    <w:uiPriority w:val="9"/>
    <w:qFormat/>
    <w:rPr>
      <w:rFonts w:ascii="Arial" w:hAnsi="Arial" w:eastAsia="Arial" w:cs="Arial"/>
      <w:b/>
      <w:bCs/>
      <w:sz w:val="22"/>
      <w:szCs w:val="22"/>
    </w:rPr>
  </w:style>
  <w:style w:type="character" w:styleId="758" w:customStyle="1">
    <w:name w:val="Heading 7 Char"/>
    <w:basedOn w:val="714"/>
    <w:uiPriority w:val="9"/>
    <w:qFormat/>
    <w:rPr>
      <w:rFonts w:ascii="Arial" w:hAnsi="Arial" w:eastAsia="Arial" w:cs="Arial"/>
      <w:b/>
      <w:bCs/>
      <w:i/>
      <w:iCs/>
      <w:sz w:val="22"/>
      <w:szCs w:val="22"/>
    </w:rPr>
  </w:style>
  <w:style w:type="character" w:styleId="759" w:customStyle="1">
    <w:name w:val="Heading 8 Char"/>
    <w:basedOn w:val="714"/>
    <w:uiPriority w:val="9"/>
    <w:qFormat/>
    <w:rPr>
      <w:rFonts w:ascii="Arial" w:hAnsi="Arial" w:eastAsia="Arial" w:cs="Arial"/>
      <w:i/>
      <w:iCs/>
      <w:sz w:val="22"/>
      <w:szCs w:val="22"/>
    </w:rPr>
  </w:style>
  <w:style w:type="character" w:styleId="760" w:customStyle="1">
    <w:name w:val="Heading 9 Char"/>
    <w:basedOn w:val="714"/>
    <w:uiPriority w:val="9"/>
    <w:qFormat/>
    <w:rPr>
      <w:rFonts w:ascii="Arial" w:hAnsi="Arial" w:eastAsia="Arial" w:cs="Arial"/>
      <w:i/>
      <w:iCs/>
      <w:sz w:val="21"/>
      <w:szCs w:val="21"/>
    </w:rPr>
  </w:style>
  <w:style w:type="character" w:styleId="761" w:customStyle="1">
    <w:name w:val="Title Char"/>
    <w:basedOn w:val="714"/>
    <w:uiPriority w:val="10"/>
    <w:qFormat/>
    <w:rPr>
      <w:sz w:val="48"/>
      <w:szCs w:val="48"/>
    </w:rPr>
  </w:style>
  <w:style w:type="character" w:styleId="762" w:customStyle="1">
    <w:name w:val="Subtitle Char"/>
    <w:basedOn w:val="714"/>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Header Char"/>
    <w:basedOn w:val="714"/>
    <w:uiPriority w:val="99"/>
    <w:qFormat/>
  </w:style>
  <w:style w:type="character" w:styleId="766" w:customStyle="1">
    <w:name w:val="Caption Char"/>
    <w:uiPriority w:val="99"/>
    <w:qFormat/>
  </w:style>
  <w:style w:type="table" w:styleId="767" w:customStyle="1">
    <w:name w:val="Plain Table 1"/>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71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71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71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7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3"/>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7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5 Dark"/>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6 Colorful"/>
    <w:basedOn w:val="7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78" w:customStyle="1">
    <w:name w:val="Grid Table 7 Colorful"/>
    <w:basedOn w:val="7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1 Light"/>
    <w:basedOn w:val="71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2"/>
    <w:basedOn w:val="7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3"/>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5 Dark"/>
    <w:basedOn w:val="7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4" w:customStyle="1">
    <w:name w:val="List Table 6 Colorful"/>
    <w:basedOn w:val="71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85" w:customStyle="1">
    <w:name w:val="List Table 7 Colorful"/>
    <w:basedOn w:val="71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6" w:customStyle="1">
    <w:name w:val="Footnote Text Char"/>
    <w:uiPriority w:val="99"/>
    <w:qFormat/>
    <w:rPr>
      <w:sz w:val="18"/>
    </w:rPr>
  </w:style>
  <w:style w:type="character" w:styleId="787" w:customStyle="1">
    <w:name w:val="Endnote Text Char"/>
    <w:uiPriority w:val="99"/>
    <w:qFormat/>
    <w:rPr>
      <w:sz w:val="20"/>
    </w:rPr>
  </w:style>
  <w:style w:type="paragraph" w:styleId="788" w:customStyle="1">
    <w:name w:val="TOC 标题1"/>
    <w:uiPriority w:val="39"/>
    <w:unhideWhenUsed/>
    <w:qFormat/>
    <w:rPr>
      <w:rFonts w:ascii="Times New Roman" w:hAnsi="Times New Roman" w:eastAsia="宋体" w:cs="Times New Roman"/>
      <w:lang w:val="en-US" w:eastAsia="zh-CN" w:bidi="ar-SA"/>
    </w:rPr>
  </w:style>
  <w:style w:type="paragraph" w:styleId="789" w:customStyle="1">
    <w:name w:val="Default"/>
    <w:next w:val="704"/>
    <w:uiPriority w:val="0"/>
    <w:qFormat/>
    <w:pPr>
      <w:widowControl w:val="off"/>
    </w:pPr>
    <w:rPr>
      <w:rFonts w:ascii="黑体" w:hAnsi="Times New Roman" w:eastAsia="黑体" w:cs="Times New Roman"/>
      <w:lang w:val="en-US" w:eastAsia="zh-CN" w:bidi="ar-SA"/>
    </w:rPr>
  </w:style>
  <w:style w:type="paragraph" w:styleId="790" w:customStyle="1">
    <w:name w:val="首行缩进"/>
    <w:basedOn w:val="704"/>
    <w:uiPriority w:val="0"/>
    <w:qFormat/>
    <w:pPr>
      <w:ind w:firstLine="420"/>
      <w:spacing w:line="360" w:lineRule="auto"/>
    </w:pPr>
  </w:style>
  <w:style w:type="character" w:styleId="791" w:customStyle="1">
    <w:name w:val="标题 1 Char"/>
    <w:link w:val="705"/>
    <w:uiPriority w:val="9"/>
    <w:qFormat/>
    <w:rPr>
      <w:rFonts w:ascii="Arial" w:hAnsi="Arial" w:eastAsia="宋体" w:cs="Arial"/>
      <w:b/>
      <w:sz w:val="30"/>
      <w:szCs w:val="40"/>
    </w:rPr>
  </w:style>
  <w:style w:type="character" w:styleId="792" w:customStyle="1">
    <w:name w:val="标题 2 Char"/>
    <w:link w:val="706"/>
    <w:uiPriority w:val="9"/>
    <w:qFormat/>
    <w:rPr>
      <w:rFonts w:ascii="Arial" w:hAnsi="Arial" w:eastAsia="Arial" w:cs="Arial"/>
      <w:sz w:val="34"/>
    </w:rPr>
  </w:style>
  <w:style w:type="character" w:styleId="793" w:customStyle="1">
    <w:name w:val="标题 3 Char"/>
    <w:link w:val="707"/>
    <w:uiPriority w:val="9"/>
    <w:qFormat/>
    <w:rPr>
      <w:rFonts w:ascii="Arial" w:hAnsi="Arial" w:eastAsia="Arial" w:cs="Arial"/>
      <w:sz w:val="30"/>
      <w:szCs w:val="30"/>
    </w:rPr>
  </w:style>
  <w:style w:type="character" w:styleId="794" w:customStyle="1">
    <w:name w:val="标题 4 Char"/>
    <w:link w:val="708"/>
    <w:uiPriority w:val="9"/>
    <w:qFormat/>
    <w:rPr>
      <w:rFonts w:ascii="Arial" w:hAnsi="Arial" w:eastAsia="Arial" w:cs="Arial"/>
      <w:b/>
      <w:bCs/>
      <w:sz w:val="26"/>
      <w:szCs w:val="26"/>
    </w:rPr>
  </w:style>
  <w:style w:type="character" w:styleId="795" w:customStyle="1">
    <w:name w:val="标题 5 Char"/>
    <w:link w:val="709"/>
    <w:uiPriority w:val="9"/>
    <w:qFormat/>
    <w:rPr>
      <w:rFonts w:ascii="Arial" w:hAnsi="Arial" w:eastAsia="Arial" w:cs="Arial"/>
      <w:b/>
      <w:bCs/>
      <w:sz w:val="24"/>
      <w:szCs w:val="24"/>
    </w:rPr>
  </w:style>
  <w:style w:type="character" w:styleId="796" w:customStyle="1">
    <w:name w:val="标题 6 Char"/>
    <w:link w:val="710"/>
    <w:uiPriority w:val="9"/>
    <w:qFormat/>
    <w:rPr>
      <w:rFonts w:ascii="Arial" w:hAnsi="Arial" w:eastAsia="Arial" w:cs="Arial"/>
      <w:b/>
      <w:bCs/>
      <w:sz w:val="22"/>
      <w:szCs w:val="22"/>
    </w:rPr>
  </w:style>
  <w:style w:type="character" w:styleId="797" w:customStyle="1">
    <w:name w:val="标题 7 Char"/>
    <w:link w:val="711"/>
    <w:uiPriority w:val="9"/>
    <w:qFormat/>
    <w:rPr>
      <w:rFonts w:ascii="Arial" w:hAnsi="Arial" w:eastAsia="Arial" w:cs="Arial"/>
      <w:b/>
      <w:bCs/>
      <w:i/>
      <w:iCs/>
      <w:sz w:val="22"/>
      <w:szCs w:val="22"/>
    </w:rPr>
  </w:style>
  <w:style w:type="character" w:styleId="798" w:customStyle="1">
    <w:name w:val="标题 8 Char"/>
    <w:link w:val="712"/>
    <w:uiPriority w:val="9"/>
    <w:qFormat/>
    <w:rPr>
      <w:rFonts w:ascii="Arial" w:hAnsi="Arial" w:eastAsia="Arial" w:cs="Arial"/>
      <w:i/>
      <w:iCs/>
      <w:sz w:val="22"/>
      <w:szCs w:val="22"/>
    </w:rPr>
  </w:style>
  <w:style w:type="character" w:styleId="799" w:customStyle="1">
    <w:name w:val="标题 9 Char"/>
    <w:link w:val="713"/>
    <w:uiPriority w:val="9"/>
    <w:qFormat/>
    <w:rPr>
      <w:rFonts w:ascii="Arial" w:hAnsi="Arial" w:eastAsia="Arial" w:cs="Arial"/>
      <w:i/>
      <w:iCs/>
      <w:sz w:val="21"/>
      <w:szCs w:val="21"/>
    </w:rPr>
  </w:style>
  <w:style w:type="paragraph" w:styleId="800">
    <w:name w:val="List Paragraph"/>
    <w:basedOn w:val="704"/>
    <w:uiPriority w:val="34"/>
    <w:qFormat/>
    <w:pPr>
      <w:contextualSpacing/>
      <w:ind w:left="720"/>
    </w:pPr>
  </w:style>
  <w:style w:type="paragraph" w:styleId="801">
    <w:name w:val="No Spacing"/>
    <w:uiPriority w:val="1"/>
    <w:qFormat/>
    <w:rPr>
      <w:rFonts w:ascii="Times New Roman" w:hAnsi="Times New Roman" w:eastAsia="宋体" w:cs="Times New Roman"/>
      <w:lang w:val="en-US" w:eastAsia="zh-CN" w:bidi="ar-SA"/>
    </w:rPr>
  </w:style>
  <w:style w:type="character" w:styleId="802" w:customStyle="1">
    <w:name w:val="标题 Char"/>
    <w:link w:val="743"/>
    <w:uiPriority w:val="10"/>
    <w:qFormat/>
    <w:rPr>
      <w:sz w:val="48"/>
      <w:szCs w:val="48"/>
    </w:rPr>
  </w:style>
  <w:style w:type="character" w:styleId="803" w:customStyle="1">
    <w:name w:val="副标题 Char"/>
    <w:link w:val="735"/>
    <w:uiPriority w:val="11"/>
    <w:qFormat/>
    <w:rPr>
      <w:sz w:val="24"/>
      <w:szCs w:val="24"/>
    </w:rPr>
  </w:style>
  <w:style w:type="paragraph" w:styleId="804">
    <w:name w:val="Quote"/>
    <w:basedOn w:val="704"/>
    <w:next w:val="704"/>
    <w:link w:val="805"/>
    <w:uiPriority w:val="29"/>
    <w:qFormat/>
    <w:pPr>
      <w:ind w:left="720" w:right="720"/>
    </w:pPr>
    <w:rPr>
      <w:i/>
    </w:rPr>
  </w:style>
  <w:style w:type="character" w:styleId="805" w:customStyle="1">
    <w:name w:val="引用 Char"/>
    <w:link w:val="804"/>
    <w:uiPriority w:val="29"/>
    <w:qFormat/>
    <w:rPr>
      <w:i/>
    </w:rPr>
  </w:style>
  <w:style w:type="paragraph" w:styleId="806">
    <w:name w:val="Intense Quote"/>
    <w:basedOn w:val="704"/>
    <w:next w:val="704"/>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Char"/>
    <w:link w:val="806"/>
    <w:uiPriority w:val="30"/>
    <w:qFormat/>
    <w:rPr>
      <w:i/>
    </w:rPr>
  </w:style>
  <w:style w:type="character" w:styleId="808" w:customStyle="1">
    <w:name w:val="页眉 Char"/>
    <w:link w:val="732"/>
    <w:uiPriority w:val="99"/>
    <w:qFormat/>
  </w:style>
  <w:style w:type="character" w:styleId="809" w:customStyle="1">
    <w:name w:val="Footer Char"/>
    <w:uiPriority w:val="99"/>
    <w:qFormat/>
  </w:style>
  <w:style w:type="character" w:styleId="810" w:customStyle="1">
    <w:name w:val="页脚 Char"/>
    <w:link w:val="731"/>
    <w:uiPriority w:val="99"/>
    <w:qFormat/>
  </w:style>
  <w:style w:type="table" w:styleId="81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5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5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0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0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0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脚注文本 Char"/>
    <w:link w:val="736"/>
    <w:uiPriority w:val="99"/>
    <w:qFormat/>
    <w:rPr>
      <w:sz w:val="18"/>
    </w:rPr>
  </w:style>
  <w:style w:type="character" w:styleId="937" w:customStyle="1">
    <w:name w:val="尾注文本 Char"/>
    <w:link w:val="729"/>
    <w:uiPriority w:val="99"/>
    <w:qFormat/>
    <w:rPr>
      <w:sz w:val="20"/>
    </w:rPr>
  </w:style>
  <w:style w:type="paragraph" w:styleId="938" w:customStyle="1">
    <w:name w:val="TOC 标题11"/>
    <w:uiPriority w:val="39"/>
    <w:unhideWhenUsed/>
    <w:qFormat/>
    <w:rPr>
      <w:rFonts w:ascii="Times New Roman" w:hAnsi="Times New Roman" w:eastAsia="宋体" w:cs="Times New Roman"/>
      <w:lang w:val="en-US" w:eastAsia="zh-CN" w:bidi="ar-SA"/>
    </w:rPr>
  </w:style>
  <w:style w:type="paragraph" w:styleId="939" w:customStyle="1">
    <w:name w:val="标题 11"/>
    <w:basedOn w:val="704"/>
    <w:next w:val="704"/>
    <w:uiPriority w:val="9"/>
    <w:qFormat/>
    <w:pPr>
      <w:keepLines/>
      <w:keepNext/>
      <w:spacing w:before="340" w:after="330" w:line="578" w:lineRule="auto"/>
      <w:outlineLvl w:val="0"/>
    </w:pPr>
    <w:rPr>
      <w:b/>
      <w:bCs/>
      <w:sz w:val="44"/>
      <w:szCs w:val="44"/>
    </w:rPr>
  </w:style>
  <w:style w:type="paragraph" w:styleId="940" w:customStyle="1">
    <w:name w:val="标题 21"/>
    <w:basedOn w:val="704"/>
    <w:next w:val="7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1" w:customStyle="1">
    <w:name w:val="标题 31"/>
    <w:basedOn w:val="704"/>
    <w:next w:val="704"/>
    <w:uiPriority w:val="0"/>
    <w:qFormat/>
    <w:pPr>
      <w:keepLines/>
      <w:keepNext/>
      <w:spacing w:before="260" w:after="260" w:line="416" w:lineRule="auto"/>
      <w:outlineLvl w:val="2"/>
    </w:pPr>
    <w:rPr>
      <w:b/>
      <w:bCs/>
      <w:sz w:val="32"/>
      <w:szCs w:val="32"/>
    </w:rPr>
  </w:style>
  <w:style w:type="character" w:styleId="942" w:customStyle="1">
    <w:name w:val="默认段落字体1"/>
    <w:uiPriority w:val="1"/>
    <w:unhideWhenUsed/>
    <w:qFormat/>
  </w:style>
  <w:style w:type="table" w:styleId="943" w:customStyle="1">
    <w:name w:val="普通表格1"/>
    <w:uiPriority w:val="99"/>
    <w:unhideWhenUsed/>
    <w:qFormat/>
    <w:tblPr>
      <w:tblCellMar>
        <w:left w:w="0" w:type="dxa"/>
        <w:top w:w="0" w:type="dxa"/>
        <w:right w:w="0" w:type="dxa"/>
        <w:bottom w:w="0" w:type="dxa"/>
      </w:tblCellMar>
    </w:tblPr>
  </w:style>
  <w:style w:type="paragraph" w:styleId="944" w:customStyle="1">
    <w:name w:val="正文文本缩进1"/>
    <w:basedOn w:val="704"/>
    <w:next w:val="945"/>
    <w:uiPriority w:val="0"/>
    <w:qFormat/>
    <w:pPr>
      <w:ind w:left="420"/>
      <w:spacing w:after="120"/>
    </w:pPr>
    <w:rPr>
      <w:rFonts w:ascii="等线" w:hAnsi="等线" w:eastAsia="等线"/>
    </w:rPr>
  </w:style>
  <w:style w:type="paragraph" w:styleId="945" w:customStyle="1">
    <w:name w:val="寄信人地址1"/>
    <w:basedOn w:val="704"/>
    <w:uiPriority w:val="99"/>
    <w:unhideWhenUsed/>
    <w:qFormat/>
    <w:rPr>
      <w:rFonts w:ascii="Arial" w:hAnsi="Arial"/>
    </w:rPr>
  </w:style>
  <w:style w:type="paragraph" w:styleId="946" w:customStyle="1">
    <w:name w:val="正文缩进1"/>
    <w:basedOn w:val="704"/>
    <w:uiPriority w:val="0"/>
    <w:unhideWhenUsed/>
    <w:qFormat/>
    <w:pPr>
      <w:ind w:firstLine="420"/>
    </w:pPr>
  </w:style>
  <w:style w:type="paragraph" w:styleId="947" w:customStyle="1">
    <w:name w:val="批注文字1"/>
    <w:basedOn w:val="704"/>
    <w:link w:val="948"/>
    <w:uiPriority w:val="0"/>
    <w:qFormat/>
    <w:pPr>
      <w:jc w:val="left"/>
    </w:pPr>
  </w:style>
  <w:style w:type="character" w:styleId="948" w:customStyle="1">
    <w:name w:val="批注文字 Char"/>
    <w:link w:val="947"/>
    <w:uiPriority w:val="0"/>
    <w:qFormat/>
    <w:rPr>
      <w:rFonts w:ascii="Calibri" w:hAnsi="Calibri"/>
      <w:sz w:val="21"/>
      <w:szCs w:val="22"/>
    </w:rPr>
  </w:style>
  <w:style w:type="paragraph" w:styleId="949" w:customStyle="1">
    <w:name w:val="正文文本11"/>
    <w:basedOn w:val="704"/>
    <w:next w:val="950"/>
    <w:uiPriority w:val="0"/>
    <w:qFormat/>
    <w:rPr>
      <w:rFonts w:ascii="楷体_GB2312" w:hAnsi="Arial" w:eastAsia="楷体_GB2312"/>
      <w:sz w:val="28"/>
      <w:szCs w:val="28"/>
    </w:rPr>
  </w:style>
  <w:style w:type="paragraph" w:styleId="950" w:customStyle="1">
    <w:name w:val="标题1"/>
    <w:basedOn w:val="704"/>
    <w:next w:val="704"/>
    <w:uiPriority w:val="0"/>
    <w:qFormat/>
    <w:pPr>
      <w:jc w:val="center"/>
      <w:spacing w:before="240" w:after="60" w:line="360" w:lineRule="auto"/>
      <w:outlineLvl w:val="0"/>
    </w:pPr>
    <w:rPr>
      <w:rFonts w:ascii="宋体" w:hAnsi="宋体"/>
      <w:b/>
      <w:bCs/>
      <w:sz w:val="32"/>
      <w:szCs w:val="32"/>
    </w:rPr>
  </w:style>
  <w:style w:type="paragraph" w:styleId="951" w:customStyle="1">
    <w:name w:val="纯文本1"/>
    <w:basedOn w:val="704"/>
    <w:uiPriority w:val="99"/>
    <w:qFormat/>
    <w:rPr>
      <w:rFonts w:ascii="宋体" w:hAnsi="Courier New"/>
      <w:sz w:val="20"/>
      <w:szCs w:val="21"/>
    </w:rPr>
  </w:style>
  <w:style w:type="paragraph" w:styleId="952" w:customStyle="1">
    <w:name w:val="正文文本缩进 21"/>
    <w:basedOn w:val="704"/>
    <w:uiPriority w:val="0"/>
    <w:qFormat/>
    <w:pPr>
      <w:ind w:left="640"/>
      <w:spacing w:after="120" w:line="480" w:lineRule="auto"/>
    </w:pPr>
    <w:rPr>
      <w:rFonts w:eastAsia="仿宋_GB2312"/>
      <w:sz w:val="32"/>
      <w:szCs w:val="28"/>
    </w:rPr>
  </w:style>
  <w:style w:type="paragraph" w:styleId="953" w:customStyle="1">
    <w:name w:val="批注框文本1"/>
    <w:basedOn w:val="704"/>
    <w:link w:val="954"/>
    <w:uiPriority w:val="0"/>
    <w:qFormat/>
    <w:rPr>
      <w:sz w:val="18"/>
      <w:szCs w:val="18"/>
    </w:rPr>
  </w:style>
  <w:style w:type="character" w:styleId="954" w:customStyle="1">
    <w:name w:val="批注框文本 Char"/>
    <w:link w:val="953"/>
    <w:uiPriority w:val="99"/>
    <w:qFormat/>
    <w:rPr>
      <w:sz w:val="18"/>
      <w:szCs w:val="18"/>
    </w:rPr>
  </w:style>
  <w:style w:type="paragraph" w:styleId="955" w:customStyle="1">
    <w:name w:val="页脚1"/>
    <w:basedOn w:val="704"/>
    <w:uiPriority w:val="99"/>
    <w:unhideWhenUsed/>
    <w:qFormat/>
    <w:pPr>
      <w:jc w:val="left"/>
      <w:tabs>
        <w:tab w:val="center" w:pos="4153" w:leader="none"/>
        <w:tab w:val="right" w:pos="8306" w:leader="none"/>
      </w:tabs>
    </w:pPr>
    <w:rPr>
      <w:sz w:val="18"/>
      <w:szCs w:val="18"/>
    </w:rPr>
  </w:style>
  <w:style w:type="paragraph" w:styleId="956" w:customStyle="1">
    <w:name w:val="页眉1"/>
    <w:basedOn w:val="70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7" w:customStyle="1">
    <w:name w:val="目录 11"/>
    <w:basedOn w:val="704"/>
    <w:next w:val="704"/>
    <w:uiPriority w:val="39"/>
    <w:unhideWhenUsed/>
    <w:qFormat/>
  </w:style>
  <w:style w:type="paragraph" w:styleId="958" w:customStyle="1">
    <w:name w:val="目录 21"/>
    <w:basedOn w:val="704"/>
    <w:next w:val="704"/>
    <w:uiPriority w:val="0"/>
    <w:qFormat/>
    <w:pPr>
      <w:ind w:left="420"/>
    </w:pPr>
  </w:style>
  <w:style w:type="paragraph" w:styleId="959" w:customStyle="1">
    <w:name w:val="正文文本 21"/>
    <w:basedOn w:val="704"/>
    <w:next w:val="960"/>
    <w:uiPriority w:val="0"/>
    <w:qFormat/>
    <w:pPr>
      <w:spacing w:after="120" w:line="480" w:lineRule="auto"/>
    </w:pPr>
  </w:style>
  <w:style w:type="paragraph" w:styleId="960" w:customStyle="1">
    <w:name w:val="默认段落字体 Para Char Char Char Char Char Char Char"/>
    <w:basedOn w:val="704"/>
    <w:next w:val="961"/>
    <w:uiPriority w:val="99"/>
    <w:qFormat/>
    <w:pPr>
      <w:ind w:firstLine="200"/>
    </w:pPr>
    <w:rPr>
      <w:rFonts w:cs="Arial"/>
    </w:rPr>
  </w:style>
  <w:style w:type="paragraph" w:styleId="961" w:customStyle="1">
    <w:name w:val="样式 首行缩进:  2 字符"/>
    <w:basedOn w:val="704"/>
    <w:next w:val="962"/>
    <w:uiPriority w:val="99"/>
    <w:qFormat/>
    <w:pPr>
      <w:ind w:left="480" w:firstLine="5856"/>
      <w:spacing w:line="360" w:lineRule="auto"/>
    </w:pPr>
  </w:style>
  <w:style w:type="paragraph" w:styleId="962" w:customStyle="1">
    <w:name w:val="样式 段后: 0.25 行"/>
    <w:basedOn w:val="704"/>
    <w:next w:val="963"/>
    <w:uiPriority w:val="99"/>
    <w:qFormat/>
    <w:pPr>
      <w:ind w:left="420" w:firstLine="5796"/>
      <w:spacing w:line="300" w:lineRule="auto"/>
      <w:widowControl/>
    </w:pPr>
  </w:style>
  <w:style w:type="paragraph" w:styleId="963" w:customStyle="1">
    <w:name w:val="正文 New New New New New New New New New New New New New New"/>
    <w:next w:val="740"/>
    <w:uiPriority w:val="99"/>
    <w:qFormat/>
    <w:pPr>
      <w:ind w:firstLine="2048"/>
      <w:jc w:val="both"/>
      <w:widowControl w:val="off"/>
    </w:pPr>
    <w:rPr>
      <w:rFonts w:ascii="Times New Roman" w:hAnsi="Times New Roman" w:eastAsia="宋体" w:cs="Times New Roman"/>
      <w:lang w:val="en-US" w:eastAsia="zh-CN" w:bidi="ar-SA"/>
    </w:rPr>
  </w:style>
  <w:style w:type="paragraph" w:styleId="964" w:customStyle="1">
    <w:name w:val="信息标题1"/>
    <w:basedOn w:val="704"/>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65" w:customStyle="1">
    <w:name w:val="普通(网站)1"/>
    <w:basedOn w:val="704"/>
    <w:uiPriority w:val="0"/>
    <w:qFormat/>
    <w:rPr>
      <w:rFonts w:ascii="Times New Roman" w:hAnsi="Times New Roman"/>
      <w:sz w:val="24"/>
    </w:rPr>
  </w:style>
  <w:style w:type="paragraph" w:styleId="966" w:customStyle="1">
    <w:name w:val="批注主题1"/>
    <w:basedOn w:val="947"/>
    <w:next w:val="947"/>
    <w:link w:val="967"/>
    <w:uiPriority w:val="0"/>
    <w:qFormat/>
    <w:rPr>
      <w:b/>
      <w:bCs/>
    </w:rPr>
  </w:style>
  <w:style w:type="character" w:styleId="967" w:customStyle="1">
    <w:name w:val="批注主题 Char"/>
    <w:link w:val="966"/>
    <w:uiPriority w:val="0"/>
    <w:qFormat/>
    <w:rPr>
      <w:rFonts w:ascii="Calibri" w:hAnsi="Calibri"/>
      <w:b/>
      <w:bCs/>
      <w:sz w:val="21"/>
      <w:szCs w:val="22"/>
    </w:rPr>
  </w:style>
  <w:style w:type="paragraph" w:styleId="968" w:customStyle="1">
    <w:name w:val="正文首行缩进 21"/>
    <w:basedOn w:val="944"/>
    <w:next w:val="704"/>
    <w:uiPriority w:val="0"/>
    <w:qFormat/>
    <w:pPr>
      <w:ind w:firstLine="420"/>
      <w:spacing w:before="100" w:beforeAutospacing="1"/>
    </w:pPr>
    <w:rPr>
      <w:rFonts w:ascii="Times New Roman" w:hAnsi="Times New Roman" w:eastAsia="宋体"/>
      <w:sz w:val="20"/>
      <w:szCs w:val="21"/>
    </w:rPr>
  </w:style>
  <w:style w:type="table" w:styleId="969" w:customStyle="1">
    <w:name w:val="网格型1"/>
    <w:basedOn w:val="943"/>
    <w:uiPriority w:val="0"/>
    <w:qFormat/>
    <w:pPr>
      <w:jc w:val="both"/>
      <w:widowControl w:val="off"/>
    </w:pPr>
    <w:tblPr>
      <w:tblCellMar>
        <w:left w:w="0" w:type="dxa"/>
        <w:top w:w="0" w:type="dxa"/>
        <w:right w:w="0" w:type="dxa"/>
        <w:bottom w:w="0" w:type="dxa"/>
      </w:tblCellMar>
    </w:tblPr>
  </w:style>
  <w:style w:type="character" w:styleId="970" w:customStyle="1">
    <w:name w:val="要点1"/>
    <w:uiPriority w:val="0"/>
    <w:qFormat/>
    <w:rPr>
      <w:b/>
    </w:rPr>
  </w:style>
  <w:style w:type="character" w:styleId="971" w:customStyle="1">
    <w:name w:val="强调1"/>
    <w:uiPriority w:val="0"/>
    <w:qFormat/>
    <w:rPr>
      <w:i/>
    </w:rPr>
  </w:style>
  <w:style w:type="character" w:styleId="972" w:customStyle="1">
    <w:name w:val="超链接1"/>
    <w:uiPriority w:val="0"/>
    <w:qFormat/>
    <w:rPr>
      <w:color w:val="0000ff"/>
      <w:u w:val="single"/>
    </w:rPr>
  </w:style>
  <w:style w:type="character" w:styleId="973" w:customStyle="1">
    <w:name w:val="批注引用1"/>
    <w:uiPriority w:val="0"/>
    <w:qFormat/>
    <w:rPr>
      <w:sz w:val="21"/>
      <w:szCs w:val="21"/>
    </w:rPr>
  </w:style>
  <w:style w:type="paragraph" w:styleId="974" w:customStyle="1">
    <w:name w:val="正文（缩进）"/>
    <w:basedOn w:val="704"/>
    <w:next w:val="975"/>
    <w:uiPriority w:val="0"/>
    <w:qFormat/>
    <w:pPr>
      <w:ind w:firstLine="480"/>
      <w:spacing w:before="156" w:after="156"/>
    </w:pPr>
  </w:style>
  <w:style w:type="paragraph" w:styleId="975" w:customStyle="1">
    <w:name w:val="Char Char Char Char Char Char Char Char Char"/>
    <w:basedOn w:val="704"/>
    <w:next w:val="959"/>
    <w:uiPriority w:val="99"/>
    <w:qFormat/>
    <w:pPr>
      <w:ind w:left="360" w:firstLine="5784"/>
    </w:pPr>
  </w:style>
  <w:style w:type="paragraph" w:styleId="976" w:customStyle="1">
    <w:name w:val="正文1"/>
    <w:basedOn w:val="704"/>
    <w:next w:val="977"/>
    <w:uiPriority w:val="0"/>
    <w:qFormat/>
    <w:pPr>
      <w:jc w:val="left"/>
      <w:spacing w:line="360" w:lineRule="atLeast"/>
    </w:pPr>
    <w:rPr>
      <w:rFonts w:ascii="宋体" w:cs="Arial"/>
      <w:sz w:val="24"/>
      <w:szCs w:val="20"/>
    </w:rPr>
  </w:style>
  <w:style w:type="paragraph" w:styleId="977" w:customStyle="1">
    <w:name w:val="正文文本1"/>
    <w:basedOn w:val="976"/>
    <w:next w:val="978"/>
    <w:uiPriority w:val="0"/>
    <w:qFormat/>
    <w:pPr>
      <w:spacing w:after="120"/>
    </w:pPr>
    <w:rPr>
      <w:lang w:eastAsia="en-US"/>
    </w:rPr>
  </w:style>
  <w:style w:type="paragraph" w:styleId="978" w:customStyle="1">
    <w:name w:val="一级条标题"/>
    <w:basedOn w:val="979"/>
    <w:next w:val="9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9" w:customStyle="1">
    <w:name w:val="章标题"/>
    <w:next w:val="70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80" w:customStyle="1">
    <w:name w:val="段"/>
    <w:basedOn w:val="976"/>
    <w:next w:val="704"/>
    <w:uiPriority w:val="0"/>
    <w:qFormat/>
    <w:pPr>
      <w:ind w:firstLine="200"/>
      <w:widowControl/>
    </w:pPr>
    <w:rPr>
      <w:sz w:val="20"/>
    </w:rPr>
  </w:style>
  <w:style w:type="paragraph" w:styleId="981"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982" w:customStyle="1">
    <w:name w:val="Char"/>
    <w:basedOn w:val="704"/>
    <w:uiPriority w:val="0"/>
    <w:qFormat/>
    <w:pPr>
      <w:ind w:firstLine="200"/>
      <w:tabs>
        <w:tab w:val="left" w:pos="360" w:leader="none"/>
      </w:tabs>
    </w:pPr>
    <w:rPr>
      <w:rFonts w:ascii="Times New Roman" w:hAnsi="Times New Roman"/>
      <w:sz w:val="28"/>
      <w:szCs w:val="30"/>
    </w:rPr>
  </w:style>
  <w:style w:type="paragraph" w:styleId="983" w:customStyle="1">
    <w:name w:val="Table Paragraph"/>
    <w:basedOn w:val="704"/>
    <w:uiPriority w:val="1"/>
    <w:qFormat/>
    <w:rPr>
      <w:rFonts w:ascii="Noto Sans CJK JP Regular" w:hAnsi="Noto Sans CJK JP Regular" w:eastAsia="Noto Sans CJK JP Regular" w:cs="Noto Sans CJK JP Regular"/>
    </w:rPr>
  </w:style>
  <w:style w:type="paragraph" w:styleId="984" w:customStyle="1">
    <w:name w:val="正文（1）"/>
    <w:basedOn w:val="704"/>
    <w:uiPriority w:val="0"/>
    <w:qFormat/>
    <w:pPr>
      <w:numPr>
        <w:ilvl w:val="0"/>
        <w:numId w:val="1"/>
      </w:numPr>
      <w:ind w:firstLine="200"/>
    </w:pPr>
    <w:rPr>
      <w:szCs w:val="24"/>
    </w:rPr>
  </w:style>
  <w:style w:type="paragraph" w:styleId="985" w:customStyle="1">
    <w:name w:val="朱-正文"/>
    <w:basedOn w:val="704"/>
    <w:uiPriority w:val="0"/>
    <w:qFormat/>
    <w:pPr>
      <w:ind w:firstLine="200"/>
    </w:pPr>
    <w:rPr>
      <w:rFonts w:ascii="Times New Roman"/>
      <w:color w:val="000000"/>
      <w:szCs w:val="24"/>
      <w:lang w:val="en-GB"/>
    </w:rPr>
  </w:style>
  <w:style w:type="paragraph" w:styleId="986" w:customStyle="1">
    <w:name w:val="GP正文(首行缩进)"/>
    <w:basedOn w:val="704"/>
    <w:uiPriority w:val="0"/>
    <w:qFormat/>
    <w:pPr>
      <w:ind w:firstLine="480"/>
      <w:jc w:val="left"/>
    </w:pPr>
    <w:rPr>
      <w:rFonts w:ascii="Times New Roman" w:hAnsi="宋体"/>
      <w:sz w:val="24"/>
      <w:szCs w:val="24"/>
    </w:rPr>
  </w:style>
  <w:style w:type="character" w:styleId="987" w:customStyle="1">
    <w:name w:val="font71"/>
    <w:basedOn w:val="714"/>
    <w:uiPriority w:val="0"/>
    <w:qFormat/>
    <w:rPr>
      <w:rFonts w:hint="eastAsia" w:ascii="宋体" w:hAnsi="宋体" w:eastAsia="宋体" w:cs="宋体"/>
      <w:color w:val="ff0000"/>
      <w:sz w:val="21"/>
      <w:szCs w:val="21"/>
      <w:u w:val="none"/>
    </w:rPr>
  </w:style>
  <w:style w:type="character" w:styleId="988" w:customStyle="1">
    <w:name w:val="font41"/>
    <w:uiPriority w:val="0"/>
    <w:qFormat/>
    <w:rPr>
      <w:rFonts w:hint="eastAsia" w:ascii="宋体" w:hAnsi="宋体" w:eastAsia="宋体" w:cs="宋体"/>
      <w:color w:val="000000"/>
      <w:sz w:val="21"/>
      <w:szCs w:val="21"/>
      <w:u w:val="none"/>
    </w:rPr>
  </w:style>
  <w:style w:type="paragraph" w:styleId="989" w:customStyle="1">
    <w:name w:val="列出段落1"/>
    <w:basedOn w:val="704"/>
    <w:uiPriority w:val="0"/>
    <w:qFormat/>
    <w:pPr>
      <w:ind w:firstLine="420"/>
    </w:pPr>
  </w:style>
  <w:style w:type="paragraph" w:styleId="990" w:customStyle="1">
    <w:name w:val="列出段落2"/>
    <w:basedOn w:val="704"/>
    <w:uiPriority w:val="34"/>
    <w:qFormat/>
    <w:pPr>
      <w:ind w:firstLine="420"/>
    </w:pPr>
    <w:rPr>
      <w:rFonts w:ascii="宋体"/>
      <w:color w:val="404040"/>
    </w:rPr>
  </w:style>
  <w:style w:type="paragraph" w:styleId="991" w:customStyle="1">
    <w:name w:val="列表段落1"/>
    <w:basedOn w:val="704"/>
    <w:uiPriority w:val="0"/>
    <w:qFormat/>
    <w:pPr>
      <w:ind w:firstLine="200"/>
    </w:pPr>
    <w:rPr>
      <w:rFonts w:cs="宋体"/>
    </w:rPr>
  </w:style>
  <w:style w:type="character" w:styleId="992" w:customStyle="1">
    <w:name w:val="font51"/>
    <w:uiPriority w:val="0"/>
    <w:qFormat/>
    <w:rPr>
      <w:rFonts w:hint="eastAsia" w:ascii="宋体" w:hAnsi="宋体" w:eastAsia="宋体" w:cs="宋体"/>
      <w:color w:val="000000"/>
      <w:sz w:val="24"/>
      <w:szCs w:val="24"/>
      <w:u w:val="none"/>
      <w:vertAlign w:val="subscript"/>
    </w:rPr>
  </w:style>
  <w:style w:type="character" w:styleId="993" w:customStyle="1">
    <w:name w:val="font61"/>
    <w:basedOn w:val="714"/>
    <w:uiPriority w:val="0"/>
    <w:qFormat/>
    <w:rPr>
      <w:rFonts w:hint="eastAsia" w:ascii="宋体" w:hAnsi="宋体" w:eastAsia="宋体" w:cs="宋体"/>
      <w:color w:val="000000"/>
      <w:sz w:val="24"/>
      <w:szCs w:val="24"/>
      <w:u w:val="none"/>
    </w:rPr>
  </w:style>
  <w:style w:type="character" w:styleId="994" w:customStyle="1">
    <w:name w:val="font01"/>
    <w:uiPriority w:val="0"/>
    <w:qFormat/>
    <w:rPr>
      <w:rFonts w:hint="eastAsia" w:ascii="宋体" w:hAnsi="宋体" w:eastAsia="宋体" w:cs="宋体"/>
      <w:color w:val="000000"/>
      <w:sz w:val="24"/>
      <w:szCs w:val="24"/>
      <w:u w:val="none"/>
    </w:rPr>
  </w:style>
  <w:style w:type="character" w:styleId="995" w:customStyle="1">
    <w:name w:val="font81"/>
    <w:uiPriority w:val="0"/>
    <w:qFormat/>
    <w:rPr>
      <w:rFonts w:ascii="微软雅黑" w:hAnsi="微软雅黑" w:eastAsia="微软雅黑" w:cs="微软雅黑"/>
      <w:color w:val="000000"/>
      <w:sz w:val="24"/>
      <w:szCs w:val="24"/>
      <w:u w:val="none"/>
    </w:rPr>
  </w:style>
  <w:style w:type="character" w:styleId="996" w:customStyle="1">
    <w:name w:val="font91"/>
    <w:basedOn w:val="714"/>
    <w:uiPriority w:val="0"/>
    <w:qFormat/>
    <w:rPr>
      <w:rFonts w:ascii="Segoe UI Symbol" w:hAnsi="Segoe UI Symbol" w:eastAsia="Segoe UI Symbol" w:cs="Segoe UI Symbol"/>
      <w:color w:val="000000"/>
      <w:sz w:val="24"/>
      <w:szCs w:val="24"/>
      <w:u w:val="none"/>
    </w:rPr>
  </w:style>
  <w:style w:type="character" w:styleId="997" w:customStyle="1">
    <w:name w:val="font101"/>
    <w:uiPriority w:val="0"/>
    <w:qFormat/>
    <w:rPr>
      <w:rFonts w:ascii="Calibri" w:hAnsi="Calibri" w:cs="Calibri"/>
      <w:color w:val="000000"/>
      <w:sz w:val="24"/>
      <w:szCs w:val="24"/>
      <w:u w:val="none"/>
    </w:rPr>
  </w:style>
  <w:style w:type="paragraph" w:styleId="998" w:customStyle="1">
    <w:name w:val="TableItem"/>
    <w:uiPriority w:val="0"/>
    <w:qFormat/>
    <w:rPr>
      <w:rFonts w:ascii="Verdana" w:hAnsi="Verdana" w:eastAsia="宋体" w:cs="Verdana"/>
      <w:b/>
      <w:bCs/>
      <w:color w:val="538135"/>
      <w:spacing w:val="-10"/>
      <w:sz w:val="16"/>
      <w:szCs w:val="28"/>
      <w:lang w:val="en-US" w:eastAsia="zh-CN" w:bidi="ar-SA"/>
    </w:rPr>
  </w:style>
  <w:style w:type="paragraph" w:styleId="999" w:customStyle="1">
    <w:name w:val="TableEmphasis"/>
    <w:basedOn w:val="704"/>
    <w:uiPriority w:val="0"/>
    <w:qFormat/>
    <w:rPr>
      <w:rFonts w:ascii="Times New Roman" w:hAnsi="Times New Roman" w:eastAsia="Times New Roman"/>
      <w:b/>
      <w:bCs/>
      <w:color w:val="3333ff"/>
      <w:sz w:val="16"/>
      <w:szCs w:val="18"/>
    </w:rPr>
  </w:style>
  <w:style w:type="paragraph" w:styleId="1000" w:customStyle="1">
    <w:name w:val="修订1"/>
    <w:uiPriority w:val="99"/>
    <w:unhideWhenUsed/>
    <w:qFormat/>
    <w:rPr>
      <w:rFonts w:ascii="Calibri" w:hAnsi="Calibri" w:eastAsia="宋体" w:cs="Times New Roman"/>
      <w:sz w:val="21"/>
      <w:szCs w:val="22"/>
      <w:lang w:val="en-US" w:eastAsia="zh-CN" w:bidi="ar-SA"/>
    </w:rPr>
  </w:style>
  <w:style w:type="paragraph" w:styleId="1001" w:customStyle="1">
    <w:name w:val="修订2"/>
    <w:uiPriority w:val="99"/>
    <w:semiHidden/>
    <w:qFormat/>
    <w:rPr>
      <w:rFonts w:ascii="Calibri" w:hAnsi="Calibri" w:eastAsia="宋体" w:cs="Times New Roman"/>
      <w:sz w:val="21"/>
      <w:szCs w:val="22"/>
      <w:lang w:val="en-US" w:eastAsia="zh-CN" w:bidi="ar-SA"/>
    </w:rPr>
  </w:style>
  <w:style w:type="character" w:styleId="1002" w:customStyle="1">
    <w:name w:val="font11"/>
    <w:uiPriority w:val="0"/>
    <w:qFormat/>
    <w:rPr>
      <w:rFonts w:hint="eastAsia" w:ascii="宋体" w:hAnsi="宋体" w:eastAsia="宋体" w:cs="宋体"/>
      <w:color w:val="000000"/>
      <w:sz w:val="24"/>
      <w:szCs w:val="24"/>
      <w:u w:val="none"/>
    </w:rPr>
  </w:style>
  <w:style w:type="character" w:styleId="1003" w:customStyle="1">
    <w:name w:val="font21"/>
    <w:uiPriority w:val="0"/>
    <w:qFormat/>
    <w:rPr>
      <w:rFonts w:ascii="Segoe UI Symbol" w:hAnsi="Segoe UI Symbol" w:eastAsia="Segoe UI Symbol" w:cs="Segoe UI Symbol"/>
      <w:color w:val="000000"/>
      <w:sz w:val="24"/>
      <w:szCs w:val="24"/>
      <w:u w:val="none"/>
    </w:rPr>
  </w:style>
  <w:style w:type="character" w:styleId="1004" w:customStyle="1">
    <w:name w:val="NormalCharacter1"/>
    <w:uiPriority w:val="0"/>
    <w:semiHidden/>
    <w:qFormat/>
  </w:style>
  <w:style w:type="character" w:styleId="1005" w:customStyle="1">
    <w:name w:val="font31"/>
    <w:uiPriority w:val="0"/>
    <w:qFormat/>
    <w:rPr>
      <w:rFonts w:hint="eastAsia" w:ascii="宋体" w:hAnsi="宋体" w:eastAsia="宋体" w:cs="宋体"/>
      <w:color w:val="000000"/>
      <w:sz w:val="21"/>
      <w:szCs w:val="21"/>
      <w:u w:val="none"/>
    </w:rPr>
  </w:style>
  <w:style w:type="paragraph" w:styleId="1006" w:customStyle="1">
    <w:name w:val="无间隔1"/>
    <w:uiPriority w:val="1"/>
    <w:qFormat/>
    <w:rPr>
      <w:rFonts w:ascii="Times New Roman" w:hAnsi="Times New Roman" w:eastAsia="宋体" w:cs="Times New Roman"/>
      <w:lang w:val="en-US" w:eastAsia="zh-CN" w:bidi="ar-SA"/>
    </w:rPr>
  </w:style>
  <w:style w:type="paragraph" w:styleId="1007" w:customStyle="1">
    <w:name w:val="索引 41"/>
    <w:basedOn w:val="704"/>
    <w:next w:val="704"/>
    <w:uiPriority w:val="99"/>
    <w:unhideWhenUsed/>
    <w:qFormat/>
    <w:pPr>
      <w:ind w:left="600"/>
    </w:pPr>
    <w:rPr>
      <w:rFonts w:ascii="Verdana" w:hAnsi="Verdana" w:eastAsia="微软雅黑"/>
      <w:szCs w:val="20"/>
    </w:rPr>
  </w:style>
  <w:style w:type="paragraph" w:styleId="1008" w:customStyle="1">
    <w:name w:val="样式 宋体 加粗 居中"/>
    <w:basedOn w:val="704"/>
    <w:uiPriority w:val="0"/>
    <w:qFormat/>
    <w:pPr>
      <w:jc w:val="center"/>
    </w:pPr>
    <w:rPr>
      <w:rFonts w:ascii="宋体" w:hAnsi="宋体" w:cs="宋体"/>
      <w:b/>
      <w:bCs/>
      <w:sz w:val="32"/>
      <w:szCs w:val="20"/>
    </w:rPr>
  </w:style>
  <w:style w:type="character" w:styleId="1009" w:customStyle="1">
    <w:name w:val="font151"/>
    <w:basedOn w:val="714"/>
    <w:uiPriority w:val="0"/>
    <w:qFormat/>
    <w:rPr>
      <w:rFonts w:hint="eastAsia" w:ascii="宋体" w:hAnsi="宋体" w:eastAsia="宋体" w:cs="宋体"/>
      <w:color w:val="000000"/>
      <w:sz w:val="24"/>
      <w:szCs w:val="24"/>
      <w:u w:val="none"/>
    </w:rPr>
  </w:style>
  <w:style w:type="character" w:styleId="1010" w:customStyle="1">
    <w:name w:val="font161"/>
    <w:basedOn w:val="714"/>
    <w:uiPriority w:val="0"/>
    <w:qFormat/>
    <w:rPr>
      <w:rFonts w:hint="eastAsia" w:ascii="宋体" w:hAnsi="宋体" w:eastAsia="宋体" w:cs="宋体"/>
      <w:color w:val="000000"/>
      <w:sz w:val="24"/>
      <w:szCs w:val="24"/>
      <w:u w:val="none"/>
    </w:rPr>
  </w:style>
  <w:style w:type="character" w:styleId="1011" w:customStyle="1">
    <w:name w:val="font171"/>
    <w:basedOn w:val="714"/>
    <w:uiPriority w:val="0"/>
    <w:qFormat/>
    <w:rPr>
      <w:rFonts w:hint="eastAsia" w:ascii="宋体" w:hAnsi="宋体" w:eastAsia="宋体" w:cs="宋体"/>
      <w:color w:val="000000"/>
      <w:sz w:val="24"/>
      <w:szCs w:val="24"/>
      <w:u w:val="none"/>
    </w:rPr>
  </w:style>
  <w:style w:type="character" w:styleId="1012" w:customStyle="1">
    <w:name w:val="批注框文本 Char1"/>
    <w:basedOn w:val="714"/>
    <w:link w:val="730"/>
    <w:uiPriority w:val="99"/>
    <w:semiHidden/>
    <w:qFormat/>
    <w:rPr>
      <w:rFonts w:ascii="Calibri" w:hAnsi="Calibri"/>
      <w:sz w:val="18"/>
      <w:szCs w:val="18"/>
    </w:rPr>
  </w:style>
  <w:style w:type="character" w:styleId="1013" w:customStyle="1">
    <w:name w:val="纯文本 Char"/>
    <w:basedOn w:val="714"/>
    <w:link w:val="726"/>
    <w:uiPriority w:val="99"/>
    <w:qFormat/>
    <w:rPr>
      <w:rFonts w:ascii="宋体" w:hAnsi="Courier New"/>
      <w:szCs w:val="21"/>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Info spid="_x0000_s1026"/>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金雨薇</cp:lastModifiedBy>
  <cp:revision>12</cp:revision>
  <dcterms:created xsi:type="dcterms:W3CDTF">2026-04-21T01:32:00Z</dcterms:created>
  <dcterms:modified xsi:type="dcterms:W3CDTF">2026-05-06T08:32:11Z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1DDD573387A84107926015E306179A43_13</vt:lpwstr>
  </property>
  <property fmtid="{D5CDD505-2E9C-101B-9397-08002B2CF9AE}" pid="4" name="KSOTemplateDocerSaveRecord">
    <vt:lpwstr>eyJoZGlkIjoiODg4NGIzNzlkNDhjMmFlYTU2Nzc0NTA1MTE0NzE5NGQiLCJ1c2VySWQiOiI1OTkxMzM2MTgifQ==</vt:lpwstr>
  </property>
</Properties>
</file>